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29A0" w14:textId="77777777" w:rsidR="006C04CC" w:rsidRPr="00EA7870" w:rsidRDefault="006C04CC" w:rsidP="003535D4">
      <w:pPr>
        <w:spacing w:line="209" w:lineRule="auto"/>
        <w:rPr>
          <w:b/>
          <w:sz w:val="20"/>
          <w:szCs w:val="20"/>
          <w:lang w:val="es-AR"/>
        </w:rPr>
      </w:pPr>
      <w:bookmarkStart w:id="0" w:name="_GoBack"/>
      <w:bookmarkEnd w:id="0"/>
      <w:r w:rsidRPr="00EA7870">
        <w:rPr>
          <w:b/>
          <w:sz w:val="20"/>
          <w:szCs w:val="20"/>
          <w:lang w:val="es-AR"/>
        </w:rPr>
        <w:t xml:space="preserve">SUPLEMENTO DE </w:t>
      </w:r>
      <w:r w:rsidR="00CE4F7A" w:rsidRPr="00EA7870">
        <w:rPr>
          <w:b/>
          <w:sz w:val="20"/>
          <w:szCs w:val="20"/>
          <w:lang w:val="es-AR"/>
        </w:rPr>
        <w:t>PROSPECTO</w:t>
      </w:r>
    </w:p>
    <w:p w14:paraId="5B53BD3C" w14:textId="77777777" w:rsidR="00E024E8" w:rsidRPr="00EA7870" w:rsidRDefault="00E024E8" w:rsidP="00E024E8">
      <w:pPr>
        <w:spacing w:line="209" w:lineRule="auto"/>
        <w:rPr>
          <w:sz w:val="20"/>
          <w:szCs w:val="20"/>
          <w:lang w:val="es-AR"/>
        </w:rPr>
      </w:pPr>
      <w:r w:rsidRPr="00EA7870">
        <w:rPr>
          <w:sz w:val="20"/>
          <w:szCs w:val="20"/>
          <w:lang w:val="es-AR"/>
        </w:rPr>
        <w:t xml:space="preserve">Correspondiente al Prospecto del Programa de fecha </w:t>
      </w:r>
      <w:r w:rsidR="00472607" w:rsidRPr="00EA7870">
        <w:rPr>
          <w:sz w:val="20"/>
          <w:szCs w:val="20"/>
          <w:lang w:val="es-AR"/>
        </w:rPr>
        <w:t>3</w:t>
      </w:r>
      <w:r w:rsidRPr="00EA7870">
        <w:rPr>
          <w:sz w:val="20"/>
          <w:szCs w:val="20"/>
          <w:lang w:val="es-AR"/>
        </w:rPr>
        <w:t xml:space="preserve"> de</w:t>
      </w:r>
      <w:r w:rsidR="00472607" w:rsidRPr="00EA7870">
        <w:rPr>
          <w:sz w:val="20"/>
          <w:szCs w:val="20"/>
          <w:lang w:val="es-AR"/>
        </w:rPr>
        <w:t xml:space="preserve"> </w:t>
      </w:r>
      <w:r w:rsidRPr="00EA7870">
        <w:rPr>
          <w:sz w:val="20"/>
          <w:szCs w:val="20"/>
          <w:lang w:val="es-AR"/>
        </w:rPr>
        <w:t>o</w:t>
      </w:r>
      <w:r w:rsidR="00472607" w:rsidRPr="00EA7870">
        <w:rPr>
          <w:sz w:val="20"/>
          <w:szCs w:val="20"/>
          <w:lang w:val="es-AR"/>
        </w:rPr>
        <w:t>ctubre</w:t>
      </w:r>
      <w:r w:rsidRPr="00EA7870">
        <w:rPr>
          <w:sz w:val="20"/>
          <w:szCs w:val="20"/>
          <w:lang w:val="es-AR"/>
        </w:rPr>
        <w:t xml:space="preserve"> de 201</w:t>
      </w:r>
      <w:r w:rsidR="00472607" w:rsidRPr="00EA7870">
        <w:rPr>
          <w:sz w:val="20"/>
          <w:szCs w:val="20"/>
          <w:lang w:val="es-AR"/>
        </w:rPr>
        <w:t>9</w:t>
      </w:r>
      <w:r w:rsidR="00B25D94" w:rsidRPr="00EA7870">
        <w:rPr>
          <w:sz w:val="20"/>
          <w:szCs w:val="20"/>
          <w:lang w:val="es-AR"/>
        </w:rPr>
        <w:t>.</w:t>
      </w:r>
    </w:p>
    <w:p w14:paraId="368F8608" w14:textId="77777777" w:rsidR="006C04CC" w:rsidRPr="00EA7870" w:rsidRDefault="006C04CC" w:rsidP="003535D4">
      <w:pPr>
        <w:spacing w:line="209" w:lineRule="auto"/>
        <w:rPr>
          <w:b/>
          <w:bCs/>
          <w:sz w:val="20"/>
          <w:szCs w:val="20"/>
          <w:lang w:val="es-AR"/>
        </w:rPr>
      </w:pPr>
    </w:p>
    <w:p w14:paraId="3B15B593" w14:textId="77777777" w:rsidR="00AF0E4A" w:rsidRPr="00EA7870" w:rsidRDefault="00A649C8" w:rsidP="006C04CC">
      <w:pPr>
        <w:spacing w:line="209" w:lineRule="auto"/>
        <w:jc w:val="center"/>
        <w:rPr>
          <w:sz w:val="20"/>
          <w:szCs w:val="20"/>
          <w:lang w:val="es-AR"/>
        </w:rPr>
      </w:pPr>
      <w:r w:rsidRPr="00E46C23">
        <w:rPr>
          <w:noProof/>
          <w:sz w:val="20"/>
          <w:lang w:val="es-AR" w:eastAsia="es-AR"/>
        </w:rPr>
        <w:drawing>
          <wp:anchor distT="0" distB="0" distL="0" distR="0" simplePos="0" relativeHeight="251656704" behindDoc="0" locked="0" layoutInCell="1" allowOverlap="1" wp14:anchorId="616AEF8F" wp14:editId="5E7529EC">
            <wp:simplePos x="0" y="0"/>
            <wp:positionH relativeFrom="page">
              <wp:posOffset>3153410</wp:posOffset>
            </wp:positionH>
            <wp:positionV relativeFrom="paragraph">
              <wp:posOffset>83820</wp:posOffset>
            </wp:positionV>
            <wp:extent cx="1620520" cy="617220"/>
            <wp:effectExtent l="0" t="0" r="508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0520" cy="6172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504"/>
      </w:tblGrid>
      <w:tr w:rsidR="00D21C25" w:rsidRPr="00EA7870" w14:paraId="735A7B56" w14:textId="77777777" w:rsidTr="008C3631">
        <w:tc>
          <w:tcPr>
            <w:tcW w:w="8644" w:type="dxa"/>
            <w:shd w:val="clear" w:color="auto" w:fill="auto"/>
          </w:tcPr>
          <w:p w14:paraId="4AE3ABFB" w14:textId="77777777" w:rsidR="00D21C25" w:rsidRPr="00EA7870" w:rsidRDefault="00D21C25" w:rsidP="00D64D83">
            <w:pPr>
              <w:pStyle w:val="DPWfd"/>
              <w:jc w:val="center"/>
              <w:rPr>
                <w:b/>
                <w:lang w:val="es-AR" w:bidi="es-ES"/>
              </w:rPr>
            </w:pPr>
            <w:r w:rsidRPr="00EA7870">
              <w:rPr>
                <w:b/>
                <w:lang w:val="es-AR" w:bidi="es-ES"/>
              </w:rPr>
              <w:t>PAN AMERICAN ENERGY</w:t>
            </w:r>
            <w:r w:rsidR="00F66D0F" w:rsidRPr="00EA7870">
              <w:rPr>
                <w:b/>
                <w:lang w:val="es-AR" w:bidi="es-ES"/>
              </w:rPr>
              <w:t>, S.L.</w:t>
            </w:r>
            <w:r w:rsidRPr="00EA7870">
              <w:rPr>
                <w:b/>
                <w:lang w:val="es-AR" w:bidi="es-ES"/>
              </w:rPr>
              <w:t>, SUCURSAL ARGENTINA</w:t>
            </w:r>
          </w:p>
          <w:p w14:paraId="1B49A563" w14:textId="77777777" w:rsidR="00D21C25" w:rsidRPr="00EA7870" w:rsidRDefault="00D21C25" w:rsidP="00E11CE7">
            <w:pPr>
              <w:pStyle w:val="DPWfd"/>
              <w:jc w:val="both"/>
              <w:rPr>
                <w:b/>
                <w:lang w:val="es-AR"/>
              </w:rPr>
            </w:pPr>
          </w:p>
        </w:tc>
      </w:tr>
    </w:tbl>
    <w:p w14:paraId="713A912B" w14:textId="5371CFB4" w:rsidR="000021FF" w:rsidRPr="00EA7870" w:rsidRDefault="000021FF" w:rsidP="00307BCB">
      <w:pPr>
        <w:pStyle w:val="DPWfd"/>
        <w:jc w:val="center"/>
        <w:rPr>
          <w:b/>
          <w:lang w:val="es-AR"/>
        </w:rPr>
      </w:pPr>
      <w:r w:rsidRPr="00EA7870">
        <w:rPr>
          <w:b/>
          <w:lang w:val="es-AR"/>
        </w:rPr>
        <w:t xml:space="preserve">Obligaciones Negociables Clase </w:t>
      </w:r>
      <w:r w:rsidR="002F04CE" w:rsidRPr="00EA7870">
        <w:rPr>
          <w:b/>
          <w:lang w:val="es-AR"/>
        </w:rPr>
        <w:t>I</w:t>
      </w:r>
      <w:r w:rsidR="004243FB" w:rsidRPr="00EA7870">
        <w:rPr>
          <w:b/>
          <w:lang w:val="es-AR"/>
        </w:rPr>
        <w:t>X</w:t>
      </w:r>
      <w:r w:rsidR="00AF0E4A" w:rsidRPr="00EA7870">
        <w:rPr>
          <w:b/>
          <w:lang w:val="es-AR"/>
        </w:rPr>
        <w:t xml:space="preserve"> </w:t>
      </w:r>
      <w:r w:rsidRPr="00EA7870">
        <w:rPr>
          <w:b/>
          <w:lang w:val="es-AR"/>
        </w:rPr>
        <w:t xml:space="preserve">a </w:t>
      </w:r>
      <w:r w:rsidR="00125B4F" w:rsidRPr="00EA7870">
        <w:rPr>
          <w:b/>
          <w:lang w:val="es-AR"/>
        </w:rPr>
        <w:t>t</w:t>
      </w:r>
      <w:r w:rsidRPr="00EA7870">
        <w:rPr>
          <w:b/>
          <w:lang w:val="es-AR"/>
        </w:rPr>
        <w:t xml:space="preserve">asa </w:t>
      </w:r>
      <w:r w:rsidR="00F66D0F" w:rsidRPr="00EA7870">
        <w:rPr>
          <w:b/>
          <w:lang w:val="es-AR"/>
        </w:rPr>
        <w:t>fija</w:t>
      </w:r>
      <w:r w:rsidRPr="00EA7870">
        <w:rPr>
          <w:b/>
          <w:lang w:val="es-AR"/>
        </w:rPr>
        <w:t xml:space="preserve"> con </w:t>
      </w:r>
      <w:r w:rsidR="00B356D3" w:rsidRPr="00EA7870">
        <w:rPr>
          <w:b/>
          <w:lang w:val="es-AR"/>
        </w:rPr>
        <w:t>vencimiento a</w:t>
      </w:r>
      <w:r w:rsidR="006D11FC" w:rsidRPr="00EA7870">
        <w:rPr>
          <w:b/>
          <w:lang w:val="es-AR"/>
        </w:rPr>
        <w:t xml:space="preserve"> los </w:t>
      </w:r>
      <w:r w:rsidR="009114EC" w:rsidRPr="00EA7870">
        <w:rPr>
          <w:b/>
          <w:lang w:val="es-AR"/>
        </w:rPr>
        <w:t>4</w:t>
      </w:r>
      <w:r w:rsidR="00712071" w:rsidRPr="00EA7870">
        <w:rPr>
          <w:b/>
          <w:lang w:val="es-AR"/>
        </w:rPr>
        <w:t xml:space="preserve"> </w:t>
      </w:r>
      <w:r w:rsidR="006D11FC" w:rsidRPr="00EA7870">
        <w:rPr>
          <w:b/>
          <w:lang w:val="es-AR"/>
        </w:rPr>
        <w:t>años</w:t>
      </w:r>
      <w:r w:rsidR="00B0114C" w:rsidRPr="00EA7870">
        <w:rPr>
          <w:b/>
          <w:lang w:val="es-AR"/>
        </w:rPr>
        <w:t xml:space="preserve"> contados </w:t>
      </w:r>
      <w:r w:rsidR="00B356D3" w:rsidRPr="00EA7870">
        <w:rPr>
          <w:b/>
          <w:lang w:val="es-AR"/>
        </w:rPr>
        <w:t>desde l</w:t>
      </w:r>
      <w:r w:rsidR="00307BCB" w:rsidRPr="00EA7870">
        <w:rPr>
          <w:b/>
          <w:lang w:val="es-AR"/>
        </w:rPr>
        <w:t xml:space="preserve">a </w:t>
      </w:r>
      <w:r w:rsidR="00B356D3" w:rsidRPr="00EA7870">
        <w:rPr>
          <w:b/>
          <w:lang w:val="es-AR"/>
        </w:rPr>
        <w:t>Fecha de Emisión y Liquidación</w:t>
      </w:r>
      <w:r w:rsidR="00524D5D" w:rsidRPr="00EA7870">
        <w:rPr>
          <w:b/>
          <w:lang w:val="es-AR"/>
        </w:rPr>
        <w:t>,</w:t>
      </w:r>
      <w:r w:rsidR="00B356D3" w:rsidRPr="00EA7870">
        <w:rPr>
          <w:b/>
          <w:lang w:val="es-AR"/>
        </w:rPr>
        <w:t xml:space="preserve"> </w:t>
      </w:r>
      <w:r w:rsidR="00B530EF" w:rsidRPr="00EA7870">
        <w:rPr>
          <w:b/>
          <w:lang w:val="es-AR"/>
        </w:rPr>
        <w:t xml:space="preserve">por un valor nominal total de </w:t>
      </w:r>
      <w:r w:rsidR="0012343E" w:rsidRPr="00EA7870">
        <w:rPr>
          <w:b/>
          <w:lang w:val="es-AR"/>
        </w:rPr>
        <w:t xml:space="preserve">hasta </w:t>
      </w:r>
      <w:r w:rsidR="007E43A2" w:rsidRPr="00EA7870">
        <w:rPr>
          <w:b/>
          <w:lang w:val="es-AR"/>
        </w:rPr>
        <w:t>US</w:t>
      </w:r>
      <w:r w:rsidR="00A476B1" w:rsidRPr="00EA7870">
        <w:rPr>
          <w:b/>
          <w:lang w:val="es-AR"/>
        </w:rPr>
        <w:t>$</w:t>
      </w:r>
      <w:r w:rsidR="00FF15BD">
        <w:rPr>
          <w:b/>
          <w:lang w:val="es-AR"/>
        </w:rPr>
        <w:t>75</w:t>
      </w:r>
      <w:r w:rsidR="00A476B1" w:rsidRPr="00EA7870">
        <w:rPr>
          <w:b/>
          <w:lang w:val="es-AR"/>
        </w:rPr>
        <w:t>.000.000</w:t>
      </w:r>
      <w:r w:rsidR="00712071" w:rsidRPr="00EA7870">
        <w:rPr>
          <w:b/>
          <w:lang w:val="es-AR"/>
        </w:rPr>
        <w:t>,</w:t>
      </w:r>
      <w:r w:rsidR="00A476B1" w:rsidRPr="00EA7870">
        <w:rPr>
          <w:b/>
          <w:lang w:val="es-AR"/>
        </w:rPr>
        <w:t xml:space="preserve"> </w:t>
      </w:r>
      <w:r w:rsidR="006155A9" w:rsidRPr="00EA7870">
        <w:rPr>
          <w:b/>
          <w:lang w:val="es-AR"/>
        </w:rPr>
        <w:t>ampliable por</w:t>
      </w:r>
      <w:r w:rsidR="00307BCB" w:rsidRPr="00EA7870">
        <w:rPr>
          <w:b/>
          <w:lang w:val="es-AR"/>
        </w:rPr>
        <w:t xml:space="preserve"> </w:t>
      </w:r>
      <w:r w:rsidR="006155A9" w:rsidRPr="00EA7870">
        <w:rPr>
          <w:b/>
          <w:lang w:val="es-AR"/>
        </w:rPr>
        <w:t xml:space="preserve">hasta </w:t>
      </w:r>
      <w:r w:rsidR="007E43A2" w:rsidRPr="00EA7870">
        <w:rPr>
          <w:b/>
          <w:lang w:val="es-AR"/>
        </w:rPr>
        <w:t>US</w:t>
      </w:r>
      <w:r w:rsidR="00A476B1" w:rsidRPr="00EA7870">
        <w:rPr>
          <w:b/>
          <w:lang w:val="es-AR"/>
        </w:rPr>
        <w:t>$1</w:t>
      </w:r>
      <w:r w:rsidR="00FF15BD">
        <w:rPr>
          <w:b/>
          <w:lang w:val="es-AR"/>
        </w:rPr>
        <w:t>2</w:t>
      </w:r>
      <w:r w:rsidR="00A476B1" w:rsidRPr="00EA7870">
        <w:rPr>
          <w:b/>
          <w:lang w:val="es-AR"/>
        </w:rPr>
        <w:t>0.000.000</w:t>
      </w:r>
      <w:r w:rsidR="00712071" w:rsidRPr="00EA7870">
        <w:rPr>
          <w:b/>
          <w:lang w:val="es-AR"/>
        </w:rPr>
        <w:t>,</w:t>
      </w:r>
      <w:r w:rsidR="00307BCB" w:rsidRPr="00EA7870">
        <w:rPr>
          <w:b/>
          <w:lang w:val="es-AR"/>
        </w:rPr>
        <w:t xml:space="preserve"> </w:t>
      </w:r>
      <w:r w:rsidR="000F24A2" w:rsidRPr="00EA7870">
        <w:rPr>
          <w:b/>
          <w:lang w:val="es-AR"/>
        </w:rPr>
        <w:t xml:space="preserve">garantizadas por </w:t>
      </w:r>
      <w:r w:rsidR="00307BCB" w:rsidRPr="00EA7870">
        <w:rPr>
          <w:b/>
          <w:lang w:val="es-AR"/>
        </w:rPr>
        <w:t>Pan</w:t>
      </w:r>
      <w:r w:rsidR="000F24A2" w:rsidRPr="00EA7870">
        <w:rPr>
          <w:b/>
          <w:lang w:val="es-AR"/>
        </w:rPr>
        <w:t xml:space="preserve"> </w:t>
      </w:r>
      <w:r w:rsidR="00307BCB" w:rsidRPr="00EA7870">
        <w:rPr>
          <w:b/>
          <w:lang w:val="es-AR"/>
        </w:rPr>
        <w:t>American</w:t>
      </w:r>
      <w:r w:rsidR="000F24A2" w:rsidRPr="00EA7870">
        <w:rPr>
          <w:b/>
          <w:lang w:val="es-AR"/>
        </w:rPr>
        <w:t xml:space="preserve"> </w:t>
      </w:r>
      <w:r w:rsidR="00307BCB" w:rsidRPr="00EA7870">
        <w:rPr>
          <w:b/>
          <w:lang w:val="es-AR"/>
        </w:rPr>
        <w:t>Energy</w:t>
      </w:r>
      <w:r w:rsidR="000F24A2" w:rsidRPr="00EA7870">
        <w:rPr>
          <w:b/>
          <w:lang w:val="es-AR"/>
        </w:rPr>
        <w:t>, S.L.</w:t>
      </w:r>
    </w:p>
    <w:p w14:paraId="6EE0136F" w14:textId="77777777" w:rsidR="000021FF" w:rsidRPr="00EA7870" w:rsidRDefault="000021FF" w:rsidP="00C32E50">
      <w:pPr>
        <w:pStyle w:val="DPWfd"/>
        <w:jc w:val="center"/>
        <w:rPr>
          <w:b/>
          <w:lang w:val="es-AR"/>
        </w:rPr>
      </w:pPr>
    </w:p>
    <w:p w14:paraId="25566A0F" w14:textId="5E94C584" w:rsidR="002F1477" w:rsidRPr="00EA7870" w:rsidRDefault="00B530EF" w:rsidP="00061CD9">
      <w:pPr>
        <w:jc w:val="both"/>
        <w:rPr>
          <w:sz w:val="20"/>
          <w:szCs w:val="20"/>
          <w:lang w:val="es-AR"/>
        </w:rPr>
      </w:pPr>
      <w:r w:rsidRPr="00EA7870">
        <w:rPr>
          <w:sz w:val="20"/>
          <w:szCs w:val="20"/>
          <w:lang w:val="es-AR"/>
        </w:rPr>
        <w:t xml:space="preserve">Por medio del presente suplemento de </w:t>
      </w:r>
      <w:r w:rsidR="00CE4F7A" w:rsidRPr="00EA7870">
        <w:rPr>
          <w:sz w:val="20"/>
          <w:szCs w:val="20"/>
          <w:lang w:val="es-AR"/>
        </w:rPr>
        <w:t xml:space="preserve">prospecto </w:t>
      </w:r>
      <w:r w:rsidRPr="00EA7870">
        <w:rPr>
          <w:sz w:val="20"/>
          <w:szCs w:val="20"/>
          <w:lang w:val="es-AR"/>
        </w:rPr>
        <w:t>(el “</w:t>
      </w:r>
      <w:r w:rsidRPr="00EA7870">
        <w:rPr>
          <w:b/>
          <w:sz w:val="20"/>
          <w:szCs w:val="20"/>
          <w:lang w:val="es-AR"/>
        </w:rPr>
        <w:t>Suplemento</w:t>
      </w:r>
      <w:r w:rsidRPr="00EA7870">
        <w:rPr>
          <w:sz w:val="20"/>
          <w:szCs w:val="20"/>
          <w:lang w:val="es-AR"/>
        </w:rPr>
        <w:t>”)</w:t>
      </w:r>
      <w:r w:rsidR="004243FB" w:rsidRPr="00EA7870">
        <w:rPr>
          <w:sz w:val="20"/>
          <w:szCs w:val="20"/>
          <w:lang w:val="es-AR"/>
        </w:rPr>
        <w:t>,</w:t>
      </w:r>
      <w:r w:rsidRPr="00EA7870">
        <w:rPr>
          <w:sz w:val="20"/>
          <w:szCs w:val="20"/>
          <w:lang w:val="es-AR"/>
        </w:rPr>
        <w:t xml:space="preserve"> </w:t>
      </w:r>
      <w:r w:rsidR="009F5BCF" w:rsidRPr="00EA7870">
        <w:rPr>
          <w:sz w:val="20"/>
          <w:szCs w:val="20"/>
          <w:lang w:val="es-AR"/>
        </w:rPr>
        <w:t>Pan American Energy</w:t>
      </w:r>
      <w:r w:rsidR="00472607" w:rsidRPr="00EA7870">
        <w:rPr>
          <w:sz w:val="20"/>
          <w:szCs w:val="20"/>
          <w:lang w:val="es-AR"/>
        </w:rPr>
        <w:t>,</w:t>
      </w:r>
      <w:r w:rsidR="009F5BCF" w:rsidRPr="00EA7870">
        <w:rPr>
          <w:sz w:val="20"/>
          <w:szCs w:val="20"/>
          <w:lang w:val="es-AR"/>
        </w:rPr>
        <w:t xml:space="preserve"> </w:t>
      </w:r>
      <w:r w:rsidR="00472607" w:rsidRPr="00EA7870">
        <w:rPr>
          <w:sz w:val="20"/>
          <w:szCs w:val="20"/>
          <w:lang w:val="es-AR"/>
        </w:rPr>
        <w:t>S.</w:t>
      </w:r>
      <w:r w:rsidR="009F5BCF" w:rsidRPr="00EA7870">
        <w:rPr>
          <w:sz w:val="20"/>
          <w:szCs w:val="20"/>
          <w:lang w:val="es-AR"/>
        </w:rPr>
        <w:t>L</w:t>
      </w:r>
      <w:r w:rsidR="00472607" w:rsidRPr="00EA7870">
        <w:rPr>
          <w:sz w:val="20"/>
          <w:szCs w:val="20"/>
          <w:lang w:val="es-AR"/>
        </w:rPr>
        <w:t>.</w:t>
      </w:r>
      <w:r w:rsidR="009F5BCF" w:rsidRPr="00EA7870">
        <w:rPr>
          <w:sz w:val="20"/>
          <w:szCs w:val="20"/>
          <w:lang w:val="es-AR"/>
        </w:rPr>
        <w:t xml:space="preserve">, Sucursal Argentina </w:t>
      </w:r>
      <w:r w:rsidRPr="00EA7870">
        <w:rPr>
          <w:sz w:val="20"/>
          <w:szCs w:val="20"/>
          <w:lang w:val="es-AR"/>
        </w:rPr>
        <w:t>(la “</w:t>
      </w:r>
      <w:r w:rsidRPr="00EA7870">
        <w:rPr>
          <w:b/>
          <w:sz w:val="20"/>
          <w:szCs w:val="20"/>
          <w:lang w:val="es-AR"/>
        </w:rPr>
        <w:t>Emisora</w:t>
      </w:r>
      <w:r w:rsidRPr="00EA7870">
        <w:rPr>
          <w:sz w:val="20"/>
          <w:szCs w:val="20"/>
          <w:lang w:val="es-AR"/>
        </w:rPr>
        <w:t>”</w:t>
      </w:r>
      <w:r w:rsidR="00684E0A" w:rsidRPr="00EA7870">
        <w:rPr>
          <w:sz w:val="20"/>
          <w:szCs w:val="20"/>
          <w:lang w:val="es-AR"/>
        </w:rPr>
        <w:t xml:space="preserve"> o la “</w:t>
      </w:r>
      <w:r w:rsidR="009F5BCF" w:rsidRPr="00EA7870">
        <w:rPr>
          <w:b/>
          <w:sz w:val="20"/>
          <w:szCs w:val="20"/>
          <w:lang w:val="es-AR"/>
        </w:rPr>
        <w:t>Sucursal</w:t>
      </w:r>
      <w:r w:rsidR="00684E0A" w:rsidRPr="00EA7870">
        <w:rPr>
          <w:sz w:val="20"/>
          <w:szCs w:val="20"/>
          <w:lang w:val="es-AR"/>
        </w:rPr>
        <w:t>”, indistintamente</w:t>
      </w:r>
      <w:r w:rsidRPr="00EA7870">
        <w:rPr>
          <w:sz w:val="20"/>
          <w:szCs w:val="20"/>
          <w:lang w:val="es-AR"/>
        </w:rPr>
        <w:t>)</w:t>
      </w:r>
      <w:r w:rsidR="009F5BCF" w:rsidRPr="00EA7870">
        <w:rPr>
          <w:sz w:val="20"/>
          <w:szCs w:val="20"/>
          <w:lang w:val="es-AR"/>
        </w:rPr>
        <w:t xml:space="preserve">, sucursal </w:t>
      </w:r>
      <w:r w:rsidR="004243FB" w:rsidRPr="00EA7870">
        <w:rPr>
          <w:sz w:val="20"/>
          <w:szCs w:val="20"/>
          <w:lang w:val="es-AR"/>
        </w:rPr>
        <w:t xml:space="preserve">argentina </w:t>
      </w:r>
      <w:r w:rsidR="009F5BCF" w:rsidRPr="00EA7870">
        <w:rPr>
          <w:sz w:val="20"/>
          <w:szCs w:val="20"/>
          <w:lang w:val="es-AR"/>
        </w:rPr>
        <w:t>de Pan American Energy</w:t>
      </w:r>
      <w:r w:rsidR="00472607" w:rsidRPr="00EA7870">
        <w:rPr>
          <w:sz w:val="20"/>
          <w:szCs w:val="20"/>
          <w:lang w:val="es-AR"/>
        </w:rPr>
        <w:t>, S.L.</w:t>
      </w:r>
      <w:r w:rsidR="009F5BCF" w:rsidRPr="00EA7870">
        <w:rPr>
          <w:sz w:val="20"/>
          <w:szCs w:val="20"/>
          <w:lang w:val="es-AR"/>
        </w:rPr>
        <w:t xml:space="preserve">, una sociedad </w:t>
      </w:r>
      <w:r w:rsidR="00F66D0F" w:rsidRPr="00EA7870">
        <w:rPr>
          <w:sz w:val="20"/>
          <w:szCs w:val="20"/>
          <w:lang w:val="es-AR"/>
        </w:rPr>
        <w:t xml:space="preserve">organizada </w:t>
      </w:r>
      <w:r w:rsidR="009F5BCF" w:rsidRPr="00EA7870">
        <w:rPr>
          <w:sz w:val="20"/>
          <w:szCs w:val="20"/>
          <w:lang w:val="es-AR"/>
        </w:rPr>
        <w:t xml:space="preserve">en </w:t>
      </w:r>
      <w:r w:rsidR="00472607" w:rsidRPr="00EA7870">
        <w:rPr>
          <w:sz w:val="20"/>
          <w:szCs w:val="20"/>
          <w:lang w:val="es-AR"/>
        </w:rPr>
        <w:t>el Reino de España</w:t>
      </w:r>
      <w:r w:rsidR="009F5BCF" w:rsidRPr="00EA7870">
        <w:rPr>
          <w:sz w:val="20"/>
          <w:szCs w:val="20"/>
          <w:lang w:val="es-AR"/>
        </w:rPr>
        <w:t xml:space="preserve"> (“</w:t>
      </w:r>
      <w:r w:rsidR="009F5BCF" w:rsidRPr="00EA7870">
        <w:rPr>
          <w:b/>
          <w:sz w:val="20"/>
          <w:szCs w:val="20"/>
          <w:lang w:val="es-AR"/>
        </w:rPr>
        <w:t>Pan American</w:t>
      </w:r>
      <w:r w:rsidR="009F5BCF" w:rsidRPr="00EA7870">
        <w:rPr>
          <w:sz w:val="20"/>
          <w:szCs w:val="20"/>
          <w:lang w:val="es-AR"/>
        </w:rPr>
        <w:t>”</w:t>
      </w:r>
      <w:r w:rsidR="00F270AF" w:rsidRPr="00EA7870">
        <w:rPr>
          <w:sz w:val="20"/>
          <w:szCs w:val="20"/>
          <w:lang w:val="es-AR"/>
        </w:rPr>
        <w:t xml:space="preserve"> o la “</w:t>
      </w:r>
      <w:r w:rsidR="00F270AF" w:rsidRPr="00EA7870">
        <w:rPr>
          <w:b/>
          <w:sz w:val="20"/>
          <w:szCs w:val="20"/>
          <w:lang w:val="es-AR"/>
        </w:rPr>
        <w:t>Garante</w:t>
      </w:r>
      <w:r w:rsidR="00F270AF" w:rsidRPr="00EA7870">
        <w:rPr>
          <w:sz w:val="20"/>
          <w:szCs w:val="20"/>
          <w:lang w:val="es-AR"/>
        </w:rPr>
        <w:t>”</w:t>
      </w:r>
      <w:r w:rsidR="004243FB" w:rsidRPr="00EA7870">
        <w:rPr>
          <w:sz w:val="20"/>
          <w:szCs w:val="20"/>
          <w:lang w:val="es-AR"/>
        </w:rPr>
        <w:t xml:space="preserve"> indistintamente</w:t>
      </w:r>
      <w:r w:rsidR="009F5BCF" w:rsidRPr="00EA7870">
        <w:rPr>
          <w:sz w:val="20"/>
          <w:szCs w:val="20"/>
          <w:lang w:val="es-AR"/>
        </w:rPr>
        <w:t>)</w:t>
      </w:r>
      <w:r w:rsidR="004243FB" w:rsidRPr="00EA7870">
        <w:rPr>
          <w:sz w:val="20"/>
          <w:szCs w:val="20"/>
          <w:lang w:val="es-AR"/>
        </w:rPr>
        <w:t>,</w:t>
      </w:r>
      <w:r w:rsidR="009F5BCF" w:rsidRPr="00EA7870">
        <w:rPr>
          <w:sz w:val="20"/>
          <w:szCs w:val="20"/>
          <w:lang w:val="es-AR"/>
        </w:rPr>
        <w:t xml:space="preserve"> </w:t>
      </w:r>
      <w:r w:rsidRPr="00EA7870">
        <w:rPr>
          <w:sz w:val="20"/>
          <w:szCs w:val="20"/>
          <w:lang w:val="es-AR"/>
        </w:rPr>
        <w:t xml:space="preserve">ofrece sus </w:t>
      </w:r>
      <w:r w:rsidR="00287231" w:rsidRPr="00EA7870">
        <w:rPr>
          <w:sz w:val="20"/>
          <w:szCs w:val="20"/>
          <w:lang w:val="es-AR"/>
        </w:rPr>
        <w:t>o</w:t>
      </w:r>
      <w:r w:rsidRPr="00EA7870">
        <w:rPr>
          <w:sz w:val="20"/>
          <w:szCs w:val="20"/>
          <w:lang w:val="es-AR"/>
        </w:rPr>
        <w:t xml:space="preserve">bligaciones </w:t>
      </w:r>
      <w:r w:rsidR="00287231" w:rsidRPr="00EA7870">
        <w:rPr>
          <w:sz w:val="20"/>
          <w:szCs w:val="20"/>
          <w:lang w:val="es-AR"/>
        </w:rPr>
        <w:t>n</w:t>
      </w:r>
      <w:r w:rsidRPr="00EA7870">
        <w:rPr>
          <w:sz w:val="20"/>
          <w:szCs w:val="20"/>
          <w:lang w:val="es-AR"/>
        </w:rPr>
        <w:t xml:space="preserve">egociables </w:t>
      </w:r>
      <w:r w:rsidR="00287231" w:rsidRPr="00EA7870">
        <w:rPr>
          <w:sz w:val="20"/>
          <w:szCs w:val="20"/>
          <w:lang w:val="es-AR"/>
        </w:rPr>
        <w:t>c</w:t>
      </w:r>
      <w:r w:rsidRPr="00EA7870">
        <w:rPr>
          <w:sz w:val="20"/>
          <w:szCs w:val="20"/>
          <w:lang w:val="es-AR"/>
        </w:rPr>
        <w:t xml:space="preserve">lase </w:t>
      </w:r>
      <w:r w:rsidR="002F04CE" w:rsidRPr="00EA7870">
        <w:rPr>
          <w:sz w:val="20"/>
          <w:szCs w:val="20"/>
          <w:lang w:val="es-AR"/>
        </w:rPr>
        <w:t>I</w:t>
      </w:r>
      <w:r w:rsidR="004243FB" w:rsidRPr="00EA7870">
        <w:rPr>
          <w:sz w:val="20"/>
          <w:szCs w:val="20"/>
          <w:lang w:val="es-AR"/>
        </w:rPr>
        <w:t xml:space="preserve">X </w:t>
      </w:r>
      <w:r w:rsidRPr="00EA7870">
        <w:rPr>
          <w:sz w:val="20"/>
          <w:szCs w:val="20"/>
          <w:lang w:val="es-AR"/>
        </w:rPr>
        <w:t xml:space="preserve">a tasa </w:t>
      </w:r>
      <w:r w:rsidR="00F66D0F" w:rsidRPr="00EA7870">
        <w:rPr>
          <w:sz w:val="20"/>
          <w:szCs w:val="20"/>
          <w:lang w:val="es-AR"/>
        </w:rPr>
        <w:t>fija</w:t>
      </w:r>
      <w:r w:rsidR="00B356D3" w:rsidRPr="00EA7870">
        <w:rPr>
          <w:sz w:val="20"/>
          <w:szCs w:val="20"/>
          <w:lang w:val="es-AR"/>
        </w:rPr>
        <w:t xml:space="preserve">, con vencimiento a los </w:t>
      </w:r>
      <w:r w:rsidR="00AD0AC5" w:rsidRPr="00EA7870">
        <w:rPr>
          <w:sz w:val="20"/>
          <w:szCs w:val="20"/>
          <w:lang w:val="es-AR"/>
        </w:rPr>
        <w:t>4</w:t>
      </w:r>
      <w:r w:rsidR="00523EE1" w:rsidRPr="00EA7870">
        <w:rPr>
          <w:sz w:val="20"/>
          <w:szCs w:val="20"/>
          <w:lang w:val="es-AR"/>
        </w:rPr>
        <w:t xml:space="preserve"> </w:t>
      </w:r>
      <w:r w:rsidR="00B356D3" w:rsidRPr="00EA7870">
        <w:rPr>
          <w:sz w:val="20"/>
          <w:szCs w:val="20"/>
          <w:lang w:val="es-AR"/>
        </w:rPr>
        <w:t>años desde la Fecha de Emisión y Liquidación</w:t>
      </w:r>
      <w:r w:rsidR="00B356D3" w:rsidRPr="00EA7870" w:rsidDel="00B356D3">
        <w:rPr>
          <w:sz w:val="20"/>
          <w:szCs w:val="20"/>
          <w:lang w:val="es-AR"/>
        </w:rPr>
        <w:t xml:space="preserve"> </w:t>
      </w:r>
      <w:r w:rsidR="004243FB" w:rsidRPr="00EA7870">
        <w:rPr>
          <w:sz w:val="20"/>
          <w:szCs w:val="20"/>
          <w:lang w:val="es-AR"/>
        </w:rPr>
        <w:t>(según este término se define más adelante)</w:t>
      </w:r>
      <w:r w:rsidR="00066FB1" w:rsidRPr="00EA7870">
        <w:rPr>
          <w:sz w:val="20"/>
          <w:szCs w:val="20"/>
          <w:lang w:val="es-AR"/>
        </w:rPr>
        <w:t xml:space="preserve"> </w:t>
      </w:r>
      <w:r w:rsidRPr="00EA7870">
        <w:rPr>
          <w:sz w:val="20"/>
          <w:szCs w:val="20"/>
          <w:lang w:val="es-AR"/>
        </w:rPr>
        <w:t xml:space="preserve">por un valor nominal </w:t>
      </w:r>
      <w:r w:rsidR="007141B4" w:rsidRPr="00EA7870">
        <w:rPr>
          <w:sz w:val="20"/>
          <w:szCs w:val="20"/>
          <w:lang w:val="es-AR"/>
        </w:rPr>
        <w:t xml:space="preserve">total de </w:t>
      </w:r>
      <w:r w:rsidR="0012343E" w:rsidRPr="00EA7870">
        <w:rPr>
          <w:sz w:val="20"/>
          <w:szCs w:val="20"/>
          <w:lang w:val="es-AR"/>
        </w:rPr>
        <w:t xml:space="preserve">hasta </w:t>
      </w:r>
      <w:r w:rsidR="007E43A2" w:rsidRPr="00EA7870">
        <w:rPr>
          <w:sz w:val="20"/>
          <w:szCs w:val="20"/>
          <w:lang w:val="es-AR"/>
        </w:rPr>
        <w:t>US</w:t>
      </w:r>
      <w:r w:rsidR="004243FB" w:rsidRPr="00EA7870">
        <w:rPr>
          <w:sz w:val="20"/>
          <w:szCs w:val="20"/>
          <w:lang w:val="es-AR"/>
        </w:rPr>
        <w:t>$</w:t>
      </w:r>
      <w:r w:rsidR="00FF15BD">
        <w:rPr>
          <w:sz w:val="20"/>
          <w:szCs w:val="20"/>
          <w:lang w:val="es-AR"/>
        </w:rPr>
        <w:t>75</w:t>
      </w:r>
      <w:r w:rsidR="00DD1EE7" w:rsidRPr="00EA7870">
        <w:rPr>
          <w:sz w:val="20"/>
          <w:szCs w:val="20"/>
          <w:lang w:val="es-AR"/>
        </w:rPr>
        <w:t>.000.000</w:t>
      </w:r>
      <w:r w:rsidR="00E660A3" w:rsidRPr="00EA7870">
        <w:rPr>
          <w:sz w:val="20"/>
          <w:szCs w:val="20"/>
          <w:lang w:val="es-AR"/>
        </w:rPr>
        <w:t xml:space="preserve"> </w:t>
      </w:r>
      <w:r w:rsidR="007F63FA" w:rsidRPr="00EA7870">
        <w:rPr>
          <w:sz w:val="20"/>
          <w:szCs w:val="20"/>
          <w:lang w:val="es-AR"/>
        </w:rPr>
        <w:t xml:space="preserve">ampliable por hasta </w:t>
      </w:r>
      <w:r w:rsidR="007E43A2" w:rsidRPr="00EA7870">
        <w:rPr>
          <w:sz w:val="20"/>
          <w:szCs w:val="20"/>
          <w:lang w:val="es-AR"/>
        </w:rPr>
        <w:t>US</w:t>
      </w:r>
      <w:r w:rsidR="007F63FA" w:rsidRPr="00EA7870">
        <w:rPr>
          <w:sz w:val="20"/>
          <w:szCs w:val="20"/>
          <w:lang w:val="es-AR"/>
        </w:rPr>
        <w:t>$</w:t>
      </w:r>
      <w:r w:rsidR="00DD1EE7" w:rsidRPr="00EA7870">
        <w:rPr>
          <w:sz w:val="20"/>
          <w:szCs w:val="20"/>
          <w:lang w:val="es-AR"/>
        </w:rPr>
        <w:t>1</w:t>
      </w:r>
      <w:r w:rsidR="00FF15BD">
        <w:rPr>
          <w:sz w:val="20"/>
          <w:szCs w:val="20"/>
          <w:lang w:val="es-AR"/>
        </w:rPr>
        <w:t>2</w:t>
      </w:r>
      <w:r w:rsidR="00DD1EE7" w:rsidRPr="00EA7870">
        <w:rPr>
          <w:sz w:val="20"/>
          <w:szCs w:val="20"/>
          <w:lang w:val="es-AR"/>
        </w:rPr>
        <w:t>0.000.000</w:t>
      </w:r>
      <w:r w:rsidR="004243FB" w:rsidRPr="00EA7870">
        <w:rPr>
          <w:sz w:val="20"/>
          <w:szCs w:val="20"/>
          <w:lang w:val="es-AR"/>
        </w:rPr>
        <w:t xml:space="preserve">, </w:t>
      </w:r>
      <w:r w:rsidR="00526D61" w:rsidRPr="00EA7870">
        <w:rPr>
          <w:sz w:val="20"/>
          <w:szCs w:val="20"/>
          <w:lang w:val="es-AR"/>
        </w:rPr>
        <w:t xml:space="preserve">a ser emitidas en el marco del </w:t>
      </w:r>
      <w:r w:rsidR="00472607" w:rsidRPr="00EA7870">
        <w:rPr>
          <w:sz w:val="20"/>
          <w:szCs w:val="20"/>
          <w:lang w:val="es-AR"/>
        </w:rPr>
        <w:t>programa global de emisión de obligaciones negociables por un valor nominal de hasta US$1.100.000.000 (o su equivalente en otras monedas) (el “</w:t>
      </w:r>
      <w:r w:rsidR="00472607" w:rsidRPr="00EA7870">
        <w:rPr>
          <w:b/>
          <w:sz w:val="20"/>
          <w:szCs w:val="20"/>
          <w:lang w:val="es-AR"/>
        </w:rPr>
        <w:t>Programa</w:t>
      </w:r>
      <w:r w:rsidR="00472607" w:rsidRPr="00EA7870">
        <w:rPr>
          <w:sz w:val="20"/>
          <w:szCs w:val="20"/>
          <w:lang w:val="es-AR"/>
        </w:rPr>
        <w:t>”)</w:t>
      </w:r>
      <w:r w:rsidR="000676A4" w:rsidRPr="00EA7870">
        <w:rPr>
          <w:sz w:val="20"/>
          <w:szCs w:val="20"/>
          <w:lang w:val="es-AR"/>
        </w:rPr>
        <w:t>, las cuales estarán incondicional e irrevocablemente garantizadas por la Garante, según se detalla más adelante</w:t>
      </w:r>
      <w:r w:rsidR="004243FB" w:rsidRPr="00EA7870">
        <w:rPr>
          <w:sz w:val="20"/>
          <w:szCs w:val="20"/>
          <w:lang w:val="es-AR"/>
        </w:rPr>
        <w:t xml:space="preserve"> (las “</w:t>
      </w:r>
      <w:r w:rsidR="0028445A" w:rsidRPr="00EA7870">
        <w:rPr>
          <w:b/>
          <w:sz w:val="20"/>
          <w:szCs w:val="20"/>
          <w:lang w:val="es-AR"/>
        </w:rPr>
        <w:t>Obligaciones Negociables</w:t>
      </w:r>
      <w:r w:rsidR="004243FB" w:rsidRPr="00EA7870">
        <w:rPr>
          <w:sz w:val="20"/>
          <w:szCs w:val="20"/>
          <w:lang w:val="es-AR"/>
        </w:rPr>
        <w:t>”)</w:t>
      </w:r>
      <w:r w:rsidRPr="00EA7870">
        <w:rPr>
          <w:sz w:val="20"/>
          <w:szCs w:val="20"/>
          <w:lang w:val="es-AR"/>
        </w:rPr>
        <w:t xml:space="preserve">. </w:t>
      </w:r>
    </w:p>
    <w:p w14:paraId="7F2F881A" w14:textId="77777777" w:rsidR="002F1477" w:rsidRPr="00EA7870" w:rsidRDefault="002F1477" w:rsidP="00061CD9">
      <w:pPr>
        <w:jc w:val="both"/>
        <w:rPr>
          <w:sz w:val="20"/>
          <w:szCs w:val="20"/>
          <w:lang w:val="es-AR"/>
        </w:rPr>
      </w:pPr>
    </w:p>
    <w:p w14:paraId="5D8558A9" w14:textId="77777777" w:rsidR="00565543" w:rsidRPr="00EA7870" w:rsidRDefault="00677881" w:rsidP="00061CD9">
      <w:pPr>
        <w:jc w:val="both"/>
        <w:rPr>
          <w:sz w:val="20"/>
          <w:szCs w:val="20"/>
          <w:lang w:val="es-AR"/>
        </w:rPr>
      </w:pPr>
      <w:r w:rsidRPr="00EA7870">
        <w:rPr>
          <w:sz w:val="20"/>
          <w:szCs w:val="20"/>
        </w:rPr>
        <w:t xml:space="preserve">Este Suplemento es complementario y deberá leerse junto con el prospecto del Programa de fecha </w:t>
      </w:r>
      <w:r w:rsidR="00472607" w:rsidRPr="00EA7870">
        <w:rPr>
          <w:sz w:val="20"/>
          <w:szCs w:val="20"/>
          <w:lang w:val="es-AR"/>
        </w:rPr>
        <w:t>3</w:t>
      </w:r>
      <w:r w:rsidR="00E024E8" w:rsidRPr="00EA7870">
        <w:rPr>
          <w:sz w:val="20"/>
          <w:szCs w:val="20"/>
          <w:lang w:val="es-AR"/>
        </w:rPr>
        <w:t xml:space="preserve"> </w:t>
      </w:r>
      <w:r w:rsidR="00E024E8" w:rsidRPr="00EA7870">
        <w:rPr>
          <w:sz w:val="20"/>
          <w:szCs w:val="20"/>
        </w:rPr>
        <w:t xml:space="preserve">de </w:t>
      </w:r>
      <w:r w:rsidR="00472607" w:rsidRPr="00EA7870">
        <w:rPr>
          <w:sz w:val="20"/>
          <w:szCs w:val="20"/>
          <w:lang w:val="es-AR"/>
        </w:rPr>
        <w:t>octubre de 2019</w:t>
      </w:r>
      <w:r w:rsidR="00472607" w:rsidRPr="00EA7870">
        <w:rPr>
          <w:sz w:val="20"/>
          <w:szCs w:val="20"/>
        </w:rPr>
        <w:t xml:space="preserve"> </w:t>
      </w:r>
      <w:r w:rsidR="00E024E8" w:rsidRPr="00EA7870">
        <w:rPr>
          <w:sz w:val="20"/>
          <w:szCs w:val="20"/>
        </w:rPr>
        <w:t>(el “</w:t>
      </w:r>
      <w:r w:rsidR="00E024E8" w:rsidRPr="00EA7870">
        <w:rPr>
          <w:b/>
          <w:sz w:val="20"/>
          <w:szCs w:val="20"/>
        </w:rPr>
        <w:t>Prospecto</w:t>
      </w:r>
      <w:r w:rsidR="00E024E8" w:rsidRPr="00EA7870">
        <w:rPr>
          <w:sz w:val="20"/>
          <w:szCs w:val="20"/>
        </w:rPr>
        <w:t>”)</w:t>
      </w:r>
      <w:r w:rsidR="002F1477" w:rsidRPr="00EA7870">
        <w:rPr>
          <w:sz w:val="20"/>
          <w:szCs w:val="20"/>
        </w:rPr>
        <w:t xml:space="preserve"> publicado en el sitio </w:t>
      </w:r>
      <w:r w:rsidR="002F1477" w:rsidRPr="00EA7870">
        <w:rPr>
          <w:i/>
          <w:iCs/>
          <w:sz w:val="20"/>
          <w:szCs w:val="20"/>
        </w:rPr>
        <w:t xml:space="preserve">web </w:t>
      </w:r>
      <w:r w:rsidR="002F1477" w:rsidRPr="00EA7870">
        <w:rPr>
          <w:sz w:val="20"/>
          <w:szCs w:val="20"/>
        </w:rPr>
        <w:t>de la Comisión Nacional de Valores (la “</w:t>
      </w:r>
      <w:r w:rsidR="002F1477" w:rsidRPr="00EA7870">
        <w:rPr>
          <w:b/>
          <w:bCs/>
          <w:sz w:val="20"/>
          <w:szCs w:val="20"/>
        </w:rPr>
        <w:t>CNV</w:t>
      </w:r>
      <w:r w:rsidR="002F1477" w:rsidRPr="00EA7870">
        <w:rPr>
          <w:sz w:val="20"/>
          <w:szCs w:val="20"/>
        </w:rPr>
        <w:t>”), www.cnv.gov.ar bajo el ítem: “</w:t>
      </w:r>
      <w:r w:rsidR="002F1477" w:rsidRPr="00EA7870">
        <w:rPr>
          <w:i/>
          <w:iCs/>
          <w:sz w:val="20"/>
          <w:szCs w:val="20"/>
        </w:rPr>
        <w:t>Empresas</w:t>
      </w:r>
      <w:r w:rsidR="002F1477" w:rsidRPr="00EA7870">
        <w:rPr>
          <w:sz w:val="20"/>
          <w:szCs w:val="20"/>
        </w:rPr>
        <w:t>” (la “</w:t>
      </w:r>
      <w:r w:rsidR="002F1477" w:rsidRPr="00EA7870">
        <w:rPr>
          <w:b/>
          <w:bCs/>
          <w:sz w:val="20"/>
          <w:szCs w:val="20"/>
        </w:rPr>
        <w:t>AIF</w:t>
      </w:r>
      <w:r w:rsidR="002F1477" w:rsidRPr="00EA7870">
        <w:rPr>
          <w:sz w:val="20"/>
          <w:szCs w:val="20"/>
        </w:rPr>
        <w:t xml:space="preserve">”), en el sitio </w:t>
      </w:r>
      <w:r w:rsidR="002F1477" w:rsidRPr="00EA7870">
        <w:rPr>
          <w:i/>
          <w:iCs/>
          <w:sz w:val="20"/>
          <w:szCs w:val="20"/>
        </w:rPr>
        <w:t>web</w:t>
      </w:r>
      <w:r w:rsidR="002F1477" w:rsidRPr="00EA7870">
        <w:rPr>
          <w:sz w:val="20"/>
          <w:szCs w:val="20"/>
        </w:rPr>
        <w:t xml:space="preserve"> institucional de la Emisora (www.pan-energy.com) y cuya versión resumida se publicó el 3 de octubre de 2019 en el boletín diario de la Bolsa de Comercio de Buenos Aires (la “</w:t>
      </w:r>
      <w:r w:rsidR="002F1477" w:rsidRPr="00EA7870">
        <w:rPr>
          <w:b/>
          <w:bCs/>
          <w:sz w:val="20"/>
          <w:szCs w:val="20"/>
        </w:rPr>
        <w:t>BCBA</w:t>
      </w:r>
      <w:r w:rsidR="002F1477" w:rsidRPr="00EA7870">
        <w:rPr>
          <w:sz w:val="20"/>
          <w:szCs w:val="20"/>
        </w:rPr>
        <w:t>”), en virtud del ejercicio de las facultades delegadas por Bolsas y Mercados Argentinos S.A. (“</w:t>
      </w:r>
      <w:r w:rsidR="002F1477" w:rsidRPr="00EA7870">
        <w:rPr>
          <w:b/>
          <w:bCs/>
          <w:sz w:val="20"/>
          <w:szCs w:val="20"/>
        </w:rPr>
        <w:t>BYMA</w:t>
      </w:r>
      <w:r w:rsidR="002F1477" w:rsidRPr="00EA7870">
        <w:rPr>
          <w:sz w:val="20"/>
          <w:szCs w:val="20"/>
        </w:rPr>
        <w:t>”) a la BCBA, conforme lo dispuesto por la Resolución N°18.629 de la CNV (el “</w:t>
      </w:r>
      <w:r w:rsidR="002F1477" w:rsidRPr="00EA7870">
        <w:rPr>
          <w:b/>
          <w:bCs/>
          <w:sz w:val="20"/>
          <w:szCs w:val="20"/>
        </w:rPr>
        <w:t>Boletín Diario de la BCBA</w:t>
      </w:r>
      <w:r w:rsidR="002F1477" w:rsidRPr="00EA7870">
        <w:rPr>
          <w:sz w:val="20"/>
          <w:szCs w:val="20"/>
        </w:rPr>
        <w:t>”)</w:t>
      </w:r>
      <w:r w:rsidRPr="00EA7870">
        <w:rPr>
          <w:sz w:val="20"/>
          <w:szCs w:val="20"/>
        </w:rPr>
        <w:t>.</w:t>
      </w:r>
      <w:r w:rsidR="00287231" w:rsidRPr="00EA7870">
        <w:rPr>
          <w:sz w:val="20"/>
          <w:szCs w:val="20"/>
        </w:rPr>
        <w:t xml:space="preserve"> </w:t>
      </w:r>
    </w:p>
    <w:p w14:paraId="5FA7381D" w14:textId="77777777" w:rsidR="00565543" w:rsidRPr="00EA7870" w:rsidRDefault="00565543" w:rsidP="00061CD9">
      <w:pPr>
        <w:jc w:val="both"/>
        <w:rPr>
          <w:sz w:val="20"/>
          <w:szCs w:val="20"/>
          <w:lang w:val="es-AR"/>
        </w:rPr>
      </w:pPr>
    </w:p>
    <w:p w14:paraId="2D209FE1" w14:textId="77777777" w:rsidR="00F270AF" w:rsidRPr="00EA7870" w:rsidRDefault="00F270AF" w:rsidP="00061CD9">
      <w:pPr>
        <w:jc w:val="both"/>
        <w:rPr>
          <w:sz w:val="20"/>
          <w:szCs w:val="20"/>
          <w:lang w:val="es-AR"/>
        </w:rPr>
      </w:pPr>
      <w:r w:rsidRPr="00EA7870">
        <w:rPr>
          <w:sz w:val="20"/>
          <w:szCs w:val="20"/>
          <w:lang w:val="es-AR"/>
        </w:rPr>
        <w:t>Pan American garantizará incondicional e irrevocablemente las Obligaciones Negociables de la Sucursal con una garantía denominada en el presente Suplemento como la “</w:t>
      </w:r>
      <w:r w:rsidRPr="00EA7870">
        <w:rPr>
          <w:b/>
          <w:sz w:val="20"/>
          <w:szCs w:val="20"/>
          <w:lang w:val="es-AR"/>
        </w:rPr>
        <w:t>Garantía</w:t>
      </w:r>
      <w:r w:rsidRPr="00EA7870">
        <w:rPr>
          <w:sz w:val="20"/>
          <w:szCs w:val="20"/>
          <w:lang w:val="es-AR"/>
        </w:rPr>
        <w:t xml:space="preserve">”. </w:t>
      </w:r>
      <w:r w:rsidR="000A4F7F" w:rsidRPr="00EA7870">
        <w:rPr>
          <w:sz w:val="20"/>
          <w:szCs w:val="20"/>
          <w:lang w:val="es-AR"/>
        </w:rPr>
        <w:t xml:space="preserve">Mediante la </w:t>
      </w:r>
      <w:r w:rsidR="00AA426C" w:rsidRPr="00EA7870">
        <w:rPr>
          <w:sz w:val="20"/>
          <w:szCs w:val="20"/>
          <w:lang w:val="es-AR"/>
        </w:rPr>
        <w:t>Garantía</w:t>
      </w:r>
      <w:r w:rsidR="000A4F7F" w:rsidRPr="00EA7870">
        <w:rPr>
          <w:sz w:val="20"/>
          <w:szCs w:val="20"/>
          <w:lang w:val="es-AR"/>
        </w:rPr>
        <w:t>,</w:t>
      </w:r>
      <w:r w:rsidR="00AA426C" w:rsidRPr="00EA7870">
        <w:rPr>
          <w:sz w:val="20"/>
          <w:szCs w:val="20"/>
          <w:lang w:val="es-AR"/>
        </w:rPr>
        <w:t xml:space="preserve"> la Garante garantiza el pago de las Obligaciones Negociables en los términos establecidos en el presente Suplemento.</w:t>
      </w:r>
    </w:p>
    <w:p w14:paraId="57A2516E" w14:textId="77777777" w:rsidR="002F1477" w:rsidRPr="00EA7870" w:rsidRDefault="002F1477" w:rsidP="00061CD9">
      <w:pPr>
        <w:jc w:val="both"/>
        <w:rPr>
          <w:sz w:val="20"/>
          <w:szCs w:val="20"/>
          <w:lang w:val="es-AR"/>
        </w:rPr>
      </w:pPr>
    </w:p>
    <w:p w14:paraId="091AC8DF" w14:textId="5346DD1C" w:rsidR="00565543" w:rsidRPr="00EA7870" w:rsidRDefault="00565543" w:rsidP="00061CD9">
      <w:pPr>
        <w:jc w:val="both"/>
        <w:rPr>
          <w:sz w:val="20"/>
          <w:szCs w:val="20"/>
          <w:lang w:val="es-AR"/>
        </w:rPr>
      </w:pPr>
      <w:r w:rsidRPr="00EA7870">
        <w:rPr>
          <w:sz w:val="20"/>
          <w:szCs w:val="20"/>
          <w:lang w:val="es-AR"/>
        </w:rPr>
        <w:t xml:space="preserve">Las Obligaciones Negociables devengarán intereses a una tasa </w:t>
      </w:r>
      <w:r w:rsidR="00F66D0F" w:rsidRPr="00EA7870">
        <w:rPr>
          <w:sz w:val="20"/>
          <w:szCs w:val="20"/>
          <w:lang w:val="es-AR"/>
        </w:rPr>
        <w:t>fija</w:t>
      </w:r>
      <w:r w:rsidRPr="00EA7870">
        <w:rPr>
          <w:sz w:val="20"/>
          <w:szCs w:val="20"/>
          <w:lang w:val="es-AR"/>
        </w:rPr>
        <w:t xml:space="preserve"> desde la Fecha de Emisión y Liquidación y serán abonados</w:t>
      </w:r>
      <w:r w:rsidR="007B2387" w:rsidRPr="00EA7870">
        <w:rPr>
          <w:sz w:val="20"/>
          <w:szCs w:val="20"/>
          <w:lang w:val="es-AR"/>
        </w:rPr>
        <w:t xml:space="preserve"> anualmente</w:t>
      </w:r>
      <w:r w:rsidRPr="00EA7870">
        <w:rPr>
          <w:sz w:val="20"/>
          <w:szCs w:val="20"/>
          <w:lang w:val="es-AR"/>
        </w:rPr>
        <w:t xml:space="preserve"> por período vencido según se </w:t>
      </w:r>
      <w:r w:rsidR="004243FB" w:rsidRPr="00EA7870">
        <w:rPr>
          <w:sz w:val="20"/>
          <w:szCs w:val="20"/>
          <w:lang w:val="es-AR"/>
        </w:rPr>
        <w:t xml:space="preserve">detallará </w:t>
      </w:r>
      <w:r w:rsidRPr="00EA7870">
        <w:rPr>
          <w:sz w:val="20"/>
          <w:szCs w:val="20"/>
          <w:lang w:val="es-AR"/>
        </w:rPr>
        <w:t>oportunamente en el Aviso de Resultados</w:t>
      </w:r>
      <w:r w:rsidR="00472607" w:rsidRPr="00EA7870">
        <w:rPr>
          <w:sz w:val="20"/>
          <w:szCs w:val="20"/>
          <w:lang w:val="es-AR"/>
        </w:rPr>
        <w:t xml:space="preserve"> (según este término se define más adelante)</w:t>
      </w:r>
      <w:r w:rsidRPr="00EA7870">
        <w:rPr>
          <w:sz w:val="20"/>
          <w:szCs w:val="20"/>
          <w:lang w:val="es-AR"/>
        </w:rPr>
        <w:t xml:space="preserve">. El capital de las Obligaciones Negociables será cancelado </w:t>
      </w:r>
      <w:r w:rsidR="008C68BF" w:rsidRPr="00EA7870">
        <w:rPr>
          <w:sz w:val="20"/>
          <w:szCs w:val="20"/>
          <w:lang w:val="es-AR"/>
        </w:rPr>
        <w:t xml:space="preserve">íntegramente </w:t>
      </w:r>
      <w:r w:rsidRPr="00EA7870">
        <w:rPr>
          <w:sz w:val="20"/>
          <w:szCs w:val="20"/>
          <w:lang w:val="es-AR"/>
        </w:rPr>
        <w:t xml:space="preserve">en </w:t>
      </w:r>
      <w:r w:rsidR="00306CD0" w:rsidRPr="00EA7870">
        <w:rPr>
          <w:sz w:val="20"/>
          <w:szCs w:val="20"/>
          <w:lang w:val="es-AR"/>
        </w:rPr>
        <w:t xml:space="preserve">una </w:t>
      </w:r>
      <w:r w:rsidR="00D7467D" w:rsidRPr="00EA7870">
        <w:rPr>
          <w:sz w:val="20"/>
          <w:szCs w:val="20"/>
          <w:lang w:val="es-AR"/>
        </w:rPr>
        <w:t>cuota en la Fecha de</w:t>
      </w:r>
      <w:r w:rsidR="008F2933" w:rsidRPr="00EA7870">
        <w:rPr>
          <w:sz w:val="20"/>
          <w:szCs w:val="20"/>
          <w:lang w:val="es-AR"/>
        </w:rPr>
        <w:t xml:space="preserve"> Vencimiento</w:t>
      </w:r>
      <w:r w:rsidR="00D7467D" w:rsidRPr="00EA7870">
        <w:rPr>
          <w:sz w:val="20"/>
          <w:szCs w:val="20"/>
          <w:lang w:val="es-AR"/>
        </w:rPr>
        <w:t xml:space="preserve"> </w:t>
      </w:r>
      <w:r w:rsidR="00452DE8" w:rsidRPr="00EA7870">
        <w:rPr>
          <w:sz w:val="20"/>
          <w:szCs w:val="20"/>
          <w:lang w:val="es-AR"/>
        </w:rPr>
        <w:t>(según este término se define más adelante)</w:t>
      </w:r>
      <w:r w:rsidR="00000111" w:rsidRPr="00EA7870">
        <w:rPr>
          <w:sz w:val="20"/>
          <w:szCs w:val="20"/>
          <w:lang w:val="es-AR"/>
        </w:rPr>
        <w:t>.</w:t>
      </w:r>
      <w:r w:rsidRPr="00EA7870">
        <w:rPr>
          <w:sz w:val="20"/>
          <w:szCs w:val="20"/>
          <w:lang w:val="es-AR"/>
        </w:rPr>
        <w:t xml:space="preserve"> La Emisora pagará los importes de capital e intereses respecto de las Obligaciones Negociables en </w:t>
      </w:r>
      <w:r w:rsidR="007E69F5" w:rsidRPr="00EA7870">
        <w:rPr>
          <w:sz w:val="20"/>
          <w:szCs w:val="20"/>
          <w:lang w:val="es-AR"/>
        </w:rPr>
        <w:t>Dólares Estadounidenses</w:t>
      </w:r>
      <w:r w:rsidRPr="00EA7870">
        <w:rPr>
          <w:sz w:val="20"/>
          <w:szCs w:val="20"/>
          <w:lang w:val="es-AR"/>
        </w:rPr>
        <w:t xml:space="preserve"> </w:t>
      </w:r>
      <w:r w:rsidR="00DD1EE7" w:rsidRPr="00EA7870">
        <w:rPr>
          <w:sz w:val="20"/>
          <w:szCs w:val="20"/>
          <w:lang w:val="es-AR"/>
        </w:rPr>
        <w:t>en el exterior</w:t>
      </w:r>
      <w:r w:rsidR="00A476B1" w:rsidRPr="00EA7870">
        <w:rPr>
          <w:sz w:val="20"/>
          <w:szCs w:val="20"/>
          <w:lang w:val="es-AR"/>
        </w:rPr>
        <w:t>,</w:t>
      </w:r>
      <w:r w:rsidR="00AA5EE0" w:rsidRPr="00EA7870">
        <w:rPr>
          <w:sz w:val="20"/>
          <w:szCs w:val="20"/>
          <w:lang w:val="es-AR"/>
        </w:rPr>
        <w:t xml:space="preserve"> </w:t>
      </w:r>
      <w:r w:rsidRPr="00EA7870">
        <w:rPr>
          <w:sz w:val="20"/>
          <w:szCs w:val="20"/>
          <w:lang w:val="es-AR"/>
        </w:rPr>
        <w:t>sin</w:t>
      </w:r>
      <w:r w:rsidR="00B95BCB" w:rsidRPr="00EA7870">
        <w:rPr>
          <w:sz w:val="20"/>
          <w:szCs w:val="20"/>
          <w:lang w:val="es-AR"/>
        </w:rPr>
        <w:t xml:space="preserve"> </w:t>
      </w:r>
      <w:r w:rsidRPr="00EA7870">
        <w:rPr>
          <w:sz w:val="20"/>
          <w:szCs w:val="20"/>
          <w:lang w:val="es-AR"/>
        </w:rPr>
        <w:t xml:space="preserve">retención o deducción por o a cuenta de impuestos gravados por la Argentina, </w:t>
      </w:r>
      <w:r w:rsidR="00AA426C" w:rsidRPr="00EA7870">
        <w:rPr>
          <w:sz w:val="20"/>
          <w:szCs w:val="20"/>
          <w:lang w:val="es-AR"/>
        </w:rPr>
        <w:t xml:space="preserve">sujeto a ciertas excepciones previstas en este Suplemento, </w:t>
      </w:r>
      <w:r w:rsidRPr="00EA7870">
        <w:rPr>
          <w:sz w:val="20"/>
          <w:szCs w:val="20"/>
          <w:lang w:val="es-AR"/>
        </w:rPr>
        <w:t xml:space="preserve">de acuerdo a las regulaciones aplicables. </w:t>
      </w:r>
    </w:p>
    <w:p w14:paraId="6398D9AB" w14:textId="77777777" w:rsidR="00B530EF" w:rsidRPr="00EA7870" w:rsidRDefault="00B530EF" w:rsidP="00061CD9">
      <w:pPr>
        <w:jc w:val="both"/>
        <w:rPr>
          <w:sz w:val="20"/>
          <w:szCs w:val="20"/>
          <w:lang w:val="es-AR"/>
        </w:rPr>
      </w:pPr>
    </w:p>
    <w:p w14:paraId="79E359F9" w14:textId="77777777" w:rsidR="004D6C70" w:rsidRPr="00EA7870" w:rsidRDefault="004D6C70" w:rsidP="00061CD9">
      <w:pPr>
        <w:jc w:val="both"/>
        <w:rPr>
          <w:sz w:val="20"/>
          <w:szCs w:val="20"/>
          <w:lang w:val="es-AR"/>
        </w:rPr>
      </w:pPr>
      <w:r w:rsidRPr="00EA7870">
        <w:rPr>
          <w:sz w:val="20"/>
          <w:szCs w:val="20"/>
          <w:lang w:val="es-AR"/>
        </w:rPr>
        <w:t xml:space="preserve">Las Obligaciones Negociables serán obligaciones negociables simples no convertibles en acciones, con garantía común y sin garantía </w:t>
      </w:r>
      <w:r w:rsidR="00B04C1B" w:rsidRPr="00EA7870">
        <w:rPr>
          <w:sz w:val="20"/>
          <w:szCs w:val="20"/>
          <w:lang w:val="es-AR"/>
        </w:rPr>
        <w:t xml:space="preserve">especial ni garantía </w:t>
      </w:r>
      <w:r w:rsidRPr="00EA7870">
        <w:rPr>
          <w:sz w:val="20"/>
          <w:szCs w:val="20"/>
          <w:lang w:val="es-AR"/>
        </w:rPr>
        <w:t>de terceros, salvo por la Garantía. Las Obligaciones Negociables</w:t>
      </w:r>
      <w:r w:rsidR="003720F6" w:rsidRPr="00EA7870">
        <w:rPr>
          <w:sz w:val="20"/>
          <w:szCs w:val="20"/>
          <w:lang w:val="es-AR"/>
        </w:rPr>
        <w:t xml:space="preserve"> </w:t>
      </w:r>
      <w:r w:rsidRPr="00EA7870">
        <w:rPr>
          <w:sz w:val="20"/>
          <w:szCs w:val="20"/>
          <w:lang w:val="es-AR"/>
        </w:rPr>
        <w:t xml:space="preserve">constituirán obligaciones no subordinadas, y tendrán </w:t>
      </w:r>
      <w:r w:rsidR="00B04C1B" w:rsidRPr="00EA7870">
        <w:rPr>
          <w:sz w:val="20"/>
          <w:szCs w:val="20"/>
          <w:lang w:val="es-AR"/>
        </w:rPr>
        <w:t xml:space="preserve">en todo momento como mínimo </w:t>
      </w:r>
      <w:r w:rsidRPr="00EA7870">
        <w:rPr>
          <w:sz w:val="20"/>
          <w:szCs w:val="20"/>
          <w:lang w:val="es-AR"/>
        </w:rPr>
        <w:t xml:space="preserve">igual prioridad de pago que todas las demás obligaciones </w:t>
      </w:r>
      <w:r w:rsidR="00B04C1B" w:rsidRPr="00EA7870">
        <w:rPr>
          <w:sz w:val="20"/>
          <w:szCs w:val="20"/>
          <w:lang w:val="es-AR"/>
        </w:rPr>
        <w:t xml:space="preserve">no garantizadas y no subordinadas </w:t>
      </w:r>
      <w:r w:rsidR="00227552" w:rsidRPr="00EA7870">
        <w:rPr>
          <w:sz w:val="20"/>
          <w:szCs w:val="20"/>
          <w:lang w:val="es-AR"/>
        </w:rPr>
        <w:t>existentes</w:t>
      </w:r>
      <w:r w:rsidR="00B04C1B" w:rsidRPr="00EA7870">
        <w:rPr>
          <w:sz w:val="20"/>
          <w:szCs w:val="20"/>
          <w:lang w:val="es-AR"/>
        </w:rPr>
        <w:t xml:space="preserve"> y futuras </w:t>
      </w:r>
      <w:r w:rsidRPr="00EA7870">
        <w:rPr>
          <w:sz w:val="20"/>
          <w:szCs w:val="20"/>
          <w:lang w:val="es-AR"/>
        </w:rPr>
        <w:t>de la Emisora</w:t>
      </w:r>
      <w:r w:rsidR="00B04C1B" w:rsidRPr="00EA7870">
        <w:rPr>
          <w:sz w:val="20"/>
          <w:szCs w:val="20"/>
          <w:lang w:val="es-AR"/>
        </w:rPr>
        <w:t xml:space="preserve"> </w:t>
      </w:r>
      <w:r w:rsidRPr="00EA7870">
        <w:rPr>
          <w:sz w:val="20"/>
          <w:szCs w:val="20"/>
          <w:lang w:val="es-AR"/>
        </w:rPr>
        <w:t xml:space="preserve">(salvo las obligaciones que gocen de preferencia por imperio de la ley, incluyendo, sin limitación, créditos laborales e impositivos). La Garantía constituirá una obligación directa, incondicional y no subordinada de la </w:t>
      </w:r>
      <w:r w:rsidR="00B04C1B" w:rsidRPr="00EA7870">
        <w:rPr>
          <w:sz w:val="20"/>
          <w:szCs w:val="20"/>
          <w:lang w:val="es-AR"/>
        </w:rPr>
        <w:t xml:space="preserve">Garante </w:t>
      </w:r>
      <w:r w:rsidRPr="00EA7870">
        <w:rPr>
          <w:sz w:val="20"/>
          <w:szCs w:val="20"/>
          <w:lang w:val="es-AR"/>
        </w:rPr>
        <w:t>y tendrá en todo momento</w:t>
      </w:r>
      <w:r w:rsidR="00603466" w:rsidRPr="00EA7870">
        <w:rPr>
          <w:sz w:val="20"/>
          <w:szCs w:val="20"/>
          <w:lang w:val="es-AR"/>
        </w:rPr>
        <w:t>,</w:t>
      </w:r>
      <w:r w:rsidRPr="00EA7870">
        <w:rPr>
          <w:sz w:val="20"/>
          <w:szCs w:val="20"/>
          <w:lang w:val="es-AR"/>
        </w:rPr>
        <w:t xml:space="preserve"> como mínimo</w:t>
      </w:r>
      <w:r w:rsidR="00603466" w:rsidRPr="00EA7870">
        <w:rPr>
          <w:sz w:val="20"/>
          <w:szCs w:val="20"/>
          <w:lang w:val="es-AR"/>
        </w:rPr>
        <w:t>,</w:t>
      </w:r>
      <w:r w:rsidRPr="00EA7870">
        <w:rPr>
          <w:sz w:val="20"/>
          <w:szCs w:val="20"/>
          <w:lang w:val="es-AR"/>
        </w:rPr>
        <w:t xml:space="preserve"> igual prioridad de pago que todas las demás obligaciones </w:t>
      </w:r>
      <w:r w:rsidR="00FC13C8" w:rsidRPr="00EA7870">
        <w:rPr>
          <w:sz w:val="20"/>
          <w:szCs w:val="20"/>
          <w:lang w:val="es-AR"/>
        </w:rPr>
        <w:t xml:space="preserve">no garantizadas y no subordinadas </w:t>
      </w:r>
      <w:r w:rsidRPr="00EA7870">
        <w:rPr>
          <w:sz w:val="20"/>
          <w:szCs w:val="20"/>
          <w:lang w:val="es-AR"/>
        </w:rPr>
        <w:t xml:space="preserve">existentes y futuras de la Garante (salvo aquellas obligaciones que </w:t>
      </w:r>
      <w:r w:rsidR="00FC13C8" w:rsidRPr="00EA7870">
        <w:rPr>
          <w:sz w:val="20"/>
          <w:szCs w:val="20"/>
          <w:lang w:val="es-AR"/>
        </w:rPr>
        <w:t>gocen de preferencia por imperio de la ley</w:t>
      </w:r>
      <w:r w:rsidRPr="00EA7870">
        <w:rPr>
          <w:sz w:val="20"/>
          <w:szCs w:val="20"/>
          <w:lang w:val="es-AR"/>
        </w:rPr>
        <w:t xml:space="preserve">). </w:t>
      </w:r>
    </w:p>
    <w:p w14:paraId="21FF9208" w14:textId="77777777" w:rsidR="00B530EF" w:rsidRPr="00EA7870" w:rsidRDefault="00B530EF" w:rsidP="00061CD9">
      <w:pPr>
        <w:jc w:val="both"/>
        <w:rPr>
          <w:sz w:val="20"/>
          <w:szCs w:val="20"/>
          <w:lang w:val="es-AR"/>
        </w:rPr>
      </w:pPr>
    </w:p>
    <w:p w14:paraId="6491F806" w14:textId="77777777" w:rsidR="00E404BD" w:rsidRPr="00EA7870" w:rsidRDefault="00B530EF" w:rsidP="00061CD9">
      <w:pPr>
        <w:jc w:val="both"/>
        <w:rPr>
          <w:sz w:val="20"/>
          <w:szCs w:val="20"/>
          <w:lang w:val="es-AR"/>
        </w:rPr>
      </w:pPr>
      <w:r w:rsidRPr="00EA7870">
        <w:rPr>
          <w:sz w:val="20"/>
          <w:szCs w:val="20"/>
          <w:lang w:val="es-AR"/>
        </w:rPr>
        <w:t xml:space="preserve">La Emisora </w:t>
      </w:r>
      <w:r w:rsidR="00162095" w:rsidRPr="00EA7870">
        <w:rPr>
          <w:sz w:val="20"/>
          <w:szCs w:val="20"/>
          <w:lang w:val="es-AR"/>
        </w:rPr>
        <w:t>ha solicitado</w:t>
      </w:r>
      <w:r w:rsidRPr="00EA7870">
        <w:rPr>
          <w:sz w:val="20"/>
          <w:szCs w:val="20"/>
          <w:lang w:val="es-AR"/>
        </w:rPr>
        <w:t xml:space="preserve"> autorización para el listado </w:t>
      </w:r>
      <w:r w:rsidR="001465BB" w:rsidRPr="00EA7870">
        <w:rPr>
          <w:sz w:val="20"/>
          <w:szCs w:val="20"/>
          <w:lang w:val="es-AR"/>
        </w:rPr>
        <w:t xml:space="preserve">y negociación </w:t>
      </w:r>
      <w:r w:rsidRPr="00EA7870">
        <w:rPr>
          <w:sz w:val="20"/>
          <w:szCs w:val="20"/>
          <w:lang w:val="es-AR"/>
        </w:rPr>
        <w:t xml:space="preserve">de las Obligaciones Negociables en </w:t>
      </w:r>
      <w:r w:rsidR="009F5BCF" w:rsidRPr="00EA7870">
        <w:rPr>
          <w:sz w:val="20"/>
          <w:szCs w:val="20"/>
          <w:lang w:val="es-AR"/>
        </w:rPr>
        <w:t>BYMA</w:t>
      </w:r>
      <w:r w:rsidR="00E404BD" w:rsidRPr="00EA7870">
        <w:rPr>
          <w:sz w:val="20"/>
          <w:szCs w:val="20"/>
          <w:lang w:val="es-AR"/>
        </w:rPr>
        <w:t xml:space="preserve">, a través de la </w:t>
      </w:r>
      <w:r w:rsidRPr="00EA7870">
        <w:rPr>
          <w:sz w:val="20"/>
          <w:szCs w:val="20"/>
          <w:lang w:val="es-AR"/>
        </w:rPr>
        <w:t>B</w:t>
      </w:r>
      <w:r w:rsidR="002F1477" w:rsidRPr="00EA7870">
        <w:rPr>
          <w:sz w:val="20"/>
          <w:szCs w:val="20"/>
          <w:lang w:val="es-AR"/>
        </w:rPr>
        <w:t xml:space="preserve">CBA, </w:t>
      </w:r>
      <w:r w:rsidR="00E404BD" w:rsidRPr="00EA7870">
        <w:rPr>
          <w:sz w:val="20"/>
          <w:szCs w:val="20"/>
          <w:lang w:val="es-AR"/>
        </w:rPr>
        <w:t xml:space="preserve">en virtud del ejercicio de la facultad delegada por </w:t>
      </w:r>
      <w:r w:rsidR="001642EC" w:rsidRPr="00EA7870">
        <w:rPr>
          <w:sz w:val="20"/>
          <w:szCs w:val="20"/>
          <w:lang w:val="es-AR"/>
        </w:rPr>
        <w:t>BYMA</w:t>
      </w:r>
      <w:r w:rsidR="00E404BD" w:rsidRPr="00EA7870">
        <w:rPr>
          <w:sz w:val="20"/>
          <w:szCs w:val="20"/>
          <w:lang w:val="es-AR"/>
        </w:rPr>
        <w:t xml:space="preserve"> a la BCBA, conforme lo dispuesto por la Resolución </w:t>
      </w:r>
      <w:r w:rsidR="00BA5C6D" w:rsidRPr="00EA7870">
        <w:rPr>
          <w:sz w:val="20"/>
          <w:szCs w:val="20"/>
          <w:lang w:val="es-AR"/>
        </w:rPr>
        <w:t>N°</w:t>
      </w:r>
      <w:r w:rsidR="003D56F2" w:rsidRPr="00EA7870">
        <w:rPr>
          <w:sz w:val="20"/>
          <w:szCs w:val="20"/>
          <w:lang w:val="es-AR"/>
        </w:rPr>
        <w:t>18.629</w:t>
      </w:r>
      <w:r w:rsidR="00E404BD" w:rsidRPr="00EA7870">
        <w:rPr>
          <w:sz w:val="20"/>
          <w:szCs w:val="20"/>
          <w:lang w:val="es-AR"/>
        </w:rPr>
        <w:t xml:space="preserve"> de la </w:t>
      </w:r>
      <w:r w:rsidR="00871CF8" w:rsidRPr="00EA7870">
        <w:rPr>
          <w:sz w:val="20"/>
          <w:szCs w:val="20"/>
          <w:lang w:val="es-AR"/>
        </w:rPr>
        <w:t>C</w:t>
      </w:r>
      <w:r w:rsidR="002F1477" w:rsidRPr="00EA7870">
        <w:rPr>
          <w:sz w:val="20"/>
          <w:szCs w:val="20"/>
          <w:lang w:val="es-AR"/>
        </w:rPr>
        <w:t>NV</w:t>
      </w:r>
      <w:r w:rsidR="00E404BD" w:rsidRPr="00EA7870">
        <w:rPr>
          <w:sz w:val="20"/>
          <w:szCs w:val="20"/>
          <w:lang w:val="es-AR"/>
        </w:rPr>
        <w:t xml:space="preserve">, y </w:t>
      </w:r>
      <w:r w:rsidR="001465BB" w:rsidRPr="00EA7870">
        <w:rPr>
          <w:sz w:val="20"/>
          <w:szCs w:val="20"/>
          <w:lang w:val="es-AR"/>
        </w:rPr>
        <w:t xml:space="preserve">ha solicitado autorización para la negociación de las Obligaciones Negociables </w:t>
      </w:r>
      <w:r w:rsidR="00E404BD" w:rsidRPr="00EA7870">
        <w:rPr>
          <w:sz w:val="20"/>
          <w:szCs w:val="20"/>
          <w:lang w:val="es-AR"/>
        </w:rPr>
        <w:t>en el M</w:t>
      </w:r>
      <w:r w:rsidR="00B21DA9" w:rsidRPr="00EA7870">
        <w:rPr>
          <w:sz w:val="20"/>
          <w:szCs w:val="20"/>
          <w:lang w:val="es-AR"/>
        </w:rPr>
        <w:t xml:space="preserve">ercado </w:t>
      </w:r>
      <w:r w:rsidR="002F1477" w:rsidRPr="00EA7870">
        <w:rPr>
          <w:sz w:val="20"/>
          <w:szCs w:val="20"/>
          <w:lang w:val="es-AR"/>
        </w:rPr>
        <w:t>A</w:t>
      </w:r>
      <w:r w:rsidR="00B21DA9" w:rsidRPr="00EA7870">
        <w:rPr>
          <w:sz w:val="20"/>
          <w:szCs w:val="20"/>
          <w:lang w:val="es-AR"/>
        </w:rPr>
        <w:t xml:space="preserve">bierto </w:t>
      </w:r>
      <w:r w:rsidR="002F1477" w:rsidRPr="00EA7870">
        <w:rPr>
          <w:sz w:val="20"/>
          <w:szCs w:val="20"/>
          <w:lang w:val="es-AR"/>
        </w:rPr>
        <w:t>E</w:t>
      </w:r>
      <w:r w:rsidR="00B21DA9" w:rsidRPr="00EA7870">
        <w:rPr>
          <w:sz w:val="20"/>
          <w:szCs w:val="20"/>
          <w:lang w:val="es-AR"/>
        </w:rPr>
        <w:t>lectrónico S.A. (el “</w:t>
      </w:r>
      <w:r w:rsidR="00B21DA9" w:rsidRPr="00EA7870">
        <w:rPr>
          <w:b/>
          <w:bCs/>
          <w:sz w:val="20"/>
          <w:szCs w:val="20"/>
          <w:lang w:val="es-AR"/>
        </w:rPr>
        <w:t>MAE</w:t>
      </w:r>
      <w:r w:rsidR="00B21DA9" w:rsidRPr="00EA7870">
        <w:rPr>
          <w:sz w:val="20"/>
          <w:szCs w:val="20"/>
          <w:lang w:val="es-AR"/>
        </w:rPr>
        <w:t>”)</w:t>
      </w:r>
      <w:r w:rsidR="00E404BD" w:rsidRPr="00EA7870">
        <w:rPr>
          <w:sz w:val="20"/>
          <w:szCs w:val="20"/>
          <w:lang w:val="es-AR"/>
        </w:rPr>
        <w:t xml:space="preserve">. </w:t>
      </w:r>
      <w:r w:rsidR="00F66D0F" w:rsidRPr="00EA7870">
        <w:rPr>
          <w:sz w:val="20"/>
          <w:szCs w:val="20"/>
        </w:rPr>
        <w:t>L</w:t>
      </w:r>
      <w:r w:rsidR="002F1477" w:rsidRPr="00EA7870">
        <w:rPr>
          <w:sz w:val="20"/>
          <w:szCs w:val="20"/>
        </w:rPr>
        <w:t xml:space="preserve">a </w:t>
      </w:r>
      <w:r w:rsidR="002F1477" w:rsidRPr="00EA7870">
        <w:rPr>
          <w:sz w:val="20"/>
          <w:szCs w:val="20"/>
        </w:rPr>
        <w:lastRenderedPageBreak/>
        <w:t>Sucursal no puede asegurar que dichas autorizaciones serán otorgadas, o que, una vez otorgadas, las Obligaciones Negociables continuarán listando y/o negociándose en dichos mercados.</w:t>
      </w:r>
    </w:p>
    <w:p w14:paraId="4EE4E415" w14:textId="77777777" w:rsidR="00526D61" w:rsidRPr="00EA7870" w:rsidRDefault="00526D61" w:rsidP="00061CD9">
      <w:pPr>
        <w:jc w:val="both"/>
        <w:rPr>
          <w:sz w:val="20"/>
          <w:szCs w:val="20"/>
          <w:lang w:val="es-AR"/>
        </w:rPr>
      </w:pPr>
    </w:p>
    <w:p w14:paraId="3E0ED4AB" w14:textId="77777777" w:rsidR="00151F62" w:rsidRPr="00EA7870" w:rsidRDefault="00526D61" w:rsidP="00061CD9">
      <w:pPr>
        <w:jc w:val="both"/>
        <w:rPr>
          <w:rFonts w:eastAsia="Calibri"/>
          <w:sz w:val="20"/>
          <w:szCs w:val="20"/>
          <w:lang w:val="es-AR"/>
        </w:rPr>
      </w:pPr>
      <w:r w:rsidRPr="00EA7870">
        <w:rPr>
          <w:rFonts w:eastAsia="Calibri"/>
          <w:sz w:val="20"/>
          <w:szCs w:val="20"/>
          <w:lang w:val="es-AR"/>
        </w:rPr>
        <w:t>Las Obligaciones Negociables constituirán, una vez emitidas, obligaciones negociables simples no convertibles en acciones</w:t>
      </w:r>
      <w:r w:rsidR="00451503" w:rsidRPr="00EA7870">
        <w:rPr>
          <w:rFonts w:eastAsia="Calibri"/>
          <w:sz w:val="20"/>
          <w:szCs w:val="20"/>
          <w:lang w:val="es-AR"/>
        </w:rPr>
        <w:t xml:space="preserve"> y se emitirán y colocarán </w:t>
      </w:r>
      <w:r w:rsidRPr="00EA7870">
        <w:rPr>
          <w:rFonts w:eastAsia="Calibri"/>
          <w:sz w:val="20"/>
          <w:szCs w:val="20"/>
          <w:lang w:val="es-AR"/>
        </w:rPr>
        <w:t>conforme a la Ley Nº23.576 (junto con sus modificatorias</w:t>
      </w:r>
      <w:r w:rsidR="00065BA0" w:rsidRPr="00EA7870">
        <w:rPr>
          <w:rFonts w:eastAsia="Calibri"/>
          <w:sz w:val="20"/>
          <w:szCs w:val="20"/>
          <w:lang w:val="es-AR"/>
        </w:rPr>
        <w:t xml:space="preserve"> y complementarias</w:t>
      </w:r>
      <w:r w:rsidRPr="00EA7870">
        <w:rPr>
          <w:rFonts w:eastAsia="Calibri"/>
          <w:sz w:val="20"/>
          <w:szCs w:val="20"/>
          <w:lang w:val="es-AR"/>
        </w:rPr>
        <w:t>, la “</w:t>
      </w:r>
      <w:r w:rsidRPr="00EA7870">
        <w:rPr>
          <w:rFonts w:eastAsia="Calibri"/>
          <w:b/>
          <w:sz w:val="20"/>
          <w:szCs w:val="20"/>
          <w:lang w:val="es-AR"/>
        </w:rPr>
        <w:t>Ley de Obligaciones Negociables</w:t>
      </w:r>
      <w:r w:rsidRPr="00EA7870">
        <w:rPr>
          <w:rFonts w:eastAsia="Calibri"/>
          <w:sz w:val="20"/>
          <w:szCs w:val="20"/>
          <w:lang w:val="es-AR"/>
        </w:rPr>
        <w:t>”)</w:t>
      </w:r>
      <w:r w:rsidR="00451503" w:rsidRPr="00EA7870">
        <w:rPr>
          <w:rFonts w:eastAsia="Calibri"/>
          <w:sz w:val="20"/>
          <w:szCs w:val="20"/>
          <w:lang w:val="es-AR"/>
        </w:rPr>
        <w:t>,</w:t>
      </w:r>
      <w:r w:rsidRPr="00EA7870">
        <w:rPr>
          <w:rFonts w:eastAsia="Calibri"/>
          <w:sz w:val="20"/>
          <w:szCs w:val="20"/>
          <w:lang w:val="es-AR"/>
        </w:rPr>
        <w:t xml:space="preserve"> la Ley N°26.831 (junto con sus modificatorias</w:t>
      </w:r>
      <w:r w:rsidR="00065BA0" w:rsidRPr="00EA7870">
        <w:rPr>
          <w:rFonts w:eastAsia="Calibri"/>
          <w:sz w:val="20"/>
          <w:szCs w:val="20"/>
          <w:lang w:val="es-AR"/>
        </w:rPr>
        <w:t>, complementarias</w:t>
      </w:r>
      <w:r w:rsidRPr="00EA7870">
        <w:rPr>
          <w:rFonts w:eastAsia="Calibri"/>
          <w:sz w:val="20"/>
          <w:szCs w:val="20"/>
          <w:lang w:val="es-AR"/>
        </w:rPr>
        <w:t xml:space="preserve"> y reglamentarias incluyendo, sin limitación, </w:t>
      </w:r>
      <w:r w:rsidR="000A4F7F" w:rsidRPr="00EA7870">
        <w:rPr>
          <w:rFonts w:eastAsia="Calibri"/>
          <w:sz w:val="20"/>
          <w:szCs w:val="20"/>
          <w:lang w:val="es-AR"/>
        </w:rPr>
        <w:t xml:space="preserve">la Ley N°27.440 de Financiamiento Productivo, </w:t>
      </w:r>
      <w:r w:rsidRPr="00EA7870">
        <w:rPr>
          <w:rFonts w:eastAsia="Calibri"/>
          <w:sz w:val="20"/>
          <w:szCs w:val="20"/>
          <w:lang w:val="es-AR"/>
        </w:rPr>
        <w:t>el Decreto N°1023/2013</w:t>
      </w:r>
      <w:r w:rsidR="000676A4" w:rsidRPr="00EA7870">
        <w:rPr>
          <w:rFonts w:eastAsia="Calibri"/>
          <w:sz w:val="20"/>
          <w:szCs w:val="20"/>
          <w:lang w:val="es-AR"/>
        </w:rPr>
        <w:t>, según fuera modificado y/o complementado</w:t>
      </w:r>
      <w:r w:rsidRPr="00EA7870">
        <w:rPr>
          <w:rFonts w:eastAsia="Calibri"/>
          <w:sz w:val="20"/>
          <w:szCs w:val="20"/>
          <w:lang w:val="es-AR"/>
        </w:rPr>
        <w:t>, la “</w:t>
      </w:r>
      <w:r w:rsidRPr="00EA7870">
        <w:rPr>
          <w:rFonts w:eastAsia="Calibri"/>
          <w:b/>
          <w:sz w:val="20"/>
          <w:szCs w:val="20"/>
          <w:lang w:val="es-AR"/>
        </w:rPr>
        <w:t>Ley de Mercado de Capitales</w:t>
      </w:r>
      <w:r w:rsidRPr="00EA7870">
        <w:rPr>
          <w:rFonts w:eastAsia="Calibri"/>
          <w:sz w:val="20"/>
          <w:szCs w:val="20"/>
          <w:lang w:val="es-AR"/>
        </w:rPr>
        <w:t>”)</w:t>
      </w:r>
      <w:r w:rsidR="00DD69EF" w:rsidRPr="00EA7870">
        <w:rPr>
          <w:rFonts w:eastAsia="Calibri"/>
          <w:sz w:val="20"/>
          <w:szCs w:val="20"/>
          <w:lang w:val="es-AR"/>
        </w:rPr>
        <w:t xml:space="preserve">, </w:t>
      </w:r>
      <w:r w:rsidRPr="00EA7870">
        <w:rPr>
          <w:rFonts w:eastAsia="Calibri"/>
          <w:sz w:val="20"/>
          <w:szCs w:val="20"/>
          <w:lang w:val="es-AR"/>
        </w:rPr>
        <w:t xml:space="preserve">las normas de la CNV, texto ordenado según la Resolución General N°622/2013 </w:t>
      </w:r>
      <w:r w:rsidR="0028445A" w:rsidRPr="00EA7870">
        <w:rPr>
          <w:rFonts w:eastAsia="Calibri"/>
          <w:sz w:val="20"/>
          <w:szCs w:val="20"/>
          <w:lang w:val="es-AR"/>
        </w:rPr>
        <w:t>(junto con</w:t>
      </w:r>
      <w:r w:rsidRPr="00EA7870">
        <w:rPr>
          <w:rFonts w:eastAsia="Calibri"/>
          <w:sz w:val="20"/>
          <w:szCs w:val="20"/>
          <w:lang w:val="es-AR"/>
        </w:rPr>
        <w:t xml:space="preserve"> sus modificatorias y complementarias</w:t>
      </w:r>
      <w:r w:rsidR="00000111" w:rsidRPr="00EA7870">
        <w:rPr>
          <w:rFonts w:eastAsia="Calibri"/>
          <w:sz w:val="20"/>
          <w:szCs w:val="20"/>
          <w:lang w:val="es-AR"/>
        </w:rPr>
        <w:t>,</w:t>
      </w:r>
      <w:r w:rsidRPr="00EA7870">
        <w:rPr>
          <w:rFonts w:eastAsia="Calibri"/>
          <w:sz w:val="20"/>
          <w:szCs w:val="20"/>
          <w:lang w:val="es-AR"/>
        </w:rPr>
        <w:t xml:space="preserve"> las “</w:t>
      </w:r>
      <w:r w:rsidRPr="00EA7870">
        <w:rPr>
          <w:rFonts w:eastAsia="Calibri"/>
          <w:b/>
          <w:sz w:val="20"/>
          <w:szCs w:val="20"/>
          <w:lang w:val="es-AR"/>
        </w:rPr>
        <w:t>Normas de la CNV</w:t>
      </w:r>
      <w:r w:rsidRPr="00EA7870">
        <w:rPr>
          <w:rFonts w:eastAsia="Calibri"/>
          <w:sz w:val="20"/>
          <w:szCs w:val="20"/>
          <w:lang w:val="es-AR"/>
        </w:rPr>
        <w:t>”), y cualquier otra ley y/o reglamentación aplicable, y gozarán de los beneficios establecidos en dichas normas, y estarán sujetas a los requisitos de procedimiento establecidos en las mismas.</w:t>
      </w:r>
    </w:p>
    <w:p w14:paraId="5A017232" w14:textId="77777777" w:rsidR="007E43A2" w:rsidRPr="00EA7870" w:rsidRDefault="007E43A2" w:rsidP="00061CD9">
      <w:pPr>
        <w:jc w:val="both"/>
        <w:rPr>
          <w:rFonts w:eastAsia="Calibri"/>
          <w:sz w:val="20"/>
          <w:szCs w:val="20"/>
          <w:lang w:val="es-AR"/>
        </w:rPr>
      </w:pPr>
    </w:p>
    <w:p w14:paraId="0486CC59" w14:textId="63590E54" w:rsidR="002F1477" w:rsidRPr="00EA7870" w:rsidRDefault="002F1477" w:rsidP="00061CD9">
      <w:pPr>
        <w:jc w:val="both"/>
        <w:rPr>
          <w:sz w:val="20"/>
          <w:szCs w:val="20"/>
        </w:rPr>
      </w:pPr>
      <w:r w:rsidRPr="00EA7870">
        <w:rPr>
          <w:sz w:val="20"/>
          <w:szCs w:val="20"/>
        </w:rPr>
        <w:t xml:space="preserve">Los términos y condiciones de las Obligaciones Negociables fueron aprobados por </w:t>
      </w:r>
      <w:r w:rsidR="00B21DA9" w:rsidRPr="00EA7870">
        <w:rPr>
          <w:sz w:val="20"/>
          <w:szCs w:val="20"/>
        </w:rPr>
        <w:t>resolución del</w:t>
      </w:r>
      <w:r w:rsidRPr="00EA7870">
        <w:rPr>
          <w:sz w:val="20"/>
          <w:szCs w:val="20"/>
        </w:rPr>
        <w:t xml:space="preserve"> </w:t>
      </w:r>
      <w:r w:rsidR="00B21DA9" w:rsidRPr="00EA7870">
        <w:rPr>
          <w:sz w:val="20"/>
          <w:szCs w:val="20"/>
        </w:rPr>
        <w:t xml:space="preserve">representante legal </w:t>
      </w:r>
      <w:r w:rsidRPr="00EA7870">
        <w:rPr>
          <w:sz w:val="20"/>
          <w:szCs w:val="20"/>
        </w:rPr>
        <w:t xml:space="preserve">de la </w:t>
      </w:r>
      <w:r w:rsidR="00B21DA9" w:rsidRPr="00EA7870">
        <w:rPr>
          <w:sz w:val="20"/>
          <w:szCs w:val="20"/>
        </w:rPr>
        <w:t>Emisora (el “</w:t>
      </w:r>
      <w:r w:rsidR="00B21DA9" w:rsidRPr="00EA7870">
        <w:rPr>
          <w:b/>
          <w:bCs/>
          <w:sz w:val="20"/>
          <w:szCs w:val="20"/>
        </w:rPr>
        <w:t>Representante Legal</w:t>
      </w:r>
      <w:r w:rsidR="00B21DA9" w:rsidRPr="00EA7870">
        <w:rPr>
          <w:sz w:val="20"/>
          <w:szCs w:val="20"/>
        </w:rPr>
        <w:t>”)</w:t>
      </w:r>
      <w:r w:rsidRPr="00EA7870">
        <w:rPr>
          <w:sz w:val="20"/>
          <w:szCs w:val="20"/>
        </w:rPr>
        <w:t xml:space="preserve"> de fecha </w:t>
      </w:r>
      <w:r w:rsidR="007B2387" w:rsidRPr="00EA7870">
        <w:rPr>
          <w:sz w:val="20"/>
          <w:szCs w:val="20"/>
        </w:rPr>
        <w:t>17</w:t>
      </w:r>
      <w:r w:rsidRPr="00EA7870">
        <w:rPr>
          <w:sz w:val="20"/>
          <w:szCs w:val="20"/>
        </w:rPr>
        <w:t xml:space="preserve"> de octubre de 2019 y por acta de subdelegado de fecha </w:t>
      </w:r>
      <w:r w:rsidR="009114EC" w:rsidRPr="00EA7870">
        <w:rPr>
          <w:sz w:val="20"/>
          <w:szCs w:val="20"/>
          <w:lang w:val="es-AR"/>
        </w:rPr>
        <w:t>1</w:t>
      </w:r>
      <w:r w:rsidR="00AD0FB2">
        <w:rPr>
          <w:sz w:val="20"/>
          <w:szCs w:val="20"/>
          <w:lang w:val="es-AR"/>
        </w:rPr>
        <w:t>2</w:t>
      </w:r>
      <w:r w:rsidR="003A37B5" w:rsidRPr="00EA7870">
        <w:rPr>
          <w:sz w:val="20"/>
          <w:szCs w:val="20"/>
        </w:rPr>
        <w:t xml:space="preserve"> </w:t>
      </w:r>
      <w:r w:rsidRPr="00EA7870">
        <w:rPr>
          <w:sz w:val="20"/>
          <w:szCs w:val="20"/>
        </w:rPr>
        <w:t xml:space="preserve">de </w:t>
      </w:r>
      <w:r w:rsidR="00084470" w:rsidRPr="00EA7870">
        <w:rPr>
          <w:sz w:val="20"/>
          <w:szCs w:val="20"/>
          <w:lang w:val="es-AR"/>
        </w:rPr>
        <w:t>noviembr</w:t>
      </w:r>
      <w:r w:rsidR="003D03E4" w:rsidRPr="00EA7870">
        <w:rPr>
          <w:sz w:val="20"/>
          <w:szCs w:val="20"/>
          <w:lang w:val="es-AR"/>
        </w:rPr>
        <w:t>e</w:t>
      </w:r>
      <w:r w:rsidRPr="00EA7870">
        <w:rPr>
          <w:sz w:val="20"/>
          <w:szCs w:val="20"/>
        </w:rPr>
        <w:t xml:space="preserve"> de 2019. </w:t>
      </w:r>
    </w:p>
    <w:p w14:paraId="425A2030" w14:textId="77777777" w:rsidR="007B1C87" w:rsidRPr="00EA7870" w:rsidRDefault="007B1C87" w:rsidP="00061CD9">
      <w:pPr>
        <w:pStyle w:val="Textoindependiente3"/>
        <w:rPr>
          <w:sz w:val="20"/>
        </w:rPr>
      </w:pPr>
    </w:p>
    <w:p w14:paraId="1691B193" w14:textId="77777777" w:rsidR="00151F62" w:rsidRPr="00EA7870" w:rsidRDefault="00151F62" w:rsidP="00061CD9">
      <w:pPr>
        <w:pStyle w:val="Textoindependiente3"/>
        <w:rPr>
          <w:color w:val="000000"/>
          <w:sz w:val="20"/>
          <w:lang w:val="es-AR" w:bidi="he-IL"/>
        </w:rPr>
      </w:pPr>
      <w:r w:rsidRPr="00EA7870">
        <w:rPr>
          <w:sz w:val="20"/>
          <w:lang w:val="es-AR"/>
        </w:rPr>
        <w:t xml:space="preserve">El Programa no cuenta con una calificación de riesgo. Las Obligaciones Negociables no cuentan con calificación de riesgo local. </w:t>
      </w:r>
      <w:r w:rsidRPr="00EA7870">
        <w:rPr>
          <w:color w:val="000000"/>
          <w:sz w:val="20"/>
          <w:lang w:val="es-AR" w:bidi="he-IL"/>
        </w:rPr>
        <w:t>A nivel internacional, la calificaci</w:t>
      </w:r>
      <w:r w:rsidR="00CF3B15" w:rsidRPr="00EA7870">
        <w:rPr>
          <w:color w:val="000000"/>
          <w:sz w:val="20"/>
          <w:lang w:val="es-AR" w:bidi="he-IL"/>
        </w:rPr>
        <w:t xml:space="preserve">ón </w:t>
      </w:r>
      <w:r w:rsidRPr="00EA7870">
        <w:rPr>
          <w:color w:val="000000"/>
          <w:sz w:val="20"/>
          <w:lang w:val="es-AR" w:bidi="he-IL"/>
        </w:rPr>
        <w:t>de riesgo de las Obligaciones Negociables será</w:t>
      </w:r>
      <w:r w:rsidR="00B25D39" w:rsidRPr="00EA7870">
        <w:rPr>
          <w:color w:val="000000"/>
          <w:sz w:val="20"/>
          <w:lang w:val="es-AR" w:bidi="he-IL"/>
        </w:rPr>
        <w:t>, en caso de existir,</w:t>
      </w:r>
      <w:r w:rsidRPr="00EA7870">
        <w:rPr>
          <w:color w:val="000000"/>
          <w:sz w:val="20"/>
          <w:lang w:val="es-AR" w:bidi="he-IL"/>
        </w:rPr>
        <w:t xml:space="preserve"> oportunamente informada </w:t>
      </w:r>
      <w:r w:rsidR="00512C74" w:rsidRPr="00EA7870">
        <w:rPr>
          <w:color w:val="000000"/>
          <w:sz w:val="20"/>
          <w:lang w:val="es-AR" w:bidi="he-IL"/>
        </w:rPr>
        <w:t>a través de un aviso complementario a este Suplemento. Para mayor información véase “</w:t>
      </w:r>
      <w:r w:rsidR="00512C74" w:rsidRPr="00EA7870">
        <w:rPr>
          <w:i/>
          <w:iCs/>
          <w:color w:val="000000"/>
          <w:sz w:val="20"/>
          <w:lang w:val="es-AR" w:bidi="he-IL"/>
        </w:rPr>
        <w:t>Calificación de Riesgo</w:t>
      </w:r>
      <w:r w:rsidR="00512C74" w:rsidRPr="00EA7870">
        <w:rPr>
          <w:color w:val="000000"/>
          <w:sz w:val="20"/>
          <w:lang w:val="es-AR" w:bidi="he-IL"/>
        </w:rPr>
        <w:t>” en este Suplemento</w:t>
      </w:r>
      <w:r w:rsidRPr="00EA7870">
        <w:rPr>
          <w:color w:val="000000"/>
          <w:sz w:val="20"/>
          <w:lang w:val="es-AR" w:bidi="he-IL"/>
        </w:rPr>
        <w:t xml:space="preserve">. </w:t>
      </w:r>
    </w:p>
    <w:p w14:paraId="6E560999" w14:textId="77777777" w:rsidR="00151F62" w:rsidRPr="00EA7870" w:rsidRDefault="00151F62" w:rsidP="00061CD9">
      <w:pPr>
        <w:tabs>
          <w:tab w:val="left" w:pos="-1134"/>
          <w:tab w:val="left" w:pos="1"/>
        </w:tabs>
        <w:jc w:val="both"/>
        <w:rPr>
          <w:rFonts w:eastAsia="Calibri"/>
          <w:b/>
          <w:sz w:val="20"/>
          <w:szCs w:val="20"/>
          <w:lang w:val="es-AR"/>
        </w:rPr>
      </w:pPr>
    </w:p>
    <w:p w14:paraId="75BB316F" w14:textId="77777777" w:rsidR="009D1414" w:rsidRPr="00EA7870" w:rsidRDefault="003D25A6" w:rsidP="00061CD9">
      <w:pPr>
        <w:tabs>
          <w:tab w:val="left" w:pos="-1134"/>
          <w:tab w:val="left" w:pos="1"/>
        </w:tabs>
        <w:jc w:val="both"/>
        <w:rPr>
          <w:b/>
          <w:sz w:val="20"/>
          <w:szCs w:val="20"/>
          <w:lang w:val="es-AR"/>
        </w:rPr>
      </w:pPr>
      <w:r w:rsidRPr="00EA7870">
        <w:rPr>
          <w:b/>
          <w:sz w:val="20"/>
          <w:szCs w:val="20"/>
          <w:lang w:val="es-AR"/>
        </w:rPr>
        <w:t xml:space="preserve">La creación del Programa y la oferta pública </w:t>
      </w:r>
      <w:r w:rsidR="000676A4" w:rsidRPr="00EA7870">
        <w:rPr>
          <w:b/>
          <w:sz w:val="20"/>
          <w:szCs w:val="20"/>
          <w:lang w:val="es-AR"/>
        </w:rPr>
        <w:t xml:space="preserve">de las </w:t>
      </w:r>
      <w:r w:rsidR="00427B4D" w:rsidRPr="00EA7870">
        <w:rPr>
          <w:b/>
          <w:sz w:val="20"/>
          <w:szCs w:val="20"/>
          <w:lang w:val="es-AR"/>
        </w:rPr>
        <w:t>obligaciones negociables</w:t>
      </w:r>
      <w:r w:rsidRPr="00EA7870">
        <w:rPr>
          <w:b/>
          <w:sz w:val="20"/>
          <w:szCs w:val="20"/>
          <w:lang w:val="es-AR"/>
        </w:rPr>
        <w:t xml:space="preserve"> </w:t>
      </w:r>
      <w:r w:rsidR="004277C6" w:rsidRPr="00EA7870">
        <w:rPr>
          <w:b/>
          <w:sz w:val="20"/>
          <w:szCs w:val="20"/>
          <w:lang w:val="es-AR"/>
        </w:rPr>
        <w:t xml:space="preserve">a ser </w:t>
      </w:r>
      <w:r w:rsidR="000676A4" w:rsidRPr="00EA7870">
        <w:rPr>
          <w:b/>
          <w:sz w:val="20"/>
          <w:szCs w:val="20"/>
          <w:lang w:val="es-AR"/>
        </w:rPr>
        <w:t xml:space="preserve">emitidas </w:t>
      </w:r>
      <w:r w:rsidR="004277C6" w:rsidRPr="00EA7870">
        <w:rPr>
          <w:b/>
          <w:sz w:val="20"/>
          <w:szCs w:val="20"/>
          <w:lang w:val="es-AR"/>
        </w:rPr>
        <w:t xml:space="preserve">bajo el mismo </w:t>
      </w:r>
      <w:r w:rsidRPr="00EA7870">
        <w:rPr>
          <w:b/>
          <w:sz w:val="20"/>
          <w:szCs w:val="20"/>
          <w:lang w:val="es-AR"/>
        </w:rPr>
        <w:t>ha sido autorizada por la CNV, mediante la Resolución N°17.197 de fecha 1</w:t>
      </w:r>
      <w:r w:rsidR="00B459CD" w:rsidRPr="00EA7870">
        <w:rPr>
          <w:b/>
          <w:sz w:val="20"/>
          <w:szCs w:val="20"/>
          <w:lang w:val="es-AR"/>
        </w:rPr>
        <w:t>0</w:t>
      </w:r>
      <w:r w:rsidRPr="00EA7870">
        <w:rPr>
          <w:b/>
          <w:sz w:val="20"/>
          <w:szCs w:val="20"/>
          <w:lang w:val="es-AR"/>
        </w:rPr>
        <w:t xml:space="preserve"> de octubre de 2013</w:t>
      </w:r>
      <w:r w:rsidR="004277C6" w:rsidRPr="00EA7870">
        <w:rPr>
          <w:b/>
          <w:sz w:val="20"/>
          <w:szCs w:val="20"/>
          <w:lang w:val="es-AR"/>
        </w:rPr>
        <w:t>.</w:t>
      </w:r>
      <w:r w:rsidR="00A9520F" w:rsidRPr="00EA7870">
        <w:rPr>
          <w:b/>
          <w:sz w:val="20"/>
          <w:szCs w:val="20"/>
          <w:lang w:val="es-AR"/>
        </w:rPr>
        <w:t xml:space="preserve"> </w:t>
      </w:r>
      <w:bookmarkStart w:id="1" w:name="_Hlk526352631"/>
      <w:r w:rsidR="00E024E8" w:rsidRPr="00EA7870">
        <w:rPr>
          <w:b/>
          <w:sz w:val="20"/>
          <w:szCs w:val="20"/>
          <w:lang w:val="es-AR"/>
        </w:rPr>
        <w:t xml:space="preserve">La prórroga del período de vigencia del Programa </w:t>
      </w:r>
      <w:r w:rsidR="00E024E8" w:rsidRPr="00EA7870">
        <w:rPr>
          <w:b/>
          <w:sz w:val="20"/>
          <w:szCs w:val="20"/>
          <w:lang w:val="es-AR" w:bidi="es-ES"/>
        </w:rPr>
        <w:t xml:space="preserve">fue autorizada por </w:t>
      </w:r>
      <w:r w:rsidR="008F2933" w:rsidRPr="00EA7870">
        <w:rPr>
          <w:b/>
          <w:sz w:val="20"/>
          <w:szCs w:val="20"/>
          <w:lang w:val="es-AR" w:bidi="es-ES"/>
        </w:rPr>
        <w:t>D</w:t>
      </w:r>
      <w:r w:rsidR="00E024E8" w:rsidRPr="00EA7870">
        <w:rPr>
          <w:b/>
          <w:sz w:val="20"/>
          <w:szCs w:val="20"/>
          <w:lang w:val="es-AR" w:bidi="es-ES"/>
        </w:rPr>
        <w:t xml:space="preserve">isposición N°DI – 2018 – 49 – APN–GE#CNV de fecha 21 de septiembre de 2018 de la Gerente de Emisoras de la CNV. </w:t>
      </w:r>
      <w:bookmarkEnd w:id="1"/>
      <w:r w:rsidR="00162095" w:rsidRPr="00EA7870">
        <w:rPr>
          <w:b/>
          <w:sz w:val="20"/>
          <w:szCs w:val="20"/>
          <w:lang w:val="es-AR"/>
        </w:rPr>
        <w:t>La</w:t>
      </w:r>
      <w:r w:rsidR="008538CD" w:rsidRPr="00EA7870">
        <w:rPr>
          <w:b/>
          <w:sz w:val="20"/>
          <w:szCs w:val="20"/>
          <w:lang w:val="es-AR"/>
        </w:rPr>
        <w:t>s</w:t>
      </w:r>
      <w:r w:rsidR="00162095" w:rsidRPr="00EA7870">
        <w:rPr>
          <w:b/>
          <w:sz w:val="20"/>
          <w:szCs w:val="20"/>
          <w:lang w:val="es-AR"/>
        </w:rPr>
        <w:t xml:space="preserve"> mencionada</w:t>
      </w:r>
      <w:r w:rsidR="008538CD" w:rsidRPr="00EA7870">
        <w:rPr>
          <w:b/>
          <w:sz w:val="20"/>
          <w:szCs w:val="20"/>
          <w:lang w:val="es-AR"/>
        </w:rPr>
        <w:t>s</w:t>
      </w:r>
      <w:r w:rsidR="00162095" w:rsidRPr="00EA7870">
        <w:rPr>
          <w:b/>
          <w:sz w:val="20"/>
          <w:szCs w:val="20"/>
          <w:lang w:val="es-AR"/>
        </w:rPr>
        <w:t xml:space="preserve"> </w:t>
      </w:r>
      <w:r w:rsidR="00E024E8" w:rsidRPr="00EA7870">
        <w:rPr>
          <w:b/>
          <w:sz w:val="20"/>
          <w:szCs w:val="20"/>
          <w:lang w:val="es-AR"/>
        </w:rPr>
        <w:t>autorizaciones</w:t>
      </w:r>
      <w:r w:rsidR="00162095" w:rsidRPr="00EA7870">
        <w:rPr>
          <w:b/>
          <w:sz w:val="20"/>
          <w:szCs w:val="20"/>
          <w:lang w:val="es-AR"/>
        </w:rPr>
        <w:t xml:space="preserve"> sólo significa</w:t>
      </w:r>
      <w:r w:rsidR="00E024E8" w:rsidRPr="00EA7870">
        <w:rPr>
          <w:b/>
          <w:sz w:val="20"/>
          <w:szCs w:val="20"/>
          <w:lang w:val="es-AR"/>
        </w:rPr>
        <w:t>n</w:t>
      </w:r>
      <w:r w:rsidR="00162095" w:rsidRPr="00EA7870">
        <w:rPr>
          <w:b/>
          <w:sz w:val="20"/>
          <w:szCs w:val="20"/>
          <w:lang w:val="es-AR"/>
        </w:rPr>
        <w:t xml:space="preserve"> que se ha cumplido con los requisitos establecidos en materia de información. La CNV no ha emitido juicio sobre los datos contenidos en el Prospecto</w:t>
      </w:r>
      <w:r w:rsidR="00B356D3" w:rsidRPr="00EA7870">
        <w:rPr>
          <w:b/>
          <w:sz w:val="20"/>
          <w:szCs w:val="20"/>
          <w:lang w:val="es-AR"/>
        </w:rPr>
        <w:t xml:space="preserve"> y en el presente</w:t>
      </w:r>
      <w:r w:rsidR="00162095" w:rsidRPr="00EA7870">
        <w:rPr>
          <w:b/>
          <w:sz w:val="20"/>
          <w:szCs w:val="20"/>
          <w:lang w:val="es-AR"/>
        </w:rPr>
        <w:t xml:space="preserve">. La veracidad de la información contable, financiera y económica así como de toda otra información suministrada en el presente es exclusiva responsabilidad </w:t>
      </w:r>
      <w:r w:rsidR="00451503" w:rsidRPr="00EA7870">
        <w:rPr>
          <w:b/>
          <w:sz w:val="20"/>
          <w:szCs w:val="20"/>
          <w:lang w:val="es-AR"/>
        </w:rPr>
        <w:t>del Representante Legal</w:t>
      </w:r>
      <w:r w:rsidR="002E2274" w:rsidRPr="00EA7870">
        <w:rPr>
          <w:b/>
          <w:sz w:val="20"/>
          <w:szCs w:val="20"/>
          <w:lang w:val="es-AR"/>
        </w:rPr>
        <w:t xml:space="preserve"> de la Emisora y de</w:t>
      </w:r>
      <w:r w:rsidR="00451503" w:rsidRPr="00EA7870">
        <w:rPr>
          <w:b/>
          <w:sz w:val="20"/>
          <w:szCs w:val="20"/>
          <w:lang w:val="es-AR"/>
        </w:rPr>
        <w:t>l órgano de administración</w:t>
      </w:r>
      <w:r w:rsidR="00F66D0F" w:rsidRPr="00EA7870">
        <w:rPr>
          <w:b/>
          <w:sz w:val="20"/>
          <w:szCs w:val="20"/>
          <w:lang w:val="es-AR"/>
        </w:rPr>
        <w:t xml:space="preserve"> de</w:t>
      </w:r>
      <w:r w:rsidR="002E2274" w:rsidRPr="00EA7870">
        <w:rPr>
          <w:b/>
          <w:sz w:val="20"/>
          <w:szCs w:val="20"/>
          <w:lang w:val="es-AR"/>
        </w:rPr>
        <w:t xml:space="preserve"> la Garante</w:t>
      </w:r>
      <w:r w:rsidR="00162095" w:rsidRPr="00EA7870">
        <w:rPr>
          <w:b/>
          <w:sz w:val="20"/>
          <w:szCs w:val="20"/>
          <w:lang w:val="es-AR"/>
        </w:rPr>
        <w:t xml:space="preserve"> y</w:t>
      </w:r>
      <w:r w:rsidR="00825216" w:rsidRPr="00EA7870">
        <w:rPr>
          <w:b/>
          <w:sz w:val="20"/>
          <w:szCs w:val="20"/>
          <w:lang w:val="es-AR"/>
        </w:rPr>
        <w:t>,</w:t>
      </w:r>
      <w:r w:rsidR="00162095" w:rsidRPr="00EA7870">
        <w:rPr>
          <w:b/>
          <w:sz w:val="20"/>
          <w:szCs w:val="20"/>
          <w:lang w:val="es-AR"/>
        </w:rPr>
        <w:t xml:space="preserve"> en lo que les atañe</w:t>
      </w:r>
      <w:r w:rsidR="00825216" w:rsidRPr="00EA7870">
        <w:rPr>
          <w:b/>
          <w:sz w:val="20"/>
          <w:szCs w:val="20"/>
          <w:lang w:val="es-AR"/>
        </w:rPr>
        <w:t>,</w:t>
      </w:r>
      <w:r w:rsidR="00162095" w:rsidRPr="00EA7870">
        <w:rPr>
          <w:b/>
          <w:sz w:val="20"/>
          <w:szCs w:val="20"/>
          <w:lang w:val="es-AR"/>
        </w:rPr>
        <w:t xml:space="preserve"> de los auditores en cuanto a sus respectivos informes sobre los estados contables que se acompañan y demás responsables contemplados en los </w:t>
      </w:r>
      <w:r w:rsidR="009F5219" w:rsidRPr="00EA7870">
        <w:rPr>
          <w:b/>
          <w:sz w:val="20"/>
          <w:szCs w:val="20"/>
          <w:lang w:val="es-AR"/>
        </w:rPr>
        <w:t xml:space="preserve">Artículos </w:t>
      </w:r>
      <w:r w:rsidR="00162095" w:rsidRPr="00EA7870">
        <w:rPr>
          <w:b/>
          <w:sz w:val="20"/>
          <w:szCs w:val="20"/>
          <w:lang w:val="es-AR"/>
        </w:rPr>
        <w:t xml:space="preserve">119 y 120 de la Ley de Mercado de Capitales. El </w:t>
      </w:r>
      <w:r w:rsidR="00A47BB5" w:rsidRPr="00EA7870">
        <w:rPr>
          <w:b/>
          <w:sz w:val="20"/>
          <w:szCs w:val="20"/>
          <w:lang w:val="es-AR"/>
        </w:rPr>
        <w:t xml:space="preserve">Representante Legal </w:t>
      </w:r>
      <w:r w:rsidR="00162095" w:rsidRPr="00EA7870">
        <w:rPr>
          <w:b/>
          <w:sz w:val="20"/>
          <w:szCs w:val="20"/>
          <w:lang w:val="es-AR"/>
        </w:rPr>
        <w:t xml:space="preserve">manifiesta, con carácter de declaración jurada, que el presente </w:t>
      </w:r>
      <w:r w:rsidR="004F0C13" w:rsidRPr="00EA7870">
        <w:rPr>
          <w:b/>
          <w:sz w:val="20"/>
          <w:szCs w:val="20"/>
          <w:lang w:val="es-AR"/>
        </w:rPr>
        <w:t xml:space="preserve">Suplemento </w:t>
      </w:r>
      <w:r w:rsidR="00162095" w:rsidRPr="00EA7870">
        <w:rPr>
          <w:b/>
          <w:sz w:val="20"/>
          <w:szCs w:val="20"/>
          <w:lang w:val="es-AR"/>
        </w:rPr>
        <w:t xml:space="preserve">contiene a la fecha de su publicación información veraz y suficiente sobre todo hecho relevante que pueda afectar la situación patrimonial, económica y financiera de la </w:t>
      </w:r>
      <w:r w:rsidR="008E0224" w:rsidRPr="00EA7870">
        <w:rPr>
          <w:b/>
          <w:sz w:val="20"/>
          <w:szCs w:val="20"/>
          <w:lang w:val="es-AR"/>
        </w:rPr>
        <w:t xml:space="preserve">Emisora </w:t>
      </w:r>
      <w:r w:rsidR="00DC7A5E" w:rsidRPr="00EA7870">
        <w:rPr>
          <w:b/>
          <w:sz w:val="20"/>
          <w:szCs w:val="20"/>
          <w:lang w:val="es-AR"/>
        </w:rPr>
        <w:t>y de</w:t>
      </w:r>
      <w:r w:rsidR="00157369" w:rsidRPr="00EA7870">
        <w:rPr>
          <w:b/>
          <w:sz w:val="20"/>
          <w:szCs w:val="20"/>
          <w:lang w:val="es-AR"/>
        </w:rPr>
        <w:t xml:space="preserve"> la</w:t>
      </w:r>
      <w:r w:rsidR="00DC7A5E" w:rsidRPr="00EA7870">
        <w:rPr>
          <w:b/>
          <w:sz w:val="20"/>
          <w:szCs w:val="20"/>
          <w:lang w:val="es-AR"/>
        </w:rPr>
        <w:t xml:space="preserve"> Garante </w:t>
      </w:r>
      <w:r w:rsidR="00162095" w:rsidRPr="00EA7870">
        <w:rPr>
          <w:b/>
          <w:sz w:val="20"/>
          <w:szCs w:val="20"/>
          <w:lang w:val="es-AR"/>
        </w:rPr>
        <w:t>y de toda aquella que deba ser de conocimiento del público inversor con relación a la presente emisión, conforme las normas vigentes.</w:t>
      </w:r>
      <w:r w:rsidR="00162095" w:rsidRPr="00EA7870">
        <w:rPr>
          <w:sz w:val="20"/>
          <w:szCs w:val="20"/>
          <w:lang w:val="es-AR"/>
        </w:rPr>
        <w:t xml:space="preserve"> </w:t>
      </w:r>
      <w:r w:rsidR="00162095" w:rsidRPr="00EA7870">
        <w:rPr>
          <w:b/>
          <w:sz w:val="20"/>
          <w:szCs w:val="20"/>
          <w:lang w:val="es-AR"/>
        </w:rPr>
        <w:t xml:space="preserve">De acuerdo con lo establecido en el </w:t>
      </w:r>
      <w:r w:rsidR="009F5219" w:rsidRPr="00EA7870">
        <w:rPr>
          <w:b/>
          <w:sz w:val="20"/>
          <w:szCs w:val="20"/>
          <w:lang w:val="es-AR"/>
        </w:rPr>
        <w:t xml:space="preserve">Artículo </w:t>
      </w:r>
      <w:r w:rsidR="00162095" w:rsidRPr="00EA7870">
        <w:rPr>
          <w:b/>
          <w:sz w:val="20"/>
          <w:szCs w:val="20"/>
          <w:lang w:val="es-AR"/>
        </w:rPr>
        <w:t>119 de la Ley de Mercado de Capitales, los emisores de valores</w:t>
      </w:r>
      <w:r w:rsidR="004F0C13" w:rsidRPr="00EA7870">
        <w:rPr>
          <w:b/>
          <w:sz w:val="20"/>
          <w:szCs w:val="20"/>
          <w:lang w:val="es-AR"/>
        </w:rPr>
        <w:t xml:space="preserve"> negociables</w:t>
      </w:r>
      <w:r w:rsidR="00162095" w:rsidRPr="00EA7870">
        <w:rPr>
          <w:b/>
          <w:sz w:val="20"/>
          <w:szCs w:val="20"/>
          <w:lang w:val="es-AR"/>
        </w:rPr>
        <w:t xml:space="preserve">, juntamente con los integrantes de los órganos de administración y fiscalización, estos últimos en materia de su competencia, y en su caso los oferentes de los valores con relación a la información vinculada a los mismos, y las personas que firmen el prospecto de una emisión de valores </w:t>
      </w:r>
      <w:r w:rsidR="004F0C13" w:rsidRPr="00EA7870">
        <w:rPr>
          <w:b/>
          <w:sz w:val="20"/>
          <w:szCs w:val="20"/>
          <w:lang w:val="es-AR"/>
        </w:rPr>
        <w:t xml:space="preserve">negociables </w:t>
      </w:r>
      <w:r w:rsidR="00162095" w:rsidRPr="00EA7870">
        <w:rPr>
          <w:b/>
          <w:sz w:val="20"/>
          <w:szCs w:val="20"/>
          <w:lang w:val="es-AR"/>
        </w:rPr>
        <w:t xml:space="preserve">con oferta pública, </w:t>
      </w:r>
      <w:r w:rsidR="004F0C13" w:rsidRPr="00EA7870">
        <w:rPr>
          <w:b/>
          <w:sz w:val="20"/>
          <w:szCs w:val="20"/>
          <w:lang w:val="es-AR"/>
        </w:rPr>
        <w:t xml:space="preserve">en relación con la información vinculada con los mismos, </w:t>
      </w:r>
      <w:r w:rsidR="00162095" w:rsidRPr="00EA7870">
        <w:rPr>
          <w:b/>
          <w:sz w:val="20"/>
          <w:szCs w:val="20"/>
          <w:lang w:val="es-AR"/>
        </w:rPr>
        <w:t xml:space="preserve">serán responsables de toda la información incluida en los prospectos por ellos registrados ante la CNV. De acuerdo con lo establecido en el </w:t>
      </w:r>
      <w:r w:rsidR="009F5219" w:rsidRPr="00EA7870">
        <w:rPr>
          <w:b/>
          <w:sz w:val="20"/>
          <w:szCs w:val="20"/>
          <w:lang w:val="es-AR"/>
        </w:rPr>
        <w:t xml:space="preserve">Artículo </w:t>
      </w:r>
      <w:r w:rsidR="00162095" w:rsidRPr="00EA7870">
        <w:rPr>
          <w:b/>
          <w:sz w:val="20"/>
          <w:szCs w:val="20"/>
          <w:lang w:val="es-AR"/>
        </w:rPr>
        <w:t xml:space="preserve">120 de la Ley de Mercado de Capitales, las entidades y agentes intermediarios en el mercado autorizado que participen como organizadores o colocadores en una oferta pública de venta o compra de valores deberán revisar diligentemente la información contenida en los prospectos de la oferta. Los expertos o terceros que opinen sobre ciertas partes del </w:t>
      </w:r>
      <w:r w:rsidR="00B356D3" w:rsidRPr="00EA7870">
        <w:rPr>
          <w:b/>
          <w:sz w:val="20"/>
          <w:szCs w:val="20"/>
          <w:lang w:val="es-AR"/>
        </w:rPr>
        <w:t xml:space="preserve">presente </w:t>
      </w:r>
      <w:r w:rsidR="00162095" w:rsidRPr="00EA7870">
        <w:rPr>
          <w:b/>
          <w:sz w:val="20"/>
          <w:szCs w:val="20"/>
          <w:lang w:val="es-AR"/>
        </w:rPr>
        <w:t>sólo serán responsables por la parte de esa información sobre la que emitieron opinión.</w:t>
      </w:r>
    </w:p>
    <w:p w14:paraId="29645D19" w14:textId="77777777" w:rsidR="002F1477" w:rsidRPr="00EA7870" w:rsidRDefault="002F1477" w:rsidP="00061CD9">
      <w:pPr>
        <w:tabs>
          <w:tab w:val="left" w:pos="-1134"/>
          <w:tab w:val="left" w:pos="1"/>
        </w:tabs>
        <w:jc w:val="both"/>
        <w:rPr>
          <w:b/>
          <w:sz w:val="20"/>
          <w:szCs w:val="20"/>
          <w:lang w:val="es-AR"/>
        </w:rPr>
      </w:pPr>
    </w:p>
    <w:p w14:paraId="0A543F9C" w14:textId="77777777" w:rsidR="002F1477" w:rsidRPr="00EA7870" w:rsidRDefault="002F1477" w:rsidP="00061CD9">
      <w:pPr>
        <w:jc w:val="both"/>
        <w:rPr>
          <w:bCs/>
          <w:i/>
          <w:iCs/>
          <w:sz w:val="20"/>
          <w:szCs w:val="20"/>
        </w:rPr>
      </w:pPr>
      <w:r w:rsidRPr="00EA7870">
        <w:rPr>
          <w:bCs/>
          <w:i/>
          <w:iCs/>
          <w:sz w:val="20"/>
          <w:szCs w:val="20"/>
        </w:rPr>
        <w:t xml:space="preserve">La oferta pública de las Obligaciones Negociables que se describen en este Suplemento en la Argentina se encuentra comprendida </w:t>
      </w:r>
      <w:r w:rsidR="00666C67" w:rsidRPr="00EA7870">
        <w:rPr>
          <w:bCs/>
          <w:i/>
          <w:iCs/>
          <w:sz w:val="20"/>
          <w:szCs w:val="20"/>
        </w:rPr>
        <w:t xml:space="preserve">en el marco </w:t>
      </w:r>
      <w:r w:rsidRPr="00EA7870">
        <w:rPr>
          <w:bCs/>
          <w:i/>
          <w:iCs/>
          <w:sz w:val="20"/>
          <w:szCs w:val="20"/>
        </w:rPr>
        <w:t xml:space="preserve">de la autorización de oferta pública otorgada por la CNV al Programa en </w:t>
      </w:r>
      <w:r w:rsidR="00666C67" w:rsidRPr="00EA7870">
        <w:rPr>
          <w:bCs/>
          <w:i/>
          <w:iCs/>
          <w:sz w:val="20"/>
          <w:szCs w:val="20"/>
        </w:rPr>
        <w:t>virtud</w:t>
      </w:r>
      <w:r w:rsidRPr="00EA7870">
        <w:rPr>
          <w:bCs/>
          <w:i/>
          <w:iCs/>
          <w:sz w:val="20"/>
          <w:szCs w:val="20"/>
        </w:rPr>
        <w:t xml:space="preserve"> de lo establecido por el artículo 41 del Título II del Capítulo V de las Normas de la CNV. Este Suplemento no ha sido previamente revisado ni conformado por la CNV. De acuerdo con el procedimiento establecido en el artículo 51 del Título II del Capítulo V de las Normas de la CNV, dentro de los cinco días hábiles de suscriptas las Obligaciones Negociables, la Emisora presentará la documentación definitiva relativa a las mismas.</w:t>
      </w:r>
    </w:p>
    <w:p w14:paraId="5D18E7A3" w14:textId="77777777" w:rsidR="008278EB" w:rsidRPr="00EA7870" w:rsidRDefault="008278EB" w:rsidP="00061CD9">
      <w:pPr>
        <w:jc w:val="both"/>
        <w:rPr>
          <w:bCs/>
          <w:sz w:val="20"/>
          <w:szCs w:val="20"/>
        </w:rPr>
      </w:pPr>
    </w:p>
    <w:p w14:paraId="1F7B3940" w14:textId="01401D1E" w:rsidR="002F1477" w:rsidRPr="00EA7870" w:rsidRDefault="002F1477" w:rsidP="00061CD9">
      <w:pPr>
        <w:jc w:val="both"/>
        <w:rPr>
          <w:bCs/>
          <w:i/>
          <w:sz w:val="20"/>
          <w:szCs w:val="20"/>
        </w:rPr>
      </w:pPr>
      <w:r w:rsidRPr="00EA7870">
        <w:rPr>
          <w:bCs/>
          <w:sz w:val="20"/>
          <w:szCs w:val="20"/>
        </w:rPr>
        <w:t xml:space="preserve">Antes de tomar decisiones de inversión respecto de las Obligaciones Negociables, </w:t>
      </w:r>
      <w:r w:rsidR="00B21DA9" w:rsidRPr="00EA7870">
        <w:rPr>
          <w:bCs/>
          <w:sz w:val="20"/>
          <w:szCs w:val="20"/>
        </w:rPr>
        <w:t xml:space="preserve">el público inversor deberá considerar los factores de riesgo </w:t>
      </w:r>
      <w:r w:rsidRPr="00EA7870">
        <w:rPr>
          <w:bCs/>
          <w:sz w:val="20"/>
          <w:szCs w:val="20"/>
        </w:rPr>
        <w:t>que se describen en la sección “</w:t>
      </w:r>
      <w:r w:rsidRPr="00EA7870">
        <w:rPr>
          <w:bCs/>
          <w:i/>
          <w:sz w:val="20"/>
          <w:szCs w:val="20"/>
        </w:rPr>
        <w:t>Factores de Riesgo</w:t>
      </w:r>
      <w:r w:rsidRPr="00EA7870">
        <w:rPr>
          <w:bCs/>
          <w:sz w:val="20"/>
          <w:szCs w:val="20"/>
        </w:rPr>
        <w:t>” en el Prospecto y en la sección “</w:t>
      </w:r>
      <w:r w:rsidRPr="00EA7870">
        <w:rPr>
          <w:bCs/>
          <w:i/>
          <w:sz w:val="20"/>
          <w:szCs w:val="20"/>
        </w:rPr>
        <w:t>Factores de Riesgo</w:t>
      </w:r>
      <w:r w:rsidRPr="00EA7870">
        <w:rPr>
          <w:bCs/>
          <w:sz w:val="20"/>
          <w:szCs w:val="20"/>
        </w:rPr>
        <w:t xml:space="preserve">” </w:t>
      </w:r>
      <w:r w:rsidR="00666C67" w:rsidRPr="00EA7870">
        <w:rPr>
          <w:bCs/>
          <w:sz w:val="20"/>
          <w:szCs w:val="20"/>
        </w:rPr>
        <w:t>d</w:t>
      </w:r>
      <w:r w:rsidRPr="00EA7870">
        <w:rPr>
          <w:bCs/>
          <w:sz w:val="20"/>
          <w:szCs w:val="20"/>
        </w:rPr>
        <w:t xml:space="preserve">e este Suplemento, así como la información que se describe bajo los </w:t>
      </w:r>
      <w:r w:rsidRPr="00EA7870">
        <w:rPr>
          <w:bCs/>
          <w:sz w:val="20"/>
          <w:szCs w:val="20"/>
        </w:rPr>
        <w:lastRenderedPageBreak/>
        <w:t>títulos “</w:t>
      </w:r>
      <w:bookmarkStart w:id="2" w:name="_Toc161153815"/>
      <w:bookmarkStart w:id="3" w:name="_Toc173310626"/>
      <w:bookmarkStart w:id="4" w:name="_Toc177895839"/>
      <w:bookmarkStart w:id="5" w:name="_Toc177895901"/>
      <w:bookmarkStart w:id="6" w:name="_Toc177895924"/>
      <w:bookmarkStart w:id="7" w:name="_Toc177895952"/>
      <w:bookmarkStart w:id="8" w:name="_Toc201751545"/>
      <w:bookmarkStart w:id="9" w:name="_Toc201751700"/>
      <w:bookmarkStart w:id="10" w:name="_Toc212444106"/>
      <w:r w:rsidRPr="00EA7870">
        <w:rPr>
          <w:bCs/>
          <w:i/>
          <w:iCs/>
          <w:sz w:val="20"/>
          <w:szCs w:val="20"/>
        </w:rPr>
        <w:t>Información Adicional</w:t>
      </w:r>
      <w:r w:rsidR="008C68BF" w:rsidRPr="00EA7870">
        <w:rPr>
          <w:i/>
          <w:iCs/>
          <w:sz w:val="20"/>
          <w:szCs w:val="20"/>
        </w:rPr>
        <w:t>—</w:t>
      </w:r>
      <w:r w:rsidRPr="00EA7870">
        <w:rPr>
          <w:bCs/>
          <w:i/>
          <w:iCs/>
          <w:sz w:val="20"/>
          <w:szCs w:val="20"/>
        </w:rPr>
        <w:t>Controles de Cambio</w:t>
      </w:r>
      <w:r w:rsidRPr="00EA7870">
        <w:rPr>
          <w:bCs/>
          <w:sz w:val="20"/>
          <w:szCs w:val="20"/>
        </w:rPr>
        <w:t>”, “</w:t>
      </w:r>
      <w:r w:rsidRPr="00EA7870">
        <w:rPr>
          <w:bCs/>
          <w:i/>
          <w:iCs/>
          <w:sz w:val="20"/>
          <w:szCs w:val="20"/>
        </w:rPr>
        <w:t>Información Adicional</w:t>
      </w:r>
      <w:r w:rsidR="008C68BF" w:rsidRPr="00EA7870">
        <w:rPr>
          <w:i/>
          <w:iCs/>
          <w:sz w:val="20"/>
          <w:szCs w:val="20"/>
        </w:rPr>
        <w:t>—</w:t>
      </w:r>
      <w:r w:rsidRPr="00EA7870">
        <w:rPr>
          <w:bCs/>
          <w:i/>
          <w:iCs/>
          <w:sz w:val="20"/>
          <w:szCs w:val="20"/>
        </w:rPr>
        <w:t>Carga Tributaria</w:t>
      </w:r>
      <w:r w:rsidRPr="00EA7870">
        <w:rPr>
          <w:bCs/>
          <w:sz w:val="20"/>
          <w:szCs w:val="20"/>
        </w:rPr>
        <w:t xml:space="preserve">” </w:t>
      </w:r>
      <w:bookmarkEnd w:id="2"/>
      <w:bookmarkEnd w:id="3"/>
      <w:bookmarkEnd w:id="4"/>
      <w:bookmarkEnd w:id="5"/>
      <w:bookmarkEnd w:id="6"/>
      <w:bookmarkEnd w:id="7"/>
      <w:bookmarkEnd w:id="8"/>
      <w:bookmarkEnd w:id="9"/>
      <w:bookmarkEnd w:id="10"/>
      <w:r w:rsidRPr="00EA7870">
        <w:rPr>
          <w:bCs/>
          <w:sz w:val="20"/>
          <w:szCs w:val="20"/>
        </w:rPr>
        <w:t>e “</w:t>
      </w:r>
      <w:r w:rsidRPr="00EA7870">
        <w:rPr>
          <w:bCs/>
          <w:i/>
          <w:iCs/>
          <w:sz w:val="20"/>
          <w:szCs w:val="20"/>
        </w:rPr>
        <w:t>Información Adicional</w:t>
      </w:r>
      <w:r w:rsidR="008C68BF" w:rsidRPr="00EA7870">
        <w:rPr>
          <w:i/>
          <w:iCs/>
          <w:sz w:val="20"/>
          <w:szCs w:val="20"/>
        </w:rPr>
        <w:t>—</w:t>
      </w:r>
      <w:r w:rsidRPr="00EA7870">
        <w:rPr>
          <w:bCs/>
          <w:i/>
          <w:sz w:val="20"/>
          <w:szCs w:val="20"/>
        </w:rPr>
        <w:t xml:space="preserve">Prevención de </w:t>
      </w:r>
      <w:r w:rsidR="00F66D0F" w:rsidRPr="00EA7870">
        <w:rPr>
          <w:bCs/>
          <w:i/>
          <w:sz w:val="20"/>
          <w:szCs w:val="20"/>
        </w:rPr>
        <w:t>L</w:t>
      </w:r>
      <w:r w:rsidRPr="00EA7870">
        <w:rPr>
          <w:bCs/>
          <w:i/>
          <w:sz w:val="20"/>
          <w:szCs w:val="20"/>
        </w:rPr>
        <w:t xml:space="preserve">avado de </w:t>
      </w:r>
      <w:r w:rsidR="00F66D0F" w:rsidRPr="00EA7870">
        <w:rPr>
          <w:bCs/>
          <w:i/>
          <w:sz w:val="20"/>
          <w:szCs w:val="20"/>
        </w:rPr>
        <w:t xml:space="preserve">Activos </w:t>
      </w:r>
      <w:r w:rsidRPr="00EA7870">
        <w:rPr>
          <w:bCs/>
          <w:i/>
          <w:sz w:val="20"/>
          <w:szCs w:val="20"/>
        </w:rPr>
        <w:t xml:space="preserve">y </w:t>
      </w:r>
      <w:r w:rsidR="00F66D0F" w:rsidRPr="00EA7870">
        <w:rPr>
          <w:bCs/>
          <w:i/>
          <w:sz w:val="20"/>
          <w:szCs w:val="20"/>
        </w:rPr>
        <w:t>F</w:t>
      </w:r>
      <w:r w:rsidRPr="00EA7870">
        <w:rPr>
          <w:bCs/>
          <w:i/>
          <w:sz w:val="20"/>
          <w:szCs w:val="20"/>
        </w:rPr>
        <w:t xml:space="preserve">inanciamiento del </w:t>
      </w:r>
      <w:r w:rsidR="00F66D0F" w:rsidRPr="00EA7870">
        <w:rPr>
          <w:bCs/>
          <w:i/>
          <w:sz w:val="20"/>
          <w:szCs w:val="20"/>
        </w:rPr>
        <w:t>T</w:t>
      </w:r>
      <w:r w:rsidRPr="00EA7870">
        <w:rPr>
          <w:bCs/>
          <w:i/>
          <w:sz w:val="20"/>
          <w:szCs w:val="20"/>
        </w:rPr>
        <w:t>errorismo</w:t>
      </w:r>
      <w:r w:rsidRPr="00EA7870">
        <w:rPr>
          <w:bCs/>
          <w:sz w:val="20"/>
          <w:szCs w:val="20"/>
        </w:rPr>
        <w:t>” en el Prospecto</w:t>
      </w:r>
      <w:r w:rsidR="00F66D0F" w:rsidRPr="00EA7870">
        <w:rPr>
          <w:bCs/>
          <w:sz w:val="20"/>
          <w:szCs w:val="20"/>
        </w:rPr>
        <w:t>, entre otra información contenida en el Prospecto y en este Suplemento</w:t>
      </w:r>
      <w:r w:rsidRPr="00EA7870">
        <w:rPr>
          <w:bCs/>
          <w:sz w:val="20"/>
          <w:szCs w:val="20"/>
        </w:rPr>
        <w:t>.</w:t>
      </w:r>
    </w:p>
    <w:p w14:paraId="55500857" w14:textId="77777777" w:rsidR="00162095" w:rsidRPr="00EA7870" w:rsidRDefault="00162095" w:rsidP="00061CD9">
      <w:pPr>
        <w:jc w:val="both"/>
        <w:rPr>
          <w:sz w:val="20"/>
          <w:szCs w:val="20"/>
          <w:lang w:val="es-AR"/>
        </w:rPr>
      </w:pPr>
    </w:p>
    <w:p w14:paraId="7A5CE55E" w14:textId="77777777" w:rsidR="00B356D3" w:rsidRPr="00EA7870" w:rsidRDefault="00055073" w:rsidP="00061CD9">
      <w:pPr>
        <w:jc w:val="both"/>
        <w:rPr>
          <w:sz w:val="20"/>
          <w:szCs w:val="20"/>
          <w:lang w:val="es-AR"/>
        </w:rPr>
      </w:pPr>
      <w:r w:rsidRPr="00EA7870">
        <w:rPr>
          <w:sz w:val="20"/>
          <w:szCs w:val="20"/>
          <w:lang w:val="es-AR"/>
        </w:rPr>
        <w:t>El presente Suplemento debe leerse conjuntamente con el Prospecto</w:t>
      </w:r>
      <w:r w:rsidR="008459BE" w:rsidRPr="00EA7870">
        <w:rPr>
          <w:sz w:val="20"/>
          <w:szCs w:val="20"/>
          <w:lang w:val="es-AR"/>
        </w:rPr>
        <w:t>.</w:t>
      </w:r>
      <w:r w:rsidR="00AA426C" w:rsidRPr="00EA7870">
        <w:rPr>
          <w:sz w:val="20"/>
          <w:szCs w:val="20"/>
          <w:lang w:val="es-AR"/>
        </w:rPr>
        <w:t xml:space="preserve"> </w:t>
      </w:r>
      <w:r w:rsidR="00E024E8" w:rsidRPr="00EA7870">
        <w:rPr>
          <w:sz w:val="20"/>
          <w:szCs w:val="20"/>
          <w:lang w:val="es-AR"/>
        </w:rPr>
        <w:t xml:space="preserve">Estos </w:t>
      </w:r>
      <w:r w:rsidR="008459BE" w:rsidRPr="00EA7870">
        <w:rPr>
          <w:sz w:val="20"/>
          <w:szCs w:val="20"/>
          <w:lang w:val="es-AR"/>
        </w:rPr>
        <w:t>documentos se encuentran disponibles en la sede social de la Emisora, ubicada en Av. Leandro N. Alem 1180 (C1001AAT), Ciudad Autónoma de Buenos Aires, Argentina, en días hábiles en el horario de 10</w:t>
      </w:r>
      <w:r w:rsidR="004F0C13" w:rsidRPr="00EA7870">
        <w:rPr>
          <w:sz w:val="20"/>
          <w:szCs w:val="20"/>
          <w:lang w:val="es-AR"/>
        </w:rPr>
        <w:t>:00</w:t>
      </w:r>
      <w:r w:rsidR="008459BE" w:rsidRPr="00EA7870">
        <w:rPr>
          <w:sz w:val="20"/>
          <w:szCs w:val="20"/>
          <w:lang w:val="es-AR"/>
        </w:rPr>
        <w:t xml:space="preserve"> a 18</w:t>
      </w:r>
      <w:r w:rsidR="004F0C13" w:rsidRPr="00EA7870">
        <w:rPr>
          <w:sz w:val="20"/>
          <w:szCs w:val="20"/>
          <w:lang w:val="es-AR"/>
        </w:rPr>
        <w:t>:00</w:t>
      </w:r>
      <w:r w:rsidR="008459BE" w:rsidRPr="00EA7870">
        <w:rPr>
          <w:sz w:val="20"/>
          <w:szCs w:val="20"/>
          <w:lang w:val="es-AR"/>
        </w:rPr>
        <w:t xml:space="preserve"> horas, </w:t>
      </w:r>
      <w:r w:rsidR="00AA426C" w:rsidRPr="00EA7870">
        <w:rPr>
          <w:sz w:val="20"/>
          <w:szCs w:val="20"/>
          <w:lang w:val="es-AR"/>
        </w:rPr>
        <w:t xml:space="preserve">en su </w:t>
      </w:r>
      <w:r w:rsidR="002F1477" w:rsidRPr="00EA7870">
        <w:rPr>
          <w:sz w:val="20"/>
          <w:szCs w:val="20"/>
          <w:lang w:val="es-AR"/>
        </w:rPr>
        <w:t xml:space="preserve">sitio </w:t>
      </w:r>
      <w:r w:rsidR="00AA426C" w:rsidRPr="00EA7870">
        <w:rPr>
          <w:i/>
          <w:sz w:val="20"/>
          <w:szCs w:val="20"/>
          <w:lang w:val="es-AR"/>
        </w:rPr>
        <w:t>web</w:t>
      </w:r>
      <w:r w:rsidR="00AA426C" w:rsidRPr="00EA7870">
        <w:rPr>
          <w:sz w:val="20"/>
          <w:szCs w:val="20"/>
          <w:lang w:val="es-AR"/>
        </w:rPr>
        <w:t xml:space="preserve"> institucional (</w:t>
      </w:r>
      <w:hyperlink r:id="rId12" w:history="1">
        <w:r w:rsidR="00AA426C" w:rsidRPr="00EA7870">
          <w:rPr>
            <w:sz w:val="20"/>
            <w:szCs w:val="20"/>
            <w:lang w:val="es-AR"/>
          </w:rPr>
          <w:t>http://www.pan-energy.com</w:t>
        </w:r>
      </w:hyperlink>
      <w:r w:rsidR="00AA426C" w:rsidRPr="00EA7870">
        <w:rPr>
          <w:sz w:val="20"/>
          <w:szCs w:val="20"/>
          <w:lang w:val="es-AR"/>
        </w:rPr>
        <w:t xml:space="preserve">), </w:t>
      </w:r>
      <w:r w:rsidR="00720438" w:rsidRPr="00EA7870">
        <w:rPr>
          <w:sz w:val="20"/>
          <w:szCs w:val="20"/>
          <w:lang w:val="es-AR"/>
        </w:rPr>
        <w:t>en la oficina de</w:t>
      </w:r>
      <w:r w:rsidR="00666C67" w:rsidRPr="00EA7870">
        <w:rPr>
          <w:sz w:val="20"/>
          <w:szCs w:val="20"/>
          <w:lang w:val="es-AR"/>
        </w:rPr>
        <w:t xml:space="preserve"> Banco Itaú Argentina S.A., en su carácter de </w:t>
      </w:r>
      <w:r w:rsidR="00720438" w:rsidRPr="00EA7870">
        <w:rPr>
          <w:sz w:val="20"/>
          <w:szCs w:val="20"/>
          <w:lang w:val="es-AR"/>
        </w:rPr>
        <w:t>agente colocador local (</w:t>
      </w:r>
      <w:r w:rsidR="00B37C3D" w:rsidRPr="00EA7870">
        <w:rPr>
          <w:sz w:val="20"/>
          <w:szCs w:val="20"/>
          <w:lang w:val="es-AR"/>
        </w:rPr>
        <w:t>e</w:t>
      </w:r>
      <w:r w:rsidR="00720438" w:rsidRPr="00EA7870">
        <w:rPr>
          <w:sz w:val="20"/>
          <w:szCs w:val="20"/>
          <w:lang w:val="es-AR"/>
        </w:rPr>
        <w:t>l “</w:t>
      </w:r>
      <w:r w:rsidR="00720438" w:rsidRPr="00EA7870">
        <w:rPr>
          <w:b/>
          <w:sz w:val="20"/>
          <w:szCs w:val="20"/>
          <w:lang w:val="es-AR"/>
        </w:rPr>
        <w:t>Colocador Local</w:t>
      </w:r>
      <w:r w:rsidR="00720438" w:rsidRPr="00EA7870">
        <w:rPr>
          <w:sz w:val="20"/>
          <w:szCs w:val="20"/>
          <w:lang w:val="es-AR"/>
        </w:rPr>
        <w:t>”)</w:t>
      </w:r>
      <w:r w:rsidR="00666C67" w:rsidRPr="00EA7870">
        <w:rPr>
          <w:sz w:val="20"/>
          <w:szCs w:val="20"/>
          <w:lang w:val="es-AR"/>
        </w:rPr>
        <w:t>,</w:t>
      </w:r>
      <w:r w:rsidR="00720438" w:rsidRPr="00EA7870">
        <w:rPr>
          <w:sz w:val="20"/>
          <w:szCs w:val="20"/>
          <w:lang w:val="es-AR"/>
        </w:rPr>
        <w:t xml:space="preserve"> detallada en la última página del presente Suplemento</w:t>
      </w:r>
      <w:r w:rsidR="00000111" w:rsidRPr="00EA7870">
        <w:rPr>
          <w:sz w:val="20"/>
          <w:szCs w:val="20"/>
          <w:lang w:val="es-AR"/>
        </w:rPr>
        <w:t>,</w:t>
      </w:r>
      <w:r w:rsidR="008459BE" w:rsidRPr="00EA7870">
        <w:rPr>
          <w:sz w:val="20"/>
          <w:szCs w:val="20"/>
          <w:lang w:val="es-AR"/>
        </w:rPr>
        <w:t xml:space="preserve"> </w:t>
      </w:r>
      <w:r w:rsidR="00000111" w:rsidRPr="00EA7870">
        <w:rPr>
          <w:sz w:val="20"/>
          <w:szCs w:val="20"/>
          <w:lang w:val="es-AR"/>
        </w:rPr>
        <w:t>en l</w:t>
      </w:r>
      <w:r w:rsidR="007B1C87" w:rsidRPr="00EA7870">
        <w:rPr>
          <w:sz w:val="20"/>
          <w:szCs w:val="20"/>
          <w:lang w:val="es-AR"/>
        </w:rPr>
        <w:t>a AIF</w:t>
      </w:r>
      <w:r w:rsidR="008459BE" w:rsidRPr="00EA7870">
        <w:rPr>
          <w:sz w:val="20"/>
          <w:szCs w:val="20"/>
          <w:lang w:val="es-AR"/>
        </w:rPr>
        <w:t>, en el sitio</w:t>
      </w:r>
      <w:r w:rsidR="008459BE" w:rsidRPr="00EA7870">
        <w:rPr>
          <w:i/>
          <w:sz w:val="20"/>
          <w:szCs w:val="20"/>
          <w:lang w:val="es-AR"/>
        </w:rPr>
        <w:t xml:space="preserve"> web</w:t>
      </w:r>
      <w:r w:rsidR="008459BE" w:rsidRPr="00EA7870">
        <w:rPr>
          <w:sz w:val="20"/>
          <w:szCs w:val="20"/>
          <w:lang w:val="es-AR"/>
        </w:rPr>
        <w:t xml:space="preserve"> de la BCBA (www.bolsar.com), en virtud del ejercicio de la facultad delegada por </w:t>
      </w:r>
      <w:r w:rsidR="006E67A9" w:rsidRPr="00EA7870">
        <w:rPr>
          <w:sz w:val="20"/>
          <w:szCs w:val="20"/>
          <w:lang w:val="es-AR"/>
        </w:rPr>
        <w:t>BYMA</w:t>
      </w:r>
      <w:r w:rsidR="008459BE" w:rsidRPr="00EA7870">
        <w:rPr>
          <w:sz w:val="20"/>
          <w:szCs w:val="20"/>
          <w:lang w:val="es-AR"/>
        </w:rPr>
        <w:t xml:space="preserve"> a la BCBA conforme lo dispuesto por la Resolución N°18.629 de la CNV, y en el </w:t>
      </w:r>
      <w:r w:rsidR="000C1135" w:rsidRPr="00EA7870">
        <w:rPr>
          <w:sz w:val="20"/>
          <w:szCs w:val="20"/>
          <w:lang w:val="es-AR"/>
        </w:rPr>
        <w:t>boletín electrónico</w:t>
      </w:r>
      <w:r w:rsidR="008459BE" w:rsidRPr="00EA7870">
        <w:rPr>
          <w:sz w:val="20"/>
          <w:szCs w:val="20"/>
          <w:lang w:val="es-AR"/>
        </w:rPr>
        <w:t xml:space="preserve"> del MAE</w:t>
      </w:r>
      <w:r w:rsidR="00A91547" w:rsidRPr="00EA7870">
        <w:rPr>
          <w:sz w:val="20"/>
          <w:szCs w:val="20"/>
          <w:lang w:val="es-AR"/>
        </w:rPr>
        <w:t>.</w:t>
      </w:r>
    </w:p>
    <w:p w14:paraId="58D83957" w14:textId="77777777" w:rsidR="00FD72AC" w:rsidRPr="00EA7870" w:rsidRDefault="00FD72AC" w:rsidP="00061CD9">
      <w:pPr>
        <w:jc w:val="both"/>
        <w:rPr>
          <w:b/>
          <w:sz w:val="20"/>
          <w:szCs w:val="20"/>
          <w:lang w:val="es-AR"/>
        </w:rPr>
      </w:pPr>
    </w:p>
    <w:p w14:paraId="7A1C918C" w14:textId="12951205" w:rsidR="00055073" w:rsidRPr="00EA7870" w:rsidRDefault="00B356D3" w:rsidP="00061CD9">
      <w:pPr>
        <w:jc w:val="both"/>
        <w:rPr>
          <w:b/>
          <w:sz w:val="20"/>
          <w:szCs w:val="20"/>
          <w:lang w:val="es-AR"/>
        </w:rPr>
      </w:pPr>
      <w:r w:rsidRPr="00EA7870">
        <w:rPr>
          <w:b/>
          <w:sz w:val="20"/>
          <w:szCs w:val="20"/>
          <w:lang w:val="es-AR"/>
        </w:rPr>
        <w:t xml:space="preserve">En </w:t>
      </w:r>
      <w:r w:rsidR="00390E2A" w:rsidRPr="00EA7870">
        <w:rPr>
          <w:b/>
          <w:sz w:val="20"/>
          <w:szCs w:val="20"/>
          <w:lang w:val="es-AR"/>
        </w:rPr>
        <w:t xml:space="preserve">la </w:t>
      </w:r>
      <w:r w:rsidRPr="00EA7870">
        <w:rPr>
          <w:b/>
          <w:sz w:val="20"/>
          <w:szCs w:val="20"/>
          <w:lang w:val="es-AR"/>
        </w:rPr>
        <w:t>Argentina, la oferta de suscripción de las Obligaciones Negociables será realizada por intermedio de</w:t>
      </w:r>
      <w:r w:rsidR="00B37C3D" w:rsidRPr="00EA7870">
        <w:rPr>
          <w:b/>
          <w:sz w:val="20"/>
          <w:szCs w:val="20"/>
          <w:lang w:val="es-AR"/>
        </w:rPr>
        <w:t>l</w:t>
      </w:r>
      <w:r w:rsidRPr="00EA7870">
        <w:rPr>
          <w:b/>
          <w:sz w:val="20"/>
          <w:szCs w:val="20"/>
          <w:lang w:val="es-AR"/>
        </w:rPr>
        <w:t xml:space="preserve"> Colocador Local de conformidad con y sujeto a los términos y condiciones previstos en el contrato de colocación local. En </w:t>
      </w:r>
      <w:r w:rsidR="00BC0888" w:rsidRPr="00EA7870">
        <w:rPr>
          <w:b/>
          <w:sz w:val="20"/>
          <w:szCs w:val="20"/>
          <w:lang w:val="es-AR"/>
        </w:rPr>
        <w:t xml:space="preserve">los </w:t>
      </w:r>
      <w:r w:rsidRPr="00EA7870">
        <w:rPr>
          <w:b/>
          <w:sz w:val="20"/>
          <w:szCs w:val="20"/>
          <w:lang w:val="es-AR"/>
        </w:rPr>
        <w:t>Estados Unidos, las Obligaciones Negociables solo serán ofrecidas y vendidas a “</w:t>
      </w:r>
      <w:r w:rsidR="009D6A3D" w:rsidRPr="00EA7870">
        <w:rPr>
          <w:b/>
          <w:sz w:val="20"/>
          <w:szCs w:val="20"/>
          <w:lang w:val="es-AR"/>
        </w:rPr>
        <w:t>inversores acredit</w:t>
      </w:r>
      <w:r w:rsidRPr="00EA7870">
        <w:rPr>
          <w:b/>
          <w:sz w:val="20"/>
          <w:szCs w:val="20"/>
          <w:lang w:val="es-AR"/>
        </w:rPr>
        <w:t>ados” (“</w:t>
      </w:r>
      <w:r w:rsidR="009D6A3D" w:rsidRPr="00EA7870">
        <w:rPr>
          <w:b/>
          <w:i/>
          <w:sz w:val="20"/>
          <w:szCs w:val="20"/>
          <w:lang w:val="es-AR"/>
        </w:rPr>
        <w:t>accredited investors</w:t>
      </w:r>
      <w:r w:rsidRPr="00EA7870">
        <w:rPr>
          <w:b/>
          <w:sz w:val="20"/>
          <w:szCs w:val="20"/>
          <w:lang w:val="es-AR"/>
        </w:rPr>
        <w:t xml:space="preserve">”) </w:t>
      </w:r>
      <w:r w:rsidR="00680F89" w:rsidRPr="00EA7870">
        <w:rPr>
          <w:b/>
          <w:sz w:val="20"/>
          <w:szCs w:val="20"/>
          <w:lang w:val="es-AR"/>
        </w:rPr>
        <w:t xml:space="preserve">institucionales </w:t>
      </w:r>
      <w:r w:rsidR="003723E9" w:rsidRPr="00EA7870">
        <w:rPr>
          <w:b/>
          <w:sz w:val="20"/>
          <w:szCs w:val="20"/>
          <w:lang w:val="es-AR"/>
        </w:rPr>
        <w:t>conforme se los define en</w:t>
      </w:r>
      <w:r w:rsidRPr="00EA7870">
        <w:rPr>
          <w:b/>
          <w:sz w:val="20"/>
          <w:szCs w:val="20"/>
          <w:lang w:val="es-AR"/>
        </w:rPr>
        <w:t xml:space="preserve"> la Regla </w:t>
      </w:r>
      <w:r w:rsidR="003723E9" w:rsidRPr="00EA7870">
        <w:rPr>
          <w:b/>
          <w:sz w:val="20"/>
          <w:szCs w:val="20"/>
          <w:lang w:val="es-AR"/>
        </w:rPr>
        <w:t>501(a)</w:t>
      </w:r>
      <w:r w:rsidRPr="00EA7870">
        <w:rPr>
          <w:b/>
          <w:sz w:val="20"/>
          <w:szCs w:val="20"/>
          <w:lang w:val="es-AR"/>
        </w:rPr>
        <w:t xml:space="preserve"> (</w:t>
      </w:r>
      <w:r w:rsidR="00595465" w:rsidRPr="00EA7870">
        <w:rPr>
          <w:b/>
          <w:sz w:val="20"/>
          <w:szCs w:val="20"/>
          <w:lang w:val="es-AR"/>
        </w:rPr>
        <w:t xml:space="preserve">la </w:t>
      </w:r>
      <w:r w:rsidRPr="00EA7870">
        <w:rPr>
          <w:b/>
          <w:sz w:val="20"/>
          <w:szCs w:val="20"/>
          <w:lang w:val="es-AR"/>
        </w:rPr>
        <w:t>“Re</w:t>
      </w:r>
      <w:r w:rsidR="00595465" w:rsidRPr="00EA7870">
        <w:rPr>
          <w:b/>
          <w:sz w:val="20"/>
          <w:szCs w:val="20"/>
          <w:lang w:val="es-AR"/>
        </w:rPr>
        <w:t>gla</w:t>
      </w:r>
      <w:r w:rsidRPr="00EA7870">
        <w:rPr>
          <w:b/>
          <w:sz w:val="20"/>
          <w:szCs w:val="20"/>
          <w:lang w:val="es-AR"/>
        </w:rPr>
        <w:t xml:space="preserve"> </w:t>
      </w:r>
      <w:r w:rsidR="003723E9" w:rsidRPr="00EA7870">
        <w:rPr>
          <w:b/>
          <w:sz w:val="20"/>
          <w:szCs w:val="20"/>
          <w:lang w:val="es-AR"/>
        </w:rPr>
        <w:t>501(a)</w:t>
      </w:r>
      <w:r w:rsidRPr="00EA7870">
        <w:rPr>
          <w:b/>
          <w:sz w:val="20"/>
          <w:szCs w:val="20"/>
          <w:lang w:val="es-AR"/>
        </w:rPr>
        <w:t xml:space="preserve">”) </w:t>
      </w:r>
      <w:r w:rsidR="003723E9" w:rsidRPr="00EA7870">
        <w:rPr>
          <w:b/>
          <w:sz w:val="20"/>
          <w:szCs w:val="20"/>
          <w:lang w:val="es-AR"/>
        </w:rPr>
        <w:t xml:space="preserve">de </w:t>
      </w:r>
      <w:r w:rsidRPr="00EA7870">
        <w:rPr>
          <w:b/>
          <w:sz w:val="20"/>
          <w:szCs w:val="20"/>
          <w:lang w:val="es-AR"/>
        </w:rPr>
        <w:t xml:space="preserve">la </w:t>
      </w:r>
      <w:r w:rsidR="003723E9" w:rsidRPr="00EA7870">
        <w:rPr>
          <w:b/>
          <w:sz w:val="20"/>
          <w:szCs w:val="20"/>
          <w:lang w:val="es-AR"/>
        </w:rPr>
        <w:t>Regulación D (</w:t>
      </w:r>
      <w:r w:rsidR="00595465" w:rsidRPr="00EA7870">
        <w:rPr>
          <w:b/>
          <w:sz w:val="20"/>
          <w:szCs w:val="20"/>
          <w:lang w:val="es-AR"/>
        </w:rPr>
        <w:t xml:space="preserve">la </w:t>
      </w:r>
      <w:r w:rsidR="003723E9" w:rsidRPr="00EA7870">
        <w:rPr>
          <w:b/>
          <w:sz w:val="20"/>
          <w:szCs w:val="20"/>
          <w:lang w:val="es-AR"/>
        </w:rPr>
        <w:t>“Regula</w:t>
      </w:r>
      <w:r w:rsidR="00595465" w:rsidRPr="00EA7870">
        <w:rPr>
          <w:b/>
          <w:sz w:val="20"/>
          <w:szCs w:val="20"/>
          <w:lang w:val="es-AR"/>
        </w:rPr>
        <w:t>c</w:t>
      </w:r>
      <w:r w:rsidR="003723E9" w:rsidRPr="00EA7870">
        <w:rPr>
          <w:b/>
          <w:sz w:val="20"/>
          <w:szCs w:val="20"/>
          <w:lang w:val="es-AR"/>
        </w:rPr>
        <w:t>i</w:t>
      </w:r>
      <w:r w:rsidR="00595465" w:rsidRPr="00EA7870">
        <w:rPr>
          <w:b/>
          <w:sz w:val="20"/>
          <w:szCs w:val="20"/>
          <w:lang w:val="es-AR"/>
        </w:rPr>
        <w:t>ó</w:t>
      </w:r>
      <w:r w:rsidR="003723E9" w:rsidRPr="00EA7870">
        <w:rPr>
          <w:b/>
          <w:sz w:val="20"/>
          <w:szCs w:val="20"/>
          <w:lang w:val="es-AR"/>
        </w:rPr>
        <w:t xml:space="preserve">n D”) de la </w:t>
      </w:r>
      <w:r w:rsidRPr="00EA7870">
        <w:rPr>
          <w:b/>
          <w:sz w:val="20"/>
          <w:szCs w:val="20"/>
          <w:lang w:val="es-AR"/>
        </w:rPr>
        <w:t xml:space="preserve">Ley de Títulos Valores </w:t>
      </w:r>
      <w:r w:rsidR="000468D6" w:rsidRPr="00EA7870">
        <w:rPr>
          <w:b/>
          <w:sz w:val="20"/>
          <w:szCs w:val="20"/>
          <w:lang w:val="es-AR"/>
        </w:rPr>
        <w:t>de 1933 de los Estados Unidos</w:t>
      </w:r>
      <w:r w:rsidR="00666C67" w:rsidRPr="00EA7870">
        <w:rPr>
          <w:b/>
          <w:sz w:val="20"/>
          <w:szCs w:val="20"/>
          <w:lang w:val="es-AR"/>
        </w:rPr>
        <w:t xml:space="preserve"> y sus modificatoria</w:t>
      </w:r>
      <w:r w:rsidR="000468D6" w:rsidRPr="00EA7870">
        <w:rPr>
          <w:b/>
          <w:sz w:val="20"/>
          <w:szCs w:val="20"/>
          <w:lang w:val="es-AR"/>
        </w:rPr>
        <w:t xml:space="preserve"> (la “Ley de Títulos Valores de los Estados Unidos”)</w:t>
      </w:r>
      <w:r w:rsidRPr="00EA7870">
        <w:rPr>
          <w:b/>
          <w:sz w:val="20"/>
          <w:szCs w:val="20"/>
          <w:lang w:val="es-AR"/>
        </w:rPr>
        <w:t>. Fuera de los Estados Unidos, las Obligaciones Negociables serán ofrecidas y vendidas a ciertas personas no estadounidenses bajo la Regulación S (</w:t>
      </w:r>
      <w:r w:rsidR="00595465" w:rsidRPr="00EA7870">
        <w:rPr>
          <w:b/>
          <w:sz w:val="20"/>
          <w:szCs w:val="20"/>
          <w:lang w:val="es-AR"/>
        </w:rPr>
        <w:t xml:space="preserve">la </w:t>
      </w:r>
      <w:r w:rsidRPr="00EA7870">
        <w:rPr>
          <w:b/>
          <w:sz w:val="20"/>
          <w:szCs w:val="20"/>
          <w:lang w:val="es-AR"/>
        </w:rPr>
        <w:t>“Regula</w:t>
      </w:r>
      <w:r w:rsidR="00595465" w:rsidRPr="00EA7870">
        <w:rPr>
          <w:b/>
          <w:sz w:val="20"/>
          <w:szCs w:val="20"/>
          <w:lang w:val="es-AR"/>
        </w:rPr>
        <w:t>ció</w:t>
      </w:r>
      <w:r w:rsidRPr="00EA7870">
        <w:rPr>
          <w:b/>
          <w:sz w:val="20"/>
          <w:szCs w:val="20"/>
          <w:lang w:val="es-AR"/>
        </w:rPr>
        <w:t>n S”) de la Ley de Títulos Valores de los Estados Unidos (conjuntamente con l</w:t>
      </w:r>
      <w:r w:rsidR="007F272B" w:rsidRPr="00EA7870">
        <w:rPr>
          <w:b/>
          <w:sz w:val="20"/>
          <w:szCs w:val="20"/>
          <w:lang w:val="es-AR"/>
        </w:rPr>
        <w:t xml:space="preserve">a oferta bajo la </w:t>
      </w:r>
      <w:r w:rsidR="00595465" w:rsidRPr="00EA7870">
        <w:rPr>
          <w:b/>
          <w:sz w:val="20"/>
          <w:szCs w:val="20"/>
          <w:lang w:val="es-AR"/>
        </w:rPr>
        <w:t xml:space="preserve">Regla </w:t>
      </w:r>
      <w:r w:rsidR="003723E9" w:rsidRPr="00EA7870">
        <w:rPr>
          <w:b/>
          <w:sz w:val="20"/>
          <w:szCs w:val="20"/>
          <w:lang w:val="es-AR"/>
        </w:rPr>
        <w:t>501(a)</w:t>
      </w:r>
      <w:r w:rsidR="007F272B" w:rsidRPr="00EA7870">
        <w:rPr>
          <w:b/>
          <w:sz w:val="20"/>
          <w:szCs w:val="20"/>
          <w:lang w:val="es-AR"/>
        </w:rPr>
        <w:t>, la “</w:t>
      </w:r>
      <w:r w:rsidRPr="00EA7870">
        <w:rPr>
          <w:b/>
          <w:sz w:val="20"/>
          <w:szCs w:val="20"/>
          <w:lang w:val="es-AR"/>
        </w:rPr>
        <w:t xml:space="preserve">Oferta Internacional”). </w:t>
      </w:r>
    </w:p>
    <w:p w14:paraId="3508AAFC" w14:textId="77777777" w:rsidR="000518A5" w:rsidRPr="00EA7870" w:rsidRDefault="000518A5" w:rsidP="00061CD9">
      <w:pPr>
        <w:jc w:val="both"/>
        <w:rPr>
          <w:b/>
          <w:sz w:val="20"/>
          <w:szCs w:val="20"/>
          <w:lang w:val="es-AR"/>
        </w:rPr>
      </w:pPr>
    </w:p>
    <w:p w14:paraId="28945A98" w14:textId="6FA99E13" w:rsidR="000518A5" w:rsidRPr="00EA7870" w:rsidRDefault="000518A5" w:rsidP="00061CD9">
      <w:pPr>
        <w:jc w:val="both"/>
        <w:rPr>
          <w:b/>
          <w:sz w:val="20"/>
          <w:szCs w:val="20"/>
          <w:lang w:val="es-AR"/>
        </w:rPr>
      </w:pPr>
      <w:r w:rsidRPr="00EA7870">
        <w:rPr>
          <w:b/>
          <w:sz w:val="20"/>
          <w:szCs w:val="20"/>
          <w:lang w:val="es-AR"/>
        </w:rPr>
        <w:t>LA OFERTA PÚBLICA DE LAS OBLIGACIONES NEGOCIABLES SERÁ DIRIGIDA EXCLUSIVAMENTE A “INVERSORES CALIFICADOS” SEGÚN SE LOS DEFINE EN EL ARTÍCULO 12 DE LA SECCIÓN I DEL CAPÍTULO VI DEL TÍTULO II DE LAS NORMAS DE LA CNV</w:t>
      </w:r>
      <w:r w:rsidR="00633D77">
        <w:rPr>
          <w:b/>
          <w:sz w:val="20"/>
          <w:szCs w:val="20"/>
          <w:lang w:val="es-AR"/>
        </w:rPr>
        <w:t xml:space="preserve"> QUE SEAN RESIDENTES ARGENTINOS</w:t>
      </w:r>
      <w:r w:rsidRPr="00EA7870">
        <w:rPr>
          <w:b/>
          <w:sz w:val="20"/>
          <w:szCs w:val="20"/>
          <w:lang w:val="es-AR"/>
        </w:rPr>
        <w:t xml:space="preserve">, </w:t>
      </w:r>
      <w:r w:rsidR="00666C67" w:rsidRPr="00EA7870">
        <w:rPr>
          <w:b/>
          <w:sz w:val="20"/>
          <w:szCs w:val="20"/>
          <w:lang w:val="es-AR"/>
        </w:rPr>
        <w:t xml:space="preserve">LA CUAL </w:t>
      </w:r>
      <w:r w:rsidRPr="00EA7870">
        <w:rPr>
          <w:b/>
          <w:sz w:val="20"/>
          <w:szCs w:val="20"/>
          <w:lang w:val="es-AR"/>
        </w:rPr>
        <w:t>SERÁ REALIZADA POR INTERMEDIO DE</w:t>
      </w:r>
      <w:r w:rsidR="00B37C3D" w:rsidRPr="00EA7870">
        <w:rPr>
          <w:b/>
          <w:sz w:val="20"/>
          <w:szCs w:val="20"/>
          <w:lang w:val="es-AR"/>
        </w:rPr>
        <w:t>L</w:t>
      </w:r>
      <w:r w:rsidRPr="00EA7870">
        <w:rPr>
          <w:b/>
          <w:sz w:val="20"/>
          <w:szCs w:val="20"/>
          <w:lang w:val="es-AR"/>
        </w:rPr>
        <w:t xml:space="preserve"> COLOCADOR LOCAL DE CONFORMIDAD CON Y SUJETO A LOS TÉRMINOS Y CONDICIONES PREVISTOS EN EL CONTRATO DE COLOCACIÓN.</w:t>
      </w:r>
    </w:p>
    <w:p w14:paraId="5E6432E9" w14:textId="77777777" w:rsidR="00B530EF" w:rsidRPr="00EA7870" w:rsidRDefault="00B530EF" w:rsidP="00061CD9">
      <w:pPr>
        <w:jc w:val="both"/>
        <w:rPr>
          <w:sz w:val="20"/>
          <w:szCs w:val="20"/>
          <w:lang w:val="es-AR"/>
        </w:rPr>
      </w:pPr>
    </w:p>
    <w:p w14:paraId="45020F9A" w14:textId="1A5C1701" w:rsidR="00991487" w:rsidRPr="00EA7870" w:rsidRDefault="00991487" w:rsidP="00061CD9">
      <w:pPr>
        <w:jc w:val="both"/>
        <w:rPr>
          <w:sz w:val="20"/>
          <w:szCs w:val="20"/>
          <w:lang w:val="es-AR"/>
        </w:rPr>
      </w:pPr>
      <w:r w:rsidRPr="00EA7870">
        <w:rPr>
          <w:sz w:val="20"/>
          <w:szCs w:val="20"/>
          <w:lang w:val="es-AR"/>
        </w:rPr>
        <w:t xml:space="preserve">El presente Suplemento y el Prospecto no constituyen una oferta de venta ni una invitación a comprar las Obligaciones Negociables, y no está permitido realizar una venta de dichas obligaciones negociables en ningún estado de los Estados Unidos ni en ninguna otra jurisdicción en la cual dicha oferta o venta no estuviera permitida de conformidad con las leyes de dicha jurisdicción. Las Obligaciones Negociables no han sido registradas bajo la Ley de Títulos Valores de los Estados Unidos, ni </w:t>
      </w:r>
      <w:r w:rsidR="00CA0FF9" w:rsidRPr="00EA7870">
        <w:rPr>
          <w:sz w:val="20"/>
          <w:szCs w:val="20"/>
          <w:lang w:val="es-AR"/>
        </w:rPr>
        <w:t xml:space="preserve">bajo </w:t>
      </w:r>
      <w:r w:rsidRPr="00EA7870">
        <w:rPr>
          <w:sz w:val="20"/>
          <w:szCs w:val="20"/>
          <w:lang w:val="es-AR"/>
        </w:rPr>
        <w:t xml:space="preserve">otras leyes aplicables en otras jurisdicciones (con excepción de </w:t>
      </w:r>
      <w:r w:rsidR="00390E2A" w:rsidRPr="00EA7870">
        <w:rPr>
          <w:sz w:val="20"/>
          <w:szCs w:val="20"/>
          <w:lang w:val="es-AR"/>
        </w:rPr>
        <w:t xml:space="preserve">la </w:t>
      </w:r>
      <w:r w:rsidRPr="00EA7870">
        <w:rPr>
          <w:sz w:val="20"/>
          <w:szCs w:val="20"/>
          <w:lang w:val="es-AR"/>
        </w:rPr>
        <w:t xml:space="preserve">Argentina). Cualquier oferta de las Obligaciones Negociables a ser realizada en los Estados Unidos o en cualquier otra jurisdicción (con excepción de </w:t>
      </w:r>
      <w:r w:rsidR="00390E2A" w:rsidRPr="00EA7870">
        <w:rPr>
          <w:sz w:val="20"/>
          <w:szCs w:val="20"/>
          <w:lang w:val="es-AR"/>
        </w:rPr>
        <w:t xml:space="preserve">la </w:t>
      </w:r>
      <w:r w:rsidRPr="00EA7870">
        <w:rPr>
          <w:sz w:val="20"/>
          <w:szCs w:val="20"/>
          <w:lang w:val="es-AR"/>
        </w:rPr>
        <w:t xml:space="preserve">Argentina) será realizada exclusivamente a través de un prospecto </w:t>
      </w:r>
      <w:r w:rsidR="007F272B" w:rsidRPr="00EA7870">
        <w:rPr>
          <w:i/>
          <w:sz w:val="20"/>
          <w:szCs w:val="20"/>
          <w:lang w:val="es-AR"/>
        </w:rPr>
        <w:t>(</w:t>
      </w:r>
      <w:r w:rsidR="009A3CC9" w:rsidRPr="00EA7870">
        <w:rPr>
          <w:i/>
          <w:sz w:val="20"/>
          <w:szCs w:val="20"/>
          <w:lang w:val="es-AR"/>
        </w:rPr>
        <w:t>placement memorandum</w:t>
      </w:r>
      <w:r w:rsidR="007F272B" w:rsidRPr="00EA7870">
        <w:rPr>
          <w:sz w:val="20"/>
          <w:szCs w:val="20"/>
          <w:lang w:val="es-AR"/>
        </w:rPr>
        <w:t xml:space="preserve">), redactado en idioma inglés, </w:t>
      </w:r>
      <w:r w:rsidR="00D51699" w:rsidRPr="00EA7870">
        <w:rPr>
          <w:sz w:val="20"/>
          <w:szCs w:val="20"/>
          <w:lang w:val="es-AR"/>
        </w:rPr>
        <w:t>que</w:t>
      </w:r>
      <w:r w:rsidR="00666C67" w:rsidRPr="00EA7870">
        <w:rPr>
          <w:sz w:val="20"/>
          <w:szCs w:val="20"/>
          <w:lang w:val="es-AR"/>
        </w:rPr>
        <w:t xml:space="preserve"> </w:t>
      </w:r>
      <w:r w:rsidR="007F272B" w:rsidRPr="00EA7870">
        <w:rPr>
          <w:sz w:val="20"/>
          <w:szCs w:val="20"/>
          <w:lang w:val="es-AR"/>
        </w:rPr>
        <w:t xml:space="preserve">podrá obtenerse de parte de los </w:t>
      </w:r>
      <w:r w:rsidR="009A3CC9" w:rsidRPr="00EA7870">
        <w:rPr>
          <w:sz w:val="20"/>
          <w:szCs w:val="20"/>
          <w:lang w:val="es-AR"/>
        </w:rPr>
        <w:t>Colocadores Internacionales</w:t>
      </w:r>
      <w:r w:rsidR="007F272B" w:rsidRPr="00EA7870">
        <w:rPr>
          <w:sz w:val="20"/>
          <w:szCs w:val="20"/>
          <w:lang w:val="es-AR"/>
        </w:rPr>
        <w:t xml:space="preserve"> (según </w:t>
      </w:r>
      <w:r w:rsidR="000E46CD" w:rsidRPr="00EA7870">
        <w:rPr>
          <w:sz w:val="20"/>
          <w:szCs w:val="20"/>
          <w:lang w:val="es-AR"/>
        </w:rPr>
        <w:t>este</w:t>
      </w:r>
      <w:r w:rsidR="007F272B" w:rsidRPr="00EA7870">
        <w:rPr>
          <w:sz w:val="20"/>
          <w:szCs w:val="20"/>
          <w:lang w:val="es-AR"/>
        </w:rPr>
        <w:t xml:space="preserve"> término se define más </w:t>
      </w:r>
      <w:r w:rsidR="000468D6" w:rsidRPr="00EA7870">
        <w:rPr>
          <w:sz w:val="20"/>
          <w:szCs w:val="20"/>
          <w:lang w:val="es-AR"/>
        </w:rPr>
        <w:t>adelante</w:t>
      </w:r>
      <w:r w:rsidR="007F272B" w:rsidRPr="00EA7870">
        <w:rPr>
          <w:sz w:val="20"/>
          <w:szCs w:val="20"/>
          <w:lang w:val="es-AR"/>
        </w:rPr>
        <w:t>)</w:t>
      </w:r>
      <w:r w:rsidR="00D51699" w:rsidRPr="00EA7870">
        <w:rPr>
          <w:sz w:val="20"/>
          <w:szCs w:val="20"/>
          <w:lang w:val="es-AR"/>
        </w:rPr>
        <w:t xml:space="preserve"> y que contendrá información sustancialmente similar a la de este Suplemento y a la </w:t>
      </w:r>
      <w:r w:rsidR="00B25D39" w:rsidRPr="00EA7870">
        <w:rPr>
          <w:sz w:val="20"/>
          <w:szCs w:val="20"/>
          <w:lang w:val="es-AR"/>
        </w:rPr>
        <w:t xml:space="preserve">información </w:t>
      </w:r>
      <w:r w:rsidR="00D51699" w:rsidRPr="00EA7870">
        <w:rPr>
          <w:sz w:val="20"/>
          <w:szCs w:val="20"/>
          <w:lang w:val="es-AR"/>
        </w:rPr>
        <w:t>del Prospecto</w:t>
      </w:r>
      <w:r w:rsidR="007F272B" w:rsidRPr="00EA7870">
        <w:rPr>
          <w:sz w:val="20"/>
          <w:szCs w:val="20"/>
          <w:lang w:val="es-AR"/>
        </w:rPr>
        <w:t>. Dicho documento no se encuentra sujeto a la autorización de la CNV.</w:t>
      </w:r>
    </w:p>
    <w:p w14:paraId="7B1D638E" w14:textId="77777777" w:rsidR="000E46CD" w:rsidRPr="00EA7870" w:rsidRDefault="000E46CD" w:rsidP="00061CD9">
      <w:pPr>
        <w:jc w:val="both"/>
        <w:rPr>
          <w:sz w:val="20"/>
          <w:szCs w:val="20"/>
          <w:lang w:val="es-AR"/>
        </w:rPr>
      </w:pPr>
    </w:p>
    <w:p w14:paraId="31812BE8" w14:textId="77777777" w:rsidR="000E46CD" w:rsidRPr="00EA7870" w:rsidRDefault="000E46CD" w:rsidP="00061CD9">
      <w:pPr>
        <w:jc w:val="both"/>
        <w:rPr>
          <w:sz w:val="20"/>
          <w:szCs w:val="20"/>
          <w:lang w:val="es-AR"/>
        </w:rPr>
      </w:pPr>
      <w:r w:rsidRPr="00EA7870">
        <w:rPr>
          <w:b/>
          <w:sz w:val="20"/>
          <w:szCs w:val="20"/>
          <w:lang w:val="es-AR"/>
        </w:rPr>
        <w:t xml:space="preserve">Se informa con carácter de </w:t>
      </w:r>
      <w:r w:rsidR="00000111" w:rsidRPr="00EA7870">
        <w:rPr>
          <w:b/>
          <w:sz w:val="20"/>
          <w:szCs w:val="20"/>
          <w:lang w:val="es-AR"/>
        </w:rPr>
        <w:t xml:space="preserve">declaración jurada </w:t>
      </w:r>
      <w:r w:rsidRPr="00EA7870">
        <w:rPr>
          <w:b/>
          <w:sz w:val="20"/>
          <w:szCs w:val="20"/>
          <w:lang w:val="es-AR"/>
        </w:rPr>
        <w:t>que la Emisora</w:t>
      </w:r>
      <w:r w:rsidR="004F0C13" w:rsidRPr="00EA7870">
        <w:rPr>
          <w:b/>
          <w:sz w:val="20"/>
          <w:szCs w:val="20"/>
          <w:lang w:val="es-AR"/>
        </w:rPr>
        <w:t>, la Garante</w:t>
      </w:r>
      <w:r w:rsidRPr="00EA7870">
        <w:rPr>
          <w:b/>
          <w:sz w:val="20"/>
          <w:szCs w:val="20"/>
          <w:lang w:val="es-AR"/>
        </w:rPr>
        <w:t xml:space="preserve">, </w:t>
      </w:r>
      <w:r w:rsidR="004F0C13" w:rsidRPr="00EA7870">
        <w:rPr>
          <w:b/>
          <w:sz w:val="20"/>
          <w:szCs w:val="20"/>
          <w:lang w:val="es-AR"/>
        </w:rPr>
        <w:t xml:space="preserve">sus respectivos </w:t>
      </w:r>
      <w:r w:rsidRPr="00EA7870">
        <w:rPr>
          <w:b/>
          <w:sz w:val="20"/>
          <w:szCs w:val="20"/>
          <w:lang w:val="es-AR"/>
        </w:rPr>
        <w:t xml:space="preserve">beneficiarios finales, y las personas </w:t>
      </w:r>
      <w:r w:rsidR="00000111" w:rsidRPr="00EA7870">
        <w:rPr>
          <w:b/>
          <w:sz w:val="20"/>
          <w:szCs w:val="20"/>
          <w:lang w:val="es-AR"/>
        </w:rPr>
        <w:t>humana</w:t>
      </w:r>
      <w:r w:rsidRPr="00EA7870">
        <w:rPr>
          <w:b/>
          <w:sz w:val="20"/>
          <w:szCs w:val="20"/>
          <w:lang w:val="es-AR"/>
        </w:rPr>
        <w:t xml:space="preserve">s o jurídicas que tienen como mínimo el 20% </w:t>
      </w:r>
      <w:r w:rsidR="00825216" w:rsidRPr="00EA7870">
        <w:rPr>
          <w:b/>
          <w:sz w:val="20"/>
          <w:szCs w:val="20"/>
          <w:lang w:val="es-AR"/>
        </w:rPr>
        <w:t>del</w:t>
      </w:r>
      <w:r w:rsidRPr="00EA7870">
        <w:rPr>
          <w:b/>
          <w:sz w:val="20"/>
          <w:szCs w:val="20"/>
          <w:lang w:val="es-AR"/>
        </w:rPr>
        <w:t xml:space="preserve"> capital o de los derechos a voto</w:t>
      </w:r>
      <w:r w:rsidR="004F0C13" w:rsidRPr="00EA7870">
        <w:rPr>
          <w:b/>
          <w:sz w:val="20"/>
          <w:szCs w:val="20"/>
          <w:lang w:val="es-AR"/>
        </w:rPr>
        <w:t xml:space="preserve"> de la Emisora y/o de la Garante, según fuera el caso</w:t>
      </w:r>
      <w:r w:rsidRPr="00EA7870">
        <w:rPr>
          <w:b/>
          <w:sz w:val="20"/>
          <w:szCs w:val="20"/>
          <w:lang w:val="es-AR"/>
        </w:rPr>
        <w:t>, o que por otros medios ejercen el control final, directo o indirecto sobre la</w:t>
      </w:r>
      <w:r w:rsidR="004F0C13" w:rsidRPr="00EA7870">
        <w:rPr>
          <w:b/>
          <w:sz w:val="20"/>
          <w:szCs w:val="20"/>
          <w:lang w:val="es-AR"/>
        </w:rPr>
        <w:t>s</w:t>
      </w:r>
      <w:r w:rsidRPr="00EA7870">
        <w:rPr>
          <w:b/>
          <w:sz w:val="20"/>
          <w:szCs w:val="20"/>
          <w:lang w:val="es-AR"/>
        </w:rPr>
        <w:t xml:space="preserve"> misma</w:t>
      </w:r>
      <w:r w:rsidR="004F0C13" w:rsidRPr="00EA7870">
        <w:rPr>
          <w:b/>
          <w:sz w:val="20"/>
          <w:szCs w:val="20"/>
          <w:lang w:val="es-AR"/>
        </w:rPr>
        <w:t>s</w:t>
      </w:r>
      <w:r w:rsidRPr="00EA7870">
        <w:rPr>
          <w:b/>
          <w:sz w:val="20"/>
          <w:szCs w:val="20"/>
          <w:lang w:val="es-AR"/>
        </w:rPr>
        <w:t>, no registran condenas por delitos de lavado de activos y/o financiamiento del terrorismo y/o figuran en las listas de terroristas y organizaciones terroristas emitidas por el Consejo de Seguridad de las Naciones Unidas</w:t>
      </w:r>
      <w:r w:rsidRPr="00EA7870">
        <w:rPr>
          <w:sz w:val="20"/>
          <w:szCs w:val="20"/>
          <w:lang w:val="es-AR"/>
        </w:rPr>
        <w:t>.</w:t>
      </w:r>
    </w:p>
    <w:p w14:paraId="437E3DB8" w14:textId="4F886514" w:rsidR="00E052CF" w:rsidRDefault="00E052CF" w:rsidP="00061CD9">
      <w:pPr>
        <w:jc w:val="both"/>
        <w:rPr>
          <w:sz w:val="20"/>
          <w:szCs w:val="20"/>
          <w:lang w:val="es-AR"/>
        </w:rPr>
      </w:pPr>
    </w:p>
    <w:p w14:paraId="5CB39E66" w14:textId="1A8371DD" w:rsidR="00A22E7F" w:rsidRDefault="00A22E7F" w:rsidP="00A22E7F">
      <w:pPr>
        <w:widowControl w:val="0"/>
        <w:autoSpaceDE w:val="0"/>
        <w:autoSpaceDN w:val="0"/>
        <w:ind w:right="99"/>
        <w:jc w:val="both"/>
        <w:rPr>
          <w:b/>
          <w:color w:val="000000" w:themeColor="text1"/>
          <w:sz w:val="20"/>
          <w:szCs w:val="20"/>
          <w:lang w:val="es-AR" w:bidi="es-ES"/>
        </w:rPr>
      </w:pPr>
      <w:r>
        <w:rPr>
          <w:b/>
          <w:color w:val="000000" w:themeColor="text1"/>
          <w:sz w:val="20"/>
          <w:szCs w:val="20"/>
          <w:lang w:val="es-ES" w:bidi="es-ES"/>
        </w:rPr>
        <w:t>Los estados contables correspondientes al período de nueve meses finalizado el 30 de septiembre de 2019</w:t>
      </w:r>
      <w:r>
        <w:rPr>
          <w:b/>
          <w:color w:val="000000" w:themeColor="text1"/>
          <w:sz w:val="20"/>
          <w:szCs w:val="20"/>
          <w:lang w:val="es-AR" w:bidi="es-ES"/>
        </w:rPr>
        <w:t xml:space="preserve">, preparados bajo las normas internacionales de información financiera (“NIIF”), de la Emisora se encuentran a disposición de los interesados en el sitio web de la CNV: </w:t>
      </w:r>
      <w:hyperlink r:id="rId13" w:history="1">
        <w:r>
          <w:rPr>
            <w:rStyle w:val="Hipervnculo"/>
            <w:b/>
            <w:color w:val="000000" w:themeColor="text1"/>
            <w:sz w:val="20"/>
            <w:szCs w:val="20"/>
            <w:lang w:val="es-AR" w:bidi="es-ES"/>
          </w:rPr>
          <w:t>www.cnv.gov.ar</w:t>
        </w:r>
      </w:hyperlink>
      <w:r>
        <w:rPr>
          <w:b/>
          <w:color w:val="000000" w:themeColor="text1"/>
          <w:sz w:val="20"/>
          <w:szCs w:val="20"/>
          <w:lang w:val="es-AR" w:bidi="es-ES"/>
        </w:rPr>
        <w:t xml:space="preserve">, bajo el ID 2543454. Asimismo, los estados contables correspondientes al período de nueve meses finalizado el 30 de septiembre de 2019 de la Emisora se adjuntan como Anexo I de este Suplemento. Los estados contables correspondientes al período de nueve meses finalizado el 30 de septiembre de 2019 de la Emisora no han sido verificados por la CNV. </w:t>
      </w:r>
    </w:p>
    <w:p w14:paraId="047AB3A7" w14:textId="77777777" w:rsidR="00A22E7F" w:rsidRPr="00EA7870" w:rsidRDefault="00A22E7F" w:rsidP="00061CD9">
      <w:pPr>
        <w:jc w:val="both"/>
        <w:rPr>
          <w:sz w:val="20"/>
          <w:szCs w:val="20"/>
          <w:lang w:val="es-AR"/>
        </w:rPr>
      </w:pPr>
    </w:p>
    <w:p w14:paraId="5D129EE6" w14:textId="77777777" w:rsidR="00E052CF" w:rsidRPr="00EA7870" w:rsidRDefault="00E052CF" w:rsidP="00061CD9">
      <w:pPr>
        <w:jc w:val="both"/>
        <w:rPr>
          <w:sz w:val="20"/>
          <w:szCs w:val="20"/>
          <w:lang w:val="es-AR"/>
        </w:rPr>
      </w:pPr>
      <w:r w:rsidRPr="00EA7870">
        <w:rPr>
          <w:sz w:val="20"/>
          <w:szCs w:val="20"/>
          <w:lang w:val="es-AR"/>
        </w:rPr>
        <w:lastRenderedPageBreak/>
        <w:t xml:space="preserve">Se prevé que las Obligaciones Negociables estén disponibles para su distribución en forma escritural por intermedio de The Depository Trust Company y sus participantes directos e indirectos, incluyendo Euroclear S.A./N.V, como operador de Euroclear System, y Clearstream Banking, </w:t>
      </w:r>
      <w:r w:rsidRPr="00EA7870">
        <w:rPr>
          <w:i/>
          <w:sz w:val="20"/>
          <w:szCs w:val="20"/>
          <w:lang w:val="es-AR"/>
        </w:rPr>
        <w:t>société anonyme</w:t>
      </w:r>
      <w:r w:rsidRPr="00EA7870">
        <w:rPr>
          <w:sz w:val="20"/>
          <w:szCs w:val="20"/>
          <w:lang w:val="es-AR"/>
        </w:rPr>
        <w:t>.</w:t>
      </w:r>
    </w:p>
    <w:p w14:paraId="5CE0F161" w14:textId="77777777" w:rsidR="00241A82" w:rsidRPr="00EA7870" w:rsidRDefault="00241A82" w:rsidP="00061CD9">
      <w:pPr>
        <w:jc w:val="both"/>
        <w:rPr>
          <w:sz w:val="20"/>
          <w:szCs w:val="20"/>
          <w:lang w:val="es-AR"/>
        </w:rPr>
      </w:pPr>
    </w:p>
    <w:tbl>
      <w:tblPr>
        <w:tblW w:w="5000" w:type="pct"/>
        <w:tblLook w:val="04A0" w:firstRow="1" w:lastRow="0" w:firstColumn="1" w:lastColumn="0" w:noHBand="0" w:noVBand="1"/>
      </w:tblPr>
      <w:tblGrid>
        <w:gridCol w:w="2833"/>
        <w:gridCol w:w="2834"/>
        <w:gridCol w:w="2837"/>
      </w:tblGrid>
      <w:tr w:rsidR="00461C26" w:rsidRPr="00EA7870" w14:paraId="27AF8B4E" w14:textId="77777777" w:rsidTr="008C3631">
        <w:tc>
          <w:tcPr>
            <w:tcW w:w="5000" w:type="pct"/>
            <w:gridSpan w:val="3"/>
            <w:shd w:val="clear" w:color="auto" w:fill="auto"/>
          </w:tcPr>
          <w:p w14:paraId="556268F5" w14:textId="77777777" w:rsidR="00461C26" w:rsidRPr="00EA7870" w:rsidRDefault="00461C26" w:rsidP="00486D9F">
            <w:pPr>
              <w:jc w:val="center"/>
              <w:rPr>
                <w:i/>
                <w:sz w:val="20"/>
                <w:szCs w:val="20"/>
                <w:lang w:val="es-AR"/>
              </w:rPr>
            </w:pPr>
            <w:r w:rsidRPr="00EA7870">
              <w:rPr>
                <w:i/>
                <w:sz w:val="20"/>
                <w:szCs w:val="20"/>
                <w:lang w:val="es-AR"/>
              </w:rPr>
              <w:t>Colocador Local</w:t>
            </w:r>
          </w:p>
          <w:p w14:paraId="3B6165F5" w14:textId="77777777" w:rsidR="00162288" w:rsidRPr="00EA7870" w:rsidRDefault="00162288" w:rsidP="00486D9F">
            <w:pPr>
              <w:jc w:val="center"/>
              <w:rPr>
                <w:i/>
                <w:sz w:val="20"/>
                <w:szCs w:val="20"/>
                <w:lang w:val="es-AR"/>
              </w:rPr>
            </w:pPr>
          </w:p>
          <w:p w14:paraId="22913183" w14:textId="77777777" w:rsidR="00461C26" w:rsidRPr="00EA7870" w:rsidRDefault="00745945" w:rsidP="00486D9F">
            <w:pPr>
              <w:jc w:val="center"/>
              <w:rPr>
                <w:sz w:val="20"/>
                <w:szCs w:val="20"/>
              </w:rPr>
            </w:pPr>
            <w:r w:rsidRPr="00F31F83">
              <w:rPr>
                <w:b/>
                <w:i/>
                <w:noProof/>
                <w:sz w:val="20"/>
                <w:lang w:val="es-AR" w:eastAsia="es-AR"/>
              </w:rPr>
              <w:drawing>
                <wp:inline distT="0" distB="0" distL="0" distR="0" wp14:anchorId="4FD62EEE" wp14:editId="66D34563">
                  <wp:extent cx="1243827" cy="562440"/>
                  <wp:effectExtent l="0" t="0" r="0" b="9525"/>
                  <wp:docPr id="1" name="Picture 1" descr="C:\Users\pns\AppData\Local\Microsoft\Windows\INetCache\Content.Outlook\R0X574IM\Logo_itaubba_AR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ns\AppData\Local\Microsoft\Windows\INetCache\Content.Outlook\R0X574IM\Logo_itaubba_AR (transparent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7974" cy="582403"/>
                          </a:xfrm>
                          <a:prstGeom prst="rect">
                            <a:avLst/>
                          </a:prstGeom>
                          <a:noFill/>
                          <a:ln>
                            <a:noFill/>
                          </a:ln>
                        </pic:spPr>
                      </pic:pic>
                    </a:graphicData>
                  </a:graphic>
                </wp:inline>
              </w:drawing>
            </w:r>
          </w:p>
          <w:p w14:paraId="37252956" w14:textId="77777777" w:rsidR="00162288" w:rsidRPr="00EA7870" w:rsidRDefault="00162288" w:rsidP="00486D9F">
            <w:pPr>
              <w:jc w:val="center"/>
              <w:rPr>
                <w:sz w:val="20"/>
                <w:szCs w:val="20"/>
              </w:rPr>
            </w:pPr>
          </w:p>
        </w:tc>
      </w:tr>
      <w:tr w:rsidR="00461C26" w:rsidRPr="00EA7870" w14:paraId="1BD2FAF7" w14:textId="77777777" w:rsidTr="008C3631">
        <w:tc>
          <w:tcPr>
            <w:tcW w:w="1666" w:type="pct"/>
            <w:shd w:val="clear" w:color="auto" w:fill="auto"/>
          </w:tcPr>
          <w:p w14:paraId="147FF89E" w14:textId="77777777" w:rsidR="00461C26" w:rsidRPr="00EA7870" w:rsidRDefault="00461C26" w:rsidP="00486D9F">
            <w:pPr>
              <w:rPr>
                <w:sz w:val="20"/>
                <w:szCs w:val="20"/>
              </w:rPr>
            </w:pPr>
          </w:p>
        </w:tc>
        <w:tc>
          <w:tcPr>
            <w:tcW w:w="1666" w:type="pct"/>
            <w:shd w:val="clear" w:color="auto" w:fill="auto"/>
          </w:tcPr>
          <w:p w14:paraId="0C71919B" w14:textId="77777777" w:rsidR="00461C26" w:rsidRPr="00EA7870" w:rsidRDefault="00B37C3D" w:rsidP="00486D9F">
            <w:pPr>
              <w:jc w:val="center"/>
              <w:rPr>
                <w:sz w:val="20"/>
                <w:szCs w:val="20"/>
              </w:rPr>
            </w:pPr>
            <w:r w:rsidRPr="00EA7870">
              <w:rPr>
                <w:b/>
                <w:bCs/>
                <w:sz w:val="20"/>
                <w:szCs w:val="20"/>
              </w:rPr>
              <w:t>Banco Itaú Argentina S.A</w:t>
            </w:r>
            <w:r w:rsidRPr="00EA7870">
              <w:rPr>
                <w:sz w:val="20"/>
                <w:szCs w:val="20"/>
              </w:rPr>
              <w:t>. Matrícula ALyC-AN Nº70</w:t>
            </w:r>
          </w:p>
          <w:p w14:paraId="7BEB905E" w14:textId="77777777" w:rsidR="00B37C3D" w:rsidRPr="00EA7870" w:rsidRDefault="00B37C3D" w:rsidP="00486D9F">
            <w:pPr>
              <w:jc w:val="center"/>
              <w:rPr>
                <w:sz w:val="20"/>
                <w:szCs w:val="20"/>
              </w:rPr>
            </w:pPr>
          </w:p>
        </w:tc>
        <w:tc>
          <w:tcPr>
            <w:tcW w:w="1668" w:type="pct"/>
            <w:shd w:val="clear" w:color="auto" w:fill="auto"/>
          </w:tcPr>
          <w:p w14:paraId="170E54AC" w14:textId="77777777" w:rsidR="00461C26" w:rsidRPr="00EA7870" w:rsidRDefault="00461C26" w:rsidP="00486D9F">
            <w:pPr>
              <w:rPr>
                <w:sz w:val="20"/>
                <w:szCs w:val="20"/>
              </w:rPr>
            </w:pPr>
          </w:p>
        </w:tc>
      </w:tr>
    </w:tbl>
    <w:p w14:paraId="07F29D37" w14:textId="6A878C0C" w:rsidR="00745945" w:rsidRPr="00EA7870" w:rsidRDefault="00B530EF" w:rsidP="00D33DBE">
      <w:pPr>
        <w:jc w:val="center"/>
        <w:rPr>
          <w:sz w:val="20"/>
          <w:szCs w:val="20"/>
          <w:lang w:val="es-AR"/>
        </w:rPr>
      </w:pPr>
      <w:r w:rsidRPr="00EA7870">
        <w:rPr>
          <w:sz w:val="20"/>
          <w:szCs w:val="20"/>
          <w:lang w:val="es-AR"/>
        </w:rPr>
        <w:t xml:space="preserve">La fecha de este Suplemento </w:t>
      </w:r>
      <w:r w:rsidR="006A72E9" w:rsidRPr="00EA7870">
        <w:rPr>
          <w:sz w:val="20"/>
          <w:szCs w:val="20"/>
          <w:lang w:val="es-AR"/>
        </w:rPr>
        <w:t xml:space="preserve">es </w:t>
      </w:r>
      <w:r w:rsidR="009114EC" w:rsidRPr="00EA7870">
        <w:rPr>
          <w:sz w:val="20"/>
          <w:szCs w:val="20"/>
          <w:lang w:val="es-AR"/>
        </w:rPr>
        <w:t>1</w:t>
      </w:r>
      <w:r w:rsidR="00AD0FB2">
        <w:rPr>
          <w:sz w:val="20"/>
          <w:szCs w:val="20"/>
          <w:lang w:val="es-AR"/>
        </w:rPr>
        <w:t>2</w:t>
      </w:r>
      <w:r w:rsidR="00FD72AC" w:rsidRPr="00EA7870">
        <w:rPr>
          <w:sz w:val="20"/>
          <w:szCs w:val="20"/>
          <w:lang w:val="es-AR"/>
        </w:rPr>
        <w:t xml:space="preserve"> </w:t>
      </w:r>
      <w:r w:rsidR="006A72E9" w:rsidRPr="00EA7870">
        <w:rPr>
          <w:sz w:val="20"/>
          <w:szCs w:val="20"/>
          <w:lang w:val="es-AR"/>
        </w:rPr>
        <w:t>de</w:t>
      </w:r>
      <w:r w:rsidR="003D03E4" w:rsidRPr="00EA7870">
        <w:rPr>
          <w:sz w:val="20"/>
          <w:szCs w:val="20"/>
          <w:lang w:val="es-AR"/>
        </w:rPr>
        <w:t xml:space="preserve"> </w:t>
      </w:r>
      <w:r w:rsidR="00084470" w:rsidRPr="00EA7870">
        <w:rPr>
          <w:sz w:val="20"/>
          <w:szCs w:val="20"/>
          <w:lang w:val="es-AR"/>
        </w:rPr>
        <w:t xml:space="preserve">noviembre </w:t>
      </w:r>
      <w:r w:rsidR="006A72E9" w:rsidRPr="00EA7870">
        <w:rPr>
          <w:sz w:val="20"/>
          <w:szCs w:val="20"/>
          <w:lang w:val="es-AR"/>
        </w:rPr>
        <w:t>de 201</w:t>
      </w:r>
      <w:r w:rsidR="002F1477" w:rsidRPr="00EA7870">
        <w:rPr>
          <w:sz w:val="20"/>
          <w:szCs w:val="20"/>
          <w:lang w:val="es-AR"/>
        </w:rPr>
        <w:t>9</w:t>
      </w:r>
      <w:r w:rsidR="007D02EE" w:rsidRPr="00EA7870">
        <w:rPr>
          <w:sz w:val="20"/>
          <w:szCs w:val="20"/>
          <w:lang w:val="es-AR"/>
        </w:rPr>
        <w:t>.</w:t>
      </w:r>
    </w:p>
    <w:p w14:paraId="01860566" w14:textId="77777777" w:rsidR="00AE6527" w:rsidRPr="00EA7870" w:rsidRDefault="00AE6527" w:rsidP="00D33DBE">
      <w:pPr>
        <w:jc w:val="center"/>
        <w:rPr>
          <w:sz w:val="20"/>
          <w:szCs w:val="20"/>
          <w:lang w:val="es-AR"/>
        </w:rPr>
      </w:pPr>
      <w:r w:rsidRPr="00EA7870">
        <w:rPr>
          <w:sz w:val="20"/>
          <w:szCs w:val="20"/>
          <w:lang w:val="es-AR"/>
        </w:rPr>
        <w:br w:type="page"/>
      </w:r>
    </w:p>
    <w:p w14:paraId="0D89D94C" w14:textId="77777777" w:rsidR="009D1414" w:rsidRPr="00006F04" w:rsidRDefault="009D1414" w:rsidP="00006F04">
      <w:pPr>
        <w:jc w:val="center"/>
        <w:rPr>
          <w:b/>
          <w:bCs/>
          <w:sz w:val="20"/>
          <w:szCs w:val="20"/>
          <w:lang w:val="es-AR"/>
        </w:rPr>
      </w:pPr>
      <w:bookmarkStart w:id="11" w:name="_Toc470730336"/>
      <w:bookmarkStart w:id="12" w:name="_Toc515470743"/>
      <w:bookmarkStart w:id="13" w:name="_Toc526498903"/>
      <w:bookmarkStart w:id="14" w:name="_Toc22946932"/>
      <w:bookmarkStart w:id="15" w:name="_Toc24360354"/>
      <w:bookmarkStart w:id="16" w:name="_Toc337141354"/>
      <w:r w:rsidRPr="00006F04">
        <w:rPr>
          <w:b/>
          <w:bCs/>
          <w:sz w:val="20"/>
          <w:szCs w:val="20"/>
          <w:lang w:val="es-AR"/>
        </w:rPr>
        <w:lastRenderedPageBreak/>
        <w:t>ÍNDICE</w:t>
      </w:r>
      <w:bookmarkEnd w:id="11"/>
      <w:bookmarkEnd w:id="12"/>
      <w:bookmarkEnd w:id="13"/>
      <w:bookmarkEnd w:id="14"/>
      <w:bookmarkEnd w:id="15"/>
    </w:p>
    <w:p w14:paraId="611C03D9" w14:textId="77777777" w:rsidR="006A1C4C" w:rsidRPr="00006F04" w:rsidRDefault="006A1C4C" w:rsidP="00006F04">
      <w:pPr>
        <w:rPr>
          <w:sz w:val="20"/>
          <w:szCs w:val="20"/>
          <w:lang w:val="es-AR"/>
        </w:rPr>
      </w:pPr>
      <w:bookmarkStart w:id="17" w:name="_Toc24360355"/>
    </w:p>
    <w:sdt>
      <w:sdtPr>
        <w:rPr>
          <w:rFonts w:eastAsia="Times New Roman"/>
          <w:b w:val="0"/>
          <w:caps w:val="0"/>
          <w:sz w:val="24"/>
          <w:szCs w:val="20"/>
          <w:lang w:val="es-ES" w:eastAsia="es-ES"/>
        </w:rPr>
        <w:id w:val="-1600941520"/>
        <w:docPartObj>
          <w:docPartGallery w:val="Table of Contents"/>
          <w:docPartUnique/>
        </w:docPartObj>
      </w:sdtPr>
      <w:sdtEndPr>
        <w:rPr>
          <w:bCs/>
          <w:sz w:val="20"/>
        </w:rPr>
      </w:sdtEndPr>
      <w:sdtContent>
        <w:p w14:paraId="12287C4E" w14:textId="56CB351D" w:rsidR="006A1C4C" w:rsidRPr="00006F04" w:rsidRDefault="006A1C4C" w:rsidP="00006F04">
          <w:pPr>
            <w:pStyle w:val="TtuloTDC"/>
            <w:spacing w:after="0"/>
            <w:rPr>
              <w:szCs w:val="20"/>
            </w:rPr>
          </w:pPr>
        </w:p>
        <w:p w14:paraId="272F9EBC" w14:textId="2FC326E8" w:rsidR="004D25D4" w:rsidRPr="004D25D4" w:rsidRDefault="006A1C4C"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r w:rsidRPr="004D25D4">
            <w:rPr>
              <w:rFonts w:ascii="Times New Roman" w:hAnsi="Times New Roman" w:cs="Times New Roman"/>
              <w:sz w:val="20"/>
              <w:szCs w:val="20"/>
            </w:rPr>
            <w:fldChar w:fldCharType="begin"/>
          </w:r>
          <w:r w:rsidRPr="004D25D4">
            <w:rPr>
              <w:rFonts w:ascii="Times New Roman" w:hAnsi="Times New Roman" w:cs="Times New Roman"/>
              <w:sz w:val="20"/>
              <w:szCs w:val="20"/>
            </w:rPr>
            <w:instrText xml:space="preserve"> TOC \o "1-3" \h \z \u </w:instrText>
          </w:r>
          <w:r w:rsidRPr="004D25D4">
            <w:rPr>
              <w:rFonts w:ascii="Times New Roman" w:hAnsi="Times New Roman" w:cs="Times New Roman"/>
              <w:sz w:val="20"/>
              <w:szCs w:val="20"/>
            </w:rPr>
            <w:fldChar w:fldCharType="separate"/>
          </w:r>
          <w:hyperlink w:anchor="_Toc24363260" w:history="1">
            <w:r w:rsidR="004D25D4" w:rsidRPr="004D25D4">
              <w:rPr>
                <w:rStyle w:val="Hipervnculo"/>
                <w:rFonts w:ascii="Times New Roman" w:eastAsia="SimSun" w:hAnsi="Times New Roman"/>
                <w:noProof/>
                <w:sz w:val="20"/>
                <w:szCs w:val="20"/>
                <w:lang w:val="es-AR"/>
              </w:rPr>
              <w:t>NOTIFICACIÓN A LOS INVERSORES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_Toc24363260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6</w:t>
            </w:r>
            <w:r w:rsidR="004D25D4" w:rsidRPr="004D25D4">
              <w:rPr>
                <w:rFonts w:ascii="Times New Roman" w:hAnsi="Times New Roman" w:cs="Times New Roman"/>
                <w:noProof/>
                <w:webHidden/>
                <w:sz w:val="20"/>
                <w:szCs w:val="20"/>
              </w:rPr>
              <w:fldChar w:fldCharType="end"/>
            </w:r>
          </w:hyperlink>
        </w:p>
        <w:p w14:paraId="68E950B6" w14:textId="4AAFBC6C"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1" w:history="1">
            <w:r w:rsidR="004D25D4" w:rsidRPr="004D25D4">
              <w:rPr>
                <w:rStyle w:val="Hipervnculo"/>
                <w:rFonts w:ascii="Times New Roman" w:eastAsia="SimSun" w:hAnsi="Times New Roman"/>
                <w:noProof/>
                <w:sz w:val="20"/>
                <w:szCs w:val="20"/>
                <w:lang w:val="es-AR"/>
              </w:rPr>
              <w:t>DOCUMENTOS A DISPOSICIÓN</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_Toc24363261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11</w:t>
            </w:r>
            <w:r w:rsidR="004D25D4" w:rsidRPr="004D25D4">
              <w:rPr>
                <w:rFonts w:ascii="Times New Roman" w:hAnsi="Times New Roman" w:cs="Times New Roman"/>
                <w:noProof/>
                <w:webHidden/>
                <w:sz w:val="20"/>
                <w:szCs w:val="20"/>
              </w:rPr>
              <w:fldChar w:fldCharType="end"/>
            </w:r>
          </w:hyperlink>
        </w:p>
        <w:p w14:paraId="59CA3BB8" w14:textId="4F625CC4"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2" w:history="1">
            <w:r w:rsidR="004D25D4" w:rsidRPr="004D25D4">
              <w:rPr>
                <w:rStyle w:val="Hipervnculo"/>
                <w:rFonts w:ascii="Times New Roman" w:eastAsia="SimSun" w:hAnsi="Times New Roman"/>
                <w:noProof/>
                <w:sz w:val="20"/>
                <w:szCs w:val="20"/>
                <w:lang w:val="es-AR"/>
              </w:rPr>
              <w:t>DEFINICIONES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_Toc24363262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11</w:t>
            </w:r>
            <w:r w:rsidR="004D25D4" w:rsidRPr="004D25D4">
              <w:rPr>
                <w:rFonts w:ascii="Times New Roman" w:hAnsi="Times New Roman" w:cs="Times New Roman"/>
                <w:noProof/>
                <w:webHidden/>
                <w:sz w:val="20"/>
                <w:szCs w:val="20"/>
              </w:rPr>
              <w:fldChar w:fldCharType="end"/>
            </w:r>
          </w:hyperlink>
        </w:p>
        <w:p w14:paraId="3E61E75F" w14:textId="4D11FBCC"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3" w:history="1">
            <w:r w:rsidR="004D25D4" w:rsidRPr="004D25D4">
              <w:rPr>
                <w:rStyle w:val="Hipervnculo"/>
                <w:rFonts w:ascii="Times New Roman" w:eastAsia="SimSun" w:hAnsi="Times New Roman"/>
                <w:noProof/>
                <w:sz w:val="20"/>
                <w:szCs w:val="20"/>
                <w:lang w:val="es-AR"/>
              </w:rPr>
              <w:t>PREVENCIÓN DE LAVADO DE ACTIVOS Y FINANCIACIÓN DEL TERRORISMO, CONTROLES DE CAMBIOS E IMPUESTOS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_Toc24363263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11</w:t>
            </w:r>
            <w:r w:rsidR="004D25D4" w:rsidRPr="004D25D4">
              <w:rPr>
                <w:rFonts w:ascii="Times New Roman" w:hAnsi="Times New Roman" w:cs="Times New Roman"/>
                <w:noProof/>
                <w:webHidden/>
                <w:sz w:val="20"/>
                <w:szCs w:val="20"/>
              </w:rPr>
              <w:fldChar w:fldCharType="end"/>
            </w:r>
          </w:hyperlink>
        </w:p>
        <w:p w14:paraId="4CF60612" w14:textId="53E8C53F"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4" w:history="1">
            <w:r w:rsidR="004D25D4" w:rsidRPr="004D25D4">
              <w:rPr>
                <w:rStyle w:val="Hipervnculo"/>
                <w:rFonts w:ascii="Times New Roman" w:eastAsia="SimSun" w:hAnsi="Times New Roman"/>
                <w:noProof/>
                <w:sz w:val="20"/>
                <w:szCs w:val="20"/>
                <w:lang w:val="es-AR"/>
              </w:rPr>
              <w:t>INVERSORES CALIFICADOS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_Toc24363264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11</w:t>
            </w:r>
            <w:r w:rsidR="004D25D4" w:rsidRPr="004D25D4">
              <w:rPr>
                <w:rFonts w:ascii="Times New Roman" w:hAnsi="Times New Roman" w:cs="Times New Roman"/>
                <w:noProof/>
                <w:webHidden/>
                <w:sz w:val="20"/>
                <w:szCs w:val="20"/>
              </w:rPr>
              <w:fldChar w:fldCharType="end"/>
            </w:r>
          </w:hyperlink>
        </w:p>
        <w:p w14:paraId="1553C339" w14:textId="504E045D"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5" w:history="1">
            <w:r w:rsidR="004D25D4" w:rsidRPr="004D25D4">
              <w:rPr>
                <w:rStyle w:val="Hipervnculo"/>
                <w:rFonts w:ascii="Times New Roman" w:eastAsia="SimSun" w:hAnsi="Times New Roman"/>
                <w:noProof/>
                <w:sz w:val="20"/>
                <w:szCs w:val="20"/>
                <w:lang w:val="es-AR"/>
              </w:rPr>
              <w:t>APROBACIONES SOCIETARIAS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_Toc24363265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12</w:t>
            </w:r>
            <w:r w:rsidR="004D25D4" w:rsidRPr="004D25D4">
              <w:rPr>
                <w:rFonts w:ascii="Times New Roman" w:hAnsi="Times New Roman" w:cs="Times New Roman"/>
                <w:noProof/>
                <w:webHidden/>
                <w:sz w:val="20"/>
                <w:szCs w:val="20"/>
              </w:rPr>
              <w:fldChar w:fldCharType="end"/>
            </w:r>
          </w:hyperlink>
        </w:p>
        <w:p w14:paraId="49751DA6" w14:textId="651F23F3"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6" w:history="1">
            <w:r w:rsidR="004D25D4" w:rsidRPr="004D25D4">
              <w:rPr>
                <w:rStyle w:val="Hipervnculo"/>
                <w:rFonts w:ascii="Times New Roman" w:eastAsia="SimSun" w:hAnsi="Times New Roman"/>
                <w:noProof/>
                <w:sz w:val="20"/>
                <w:szCs w:val="20"/>
                <w:lang w:eastAsia="en-US"/>
              </w:rPr>
              <w:t>ESTADOS CONTABLES DE LA SUCURSAL</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_Toc24363266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12</w:t>
            </w:r>
            <w:r w:rsidR="004D25D4" w:rsidRPr="004D25D4">
              <w:rPr>
                <w:rFonts w:ascii="Times New Roman" w:hAnsi="Times New Roman" w:cs="Times New Roman"/>
                <w:noProof/>
                <w:webHidden/>
                <w:sz w:val="20"/>
                <w:szCs w:val="20"/>
              </w:rPr>
              <w:fldChar w:fldCharType="end"/>
            </w:r>
          </w:hyperlink>
        </w:p>
        <w:p w14:paraId="2CFF4F22" w14:textId="71AD7E0D"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7" w:history="1">
            <w:r w:rsidR="004D25D4" w:rsidRPr="004D25D4">
              <w:rPr>
                <w:rStyle w:val="Hipervnculo"/>
                <w:rFonts w:ascii="Times New Roman" w:eastAsia="SimSun" w:hAnsi="Times New Roman"/>
                <w:noProof/>
                <w:sz w:val="20"/>
                <w:szCs w:val="20"/>
                <w:lang w:val="es-AR" w:eastAsia="en-US"/>
              </w:rPr>
              <w:t>ASESORAMIENTO LEGAL</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_Toc24363267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12</w:t>
            </w:r>
            <w:r w:rsidR="004D25D4" w:rsidRPr="004D25D4">
              <w:rPr>
                <w:rFonts w:ascii="Times New Roman" w:hAnsi="Times New Roman" w:cs="Times New Roman"/>
                <w:noProof/>
                <w:webHidden/>
                <w:sz w:val="20"/>
                <w:szCs w:val="20"/>
              </w:rPr>
              <w:fldChar w:fldCharType="end"/>
            </w:r>
          </w:hyperlink>
        </w:p>
        <w:p w14:paraId="598B9F6B" w14:textId="738FC985"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8" w:history="1">
            <w:r w:rsidR="004D25D4" w:rsidRPr="004D25D4">
              <w:rPr>
                <w:rStyle w:val="Hipervnculo"/>
                <w:rFonts w:ascii="Times New Roman" w:eastAsia="SimSun" w:hAnsi="Times New Roman"/>
                <w:noProof/>
                <w:sz w:val="20"/>
                <w:szCs w:val="20"/>
                <w:lang w:val="es-AR" w:eastAsia="en-US"/>
              </w:rPr>
              <w:t>DECLARACIONES Y GARANTÍAS DE LOS ADQUIRENTES DE LAS OBLIGACIONES NEGOCIABLES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_Toc24363268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12</w:t>
            </w:r>
            <w:r w:rsidR="004D25D4" w:rsidRPr="004D25D4">
              <w:rPr>
                <w:rFonts w:ascii="Times New Roman" w:hAnsi="Times New Roman" w:cs="Times New Roman"/>
                <w:noProof/>
                <w:webHidden/>
                <w:sz w:val="20"/>
                <w:szCs w:val="20"/>
              </w:rPr>
              <w:fldChar w:fldCharType="end"/>
            </w:r>
          </w:hyperlink>
        </w:p>
        <w:p w14:paraId="5C6FC46E" w14:textId="58B02B02"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69" w:history="1">
            <w:r w:rsidR="004D25D4" w:rsidRPr="004D25D4">
              <w:rPr>
                <w:rStyle w:val="Hipervnculo"/>
                <w:rFonts w:ascii="Times New Roman" w:eastAsia="SimSun" w:hAnsi="Times New Roman"/>
                <w:noProof/>
                <w:sz w:val="20"/>
                <w:szCs w:val="20"/>
                <w:lang w:val="es-AR"/>
              </w:rPr>
              <w:t>FACTORES DE RIESGO</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_Toc24363269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15</w:t>
            </w:r>
            <w:r w:rsidR="004D25D4" w:rsidRPr="004D25D4">
              <w:rPr>
                <w:rFonts w:ascii="Times New Roman" w:hAnsi="Times New Roman" w:cs="Times New Roman"/>
                <w:noProof/>
                <w:webHidden/>
                <w:sz w:val="20"/>
                <w:szCs w:val="20"/>
              </w:rPr>
              <w:fldChar w:fldCharType="end"/>
            </w:r>
          </w:hyperlink>
        </w:p>
        <w:p w14:paraId="46CF93C4" w14:textId="053AEAFC"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70" w:history="1">
            <w:r w:rsidR="004D25D4" w:rsidRPr="004D25D4">
              <w:rPr>
                <w:rStyle w:val="Hipervnculo"/>
                <w:rFonts w:ascii="Times New Roman" w:eastAsia="SimSun" w:hAnsi="Times New Roman"/>
                <w:noProof/>
                <w:sz w:val="20"/>
                <w:szCs w:val="20"/>
                <w:lang w:val="es-AR"/>
              </w:rPr>
              <w:t>TÉRMINOS Y CONDICIONES DE LAS OBLIGACIONES NEGOCIABLES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_Toc24363270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20</w:t>
            </w:r>
            <w:r w:rsidR="004D25D4" w:rsidRPr="004D25D4">
              <w:rPr>
                <w:rFonts w:ascii="Times New Roman" w:hAnsi="Times New Roman" w:cs="Times New Roman"/>
                <w:noProof/>
                <w:webHidden/>
                <w:sz w:val="20"/>
                <w:szCs w:val="20"/>
              </w:rPr>
              <w:fldChar w:fldCharType="end"/>
            </w:r>
          </w:hyperlink>
        </w:p>
        <w:p w14:paraId="24649DF2" w14:textId="463E61F4"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71" w:history="1">
            <w:r w:rsidR="004D25D4" w:rsidRPr="004D25D4">
              <w:rPr>
                <w:rStyle w:val="Hipervnculo"/>
                <w:rFonts w:ascii="Times New Roman" w:eastAsia="SimSun" w:hAnsi="Times New Roman"/>
                <w:noProof/>
                <w:sz w:val="20"/>
                <w:szCs w:val="20"/>
                <w:lang w:val="es-AR"/>
              </w:rPr>
              <w:t>DESTINO DE LOS FONDOS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_Toc24363271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27</w:t>
            </w:r>
            <w:r w:rsidR="004D25D4" w:rsidRPr="004D25D4">
              <w:rPr>
                <w:rFonts w:ascii="Times New Roman" w:hAnsi="Times New Roman" w:cs="Times New Roman"/>
                <w:noProof/>
                <w:webHidden/>
                <w:sz w:val="20"/>
                <w:szCs w:val="20"/>
              </w:rPr>
              <w:fldChar w:fldCharType="end"/>
            </w:r>
          </w:hyperlink>
        </w:p>
        <w:p w14:paraId="430C1B4A" w14:textId="20039C0D"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72" w:history="1">
            <w:r w:rsidR="004D25D4" w:rsidRPr="004D25D4">
              <w:rPr>
                <w:rStyle w:val="Hipervnculo"/>
                <w:rFonts w:ascii="Times New Roman" w:eastAsia="SimSun" w:hAnsi="Times New Roman"/>
                <w:noProof/>
                <w:sz w:val="20"/>
                <w:szCs w:val="20"/>
                <w:lang w:val="es-AR"/>
              </w:rPr>
              <w:t>CALIFICACIÓN DE RIESGO</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_Toc24363272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28</w:t>
            </w:r>
            <w:r w:rsidR="004D25D4" w:rsidRPr="004D25D4">
              <w:rPr>
                <w:rFonts w:ascii="Times New Roman" w:hAnsi="Times New Roman" w:cs="Times New Roman"/>
                <w:noProof/>
                <w:webHidden/>
                <w:sz w:val="20"/>
                <w:szCs w:val="20"/>
              </w:rPr>
              <w:fldChar w:fldCharType="end"/>
            </w:r>
          </w:hyperlink>
        </w:p>
        <w:p w14:paraId="427FBF92" w14:textId="3A768A60"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73" w:history="1">
            <w:r w:rsidR="004D25D4" w:rsidRPr="004D25D4">
              <w:rPr>
                <w:rStyle w:val="Hipervnculo"/>
                <w:rFonts w:ascii="Times New Roman" w:eastAsia="SimSun" w:hAnsi="Times New Roman"/>
                <w:noProof/>
                <w:sz w:val="20"/>
                <w:szCs w:val="20"/>
                <w:lang w:val="es-AR"/>
              </w:rPr>
              <w:t>DESCRIPCIÓN DE LAS OBLIGACIONES NEGOCIABLES</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_Toc24363273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29</w:t>
            </w:r>
            <w:r w:rsidR="004D25D4" w:rsidRPr="004D25D4">
              <w:rPr>
                <w:rFonts w:ascii="Times New Roman" w:hAnsi="Times New Roman" w:cs="Times New Roman"/>
                <w:noProof/>
                <w:webHidden/>
                <w:sz w:val="20"/>
                <w:szCs w:val="20"/>
              </w:rPr>
              <w:fldChar w:fldCharType="end"/>
            </w:r>
          </w:hyperlink>
        </w:p>
        <w:p w14:paraId="39E52E23" w14:textId="4299F589"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74" w:history="1">
            <w:r w:rsidR="004D25D4" w:rsidRPr="004D25D4">
              <w:rPr>
                <w:rStyle w:val="Hipervnculo"/>
                <w:rFonts w:ascii="Times New Roman" w:eastAsia="SimSun" w:hAnsi="Times New Roman"/>
                <w:noProof/>
                <w:sz w:val="20"/>
                <w:szCs w:val="20"/>
                <w:lang w:val="es-AR"/>
              </w:rPr>
              <w:t>PLAN DE DISTRIBUCIÓN</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_Toc24363274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61</w:t>
            </w:r>
            <w:r w:rsidR="004D25D4" w:rsidRPr="004D25D4">
              <w:rPr>
                <w:rFonts w:ascii="Times New Roman" w:hAnsi="Times New Roman" w:cs="Times New Roman"/>
                <w:noProof/>
                <w:webHidden/>
                <w:sz w:val="20"/>
                <w:szCs w:val="20"/>
              </w:rPr>
              <w:fldChar w:fldCharType="end"/>
            </w:r>
          </w:hyperlink>
        </w:p>
        <w:p w14:paraId="2827D659" w14:textId="4D848B96"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75" w:history="1">
            <w:r w:rsidR="004D25D4" w:rsidRPr="004D25D4">
              <w:rPr>
                <w:rStyle w:val="Hipervnculo"/>
                <w:rFonts w:ascii="Times New Roman" w:eastAsia="SimSun" w:hAnsi="Times New Roman"/>
                <w:noProof/>
                <w:sz w:val="20"/>
                <w:szCs w:val="20"/>
                <w:lang w:val="es-AR"/>
              </w:rPr>
              <w:t>INFORMACIÓN ADICIONAL</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_Toc24363275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70</w:t>
            </w:r>
            <w:r w:rsidR="004D25D4" w:rsidRPr="004D25D4">
              <w:rPr>
                <w:rFonts w:ascii="Times New Roman" w:hAnsi="Times New Roman" w:cs="Times New Roman"/>
                <w:noProof/>
                <w:webHidden/>
                <w:sz w:val="20"/>
                <w:szCs w:val="20"/>
              </w:rPr>
              <w:fldChar w:fldCharType="end"/>
            </w:r>
          </w:hyperlink>
        </w:p>
        <w:p w14:paraId="6F2194FE" w14:textId="5FDB2AF1" w:rsidR="004D25D4" w:rsidRPr="004D25D4" w:rsidRDefault="00282FB2" w:rsidP="004D25D4">
          <w:pPr>
            <w:pStyle w:val="TDC1"/>
            <w:tabs>
              <w:tab w:val="right" w:leader="dot" w:pos="8494"/>
            </w:tabs>
            <w:spacing w:before="0"/>
            <w:jc w:val="both"/>
            <w:rPr>
              <w:rFonts w:ascii="Times New Roman" w:eastAsiaTheme="minorEastAsia" w:hAnsi="Times New Roman" w:cs="Times New Roman"/>
              <w:b w:val="0"/>
              <w:bCs w:val="0"/>
              <w:caps w:val="0"/>
              <w:noProof/>
              <w:sz w:val="20"/>
              <w:szCs w:val="20"/>
              <w:lang w:val="es-AR" w:eastAsia="es-AR"/>
            </w:rPr>
          </w:pPr>
          <w:hyperlink w:anchor="_Toc24363276" w:history="1">
            <w:r w:rsidR="004D25D4" w:rsidRPr="004D25D4">
              <w:rPr>
                <w:rStyle w:val="Hipervnculo"/>
                <w:rFonts w:ascii="Times New Roman" w:eastAsia="SimSun" w:hAnsi="Times New Roman"/>
                <w:noProof/>
                <w:sz w:val="20"/>
                <w:szCs w:val="20"/>
                <w:lang w:val="es-ES"/>
              </w:rPr>
              <w:t>ANEXO I</w:t>
            </w:r>
            <w:r w:rsidR="004D25D4">
              <w:rPr>
                <w:rStyle w:val="Hipervnculo"/>
                <w:rFonts w:ascii="Times New Roman" w:eastAsia="SimSun" w:hAnsi="Times New Roman"/>
                <w:noProof/>
                <w:sz w:val="20"/>
                <w:szCs w:val="20"/>
                <w:lang w:val="es-ES"/>
              </w:rPr>
              <w:t>-</w:t>
            </w:r>
          </w:hyperlink>
          <w:hyperlink w:anchor="_Toc24363277" w:history="1">
            <w:r w:rsidR="004D25D4" w:rsidRPr="004D25D4">
              <w:rPr>
                <w:rStyle w:val="Hipervnculo"/>
                <w:rFonts w:ascii="Times New Roman" w:eastAsia="SimSun" w:hAnsi="Times New Roman"/>
                <w:noProof/>
                <w:sz w:val="20"/>
                <w:szCs w:val="20"/>
                <w:lang w:val="es-ES"/>
              </w:rPr>
              <w:t>ESTADOS CONTABLES POR EL PERÍODO DE NUEVE MESES FINALIZADO EL 30 DE SEPTIEMBRE DE 2019 DE LA EMISORA</w:t>
            </w:r>
            <w:r w:rsidR="004D25D4" w:rsidRPr="004D25D4">
              <w:rPr>
                <w:rFonts w:ascii="Times New Roman" w:hAnsi="Times New Roman" w:cs="Times New Roman"/>
                <w:noProof/>
                <w:webHidden/>
                <w:sz w:val="20"/>
                <w:szCs w:val="20"/>
              </w:rPr>
              <w:tab/>
            </w:r>
            <w:r w:rsidR="004D25D4" w:rsidRPr="004D25D4">
              <w:rPr>
                <w:rFonts w:ascii="Times New Roman" w:hAnsi="Times New Roman" w:cs="Times New Roman"/>
                <w:noProof/>
                <w:webHidden/>
                <w:sz w:val="20"/>
                <w:szCs w:val="20"/>
              </w:rPr>
              <w:fldChar w:fldCharType="begin"/>
            </w:r>
            <w:r w:rsidR="004D25D4" w:rsidRPr="004D25D4">
              <w:rPr>
                <w:rFonts w:ascii="Times New Roman" w:hAnsi="Times New Roman" w:cs="Times New Roman"/>
                <w:noProof/>
                <w:webHidden/>
                <w:sz w:val="20"/>
                <w:szCs w:val="20"/>
              </w:rPr>
              <w:instrText xml:space="preserve"> PAGEREF _Toc24363277 \h </w:instrText>
            </w:r>
            <w:r w:rsidR="004D25D4" w:rsidRPr="004D25D4">
              <w:rPr>
                <w:rFonts w:ascii="Times New Roman" w:hAnsi="Times New Roman" w:cs="Times New Roman"/>
                <w:noProof/>
                <w:webHidden/>
                <w:sz w:val="20"/>
                <w:szCs w:val="20"/>
              </w:rPr>
            </w:r>
            <w:r w:rsidR="004D25D4" w:rsidRPr="004D25D4">
              <w:rPr>
                <w:rFonts w:ascii="Times New Roman" w:hAnsi="Times New Roman" w:cs="Times New Roman"/>
                <w:noProof/>
                <w:webHidden/>
                <w:sz w:val="20"/>
                <w:szCs w:val="20"/>
              </w:rPr>
              <w:fldChar w:fldCharType="separate"/>
            </w:r>
            <w:r w:rsidR="004D25D4" w:rsidRPr="004D25D4">
              <w:rPr>
                <w:rFonts w:ascii="Times New Roman" w:hAnsi="Times New Roman" w:cs="Times New Roman"/>
                <w:noProof/>
                <w:webHidden/>
                <w:sz w:val="20"/>
                <w:szCs w:val="20"/>
              </w:rPr>
              <w:t>73</w:t>
            </w:r>
            <w:r w:rsidR="004D25D4" w:rsidRPr="004D25D4">
              <w:rPr>
                <w:rFonts w:ascii="Times New Roman" w:hAnsi="Times New Roman" w:cs="Times New Roman"/>
                <w:noProof/>
                <w:webHidden/>
                <w:sz w:val="20"/>
                <w:szCs w:val="20"/>
              </w:rPr>
              <w:fldChar w:fldCharType="end"/>
            </w:r>
          </w:hyperlink>
        </w:p>
        <w:p w14:paraId="3635659F" w14:textId="765DC975" w:rsidR="006A1C4C" w:rsidRPr="004D25D4" w:rsidRDefault="006A1C4C" w:rsidP="004D25D4">
          <w:pPr>
            <w:jc w:val="both"/>
            <w:rPr>
              <w:sz w:val="20"/>
              <w:szCs w:val="20"/>
            </w:rPr>
          </w:pPr>
          <w:r w:rsidRPr="004D25D4">
            <w:rPr>
              <w:b/>
              <w:bCs/>
              <w:sz w:val="20"/>
              <w:szCs w:val="20"/>
              <w:lang w:val="es-ES"/>
            </w:rPr>
            <w:fldChar w:fldCharType="end"/>
          </w:r>
        </w:p>
      </w:sdtContent>
    </w:sdt>
    <w:p w14:paraId="695A518E" w14:textId="48F7AFB1" w:rsidR="006A1C4C" w:rsidRDefault="006A1C4C">
      <w:pPr>
        <w:rPr>
          <w:b/>
          <w:kern w:val="32"/>
          <w:sz w:val="20"/>
          <w:szCs w:val="20"/>
          <w:lang w:val="es-AR"/>
        </w:rPr>
      </w:pPr>
      <w:r>
        <w:rPr>
          <w:sz w:val="20"/>
          <w:lang w:val="es-AR"/>
        </w:rPr>
        <w:br w:type="page"/>
      </w:r>
    </w:p>
    <w:p w14:paraId="63EECB9E" w14:textId="52ED015E" w:rsidR="00B530EF" w:rsidRPr="00EA7870" w:rsidRDefault="00B530EF" w:rsidP="007761FA">
      <w:pPr>
        <w:pStyle w:val="Ttulo1"/>
        <w:jc w:val="center"/>
        <w:rPr>
          <w:rFonts w:ascii="Times New Roman" w:hAnsi="Times New Roman"/>
          <w:sz w:val="20"/>
          <w:lang w:val="es-AR"/>
        </w:rPr>
      </w:pPr>
      <w:bookmarkStart w:id="18" w:name="_Toc24363260"/>
      <w:r w:rsidRPr="00EA7870">
        <w:rPr>
          <w:rFonts w:ascii="Times New Roman" w:hAnsi="Times New Roman"/>
          <w:sz w:val="20"/>
          <w:lang w:val="es-AR"/>
        </w:rPr>
        <w:lastRenderedPageBreak/>
        <w:t>NOTIFICACIÓN A LOS INVERSORES</w:t>
      </w:r>
      <w:bookmarkEnd w:id="16"/>
      <w:bookmarkEnd w:id="17"/>
      <w:bookmarkEnd w:id="18"/>
    </w:p>
    <w:p w14:paraId="5B065E5D" w14:textId="6B29E597" w:rsidR="00B530EF" w:rsidRPr="00EA7870" w:rsidRDefault="00003374">
      <w:pPr>
        <w:jc w:val="both"/>
        <w:rPr>
          <w:b/>
          <w:sz w:val="20"/>
          <w:szCs w:val="20"/>
          <w:lang w:val="es-AR"/>
        </w:rPr>
      </w:pPr>
      <w:r w:rsidRPr="00EA7870">
        <w:rPr>
          <w:b/>
          <w:sz w:val="20"/>
          <w:szCs w:val="20"/>
          <w:lang w:val="es-AR"/>
        </w:rPr>
        <w:t>Advertencia</w:t>
      </w:r>
    </w:p>
    <w:p w14:paraId="1FCBDEAA" w14:textId="77777777" w:rsidR="00003374" w:rsidRPr="00EA7870" w:rsidRDefault="00003374">
      <w:pPr>
        <w:jc w:val="both"/>
        <w:rPr>
          <w:b/>
          <w:sz w:val="20"/>
          <w:szCs w:val="20"/>
          <w:lang w:val="es-AR"/>
        </w:rPr>
      </w:pPr>
    </w:p>
    <w:p w14:paraId="1E5EFA31"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Antes de tomar decisiones de inversión respecto de las Obligaciones Negociables, el público inversor deberá considerar la totalidad de la información contenida en el Prospecto y en este Suplemento (complementados por los avisos</w:t>
      </w:r>
      <w:r w:rsidR="00C524D4" w:rsidRPr="00EA7870">
        <w:rPr>
          <w:sz w:val="20"/>
          <w:szCs w:val="20"/>
          <w:lang w:val="es-AR"/>
        </w:rPr>
        <w:t xml:space="preserve"> complementarios</w:t>
      </w:r>
      <w:r w:rsidRPr="00EA7870">
        <w:rPr>
          <w:sz w:val="20"/>
          <w:szCs w:val="20"/>
          <w:lang w:val="es-AR"/>
        </w:rPr>
        <w:t xml:space="preserve"> y actualizaciones correspondientes). El presente Suplemento se emite en forma complementaria al Prospecto, y describe ciertos términos y condiciones específicos de las Obligaciones Negociables. En el presente, los términos utilizados y no definidos mantendrán los respectivos significados que se les otorga en el Prospecto. Serán de aplicación los términos y condiciones establecidos en el Prospecto, de acuerdo a como los mismos son complementados por el presente Suplemento.</w:t>
      </w:r>
    </w:p>
    <w:p w14:paraId="3CB0EC90"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6A702414"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Al tomar decisiones de inversión respecto de las Obligaciones Negociables, el público inversor deberá basarse en su propio análisis de la Emisora</w:t>
      </w:r>
      <w:r w:rsidR="00A940B8" w:rsidRPr="00EA7870">
        <w:rPr>
          <w:sz w:val="20"/>
          <w:szCs w:val="20"/>
          <w:lang w:val="es-AR"/>
        </w:rPr>
        <w:t>, de</w:t>
      </w:r>
      <w:r w:rsidR="00C524D4" w:rsidRPr="00EA7870">
        <w:rPr>
          <w:sz w:val="20"/>
          <w:szCs w:val="20"/>
          <w:lang w:val="es-AR"/>
        </w:rPr>
        <w:t xml:space="preserve"> la Garante</w:t>
      </w:r>
      <w:r w:rsidRPr="00EA7870">
        <w:rPr>
          <w:sz w:val="20"/>
          <w:szCs w:val="20"/>
          <w:lang w:val="es-AR"/>
        </w:rPr>
        <w:t>, de los términos y condiciones de las Obligaciones Negociables, y de los beneficios y riesgos involucrados. El Prospecto y este Suplemento constituyen los documentos básicos a través de los cuales se realiza la oferta pública de las Obligaciones Negociables. El contenido del Prospecto y/o de este Suplemento no debe ser interpretado como asesoramiento legal, regulatorio, comercial, financiero, cambiario, impositivo y/o de otro tipo. El público inversor deberá consultar con sus propios asesores respecto de los aspectos legales, regulatorios, comerciales, financieros, cambiarios, impositivos y/o de cualquier otro tipo relacionados con su inversión en las Obligaciones Negociables.</w:t>
      </w:r>
    </w:p>
    <w:p w14:paraId="6B251650"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08D5EF5B"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En caso de distribuirse suplementos de precio preliminares (con la leyenda correspondiente</w:t>
      </w:r>
      <w:r w:rsidR="007038E0" w:rsidRPr="00EA7870">
        <w:rPr>
          <w:sz w:val="20"/>
          <w:szCs w:val="20"/>
          <w:lang w:val="es-AR"/>
        </w:rPr>
        <w:t xml:space="preserve">), </w:t>
      </w:r>
      <w:r w:rsidR="005E7E80" w:rsidRPr="00EA7870">
        <w:rPr>
          <w:sz w:val="20"/>
          <w:szCs w:val="20"/>
          <w:lang w:val="es-AR"/>
        </w:rPr>
        <w:t xml:space="preserve">los </w:t>
      </w:r>
      <w:r w:rsidRPr="00EA7870">
        <w:rPr>
          <w:sz w:val="20"/>
          <w:szCs w:val="20"/>
          <w:lang w:val="es-AR"/>
        </w:rPr>
        <w:t>mismo</w:t>
      </w:r>
      <w:r w:rsidR="005E7E80" w:rsidRPr="00EA7870">
        <w:rPr>
          <w:sz w:val="20"/>
          <w:szCs w:val="20"/>
          <w:lang w:val="es-AR"/>
        </w:rPr>
        <w:t>s</w:t>
      </w:r>
      <w:r w:rsidRPr="00EA7870">
        <w:rPr>
          <w:sz w:val="20"/>
          <w:szCs w:val="20"/>
          <w:lang w:val="es-AR"/>
        </w:rPr>
        <w:t xml:space="preserve"> será</w:t>
      </w:r>
      <w:r w:rsidR="005E7E80" w:rsidRPr="00EA7870">
        <w:rPr>
          <w:sz w:val="20"/>
          <w:szCs w:val="20"/>
          <w:lang w:val="es-AR"/>
        </w:rPr>
        <w:t>n</w:t>
      </w:r>
      <w:r w:rsidRPr="00EA7870">
        <w:rPr>
          <w:sz w:val="20"/>
          <w:szCs w:val="20"/>
          <w:lang w:val="es-AR"/>
        </w:rPr>
        <w:t xml:space="preserve"> confeccionado</w:t>
      </w:r>
      <w:r w:rsidR="005E7E80" w:rsidRPr="00EA7870">
        <w:rPr>
          <w:sz w:val="20"/>
          <w:szCs w:val="20"/>
          <w:lang w:val="es-AR"/>
        </w:rPr>
        <w:t>s</w:t>
      </w:r>
      <w:r w:rsidRPr="00EA7870">
        <w:rPr>
          <w:sz w:val="20"/>
          <w:szCs w:val="20"/>
          <w:lang w:val="es-AR"/>
        </w:rPr>
        <w:t xml:space="preserve"> por la Emisora únicamente para ser utilizado</w:t>
      </w:r>
      <w:r w:rsidR="005E7E80" w:rsidRPr="00EA7870">
        <w:rPr>
          <w:sz w:val="20"/>
          <w:szCs w:val="20"/>
          <w:lang w:val="es-AR"/>
        </w:rPr>
        <w:t>s</w:t>
      </w:r>
      <w:r w:rsidRPr="00EA7870">
        <w:rPr>
          <w:sz w:val="20"/>
          <w:szCs w:val="20"/>
          <w:lang w:val="es-AR"/>
        </w:rPr>
        <w:t xml:space="preserve"> en relación con la </w:t>
      </w:r>
      <w:r w:rsidR="00A306F3" w:rsidRPr="00EA7870">
        <w:rPr>
          <w:sz w:val="20"/>
          <w:szCs w:val="20"/>
          <w:lang w:val="es-AR"/>
        </w:rPr>
        <w:t xml:space="preserve">oferta y </w:t>
      </w:r>
      <w:r w:rsidRPr="00EA7870">
        <w:rPr>
          <w:sz w:val="20"/>
          <w:szCs w:val="20"/>
          <w:lang w:val="es-AR"/>
        </w:rPr>
        <w:t xml:space="preserve">colocación de las Obligaciones Negociables descriptas en ese documento. La recepción de dichos documentos preliminares es personal para cada destinatario de la oferta y no constituye una oferta a ninguna otra persona o al público en general para que suscriba o de otro modo adquiera las Obligaciones Negociables. La distribución de dichos documentos preliminares a cualquier persona distinta de dicho destinatario de la oferta y de las personas, en su caso, contratadas para asesorar a dicho destinatario de la oferta en relación con los títulos no está autorizada, y cualquier manifestación de cualquier parte de su contenido, sin el previo consentimiento por escrito de la Emisora, está </w:t>
      </w:r>
      <w:r w:rsidR="009D7F97" w:rsidRPr="00EA7870">
        <w:rPr>
          <w:sz w:val="20"/>
          <w:szCs w:val="20"/>
          <w:lang w:val="es-AR"/>
        </w:rPr>
        <w:t>prohibida</w:t>
      </w:r>
      <w:r w:rsidRPr="00EA7870">
        <w:rPr>
          <w:sz w:val="20"/>
          <w:szCs w:val="20"/>
          <w:lang w:val="es-AR"/>
        </w:rPr>
        <w:t>. Cada destinatario de la oferta preliminar, al aceptar recibir dichos documentos preliminares, acuerda lo manifestado en este párrafo y a no distribuir ningún documento allí mencionado.</w:t>
      </w:r>
    </w:p>
    <w:p w14:paraId="124C25F1"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0E5844A7" w14:textId="77777777" w:rsidR="00F66D0F" w:rsidRPr="00EA7870" w:rsidRDefault="00F66D0F">
      <w:pPr>
        <w:jc w:val="both"/>
        <w:rPr>
          <w:iCs/>
          <w:sz w:val="20"/>
          <w:szCs w:val="20"/>
        </w:rPr>
      </w:pPr>
      <w:r w:rsidRPr="00EA7870">
        <w:rPr>
          <w:iCs/>
          <w:sz w:val="20"/>
          <w:szCs w:val="20"/>
        </w:rPr>
        <w:t>La oferta pública de las Obligaciones Negociables que se describen en este Suplemento en la Argentina se encuentra comprendida dentro de la autorización de oferta pública otorgada por la CNV al Programa, en el marco de lo establecido por el artículo 41 del Título II del Capítulo V de las Normas de la CNV. Este Suplemento no ha sido previamente revisado ni conformado por la CNV. De acuerdo con el procedimiento establecido en el artículo 51 del Título II del Capítulo V de las Normas de la CNV, dentro de los cinco días hábiles de suscriptas las Obligaciones Negociables, la Emisora presentará la documentación definitiva relativa a las mismas.</w:t>
      </w:r>
    </w:p>
    <w:p w14:paraId="6B4E73B0" w14:textId="77777777" w:rsidR="00F66D0F" w:rsidRPr="00EA7870" w:rsidRDefault="00F66D0F">
      <w:pPr>
        <w:jc w:val="both"/>
        <w:rPr>
          <w:i/>
          <w:sz w:val="20"/>
          <w:szCs w:val="20"/>
        </w:rPr>
      </w:pPr>
    </w:p>
    <w:p w14:paraId="3BB9098B" w14:textId="77777777" w:rsidR="00A90677" w:rsidRPr="00EA7870" w:rsidRDefault="009B1B6F">
      <w:pPr>
        <w:jc w:val="both"/>
        <w:rPr>
          <w:sz w:val="20"/>
          <w:szCs w:val="20"/>
          <w:lang w:val="es-AR"/>
        </w:rPr>
      </w:pPr>
      <w:r w:rsidRPr="00EA7870">
        <w:rPr>
          <w:iCs/>
          <w:sz w:val="20"/>
          <w:szCs w:val="20"/>
        </w:rPr>
        <w:t>E</w:t>
      </w:r>
      <w:r w:rsidR="00A90677" w:rsidRPr="00EA7870">
        <w:rPr>
          <w:iCs/>
          <w:sz w:val="20"/>
          <w:szCs w:val="20"/>
        </w:rPr>
        <w:t>l Prospecto y este Suplemento están destinados exclusivamente a la oferta pública de las Obligaciones Negociables dentro del territorio de la Argentina. Las Obligaciones Negociables no podrán ser ofrecidas ni vendidas, directa ni indirectamente, y ni el Prospecto, ni este Suplemento, ni ningún otro documento de la oferta podrán ser distribuidos o publicados en ninguna otra jurisdicción, salvo en circunstancias que resulten en el cumplimiento de las leyes o reglamentaciones aplicables</w:t>
      </w:r>
      <w:r w:rsidR="00A90677" w:rsidRPr="00EA7870">
        <w:rPr>
          <w:sz w:val="20"/>
          <w:szCs w:val="20"/>
          <w:lang w:val="es-AR"/>
        </w:rPr>
        <w:t>.</w:t>
      </w:r>
    </w:p>
    <w:p w14:paraId="44AFF4D5" w14:textId="77777777" w:rsidR="00F479A4" w:rsidRPr="00EA7870" w:rsidRDefault="00F479A4">
      <w:pPr>
        <w:jc w:val="both"/>
        <w:rPr>
          <w:sz w:val="20"/>
          <w:szCs w:val="20"/>
          <w:lang w:val="es-AR"/>
        </w:rPr>
      </w:pPr>
    </w:p>
    <w:p w14:paraId="2D507954" w14:textId="33D0AC9C" w:rsidR="00516E5F" w:rsidRPr="00EA7870" w:rsidRDefault="00516E5F">
      <w:pPr>
        <w:jc w:val="both"/>
        <w:rPr>
          <w:iCs/>
          <w:sz w:val="20"/>
          <w:szCs w:val="20"/>
        </w:rPr>
      </w:pPr>
      <w:r w:rsidRPr="00EA7870">
        <w:rPr>
          <w:iCs/>
          <w:sz w:val="20"/>
          <w:szCs w:val="20"/>
        </w:rPr>
        <w:t xml:space="preserve">Ni el Prospecto ni este Suplemento constituyen una oferta de venta, y/o una invitación a formular </w:t>
      </w:r>
      <w:r w:rsidR="00A004EA" w:rsidRPr="00EA7870">
        <w:rPr>
          <w:iCs/>
          <w:sz w:val="20"/>
          <w:szCs w:val="20"/>
        </w:rPr>
        <w:t xml:space="preserve">Manifestaciones de Interés </w:t>
      </w:r>
      <w:r w:rsidR="00A004EA" w:rsidRPr="00EA7870">
        <w:rPr>
          <w:sz w:val="20"/>
          <w:szCs w:val="20"/>
          <w:lang w:val="es-AR"/>
        </w:rPr>
        <w:t>(según este término se define más adelante)</w:t>
      </w:r>
      <w:r w:rsidRPr="00EA7870">
        <w:rPr>
          <w:iCs/>
          <w:sz w:val="20"/>
          <w:szCs w:val="20"/>
        </w:rPr>
        <w:t xml:space="preserve">, de las Obligaciones Negociables: (i) en aquellas jurisdicciones en que la realización de esa oferta y/o invitación no fuera permitida por las normas vigentes; y/o (ii) para aquellas personas o entidades con domicilio, constituidas y/o residentes de los denominados países, dominios, jurisdicciones, territorios, estados asociados y regímenes tributarios especiales no considerados “cooperantes a los fines de la transparencia fiscal” o considerados de “baja o nula tributación”, y/o para aquellas personas o entidades que, a efectos de la adquisición de las Obligaciones Negociables, utilicen cuentas bancarias localizadas o abiertas en los denominados países, dominios, jurisdicciones, territorios, estados asociados y regímenes tributarios especiales no considerados “cooperantes a los fines de la transparencia fiscal” o considerados de “baja o nula tributación”. </w:t>
      </w:r>
      <w:r w:rsidR="00BB30E8" w:rsidRPr="00EA7870">
        <w:rPr>
          <w:iCs/>
          <w:sz w:val="20"/>
          <w:szCs w:val="20"/>
        </w:rPr>
        <w:t xml:space="preserve">Adicionalmente, ni el Prospecto ni este Suplemento constituyen una oferta de venta, y/o una invitación a </w:t>
      </w:r>
      <w:r w:rsidR="00BB30E8" w:rsidRPr="00EA7870">
        <w:rPr>
          <w:iCs/>
          <w:sz w:val="20"/>
          <w:szCs w:val="20"/>
        </w:rPr>
        <w:lastRenderedPageBreak/>
        <w:t xml:space="preserve">formular Manifestaciones de Interés de las Obligaciones Negociables, en el Reino de España. </w:t>
      </w:r>
      <w:r w:rsidRPr="00EA7870">
        <w:rPr>
          <w:iCs/>
          <w:sz w:val="20"/>
          <w:szCs w:val="20"/>
        </w:rPr>
        <w:t>Para más información véase “</w:t>
      </w:r>
      <w:r w:rsidRPr="00EA7870">
        <w:rPr>
          <w:i/>
          <w:sz w:val="20"/>
          <w:szCs w:val="20"/>
        </w:rPr>
        <w:t xml:space="preserve">Plan de </w:t>
      </w:r>
      <w:r w:rsidR="007E4B33" w:rsidRPr="00EA7870">
        <w:rPr>
          <w:i/>
          <w:sz w:val="20"/>
          <w:szCs w:val="20"/>
        </w:rPr>
        <w:t>Distribución</w:t>
      </w:r>
      <w:r w:rsidR="00C25A6B" w:rsidRPr="00EA7870">
        <w:rPr>
          <w:i/>
          <w:sz w:val="20"/>
          <w:szCs w:val="20"/>
        </w:rPr>
        <w:t>—</w:t>
      </w:r>
      <w:r w:rsidR="00DC2E5E" w:rsidRPr="00EA7870">
        <w:rPr>
          <w:i/>
          <w:sz w:val="20"/>
          <w:szCs w:val="20"/>
        </w:rPr>
        <w:t>Adjudicación</w:t>
      </w:r>
      <w:r w:rsidRPr="00EA7870">
        <w:rPr>
          <w:iCs/>
          <w:sz w:val="20"/>
          <w:szCs w:val="20"/>
        </w:rPr>
        <w:t xml:space="preserve">” en este Suplemento. </w:t>
      </w:r>
    </w:p>
    <w:p w14:paraId="034B5F37" w14:textId="77777777" w:rsidR="00D87595" w:rsidRPr="00EA7870" w:rsidRDefault="00D87595">
      <w:pPr>
        <w:jc w:val="both"/>
        <w:rPr>
          <w:iCs/>
          <w:sz w:val="20"/>
          <w:szCs w:val="20"/>
        </w:rPr>
      </w:pPr>
    </w:p>
    <w:p w14:paraId="7D907055" w14:textId="45B8C857" w:rsidR="00A90677" w:rsidRPr="00EA7870" w:rsidRDefault="00630E5F" w:rsidP="004A5A75">
      <w:pPr>
        <w:overflowPunct w:val="0"/>
        <w:autoSpaceDE w:val="0"/>
        <w:autoSpaceDN w:val="0"/>
        <w:adjustRightInd w:val="0"/>
        <w:jc w:val="both"/>
        <w:textAlignment w:val="baseline"/>
        <w:rPr>
          <w:sz w:val="20"/>
          <w:szCs w:val="20"/>
          <w:lang w:val="es-AR"/>
        </w:rPr>
      </w:pPr>
      <w:bookmarkStart w:id="19" w:name="_Hlk514953044"/>
      <w:r w:rsidRPr="00EA7870">
        <w:rPr>
          <w:sz w:val="20"/>
          <w:szCs w:val="20"/>
          <w:lang w:val="es-AR"/>
        </w:rPr>
        <w:t>El público inversor deberá cumplir con todas las normas vigentes en cualquier jurisdicción en que comprara, ofreciera y/o vendiera las Obligaciones Negociables y/o en la que poseyera y/o distribuyera el Prospecto y/o este Suplemento y deberá obtener los consentimientos, las aprobaciones y/o los permisos para la compra, oferta y/o venta de las Obligaciones Negociables requeridos por las normas vigentes en cualquier jurisdicción a la que se encontraran sujetos y/o en la que realizaran esas compras, ofertas y/o ventas. Ni la Emisora</w:t>
      </w:r>
      <w:r w:rsidR="00C524D4" w:rsidRPr="00EA7870">
        <w:rPr>
          <w:sz w:val="20"/>
          <w:szCs w:val="20"/>
          <w:lang w:val="es-AR"/>
        </w:rPr>
        <w:t>, ni la Garante</w:t>
      </w:r>
      <w:r w:rsidRPr="00EA7870">
        <w:rPr>
          <w:sz w:val="20"/>
          <w:szCs w:val="20"/>
          <w:lang w:val="es-AR"/>
        </w:rPr>
        <w:t xml:space="preserve"> ni </w:t>
      </w:r>
      <w:r w:rsidR="00B37C3D" w:rsidRPr="00EA7870">
        <w:rPr>
          <w:sz w:val="20"/>
          <w:szCs w:val="20"/>
          <w:lang w:val="es-AR"/>
        </w:rPr>
        <w:t>e</w:t>
      </w:r>
      <w:r w:rsidRPr="00EA7870">
        <w:rPr>
          <w:sz w:val="20"/>
          <w:szCs w:val="20"/>
          <w:lang w:val="es-AR"/>
        </w:rPr>
        <w:t>l Colocador Local tendrán responsabilidad alguna por incumplimientos a tales normas vigentes.</w:t>
      </w:r>
      <w:r w:rsidR="00000111" w:rsidRPr="00EA7870">
        <w:rPr>
          <w:sz w:val="20"/>
          <w:szCs w:val="20"/>
          <w:lang w:val="es-AR"/>
        </w:rPr>
        <w:t xml:space="preserve"> </w:t>
      </w:r>
      <w:r w:rsidR="00A90677" w:rsidRPr="00EA7870">
        <w:rPr>
          <w:sz w:val="20"/>
          <w:szCs w:val="20"/>
          <w:lang w:val="es-AR"/>
        </w:rPr>
        <w:t xml:space="preserve">Las Obligaciones Negociables no han sido ni serán registradas en los términos de la </w:t>
      </w:r>
      <w:r w:rsidR="005E7E80" w:rsidRPr="00EA7870">
        <w:rPr>
          <w:sz w:val="20"/>
          <w:szCs w:val="20"/>
          <w:lang w:val="es-AR"/>
        </w:rPr>
        <w:t>Ley de Títulos Valores de los Estados Unidos</w:t>
      </w:r>
      <w:r w:rsidR="009E21A0" w:rsidRPr="00EA7870">
        <w:rPr>
          <w:sz w:val="20"/>
          <w:szCs w:val="20"/>
          <w:lang w:val="es-AR"/>
        </w:rPr>
        <w:t>.</w:t>
      </w:r>
      <w:r w:rsidR="005E7E80" w:rsidRPr="00EA7870">
        <w:rPr>
          <w:sz w:val="20"/>
          <w:szCs w:val="20"/>
          <w:lang w:val="es-AR"/>
        </w:rPr>
        <w:t xml:space="preserve"> </w:t>
      </w:r>
      <w:r w:rsidR="009E21A0" w:rsidRPr="00EA7870">
        <w:rPr>
          <w:sz w:val="20"/>
          <w:szCs w:val="20"/>
          <w:lang w:val="es-AR"/>
        </w:rPr>
        <w:t>En los Estados Unidos, las Obligaciones Negociables solo serán ofrecidas y vendidas a “inversores acreditados” (“</w:t>
      </w:r>
      <w:r w:rsidR="009E21A0" w:rsidRPr="00EA7870">
        <w:rPr>
          <w:i/>
          <w:iCs/>
          <w:sz w:val="20"/>
          <w:szCs w:val="20"/>
          <w:lang w:val="es-AR"/>
        </w:rPr>
        <w:t>accredited investors</w:t>
      </w:r>
      <w:r w:rsidR="009E21A0" w:rsidRPr="00EA7870">
        <w:rPr>
          <w:sz w:val="20"/>
          <w:szCs w:val="20"/>
          <w:lang w:val="es-AR"/>
        </w:rPr>
        <w:t xml:space="preserve">”) </w:t>
      </w:r>
      <w:r w:rsidR="00680F89" w:rsidRPr="00EA7870">
        <w:rPr>
          <w:sz w:val="20"/>
          <w:szCs w:val="20"/>
          <w:lang w:val="es-AR"/>
        </w:rPr>
        <w:t xml:space="preserve">institucionales </w:t>
      </w:r>
      <w:r w:rsidR="009E21A0" w:rsidRPr="00EA7870">
        <w:rPr>
          <w:sz w:val="20"/>
          <w:szCs w:val="20"/>
          <w:lang w:val="es-AR"/>
        </w:rPr>
        <w:t>conforme se los define en la Regla 501(a) de la Regulación D de la Ley de Títulos Valores de los Estados Unidos. Fuera de los Estados Unidos, las Obligaciones Negociables serán ofrecidas y vendidas a ciertas personas que no sean estadounidenses bajo la Regulación S de la Ley de Títulos Valores de los Estados Unidos.</w:t>
      </w:r>
    </w:p>
    <w:p w14:paraId="2932654B" w14:textId="77777777" w:rsidR="00F66D0F" w:rsidRPr="00EA7870" w:rsidRDefault="00F66D0F" w:rsidP="004A5A75">
      <w:pPr>
        <w:overflowPunct w:val="0"/>
        <w:autoSpaceDE w:val="0"/>
        <w:autoSpaceDN w:val="0"/>
        <w:adjustRightInd w:val="0"/>
        <w:jc w:val="both"/>
        <w:textAlignment w:val="baseline"/>
        <w:rPr>
          <w:sz w:val="20"/>
          <w:szCs w:val="20"/>
          <w:lang w:val="es-AR"/>
        </w:rPr>
      </w:pPr>
    </w:p>
    <w:bookmarkEnd w:id="19"/>
    <w:p w14:paraId="0D64B4C2"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No se ha autorizado a</w:t>
      </w:r>
      <w:r w:rsidR="00B37C3D" w:rsidRPr="00EA7870">
        <w:rPr>
          <w:sz w:val="20"/>
          <w:szCs w:val="20"/>
          <w:lang w:val="es-AR"/>
        </w:rPr>
        <w:t>l</w:t>
      </w:r>
      <w:r w:rsidRPr="00EA7870">
        <w:rPr>
          <w:sz w:val="20"/>
          <w:szCs w:val="20"/>
          <w:lang w:val="es-AR"/>
        </w:rPr>
        <w:t xml:space="preserve"> </w:t>
      </w:r>
      <w:r w:rsidR="00AE3E75" w:rsidRPr="00EA7870">
        <w:rPr>
          <w:sz w:val="20"/>
          <w:szCs w:val="20"/>
          <w:lang w:val="es-AR"/>
        </w:rPr>
        <w:t xml:space="preserve">Colocador Local </w:t>
      </w:r>
      <w:r w:rsidRPr="00EA7870">
        <w:rPr>
          <w:sz w:val="20"/>
          <w:szCs w:val="20"/>
          <w:lang w:val="es-AR"/>
        </w:rPr>
        <w:t xml:space="preserve">ni a ninguna otra persona a brindar información y/o efectuar declaraciones respecto de la Emisora y/o de las Obligaciones Negociables que no estén contenidas en el Prospecto y/o en este Suplemento y, si se brindara información y/o efectuaran declaraciones, tal información y/o declaraciones no podrán ser consideradas autorizadas y/o consentidas por la Emisora y/o </w:t>
      </w:r>
      <w:r w:rsidR="00B37C3D" w:rsidRPr="00EA7870">
        <w:rPr>
          <w:sz w:val="20"/>
          <w:szCs w:val="20"/>
          <w:lang w:val="es-AR"/>
        </w:rPr>
        <w:t>el</w:t>
      </w:r>
      <w:r w:rsidR="007F272B" w:rsidRPr="00EA7870">
        <w:rPr>
          <w:sz w:val="20"/>
          <w:szCs w:val="20"/>
          <w:lang w:val="es-AR"/>
        </w:rPr>
        <w:t xml:space="preserve"> Colocador Local</w:t>
      </w:r>
      <w:r w:rsidRPr="00EA7870">
        <w:rPr>
          <w:sz w:val="20"/>
          <w:szCs w:val="20"/>
          <w:lang w:val="es-AR"/>
        </w:rPr>
        <w:t>. Este Suplemento ha sido confeccionado exclusivamente para ser utilizado en relación con el Programa. Cualquier consulta o requerimiento de información adicional con respecto al Prospecto o al Suplemento deberá dirigirse a la Emisora</w:t>
      </w:r>
      <w:r w:rsidR="008635AD" w:rsidRPr="00EA7870">
        <w:rPr>
          <w:sz w:val="20"/>
          <w:szCs w:val="20"/>
          <w:lang w:val="es-AR"/>
        </w:rPr>
        <w:t xml:space="preserve"> o a</w:t>
      </w:r>
      <w:r w:rsidR="00B37C3D" w:rsidRPr="00EA7870">
        <w:rPr>
          <w:sz w:val="20"/>
          <w:szCs w:val="20"/>
          <w:lang w:val="es-AR"/>
        </w:rPr>
        <w:t>l</w:t>
      </w:r>
      <w:r w:rsidR="008635AD" w:rsidRPr="00EA7870">
        <w:rPr>
          <w:sz w:val="20"/>
          <w:szCs w:val="20"/>
          <w:lang w:val="es-AR"/>
        </w:rPr>
        <w:t xml:space="preserve"> Colocador Local</w:t>
      </w:r>
      <w:r w:rsidRPr="00EA7870">
        <w:rPr>
          <w:sz w:val="20"/>
          <w:szCs w:val="20"/>
          <w:lang w:val="es-AR"/>
        </w:rPr>
        <w:t>, a</w:t>
      </w:r>
      <w:r w:rsidR="008635AD" w:rsidRPr="00EA7870">
        <w:rPr>
          <w:sz w:val="20"/>
          <w:szCs w:val="20"/>
          <w:lang w:val="es-AR"/>
        </w:rPr>
        <w:t xml:space="preserve"> </w:t>
      </w:r>
      <w:r w:rsidRPr="00EA7870">
        <w:rPr>
          <w:sz w:val="20"/>
          <w:szCs w:val="20"/>
          <w:lang w:val="es-AR"/>
        </w:rPr>
        <w:t>l</w:t>
      </w:r>
      <w:r w:rsidR="008635AD" w:rsidRPr="00EA7870">
        <w:rPr>
          <w:sz w:val="20"/>
          <w:szCs w:val="20"/>
          <w:lang w:val="es-AR"/>
        </w:rPr>
        <w:t>os</w:t>
      </w:r>
      <w:r w:rsidRPr="00EA7870">
        <w:rPr>
          <w:sz w:val="20"/>
          <w:szCs w:val="20"/>
          <w:lang w:val="es-AR"/>
        </w:rPr>
        <w:t xml:space="preserve"> domicilio</w:t>
      </w:r>
      <w:r w:rsidR="008635AD" w:rsidRPr="00EA7870">
        <w:rPr>
          <w:sz w:val="20"/>
          <w:szCs w:val="20"/>
          <w:lang w:val="es-AR"/>
        </w:rPr>
        <w:t>s</w:t>
      </w:r>
      <w:r w:rsidRPr="00EA7870">
        <w:rPr>
          <w:sz w:val="20"/>
          <w:szCs w:val="20"/>
          <w:lang w:val="es-AR"/>
        </w:rPr>
        <w:t xml:space="preserve"> </w:t>
      </w:r>
      <w:r w:rsidR="008635AD" w:rsidRPr="00EA7870">
        <w:rPr>
          <w:sz w:val="20"/>
          <w:szCs w:val="20"/>
          <w:lang w:val="es-AR"/>
        </w:rPr>
        <w:t>detallados en la última página del presente Suplemento</w:t>
      </w:r>
      <w:r w:rsidRPr="00EA7870">
        <w:rPr>
          <w:sz w:val="20"/>
          <w:szCs w:val="20"/>
          <w:lang w:val="es-AR"/>
        </w:rPr>
        <w:t>.</w:t>
      </w:r>
    </w:p>
    <w:p w14:paraId="6B772707"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55212C5B"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 xml:space="preserve">La Emisora es una </w:t>
      </w:r>
      <w:r w:rsidR="00184A0A" w:rsidRPr="00EA7870">
        <w:rPr>
          <w:sz w:val="20"/>
          <w:szCs w:val="20"/>
          <w:lang w:val="es-AR"/>
        </w:rPr>
        <w:t xml:space="preserve">sucursal </w:t>
      </w:r>
      <w:r w:rsidR="00C524D4" w:rsidRPr="00EA7870">
        <w:rPr>
          <w:sz w:val="20"/>
          <w:szCs w:val="20"/>
          <w:lang w:val="es-AR"/>
        </w:rPr>
        <w:t xml:space="preserve">de la Garante </w:t>
      </w:r>
      <w:r w:rsidR="00184A0A" w:rsidRPr="00EA7870">
        <w:rPr>
          <w:sz w:val="20"/>
          <w:szCs w:val="20"/>
          <w:lang w:val="es-AR"/>
        </w:rPr>
        <w:t>inscripta en la Argentina</w:t>
      </w:r>
      <w:r w:rsidRPr="00EA7870">
        <w:rPr>
          <w:sz w:val="20"/>
          <w:szCs w:val="20"/>
          <w:lang w:val="es-AR"/>
        </w:rPr>
        <w:t xml:space="preserve"> de acuerdo con </w:t>
      </w:r>
      <w:r w:rsidR="00184A0A" w:rsidRPr="00EA7870">
        <w:rPr>
          <w:sz w:val="20"/>
          <w:szCs w:val="20"/>
          <w:lang w:val="es-AR"/>
        </w:rPr>
        <w:t xml:space="preserve">los </w:t>
      </w:r>
      <w:r w:rsidR="009F5219" w:rsidRPr="00EA7870">
        <w:rPr>
          <w:sz w:val="20"/>
          <w:szCs w:val="20"/>
          <w:lang w:val="es-AR"/>
        </w:rPr>
        <w:t xml:space="preserve">Artículos </w:t>
      </w:r>
      <w:r w:rsidR="00184A0A" w:rsidRPr="00EA7870">
        <w:rPr>
          <w:sz w:val="20"/>
          <w:szCs w:val="20"/>
          <w:lang w:val="es-AR"/>
        </w:rPr>
        <w:t xml:space="preserve">118 y 123 de </w:t>
      </w:r>
      <w:r w:rsidRPr="00EA7870">
        <w:rPr>
          <w:sz w:val="20"/>
          <w:szCs w:val="20"/>
          <w:lang w:val="es-AR"/>
        </w:rPr>
        <w:t>la Ley General de Sociedades N°19.550 (</w:t>
      </w:r>
      <w:r w:rsidR="00BD41A9" w:rsidRPr="00EA7870">
        <w:rPr>
          <w:sz w:val="20"/>
          <w:szCs w:val="20"/>
          <w:lang w:val="es-AR"/>
        </w:rPr>
        <w:t>junto con sus modificatorias</w:t>
      </w:r>
      <w:r w:rsidR="000B4661" w:rsidRPr="00EA7870">
        <w:rPr>
          <w:sz w:val="20"/>
          <w:szCs w:val="20"/>
          <w:lang w:val="es-AR"/>
        </w:rPr>
        <w:t>, complementarias y reglamentarias</w:t>
      </w:r>
      <w:r w:rsidR="00BD41A9" w:rsidRPr="00EA7870">
        <w:rPr>
          <w:sz w:val="20"/>
          <w:szCs w:val="20"/>
          <w:lang w:val="es-AR"/>
        </w:rPr>
        <w:t xml:space="preserve">, </w:t>
      </w:r>
      <w:r w:rsidRPr="00EA7870">
        <w:rPr>
          <w:sz w:val="20"/>
          <w:szCs w:val="20"/>
          <w:lang w:val="es-AR"/>
        </w:rPr>
        <w:t>la “</w:t>
      </w:r>
      <w:r w:rsidRPr="00EA7870">
        <w:rPr>
          <w:b/>
          <w:sz w:val="20"/>
          <w:szCs w:val="20"/>
          <w:lang w:val="es-AR"/>
        </w:rPr>
        <w:t>Ley General de Sociedades</w:t>
      </w:r>
      <w:r w:rsidRPr="00EA7870">
        <w:rPr>
          <w:sz w:val="20"/>
          <w:szCs w:val="20"/>
          <w:lang w:val="es-AR"/>
        </w:rPr>
        <w:t xml:space="preserve">”). </w:t>
      </w:r>
    </w:p>
    <w:p w14:paraId="74AF7FCA"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0BC65555"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Ni la entrega del Prospecto y/o de este Suplemento, ni el ofrecimiento y/o la venta de Obligaciones Negociables en virtud de éstos, en ninguna circunstancia, significará que la información contenida en el Prospecto y/o en este Suplemento es correcta en cualquier fecha posterior a la fecha del Prospecto y/o de este Suplemento, según corresponda. No podrá considerarse que la información contenida en este Suplemento constituya una promesa o garantía, ya sea con respecto al pasado o al futuro.</w:t>
      </w:r>
    </w:p>
    <w:p w14:paraId="52C4558D"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5112DA7D"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 xml:space="preserve">La Emisora ha designado a los </w:t>
      </w:r>
      <w:r w:rsidR="007F272B" w:rsidRPr="00EA7870">
        <w:rPr>
          <w:sz w:val="20"/>
          <w:szCs w:val="20"/>
          <w:lang w:val="es-AR"/>
        </w:rPr>
        <w:t>Co</w:t>
      </w:r>
      <w:r w:rsidR="002743B1" w:rsidRPr="00EA7870">
        <w:rPr>
          <w:sz w:val="20"/>
          <w:szCs w:val="20"/>
          <w:lang w:val="es-AR"/>
        </w:rPr>
        <w:t xml:space="preserve">locadores </w:t>
      </w:r>
      <w:r w:rsidR="007F272B" w:rsidRPr="00EA7870">
        <w:rPr>
          <w:sz w:val="20"/>
          <w:szCs w:val="20"/>
          <w:lang w:val="es-AR"/>
        </w:rPr>
        <w:t>In</w:t>
      </w:r>
      <w:r w:rsidR="002743B1" w:rsidRPr="00EA7870">
        <w:rPr>
          <w:sz w:val="20"/>
          <w:szCs w:val="20"/>
          <w:lang w:val="es-AR"/>
        </w:rPr>
        <w:t xml:space="preserve">ternacionales </w:t>
      </w:r>
      <w:r w:rsidRPr="00EA7870">
        <w:rPr>
          <w:sz w:val="20"/>
          <w:szCs w:val="20"/>
          <w:lang w:val="es-AR"/>
        </w:rPr>
        <w:t xml:space="preserve">para la oferta </w:t>
      </w:r>
      <w:r w:rsidR="00595465" w:rsidRPr="00EA7870">
        <w:rPr>
          <w:sz w:val="20"/>
          <w:szCs w:val="20"/>
          <w:lang w:val="es-AR"/>
        </w:rPr>
        <w:t xml:space="preserve">pública </w:t>
      </w:r>
      <w:r w:rsidRPr="00EA7870">
        <w:rPr>
          <w:sz w:val="20"/>
          <w:szCs w:val="20"/>
          <w:lang w:val="es-AR"/>
        </w:rPr>
        <w:t xml:space="preserve">de las Obligaciones Negociables fuera de </w:t>
      </w:r>
      <w:r w:rsidR="00DA6E9F" w:rsidRPr="00EA7870">
        <w:rPr>
          <w:sz w:val="20"/>
          <w:szCs w:val="20"/>
          <w:lang w:val="es-AR"/>
        </w:rPr>
        <w:t xml:space="preserve">la </w:t>
      </w:r>
      <w:r w:rsidRPr="00EA7870">
        <w:rPr>
          <w:sz w:val="20"/>
          <w:szCs w:val="20"/>
          <w:lang w:val="es-AR"/>
        </w:rPr>
        <w:t xml:space="preserve">Argentina y </w:t>
      </w:r>
      <w:r w:rsidR="007F272B" w:rsidRPr="00EA7870">
        <w:rPr>
          <w:sz w:val="20"/>
          <w:szCs w:val="20"/>
          <w:lang w:val="es-AR"/>
        </w:rPr>
        <w:t>a</w:t>
      </w:r>
      <w:r w:rsidR="00B37C3D" w:rsidRPr="00EA7870">
        <w:rPr>
          <w:sz w:val="20"/>
          <w:szCs w:val="20"/>
          <w:lang w:val="es-AR"/>
        </w:rPr>
        <w:t>l</w:t>
      </w:r>
      <w:r w:rsidR="007F272B" w:rsidRPr="00EA7870">
        <w:rPr>
          <w:sz w:val="20"/>
          <w:szCs w:val="20"/>
          <w:lang w:val="es-AR"/>
        </w:rPr>
        <w:t xml:space="preserve"> </w:t>
      </w:r>
      <w:r w:rsidR="00B37C3D" w:rsidRPr="00EA7870">
        <w:rPr>
          <w:sz w:val="20"/>
          <w:szCs w:val="20"/>
          <w:lang w:val="es-AR"/>
        </w:rPr>
        <w:t xml:space="preserve">Colocador Local </w:t>
      </w:r>
      <w:r w:rsidRPr="00EA7870">
        <w:rPr>
          <w:sz w:val="20"/>
          <w:szCs w:val="20"/>
          <w:lang w:val="es-AR"/>
        </w:rPr>
        <w:t xml:space="preserve">para la oferta de las Obligaciones Negociables en </w:t>
      </w:r>
      <w:r w:rsidR="00DA6E9F" w:rsidRPr="00EA7870">
        <w:rPr>
          <w:sz w:val="20"/>
          <w:szCs w:val="20"/>
          <w:lang w:val="es-AR"/>
        </w:rPr>
        <w:t xml:space="preserve">la </w:t>
      </w:r>
      <w:r w:rsidRPr="00EA7870">
        <w:rPr>
          <w:sz w:val="20"/>
          <w:szCs w:val="20"/>
          <w:lang w:val="es-AR"/>
        </w:rPr>
        <w:t xml:space="preserve">Argentina. Los </w:t>
      </w:r>
      <w:r w:rsidR="002743B1" w:rsidRPr="00EA7870">
        <w:rPr>
          <w:sz w:val="20"/>
          <w:szCs w:val="20"/>
          <w:lang w:val="es-AR"/>
        </w:rPr>
        <w:t xml:space="preserve">Colocadores Internacionales </w:t>
      </w:r>
      <w:r w:rsidRPr="00EA7870">
        <w:rPr>
          <w:sz w:val="20"/>
          <w:szCs w:val="20"/>
          <w:lang w:val="es-AR"/>
        </w:rPr>
        <w:t>sólo podrán solicitar o recibir Manifestaciones de Interés</w:t>
      </w:r>
      <w:r w:rsidR="00630E5F" w:rsidRPr="00EA7870">
        <w:rPr>
          <w:sz w:val="20"/>
          <w:szCs w:val="20"/>
          <w:lang w:val="es-AR"/>
        </w:rPr>
        <w:t xml:space="preserve"> </w:t>
      </w:r>
      <w:r w:rsidRPr="00EA7870">
        <w:rPr>
          <w:sz w:val="20"/>
          <w:szCs w:val="20"/>
          <w:lang w:val="es-AR"/>
        </w:rPr>
        <w:t xml:space="preserve">de inversores que no sean residentes en </w:t>
      </w:r>
      <w:r w:rsidR="00DA6E9F" w:rsidRPr="00EA7870">
        <w:rPr>
          <w:sz w:val="20"/>
          <w:szCs w:val="20"/>
          <w:lang w:val="es-AR"/>
        </w:rPr>
        <w:t xml:space="preserve">la </w:t>
      </w:r>
      <w:r w:rsidRPr="00EA7870">
        <w:rPr>
          <w:sz w:val="20"/>
          <w:szCs w:val="20"/>
          <w:lang w:val="es-AR"/>
        </w:rPr>
        <w:t xml:space="preserve">Argentina mientras que </w:t>
      </w:r>
      <w:r w:rsidR="00B37C3D" w:rsidRPr="00EA7870">
        <w:rPr>
          <w:sz w:val="20"/>
          <w:szCs w:val="20"/>
          <w:lang w:val="es-AR"/>
        </w:rPr>
        <w:t>el</w:t>
      </w:r>
      <w:r w:rsidR="007F272B" w:rsidRPr="00EA7870">
        <w:rPr>
          <w:sz w:val="20"/>
          <w:szCs w:val="20"/>
          <w:lang w:val="es-AR"/>
        </w:rPr>
        <w:t xml:space="preserve"> </w:t>
      </w:r>
      <w:r w:rsidR="00B37C3D" w:rsidRPr="00EA7870">
        <w:rPr>
          <w:sz w:val="20"/>
          <w:szCs w:val="20"/>
          <w:lang w:val="es-AR"/>
        </w:rPr>
        <w:t xml:space="preserve">Colocador Local </w:t>
      </w:r>
      <w:r w:rsidRPr="00EA7870">
        <w:rPr>
          <w:sz w:val="20"/>
          <w:szCs w:val="20"/>
          <w:lang w:val="es-AR"/>
        </w:rPr>
        <w:t xml:space="preserve">sólo podrá solicitar o recibir Manifestaciones de Interés de inversores que sean residentes en </w:t>
      </w:r>
      <w:r w:rsidR="00DA6E9F" w:rsidRPr="00EA7870">
        <w:rPr>
          <w:sz w:val="20"/>
          <w:szCs w:val="20"/>
          <w:lang w:val="es-AR"/>
        </w:rPr>
        <w:t xml:space="preserve">la </w:t>
      </w:r>
      <w:r w:rsidRPr="00EA7870">
        <w:rPr>
          <w:sz w:val="20"/>
          <w:szCs w:val="20"/>
          <w:lang w:val="es-AR"/>
        </w:rPr>
        <w:t>Argentina. Los inversores que remitan Manifestaciones de Interés</w:t>
      </w:r>
      <w:r w:rsidR="00A30A42" w:rsidRPr="00EA7870">
        <w:rPr>
          <w:sz w:val="20"/>
          <w:szCs w:val="20"/>
          <w:lang w:val="es-AR"/>
        </w:rPr>
        <w:t xml:space="preserve"> </w:t>
      </w:r>
      <w:r w:rsidR="00B37C3D" w:rsidRPr="00EA7870">
        <w:rPr>
          <w:sz w:val="20"/>
          <w:szCs w:val="20"/>
          <w:lang w:val="es-AR"/>
        </w:rPr>
        <w:t>al Colocador Local</w:t>
      </w:r>
      <w:r w:rsidRPr="00EA7870">
        <w:rPr>
          <w:sz w:val="20"/>
          <w:szCs w:val="20"/>
          <w:lang w:val="es-AR"/>
        </w:rPr>
        <w:t xml:space="preserve"> deberá</w:t>
      </w:r>
      <w:r w:rsidR="00595465" w:rsidRPr="00EA7870">
        <w:rPr>
          <w:sz w:val="20"/>
          <w:szCs w:val="20"/>
          <w:lang w:val="es-AR"/>
        </w:rPr>
        <w:t>n</w:t>
      </w:r>
      <w:r w:rsidRPr="00EA7870">
        <w:rPr>
          <w:sz w:val="20"/>
          <w:szCs w:val="20"/>
          <w:lang w:val="es-AR"/>
        </w:rPr>
        <w:t xml:space="preserve"> brindar a</w:t>
      </w:r>
      <w:r w:rsidR="00B37C3D" w:rsidRPr="00EA7870">
        <w:rPr>
          <w:sz w:val="20"/>
          <w:szCs w:val="20"/>
          <w:lang w:val="es-AR"/>
        </w:rPr>
        <w:t>l Colocador Local</w:t>
      </w:r>
      <w:r w:rsidRPr="00EA7870">
        <w:rPr>
          <w:sz w:val="20"/>
          <w:szCs w:val="20"/>
          <w:lang w:val="es-AR"/>
        </w:rPr>
        <w:t xml:space="preserve"> la información que le permita verificar que se trata de una orden cuyo titular o beneficiario final es una persona </w:t>
      </w:r>
      <w:r w:rsidR="00630E5F" w:rsidRPr="00EA7870">
        <w:rPr>
          <w:sz w:val="20"/>
          <w:szCs w:val="20"/>
          <w:lang w:val="es-AR"/>
        </w:rPr>
        <w:t xml:space="preserve">humana </w:t>
      </w:r>
      <w:r w:rsidRPr="00EA7870">
        <w:rPr>
          <w:sz w:val="20"/>
          <w:szCs w:val="20"/>
          <w:lang w:val="es-AR"/>
        </w:rPr>
        <w:t xml:space="preserve">o jurídica residente en </w:t>
      </w:r>
      <w:r w:rsidR="00DA6E9F" w:rsidRPr="00EA7870">
        <w:rPr>
          <w:sz w:val="20"/>
          <w:szCs w:val="20"/>
          <w:lang w:val="es-AR"/>
        </w:rPr>
        <w:t xml:space="preserve">la </w:t>
      </w:r>
      <w:r w:rsidRPr="00EA7870">
        <w:rPr>
          <w:sz w:val="20"/>
          <w:szCs w:val="20"/>
          <w:lang w:val="es-AR"/>
        </w:rPr>
        <w:t>Argentina.</w:t>
      </w:r>
      <w:r w:rsidR="00B37C3D" w:rsidRPr="00EA7870">
        <w:rPr>
          <w:sz w:val="20"/>
          <w:szCs w:val="20"/>
          <w:lang w:val="es-AR"/>
        </w:rPr>
        <w:t xml:space="preserve"> </w:t>
      </w:r>
    </w:p>
    <w:p w14:paraId="5B54C633"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5E4475BB" w14:textId="77777777" w:rsidR="00767464" w:rsidRPr="00EA7870" w:rsidRDefault="00767464" w:rsidP="004A5A75">
      <w:pPr>
        <w:overflowPunct w:val="0"/>
        <w:autoSpaceDE w:val="0"/>
        <w:autoSpaceDN w:val="0"/>
        <w:adjustRightInd w:val="0"/>
        <w:jc w:val="both"/>
        <w:textAlignment w:val="baseline"/>
        <w:rPr>
          <w:sz w:val="20"/>
          <w:szCs w:val="20"/>
          <w:lang w:val="es-AR"/>
        </w:rPr>
      </w:pPr>
      <w:r w:rsidRPr="00EA7870">
        <w:rPr>
          <w:sz w:val="20"/>
          <w:szCs w:val="20"/>
          <w:lang w:val="es-AR"/>
        </w:rPr>
        <w:t>Toda persona que suscriba las Obligaciones Negociables reconoce que se le ha brindado la oportunidad de solicitar a la Emisora, y de examinar, y ha recibido y examinado, toda la información adicional que consideró necesaria para verificar la exactitud de la información contenida en el Prospecto y/o en este Suplemento, y/o para complementar tal información.</w:t>
      </w:r>
    </w:p>
    <w:p w14:paraId="036573A9"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6612BD02"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Las referencias a cualquier norma contenida en este Suplemento son referencias a dichas normas incluyendo sus modificatorias y reglamentarias.</w:t>
      </w:r>
    </w:p>
    <w:p w14:paraId="77E9F2C7"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6513C290" w14:textId="77777777" w:rsidR="00A90677" w:rsidRPr="00EA7870" w:rsidRDefault="00A90677" w:rsidP="004A5A75">
      <w:pPr>
        <w:overflowPunct w:val="0"/>
        <w:autoSpaceDE w:val="0"/>
        <w:autoSpaceDN w:val="0"/>
        <w:adjustRightInd w:val="0"/>
        <w:jc w:val="both"/>
        <w:textAlignment w:val="baseline"/>
        <w:rPr>
          <w:sz w:val="20"/>
          <w:szCs w:val="20"/>
          <w:lang w:val="es-AR"/>
        </w:rPr>
      </w:pPr>
      <w:r w:rsidRPr="00EA7870">
        <w:rPr>
          <w:sz w:val="20"/>
          <w:szCs w:val="20"/>
          <w:lang w:val="es-AR"/>
        </w:rPr>
        <w:t>Véase “</w:t>
      </w:r>
      <w:r w:rsidRPr="00EA7870">
        <w:rPr>
          <w:i/>
          <w:sz w:val="20"/>
          <w:szCs w:val="20"/>
          <w:lang w:val="es-AR"/>
        </w:rPr>
        <w:t>Factores de Riesgo</w:t>
      </w:r>
      <w:r w:rsidRPr="00EA7870">
        <w:rPr>
          <w:sz w:val="20"/>
          <w:szCs w:val="20"/>
          <w:lang w:val="es-AR"/>
        </w:rPr>
        <w:t>” en el Prospecto</w:t>
      </w:r>
      <w:r w:rsidR="0053685A" w:rsidRPr="00EA7870">
        <w:rPr>
          <w:sz w:val="20"/>
          <w:szCs w:val="20"/>
          <w:lang w:val="es-AR"/>
        </w:rPr>
        <w:t xml:space="preserve"> y “</w:t>
      </w:r>
      <w:r w:rsidR="0053685A" w:rsidRPr="00EA7870">
        <w:rPr>
          <w:i/>
          <w:sz w:val="20"/>
          <w:szCs w:val="20"/>
          <w:lang w:val="es-AR"/>
        </w:rPr>
        <w:t>Factores de Riesgo</w:t>
      </w:r>
      <w:r w:rsidR="0053685A" w:rsidRPr="00EA7870">
        <w:rPr>
          <w:sz w:val="20"/>
          <w:szCs w:val="20"/>
          <w:lang w:val="es-AR"/>
        </w:rPr>
        <w:t>” en el presente Suplemento</w:t>
      </w:r>
      <w:r w:rsidR="00A30A42" w:rsidRPr="00EA7870">
        <w:rPr>
          <w:sz w:val="20"/>
          <w:szCs w:val="20"/>
          <w:lang w:val="es-AR"/>
        </w:rPr>
        <w:t xml:space="preserve">, </w:t>
      </w:r>
      <w:r w:rsidRPr="00EA7870">
        <w:rPr>
          <w:sz w:val="20"/>
          <w:szCs w:val="20"/>
          <w:lang w:val="es-AR"/>
        </w:rPr>
        <w:t>para una descripción de ciertos riesgos significativos relacionados con la inversión en las Obligaciones Negociables.</w:t>
      </w:r>
    </w:p>
    <w:p w14:paraId="421BFB55" w14:textId="77777777" w:rsidR="00F66D0F" w:rsidRPr="00EA7870" w:rsidRDefault="00F66D0F" w:rsidP="004A5A75">
      <w:pPr>
        <w:overflowPunct w:val="0"/>
        <w:autoSpaceDE w:val="0"/>
        <w:autoSpaceDN w:val="0"/>
        <w:adjustRightInd w:val="0"/>
        <w:jc w:val="both"/>
        <w:textAlignment w:val="baseline"/>
        <w:rPr>
          <w:sz w:val="20"/>
          <w:szCs w:val="20"/>
          <w:lang w:val="es-AR"/>
        </w:rPr>
      </w:pPr>
    </w:p>
    <w:p w14:paraId="4685D0BB" w14:textId="77777777" w:rsidR="00A30A42" w:rsidRPr="00EA7870" w:rsidRDefault="00A30A42">
      <w:pPr>
        <w:jc w:val="both"/>
        <w:rPr>
          <w:sz w:val="20"/>
          <w:szCs w:val="20"/>
          <w:lang w:val="es-AR"/>
        </w:rPr>
      </w:pPr>
      <w:r w:rsidRPr="00EA7870">
        <w:rPr>
          <w:sz w:val="20"/>
          <w:szCs w:val="20"/>
          <w:lang w:val="es-AR"/>
        </w:rPr>
        <w:t xml:space="preserve">En relación con la emisión de las Obligaciones Negociables, </w:t>
      </w:r>
      <w:r w:rsidR="00B37C3D" w:rsidRPr="00EA7870">
        <w:rPr>
          <w:sz w:val="20"/>
          <w:szCs w:val="20"/>
          <w:lang w:val="es-AR"/>
        </w:rPr>
        <w:t>el Colocador Local</w:t>
      </w:r>
      <w:r w:rsidRPr="00EA7870">
        <w:rPr>
          <w:sz w:val="20"/>
          <w:szCs w:val="20"/>
          <w:lang w:val="es-AR"/>
        </w:rPr>
        <w:t xml:space="preserve"> que participe en su colocación y distribución podrá realizar operaciones destinadas a estabilizar el precio de mercado de dichas Obligaciones Negociables, una vez que éstas ingresaron en la negociación secundaria, conforme con el </w:t>
      </w:r>
      <w:r w:rsidR="009F5219" w:rsidRPr="00EA7870">
        <w:rPr>
          <w:sz w:val="20"/>
          <w:szCs w:val="20"/>
          <w:lang w:val="es-AR"/>
        </w:rPr>
        <w:t xml:space="preserve">Artículo </w:t>
      </w:r>
      <w:r w:rsidR="0070665A" w:rsidRPr="00EA7870">
        <w:rPr>
          <w:sz w:val="20"/>
          <w:szCs w:val="20"/>
          <w:lang w:val="es-AR"/>
        </w:rPr>
        <w:t>12, Sección I</w:t>
      </w:r>
      <w:r w:rsidR="004F5DE0" w:rsidRPr="00EA7870">
        <w:rPr>
          <w:sz w:val="20"/>
          <w:szCs w:val="20"/>
          <w:lang w:val="es-AR"/>
        </w:rPr>
        <w:t>V</w:t>
      </w:r>
      <w:r w:rsidR="0070665A" w:rsidRPr="00EA7870">
        <w:rPr>
          <w:sz w:val="20"/>
          <w:szCs w:val="20"/>
          <w:lang w:val="es-AR"/>
        </w:rPr>
        <w:t xml:space="preserve">, Capítulo </w:t>
      </w:r>
      <w:r w:rsidR="004F5DE0" w:rsidRPr="00EA7870">
        <w:rPr>
          <w:sz w:val="20"/>
          <w:szCs w:val="20"/>
          <w:lang w:val="es-AR"/>
        </w:rPr>
        <w:t>I</w:t>
      </w:r>
      <w:r w:rsidR="0070665A" w:rsidRPr="00EA7870">
        <w:rPr>
          <w:sz w:val="20"/>
          <w:szCs w:val="20"/>
          <w:lang w:val="es-AR"/>
        </w:rPr>
        <w:t xml:space="preserve">V, Título </w:t>
      </w:r>
      <w:r w:rsidR="004F5DE0" w:rsidRPr="00EA7870">
        <w:rPr>
          <w:sz w:val="20"/>
          <w:szCs w:val="20"/>
          <w:lang w:val="es-AR"/>
        </w:rPr>
        <w:t>V</w:t>
      </w:r>
      <w:r w:rsidR="0070665A" w:rsidRPr="00EA7870">
        <w:rPr>
          <w:sz w:val="20"/>
          <w:szCs w:val="20"/>
          <w:lang w:val="es-AR"/>
        </w:rPr>
        <w:t>I</w:t>
      </w:r>
      <w:r w:rsidRPr="00EA7870">
        <w:rPr>
          <w:sz w:val="20"/>
          <w:szCs w:val="20"/>
          <w:lang w:val="es-AR"/>
        </w:rPr>
        <w:t xml:space="preserve"> de las Normas de la CNV y demás normas vigentes.</w:t>
      </w:r>
      <w:r w:rsidR="00AA426C" w:rsidRPr="00EA7870">
        <w:rPr>
          <w:sz w:val="20"/>
          <w:szCs w:val="20"/>
          <w:lang w:val="es-AR"/>
        </w:rPr>
        <w:t xml:space="preserve"> </w:t>
      </w:r>
      <w:r w:rsidR="004F5DE0" w:rsidRPr="00EA7870">
        <w:rPr>
          <w:sz w:val="20"/>
          <w:szCs w:val="20"/>
          <w:lang w:val="es-AR"/>
        </w:rPr>
        <w:t>En caso de ser efectuadas, d</w:t>
      </w:r>
      <w:r w:rsidRPr="00EA7870">
        <w:rPr>
          <w:sz w:val="20"/>
          <w:szCs w:val="20"/>
          <w:lang w:val="es-AR"/>
        </w:rPr>
        <w:t>ichas operaciones deberán ajustarse a las siguientes condiciones: (i) el Prospecto</w:t>
      </w:r>
      <w:r w:rsidR="00CA0FF9" w:rsidRPr="00EA7870">
        <w:rPr>
          <w:sz w:val="20"/>
          <w:szCs w:val="20"/>
          <w:lang w:val="es-AR"/>
        </w:rPr>
        <w:t xml:space="preserve"> </w:t>
      </w:r>
      <w:r w:rsidR="00CA0FF9" w:rsidRPr="00EA7870">
        <w:rPr>
          <w:sz w:val="20"/>
          <w:szCs w:val="20"/>
          <w:lang w:val="es-AR"/>
        </w:rPr>
        <w:lastRenderedPageBreak/>
        <w:t>y/o el Suplemento</w:t>
      </w:r>
      <w:r w:rsidRPr="00EA7870">
        <w:rPr>
          <w:sz w:val="20"/>
          <w:szCs w:val="20"/>
          <w:lang w:val="es-AR"/>
        </w:rPr>
        <w:t xml:space="preserve"> correspondiente a la oferta pública en cuestión deberá haber incluido una advertencia dirigida a los inversores respecto de la posibilidad de realización de estas operaciones, su duración y condiciones; (ii) podrán ser realizadas por agentes que hayan participado en la organización y coordinación de la colocación y distribución de la emisión; (iii) no podrán extenderse más allá de los primeros 30 días corridos desde el primer día en el cual se haya iniciado la negociación secundaria de</w:t>
      </w:r>
      <w:r w:rsidR="004F5DE0" w:rsidRPr="00EA7870">
        <w:rPr>
          <w:sz w:val="20"/>
          <w:szCs w:val="20"/>
          <w:lang w:val="es-AR"/>
        </w:rPr>
        <w:t xml:space="preserve"> </w:t>
      </w:r>
      <w:r w:rsidRPr="00EA7870">
        <w:rPr>
          <w:sz w:val="20"/>
          <w:szCs w:val="20"/>
          <w:lang w:val="es-AR"/>
        </w:rPr>
        <w:t>l</w:t>
      </w:r>
      <w:r w:rsidR="004F5DE0" w:rsidRPr="00EA7870">
        <w:rPr>
          <w:sz w:val="20"/>
          <w:szCs w:val="20"/>
          <w:lang w:val="es-AR"/>
        </w:rPr>
        <w:t>as Obligaciones Negociables</w:t>
      </w:r>
      <w:r w:rsidRPr="00EA7870">
        <w:rPr>
          <w:sz w:val="20"/>
          <w:szCs w:val="20"/>
          <w:lang w:val="es-AR"/>
        </w:rPr>
        <w:t xml:space="preserve"> en el mercado; (iv) podrán realizarse operaciones de estabilización destinadas a evitar o moderar alteraciones bruscas en el precio al cual se negocien l</w:t>
      </w:r>
      <w:r w:rsidR="004F5DE0" w:rsidRPr="00EA7870">
        <w:rPr>
          <w:sz w:val="20"/>
          <w:szCs w:val="20"/>
          <w:lang w:val="es-AR"/>
        </w:rPr>
        <w:t>a</w:t>
      </w:r>
      <w:r w:rsidRPr="00EA7870">
        <w:rPr>
          <w:sz w:val="20"/>
          <w:szCs w:val="20"/>
          <w:lang w:val="es-AR"/>
        </w:rPr>
        <w:t xml:space="preserve">s </w:t>
      </w:r>
      <w:r w:rsidR="00F75867" w:rsidRPr="00EA7870">
        <w:rPr>
          <w:sz w:val="20"/>
          <w:szCs w:val="20"/>
          <w:lang w:val="es-AR"/>
        </w:rPr>
        <w:t>Obligaciones N</w:t>
      </w:r>
      <w:r w:rsidRPr="00EA7870">
        <w:rPr>
          <w:sz w:val="20"/>
          <w:szCs w:val="20"/>
          <w:lang w:val="es-AR"/>
        </w:rPr>
        <w:t xml:space="preserve">egociables que han sido objeto de colocación primaria; (v) </w:t>
      </w:r>
      <w:r w:rsidR="00F75867" w:rsidRPr="00EA7870">
        <w:rPr>
          <w:sz w:val="20"/>
          <w:szCs w:val="20"/>
          <w:lang w:val="es-AR"/>
        </w:rPr>
        <w:t>no</w:t>
      </w:r>
      <w:r w:rsidRPr="00EA7870">
        <w:rPr>
          <w:sz w:val="20"/>
          <w:szCs w:val="20"/>
          <w:lang w:val="es-AR"/>
        </w:rPr>
        <w:t xml:space="preserve"> podrá</w:t>
      </w:r>
      <w:r w:rsidR="00F75867" w:rsidRPr="00EA7870">
        <w:rPr>
          <w:sz w:val="20"/>
          <w:szCs w:val="20"/>
          <w:lang w:val="es-AR"/>
        </w:rPr>
        <w:t>n</w:t>
      </w:r>
      <w:r w:rsidRPr="00EA7870">
        <w:rPr>
          <w:sz w:val="20"/>
          <w:szCs w:val="20"/>
          <w:lang w:val="es-AR"/>
        </w:rPr>
        <w:t xml:space="preserve"> efectuarse a precios superiores a aquellos a los que se haya</w:t>
      </w:r>
      <w:r w:rsidR="00F75867" w:rsidRPr="00EA7870">
        <w:rPr>
          <w:sz w:val="20"/>
          <w:szCs w:val="20"/>
          <w:lang w:val="es-AR"/>
        </w:rPr>
        <w:t>n</w:t>
      </w:r>
      <w:r w:rsidRPr="00EA7870">
        <w:rPr>
          <w:sz w:val="20"/>
          <w:szCs w:val="20"/>
          <w:lang w:val="es-AR"/>
        </w:rPr>
        <w:t xml:space="preserve"> negociado </w:t>
      </w:r>
      <w:r w:rsidR="00F75867" w:rsidRPr="00EA7870">
        <w:rPr>
          <w:sz w:val="20"/>
          <w:szCs w:val="20"/>
          <w:lang w:val="es-AR"/>
        </w:rPr>
        <w:t>las Obligaciones Negociables</w:t>
      </w:r>
      <w:r w:rsidRPr="00EA7870">
        <w:rPr>
          <w:sz w:val="20"/>
          <w:szCs w:val="20"/>
          <w:lang w:val="es-AR"/>
        </w:rPr>
        <w:t xml:space="preserve"> en los mercados autorizados, en operaciones entre partes no vinculadas con las actividades de organización, colocación y distribución; y (vi) los agentes que realicen operaciones en los términos antes indicados, deberán informar a los mercados la individualización de las mismas. Los mercados deberán hacer públicas las operaciones de estabilización, ya fuere en cada operación individual o al cierre diario de las operaciones.</w:t>
      </w:r>
    </w:p>
    <w:p w14:paraId="4159B6C9" w14:textId="77777777" w:rsidR="00003374" w:rsidRPr="00EA7870" w:rsidRDefault="00003374">
      <w:pPr>
        <w:jc w:val="both"/>
        <w:rPr>
          <w:sz w:val="20"/>
          <w:szCs w:val="20"/>
          <w:lang w:val="es-AR"/>
        </w:rPr>
      </w:pPr>
    </w:p>
    <w:p w14:paraId="57108966" w14:textId="77777777" w:rsidR="006633FE" w:rsidRPr="00EA7870" w:rsidRDefault="006633FE" w:rsidP="006633FE">
      <w:pPr>
        <w:jc w:val="both"/>
        <w:rPr>
          <w:b/>
          <w:sz w:val="20"/>
          <w:szCs w:val="20"/>
          <w:lang w:val="es-AR"/>
        </w:rPr>
      </w:pPr>
      <w:r w:rsidRPr="00EA7870">
        <w:rPr>
          <w:b/>
          <w:sz w:val="20"/>
          <w:szCs w:val="20"/>
          <w:lang w:val="es-AR"/>
        </w:rPr>
        <w:t>Ejecutabilidad de la responsabilidad civil</w:t>
      </w:r>
    </w:p>
    <w:p w14:paraId="3073F9A7" w14:textId="77777777" w:rsidR="006633FE" w:rsidRPr="00EA7870" w:rsidRDefault="006633FE" w:rsidP="006633FE">
      <w:pPr>
        <w:jc w:val="both"/>
        <w:rPr>
          <w:b/>
          <w:sz w:val="20"/>
          <w:szCs w:val="20"/>
          <w:lang w:val="es-AR"/>
        </w:rPr>
      </w:pPr>
    </w:p>
    <w:p w14:paraId="6C3D4F36" w14:textId="072725FF" w:rsidR="006633FE" w:rsidRPr="00EA7870" w:rsidRDefault="006633FE" w:rsidP="006633FE">
      <w:pPr>
        <w:pStyle w:val="Default"/>
        <w:jc w:val="both"/>
        <w:rPr>
          <w:sz w:val="20"/>
          <w:szCs w:val="20"/>
          <w:lang w:val="es-AR" w:eastAsia="en-US"/>
        </w:rPr>
      </w:pPr>
      <w:r w:rsidRPr="00EA7870">
        <w:rPr>
          <w:sz w:val="20"/>
          <w:szCs w:val="20"/>
          <w:lang w:val="es-AR"/>
        </w:rPr>
        <w:t xml:space="preserve">La Emisora es una sucursal de la Garante. La Garante es una sociedad organizada y domiciliada en el Reino de España. La mayoría de los miembros del directorio de Pan American Energy, S.L., nuestra casa matriz, y los funcionarios ejecutivos de la Sucursal mencionados en el Prospecto, </w:t>
      </w:r>
      <w:r w:rsidRPr="00EA7870">
        <w:rPr>
          <w:sz w:val="20"/>
          <w:szCs w:val="20"/>
          <w:lang w:val="es-AR" w:eastAsia="en-US"/>
        </w:rPr>
        <w:t>tienen su domicilio real en Argentina, y todos o sustancialmente todos los activos de Pan American y de dichas personas están situados fuera de Estados Unidos. Consecuentemente, podría no ser posible para los inversores correr traslado de las notificaciones judiciales dirigidas a tales personas dentro de Estados Unidos. Adicionalmente, podría no ser posible para los inversores hacer valer contra la Emisora, la Garante o sus funcionarios ejecutivos sentencias dictadas en Estados Unidos u otras jurisdicciones distintas a la Argentina, incluyendo cualquier sentencia basada en las disposiciones sobre responsabilidad civil de las leyes federales en materia de títulos valores de Estados Unidos.</w:t>
      </w:r>
    </w:p>
    <w:p w14:paraId="0714B8C4" w14:textId="77777777" w:rsidR="006633FE" w:rsidRPr="00EA7870" w:rsidRDefault="006633FE" w:rsidP="006633FE">
      <w:pPr>
        <w:pStyle w:val="Default"/>
        <w:jc w:val="both"/>
        <w:rPr>
          <w:sz w:val="20"/>
          <w:szCs w:val="20"/>
          <w:lang w:val="es-AR" w:eastAsia="en-US"/>
        </w:rPr>
      </w:pPr>
    </w:p>
    <w:p w14:paraId="4100EB47" w14:textId="77777777" w:rsidR="006633FE" w:rsidRPr="00EA7870" w:rsidRDefault="006633FE" w:rsidP="006633FE">
      <w:pPr>
        <w:pStyle w:val="Default"/>
        <w:jc w:val="both"/>
        <w:rPr>
          <w:b/>
          <w:sz w:val="20"/>
          <w:szCs w:val="20"/>
          <w:lang w:val="es-AR" w:eastAsia="en-US"/>
        </w:rPr>
      </w:pPr>
      <w:r w:rsidRPr="00EA7870">
        <w:rPr>
          <w:b/>
          <w:sz w:val="20"/>
          <w:szCs w:val="20"/>
          <w:lang w:val="es-AR" w:eastAsia="en-US"/>
        </w:rPr>
        <w:t>Argentina</w:t>
      </w:r>
    </w:p>
    <w:p w14:paraId="5B4EE5D9" w14:textId="77777777" w:rsidR="006633FE" w:rsidRPr="00EA7870" w:rsidRDefault="006633FE" w:rsidP="006633FE">
      <w:pPr>
        <w:pStyle w:val="Default"/>
        <w:jc w:val="both"/>
        <w:rPr>
          <w:sz w:val="20"/>
          <w:szCs w:val="20"/>
          <w:lang w:val="es-AR" w:eastAsia="en-US"/>
        </w:rPr>
      </w:pPr>
    </w:p>
    <w:p w14:paraId="7CD4949D" w14:textId="77777777" w:rsidR="006633FE" w:rsidRPr="00EA7870" w:rsidRDefault="006633FE" w:rsidP="006633FE">
      <w:pPr>
        <w:jc w:val="both"/>
        <w:rPr>
          <w:sz w:val="20"/>
          <w:szCs w:val="20"/>
        </w:rPr>
      </w:pPr>
      <w:r w:rsidRPr="00EA7870">
        <w:rPr>
          <w:sz w:val="20"/>
          <w:szCs w:val="20"/>
        </w:rPr>
        <w:t>Los asesores legales argentinos de la Sucursal, Martínez de Hoz &amp; Rueda, han indicado que no se puede saber con certeza si los tribunales de Argentina: (i) harán valer, en todos los aspectos, con el mismo alcance y en la misma oportunidad que lo haría un tribunal estadounidense u otro tribunal extranjero, en acciones legales iniciadas en Argentina, obligaciones y derechos fundados exclusivamente en las disposiciones en materia de responsabilidad civil de las leyes federales sobre títulos valores de los Estados Unidos u otros países extranjeros; y (ii) ejecutarán sentencias o laudos emitidos en Estados Unidos u otra jurisdicción extranjera.</w:t>
      </w:r>
    </w:p>
    <w:p w14:paraId="025642A0" w14:textId="77777777" w:rsidR="006633FE" w:rsidRPr="00EA7870" w:rsidRDefault="006633FE" w:rsidP="006633FE">
      <w:pPr>
        <w:jc w:val="both"/>
        <w:rPr>
          <w:sz w:val="20"/>
          <w:szCs w:val="20"/>
        </w:rPr>
      </w:pPr>
    </w:p>
    <w:p w14:paraId="4246A3B4" w14:textId="77777777" w:rsidR="006633FE" w:rsidRPr="00EA7870" w:rsidRDefault="006633FE" w:rsidP="006633FE">
      <w:pPr>
        <w:jc w:val="both"/>
        <w:rPr>
          <w:sz w:val="20"/>
          <w:szCs w:val="20"/>
        </w:rPr>
      </w:pPr>
      <w:r w:rsidRPr="00EA7870">
        <w:rPr>
          <w:sz w:val="20"/>
          <w:szCs w:val="20"/>
        </w:rPr>
        <w:t xml:space="preserve">Las sentencias extranjeras pueden ser reconocidas y ejecutadas en Argentina, en tanto se cumplan con los requisitos establecidos por las leyes argentinas, incluyendo los tratados ratificados por el país. En caso de que no resulte aplicable un tratado, serán aplicables los siguientes requisitos del artículo 517 del Código Procesal Civil y Comercial de la Nación para el reconocimiento y la ejecución de sentencias extranjeras (si dicho reconocimiento y ejecución se solicita ante los tribunales federales de Argentina): (i) que la sentencia, con autoridad de cosa juzgada en </w:t>
      </w:r>
      <w:r w:rsidRPr="00EA7870">
        <w:rPr>
          <w:sz w:val="20"/>
        </w:rPr>
        <w:t>la jurisdicción en la que se pronunció</w:t>
      </w:r>
      <w:r w:rsidRPr="00EA7870">
        <w:rPr>
          <w:sz w:val="20"/>
          <w:szCs w:val="20"/>
        </w:rPr>
        <w:t xml:space="preserve">, emane de tribunal competente según las normas argentinas de jurisdicción internacional y sea consecuencia del ejercicio de una acción personal o de una acción real respecto de un bien mueble, si éste ha sido trasladado a la República Argentina durante o después del juicio tramitado en el extranjero; (ii) que la parte demandada contra la que se pretende ejecutar la sentencia hubiese sido personalmente citada y </w:t>
      </w:r>
      <w:r w:rsidRPr="00EA7870">
        <w:rPr>
          <w:sz w:val="20"/>
        </w:rPr>
        <w:t xml:space="preserve">hubiera tenido oportunidad de presentar su defensa </w:t>
      </w:r>
      <w:r w:rsidRPr="00EA7870">
        <w:rPr>
          <w:sz w:val="20"/>
          <w:szCs w:val="20"/>
        </w:rPr>
        <w:t>en el proceso extranjero; (iii) que la sentencia reúna los requisitos necesarios para ser considerada como tal en el lugar en que hubiere sido dictada y reúna las condiciones de autenticidad exigidas por la ley de Argentina; (iv) que la sentencia no afecte los principios de orden público del derecho argentino; y (v) que la sentencia no sea incompatible con otra pronunciada, con anterioridad o simultáneamente, por un tribunal argentino.</w:t>
      </w:r>
    </w:p>
    <w:p w14:paraId="2B031759" w14:textId="77777777" w:rsidR="006633FE" w:rsidRPr="00EA7870" w:rsidRDefault="006633FE" w:rsidP="006633FE">
      <w:pPr>
        <w:jc w:val="both"/>
        <w:rPr>
          <w:sz w:val="20"/>
          <w:szCs w:val="20"/>
        </w:rPr>
      </w:pPr>
    </w:p>
    <w:p w14:paraId="30A36B7A" w14:textId="677A9F6E" w:rsidR="006633FE" w:rsidRPr="00EA7870" w:rsidRDefault="006633FE" w:rsidP="006633FE">
      <w:pPr>
        <w:jc w:val="both"/>
        <w:rPr>
          <w:sz w:val="20"/>
          <w:szCs w:val="20"/>
        </w:rPr>
      </w:pPr>
      <w:r w:rsidRPr="00EA7870">
        <w:rPr>
          <w:sz w:val="20"/>
          <w:szCs w:val="20"/>
        </w:rPr>
        <w:t xml:space="preserve">Cualquier documento en un idioma distinto del español (incluyendo, sin limitación, la sentencia extranjera y otros documentos relacionados con la misma), se deberá presentar ante el tribunal competente traducido al español mediante una traducción pública (realizada por un traductor público matriculado) debidamente legalizada. La presentación de una demanda en la justicia argentina está sujeta al pago de una tasa de justicia, a cargo de la persona que presenta la demanda, cuya alícuota varía en las distintas jurisdicciones (la tasa de justicia vigente en los tribunales de la Ciudad Autónoma de Buenos Aires tiene una alícuota del 3% del monto reclamado según el artículo 2 de la Ley Nº 23.898). De conformidad con la Ley Nº 26.589 y </w:t>
      </w:r>
      <w:r w:rsidRPr="00EA7870">
        <w:rPr>
          <w:sz w:val="20"/>
          <w:szCs w:val="20"/>
        </w:rPr>
        <w:lastRenderedPageBreak/>
        <w:t>sus modificatorias, debe cumplirse con ciertos procedimientos de mediación antes de poder in</w:t>
      </w:r>
      <w:r w:rsidR="00B20DB5" w:rsidRPr="00EA7870">
        <w:rPr>
          <w:sz w:val="20"/>
          <w:szCs w:val="20"/>
        </w:rPr>
        <w:t>i</w:t>
      </w:r>
      <w:r w:rsidRPr="00EA7870">
        <w:rPr>
          <w:sz w:val="20"/>
          <w:szCs w:val="20"/>
        </w:rPr>
        <w:t>ciarse acciones judiciales en la Argentina.</w:t>
      </w:r>
    </w:p>
    <w:p w14:paraId="085EFF5D" w14:textId="77777777" w:rsidR="006633FE" w:rsidRPr="00EA7870" w:rsidRDefault="006633FE" w:rsidP="006633FE">
      <w:pPr>
        <w:jc w:val="both"/>
        <w:rPr>
          <w:sz w:val="20"/>
          <w:szCs w:val="20"/>
        </w:rPr>
      </w:pPr>
    </w:p>
    <w:p w14:paraId="3F7756AC" w14:textId="77777777" w:rsidR="006633FE" w:rsidRPr="00EA7870" w:rsidRDefault="006633FE" w:rsidP="006633FE">
      <w:pPr>
        <w:jc w:val="both"/>
        <w:rPr>
          <w:b/>
          <w:sz w:val="20"/>
          <w:szCs w:val="20"/>
        </w:rPr>
      </w:pPr>
      <w:r w:rsidRPr="00EA7870">
        <w:rPr>
          <w:b/>
          <w:sz w:val="20"/>
          <w:szCs w:val="20"/>
        </w:rPr>
        <w:t>España</w:t>
      </w:r>
    </w:p>
    <w:p w14:paraId="6044CDB0" w14:textId="77777777" w:rsidR="006633FE" w:rsidRPr="00EA7870" w:rsidRDefault="006633FE" w:rsidP="006633FE">
      <w:pPr>
        <w:jc w:val="both"/>
        <w:rPr>
          <w:sz w:val="20"/>
          <w:szCs w:val="20"/>
        </w:rPr>
      </w:pPr>
    </w:p>
    <w:p w14:paraId="4A93C489" w14:textId="30632C2D" w:rsidR="006633FE" w:rsidRPr="00EA7870" w:rsidRDefault="006633FE" w:rsidP="006633FE">
      <w:pPr>
        <w:jc w:val="both"/>
        <w:rPr>
          <w:sz w:val="20"/>
          <w:szCs w:val="20"/>
        </w:rPr>
      </w:pPr>
      <w:r w:rsidRPr="00EA7870">
        <w:rPr>
          <w:sz w:val="20"/>
          <w:szCs w:val="20"/>
        </w:rPr>
        <w:t xml:space="preserve">Cualquier sentencia definitiva dictada fuera de España, en un país no sujeto a lo dispuesto en el Reglamento (UE) Nº 1215/2012 del Parlamento Europeo y del Consejo relativo a la competencia judicial, el reconocimiento y la </w:t>
      </w:r>
      <w:r w:rsidR="00B20DB5" w:rsidRPr="00EA7870">
        <w:rPr>
          <w:sz w:val="20"/>
          <w:szCs w:val="20"/>
        </w:rPr>
        <w:t>ejecución</w:t>
      </w:r>
      <w:r w:rsidRPr="00EA7870">
        <w:rPr>
          <w:sz w:val="20"/>
          <w:szCs w:val="20"/>
        </w:rPr>
        <w:t xml:space="preserve"> de resoluciones judiciales en materia civil y mercantil (y, en particular, en los Estados Unidos), será reconocida y ejecutada por los tribunales de España con arreglo a los siguientes regímenes:</w:t>
      </w:r>
    </w:p>
    <w:p w14:paraId="21E78F51" w14:textId="77777777" w:rsidR="006633FE" w:rsidRPr="00EA7870" w:rsidRDefault="006633FE" w:rsidP="006633FE">
      <w:pPr>
        <w:jc w:val="both"/>
        <w:rPr>
          <w:sz w:val="20"/>
          <w:szCs w:val="20"/>
        </w:rPr>
      </w:pPr>
    </w:p>
    <w:p w14:paraId="4B71DE35" w14:textId="77777777" w:rsidR="006633FE" w:rsidRPr="00EA7870" w:rsidRDefault="006633FE" w:rsidP="00E2318E">
      <w:pPr>
        <w:pStyle w:val="Prrafodelista"/>
        <w:numPr>
          <w:ilvl w:val="0"/>
          <w:numId w:val="51"/>
        </w:numPr>
        <w:jc w:val="both"/>
        <w:rPr>
          <w:sz w:val="20"/>
          <w:szCs w:val="20"/>
        </w:rPr>
      </w:pPr>
      <w:r w:rsidRPr="00EA7870">
        <w:rPr>
          <w:sz w:val="20"/>
          <w:szCs w:val="20"/>
        </w:rPr>
        <w:t>De acuerdo con las disposiciones de un tratado que resulte aplicable.</w:t>
      </w:r>
    </w:p>
    <w:p w14:paraId="6A66718A" w14:textId="77777777" w:rsidR="006633FE" w:rsidRPr="00EA7870" w:rsidRDefault="006633FE" w:rsidP="006633FE">
      <w:pPr>
        <w:pStyle w:val="Prrafodelista"/>
        <w:ind w:left="720"/>
        <w:jc w:val="both"/>
        <w:rPr>
          <w:sz w:val="20"/>
          <w:szCs w:val="20"/>
        </w:rPr>
      </w:pPr>
    </w:p>
    <w:p w14:paraId="771EB69D" w14:textId="3BF22A68" w:rsidR="006633FE" w:rsidRPr="00EA7870" w:rsidRDefault="006633FE" w:rsidP="00E2318E">
      <w:pPr>
        <w:pStyle w:val="Prrafodelista"/>
        <w:numPr>
          <w:ilvl w:val="0"/>
          <w:numId w:val="51"/>
        </w:numPr>
        <w:jc w:val="both"/>
        <w:rPr>
          <w:sz w:val="20"/>
          <w:szCs w:val="20"/>
        </w:rPr>
      </w:pPr>
      <w:r w:rsidRPr="00EA7870">
        <w:rPr>
          <w:sz w:val="20"/>
          <w:szCs w:val="20"/>
        </w:rPr>
        <w:t xml:space="preserve">En ausencia de un tratado, la sentencia sería </w:t>
      </w:r>
      <w:r w:rsidR="00B20DB5" w:rsidRPr="00EA7870">
        <w:rPr>
          <w:sz w:val="20"/>
          <w:szCs w:val="20"/>
        </w:rPr>
        <w:t>ejecutada</w:t>
      </w:r>
      <w:r w:rsidRPr="00EA7870">
        <w:rPr>
          <w:sz w:val="20"/>
          <w:szCs w:val="20"/>
        </w:rPr>
        <w:t xml:space="preserve"> en España de acuerdo a lo establecido en el artículo 523 de la Ley 1/2000, del 7 de enero de 2000 sobre Enjuiciamiento Civil. La sentencia no podrá ser ejecutada en España en caso de que sea aplicable alguno de los siguientes motivos de denegación, de conformidad con la Ley 29/2015, del 30 de julio de 2015 sobre cooperación jurídica internacional en materia civil (la “</w:t>
      </w:r>
      <w:r w:rsidRPr="00EA7870">
        <w:rPr>
          <w:b/>
          <w:sz w:val="20"/>
          <w:szCs w:val="20"/>
        </w:rPr>
        <w:t>Ley Española de Cooperación Jurídica Internacional en Materia Civil</w:t>
      </w:r>
      <w:r w:rsidRPr="00EA7870">
        <w:rPr>
          <w:sz w:val="20"/>
          <w:szCs w:val="20"/>
        </w:rPr>
        <w:t>”):</w:t>
      </w:r>
    </w:p>
    <w:p w14:paraId="70508C0F" w14:textId="77777777" w:rsidR="006633FE" w:rsidRPr="00EA7870" w:rsidRDefault="006633FE" w:rsidP="006633FE">
      <w:pPr>
        <w:pStyle w:val="Prrafodelista"/>
        <w:ind w:left="720"/>
        <w:jc w:val="both"/>
        <w:rPr>
          <w:sz w:val="20"/>
          <w:szCs w:val="20"/>
        </w:rPr>
      </w:pPr>
    </w:p>
    <w:p w14:paraId="5D1A125C" w14:textId="77777777" w:rsidR="006633FE" w:rsidRPr="00EA7870" w:rsidRDefault="006633FE" w:rsidP="00E2318E">
      <w:pPr>
        <w:pStyle w:val="Prrafodelista"/>
        <w:widowControl w:val="0"/>
        <w:numPr>
          <w:ilvl w:val="1"/>
          <w:numId w:val="52"/>
        </w:numPr>
        <w:autoSpaceDE w:val="0"/>
        <w:autoSpaceDN w:val="0"/>
        <w:adjustRightInd w:val="0"/>
        <w:jc w:val="both"/>
        <w:rPr>
          <w:rFonts w:ascii="Times" w:hAnsi="Times" w:cs="Verdana"/>
          <w:sz w:val="20"/>
          <w:szCs w:val="20"/>
          <w:lang w:eastAsia="en-US"/>
        </w:rPr>
      </w:pPr>
      <w:r w:rsidRPr="00EA7870">
        <w:rPr>
          <w:rFonts w:ascii="Times" w:hAnsi="Times" w:cs="Verdana"/>
          <w:sz w:val="20"/>
          <w:szCs w:val="20"/>
          <w:lang w:eastAsia="en-US"/>
        </w:rPr>
        <w:t>la sentencia extranjera es contraria al orden público;</w:t>
      </w:r>
    </w:p>
    <w:p w14:paraId="4C3F3773" w14:textId="77777777" w:rsidR="006633FE" w:rsidRPr="00EA7870" w:rsidRDefault="006633FE" w:rsidP="006633FE">
      <w:pPr>
        <w:pStyle w:val="Prrafodelista"/>
        <w:widowControl w:val="0"/>
        <w:autoSpaceDE w:val="0"/>
        <w:autoSpaceDN w:val="0"/>
        <w:adjustRightInd w:val="0"/>
        <w:ind w:left="1440"/>
        <w:jc w:val="both"/>
        <w:rPr>
          <w:rFonts w:ascii="Times" w:hAnsi="Times" w:cs="Verdana"/>
          <w:sz w:val="20"/>
          <w:szCs w:val="20"/>
          <w:lang w:eastAsia="en-US"/>
        </w:rPr>
      </w:pPr>
    </w:p>
    <w:p w14:paraId="303F236D" w14:textId="77777777" w:rsidR="006633FE" w:rsidRPr="00EA7870" w:rsidRDefault="006633FE" w:rsidP="00E2318E">
      <w:pPr>
        <w:pStyle w:val="Prrafodelista"/>
        <w:widowControl w:val="0"/>
        <w:numPr>
          <w:ilvl w:val="1"/>
          <w:numId w:val="52"/>
        </w:numPr>
        <w:autoSpaceDE w:val="0"/>
        <w:autoSpaceDN w:val="0"/>
        <w:adjustRightInd w:val="0"/>
        <w:jc w:val="both"/>
        <w:rPr>
          <w:rFonts w:ascii="Times" w:hAnsi="Times" w:cs="Verdana"/>
          <w:sz w:val="20"/>
          <w:szCs w:val="20"/>
          <w:lang w:eastAsia="en-US"/>
        </w:rPr>
      </w:pPr>
      <w:r w:rsidRPr="00EA7870">
        <w:rPr>
          <w:rFonts w:ascii="Times" w:hAnsi="Times" w:cs="Verdana"/>
          <w:sz w:val="20"/>
          <w:szCs w:val="20"/>
          <w:lang w:eastAsia="en-US"/>
        </w:rPr>
        <w:t>la sentencia extranjera no es definitiva (i.e., puede ser apelada) y, entonces, no tiene fuerza ejecutiva en la jurisdicción extranjera;</w:t>
      </w:r>
    </w:p>
    <w:p w14:paraId="013ECE9D" w14:textId="77777777" w:rsidR="006633FE" w:rsidRPr="00EA7870" w:rsidRDefault="006633FE" w:rsidP="006633FE">
      <w:pPr>
        <w:pStyle w:val="Prrafodelista"/>
        <w:widowControl w:val="0"/>
        <w:autoSpaceDE w:val="0"/>
        <w:autoSpaceDN w:val="0"/>
        <w:adjustRightInd w:val="0"/>
        <w:ind w:left="1440"/>
        <w:jc w:val="both"/>
        <w:rPr>
          <w:rFonts w:ascii="Times" w:hAnsi="Times" w:cs="Verdana"/>
          <w:sz w:val="20"/>
          <w:szCs w:val="20"/>
          <w:lang w:eastAsia="en-US"/>
        </w:rPr>
      </w:pPr>
    </w:p>
    <w:p w14:paraId="6189117C" w14:textId="77777777" w:rsidR="006633FE" w:rsidRPr="00EA7870" w:rsidRDefault="006633FE" w:rsidP="00E2318E">
      <w:pPr>
        <w:pStyle w:val="Prrafodelista"/>
        <w:widowControl w:val="0"/>
        <w:numPr>
          <w:ilvl w:val="1"/>
          <w:numId w:val="52"/>
        </w:numPr>
        <w:autoSpaceDE w:val="0"/>
        <w:autoSpaceDN w:val="0"/>
        <w:adjustRightInd w:val="0"/>
        <w:jc w:val="both"/>
        <w:rPr>
          <w:rFonts w:ascii="Times" w:hAnsi="Times" w:cs="Verdana"/>
          <w:sz w:val="20"/>
          <w:szCs w:val="20"/>
          <w:lang w:eastAsia="en-US"/>
        </w:rPr>
      </w:pPr>
      <w:r w:rsidRPr="00EA7870">
        <w:rPr>
          <w:rFonts w:ascii="Times" w:hAnsi="Times" w:cs="Verdana"/>
          <w:sz w:val="20"/>
          <w:szCs w:val="20"/>
          <w:lang w:eastAsia="en-US"/>
        </w:rPr>
        <w:t>la sentencia extranjera es dictada en manifiesta infracción de los derechos de defensa de cualquiera de las partes. Si la resolución se hubiera dictado en rebeldía, se entiende que ocurre una manifiesta infracción de los derechos de defensa si no se entregó al demandado cédula de emplazamiento o documento equivalente de forma regular y con tiempo suficiente para que pudiera defenderse;</w:t>
      </w:r>
    </w:p>
    <w:p w14:paraId="6270A194" w14:textId="77777777" w:rsidR="006633FE" w:rsidRPr="00EA7870" w:rsidRDefault="006633FE" w:rsidP="006633FE">
      <w:pPr>
        <w:pStyle w:val="Prrafodelista"/>
        <w:widowControl w:val="0"/>
        <w:autoSpaceDE w:val="0"/>
        <w:autoSpaceDN w:val="0"/>
        <w:adjustRightInd w:val="0"/>
        <w:ind w:left="1440"/>
        <w:jc w:val="both"/>
        <w:rPr>
          <w:rFonts w:ascii="Times" w:hAnsi="Times" w:cs="Verdana"/>
          <w:sz w:val="20"/>
          <w:szCs w:val="20"/>
          <w:lang w:eastAsia="en-US"/>
        </w:rPr>
      </w:pPr>
    </w:p>
    <w:p w14:paraId="15F3A6C6" w14:textId="77777777" w:rsidR="006633FE" w:rsidRPr="00EA7870" w:rsidRDefault="006633FE" w:rsidP="00E2318E">
      <w:pPr>
        <w:pStyle w:val="Prrafodelista"/>
        <w:widowControl w:val="0"/>
        <w:numPr>
          <w:ilvl w:val="1"/>
          <w:numId w:val="52"/>
        </w:numPr>
        <w:autoSpaceDE w:val="0"/>
        <w:autoSpaceDN w:val="0"/>
        <w:adjustRightInd w:val="0"/>
        <w:jc w:val="both"/>
        <w:rPr>
          <w:rFonts w:ascii="Times" w:hAnsi="Times" w:cs="Verdana"/>
          <w:sz w:val="20"/>
          <w:szCs w:val="20"/>
          <w:lang w:eastAsia="en-US"/>
        </w:rPr>
      </w:pPr>
      <w:r w:rsidRPr="00EA7870">
        <w:rPr>
          <w:rFonts w:ascii="Times" w:hAnsi="Times" w:cs="Verdana"/>
          <w:sz w:val="20"/>
          <w:szCs w:val="20"/>
          <w:lang w:eastAsia="en-US"/>
        </w:rPr>
        <w:t>la sentencia extranjera se pronuncia sobre una materia respecto a la cual fueran exclusivamente competentes los órganos jurisdiccionales españoles o, respecto a las demás materias, si la competencia del juez de origen no obedeciere a una conexión razonable;</w:t>
      </w:r>
    </w:p>
    <w:p w14:paraId="3F51C502" w14:textId="77777777" w:rsidR="006633FE" w:rsidRPr="00EA7870" w:rsidRDefault="006633FE" w:rsidP="006633FE">
      <w:pPr>
        <w:pStyle w:val="Prrafodelista"/>
        <w:widowControl w:val="0"/>
        <w:autoSpaceDE w:val="0"/>
        <w:autoSpaceDN w:val="0"/>
        <w:adjustRightInd w:val="0"/>
        <w:ind w:left="1440"/>
        <w:jc w:val="both"/>
        <w:rPr>
          <w:rFonts w:ascii="Times" w:hAnsi="Times" w:cs="Verdana"/>
          <w:sz w:val="20"/>
          <w:szCs w:val="20"/>
          <w:lang w:eastAsia="en-US"/>
        </w:rPr>
      </w:pPr>
    </w:p>
    <w:p w14:paraId="3EFFB7B7" w14:textId="77777777" w:rsidR="006633FE" w:rsidRPr="00EA7870" w:rsidRDefault="006633FE" w:rsidP="00E2318E">
      <w:pPr>
        <w:pStyle w:val="Prrafodelista"/>
        <w:widowControl w:val="0"/>
        <w:numPr>
          <w:ilvl w:val="1"/>
          <w:numId w:val="52"/>
        </w:numPr>
        <w:autoSpaceDE w:val="0"/>
        <w:autoSpaceDN w:val="0"/>
        <w:adjustRightInd w:val="0"/>
        <w:jc w:val="both"/>
        <w:rPr>
          <w:rFonts w:ascii="Times" w:hAnsi="Times" w:cs="Verdana"/>
          <w:sz w:val="20"/>
          <w:szCs w:val="20"/>
          <w:lang w:eastAsia="en-US"/>
        </w:rPr>
      </w:pPr>
      <w:r w:rsidRPr="00EA7870">
        <w:rPr>
          <w:rFonts w:ascii="Times" w:hAnsi="Times" w:cs="Verdana"/>
          <w:sz w:val="20"/>
          <w:szCs w:val="20"/>
          <w:lang w:eastAsia="en-US"/>
        </w:rPr>
        <w:t>la sentencia extranjera es incompatible con una sentencia dictada en España;</w:t>
      </w:r>
    </w:p>
    <w:p w14:paraId="7337C716" w14:textId="77777777" w:rsidR="006633FE" w:rsidRPr="00EA7870" w:rsidRDefault="006633FE" w:rsidP="006633FE">
      <w:pPr>
        <w:pStyle w:val="Prrafodelista"/>
        <w:widowControl w:val="0"/>
        <w:autoSpaceDE w:val="0"/>
        <w:autoSpaceDN w:val="0"/>
        <w:adjustRightInd w:val="0"/>
        <w:ind w:left="1440"/>
        <w:jc w:val="both"/>
        <w:rPr>
          <w:rFonts w:ascii="Times" w:hAnsi="Times" w:cs="Verdana"/>
          <w:sz w:val="20"/>
          <w:szCs w:val="20"/>
          <w:lang w:eastAsia="en-US"/>
        </w:rPr>
      </w:pPr>
    </w:p>
    <w:p w14:paraId="3DDD8E81" w14:textId="77777777" w:rsidR="006633FE" w:rsidRPr="00EA7870" w:rsidRDefault="006633FE" w:rsidP="00E2318E">
      <w:pPr>
        <w:pStyle w:val="Prrafodelista"/>
        <w:widowControl w:val="0"/>
        <w:numPr>
          <w:ilvl w:val="1"/>
          <w:numId w:val="52"/>
        </w:numPr>
        <w:autoSpaceDE w:val="0"/>
        <w:autoSpaceDN w:val="0"/>
        <w:adjustRightInd w:val="0"/>
        <w:jc w:val="both"/>
        <w:rPr>
          <w:rFonts w:ascii="Times" w:hAnsi="Times" w:cs="Verdana"/>
          <w:sz w:val="20"/>
          <w:szCs w:val="20"/>
          <w:lang w:eastAsia="en-US"/>
        </w:rPr>
      </w:pPr>
      <w:r w:rsidRPr="00EA7870">
        <w:rPr>
          <w:rFonts w:ascii="Times" w:hAnsi="Times" w:cs="Verdana"/>
          <w:sz w:val="20"/>
          <w:szCs w:val="20"/>
          <w:lang w:eastAsia="en-US"/>
        </w:rPr>
        <w:t xml:space="preserve">la sentencia extranjera es incompatible con una sentencia dictada con anterioridad en otro país, cuando esta última sentencia reuniera las condiciones necesarias para su reconocimiento en España; </w:t>
      </w:r>
    </w:p>
    <w:p w14:paraId="77B0B9E9" w14:textId="77777777" w:rsidR="006633FE" w:rsidRPr="00EA7870" w:rsidRDefault="006633FE" w:rsidP="006633FE">
      <w:pPr>
        <w:pStyle w:val="Prrafodelista"/>
        <w:widowControl w:val="0"/>
        <w:autoSpaceDE w:val="0"/>
        <w:autoSpaceDN w:val="0"/>
        <w:adjustRightInd w:val="0"/>
        <w:ind w:left="1440"/>
        <w:jc w:val="both"/>
        <w:rPr>
          <w:rFonts w:ascii="Times" w:hAnsi="Times" w:cs="Verdana"/>
          <w:sz w:val="20"/>
          <w:szCs w:val="20"/>
          <w:lang w:eastAsia="en-US"/>
        </w:rPr>
      </w:pPr>
    </w:p>
    <w:p w14:paraId="51D911AF" w14:textId="77777777" w:rsidR="006633FE" w:rsidRPr="00EA7870" w:rsidRDefault="006633FE" w:rsidP="00E2318E">
      <w:pPr>
        <w:pStyle w:val="Prrafodelista"/>
        <w:numPr>
          <w:ilvl w:val="1"/>
          <w:numId w:val="52"/>
        </w:numPr>
        <w:jc w:val="both"/>
        <w:rPr>
          <w:rFonts w:ascii="Times" w:hAnsi="Times"/>
          <w:sz w:val="20"/>
          <w:szCs w:val="20"/>
        </w:rPr>
      </w:pPr>
      <w:r w:rsidRPr="00EA7870">
        <w:rPr>
          <w:rFonts w:ascii="Times" w:hAnsi="Times" w:cs="Verdana"/>
          <w:sz w:val="20"/>
          <w:szCs w:val="20"/>
          <w:lang w:eastAsia="en-US"/>
        </w:rPr>
        <w:t xml:space="preserve"> existe un litigio pendiente en España entre las mismas partes y con el mismo objeto, iniciado con anterioridad al proceso en el extranjero;</w:t>
      </w:r>
    </w:p>
    <w:p w14:paraId="0F885219" w14:textId="77777777" w:rsidR="006633FE" w:rsidRPr="00EA7870" w:rsidRDefault="006633FE" w:rsidP="006633FE">
      <w:pPr>
        <w:pStyle w:val="Prrafodelista"/>
        <w:ind w:left="1440"/>
        <w:jc w:val="both"/>
        <w:rPr>
          <w:rFonts w:ascii="Times" w:hAnsi="Times"/>
          <w:sz w:val="20"/>
          <w:szCs w:val="20"/>
        </w:rPr>
      </w:pPr>
    </w:p>
    <w:p w14:paraId="7BC255A8" w14:textId="77777777" w:rsidR="006633FE" w:rsidRPr="00EA7870" w:rsidRDefault="006633FE" w:rsidP="00E2318E">
      <w:pPr>
        <w:pStyle w:val="Prrafodelista"/>
        <w:numPr>
          <w:ilvl w:val="1"/>
          <w:numId w:val="52"/>
        </w:numPr>
        <w:ind w:hanging="447"/>
        <w:jc w:val="both"/>
        <w:rPr>
          <w:rFonts w:ascii="Times" w:hAnsi="Times"/>
          <w:sz w:val="20"/>
          <w:szCs w:val="20"/>
        </w:rPr>
      </w:pPr>
      <w:r w:rsidRPr="00EA7870">
        <w:rPr>
          <w:rFonts w:ascii="Times" w:hAnsi="Times" w:cs="Verdana"/>
          <w:sz w:val="20"/>
          <w:szCs w:val="20"/>
          <w:lang w:eastAsia="en-US"/>
        </w:rPr>
        <w:t xml:space="preserve"> en el potencial caso en que la Emisora y la Garante se encontraran sujetas a un proceso concursal en España y la sentencia extranjera no cumpliera los requisitos establecidos en la Ley 22/2003, del 9 de julio de 2003, sobre proceso concursal (la “</w:t>
      </w:r>
      <w:r w:rsidRPr="00EA7870">
        <w:rPr>
          <w:b/>
          <w:sz w:val="20"/>
          <w:szCs w:val="20"/>
        </w:rPr>
        <w:t>Ley Concursal Española</w:t>
      </w:r>
      <w:r w:rsidRPr="00EA7870">
        <w:rPr>
          <w:rFonts w:ascii="Times" w:hAnsi="Times" w:cs="Verdana"/>
          <w:sz w:val="20"/>
          <w:szCs w:val="20"/>
          <w:lang w:eastAsia="en-US"/>
        </w:rPr>
        <w:t>”); o</w:t>
      </w:r>
    </w:p>
    <w:p w14:paraId="695D004B" w14:textId="77777777" w:rsidR="006633FE" w:rsidRPr="00EA7870" w:rsidRDefault="006633FE" w:rsidP="006633FE">
      <w:pPr>
        <w:pStyle w:val="Prrafodelista"/>
        <w:ind w:left="1440"/>
        <w:jc w:val="both"/>
        <w:rPr>
          <w:rFonts w:ascii="Times" w:hAnsi="Times"/>
          <w:sz w:val="20"/>
          <w:szCs w:val="20"/>
        </w:rPr>
      </w:pPr>
    </w:p>
    <w:p w14:paraId="2FE13D99" w14:textId="77777777" w:rsidR="006633FE" w:rsidRPr="00EA7870" w:rsidRDefault="006633FE" w:rsidP="00E2318E">
      <w:pPr>
        <w:pStyle w:val="Prrafodelista"/>
        <w:numPr>
          <w:ilvl w:val="1"/>
          <w:numId w:val="52"/>
        </w:numPr>
        <w:jc w:val="both"/>
        <w:rPr>
          <w:rFonts w:ascii="Times" w:hAnsi="Times"/>
          <w:sz w:val="20"/>
          <w:szCs w:val="20"/>
        </w:rPr>
      </w:pPr>
      <w:r w:rsidRPr="00EA7870">
        <w:rPr>
          <w:rFonts w:ascii="Times" w:hAnsi="Times"/>
          <w:sz w:val="20"/>
          <w:szCs w:val="20"/>
        </w:rPr>
        <w:t>la copia de la sentencia extranjera presentada ante el tribunal español no se encuentra debidamente apostillada o la documentación presentada para solicitar la ejecución de la sentencia extranjera no sea acompañada de una traducción al español preparada de conformidad con el artículo 144 de la Ley 1/2000, del 7 de enero de 2000, sobre enjuiciamiento civil.</w:t>
      </w:r>
    </w:p>
    <w:p w14:paraId="6F04F630" w14:textId="77777777" w:rsidR="006633FE" w:rsidRPr="00EA7870" w:rsidRDefault="006633FE" w:rsidP="006633FE">
      <w:pPr>
        <w:jc w:val="both"/>
        <w:rPr>
          <w:sz w:val="20"/>
          <w:szCs w:val="20"/>
        </w:rPr>
      </w:pPr>
    </w:p>
    <w:p w14:paraId="2C6586F3" w14:textId="77777777" w:rsidR="006633FE" w:rsidRPr="00EA7870" w:rsidRDefault="006633FE" w:rsidP="006633FE">
      <w:pPr>
        <w:jc w:val="both"/>
        <w:rPr>
          <w:sz w:val="20"/>
          <w:szCs w:val="20"/>
        </w:rPr>
      </w:pPr>
      <w:r w:rsidRPr="00EA7870">
        <w:rPr>
          <w:sz w:val="20"/>
          <w:szCs w:val="20"/>
        </w:rPr>
        <w:t>Adicionalmente, en caso de que la Emisora o la Garante se encuentren sujetas a un proceso concursal, las normas de la Ley Concursal Española deberán ser tenidas en cuenta al momento de solicitar la ejecución de la sentencia extranjera.</w:t>
      </w:r>
    </w:p>
    <w:p w14:paraId="4DF6E753" w14:textId="77777777" w:rsidR="006633FE" w:rsidRPr="00EA7870" w:rsidRDefault="006633FE" w:rsidP="006633FE">
      <w:pPr>
        <w:jc w:val="both"/>
        <w:rPr>
          <w:sz w:val="20"/>
          <w:szCs w:val="20"/>
        </w:rPr>
      </w:pPr>
    </w:p>
    <w:p w14:paraId="14154D32" w14:textId="77777777" w:rsidR="006633FE" w:rsidRPr="00EA7870" w:rsidRDefault="006633FE" w:rsidP="006633FE">
      <w:pPr>
        <w:jc w:val="both"/>
        <w:rPr>
          <w:sz w:val="20"/>
          <w:szCs w:val="20"/>
        </w:rPr>
      </w:pPr>
      <w:r w:rsidRPr="00EA7870">
        <w:rPr>
          <w:sz w:val="20"/>
          <w:szCs w:val="20"/>
        </w:rPr>
        <w:lastRenderedPageBreak/>
        <w:t>De conformidad con el artículo 3.2. de la Ley Española de Cooperación Jurídica Internacional en Materia Civil, el gobierno español podrá establecer que las autoridades españolas no cooperarán con las autoridades de un Estado extranjero cuando exista una denegación reiterada de cooperación o prohibición legal de prestar dicha cooperación por las autoridades de dicho Estado.</w:t>
      </w:r>
    </w:p>
    <w:p w14:paraId="103F3C2D" w14:textId="77777777" w:rsidR="006633FE" w:rsidRPr="00EA7870" w:rsidRDefault="006633FE" w:rsidP="006633FE">
      <w:pPr>
        <w:jc w:val="both"/>
        <w:rPr>
          <w:sz w:val="20"/>
          <w:szCs w:val="20"/>
        </w:rPr>
      </w:pPr>
    </w:p>
    <w:p w14:paraId="64F448FC" w14:textId="77777777" w:rsidR="006633FE" w:rsidRPr="00EA7870" w:rsidRDefault="006633FE" w:rsidP="006633FE">
      <w:pPr>
        <w:jc w:val="both"/>
        <w:rPr>
          <w:sz w:val="20"/>
          <w:szCs w:val="20"/>
        </w:rPr>
      </w:pPr>
      <w:r w:rsidRPr="00EA7870">
        <w:rPr>
          <w:sz w:val="20"/>
          <w:szCs w:val="20"/>
        </w:rPr>
        <w:t>Adicionalmente, el artículo 47 de la Ley Española de Cooperación Jurídica Internacional en Materia Civil establece un procedimiento especial para el reconocimiento de sentencias extranjeras dictadas en procedimientos derivados de acciones colectivas, las cuales serán susceptibles de reconocimiento y ejecución en España siempre que cumplan los requisitos allí establecidos.</w:t>
      </w:r>
    </w:p>
    <w:p w14:paraId="6392F6EE" w14:textId="77777777" w:rsidR="006633FE" w:rsidRPr="00EA7870" w:rsidRDefault="006633FE" w:rsidP="006633FE">
      <w:pPr>
        <w:jc w:val="both"/>
        <w:rPr>
          <w:sz w:val="20"/>
          <w:szCs w:val="20"/>
        </w:rPr>
      </w:pPr>
    </w:p>
    <w:p w14:paraId="181806F1" w14:textId="77777777" w:rsidR="006633FE" w:rsidRPr="00EA7870" w:rsidRDefault="006633FE" w:rsidP="006633FE">
      <w:pPr>
        <w:jc w:val="both"/>
        <w:rPr>
          <w:sz w:val="20"/>
          <w:szCs w:val="20"/>
        </w:rPr>
      </w:pPr>
      <w:r w:rsidRPr="00EA7870">
        <w:rPr>
          <w:sz w:val="20"/>
          <w:szCs w:val="20"/>
        </w:rPr>
        <w:t>Los tribunales españoles podrán emitir sentencias en una moneda distinta del Euro respecto al monto que debe ser abonado por la Emisora o la Garante, pero en caso de ejecutar una sentencia en España, las costas judiciales y los intereses se pagarán en Euros.</w:t>
      </w:r>
    </w:p>
    <w:p w14:paraId="6CCF1667" w14:textId="77777777" w:rsidR="006633FE" w:rsidRPr="00EA7870" w:rsidRDefault="006633FE" w:rsidP="006633FE">
      <w:pPr>
        <w:jc w:val="both"/>
        <w:rPr>
          <w:sz w:val="20"/>
          <w:szCs w:val="20"/>
        </w:rPr>
      </w:pPr>
    </w:p>
    <w:p w14:paraId="5F9B58DD" w14:textId="67A28712" w:rsidR="006633FE" w:rsidRPr="00EA7870" w:rsidRDefault="006633FE" w:rsidP="006633FE">
      <w:pPr>
        <w:jc w:val="both"/>
        <w:rPr>
          <w:sz w:val="20"/>
          <w:szCs w:val="20"/>
        </w:rPr>
      </w:pPr>
      <w:r w:rsidRPr="00EA7870">
        <w:rPr>
          <w:sz w:val="20"/>
          <w:szCs w:val="20"/>
        </w:rPr>
        <w:t xml:space="preserve">Una sentencia extranjera dictada en contra de la Emisora y la Garante en cualquier país en que sea aplicable el Reglamento (UE) Nº 1215/2012 del Parlamento Europeo y del Consejo relativo a la competencia judicial, el reconocimiento y la </w:t>
      </w:r>
      <w:r w:rsidR="00B20DB5" w:rsidRPr="00EA7870">
        <w:rPr>
          <w:sz w:val="20"/>
          <w:szCs w:val="20"/>
        </w:rPr>
        <w:t>ejecución</w:t>
      </w:r>
      <w:r w:rsidRPr="00EA7870">
        <w:rPr>
          <w:sz w:val="20"/>
          <w:szCs w:val="20"/>
        </w:rPr>
        <w:t xml:space="preserve"> de resoluciones judiciales en materia civil y mercantil, será reconocida y ejecutada en los tribunales españoles sin necesidad de seguir un proceso especial.</w:t>
      </w:r>
    </w:p>
    <w:p w14:paraId="65AD0268" w14:textId="77777777" w:rsidR="006633FE" w:rsidRPr="00EA7870" w:rsidRDefault="006633FE" w:rsidP="006633FE">
      <w:pPr>
        <w:jc w:val="both"/>
        <w:rPr>
          <w:sz w:val="20"/>
          <w:szCs w:val="20"/>
        </w:rPr>
      </w:pPr>
    </w:p>
    <w:p w14:paraId="39422DBE" w14:textId="77777777" w:rsidR="006633FE" w:rsidRPr="00EA7870" w:rsidRDefault="006633FE" w:rsidP="006633FE">
      <w:pPr>
        <w:jc w:val="both"/>
        <w:rPr>
          <w:sz w:val="20"/>
          <w:szCs w:val="20"/>
        </w:rPr>
      </w:pPr>
      <w:r w:rsidRPr="00EA7870">
        <w:rPr>
          <w:sz w:val="20"/>
          <w:szCs w:val="20"/>
        </w:rPr>
        <w:t>La ejecución de una sentencia extranjera en España implica, entre otros, los siguientes actos y gastos: (a) los documentos en un idioma que no sea el español deben ir acompañados de una traducción pública al español (se deberán pagar los honorarios del traductor); (b) los documentos extranjeros deben estar legalizados y apostillados; (c) se deben pagar ciertas tasas judiciales; (d) los actos procesales de una parte que litiga en España deben ser dirigidos por un abogado y la parte debe estar representada por un procurador; y (e) el contenido y la validez de la legislación extranjera, en caso de ser necesario, deben ser probado en los tribunales españoles (lo que podría, implicar ciertos gastos). Además, las normas procesales civiles españolas no pueden ser modificadas por acuerdo de las partes y, por tanto, prevalecerán a pesar de cualquier disposición en contrario establecida en los términos de las Obligaciones Negociables.</w:t>
      </w:r>
    </w:p>
    <w:p w14:paraId="3AE1A352" w14:textId="77777777" w:rsidR="006633FE" w:rsidRPr="00EA7870" w:rsidRDefault="006633FE" w:rsidP="006633FE">
      <w:pPr>
        <w:jc w:val="both"/>
        <w:rPr>
          <w:sz w:val="20"/>
          <w:szCs w:val="20"/>
        </w:rPr>
      </w:pPr>
    </w:p>
    <w:p w14:paraId="7D435DB2" w14:textId="77777777" w:rsidR="006633FE" w:rsidRPr="00EA7870" w:rsidRDefault="006633FE" w:rsidP="006633FE">
      <w:pPr>
        <w:jc w:val="both"/>
        <w:rPr>
          <w:sz w:val="20"/>
          <w:szCs w:val="20"/>
          <w:lang w:val="es-ES"/>
        </w:rPr>
      </w:pPr>
      <w:r w:rsidRPr="00EA7870">
        <w:rPr>
          <w:sz w:val="20"/>
          <w:szCs w:val="20"/>
        </w:rPr>
        <w:t>Al respecto, véase “</w:t>
      </w:r>
      <w:r w:rsidRPr="00EA7870">
        <w:rPr>
          <w:i/>
          <w:sz w:val="20"/>
          <w:szCs w:val="20"/>
        </w:rPr>
        <w:t>Factores de Riesgo</w:t>
      </w:r>
      <w:r w:rsidRPr="00EA7870">
        <w:rPr>
          <w:i/>
          <w:color w:val="000000"/>
          <w:sz w:val="20"/>
          <w:szCs w:val="20"/>
          <w:lang w:val="es-AR"/>
        </w:rPr>
        <w:t>—</w:t>
      </w:r>
      <w:r w:rsidRPr="00EA7870">
        <w:rPr>
          <w:i/>
          <w:sz w:val="20"/>
          <w:szCs w:val="20"/>
        </w:rPr>
        <w:t>Factores de Riesgo Relacionados con las Obligaciones Negociables y la Garantía</w:t>
      </w:r>
      <w:r w:rsidRPr="00EA7870">
        <w:rPr>
          <w:i/>
          <w:color w:val="000000"/>
          <w:sz w:val="20"/>
          <w:szCs w:val="20"/>
          <w:lang w:val="es-AR"/>
        </w:rPr>
        <w:t>—</w:t>
      </w:r>
      <w:r w:rsidRPr="00EA7870">
        <w:rPr>
          <w:i/>
          <w:sz w:val="20"/>
          <w:szCs w:val="20"/>
          <w:lang w:val="es-AR" w:eastAsia="en-US"/>
        </w:rPr>
        <w:t>Podría resultar dificultoso para los tenedores de Obligaciones Negociables ejecutar sentencias contra la Emisora, Pan American, los directores de Pan American o los gerentes de primera línea de la Emisora</w:t>
      </w:r>
      <w:r w:rsidRPr="00EA7870">
        <w:rPr>
          <w:sz w:val="20"/>
          <w:szCs w:val="20"/>
        </w:rPr>
        <w:t>” en este Suplemento.</w:t>
      </w:r>
    </w:p>
    <w:p w14:paraId="37C5E7B8" w14:textId="77777777" w:rsidR="006633FE" w:rsidRPr="00EA7870" w:rsidRDefault="006633FE">
      <w:pPr>
        <w:jc w:val="both"/>
        <w:rPr>
          <w:sz w:val="20"/>
          <w:szCs w:val="20"/>
          <w:lang w:val="es-AR"/>
        </w:rPr>
      </w:pPr>
    </w:p>
    <w:p w14:paraId="668C7045" w14:textId="77777777" w:rsidR="00A35FE4" w:rsidRPr="00EA7870" w:rsidRDefault="00A35FE4">
      <w:pPr>
        <w:jc w:val="both"/>
        <w:rPr>
          <w:sz w:val="20"/>
          <w:szCs w:val="20"/>
          <w:lang w:val="es-AR"/>
        </w:rPr>
      </w:pPr>
      <w:bookmarkStart w:id="20" w:name="_Toc515880003"/>
      <w:bookmarkStart w:id="21" w:name="_Toc519244207"/>
      <w:bookmarkStart w:id="22" w:name="_Toc526498905"/>
      <w:r w:rsidRPr="00EA7870">
        <w:rPr>
          <w:b/>
          <w:sz w:val="20"/>
          <w:szCs w:val="20"/>
          <w:lang w:val="es-AR"/>
        </w:rPr>
        <w:t>La Sucursal como Emisora, Pan American como Garante</w:t>
      </w:r>
      <w:bookmarkEnd w:id="20"/>
      <w:bookmarkEnd w:id="21"/>
      <w:bookmarkEnd w:id="22"/>
      <w:r w:rsidRPr="00EA7870">
        <w:rPr>
          <w:sz w:val="20"/>
          <w:szCs w:val="20"/>
          <w:lang w:val="es-AR"/>
        </w:rPr>
        <w:t xml:space="preserve"> </w:t>
      </w:r>
    </w:p>
    <w:p w14:paraId="34BBE600" w14:textId="77777777" w:rsidR="00A35FE4" w:rsidRPr="00EA7870" w:rsidRDefault="00A35FE4">
      <w:pPr>
        <w:jc w:val="both"/>
        <w:rPr>
          <w:sz w:val="20"/>
          <w:szCs w:val="20"/>
          <w:lang w:val="es-AR"/>
        </w:rPr>
      </w:pPr>
    </w:p>
    <w:p w14:paraId="27736D29" w14:textId="77777777" w:rsidR="00981798" w:rsidRPr="00EA7870" w:rsidRDefault="00A35FE4">
      <w:pPr>
        <w:jc w:val="both"/>
        <w:rPr>
          <w:b/>
          <w:caps/>
          <w:sz w:val="20"/>
          <w:szCs w:val="20"/>
          <w:lang w:val="es-AR"/>
        </w:rPr>
      </w:pPr>
      <w:bookmarkStart w:id="23" w:name="_Toc515880004"/>
      <w:bookmarkStart w:id="24" w:name="_Toc519244208"/>
      <w:bookmarkStart w:id="25" w:name="_Toc526498906"/>
      <w:r w:rsidRPr="00EA7870">
        <w:rPr>
          <w:sz w:val="20"/>
          <w:szCs w:val="20"/>
          <w:lang w:val="es-AR"/>
        </w:rPr>
        <w:t xml:space="preserve">La Sucursal recibe tratamiento de persona jurídica independiente a efectos impositivos y regulatorios en la Argentina. Está obligada en consecuencia a cumplir con los requisitos impositivos y regulatorios argentinos como si fuera una persona jurídica independiente. En consecuencia, la Sucursal es la emisora de las Obligaciones Negociables. Para asegurar a los </w:t>
      </w:r>
      <w:r w:rsidR="009E21A0" w:rsidRPr="00EA7870">
        <w:rPr>
          <w:sz w:val="20"/>
          <w:szCs w:val="20"/>
          <w:lang w:val="es-AR"/>
        </w:rPr>
        <w:t>suscriptores</w:t>
      </w:r>
      <w:r w:rsidRPr="00EA7870">
        <w:rPr>
          <w:sz w:val="20"/>
          <w:szCs w:val="20"/>
          <w:lang w:val="es-AR"/>
        </w:rPr>
        <w:t xml:space="preserve"> de las Obligaciones Negociables que la totalidad de los activos e ingresos de Pan American se encuentran a disposición en respaldo de las obligaciones de pago de la Emisora en virtud de las Obligaciones Negociables, Pan American Energy</w:t>
      </w:r>
      <w:r w:rsidR="002743B1" w:rsidRPr="00EA7870">
        <w:rPr>
          <w:sz w:val="20"/>
          <w:szCs w:val="20"/>
          <w:lang w:val="es-AR"/>
        </w:rPr>
        <w:t xml:space="preserve">, S.L. </w:t>
      </w:r>
      <w:r w:rsidRPr="00EA7870">
        <w:rPr>
          <w:sz w:val="20"/>
          <w:szCs w:val="20"/>
          <w:lang w:val="es-AR"/>
        </w:rPr>
        <w:t>(</w:t>
      </w:r>
      <w:r w:rsidR="002743B1" w:rsidRPr="00EA7870">
        <w:rPr>
          <w:sz w:val="20"/>
          <w:szCs w:val="20"/>
          <w:lang w:val="es-AR"/>
        </w:rPr>
        <w:t>Madrid, Reino de España</w:t>
      </w:r>
      <w:r w:rsidRPr="00EA7870">
        <w:rPr>
          <w:sz w:val="20"/>
          <w:szCs w:val="20"/>
          <w:lang w:val="es-AR"/>
        </w:rPr>
        <w:t>) (que incluye a la Sucursal) actúa como garante de las obligaciones de la Sucursal en relación con las Obligaciones Negociables</w:t>
      </w:r>
      <w:r w:rsidR="00981798" w:rsidRPr="00EA7870">
        <w:rPr>
          <w:caps/>
          <w:sz w:val="20"/>
          <w:szCs w:val="20"/>
          <w:lang w:val="es-AR"/>
        </w:rPr>
        <w:t xml:space="preserve">. </w:t>
      </w:r>
    </w:p>
    <w:bookmarkEnd w:id="23"/>
    <w:bookmarkEnd w:id="24"/>
    <w:bookmarkEnd w:id="25"/>
    <w:p w14:paraId="122F8B99" w14:textId="77777777" w:rsidR="00981798" w:rsidRPr="00EA7870" w:rsidRDefault="00981798">
      <w:pPr>
        <w:tabs>
          <w:tab w:val="left" w:pos="709"/>
        </w:tabs>
        <w:jc w:val="both"/>
        <w:outlineLvl w:val="0"/>
        <w:rPr>
          <w:b/>
          <w:caps/>
          <w:sz w:val="20"/>
          <w:szCs w:val="20"/>
          <w:lang w:val="es-AR"/>
        </w:rPr>
      </w:pPr>
    </w:p>
    <w:p w14:paraId="450B2DEB" w14:textId="77777777" w:rsidR="00B530EF" w:rsidRPr="00EA7870" w:rsidRDefault="00B530EF" w:rsidP="009369F6">
      <w:pPr>
        <w:pStyle w:val="Ttulo1"/>
        <w:spacing w:before="0" w:after="0"/>
        <w:jc w:val="center"/>
        <w:rPr>
          <w:rFonts w:ascii="Times New Roman" w:hAnsi="Times New Roman"/>
          <w:sz w:val="20"/>
          <w:lang w:val="es-AR"/>
        </w:rPr>
      </w:pPr>
      <w:r w:rsidRPr="00EA7870">
        <w:rPr>
          <w:rFonts w:ascii="Times New Roman" w:hAnsi="Times New Roman"/>
          <w:sz w:val="20"/>
          <w:lang w:val="es-AR"/>
        </w:rPr>
        <w:br w:type="page"/>
      </w:r>
      <w:bookmarkStart w:id="26" w:name="_Toc337141358"/>
      <w:bookmarkStart w:id="27" w:name="_Toc24360356"/>
      <w:bookmarkStart w:id="28" w:name="_Toc24363261"/>
      <w:r w:rsidRPr="00EA7870">
        <w:rPr>
          <w:rFonts w:ascii="Times New Roman" w:hAnsi="Times New Roman"/>
          <w:sz w:val="20"/>
          <w:lang w:val="es-AR"/>
        </w:rPr>
        <w:lastRenderedPageBreak/>
        <w:t>DOCUMENTOS A DISPOSICIÓN</w:t>
      </w:r>
      <w:bookmarkEnd w:id="26"/>
      <w:bookmarkEnd w:id="27"/>
      <w:bookmarkEnd w:id="28"/>
    </w:p>
    <w:p w14:paraId="58ED7932" w14:textId="77777777" w:rsidR="00B530EF" w:rsidRPr="00EA7870" w:rsidRDefault="00B530EF" w:rsidP="009369F6">
      <w:pPr>
        <w:jc w:val="both"/>
        <w:rPr>
          <w:sz w:val="20"/>
          <w:szCs w:val="20"/>
          <w:lang w:val="es-AR"/>
        </w:rPr>
      </w:pPr>
    </w:p>
    <w:p w14:paraId="294F516D" w14:textId="77777777" w:rsidR="00DA107D" w:rsidRPr="00EA7870" w:rsidRDefault="007E69F5" w:rsidP="00132C6D">
      <w:pPr>
        <w:autoSpaceDE w:val="0"/>
        <w:autoSpaceDN w:val="0"/>
        <w:adjustRightInd w:val="0"/>
        <w:jc w:val="both"/>
        <w:rPr>
          <w:rFonts w:ascii="TimesNewRoman" w:hAnsi="TimesNewRoman"/>
          <w:color w:val="000000"/>
          <w:sz w:val="20"/>
          <w:szCs w:val="20"/>
          <w:lang w:val="es-AR" w:eastAsia="en-US"/>
        </w:rPr>
      </w:pPr>
      <w:r w:rsidRPr="00EA7870">
        <w:rPr>
          <w:color w:val="000000"/>
          <w:sz w:val="20"/>
          <w:szCs w:val="20"/>
          <w:lang w:eastAsia="en-US"/>
        </w:rPr>
        <w:t>El Prospecto, este Suplemento</w:t>
      </w:r>
      <w:r w:rsidR="00595465" w:rsidRPr="00EA7870">
        <w:rPr>
          <w:color w:val="000000"/>
          <w:sz w:val="20"/>
          <w:szCs w:val="20"/>
          <w:lang w:eastAsia="en-US"/>
        </w:rPr>
        <w:t xml:space="preserve"> y</w:t>
      </w:r>
      <w:r w:rsidRPr="00EA7870">
        <w:rPr>
          <w:color w:val="000000"/>
          <w:sz w:val="20"/>
          <w:szCs w:val="20"/>
          <w:lang w:eastAsia="en-US"/>
        </w:rPr>
        <w:t xml:space="preserve"> </w:t>
      </w:r>
      <w:r w:rsidRPr="00EA7870">
        <w:rPr>
          <w:color w:val="000000"/>
          <w:sz w:val="20"/>
          <w:szCs w:val="20"/>
          <w:lang w:val="es-AR" w:eastAsia="en-US"/>
        </w:rPr>
        <w:t xml:space="preserve">los estados contables de la Emisora </w:t>
      </w:r>
      <w:r w:rsidRPr="00EA7870">
        <w:rPr>
          <w:color w:val="000000"/>
          <w:sz w:val="20"/>
          <w:szCs w:val="20"/>
          <w:lang w:eastAsia="en-US"/>
        </w:rPr>
        <w:t>se encuentran a disposición del público inversor en la sede social de la Emisora, ubicada en Av. Leandro N. Alem 1180 (C1001AAT), Ciudad Autónoma de Buenos Aires, Argentina, en días hábiles en el horario de 10:00 a 18:00 horas</w:t>
      </w:r>
      <w:r w:rsidRPr="00EA7870">
        <w:rPr>
          <w:sz w:val="20"/>
          <w:szCs w:val="20"/>
          <w:lang w:val="es-AR"/>
        </w:rPr>
        <w:t xml:space="preserve"> teléfono: (54 11) 4310-4100, fax: (54 11) 4310-4319</w:t>
      </w:r>
      <w:r w:rsidRPr="00EA7870">
        <w:rPr>
          <w:color w:val="000000"/>
          <w:sz w:val="20"/>
          <w:szCs w:val="20"/>
          <w:lang w:eastAsia="en-US"/>
        </w:rPr>
        <w:t xml:space="preserve">, </w:t>
      </w:r>
      <w:r w:rsidR="00595465" w:rsidRPr="00EA7870">
        <w:rPr>
          <w:color w:val="000000"/>
          <w:sz w:val="20"/>
          <w:szCs w:val="20"/>
          <w:lang w:eastAsia="en-US"/>
        </w:rPr>
        <w:t xml:space="preserve">en el sitio </w:t>
      </w:r>
      <w:r w:rsidR="00595465" w:rsidRPr="00EA7870">
        <w:rPr>
          <w:i/>
          <w:iCs/>
          <w:color w:val="000000"/>
          <w:sz w:val="20"/>
          <w:szCs w:val="20"/>
          <w:lang w:eastAsia="en-US"/>
        </w:rPr>
        <w:t>web</w:t>
      </w:r>
      <w:r w:rsidR="00595465" w:rsidRPr="00EA7870">
        <w:rPr>
          <w:color w:val="000000"/>
          <w:sz w:val="20"/>
          <w:szCs w:val="20"/>
          <w:lang w:eastAsia="en-US"/>
        </w:rPr>
        <w:t xml:space="preserve"> institucional de la Emisora (</w:t>
      </w:r>
      <w:hyperlink r:id="rId15" w:history="1">
        <w:r w:rsidR="00595465" w:rsidRPr="00EA7870">
          <w:rPr>
            <w:rStyle w:val="Hipervnculo"/>
            <w:sz w:val="20"/>
            <w:szCs w:val="20"/>
            <w:lang w:eastAsia="en-US"/>
          </w:rPr>
          <w:t>http://www.pan-energy.com</w:t>
        </w:r>
      </w:hyperlink>
      <w:r w:rsidR="00595465" w:rsidRPr="00EA7870">
        <w:rPr>
          <w:color w:val="000000"/>
          <w:sz w:val="20"/>
          <w:szCs w:val="20"/>
          <w:lang w:eastAsia="en-US"/>
        </w:rPr>
        <w:t xml:space="preserve">), </w:t>
      </w:r>
      <w:r w:rsidRPr="00EA7870">
        <w:rPr>
          <w:color w:val="000000"/>
          <w:sz w:val="20"/>
          <w:szCs w:val="20"/>
          <w:lang w:eastAsia="en-US"/>
        </w:rPr>
        <w:t>y en la oficina de</w:t>
      </w:r>
      <w:r w:rsidR="00B37C3D" w:rsidRPr="00EA7870">
        <w:rPr>
          <w:color w:val="000000"/>
          <w:sz w:val="20"/>
          <w:szCs w:val="20"/>
          <w:lang w:eastAsia="en-US"/>
        </w:rPr>
        <w:t>l</w:t>
      </w:r>
      <w:r w:rsidRPr="00EA7870">
        <w:rPr>
          <w:color w:val="000000"/>
          <w:sz w:val="20"/>
          <w:szCs w:val="20"/>
          <w:lang w:eastAsia="en-US"/>
        </w:rPr>
        <w:t xml:space="preserve"> </w:t>
      </w:r>
      <w:r w:rsidR="00B37C3D" w:rsidRPr="00EA7870">
        <w:rPr>
          <w:sz w:val="20"/>
          <w:szCs w:val="20"/>
          <w:lang w:val="es-AR"/>
        </w:rPr>
        <w:t>Colocador Local</w:t>
      </w:r>
      <w:r w:rsidRPr="00EA7870">
        <w:rPr>
          <w:color w:val="000000"/>
          <w:sz w:val="20"/>
          <w:szCs w:val="20"/>
          <w:lang w:eastAsia="en-US"/>
        </w:rPr>
        <w:t xml:space="preserve">. Adicionalmente, el Prospecto, este Suplemento y </w:t>
      </w:r>
      <w:r w:rsidRPr="00EA7870">
        <w:rPr>
          <w:color w:val="000000"/>
          <w:sz w:val="20"/>
          <w:szCs w:val="20"/>
          <w:lang w:val="es-AR" w:eastAsia="en-US"/>
        </w:rPr>
        <w:t>los estados contables de la Emisora</w:t>
      </w:r>
      <w:r w:rsidR="007038E0" w:rsidRPr="00EA7870">
        <w:rPr>
          <w:color w:val="000000"/>
          <w:sz w:val="20"/>
          <w:szCs w:val="20"/>
          <w:lang w:val="es-AR" w:eastAsia="en-US"/>
        </w:rPr>
        <w:t xml:space="preserve"> allí referidos</w:t>
      </w:r>
      <w:r w:rsidRPr="00EA7870">
        <w:rPr>
          <w:color w:val="000000"/>
          <w:sz w:val="20"/>
          <w:szCs w:val="20"/>
          <w:lang w:eastAsia="en-US"/>
        </w:rPr>
        <w:t xml:space="preserve"> se encuentran disponibles </w:t>
      </w:r>
      <w:r w:rsidR="00132C6D" w:rsidRPr="00EA7870">
        <w:rPr>
          <w:color w:val="000000"/>
          <w:sz w:val="20"/>
          <w:szCs w:val="20"/>
          <w:lang w:eastAsia="en-US"/>
        </w:rPr>
        <w:t>en la AIF</w:t>
      </w:r>
      <w:r w:rsidR="00E72B61" w:rsidRPr="00EA7870">
        <w:rPr>
          <w:color w:val="000000"/>
          <w:sz w:val="20"/>
          <w:szCs w:val="20"/>
          <w:lang w:eastAsia="en-US"/>
        </w:rPr>
        <w:t>,</w:t>
      </w:r>
      <w:r w:rsidR="00132C6D" w:rsidRPr="00EA7870">
        <w:rPr>
          <w:color w:val="000000"/>
          <w:sz w:val="20"/>
          <w:szCs w:val="20"/>
          <w:lang w:eastAsia="en-US"/>
        </w:rPr>
        <w:t xml:space="preserve"> </w:t>
      </w:r>
      <w:r w:rsidRPr="00EA7870">
        <w:rPr>
          <w:color w:val="000000"/>
          <w:sz w:val="20"/>
          <w:szCs w:val="20"/>
          <w:lang w:eastAsia="en-US"/>
        </w:rPr>
        <w:t xml:space="preserve">en el sitio </w:t>
      </w:r>
      <w:r w:rsidRPr="00EA7870">
        <w:rPr>
          <w:i/>
          <w:color w:val="000000"/>
          <w:sz w:val="20"/>
          <w:szCs w:val="20"/>
          <w:lang w:eastAsia="en-US"/>
        </w:rPr>
        <w:t>web</w:t>
      </w:r>
      <w:r w:rsidRPr="00EA7870">
        <w:rPr>
          <w:color w:val="000000"/>
          <w:sz w:val="20"/>
          <w:szCs w:val="20"/>
          <w:lang w:eastAsia="en-US"/>
        </w:rPr>
        <w:t xml:space="preserve"> de la BCBA (www.bolsar.com), en virtud del ejercicio de la facultad delegada por BYMA a la BCBA conforme lo dispuesto por la Resolución N°18.629 de la CNV</w:t>
      </w:r>
      <w:r w:rsidR="00132C6D" w:rsidRPr="00EA7870">
        <w:rPr>
          <w:color w:val="000000"/>
          <w:sz w:val="20"/>
          <w:szCs w:val="20"/>
          <w:lang w:eastAsia="en-US"/>
        </w:rPr>
        <w:t>.</w:t>
      </w:r>
      <w:r w:rsidRPr="00EA7870">
        <w:rPr>
          <w:color w:val="000000"/>
          <w:sz w:val="20"/>
          <w:szCs w:val="20"/>
          <w:lang w:eastAsia="en-US"/>
        </w:rPr>
        <w:t xml:space="preserve"> </w:t>
      </w:r>
    </w:p>
    <w:p w14:paraId="62F38967" w14:textId="77777777" w:rsidR="00F61F13" w:rsidRPr="00EA7870" w:rsidRDefault="00740BD3" w:rsidP="000F775A">
      <w:pPr>
        <w:jc w:val="center"/>
        <w:rPr>
          <w:sz w:val="20"/>
          <w:szCs w:val="20"/>
          <w:lang w:val="es-AR"/>
        </w:rPr>
      </w:pPr>
      <w:r w:rsidRPr="00EA7870">
        <w:rPr>
          <w:sz w:val="20"/>
          <w:szCs w:val="20"/>
          <w:lang w:val="es-AR"/>
        </w:rPr>
        <w:t>_________________________</w:t>
      </w:r>
    </w:p>
    <w:p w14:paraId="33EB2736" w14:textId="77777777" w:rsidR="00F61F13" w:rsidRPr="00EA7870" w:rsidRDefault="00F61F13" w:rsidP="009369F6">
      <w:pPr>
        <w:pStyle w:val="Ttulo1"/>
        <w:ind w:left="3544"/>
        <w:rPr>
          <w:rFonts w:ascii="Times New Roman" w:hAnsi="Times New Roman"/>
          <w:sz w:val="20"/>
          <w:lang w:val="es-AR"/>
        </w:rPr>
      </w:pPr>
      <w:bookmarkStart w:id="29" w:name="_Toc515470746"/>
      <w:bookmarkStart w:id="30" w:name="_Toc24360357"/>
      <w:bookmarkStart w:id="31" w:name="_Toc24363262"/>
      <w:r w:rsidRPr="00EA7870">
        <w:rPr>
          <w:rFonts w:ascii="Times New Roman" w:hAnsi="Times New Roman"/>
          <w:sz w:val="20"/>
          <w:lang w:val="es-AR"/>
        </w:rPr>
        <w:t>DEFINICIONES</w:t>
      </w:r>
      <w:bookmarkEnd w:id="29"/>
      <w:bookmarkEnd w:id="30"/>
      <w:bookmarkEnd w:id="31"/>
    </w:p>
    <w:p w14:paraId="5F4C0095" w14:textId="77777777" w:rsidR="00F61F13" w:rsidRPr="00EA7870" w:rsidRDefault="00F61F13" w:rsidP="00F61F13">
      <w:pPr>
        <w:jc w:val="both"/>
        <w:rPr>
          <w:sz w:val="20"/>
          <w:szCs w:val="20"/>
        </w:rPr>
      </w:pPr>
    </w:p>
    <w:p w14:paraId="01BF364A" w14:textId="598FF3B2" w:rsidR="00F61F13" w:rsidRPr="00EA7870" w:rsidRDefault="00F61F13" w:rsidP="001A577E">
      <w:pPr>
        <w:jc w:val="both"/>
        <w:rPr>
          <w:sz w:val="20"/>
          <w:szCs w:val="20"/>
          <w:lang w:val="es-AR"/>
        </w:rPr>
      </w:pPr>
      <w:r w:rsidRPr="00EA7870">
        <w:rPr>
          <w:sz w:val="20"/>
          <w:szCs w:val="20"/>
          <w:lang w:val="es-AR"/>
        </w:rPr>
        <w:t>A los fines de este Suplemento, “</w:t>
      </w:r>
      <w:r w:rsidRPr="00EA7870">
        <w:rPr>
          <w:b/>
          <w:sz w:val="20"/>
          <w:szCs w:val="20"/>
          <w:lang w:val="es-AR"/>
        </w:rPr>
        <w:t>Argentina</w:t>
      </w:r>
      <w:r w:rsidRPr="00EA7870">
        <w:rPr>
          <w:sz w:val="20"/>
          <w:szCs w:val="20"/>
          <w:lang w:val="es-AR"/>
        </w:rPr>
        <w:t>” significa la República Argentina, “</w:t>
      </w:r>
      <w:r w:rsidR="00410282" w:rsidRPr="00EA7870">
        <w:rPr>
          <w:b/>
          <w:sz w:val="20"/>
          <w:szCs w:val="20"/>
          <w:lang w:val="es-AR"/>
        </w:rPr>
        <w:t>P</w:t>
      </w:r>
      <w:r w:rsidRPr="00EA7870">
        <w:rPr>
          <w:b/>
          <w:sz w:val="20"/>
          <w:szCs w:val="20"/>
          <w:lang w:val="es-AR"/>
        </w:rPr>
        <w:t>esos</w:t>
      </w:r>
      <w:r w:rsidRPr="00EA7870">
        <w:rPr>
          <w:sz w:val="20"/>
          <w:szCs w:val="20"/>
          <w:lang w:val="es-AR"/>
        </w:rPr>
        <w:t>” o “</w:t>
      </w:r>
      <w:r w:rsidRPr="00EA7870">
        <w:rPr>
          <w:b/>
          <w:sz w:val="20"/>
          <w:szCs w:val="20"/>
          <w:lang w:val="es-AR"/>
        </w:rPr>
        <w:t>$</w:t>
      </w:r>
      <w:r w:rsidRPr="00EA7870">
        <w:rPr>
          <w:sz w:val="20"/>
          <w:szCs w:val="20"/>
          <w:lang w:val="es-AR"/>
        </w:rPr>
        <w:t>” significa la moneda de curso legal en la Argentina, “</w:t>
      </w:r>
      <w:r w:rsidRPr="00EA7870">
        <w:rPr>
          <w:b/>
          <w:sz w:val="20"/>
          <w:szCs w:val="20"/>
          <w:lang w:val="es-AR"/>
        </w:rPr>
        <w:t>Estados Unidos</w:t>
      </w:r>
      <w:r w:rsidRPr="00EA7870">
        <w:rPr>
          <w:sz w:val="20"/>
          <w:szCs w:val="20"/>
          <w:lang w:val="es-AR"/>
        </w:rPr>
        <w:t>” significa los Estados Unidos de América, “</w:t>
      </w:r>
      <w:r w:rsidR="007E69F5" w:rsidRPr="00EA7870">
        <w:rPr>
          <w:b/>
          <w:sz w:val="20"/>
          <w:szCs w:val="20"/>
          <w:lang w:val="es-AR"/>
        </w:rPr>
        <w:t>Dólares Estadounidenses</w:t>
      </w:r>
      <w:r w:rsidRPr="00EA7870">
        <w:rPr>
          <w:sz w:val="20"/>
          <w:szCs w:val="20"/>
          <w:lang w:val="es-AR"/>
        </w:rPr>
        <w:t>” o “</w:t>
      </w:r>
      <w:r w:rsidRPr="00EA7870">
        <w:rPr>
          <w:b/>
          <w:sz w:val="20"/>
          <w:szCs w:val="20"/>
          <w:lang w:val="es-AR"/>
        </w:rPr>
        <w:t>US$</w:t>
      </w:r>
      <w:r w:rsidRPr="00EA7870">
        <w:rPr>
          <w:sz w:val="20"/>
          <w:szCs w:val="20"/>
          <w:lang w:val="es-AR"/>
        </w:rPr>
        <w:t>” significa la moneda de curso legal en los Estados Unidos</w:t>
      </w:r>
      <w:r w:rsidR="00C4654E" w:rsidRPr="00EA7870">
        <w:rPr>
          <w:sz w:val="20"/>
          <w:szCs w:val="20"/>
          <w:lang w:val="es-AR"/>
        </w:rPr>
        <w:t>,</w:t>
      </w:r>
      <w:r w:rsidRPr="00EA7870">
        <w:rPr>
          <w:sz w:val="20"/>
          <w:szCs w:val="20"/>
          <w:lang w:val="es-AR"/>
        </w:rPr>
        <w:t xml:space="preserve"> “</w:t>
      </w:r>
      <w:r w:rsidRPr="00EA7870">
        <w:rPr>
          <w:b/>
          <w:sz w:val="20"/>
          <w:szCs w:val="20"/>
          <w:lang w:val="es-AR"/>
        </w:rPr>
        <w:t>Día Hábil</w:t>
      </w:r>
      <w:r w:rsidRPr="00EA7870">
        <w:rPr>
          <w:sz w:val="20"/>
          <w:szCs w:val="20"/>
          <w:lang w:val="es-AR"/>
        </w:rPr>
        <w:t xml:space="preserve">” significa </w:t>
      </w:r>
      <w:r w:rsidR="001A577E" w:rsidRPr="00EA7870">
        <w:rPr>
          <w:sz w:val="20"/>
          <w:szCs w:val="20"/>
          <w:lang w:val="es-AR"/>
        </w:rPr>
        <w:t>un día que no sea sábado, domingo o cualquier día en el que las entidades bancarias se encuentren autorizadas a cerrar, o la ley así les exija, en la Ciudad de Nueva York, Estados Unidos, o en la Ciudad de Buenos Aires, Argentina</w:t>
      </w:r>
      <w:r w:rsidR="00C4654E" w:rsidRPr="00EA7870">
        <w:rPr>
          <w:sz w:val="20"/>
          <w:szCs w:val="20"/>
          <w:lang w:val="es-AR"/>
        </w:rPr>
        <w:t>, y “</w:t>
      </w:r>
      <w:r w:rsidR="00C4654E" w:rsidRPr="00EA7870">
        <w:rPr>
          <w:b/>
          <w:bCs/>
          <w:sz w:val="20"/>
          <w:szCs w:val="20"/>
          <w:lang w:val="es-AR"/>
        </w:rPr>
        <w:t>Día Hábil Bursátil</w:t>
      </w:r>
      <w:r w:rsidR="00C4654E" w:rsidRPr="00EA7870">
        <w:rPr>
          <w:sz w:val="20"/>
          <w:szCs w:val="20"/>
          <w:lang w:val="es-AR"/>
        </w:rPr>
        <w:t xml:space="preserve">” significa </w:t>
      </w:r>
      <w:bookmarkStart w:id="32" w:name="_Hlk23504308"/>
      <w:r w:rsidR="00C4654E" w:rsidRPr="00EA7870">
        <w:rPr>
          <w:sz w:val="20"/>
          <w:szCs w:val="20"/>
          <w:lang w:val="es-AR"/>
        </w:rPr>
        <w:t>un día en que se realiza la rueda de operaciones en BYMA y/o en el MAE en la Ciudad de Buenos Aires, Argentina</w:t>
      </w:r>
      <w:bookmarkEnd w:id="32"/>
      <w:r w:rsidRPr="00EA7870">
        <w:rPr>
          <w:sz w:val="20"/>
          <w:szCs w:val="20"/>
          <w:lang w:val="es-AR"/>
        </w:rPr>
        <w:t>. Las referencias a cualquier norma contenida en el presente Suplemento son referencias a las normas en cuestión incluyendo sus modificatorias y reglamentarias. Cualquier otro término que comience en mayúscula y que no se encuentre expresamente definido en el presente tendrá el significado que se le asigna en el Prospecto.</w:t>
      </w:r>
    </w:p>
    <w:p w14:paraId="06726137" w14:textId="64D5CDB1" w:rsidR="00C4654E" w:rsidRPr="00EA7870" w:rsidRDefault="00C4654E" w:rsidP="001A577E">
      <w:pPr>
        <w:jc w:val="both"/>
        <w:rPr>
          <w:sz w:val="20"/>
          <w:szCs w:val="20"/>
          <w:lang w:val="es-AR"/>
        </w:rPr>
      </w:pPr>
    </w:p>
    <w:p w14:paraId="1F92666A" w14:textId="77777777" w:rsidR="00F61F13" w:rsidRPr="00EA7870" w:rsidRDefault="00F61F13" w:rsidP="00857EE0">
      <w:pPr>
        <w:jc w:val="center"/>
        <w:rPr>
          <w:sz w:val="20"/>
          <w:szCs w:val="20"/>
          <w:lang w:val="es-AR"/>
        </w:rPr>
      </w:pPr>
      <w:r w:rsidRPr="00EA7870">
        <w:rPr>
          <w:sz w:val="20"/>
          <w:szCs w:val="20"/>
          <w:lang w:val="es-AR"/>
        </w:rPr>
        <w:t>_________________________</w:t>
      </w:r>
    </w:p>
    <w:p w14:paraId="4E6FA675" w14:textId="77777777" w:rsidR="00862B7B" w:rsidRPr="00EA7870" w:rsidRDefault="00862B7B" w:rsidP="00862B7B">
      <w:pPr>
        <w:rPr>
          <w:sz w:val="20"/>
          <w:szCs w:val="20"/>
          <w:lang w:val="es-AR"/>
        </w:rPr>
      </w:pPr>
    </w:p>
    <w:p w14:paraId="2C51BEF5" w14:textId="77777777" w:rsidR="00862B7B" w:rsidRPr="00EA7870" w:rsidRDefault="009E21A0" w:rsidP="002D1221">
      <w:pPr>
        <w:pStyle w:val="Ttulo1"/>
        <w:spacing w:before="0" w:after="0"/>
        <w:jc w:val="center"/>
        <w:rPr>
          <w:rFonts w:ascii="Times New Roman" w:hAnsi="Times New Roman"/>
          <w:sz w:val="20"/>
          <w:lang w:val="es-AR"/>
        </w:rPr>
      </w:pPr>
      <w:bookmarkStart w:id="33" w:name="_Toc461451391"/>
      <w:bookmarkStart w:id="34" w:name="_Toc440904027"/>
      <w:bookmarkStart w:id="35" w:name="_Toc401243966"/>
      <w:bookmarkStart w:id="36" w:name="_Toc408493526"/>
      <w:bookmarkStart w:id="37" w:name="_Toc337141357"/>
      <w:bookmarkStart w:id="38" w:name="_Toc24360358"/>
      <w:bookmarkStart w:id="39" w:name="_Toc24363263"/>
      <w:r w:rsidRPr="00EA7870">
        <w:rPr>
          <w:rFonts w:ascii="Times New Roman" w:hAnsi="Times New Roman"/>
          <w:sz w:val="20"/>
          <w:lang w:val="es-AR"/>
        </w:rPr>
        <w:t xml:space="preserve">PREVENCIÓN DE </w:t>
      </w:r>
      <w:r w:rsidR="00862B7B" w:rsidRPr="00EA7870">
        <w:rPr>
          <w:rFonts w:ascii="Times New Roman" w:hAnsi="Times New Roman"/>
          <w:sz w:val="20"/>
          <w:lang w:val="es-AR"/>
        </w:rPr>
        <w:t>LAVADO DE ACTIVOS Y FINANCIACIÓN DEL TERRORISMO</w:t>
      </w:r>
      <w:bookmarkEnd w:id="33"/>
      <w:bookmarkEnd w:id="34"/>
      <w:bookmarkEnd w:id="35"/>
      <w:bookmarkEnd w:id="36"/>
      <w:bookmarkEnd w:id="37"/>
      <w:r w:rsidR="00862B7B" w:rsidRPr="00EA7870">
        <w:rPr>
          <w:rFonts w:ascii="Times New Roman" w:hAnsi="Times New Roman"/>
          <w:sz w:val="20"/>
          <w:lang w:val="es-AR"/>
        </w:rPr>
        <w:t>, CONTROLES DE CAMBIOS E IMPUESTOS</w:t>
      </w:r>
      <w:bookmarkEnd w:id="38"/>
      <w:bookmarkEnd w:id="39"/>
    </w:p>
    <w:p w14:paraId="5717786C" w14:textId="77777777" w:rsidR="002043EF" w:rsidRPr="00EA7870" w:rsidRDefault="002043EF" w:rsidP="00C96611">
      <w:pPr>
        <w:rPr>
          <w:sz w:val="20"/>
          <w:szCs w:val="20"/>
          <w:lang w:val="es-AR"/>
        </w:rPr>
      </w:pPr>
    </w:p>
    <w:p w14:paraId="3A73A2A6" w14:textId="77777777" w:rsidR="00862B7B" w:rsidRPr="00050F35" w:rsidRDefault="00862B7B" w:rsidP="00862B7B">
      <w:pPr>
        <w:jc w:val="both"/>
        <w:rPr>
          <w:color w:val="000000" w:themeColor="text1"/>
          <w:sz w:val="20"/>
          <w:szCs w:val="20"/>
          <w:u w:val="single"/>
          <w:lang w:val="es-AR"/>
        </w:rPr>
      </w:pPr>
      <w:r w:rsidRPr="00EA7870">
        <w:rPr>
          <w:sz w:val="20"/>
          <w:szCs w:val="20"/>
          <w:lang w:val="es-AR"/>
        </w:rPr>
        <w:t>Para obtener información relativa a la normativa vigente en materia de prevención del lavado de activos</w:t>
      </w:r>
      <w:r w:rsidR="002043EF" w:rsidRPr="00EA7870">
        <w:rPr>
          <w:sz w:val="20"/>
          <w:szCs w:val="20"/>
          <w:lang w:val="es-AR"/>
        </w:rPr>
        <w:t>,</w:t>
      </w:r>
      <w:r w:rsidR="00B42369" w:rsidRPr="00EA7870">
        <w:rPr>
          <w:sz w:val="20"/>
          <w:szCs w:val="20"/>
          <w:lang w:val="es-AR"/>
        </w:rPr>
        <w:t xml:space="preserve"> financiación del terrorismo</w:t>
      </w:r>
      <w:r w:rsidR="002043EF" w:rsidRPr="00EA7870">
        <w:rPr>
          <w:sz w:val="20"/>
          <w:szCs w:val="20"/>
          <w:lang w:val="es-AR"/>
        </w:rPr>
        <w:t xml:space="preserve"> y otras actividades ilícitas</w:t>
      </w:r>
      <w:r w:rsidRPr="00EA7870">
        <w:rPr>
          <w:sz w:val="20"/>
          <w:szCs w:val="20"/>
          <w:lang w:val="es-AR"/>
        </w:rPr>
        <w:t>, control de cambios y carga tributaria, véase las secciones “</w:t>
      </w:r>
      <w:r w:rsidR="002743B1" w:rsidRPr="00EA7870">
        <w:rPr>
          <w:i/>
          <w:iCs/>
          <w:sz w:val="20"/>
          <w:szCs w:val="20"/>
        </w:rPr>
        <w:t>Información Adicional</w:t>
      </w:r>
      <w:r w:rsidR="00D66735" w:rsidRPr="00EA7870">
        <w:rPr>
          <w:i/>
          <w:color w:val="000000"/>
          <w:sz w:val="20"/>
          <w:szCs w:val="20"/>
          <w:lang w:val="es-AR"/>
        </w:rPr>
        <w:t>—</w:t>
      </w:r>
      <w:r w:rsidR="002743B1" w:rsidRPr="00EA7870">
        <w:rPr>
          <w:i/>
          <w:sz w:val="20"/>
          <w:szCs w:val="20"/>
        </w:rPr>
        <w:t xml:space="preserve">Prevención de </w:t>
      </w:r>
      <w:r w:rsidR="009E21A0" w:rsidRPr="00EA7870">
        <w:rPr>
          <w:i/>
          <w:sz w:val="20"/>
          <w:szCs w:val="20"/>
        </w:rPr>
        <w:t>L</w:t>
      </w:r>
      <w:r w:rsidR="002743B1" w:rsidRPr="00EA7870">
        <w:rPr>
          <w:i/>
          <w:sz w:val="20"/>
          <w:szCs w:val="20"/>
        </w:rPr>
        <w:t xml:space="preserve">avado de </w:t>
      </w:r>
      <w:r w:rsidR="009E21A0" w:rsidRPr="00EA7870">
        <w:rPr>
          <w:i/>
          <w:sz w:val="20"/>
          <w:szCs w:val="20"/>
        </w:rPr>
        <w:t xml:space="preserve">Activos </w:t>
      </w:r>
      <w:r w:rsidR="002743B1" w:rsidRPr="00EA7870">
        <w:rPr>
          <w:i/>
          <w:sz w:val="20"/>
          <w:szCs w:val="20"/>
        </w:rPr>
        <w:t xml:space="preserve">y </w:t>
      </w:r>
      <w:r w:rsidR="009E21A0" w:rsidRPr="00EA7870">
        <w:rPr>
          <w:i/>
          <w:sz w:val="20"/>
          <w:szCs w:val="20"/>
        </w:rPr>
        <w:t xml:space="preserve">Financiamiento </w:t>
      </w:r>
      <w:r w:rsidR="002743B1" w:rsidRPr="00EA7870">
        <w:rPr>
          <w:i/>
          <w:sz w:val="20"/>
          <w:szCs w:val="20"/>
        </w:rPr>
        <w:t xml:space="preserve">del </w:t>
      </w:r>
      <w:r w:rsidR="009E21A0" w:rsidRPr="00EA7870">
        <w:rPr>
          <w:i/>
          <w:sz w:val="20"/>
          <w:szCs w:val="20"/>
        </w:rPr>
        <w:t>Terrorismo</w:t>
      </w:r>
      <w:r w:rsidRPr="00EA7870">
        <w:rPr>
          <w:sz w:val="20"/>
          <w:szCs w:val="20"/>
          <w:lang w:val="es-AR"/>
        </w:rPr>
        <w:t>”, “</w:t>
      </w:r>
      <w:r w:rsidR="002743B1" w:rsidRPr="00EA7870">
        <w:rPr>
          <w:i/>
          <w:iCs/>
          <w:sz w:val="20"/>
          <w:szCs w:val="20"/>
        </w:rPr>
        <w:t>Información Adicional</w:t>
      </w:r>
      <w:r w:rsidR="00D66735" w:rsidRPr="00EA7870">
        <w:rPr>
          <w:i/>
          <w:color w:val="000000"/>
          <w:sz w:val="20"/>
          <w:szCs w:val="20"/>
          <w:lang w:val="es-AR"/>
        </w:rPr>
        <w:t>—</w:t>
      </w:r>
      <w:r w:rsidR="002743B1" w:rsidRPr="00EA7870">
        <w:rPr>
          <w:i/>
          <w:iCs/>
          <w:sz w:val="20"/>
          <w:szCs w:val="20"/>
        </w:rPr>
        <w:t>Controles de Cambio</w:t>
      </w:r>
      <w:r w:rsidRPr="00EA7870">
        <w:rPr>
          <w:sz w:val="20"/>
          <w:szCs w:val="20"/>
          <w:lang w:val="es-AR"/>
        </w:rPr>
        <w:t xml:space="preserve">” </w:t>
      </w:r>
      <w:r w:rsidR="007038E0" w:rsidRPr="00EA7870">
        <w:rPr>
          <w:sz w:val="20"/>
          <w:szCs w:val="20"/>
          <w:lang w:val="es-AR"/>
        </w:rPr>
        <w:t>e</w:t>
      </w:r>
      <w:r w:rsidRPr="00EA7870">
        <w:rPr>
          <w:sz w:val="20"/>
          <w:szCs w:val="20"/>
          <w:lang w:val="es-AR"/>
        </w:rPr>
        <w:t xml:space="preserve"> “</w:t>
      </w:r>
      <w:r w:rsidR="002743B1" w:rsidRPr="00EA7870">
        <w:rPr>
          <w:i/>
          <w:iCs/>
          <w:sz w:val="20"/>
          <w:szCs w:val="20"/>
        </w:rPr>
        <w:t>Información Adicional</w:t>
      </w:r>
      <w:r w:rsidR="00D66735" w:rsidRPr="00EA7870">
        <w:rPr>
          <w:i/>
          <w:color w:val="000000"/>
          <w:sz w:val="20"/>
          <w:szCs w:val="20"/>
          <w:lang w:val="es-AR"/>
        </w:rPr>
        <w:t>—</w:t>
      </w:r>
      <w:r w:rsidR="002743B1" w:rsidRPr="00EA7870">
        <w:rPr>
          <w:i/>
          <w:iCs/>
          <w:sz w:val="20"/>
          <w:szCs w:val="20"/>
        </w:rPr>
        <w:t>Carga Tributaria</w:t>
      </w:r>
      <w:r w:rsidRPr="00EA7870">
        <w:rPr>
          <w:sz w:val="20"/>
          <w:szCs w:val="20"/>
          <w:lang w:val="es-AR"/>
        </w:rPr>
        <w:t xml:space="preserve">” del Prospecto. </w:t>
      </w:r>
    </w:p>
    <w:p w14:paraId="013384DD" w14:textId="77777777" w:rsidR="00ED3DF2" w:rsidRPr="00050F35" w:rsidRDefault="00ED3DF2" w:rsidP="00ED3DF2">
      <w:pPr>
        <w:jc w:val="center"/>
        <w:rPr>
          <w:color w:val="000000" w:themeColor="text1"/>
          <w:sz w:val="20"/>
          <w:szCs w:val="20"/>
          <w:u w:val="single"/>
          <w:lang w:val="es-AR"/>
        </w:rPr>
      </w:pPr>
      <w:bookmarkStart w:id="40" w:name="_DV_C26"/>
      <w:r w:rsidRPr="00050F35">
        <w:rPr>
          <w:rStyle w:val="DeltaViewInsertion"/>
          <w:b w:val="0"/>
          <w:color w:val="000000" w:themeColor="text1"/>
          <w:sz w:val="20"/>
          <w:szCs w:val="20"/>
          <w:u w:val="single"/>
          <w:lang w:val="es-AR"/>
        </w:rPr>
        <w:t>_________________________</w:t>
      </w:r>
      <w:bookmarkEnd w:id="40"/>
    </w:p>
    <w:p w14:paraId="307CBB7F" w14:textId="77777777" w:rsidR="00ED3DF2" w:rsidRPr="00EA7870" w:rsidRDefault="00ED3DF2" w:rsidP="00ED3DF2">
      <w:pPr>
        <w:tabs>
          <w:tab w:val="left" w:pos="-1134"/>
        </w:tabs>
        <w:jc w:val="both"/>
        <w:rPr>
          <w:sz w:val="20"/>
          <w:szCs w:val="20"/>
          <w:lang w:val="es-AR"/>
        </w:rPr>
      </w:pPr>
    </w:p>
    <w:p w14:paraId="3C31CD3B" w14:textId="77777777" w:rsidR="00ED3DF2" w:rsidRPr="00EA7870" w:rsidRDefault="00ED3DF2" w:rsidP="00ED3DF2">
      <w:pPr>
        <w:pStyle w:val="Ttulo1"/>
        <w:spacing w:before="0" w:after="0"/>
        <w:jc w:val="center"/>
        <w:rPr>
          <w:rFonts w:ascii="Times New Roman" w:hAnsi="Times New Roman"/>
          <w:sz w:val="20"/>
          <w:lang w:val="es-AR"/>
        </w:rPr>
      </w:pPr>
      <w:bookmarkStart w:id="41" w:name="_DV_C27"/>
      <w:bookmarkStart w:id="42" w:name="_Toc516063521"/>
      <w:bookmarkStart w:id="43" w:name="_Toc24360359"/>
      <w:bookmarkStart w:id="44" w:name="_Toc24363264"/>
      <w:r w:rsidRPr="00EA7870">
        <w:rPr>
          <w:rStyle w:val="DeltaViewInsertion"/>
          <w:rFonts w:ascii="Times New Roman" w:hAnsi="Times New Roman"/>
          <w:b/>
          <w:sz w:val="20"/>
          <w:u w:val="none"/>
          <w:lang w:val="es-AR"/>
        </w:rPr>
        <w:t>INVERSORES CALIFICADOS</w:t>
      </w:r>
      <w:bookmarkEnd w:id="41"/>
      <w:bookmarkEnd w:id="42"/>
      <w:bookmarkEnd w:id="43"/>
      <w:bookmarkEnd w:id="44"/>
      <w:r w:rsidRPr="00EA7870">
        <w:rPr>
          <w:rFonts w:ascii="Times New Roman" w:hAnsi="Times New Roman"/>
          <w:sz w:val="20"/>
          <w:lang w:val="es-AR"/>
        </w:rPr>
        <w:t xml:space="preserve"> </w:t>
      </w:r>
    </w:p>
    <w:p w14:paraId="5D9B2A75" w14:textId="77777777" w:rsidR="00814DF6" w:rsidRPr="00EA7870" w:rsidRDefault="00814DF6" w:rsidP="00F50CBC">
      <w:pPr>
        <w:rPr>
          <w:sz w:val="20"/>
          <w:szCs w:val="20"/>
          <w:lang w:val="es-AR"/>
        </w:rPr>
      </w:pPr>
    </w:p>
    <w:p w14:paraId="24B8C0BE" w14:textId="7DA84D4E" w:rsidR="00BE0C8F" w:rsidRPr="00EA7870" w:rsidRDefault="00ED3DF2" w:rsidP="00BE0C8F">
      <w:pPr>
        <w:jc w:val="both"/>
        <w:rPr>
          <w:rStyle w:val="DeltaViewInsertion"/>
          <w:b w:val="0"/>
          <w:sz w:val="20"/>
          <w:szCs w:val="20"/>
          <w:u w:val="none"/>
        </w:rPr>
      </w:pPr>
      <w:bookmarkStart w:id="45" w:name="_Hlk22338493"/>
      <w:bookmarkStart w:id="46" w:name="_DV_C28"/>
      <w:r w:rsidRPr="00EA7870">
        <w:rPr>
          <w:rStyle w:val="DeltaViewInsertion"/>
          <w:b w:val="0"/>
          <w:sz w:val="20"/>
          <w:szCs w:val="20"/>
          <w:u w:val="none"/>
        </w:rPr>
        <w:t>En</w:t>
      </w:r>
      <w:r w:rsidR="00DA6E9F" w:rsidRPr="00EA7870">
        <w:rPr>
          <w:rStyle w:val="DeltaViewInsertion"/>
          <w:b w:val="0"/>
          <w:sz w:val="20"/>
          <w:szCs w:val="20"/>
          <w:u w:val="none"/>
        </w:rPr>
        <w:t xml:space="preserve"> la</w:t>
      </w:r>
      <w:r w:rsidRPr="00EA7870">
        <w:rPr>
          <w:rStyle w:val="DeltaViewInsertion"/>
          <w:b w:val="0"/>
          <w:sz w:val="20"/>
          <w:szCs w:val="20"/>
          <w:u w:val="none"/>
        </w:rPr>
        <w:t xml:space="preserve"> Argentina, la oferta pública de </w:t>
      </w:r>
      <w:r w:rsidR="009E21A0" w:rsidRPr="00EA7870">
        <w:rPr>
          <w:rStyle w:val="DeltaViewInsertion"/>
          <w:b w:val="0"/>
          <w:sz w:val="20"/>
          <w:szCs w:val="20"/>
          <w:u w:val="none"/>
        </w:rPr>
        <w:t>l</w:t>
      </w:r>
      <w:r w:rsidR="00E52DCA" w:rsidRPr="00EA7870">
        <w:rPr>
          <w:rStyle w:val="DeltaViewInsertion"/>
          <w:b w:val="0"/>
          <w:sz w:val="20"/>
          <w:szCs w:val="20"/>
          <w:u w:val="none"/>
        </w:rPr>
        <w:t xml:space="preserve">as </w:t>
      </w:r>
      <w:r w:rsidRPr="00EA7870">
        <w:rPr>
          <w:rStyle w:val="DeltaViewInsertion"/>
          <w:b w:val="0"/>
          <w:sz w:val="20"/>
          <w:szCs w:val="20"/>
          <w:u w:val="none"/>
        </w:rPr>
        <w:t xml:space="preserve">Obligaciones Negociables </w:t>
      </w:r>
      <w:r w:rsidR="00E52DCA" w:rsidRPr="00EA7870">
        <w:rPr>
          <w:rStyle w:val="DeltaViewInsertion"/>
          <w:b w:val="0"/>
          <w:sz w:val="20"/>
          <w:szCs w:val="20"/>
          <w:u w:val="none"/>
        </w:rPr>
        <w:t>que se emiten en el marco del presente</w:t>
      </w:r>
      <w:r w:rsidR="006B26F9" w:rsidRPr="00EA7870">
        <w:rPr>
          <w:rStyle w:val="DeltaViewInsertion"/>
          <w:b w:val="0"/>
          <w:sz w:val="20"/>
          <w:szCs w:val="20"/>
          <w:u w:val="none"/>
        </w:rPr>
        <w:t xml:space="preserve"> </w:t>
      </w:r>
      <w:r w:rsidRPr="00EA7870">
        <w:rPr>
          <w:rStyle w:val="DeltaViewInsertion"/>
          <w:b w:val="0"/>
          <w:sz w:val="20"/>
          <w:szCs w:val="20"/>
          <w:u w:val="none"/>
        </w:rPr>
        <w:t>está destinada exclusivamente a inversores calificados, los cuales se detallan a continuación (los “</w:t>
      </w:r>
      <w:r w:rsidRPr="00EA7870">
        <w:rPr>
          <w:rStyle w:val="DeltaViewInsertion"/>
          <w:bCs/>
          <w:sz w:val="20"/>
          <w:szCs w:val="20"/>
          <w:u w:val="none"/>
        </w:rPr>
        <w:t>Inversores Calificados</w:t>
      </w:r>
      <w:r w:rsidRPr="00EA7870">
        <w:rPr>
          <w:rStyle w:val="DeltaViewInsertion"/>
          <w:b w:val="0"/>
          <w:sz w:val="20"/>
          <w:szCs w:val="20"/>
          <w:u w:val="none"/>
        </w:rPr>
        <w:t>”), de conformidad con lo dispuesto en el Artículo 12, Sección I, Capítulo VI, Título II de las Normas de la CNV</w:t>
      </w:r>
      <w:r w:rsidR="00633D77">
        <w:rPr>
          <w:rStyle w:val="DeltaViewInsertion"/>
          <w:b w:val="0"/>
          <w:sz w:val="20"/>
          <w:szCs w:val="20"/>
          <w:u w:val="none"/>
        </w:rPr>
        <w:t>, que sean residentes argentinos</w:t>
      </w:r>
      <w:r w:rsidRPr="00EA7870">
        <w:rPr>
          <w:rStyle w:val="DeltaViewInsertion"/>
          <w:b w:val="0"/>
          <w:sz w:val="20"/>
          <w:szCs w:val="20"/>
          <w:u w:val="none"/>
        </w:rPr>
        <w:t xml:space="preserve">. Por lo tanto, las Obligaciones Negociables sólo pueden ser ofrecidas, vendidas y transferidas a, y sólo pueden ser objeto de inversión por parte de, </w:t>
      </w:r>
      <w:r w:rsidR="00633D77">
        <w:rPr>
          <w:rStyle w:val="DeltaViewInsertion"/>
          <w:b w:val="0"/>
          <w:sz w:val="20"/>
          <w:szCs w:val="20"/>
          <w:u w:val="none"/>
        </w:rPr>
        <w:t xml:space="preserve">residentes argentinos que sean </w:t>
      </w:r>
      <w:r w:rsidRPr="00EA7870">
        <w:rPr>
          <w:rStyle w:val="DeltaViewInsertion"/>
          <w:b w:val="0"/>
          <w:sz w:val="20"/>
          <w:szCs w:val="20"/>
          <w:u w:val="none"/>
        </w:rPr>
        <w:t>Inversores Calificados: (a) el Estado Nacional, las Provincias y Municipalidades, Entidades Autárquicas</w:t>
      </w:r>
      <w:r w:rsidR="00081F37" w:rsidRPr="00EA7870">
        <w:rPr>
          <w:rStyle w:val="DeltaViewInsertion"/>
          <w:b w:val="0"/>
          <w:sz w:val="20"/>
          <w:szCs w:val="20"/>
          <w:u w:val="none"/>
        </w:rPr>
        <w:t xml:space="preserve">, Sociedades y </w:t>
      </w:r>
      <w:r w:rsidRPr="00EA7870">
        <w:rPr>
          <w:rStyle w:val="DeltaViewInsertion"/>
          <w:b w:val="0"/>
          <w:sz w:val="20"/>
          <w:szCs w:val="20"/>
          <w:u w:val="none"/>
        </w:rPr>
        <w:t xml:space="preserve">Empresas del Estado; (b) </w:t>
      </w:r>
      <w:r w:rsidR="00740BD3" w:rsidRPr="00EA7870">
        <w:rPr>
          <w:rStyle w:val="DeltaViewInsertion"/>
          <w:b w:val="0"/>
          <w:sz w:val="20"/>
          <w:szCs w:val="20"/>
          <w:u w:val="none"/>
        </w:rPr>
        <w:t xml:space="preserve">organismos internacionales y personas jurídicas de derecho público; (c) fondos fiduciarios públicos; (d) la administración nacional de la seguridad social </w:t>
      </w:r>
      <w:r w:rsidR="00081F37" w:rsidRPr="00EA7870">
        <w:rPr>
          <w:rStyle w:val="DeltaViewInsertion"/>
          <w:b w:val="0"/>
          <w:sz w:val="20"/>
          <w:szCs w:val="20"/>
          <w:u w:val="none"/>
        </w:rPr>
        <w:t xml:space="preserve">(ANSES) – </w:t>
      </w:r>
      <w:r w:rsidR="00740BD3" w:rsidRPr="00EA7870">
        <w:rPr>
          <w:rStyle w:val="DeltaViewInsertion"/>
          <w:b w:val="0"/>
          <w:sz w:val="20"/>
          <w:szCs w:val="20"/>
          <w:u w:val="none"/>
        </w:rPr>
        <w:t>fondo de garantía de sustentabilida</w:t>
      </w:r>
      <w:r w:rsidR="00081F37" w:rsidRPr="00EA7870">
        <w:rPr>
          <w:rStyle w:val="DeltaViewInsertion"/>
          <w:b w:val="0"/>
          <w:sz w:val="20"/>
          <w:szCs w:val="20"/>
          <w:u w:val="none"/>
        </w:rPr>
        <w:t xml:space="preserve">d (FGS); (e) </w:t>
      </w:r>
      <w:r w:rsidR="00740BD3" w:rsidRPr="00EA7870">
        <w:rPr>
          <w:rStyle w:val="DeltaViewInsertion"/>
          <w:b w:val="0"/>
          <w:sz w:val="20"/>
          <w:szCs w:val="20"/>
          <w:u w:val="none"/>
        </w:rPr>
        <w:t>cajas previsionales; (f) bancos y entidades financieras públicas y privadas; (g) fondos comunes de inversión; (h) fideicomisos financieros con oferta pública; (i) compañías de seguros, de reaseguros y aseguradoras de riesgos de trabajo; (j) sociedades de garantía recíproca; (k) personas jurídicas registradas</w:t>
      </w:r>
      <w:r w:rsidR="00081F37" w:rsidRPr="00EA7870">
        <w:rPr>
          <w:rStyle w:val="DeltaViewInsertion"/>
          <w:b w:val="0"/>
          <w:sz w:val="20"/>
          <w:szCs w:val="20"/>
          <w:u w:val="none"/>
        </w:rPr>
        <w:t xml:space="preserve"> por la CNV como agentes, cuando actúen por cuenta propia; </w:t>
      </w:r>
      <w:r w:rsidR="00BE0C8F" w:rsidRPr="00EA7870">
        <w:rPr>
          <w:rStyle w:val="DeltaViewInsertion"/>
          <w:b w:val="0"/>
          <w:sz w:val="20"/>
          <w:szCs w:val="20"/>
          <w:u w:val="none"/>
        </w:rPr>
        <w:t xml:space="preserve">(l) </w:t>
      </w:r>
      <w:r w:rsidR="00740BD3" w:rsidRPr="00EA7870">
        <w:rPr>
          <w:rStyle w:val="DeltaViewInsertion"/>
          <w:b w:val="0"/>
          <w:sz w:val="20"/>
          <w:szCs w:val="20"/>
          <w:u w:val="none"/>
        </w:rPr>
        <w:t>p</w:t>
      </w:r>
      <w:r w:rsidR="00BE0C8F" w:rsidRPr="00EA7870">
        <w:rPr>
          <w:rStyle w:val="DeltaViewInsertion"/>
          <w:b w:val="0"/>
          <w:sz w:val="20"/>
          <w:szCs w:val="20"/>
          <w:u w:val="none"/>
        </w:rPr>
        <w:t xml:space="preserve">ersonas humanas que se encuentren inscriptas, con carácter definitivo, en el </w:t>
      </w:r>
      <w:r w:rsidR="009E21A0" w:rsidRPr="00EA7870">
        <w:rPr>
          <w:rStyle w:val="DeltaViewInsertion"/>
          <w:b w:val="0"/>
          <w:sz w:val="20"/>
          <w:szCs w:val="20"/>
          <w:u w:val="none"/>
        </w:rPr>
        <w:t>R</w:t>
      </w:r>
      <w:r w:rsidR="00740BD3" w:rsidRPr="00EA7870">
        <w:rPr>
          <w:rStyle w:val="DeltaViewInsertion"/>
          <w:b w:val="0"/>
          <w:sz w:val="20"/>
          <w:szCs w:val="20"/>
          <w:u w:val="none"/>
        </w:rPr>
        <w:t xml:space="preserve">egistro de </w:t>
      </w:r>
      <w:r w:rsidR="009E21A0" w:rsidRPr="00EA7870">
        <w:rPr>
          <w:rStyle w:val="DeltaViewInsertion"/>
          <w:b w:val="0"/>
          <w:sz w:val="20"/>
          <w:szCs w:val="20"/>
          <w:u w:val="none"/>
        </w:rPr>
        <w:t>I</w:t>
      </w:r>
      <w:r w:rsidR="00740BD3" w:rsidRPr="00EA7870">
        <w:rPr>
          <w:rStyle w:val="DeltaViewInsertion"/>
          <w:b w:val="0"/>
          <w:sz w:val="20"/>
          <w:szCs w:val="20"/>
          <w:u w:val="none"/>
        </w:rPr>
        <w:t xml:space="preserve">dóneos </w:t>
      </w:r>
      <w:r w:rsidR="00BE0C8F" w:rsidRPr="00EA7870">
        <w:rPr>
          <w:rStyle w:val="DeltaViewInsertion"/>
          <w:b w:val="0"/>
          <w:sz w:val="20"/>
          <w:szCs w:val="20"/>
          <w:u w:val="none"/>
        </w:rPr>
        <w:t xml:space="preserve">a cargo de la CNV; (m) </w:t>
      </w:r>
      <w:r w:rsidR="00740BD3" w:rsidRPr="00EA7870">
        <w:rPr>
          <w:rStyle w:val="DeltaViewInsertion"/>
          <w:b w:val="0"/>
          <w:sz w:val="20"/>
          <w:szCs w:val="20"/>
          <w:u w:val="none"/>
        </w:rPr>
        <w:t>p</w:t>
      </w:r>
      <w:r w:rsidR="00BE0C8F" w:rsidRPr="00EA7870">
        <w:rPr>
          <w:rStyle w:val="DeltaViewInsertion"/>
          <w:b w:val="0"/>
          <w:sz w:val="20"/>
          <w:szCs w:val="20"/>
          <w:u w:val="none"/>
        </w:rPr>
        <w:t xml:space="preserve">ersonas humanas o jurídicas, distintas de las enunciadas en los incisos anteriores, que al momento de efectuar la inversión cuenten con inversiones en valores negociables y/o depósitos en entidades financieras por un monto equivalente a </w:t>
      </w:r>
      <w:r w:rsidR="00740BD3" w:rsidRPr="00EA7870">
        <w:rPr>
          <w:rStyle w:val="DeltaViewInsertion"/>
          <w:b w:val="0"/>
          <w:sz w:val="20"/>
          <w:szCs w:val="20"/>
          <w:u w:val="none"/>
        </w:rPr>
        <w:t xml:space="preserve">unidades de valor adquisitivo </w:t>
      </w:r>
      <w:r w:rsidR="00C71B4A" w:rsidRPr="00EA7870">
        <w:rPr>
          <w:rStyle w:val="DeltaViewInsertion"/>
          <w:b w:val="0"/>
          <w:sz w:val="20"/>
          <w:szCs w:val="20"/>
          <w:u w:val="none"/>
        </w:rPr>
        <w:t xml:space="preserve">trescientas cincuenta </w:t>
      </w:r>
      <w:r w:rsidR="00F81D11" w:rsidRPr="00EA7870">
        <w:rPr>
          <w:rStyle w:val="DeltaViewInsertion"/>
          <w:b w:val="0"/>
          <w:sz w:val="20"/>
          <w:szCs w:val="20"/>
          <w:u w:val="none"/>
        </w:rPr>
        <w:t xml:space="preserve">mil </w:t>
      </w:r>
      <w:r w:rsidR="00BE0C8F" w:rsidRPr="00EA7870">
        <w:rPr>
          <w:rStyle w:val="DeltaViewInsertion"/>
          <w:b w:val="0"/>
          <w:sz w:val="20"/>
          <w:szCs w:val="20"/>
          <w:u w:val="none"/>
        </w:rPr>
        <w:t xml:space="preserve">(UVA 350.000); y (n) </w:t>
      </w:r>
      <w:r w:rsidR="00740BD3" w:rsidRPr="00EA7870">
        <w:rPr>
          <w:rStyle w:val="DeltaViewInsertion"/>
          <w:b w:val="0"/>
          <w:sz w:val="20"/>
          <w:szCs w:val="20"/>
          <w:u w:val="none"/>
        </w:rPr>
        <w:t>p</w:t>
      </w:r>
      <w:r w:rsidR="00BE0C8F" w:rsidRPr="00EA7870">
        <w:rPr>
          <w:rStyle w:val="DeltaViewInsertion"/>
          <w:b w:val="0"/>
          <w:sz w:val="20"/>
          <w:szCs w:val="20"/>
          <w:u w:val="none"/>
        </w:rPr>
        <w:t>ersonas jurídicas constituidas en el extranjero y personas humanas con domicilio real en el extranjero.</w:t>
      </w:r>
    </w:p>
    <w:bookmarkEnd w:id="45"/>
    <w:p w14:paraId="5EC704A0" w14:textId="77777777" w:rsidR="00081F37" w:rsidRPr="00EA7870" w:rsidRDefault="00081F37" w:rsidP="00ED3DF2">
      <w:pPr>
        <w:jc w:val="both"/>
        <w:rPr>
          <w:rStyle w:val="DeltaViewInsertion"/>
          <w:b w:val="0"/>
          <w:sz w:val="20"/>
          <w:szCs w:val="20"/>
          <w:u w:val="none"/>
        </w:rPr>
      </w:pPr>
    </w:p>
    <w:p w14:paraId="63284C9F" w14:textId="77777777" w:rsidR="00ED4A50" w:rsidRPr="00EA7870" w:rsidRDefault="00ED4A50" w:rsidP="00ED3DF2">
      <w:pPr>
        <w:jc w:val="both"/>
        <w:rPr>
          <w:rStyle w:val="DeltaViewInsertion"/>
          <w:b w:val="0"/>
          <w:sz w:val="20"/>
          <w:szCs w:val="20"/>
          <w:u w:val="none"/>
        </w:rPr>
      </w:pPr>
    </w:p>
    <w:p w14:paraId="11520665" w14:textId="77777777" w:rsidR="00ED4A50" w:rsidRPr="00EA7870" w:rsidRDefault="00ED4A50" w:rsidP="00ED3DF2">
      <w:pPr>
        <w:jc w:val="both"/>
        <w:rPr>
          <w:rStyle w:val="DeltaViewInsertion"/>
          <w:b w:val="0"/>
          <w:sz w:val="20"/>
          <w:szCs w:val="20"/>
          <w:u w:val="none"/>
        </w:rPr>
      </w:pPr>
    </w:p>
    <w:p w14:paraId="0E35D892" w14:textId="77777777" w:rsidR="00ED4A50" w:rsidRPr="00EA7870" w:rsidRDefault="00ED4A50" w:rsidP="00ED3DF2">
      <w:pPr>
        <w:jc w:val="both"/>
        <w:rPr>
          <w:rStyle w:val="DeltaViewInsertion"/>
          <w:b w:val="0"/>
          <w:sz w:val="20"/>
          <w:szCs w:val="20"/>
          <w:u w:val="none"/>
        </w:rPr>
      </w:pPr>
    </w:p>
    <w:bookmarkEnd w:id="46"/>
    <w:p w14:paraId="3C01D27B" w14:textId="77777777" w:rsidR="00862B7B" w:rsidRPr="00EA7870" w:rsidRDefault="00862B7B" w:rsidP="00862B7B">
      <w:pPr>
        <w:jc w:val="center"/>
        <w:rPr>
          <w:sz w:val="20"/>
          <w:szCs w:val="20"/>
          <w:lang w:val="es-AR"/>
        </w:rPr>
      </w:pPr>
      <w:r w:rsidRPr="00EA7870">
        <w:rPr>
          <w:sz w:val="20"/>
          <w:szCs w:val="20"/>
          <w:lang w:val="es-AR"/>
        </w:rPr>
        <w:t>_________________________</w:t>
      </w:r>
    </w:p>
    <w:p w14:paraId="2CF49526" w14:textId="77777777" w:rsidR="00862B7B" w:rsidRPr="00EA7870" w:rsidRDefault="00862B7B" w:rsidP="00162095">
      <w:pPr>
        <w:tabs>
          <w:tab w:val="left" w:pos="-1134"/>
        </w:tabs>
        <w:jc w:val="both"/>
        <w:rPr>
          <w:sz w:val="20"/>
          <w:szCs w:val="20"/>
          <w:lang w:val="es-AR"/>
        </w:rPr>
      </w:pPr>
    </w:p>
    <w:p w14:paraId="3E0A974A" w14:textId="77777777" w:rsidR="00B530EF" w:rsidRPr="00EA7870" w:rsidRDefault="00124E73" w:rsidP="002D1221">
      <w:pPr>
        <w:pStyle w:val="Ttulo1"/>
        <w:spacing w:before="0" w:after="0"/>
        <w:jc w:val="center"/>
        <w:rPr>
          <w:rFonts w:ascii="Times New Roman" w:hAnsi="Times New Roman"/>
          <w:sz w:val="20"/>
          <w:lang w:val="es-AR"/>
        </w:rPr>
      </w:pPr>
      <w:bookmarkStart w:id="47" w:name="_Toc24360360"/>
      <w:bookmarkStart w:id="48" w:name="_Toc24363265"/>
      <w:r w:rsidRPr="00EA7870">
        <w:rPr>
          <w:rFonts w:ascii="Times New Roman" w:hAnsi="Times New Roman"/>
          <w:sz w:val="20"/>
          <w:lang w:val="es-AR"/>
        </w:rPr>
        <w:t xml:space="preserve">APROBACIONES </w:t>
      </w:r>
      <w:r w:rsidR="00497EFC" w:rsidRPr="00EA7870">
        <w:rPr>
          <w:rFonts w:ascii="Times New Roman" w:hAnsi="Times New Roman"/>
          <w:sz w:val="20"/>
          <w:lang w:val="es-AR"/>
        </w:rPr>
        <w:t>SOCIETARIAS</w:t>
      </w:r>
      <w:bookmarkEnd w:id="47"/>
      <w:bookmarkEnd w:id="48"/>
    </w:p>
    <w:p w14:paraId="375ACC79" w14:textId="77777777" w:rsidR="00124E73" w:rsidRPr="00EA7870" w:rsidRDefault="00124E73" w:rsidP="002D1221">
      <w:pPr>
        <w:pStyle w:val="Ttulo1"/>
        <w:spacing w:before="0" w:after="0"/>
        <w:jc w:val="center"/>
        <w:rPr>
          <w:rFonts w:ascii="Times New Roman" w:hAnsi="Times New Roman"/>
          <w:sz w:val="20"/>
          <w:lang w:val="es-AR"/>
        </w:rPr>
      </w:pPr>
    </w:p>
    <w:p w14:paraId="31630896" w14:textId="5CFA7208" w:rsidR="00132C6D" w:rsidRPr="00EA7870" w:rsidRDefault="008715A2" w:rsidP="00392883">
      <w:pPr>
        <w:jc w:val="both"/>
        <w:rPr>
          <w:sz w:val="20"/>
          <w:szCs w:val="20"/>
          <w:lang w:bidi="es-ES"/>
        </w:rPr>
      </w:pPr>
      <w:r w:rsidRPr="00EA7870">
        <w:rPr>
          <w:sz w:val="20"/>
          <w:szCs w:val="20"/>
          <w:lang w:bidi="es-ES"/>
        </w:rPr>
        <w:t xml:space="preserve">La creación del Programa ha sido aprobada mediante resolución del Representante Legal de fecha 10 de junio de 2013. La prórroga del período de vigencia del Programa </w:t>
      </w:r>
      <w:r w:rsidRPr="00EA7870">
        <w:rPr>
          <w:color w:val="000000"/>
          <w:sz w:val="20"/>
          <w:szCs w:val="20"/>
          <w:lang w:bidi="es-ES"/>
        </w:rPr>
        <w:t xml:space="preserve">por cinco (5) años adicionales </w:t>
      </w:r>
      <w:r w:rsidRPr="00EA7870">
        <w:rPr>
          <w:sz w:val="20"/>
          <w:szCs w:val="20"/>
          <w:lang w:bidi="es-ES"/>
        </w:rPr>
        <w:t xml:space="preserve">fue aprobada mediante resolución del Representante Legal de fecha 28 de agosto de 2018. La actualización del Programa fue aprobada mediante resolución del Representante Legal de fecha 13 de septiembre de 2019. Los términos y condiciones de las Obligaciones Negociables y el presente Suplemento fueron aprobados mediante resolución del Representante Legal de fecha </w:t>
      </w:r>
      <w:r w:rsidR="007761FA" w:rsidRPr="00EA7870">
        <w:rPr>
          <w:sz w:val="20"/>
          <w:szCs w:val="20"/>
        </w:rPr>
        <w:t>17</w:t>
      </w:r>
      <w:r w:rsidRPr="00EA7870">
        <w:rPr>
          <w:sz w:val="20"/>
          <w:szCs w:val="20"/>
          <w:lang w:bidi="es-ES"/>
        </w:rPr>
        <w:t xml:space="preserve"> de </w:t>
      </w:r>
      <w:r w:rsidR="003D03E4" w:rsidRPr="00EA7870">
        <w:rPr>
          <w:sz w:val="20"/>
          <w:szCs w:val="20"/>
        </w:rPr>
        <w:t xml:space="preserve">octubre </w:t>
      </w:r>
      <w:r w:rsidRPr="00EA7870">
        <w:rPr>
          <w:sz w:val="20"/>
          <w:szCs w:val="20"/>
          <w:lang w:bidi="es-ES"/>
        </w:rPr>
        <w:t xml:space="preserve">de 2019 y acta de subdelegado de fecha </w:t>
      </w:r>
      <w:r w:rsidR="009114EC" w:rsidRPr="00EA7870">
        <w:rPr>
          <w:sz w:val="20"/>
          <w:szCs w:val="20"/>
          <w:lang w:bidi="es-ES"/>
        </w:rPr>
        <w:t>1</w:t>
      </w:r>
      <w:r w:rsidR="00AD0FB2">
        <w:rPr>
          <w:sz w:val="20"/>
          <w:szCs w:val="20"/>
          <w:lang w:bidi="es-ES"/>
        </w:rPr>
        <w:t>2</w:t>
      </w:r>
      <w:r w:rsidRPr="00EA7870">
        <w:rPr>
          <w:sz w:val="20"/>
          <w:szCs w:val="20"/>
          <w:lang w:bidi="es-ES"/>
        </w:rPr>
        <w:t xml:space="preserve"> de </w:t>
      </w:r>
      <w:r w:rsidR="00084470" w:rsidRPr="00EA7870">
        <w:rPr>
          <w:sz w:val="20"/>
          <w:szCs w:val="20"/>
          <w:lang w:bidi="es-ES"/>
        </w:rPr>
        <w:t>noviembre</w:t>
      </w:r>
      <w:r w:rsidRPr="00EA7870">
        <w:rPr>
          <w:sz w:val="20"/>
          <w:szCs w:val="20"/>
          <w:lang w:bidi="es-ES"/>
        </w:rPr>
        <w:t xml:space="preserve"> de 2019. </w:t>
      </w:r>
    </w:p>
    <w:p w14:paraId="3F4D3909" w14:textId="77777777" w:rsidR="00132C6D" w:rsidRPr="00EA7870" w:rsidRDefault="00132C6D" w:rsidP="00392883">
      <w:pPr>
        <w:jc w:val="both"/>
        <w:rPr>
          <w:rStyle w:val="DeltaViewInsertion"/>
          <w:b w:val="0"/>
          <w:sz w:val="20"/>
          <w:szCs w:val="20"/>
          <w:u w:val="none"/>
        </w:rPr>
      </w:pPr>
    </w:p>
    <w:p w14:paraId="1091E03F" w14:textId="77777777" w:rsidR="00132C6D" w:rsidRPr="00EA7870" w:rsidRDefault="00132C6D" w:rsidP="00392883">
      <w:pPr>
        <w:jc w:val="center"/>
        <w:rPr>
          <w:sz w:val="20"/>
          <w:szCs w:val="20"/>
          <w:lang w:val="es-AR"/>
        </w:rPr>
      </w:pPr>
      <w:r w:rsidRPr="00EA7870">
        <w:rPr>
          <w:sz w:val="20"/>
          <w:szCs w:val="20"/>
          <w:lang w:val="es-AR"/>
        </w:rPr>
        <w:t>_________________________</w:t>
      </w:r>
    </w:p>
    <w:p w14:paraId="4754796C" w14:textId="77777777" w:rsidR="00132C6D" w:rsidRPr="00EA7870" w:rsidRDefault="00132C6D" w:rsidP="00392883">
      <w:pPr>
        <w:tabs>
          <w:tab w:val="left" w:pos="-1134"/>
        </w:tabs>
        <w:jc w:val="both"/>
        <w:rPr>
          <w:sz w:val="20"/>
          <w:szCs w:val="20"/>
          <w:lang w:val="es-AR"/>
        </w:rPr>
      </w:pPr>
    </w:p>
    <w:p w14:paraId="0EC30858" w14:textId="77777777" w:rsidR="00132C6D" w:rsidRPr="00EA7870" w:rsidRDefault="00132C6D" w:rsidP="00392883">
      <w:pPr>
        <w:pStyle w:val="Ttulo1"/>
        <w:spacing w:before="0" w:after="0"/>
        <w:jc w:val="center"/>
        <w:rPr>
          <w:rFonts w:ascii="Times New Roman" w:hAnsi="Times New Roman"/>
          <w:b w:val="0"/>
          <w:sz w:val="20"/>
          <w:lang w:eastAsia="en-US"/>
        </w:rPr>
      </w:pPr>
      <w:bookmarkStart w:id="49" w:name="_Toc24360361"/>
      <w:bookmarkStart w:id="50" w:name="_Toc24363266"/>
      <w:r w:rsidRPr="00EA7870">
        <w:rPr>
          <w:rFonts w:ascii="Times New Roman" w:hAnsi="Times New Roman"/>
          <w:sz w:val="20"/>
          <w:lang w:eastAsia="en-US"/>
        </w:rPr>
        <w:t>ESTADOS CONTABLES DE LA SUCURSAL</w:t>
      </w:r>
      <w:bookmarkEnd w:id="49"/>
      <w:bookmarkEnd w:id="50"/>
    </w:p>
    <w:p w14:paraId="6B23BEDB" w14:textId="77777777" w:rsidR="00132C6D" w:rsidRPr="00EA7870" w:rsidRDefault="00132C6D" w:rsidP="00392883">
      <w:pPr>
        <w:jc w:val="both"/>
        <w:rPr>
          <w:sz w:val="20"/>
          <w:szCs w:val="20"/>
          <w:lang w:eastAsia="en-US"/>
        </w:rPr>
      </w:pPr>
    </w:p>
    <w:p w14:paraId="555DBBD0" w14:textId="12263188" w:rsidR="00132C6D" w:rsidRPr="00EA7870" w:rsidRDefault="00132C6D" w:rsidP="00392883">
      <w:pPr>
        <w:jc w:val="both"/>
        <w:rPr>
          <w:sz w:val="20"/>
          <w:szCs w:val="20"/>
          <w:lang w:eastAsia="en-US"/>
        </w:rPr>
      </w:pPr>
      <w:r w:rsidRPr="00EA7870">
        <w:rPr>
          <w:sz w:val="20"/>
          <w:szCs w:val="20"/>
          <w:lang w:eastAsia="en-US"/>
        </w:rPr>
        <w:t>Los estados contables anuales de la Emisora al 31 de diciembre de 2018, 31 de diciembre 2017 y 31 de diciembre de 2016, así como los estados contables correspondientes al período de seis meses finalizado el 30 de junio de 2019</w:t>
      </w:r>
      <w:r w:rsidR="00D51699" w:rsidRPr="00EA7870">
        <w:rPr>
          <w:sz w:val="20"/>
          <w:szCs w:val="20"/>
          <w:lang w:eastAsia="en-US"/>
        </w:rPr>
        <w:t xml:space="preserve"> y al 30 de junio de 2018</w:t>
      </w:r>
      <w:r w:rsidRPr="00EA7870">
        <w:rPr>
          <w:sz w:val="20"/>
          <w:szCs w:val="20"/>
          <w:lang w:eastAsia="en-US"/>
        </w:rPr>
        <w:t xml:space="preserve">, se encuentran publicados en la AIF. </w:t>
      </w:r>
      <w:r w:rsidR="00F6088C" w:rsidRPr="00446439">
        <w:rPr>
          <w:color w:val="000000" w:themeColor="text1"/>
          <w:sz w:val="20"/>
          <w:szCs w:val="20"/>
          <w:lang w:val="es-AR" w:bidi="es-ES"/>
        </w:rPr>
        <w:t xml:space="preserve">Asimismo, este </w:t>
      </w:r>
      <w:r w:rsidR="00F6088C">
        <w:rPr>
          <w:color w:val="000000" w:themeColor="text1"/>
          <w:sz w:val="20"/>
          <w:szCs w:val="20"/>
          <w:lang w:val="es-AR" w:bidi="es-ES"/>
        </w:rPr>
        <w:t>Suplemento</w:t>
      </w:r>
      <w:r w:rsidR="00F6088C" w:rsidRPr="00446439">
        <w:rPr>
          <w:color w:val="000000" w:themeColor="text1"/>
          <w:sz w:val="20"/>
          <w:szCs w:val="20"/>
          <w:lang w:val="es-AR" w:bidi="es-ES"/>
        </w:rPr>
        <w:t xml:space="preserve"> incorpora los estados</w:t>
      </w:r>
      <w:r w:rsidR="004D25D4">
        <w:rPr>
          <w:color w:val="000000" w:themeColor="text1"/>
          <w:sz w:val="20"/>
          <w:szCs w:val="20"/>
          <w:lang w:val="es-AR" w:bidi="es-ES"/>
        </w:rPr>
        <w:t xml:space="preserve"> contables correspondientes al período de nueve meses finalizado el</w:t>
      </w:r>
      <w:r w:rsidR="00F6088C" w:rsidRPr="00446439">
        <w:rPr>
          <w:color w:val="000000" w:themeColor="text1"/>
          <w:sz w:val="20"/>
          <w:szCs w:val="20"/>
          <w:lang w:val="es-AR" w:bidi="es-ES"/>
        </w:rPr>
        <w:t xml:space="preserve"> 30 de </w:t>
      </w:r>
      <w:r w:rsidR="00F6088C">
        <w:rPr>
          <w:color w:val="000000" w:themeColor="text1"/>
          <w:sz w:val="20"/>
          <w:szCs w:val="20"/>
          <w:lang w:val="es-AR" w:bidi="es-ES"/>
        </w:rPr>
        <w:t>septiembre</w:t>
      </w:r>
      <w:r w:rsidR="00F6088C" w:rsidRPr="00446439">
        <w:rPr>
          <w:color w:val="000000" w:themeColor="text1"/>
          <w:sz w:val="20"/>
          <w:szCs w:val="20"/>
          <w:lang w:val="es-AR" w:bidi="es-ES"/>
        </w:rPr>
        <w:t xml:space="preserve"> de 201</w:t>
      </w:r>
      <w:r w:rsidR="00F6088C">
        <w:rPr>
          <w:color w:val="000000" w:themeColor="text1"/>
          <w:sz w:val="20"/>
          <w:szCs w:val="20"/>
          <w:lang w:val="es-AR" w:bidi="es-ES"/>
        </w:rPr>
        <w:t>9</w:t>
      </w:r>
      <w:r w:rsidR="00F6088C" w:rsidRPr="00446439">
        <w:rPr>
          <w:color w:val="000000" w:themeColor="text1"/>
          <w:sz w:val="20"/>
          <w:szCs w:val="20"/>
          <w:lang w:val="es-AR" w:bidi="es-ES"/>
        </w:rPr>
        <w:t xml:space="preserve"> y sus respectivas notas de la Emisora, los cuales se acompañan al presente como Anexo I.</w:t>
      </w:r>
      <w:r w:rsidR="00F6088C">
        <w:rPr>
          <w:color w:val="000000" w:themeColor="text1"/>
          <w:sz w:val="20"/>
          <w:szCs w:val="20"/>
          <w:lang w:val="es-AR" w:bidi="es-ES"/>
        </w:rPr>
        <w:t xml:space="preserve"> </w:t>
      </w:r>
      <w:r w:rsidR="00F6088C" w:rsidRPr="00446439">
        <w:rPr>
          <w:color w:val="000000" w:themeColor="text1"/>
          <w:sz w:val="20"/>
          <w:szCs w:val="20"/>
          <w:lang w:val="es-AR"/>
        </w:rPr>
        <w:t xml:space="preserve">Los </w:t>
      </w:r>
      <w:r w:rsidR="004D25D4" w:rsidRPr="00446439">
        <w:rPr>
          <w:color w:val="000000" w:themeColor="text1"/>
          <w:sz w:val="20"/>
          <w:szCs w:val="20"/>
          <w:lang w:val="es-AR" w:bidi="es-ES"/>
        </w:rPr>
        <w:t>estados</w:t>
      </w:r>
      <w:r w:rsidR="004D25D4">
        <w:rPr>
          <w:color w:val="000000" w:themeColor="text1"/>
          <w:sz w:val="20"/>
          <w:szCs w:val="20"/>
          <w:lang w:val="es-AR" w:bidi="es-ES"/>
        </w:rPr>
        <w:t xml:space="preserve"> contables correspondientes al período de nueve meses finalizado el</w:t>
      </w:r>
      <w:r w:rsidR="004D25D4" w:rsidRPr="00446439">
        <w:rPr>
          <w:color w:val="000000" w:themeColor="text1"/>
          <w:sz w:val="20"/>
          <w:szCs w:val="20"/>
          <w:lang w:val="es-AR" w:bidi="es-ES"/>
        </w:rPr>
        <w:t xml:space="preserve"> 30 de </w:t>
      </w:r>
      <w:r w:rsidR="004D25D4">
        <w:rPr>
          <w:color w:val="000000" w:themeColor="text1"/>
          <w:sz w:val="20"/>
          <w:szCs w:val="20"/>
          <w:lang w:val="es-AR" w:bidi="es-ES"/>
        </w:rPr>
        <w:t>septiembre</w:t>
      </w:r>
      <w:r w:rsidR="004D25D4" w:rsidRPr="00446439">
        <w:rPr>
          <w:color w:val="000000" w:themeColor="text1"/>
          <w:sz w:val="20"/>
          <w:szCs w:val="20"/>
          <w:lang w:val="es-AR" w:bidi="es-ES"/>
        </w:rPr>
        <w:t xml:space="preserve"> de 201</w:t>
      </w:r>
      <w:r w:rsidR="004D25D4">
        <w:rPr>
          <w:color w:val="000000" w:themeColor="text1"/>
          <w:sz w:val="20"/>
          <w:szCs w:val="20"/>
          <w:lang w:val="es-AR" w:bidi="es-ES"/>
        </w:rPr>
        <w:t xml:space="preserve">9 </w:t>
      </w:r>
      <w:r w:rsidR="00F6088C" w:rsidRPr="00446439">
        <w:rPr>
          <w:color w:val="000000" w:themeColor="text1"/>
          <w:sz w:val="20"/>
          <w:szCs w:val="20"/>
          <w:lang w:val="es-AR"/>
        </w:rPr>
        <w:t>de la Emisora no han sido verificados por la CNV.</w:t>
      </w:r>
    </w:p>
    <w:p w14:paraId="07FAF5E7" w14:textId="77777777" w:rsidR="00132C6D" w:rsidRPr="00EA7870" w:rsidRDefault="00132C6D" w:rsidP="00392883">
      <w:pPr>
        <w:jc w:val="both"/>
        <w:rPr>
          <w:sz w:val="20"/>
          <w:szCs w:val="20"/>
          <w:lang w:eastAsia="en-US"/>
        </w:rPr>
      </w:pPr>
    </w:p>
    <w:p w14:paraId="41B86281" w14:textId="77777777" w:rsidR="00132C6D" w:rsidRPr="00EA7870" w:rsidRDefault="00132C6D" w:rsidP="00392883">
      <w:pPr>
        <w:jc w:val="center"/>
        <w:rPr>
          <w:sz w:val="20"/>
          <w:szCs w:val="20"/>
          <w:lang w:val="es-AR"/>
        </w:rPr>
      </w:pPr>
      <w:r w:rsidRPr="00EA7870">
        <w:rPr>
          <w:sz w:val="20"/>
          <w:szCs w:val="20"/>
          <w:lang w:val="es-AR"/>
        </w:rPr>
        <w:t>_________________________</w:t>
      </w:r>
    </w:p>
    <w:p w14:paraId="59A7C28F" w14:textId="77777777" w:rsidR="00132C6D" w:rsidRPr="00EA7870" w:rsidRDefault="00132C6D" w:rsidP="00392883">
      <w:pPr>
        <w:jc w:val="both"/>
        <w:rPr>
          <w:sz w:val="20"/>
          <w:szCs w:val="20"/>
          <w:lang w:bidi="es-ES"/>
        </w:rPr>
      </w:pPr>
    </w:p>
    <w:p w14:paraId="13DFBDAC" w14:textId="77777777" w:rsidR="00132C6D" w:rsidRPr="00EA7870" w:rsidRDefault="00132C6D" w:rsidP="00392883">
      <w:pPr>
        <w:pStyle w:val="Ttulo1"/>
        <w:spacing w:before="0" w:after="0"/>
        <w:jc w:val="center"/>
        <w:rPr>
          <w:rFonts w:ascii="Times New Roman" w:hAnsi="Times New Roman"/>
          <w:b w:val="0"/>
          <w:sz w:val="20"/>
          <w:lang w:val="es-AR" w:eastAsia="en-US"/>
        </w:rPr>
      </w:pPr>
      <w:bookmarkStart w:id="51" w:name="_Toc24360362"/>
      <w:bookmarkStart w:id="52" w:name="_Toc24363267"/>
      <w:r w:rsidRPr="00EA7870">
        <w:rPr>
          <w:rFonts w:ascii="Times New Roman" w:hAnsi="Times New Roman"/>
          <w:sz w:val="20"/>
          <w:lang w:val="es-AR" w:eastAsia="en-US"/>
        </w:rPr>
        <w:t>ASESORAMIENTO LEGAL</w:t>
      </w:r>
      <w:bookmarkEnd w:id="51"/>
      <w:bookmarkEnd w:id="52"/>
    </w:p>
    <w:p w14:paraId="097C1B2C" w14:textId="77777777" w:rsidR="00132C6D" w:rsidRPr="00EA7870" w:rsidRDefault="00132C6D" w:rsidP="00392883">
      <w:pPr>
        <w:jc w:val="both"/>
        <w:rPr>
          <w:sz w:val="20"/>
          <w:szCs w:val="20"/>
          <w:lang w:val="es-AR" w:eastAsia="en-US"/>
        </w:rPr>
      </w:pPr>
    </w:p>
    <w:p w14:paraId="792B167C" w14:textId="77777777" w:rsidR="00132C6D" w:rsidRPr="00EA7870" w:rsidRDefault="00132C6D" w:rsidP="00392883">
      <w:pPr>
        <w:jc w:val="both"/>
        <w:rPr>
          <w:sz w:val="20"/>
          <w:szCs w:val="20"/>
          <w:lang w:eastAsia="en-US"/>
        </w:rPr>
      </w:pPr>
      <w:r w:rsidRPr="00EA7870">
        <w:rPr>
          <w:sz w:val="20"/>
          <w:szCs w:val="20"/>
          <w:lang w:val="es-AR" w:eastAsia="en-US"/>
        </w:rPr>
        <w:t xml:space="preserve">La validez de las Obligaciones Negociables Adicionales en Argentina será evaluada por Martínez de Hoz &amp; Rueda, asesores legales de la Sucursal. Determinados asuntos serán evaluados por </w:t>
      </w:r>
      <w:r w:rsidR="007038E0" w:rsidRPr="00EA7870">
        <w:rPr>
          <w:sz w:val="20"/>
          <w:szCs w:val="20"/>
          <w:lang w:val="es-AR" w:eastAsia="en-US"/>
        </w:rPr>
        <w:t>Bruchou, Fernández Madero &amp; Lombardi</w:t>
      </w:r>
      <w:r w:rsidRPr="00EA7870">
        <w:rPr>
          <w:sz w:val="20"/>
          <w:szCs w:val="20"/>
          <w:lang w:val="es-AR" w:eastAsia="en-US"/>
        </w:rPr>
        <w:t xml:space="preserve">, asesores legales de los Colocadores </w:t>
      </w:r>
      <w:r w:rsidRPr="00EA7870">
        <w:rPr>
          <w:sz w:val="20"/>
          <w:szCs w:val="20"/>
          <w:lang w:eastAsia="en-US"/>
        </w:rPr>
        <w:t xml:space="preserve">para la presente emisión de Obligaciones Negociables en Argentina. </w:t>
      </w:r>
    </w:p>
    <w:p w14:paraId="050A9966" w14:textId="77777777" w:rsidR="007B2387" w:rsidRPr="00050F35" w:rsidRDefault="007B2387" w:rsidP="007B2387">
      <w:pPr>
        <w:jc w:val="both"/>
        <w:rPr>
          <w:sz w:val="20"/>
          <w:szCs w:val="20"/>
          <w:u w:val="single"/>
          <w:lang w:eastAsia="en-US"/>
        </w:rPr>
      </w:pPr>
    </w:p>
    <w:p w14:paraId="02AB8565" w14:textId="77777777" w:rsidR="007B2387" w:rsidRPr="00EA7870" w:rsidRDefault="007B2387" w:rsidP="007761FA">
      <w:pPr>
        <w:jc w:val="center"/>
        <w:rPr>
          <w:sz w:val="20"/>
          <w:szCs w:val="20"/>
          <w:lang w:val="es-AR"/>
        </w:rPr>
      </w:pPr>
      <w:r w:rsidRPr="00050F35">
        <w:rPr>
          <w:sz w:val="20"/>
          <w:szCs w:val="20"/>
          <w:u w:val="single"/>
          <w:lang w:val="es-AR"/>
        </w:rPr>
        <w:t>_________________________</w:t>
      </w:r>
    </w:p>
    <w:p w14:paraId="09293508" w14:textId="77777777" w:rsidR="007B2387" w:rsidRPr="00EA7870" w:rsidRDefault="007B2387" w:rsidP="007761FA">
      <w:pPr>
        <w:jc w:val="both"/>
        <w:rPr>
          <w:sz w:val="20"/>
          <w:szCs w:val="20"/>
          <w:lang w:bidi="es-ES"/>
        </w:rPr>
      </w:pPr>
    </w:p>
    <w:p w14:paraId="0CE43660" w14:textId="77777777" w:rsidR="00E71F07" w:rsidRPr="00EA7870" w:rsidRDefault="00E71F07" w:rsidP="007761FA">
      <w:pPr>
        <w:pStyle w:val="Ttulo1"/>
        <w:spacing w:before="0" w:after="0"/>
        <w:jc w:val="center"/>
        <w:rPr>
          <w:rFonts w:ascii="Times New Roman" w:hAnsi="Times New Roman"/>
          <w:sz w:val="20"/>
          <w:lang w:val="es-AR" w:eastAsia="en-US"/>
        </w:rPr>
      </w:pPr>
      <w:bookmarkStart w:id="53" w:name="_Toc397509438"/>
      <w:bookmarkStart w:id="54" w:name="_Toc377029242"/>
      <w:bookmarkStart w:id="55" w:name="_Toc450834389"/>
      <w:bookmarkStart w:id="56" w:name="_Toc24360363"/>
      <w:bookmarkStart w:id="57" w:name="_Toc24363268"/>
      <w:r w:rsidRPr="00EA7870">
        <w:rPr>
          <w:rFonts w:ascii="Times New Roman" w:hAnsi="Times New Roman"/>
          <w:sz w:val="20"/>
          <w:lang w:val="es-AR" w:eastAsia="en-US"/>
        </w:rPr>
        <w:t>DECLARACIONES Y GARANTÍAS DE LOS ADQUIRENTES DE LAS OBLIGACIONES NEGOCIABLES</w:t>
      </w:r>
      <w:bookmarkEnd w:id="53"/>
      <w:bookmarkEnd w:id="54"/>
      <w:bookmarkEnd w:id="55"/>
      <w:bookmarkEnd w:id="56"/>
      <w:bookmarkEnd w:id="57"/>
    </w:p>
    <w:p w14:paraId="2A06A967" w14:textId="77777777" w:rsidR="005D134B" w:rsidRPr="00EA7870" w:rsidRDefault="005D134B" w:rsidP="007761FA">
      <w:pPr>
        <w:jc w:val="center"/>
        <w:rPr>
          <w:b/>
          <w:bCs/>
          <w:sz w:val="20"/>
          <w:szCs w:val="20"/>
        </w:rPr>
      </w:pPr>
    </w:p>
    <w:p w14:paraId="5C9DA943" w14:textId="77777777" w:rsidR="00E71F07" w:rsidRPr="00EA7870" w:rsidRDefault="00E71F07" w:rsidP="00B37C3D">
      <w:pPr>
        <w:autoSpaceDE w:val="0"/>
        <w:autoSpaceDN w:val="0"/>
        <w:adjustRightInd w:val="0"/>
        <w:contextualSpacing/>
        <w:jc w:val="both"/>
        <w:rPr>
          <w:sz w:val="20"/>
          <w:szCs w:val="20"/>
          <w:lang w:val="es-AR"/>
        </w:rPr>
      </w:pPr>
      <w:bookmarkStart w:id="58" w:name="_Hlk24389603"/>
      <w:r w:rsidRPr="00EA7870">
        <w:rPr>
          <w:sz w:val="20"/>
          <w:szCs w:val="20"/>
          <w:lang w:val="es-AR"/>
        </w:rPr>
        <w:t>La presentación de cualquier Manifestación de Interés –tal como dicho término se define en la Sección “</w:t>
      </w:r>
      <w:r w:rsidRPr="00EA7870">
        <w:rPr>
          <w:i/>
          <w:sz w:val="20"/>
          <w:szCs w:val="20"/>
          <w:lang w:val="es-AR"/>
        </w:rPr>
        <w:t>Plan de Distribución</w:t>
      </w:r>
      <w:r w:rsidRPr="00EA7870">
        <w:rPr>
          <w:sz w:val="20"/>
          <w:szCs w:val="20"/>
          <w:lang w:val="es-AR"/>
        </w:rPr>
        <w:t>” en el presente Suplemento</w:t>
      </w:r>
      <w:r w:rsidR="00595465" w:rsidRPr="00EA7870">
        <w:rPr>
          <w:sz w:val="20"/>
          <w:szCs w:val="20"/>
          <w:lang w:val="es-AR"/>
        </w:rPr>
        <w:t>–</w:t>
      </w:r>
      <w:r w:rsidRPr="00EA7870">
        <w:rPr>
          <w:sz w:val="20"/>
          <w:szCs w:val="20"/>
          <w:lang w:val="es-AR"/>
        </w:rPr>
        <w:t xml:space="preserve"> o la adquisición posterior de las Obligaciones Negociables implicará, según fuera aplicable, las declaraciones y garantías a favor de la Emisora y </w:t>
      </w:r>
      <w:r w:rsidR="00B37C3D" w:rsidRPr="00EA7870">
        <w:rPr>
          <w:sz w:val="20"/>
          <w:szCs w:val="20"/>
          <w:lang w:val="es-AR"/>
        </w:rPr>
        <w:t>el Colocador Local</w:t>
      </w:r>
      <w:r w:rsidRPr="00EA7870">
        <w:rPr>
          <w:sz w:val="20"/>
          <w:szCs w:val="20"/>
          <w:lang w:val="es-AR"/>
        </w:rPr>
        <w:t>, por parte de cada inversor, y sus cesionarios por cualquier causa o título, de que:</w:t>
      </w:r>
    </w:p>
    <w:p w14:paraId="27736847" w14:textId="77777777" w:rsidR="00E71F07" w:rsidRPr="00EA7870" w:rsidRDefault="00E71F07" w:rsidP="00B37C3D">
      <w:pPr>
        <w:autoSpaceDE w:val="0"/>
        <w:autoSpaceDN w:val="0"/>
        <w:adjustRightInd w:val="0"/>
        <w:contextualSpacing/>
        <w:jc w:val="both"/>
        <w:rPr>
          <w:sz w:val="20"/>
          <w:szCs w:val="20"/>
          <w:lang w:val="es-AR"/>
        </w:rPr>
      </w:pPr>
    </w:p>
    <w:p w14:paraId="117425B7" w14:textId="77777777" w:rsidR="00E71F07" w:rsidRPr="00EA7870" w:rsidRDefault="00E71F07" w:rsidP="00E2318E">
      <w:pPr>
        <w:numPr>
          <w:ilvl w:val="0"/>
          <w:numId w:val="50"/>
        </w:numPr>
        <w:autoSpaceDE w:val="0"/>
        <w:autoSpaceDN w:val="0"/>
        <w:adjustRightInd w:val="0"/>
        <w:ind w:left="425" w:hanging="425"/>
        <w:contextualSpacing/>
        <w:jc w:val="both"/>
        <w:rPr>
          <w:sz w:val="20"/>
          <w:szCs w:val="20"/>
          <w:lang w:val="es-AR"/>
        </w:rPr>
      </w:pPr>
      <w:r w:rsidRPr="00EA7870">
        <w:rPr>
          <w:sz w:val="20"/>
          <w:szCs w:val="20"/>
          <w:lang w:val="es-AR"/>
        </w:rPr>
        <w:t>reconoce y acepta que (i) está en posición de soportar los riesgos económicos de la inversión en las Obligaciones Negociables, (ii) cuenta con suficiente conocimiento y experiencia en asuntos financieros, comerciales, tributarios y relacionados a inversiones en valores negociables (en particular, relacionados a inversiones con escaza liquidez y riesgos relacionados), (iii) ha prestado particular atención a los Factores de Riesgo detallados en la sección “</w:t>
      </w:r>
      <w:r w:rsidRPr="00EA7870">
        <w:rPr>
          <w:i/>
          <w:sz w:val="20"/>
          <w:szCs w:val="20"/>
          <w:lang w:val="es-AR"/>
        </w:rPr>
        <w:t>Factores de Riesgo</w:t>
      </w:r>
      <w:r w:rsidRPr="00EA7870">
        <w:rPr>
          <w:sz w:val="20"/>
          <w:szCs w:val="20"/>
          <w:lang w:val="es-AR"/>
        </w:rPr>
        <w:t>” en el Prospecto y en este Suplemento a la hora de decidir acerca de la inversión en las Obligaciones Negociables, (iv) la inversión en las Obligaciones Negociables (a) será consistente con sus necesidades y condición financiera, objetivos y perfil de riesgo, y (b) será consistente y cumplirá con las políticas de inversión, guías, códigos de conducta y otras restricciones aplicables que le resulten aplicables;</w:t>
      </w:r>
    </w:p>
    <w:p w14:paraId="2FD7A09E" w14:textId="77777777" w:rsidR="00E71F07" w:rsidRPr="00EA7870" w:rsidRDefault="00E71F07" w:rsidP="00B37C3D">
      <w:pPr>
        <w:autoSpaceDE w:val="0"/>
        <w:autoSpaceDN w:val="0"/>
        <w:adjustRightInd w:val="0"/>
        <w:ind w:left="425"/>
        <w:contextualSpacing/>
        <w:jc w:val="both"/>
        <w:rPr>
          <w:sz w:val="20"/>
          <w:szCs w:val="20"/>
          <w:lang w:val="es-AR"/>
        </w:rPr>
      </w:pPr>
    </w:p>
    <w:p w14:paraId="7E399DA5" w14:textId="77777777" w:rsidR="005D134B"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conoce y acepta la información descripta en el presente Suplemento;</w:t>
      </w:r>
    </w:p>
    <w:p w14:paraId="0361B164" w14:textId="77777777" w:rsidR="00E71F07" w:rsidRPr="00EA7870" w:rsidRDefault="005D134B" w:rsidP="00B37C3D">
      <w:pPr>
        <w:autoSpaceDE w:val="0"/>
        <w:autoSpaceDN w:val="0"/>
        <w:adjustRightInd w:val="0"/>
        <w:ind w:left="426"/>
        <w:contextualSpacing/>
        <w:jc w:val="both"/>
        <w:rPr>
          <w:sz w:val="20"/>
          <w:szCs w:val="20"/>
          <w:lang w:val="es-AR"/>
        </w:rPr>
      </w:pPr>
      <w:r w:rsidRPr="00EA7870" w:rsidDel="005D134B">
        <w:rPr>
          <w:sz w:val="20"/>
          <w:szCs w:val="20"/>
          <w:lang w:val="es-AR"/>
        </w:rPr>
        <w:t xml:space="preserve"> </w:t>
      </w:r>
    </w:p>
    <w:p w14:paraId="55DEF2EA" w14:textId="77777777" w:rsidR="00E71F07" w:rsidRPr="00EA7870" w:rsidRDefault="00E71F07" w:rsidP="00E2318E">
      <w:pPr>
        <w:numPr>
          <w:ilvl w:val="0"/>
          <w:numId w:val="50"/>
        </w:numPr>
        <w:autoSpaceDE w:val="0"/>
        <w:autoSpaceDN w:val="0"/>
        <w:adjustRightInd w:val="0"/>
        <w:ind w:left="425" w:hanging="425"/>
        <w:contextualSpacing/>
        <w:jc w:val="both"/>
        <w:rPr>
          <w:sz w:val="20"/>
          <w:szCs w:val="20"/>
          <w:lang w:val="es-AR"/>
        </w:rPr>
      </w:pPr>
      <w:r w:rsidRPr="00EA7870">
        <w:rPr>
          <w:sz w:val="20"/>
          <w:szCs w:val="20"/>
          <w:lang w:val="es-AR"/>
        </w:rPr>
        <w:t xml:space="preserve">le ha sido puesta a disposición y/o ha recibido copia de, y ha revisado y analizado cuidadosamente la totalidad de la información contenida en, el Prospecto, el presente Suplemento (incluyendo los estados financieros que </w:t>
      </w:r>
      <w:r w:rsidRPr="00EA7870">
        <w:rPr>
          <w:sz w:val="20"/>
          <w:szCs w:val="20"/>
        </w:rPr>
        <w:t xml:space="preserve">se encuentran a disposición del público inversor en la </w:t>
      </w:r>
      <w:r w:rsidR="001E6CD7" w:rsidRPr="00EA7870">
        <w:rPr>
          <w:sz w:val="20"/>
          <w:szCs w:val="20"/>
        </w:rPr>
        <w:t>AIF</w:t>
      </w:r>
      <w:r w:rsidRPr="00EA7870">
        <w:rPr>
          <w:sz w:val="20"/>
          <w:szCs w:val="20"/>
        </w:rPr>
        <w:t xml:space="preserve"> y en</w:t>
      </w:r>
      <w:r w:rsidRPr="00EA7870">
        <w:rPr>
          <w:sz w:val="20"/>
          <w:szCs w:val="20"/>
          <w:lang w:val="es-AR"/>
        </w:rPr>
        <w:t xml:space="preserve"> la </w:t>
      </w:r>
      <w:r w:rsidR="001E6CD7" w:rsidRPr="00EA7870">
        <w:rPr>
          <w:sz w:val="20"/>
          <w:szCs w:val="20"/>
          <w:lang w:val="es-AR"/>
        </w:rPr>
        <w:t xml:space="preserve">sitio </w:t>
      </w:r>
      <w:r w:rsidRPr="00EA7870">
        <w:rPr>
          <w:i/>
          <w:iCs/>
          <w:sz w:val="20"/>
          <w:szCs w:val="20"/>
          <w:lang w:val="es-AR"/>
        </w:rPr>
        <w:t>web</w:t>
      </w:r>
      <w:r w:rsidRPr="00EA7870">
        <w:rPr>
          <w:sz w:val="20"/>
          <w:szCs w:val="20"/>
          <w:lang w:val="es-AR"/>
        </w:rPr>
        <w:t xml:space="preserve"> institucional de la Emisora </w:t>
      </w:r>
      <w:r w:rsidR="007761FA" w:rsidRPr="00EA7870">
        <w:rPr>
          <w:sz w:val="20"/>
          <w:szCs w:val="20"/>
        </w:rPr>
        <w:t>(www.pan-energy.com)</w:t>
      </w:r>
      <w:r w:rsidRPr="00EA7870">
        <w:rPr>
          <w:sz w:val="20"/>
          <w:szCs w:val="20"/>
          <w:lang w:val="es-AR"/>
        </w:rPr>
        <w:t xml:space="preserve"> y todo otro documento relacionado con la emisión </w:t>
      </w:r>
      <w:r w:rsidRPr="00EA7870">
        <w:rPr>
          <w:sz w:val="20"/>
          <w:szCs w:val="20"/>
          <w:lang w:val="es-AR"/>
        </w:rPr>
        <w:lastRenderedPageBreak/>
        <w:t>de las Obligaciones Negociables y ha analizado cuidadosamente las operaciones, la situación y las perspectivas de la Emisora, todo ello en la medida necesaria para tomar por sí mismo y de manera independiente su decisión de suscribir las Obligaciones Negociables, y suscribe las Obligaciones Negociables basándose solamente en su propia revisión y análisis;</w:t>
      </w:r>
    </w:p>
    <w:p w14:paraId="6519CD94" w14:textId="77777777" w:rsidR="00E71F07" w:rsidRPr="00EA7870" w:rsidRDefault="00E71F07" w:rsidP="00B37C3D">
      <w:pPr>
        <w:autoSpaceDE w:val="0"/>
        <w:autoSpaceDN w:val="0"/>
        <w:adjustRightInd w:val="0"/>
        <w:ind w:left="425"/>
        <w:contextualSpacing/>
        <w:jc w:val="both"/>
        <w:rPr>
          <w:sz w:val="20"/>
          <w:szCs w:val="20"/>
          <w:lang w:val="es-AR"/>
        </w:rPr>
      </w:pPr>
    </w:p>
    <w:p w14:paraId="29F0870D" w14:textId="0CFF7AF4"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 xml:space="preserve">conoce y acepta que en la Oferta Internacional: (i) las Obligaciones Negociables serán colocadas por los Colocadores Internacionales fuera de Argentina a través de documentos en idioma inglés que la Emisora pondrá a disposición de dichos inversores y que serán sustancialmente en términos similares al </w:t>
      </w:r>
      <w:r w:rsidR="001D6E6B" w:rsidRPr="00EA7870">
        <w:rPr>
          <w:sz w:val="20"/>
          <w:szCs w:val="20"/>
          <w:lang w:val="es-AR"/>
        </w:rPr>
        <w:t xml:space="preserve">Prospecto y al </w:t>
      </w:r>
      <w:r w:rsidRPr="00EA7870">
        <w:rPr>
          <w:sz w:val="20"/>
          <w:szCs w:val="20"/>
          <w:lang w:val="es-AR"/>
        </w:rPr>
        <w:t xml:space="preserve">Suplemento; (ii) los inversores a quienes estará dirigida la Oferta Internacional (individualizados precedentemente) realizarán su propia diligencia de la Emisora y de la transacción bajo las Obligaciones Negociables; y (iii) las Manifestaciones de Interés que correspondan a inversores interesados en adquirir las Obligaciones Negociables a través de la Oferta Internacional, y se presenten fuera de la Argentina, tendrán la forma de </w:t>
      </w:r>
      <w:r w:rsidR="00595465" w:rsidRPr="00EA7870">
        <w:rPr>
          <w:sz w:val="20"/>
          <w:szCs w:val="20"/>
          <w:lang w:val="es-AR"/>
        </w:rPr>
        <w:t xml:space="preserve">un </w:t>
      </w:r>
      <w:r w:rsidR="00BA1B61" w:rsidRPr="00EA7870">
        <w:rPr>
          <w:sz w:val="20"/>
          <w:szCs w:val="20"/>
          <w:lang w:val="es-AR"/>
        </w:rPr>
        <w:t>acuerdo</w:t>
      </w:r>
      <w:r w:rsidRPr="00EA7870">
        <w:rPr>
          <w:sz w:val="20"/>
          <w:szCs w:val="20"/>
          <w:lang w:val="es-AR"/>
        </w:rPr>
        <w:t xml:space="preserve"> de </w:t>
      </w:r>
      <w:r w:rsidR="00A57CE4" w:rsidRPr="00EA7870">
        <w:rPr>
          <w:sz w:val="20"/>
          <w:szCs w:val="20"/>
          <w:lang w:val="es-AR"/>
        </w:rPr>
        <w:t xml:space="preserve">compra de Obligaciones Negociables </w:t>
      </w:r>
      <w:r w:rsidRPr="00EA7870">
        <w:rPr>
          <w:sz w:val="20"/>
          <w:szCs w:val="20"/>
          <w:lang w:val="es-AR"/>
        </w:rPr>
        <w:t>(</w:t>
      </w:r>
      <w:r w:rsidR="00A57CE4" w:rsidRPr="00EA7870">
        <w:rPr>
          <w:i/>
          <w:sz w:val="20"/>
          <w:szCs w:val="20"/>
          <w:lang w:val="es-AR"/>
        </w:rPr>
        <w:t>note purchase agreement</w:t>
      </w:r>
      <w:r w:rsidRPr="00EA7870">
        <w:rPr>
          <w:sz w:val="20"/>
          <w:szCs w:val="20"/>
          <w:lang w:val="es-AR"/>
        </w:rPr>
        <w:t>) con la Emisora que serán puestos a disposición de los mismos fuera de la Argentina</w:t>
      </w:r>
      <w:r w:rsidR="00A57CE4" w:rsidRPr="00EA7870">
        <w:rPr>
          <w:sz w:val="20"/>
          <w:szCs w:val="20"/>
          <w:lang w:val="es-AR"/>
        </w:rPr>
        <w:t xml:space="preserve"> (el “</w:t>
      </w:r>
      <w:r w:rsidR="00A57CE4" w:rsidRPr="00EA7870">
        <w:rPr>
          <w:b/>
          <w:bCs/>
          <w:sz w:val="20"/>
          <w:szCs w:val="20"/>
          <w:lang w:val="es-AR"/>
        </w:rPr>
        <w:t>Acuerdo de Compra</w:t>
      </w:r>
      <w:r w:rsidR="00A57CE4" w:rsidRPr="00EA7870">
        <w:rPr>
          <w:sz w:val="20"/>
          <w:szCs w:val="20"/>
          <w:lang w:val="es-AR"/>
        </w:rPr>
        <w:t>”)</w:t>
      </w:r>
      <w:r w:rsidRPr="00EA7870">
        <w:rPr>
          <w:sz w:val="20"/>
          <w:szCs w:val="20"/>
          <w:lang w:val="es-AR"/>
        </w:rPr>
        <w:t>;</w:t>
      </w:r>
    </w:p>
    <w:p w14:paraId="0B79C0DD" w14:textId="77777777" w:rsidR="00E71F07" w:rsidRPr="00EA7870" w:rsidRDefault="00E71F07" w:rsidP="00B37C3D">
      <w:pPr>
        <w:autoSpaceDE w:val="0"/>
        <w:autoSpaceDN w:val="0"/>
        <w:adjustRightInd w:val="0"/>
        <w:contextualSpacing/>
        <w:jc w:val="both"/>
        <w:rPr>
          <w:sz w:val="20"/>
          <w:szCs w:val="20"/>
          <w:lang w:val="es-AR"/>
        </w:rPr>
      </w:pPr>
    </w:p>
    <w:p w14:paraId="58E8882B" w14:textId="77777777"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conoce y acepta que</w:t>
      </w:r>
      <w:r w:rsidR="00595465" w:rsidRPr="00EA7870">
        <w:rPr>
          <w:sz w:val="20"/>
          <w:szCs w:val="20"/>
          <w:lang w:val="es-AR"/>
        </w:rPr>
        <w:t>,</w:t>
      </w:r>
      <w:r w:rsidRPr="00EA7870">
        <w:rPr>
          <w:sz w:val="20"/>
          <w:szCs w:val="20"/>
          <w:lang w:val="es-AR"/>
        </w:rPr>
        <w:t xml:space="preserve"> en la Oferta Internacional</w:t>
      </w:r>
      <w:r w:rsidR="00595465" w:rsidRPr="00EA7870">
        <w:rPr>
          <w:sz w:val="20"/>
          <w:szCs w:val="20"/>
          <w:lang w:val="es-AR"/>
        </w:rPr>
        <w:t>,</w:t>
      </w:r>
      <w:r w:rsidRPr="00EA7870">
        <w:rPr>
          <w:sz w:val="20"/>
          <w:szCs w:val="20"/>
          <w:lang w:val="es-AR"/>
        </w:rPr>
        <w:t xml:space="preserve"> los Colocadores Internacionales no actuarán como colocadores en firme (</w:t>
      </w:r>
      <w:r w:rsidRPr="00EA7870">
        <w:rPr>
          <w:i/>
          <w:sz w:val="20"/>
          <w:szCs w:val="20"/>
          <w:lang w:val="es-AR"/>
        </w:rPr>
        <w:t>underwriters</w:t>
      </w:r>
      <w:r w:rsidRPr="00EA7870">
        <w:rPr>
          <w:sz w:val="20"/>
          <w:szCs w:val="20"/>
          <w:lang w:val="es-AR"/>
        </w:rPr>
        <w:t>) ni como compradores iniciales de las Obligaciones Negociables en el marco de un contrato de compra internacional, por lo tanto, los Colocadores Internacionales no adquirirán ni realizarán venta previa de las Obligaciones Negociables;</w:t>
      </w:r>
    </w:p>
    <w:p w14:paraId="6BBCC810" w14:textId="77777777" w:rsidR="00E71F07" w:rsidRPr="00EA7870" w:rsidRDefault="00E71F07" w:rsidP="00B37C3D">
      <w:pPr>
        <w:autoSpaceDE w:val="0"/>
        <w:autoSpaceDN w:val="0"/>
        <w:adjustRightInd w:val="0"/>
        <w:contextualSpacing/>
        <w:jc w:val="both"/>
        <w:rPr>
          <w:sz w:val="20"/>
          <w:szCs w:val="20"/>
          <w:lang w:val="es-AR"/>
        </w:rPr>
      </w:pPr>
    </w:p>
    <w:p w14:paraId="445403F9" w14:textId="77777777"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no ha recibido ningún tipo de asesoramiento legal, comercial, financiero, cambiario, impositivo y/o de ningún otro tipo por parte de la Emisora</w:t>
      </w:r>
      <w:r w:rsidR="005D134B" w:rsidRPr="00EA7870">
        <w:rPr>
          <w:sz w:val="20"/>
          <w:szCs w:val="20"/>
          <w:lang w:val="es-AR"/>
        </w:rPr>
        <w:t>, la Garante,</w:t>
      </w:r>
      <w:r w:rsidRPr="00EA7870">
        <w:rPr>
          <w:sz w:val="20"/>
          <w:szCs w:val="20"/>
          <w:lang w:val="es-AR"/>
        </w:rPr>
        <w:t xml:space="preserve"> ni de</w:t>
      </w:r>
      <w:r w:rsidR="00B37C3D" w:rsidRPr="00EA7870">
        <w:rPr>
          <w:sz w:val="20"/>
          <w:szCs w:val="20"/>
          <w:lang w:val="es-AR"/>
        </w:rPr>
        <w:t>l Colocador Local</w:t>
      </w:r>
      <w:r w:rsidR="005D134B" w:rsidRPr="00EA7870">
        <w:rPr>
          <w:sz w:val="20"/>
          <w:szCs w:val="20"/>
          <w:lang w:val="es-AR"/>
        </w:rPr>
        <w:t xml:space="preserve"> </w:t>
      </w:r>
      <w:r w:rsidRPr="00EA7870">
        <w:rPr>
          <w:sz w:val="20"/>
          <w:szCs w:val="20"/>
          <w:lang w:val="es-AR"/>
        </w:rPr>
        <w:t>y/o de cualquiera de sus empleados, agentes, directores y/o gerentes, y/o de cualquiera de sus sociedades controlantes, controladas, vinculadas o sujetas a control común (ni de sus empleados, agentes, directores y/o gerentes);</w:t>
      </w:r>
    </w:p>
    <w:p w14:paraId="66295287" w14:textId="77777777" w:rsidR="00E71F07" w:rsidRPr="00EA7870" w:rsidRDefault="00E71F07" w:rsidP="00B37C3D">
      <w:pPr>
        <w:autoSpaceDE w:val="0"/>
        <w:autoSpaceDN w:val="0"/>
        <w:adjustRightInd w:val="0"/>
        <w:contextualSpacing/>
        <w:jc w:val="both"/>
        <w:rPr>
          <w:sz w:val="20"/>
          <w:szCs w:val="20"/>
          <w:lang w:val="es-AR"/>
        </w:rPr>
      </w:pPr>
    </w:p>
    <w:p w14:paraId="5A4FF489" w14:textId="77777777"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no ha recibido de la Emisora</w:t>
      </w:r>
      <w:r w:rsidR="005D134B" w:rsidRPr="00EA7870">
        <w:rPr>
          <w:sz w:val="20"/>
          <w:szCs w:val="20"/>
          <w:lang w:val="es-AR"/>
        </w:rPr>
        <w:t>, la Garante</w:t>
      </w:r>
      <w:r w:rsidRPr="00EA7870">
        <w:rPr>
          <w:sz w:val="20"/>
          <w:szCs w:val="20"/>
          <w:lang w:val="es-AR"/>
        </w:rPr>
        <w:t xml:space="preserve"> ni </w:t>
      </w:r>
      <w:r w:rsidR="00B37C3D" w:rsidRPr="00EA7870">
        <w:rPr>
          <w:sz w:val="20"/>
          <w:szCs w:val="20"/>
          <w:lang w:val="es-AR"/>
        </w:rPr>
        <w:t>del Colocador Local</w:t>
      </w:r>
      <w:r w:rsidRPr="00EA7870">
        <w:rPr>
          <w:sz w:val="20"/>
          <w:szCs w:val="20"/>
          <w:lang w:val="es-AR"/>
        </w:rPr>
        <w:t xml:space="preserve">, información o declaraciones que sean inconsistentes, o difieran, de la información o de las declaraciones contenidas en el Prospecto (incluyendo los estados contables </w:t>
      </w:r>
      <w:r w:rsidR="00595465" w:rsidRPr="00EA7870">
        <w:rPr>
          <w:sz w:val="20"/>
          <w:szCs w:val="20"/>
          <w:lang w:val="es-AR"/>
        </w:rPr>
        <w:t>referidos en el</w:t>
      </w:r>
      <w:r w:rsidRPr="00EA7870">
        <w:rPr>
          <w:sz w:val="20"/>
          <w:szCs w:val="20"/>
          <w:lang w:val="es-AR"/>
        </w:rPr>
        <w:t xml:space="preserve"> mismo), el presente Suplemento</w:t>
      </w:r>
      <w:r w:rsidR="00595465" w:rsidRPr="00EA7870">
        <w:rPr>
          <w:sz w:val="20"/>
          <w:szCs w:val="20"/>
          <w:lang w:val="es-AR"/>
        </w:rPr>
        <w:t>,</w:t>
      </w:r>
      <w:r w:rsidRPr="00EA7870">
        <w:rPr>
          <w:sz w:val="20"/>
          <w:szCs w:val="20"/>
          <w:lang w:val="es-AR"/>
        </w:rPr>
        <w:t xml:space="preserve"> los estados financieros que </w:t>
      </w:r>
      <w:r w:rsidRPr="00EA7870">
        <w:rPr>
          <w:sz w:val="20"/>
          <w:szCs w:val="20"/>
        </w:rPr>
        <w:t xml:space="preserve">se encuentran a disposición del público inversor en la </w:t>
      </w:r>
      <w:r w:rsidR="001E6CD7" w:rsidRPr="00EA7870">
        <w:rPr>
          <w:sz w:val="20"/>
          <w:szCs w:val="20"/>
        </w:rPr>
        <w:t>AIF</w:t>
      </w:r>
      <w:r w:rsidRPr="00EA7870">
        <w:rPr>
          <w:sz w:val="20"/>
          <w:szCs w:val="20"/>
        </w:rPr>
        <w:t xml:space="preserve"> y en</w:t>
      </w:r>
      <w:r w:rsidRPr="00EA7870">
        <w:rPr>
          <w:sz w:val="20"/>
          <w:szCs w:val="20"/>
          <w:lang w:val="es-AR"/>
        </w:rPr>
        <w:t xml:space="preserve"> </w:t>
      </w:r>
      <w:r w:rsidR="001E6CD7" w:rsidRPr="00EA7870">
        <w:rPr>
          <w:sz w:val="20"/>
          <w:szCs w:val="20"/>
          <w:lang w:val="es-AR"/>
        </w:rPr>
        <w:t>el sitio</w:t>
      </w:r>
      <w:r w:rsidRPr="00EA7870">
        <w:rPr>
          <w:sz w:val="20"/>
          <w:szCs w:val="20"/>
          <w:lang w:val="es-AR"/>
        </w:rPr>
        <w:t xml:space="preserve"> </w:t>
      </w:r>
      <w:r w:rsidRPr="00EA7870">
        <w:rPr>
          <w:i/>
          <w:iCs/>
          <w:sz w:val="20"/>
          <w:szCs w:val="20"/>
          <w:lang w:val="es-AR"/>
        </w:rPr>
        <w:t xml:space="preserve">web </w:t>
      </w:r>
      <w:r w:rsidRPr="00EA7870">
        <w:rPr>
          <w:sz w:val="20"/>
          <w:szCs w:val="20"/>
          <w:lang w:val="es-AR"/>
        </w:rPr>
        <w:t>institucional de la Emisora</w:t>
      </w:r>
      <w:r w:rsidR="007761FA" w:rsidRPr="00EA7870">
        <w:rPr>
          <w:sz w:val="20"/>
          <w:szCs w:val="20"/>
          <w:lang w:val="es-AR"/>
        </w:rPr>
        <w:t xml:space="preserve"> </w:t>
      </w:r>
      <w:r w:rsidR="007761FA" w:rsidRPr="00EA7870">
        <w:rPr>
          <w:sz w:val="20"/>
          <w:szCs w:val="20"/>
        </w:rPr>
        <w:t>(</w:t>
      </w:r>
      <w:hyperlink r:id="rId16" w:history="1">
        <w:r w:rsidR="00595465" w:rsidRPr="00EA7870">
          <w:rPr>
            <w:rStyle w:val="Hipervnculo"/>
            <w:sz w:val="20"/>
            <w:szCs w:val="20"/>
          </w:rPr>
          <w:t>www.pan-energy.com</w:t>
        </w:r>
      </w:hyperlink>
      <w:r w:rsidR="007761FA" w:rsidRPr="00EA7870">
        <w:rPr>
          <w:sz w:val="20"/>
          <w:szCs w:val="20"/>
        </w:rPr>
        <w:t>)</w:t>
      </w:r>
      <w:r w:rsidR="00595465" w:rsidRPr="00EA7870">
        <w:rPr>
          <w:sz w:val="20"/>
          <w:szCs w:val="20"/>
        </w:rPr>
        <w:t xml:space="preserve">, </w:t>
      </w:r>
      <w:r w:rsidRPr="00EA7870">
        <w:rPr>
          <w:sz w:val="20"/>
          <w:szCs w:val="20"/>
          <w:lang w:val="es-AR"/>
        </w:rPr>
        <w:t>y todo otro documento relacionado con la emisión de las Obligaciones Negociables;</w:t>
      </w:r>
    </w:p>
    <w:p w14:paraId="48651066" w14:textId="77777777" w:rsidR="00E71F07" w:rsidRPr="00EA7870" w:rsidRDefault="00E71F07" w:rsidP="00B37C3D">
      <w:pPr>
        <w:autoSpaceDE w:val="0"/>
        <w:autoSpaceDN w:val="0"/>
        <w:adjustRightInd w:val="0"/>
        <w:contextualSpacing/>
        <w:jc w:val="both"/>
        <w:rPr>
          <w:sz w:val="20"/>
          <w:szCs w:val="20"/>
          <w:lang w:val="es-AR"/>
        </w:rPr>
      </w:pPr>
    </w:p>
    <w:p w14:paraId="6832F0B8" w14:textId="3CAA91F0"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 xml:space="preserve">conoce y acepta los términos descriptos en la sección </w:t>
      </w:r>
      <w:r w:rsidRPr="00EA7870">
        <w:rPr>
          <w:i/>
          <w:sz w:val="20"/>
          <w:szCs w:val="20"/>
          <w:lang w:val="es-AR"/>
        </w:rPr>
        <w:t>“Plan de Distribución”</w:t>
      </w:r>
      <w:r w:rsidRPr="00EA7870">
        <w:rPr>
          <w:sz w:val="20"/>
          <w:szCs w:val="20"/>
          <w:lang w:val="es-AR"/>
        </w:rPr>
        <w:t xml:space="preserve"> del presente Suplemento. Sin limitar lo expuesto precedentemente, el inversor conoce y acepta, en los términos indicados más abajo en </w:t>
      </w:r>
      <w:r w:rsidRPr="00EA7870">
        <w:rPr>
          <w:i/>
          <w:sz w:val="20"/>
          <w:szCs w:val="20"/>
          <w:lang w:val="es-AR"/>
        </w:rPr>
        <w:t>“Plan de Distribución”</w:t>
      </w:r>
      <w:r w:rsidRPr="00EA7870">
        <w:rPr>
          <w:sz w:val="20"/>
          <w:szCs w:val="20"/>
          <w:lang w:val="es-AR"/>
        </w:rPr>
        <w:t xml:space="preserve"> del presente Suplemento, que (i) la oferta en Argentina será dirigida exclusivamente a “inversores calificados” según se los define en el artículo 12, Sección II, Capítulo VI, Título II de las Normas de la CNV</w:t>
      </w:r>
      <w:r w:rsidR="00633D77">
        <w:rPr>
          <w:sz w:val="20"/>
          <w:szCs w:val="20"/>
          <w:lang w:val="es-AR"/>
        </w:rPr>
        <w:t xml:space="preserve"> que sean residentes argentinos</w:t>
      </w:r>
      <w:r w:rsidRPr="00EA7870">
        <w:rPr>
          <w:sz w:val="20"/>
          <w:szCs w:val="20"/>
          <w:lang w:val="es-AR"/>
        </w:rPr>
        <w:t>, oferta que será realizada a través de</w:t>
      </w:r>
      <w:r w:rsidR="00B37C3D" w:rsidRPr="00EA7870">
        <w:rPr>
          <w:sz w:val="20"/>
          <w:szCs w:val="20"/>
          <w:lang w:val="es-AR"/>
        </w:rPr>
        <w:t>l Colocador Local</w:t>
      </w:r>
      <w:r w:rsidRPr="00EA7870">
        <w:rPr>
          <w:sz w:val="20"/>
          <w:szCs w:val="20"/>
          <w:lang w:val="es-AR"/>
        </w:rPr>
        <w:t xml:space="preserve"> conforme los términos y condiciones del presente Suplemento y que será realizada mediante una oferta que califique como oferta pública en Argentina conforme con los términos de la Ley de Mercado de Capitales, las Normas de la CNV y demás normativa aplicable, (ii) la Oferta Internacional consistirá en una oferta internacional no sujeta a los requisitos de registro de la Ley de Títulos Valores Estadounidense en la cual los Colocadores Internacionales actuarán como agentes colocadores (“</w:t>
      </w:r>
      <w:r w:rsidRPr="00EA7870">
        <w:rPr>
          <w:i/>
          <w:sz w:val="20"/>
          <w:szCs w:val="20"/>
          <w:lang w:val="es-AR"/>
        </w:rPr>
        <w:t>placement agents</w:t>
      </w:r>
      <w:r w:rsidRPr="00EA7870">
        <w:rPr>
          <w:sz w:val="20"/>
          <w:szCs w:val="20"/>
          <w:lang w:val="es-AR"/>
        </w:rPr>
        <w:t>”) de dicha oferta, que estará dirigida (1) en los Estados Unidos a ciertos inversores acreditados (“</w:t>
      </w:r>
      <w:r w:rsidRPr="00EA7870">
        <w:rPr>
          <w:i/>
          <w:sz w:val="20"/>
          <w:szCs w:val="20"/>
          <w:lang w:val="es-AR"/>
        </w:rPr>
        <w:t>accredited investors</w:t>
      </w:r>
      <w:r w:rsidRPr="00EA7870">
        <w:rPr>
          <w:sz w:val="20"/>
          <w:szCs w:val="20"/>
          <w:lang w:val="es-AR"/>
        </w:rPr>
        <w:t>”) institucionales (conforme se define en la Regla 501(a) bajo la Regulación D de la Ley de Títulos Valores Estadounidense</w:t>
      </w:r>
      <w:r w:rsidR="001D6E6B" w:rsidRPr="00EA7870">
        <w:rPr>
          <w:sz w:val="20"/>
          <w:szCs w:val="20"/>
          <w:lang w:val="es-AR"/>
        </w:rPr>
        <w:t>)</w:t>
      </w:r>
      <w:r w:rsidRPr="00EA7870">
        <w:rPr>
          <w:sz w:val="20"/>
          <w:szCs w:val="20"/>
          <w:lang w:val="es-AR"/>
        </w:rPr>
        <w:t>, en virtud de la exención de los requisitos de registro de la Ley de Títulos Valores Estadounidense sobre la base de la Regla 4(a)(2) de dicha ley, y (2) fuera de los Estados Unidos y de Argentina, a personas no estadounidenses (“</w:t>
      </w:r>
      <w:r w:rsidRPr="00EA7870">
        <w:rPr>
          <w:i/>
          <w:sz w:val="20"/>
          <w:szCs w:val="20"/>
          <w:lang w:val="es-AR"/>
        </w:rPr>
        <w:t>non-U.S. persons</w:t>
      </w:r>
      <w:r w:rsidRPr="00EA7870">
        <w:rPr>
          <w:sz w:val="20"/>
          <w:szCs w:val="20"/>
          <w:lang w:val="es-AR"/>
        </w:rPr>
        <w:t>”) en transacciones fuera de los Estados Unidos (“</w:t>
      </w:r>
      <w:r w:rsidRPr="00EA7870">
        <w:rPr>
          <w:i/>
          <w:sz w:val="20"/>
          <w:szCs w:val="20"/>
          <w:lang w:val="es-AR"/>
        </w:rPr>
        <w:t>offshore transactions</w:t>
      </w:r>
      <w:r w:rsidRPr="00EA7870">
        <w:rPr>
          <w:sz w:val="20"/>
          <w:szCs w:val="20"/>
          <w:lang w:val="es-AR"/>
        </w:rPr>
        <w:t>”) en virtud de la exención de los requisitos de registro de la Ley de Títulos Valores Estadounidense sobre la base de la Regulación S de dicha ley,</w:t>
      </w:r>
      <w:r w:rsidR="00595465" w:rsidRPr="00EA7870">
        <w:rPr>
          <w:sz w:val="20"/>
          <w:szCs w:val="20"/>
          <w:lang w:val="es-AR"/>
        </w:rPr>
        <w:t xml:space="preserve"> y</w:t>
      </w:r>
      <w:r w:rsidRPr="00EA7870">
        <w:rPr>
          <w:sz w:val="20"/>
          <w:szCs w:val="20"/>
          <w:lang w:val="es-AR"/>
        </w:rPr>
        <w:t xml:space="preserve"> (iii) las Manifestaciones de Interés que presente a</w:t>
      </w:r>
      <w:r w:rsidR="007B2387" w:rsidRPr="00EA7870">
        <w:rPr>
          <w:sz w:val="20"/>
          <w:szCs w:val="20"/>
          <w:lang w:val="es-AR"/>
        </w:rPr>
        <w:t>l Colocador Local</w:t>
      </w:r>
      <w:r w:rsidRPr="00EA7870">
        <w:rPr>
          <w:sz w:val="20"/>
          <w:szCs w:val="20"/>
          <w:lang w:val="es-AR"/>
        </w:rPr>
        <w:t xml:space="preserve"> serán firmes y vinculantes y sin posibilidad de retirarlas y/o revocarlas;</w:t>
      </w:r>
    </w:p>
    <w:p w14:paraId="0549B09E" w14:textId="77777777" w:rsidR="00E71F07" w:rsidRPr="00EA7870" w:rsidRDefault="00E71F07" w:rsidP="00B37C3D">
      <w:pPr>
        <w:autoSpaceDE w:val="0"/>
        <w:autoSpaceDN w:val="0"/>
        <w:adjustRightInd w:val="0"/>
        <w:ind w:left="426"/>
        <w:contextualSpacing/>
        <w:jc w:val="both"/>
        <w:rPr>
          <w:sz w:val="20"/>
          <w:szCs w:val="20"/>
          <w:lang w:val="es-AR"/>
        </w:rPr>
      </w:pPr>
    </w:p>
    <w:p w14:paraId="770954D8" w14:textId="77777777"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conoce y acepta que las Obligaciones Negociables ofrecidas mediante la Oferta Internacional constituye una oferta que no viola la Ley de Títulos Valores Estadounidense;</w:t>
      </w:r>
    </w:p>
    <w:p w14:paraId="3C08CC31" w14:textId="77777777" w:rsidR="00E71F07" w:rsidRPr="00EA7870" w:rsidRDefault="00E71F07" w:rsidP="00B37C3D">
      <w:pPr>
        <w:autoSpaceDE w:val="0"/>
        <w:autoSpaceDN w:val="0"/>
        <w:adjustRightInd w:val="0"/>
        <w:contextualSpacing/>
        <w:jc w:val="both"/>
        <w:rPr>
          <w:sz w:val="20"/>
          <w:szCs w:val="20"/>
          <w:lang w:val="es-AR"/>
        </w:rPr>
      </w:pPr>
    </w:p>
    <w:p w14:paraId="388E5908" w14:textId="2583B9E1"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conoce y acepta que ni la Emisora</w:t>
      </w:r>
      <w:r w:rsidR="005D134B" w:rsidRPr="00EA7870">
        <w:rPr>
          <w:sz w:val="20"/>
          <w:szCs w:val="20"/>
          <w:lang w:val="es-AR"/>
        </w:rPr>
        <w:t>, ni la Garante,</w:t>
      </w:r>
      <w:r w:rsidRPr="00EA7870">
        <w:rPr>
          <w:sz w:val="20"/>
          <w:szCs w:val="20"/>
          <w:lang w:val="es-AR"/>
        </w:rPr>
        <w:t xml:space="preserve"> ni </w:t>
      </w:r>
      <w:r w:rsidR="007B2387" w:rsidRPr="00EA7870">
        <w:rPr>
          <w:sz w:val="20"/>
          <w:szCs w:val="20"/>
          <w:lang w:val="es-AR"/>
        </w:rPr>
        <w:t>el Colocador Local</w:t>
      </w:r>
      <w:r w:rsidRPr="00EA7870">
        <w:rPr>
          <w:sz w:val="20"/>
          <w:szCs w:val="20"/>
          <w:lang w:val="es-AR"/>
        </w:rPr>
        <w:t xml:space="preserve"> garantizan a los inversores que presenten las Manifestaciones de Interés, que mediante el mecanismo de adjudicación descripto </w:t>
      </w:r>
      <w:r w:rsidRPr="00EA7870">
        <w:rPr>
          <w:sz w:val="20"/>
          <w:szCs w:val="20"/>
          <w:lang w:val="es-AR"/>
        </w:rPr>
        <w:lastRenderedPageBreak/>
        <w:t>más abajo (i) se les adjudicarán Obligaciones Negociables</w:t>
      </w:r>
      <w:r w:rsidR="00595465" w:rsidRPr="00EA7870">
        <w:rPr>
          <w:sz w:val="20"/>
          <w:szCs w:val="20"/>
          <w:lang w:val="es-AR"/>
        </w:rPr>
        <w:t>,</w:t>
      </w:r>
      <w:r w:rsidRPr="00EA7870">
        <w:rPr>
          <w:sz w:val="20"/>
          <w:szCs w:val="20"/>
          <w:lang w:val="es-AR"/>
        </w:rPr>
        <w:t xml:space="preserve"> ni que (ii) se les adjudicará el mismo valor nominal de Obligaciones Negociables solicitado en </w:t>
      </w:r>
      <w:r w:rsidR="00595465" w:rsidRPr="00EA7870">
        <w:rPr>
          <w:sz w:val="20"/>
          <w:szCs w:val="20"/>
          <w:lang w:val="es-AR"/>
        </w:rPr>
        <w:t>su respectiva</w:t>
      </w:r>
      <w:r w:rsidR="00B20DB5" w:rsidRPr="00EA7870">
        <w:rPr>
          <w:sz w:val="20"/>
          <w:szCs w:val="20"/>
          <w:lang w:val="es-AR"/>
        </w:rPr>
        <w:t xml:space="preserve"> </w:t>
      </w:r>
      <w:r w:rsidRPr="00EA7870">
        <w:rPr>
          <w:sz w:val="20"/>
          <w:szCs w:val="20"/>
          <w:lang w:val="es-AR"/>
        </w:rPr>
        <w:t xml:space="preserve">Manifestación de Interés; </w:t>
      </w:r>
    </w:p>
    <w:p w14:paraId="47FA4A98" w14:textId="77777777" w:rsidR="00E71F07" w:rsidRPr="00EA7870" w:rsidRDefault="00E71F07" w:rsidP="00B37C3D">
      <w:pPr>
        <w:autoSpaceDE w:val="0"/>
        <w:autoSpaceDN w:val="0"/>
        <w:adjustRightInd w:val="0"/>
        <w:contextualSpacing/>
        <w:jc w:val="both"/>
        <w:rPr>
          <w:sz w:val="20"/>
          <w:szCs w:val="20"/>
          <w:lang w:val="es-AR"/>
        </w:rPr>
      </w:pPr>
    </w:p>
    <w:p w14:paraId="680C7605" w14:textId="77777777"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 xml:space="preserve">conoce y acepta que la Emisora y </w:t>
      </w:r>
      <w:r w:rsidR="007B2387" w:rsidRPr="00EA7870">
        <w:rPr>
          <w:sz w:val="20"/>
          <w:szCs w:val="20"/>
          <w:lang w:val="es-AR"/>
        </w:rPr>
        <w:t>el Colocador Local</w:t>
      </w:r>
      <w:r w:rsidRPr="00EA7870">
        <w:rPr>
          <w:sz w:val="20"/>
          <w:szCs w:val="20"/>
          <w:lang w:val="es-AR"/>
        </w:rPr>
        <w:t xml:space="preserve"> tendrán derecho de rechazar cualquier Manifestación de Interés en los casos y con el alcance detallado en la sección “</w:t>
      </w:r>
      <w:r w:rsidRPr="00EA7870">
        <w:rPr>
          <w:i/>
          <w:sz w:val="20"/>
          <w:szCs w:val="20"/>
          <w:lang w:val="es-AR"/>
        </w:rPr>
        <w:t>Plan de Distribución</w:t>
      </w:r>
      <w:r w:rsidRPr="00EA7870">
        <w:rPr>
          <w:sz w:val="20"/>
          <w:szCs w:val="20"/>
          <w:lang w:val="es-AR"/>
        </w:rPr>
        <w:t>” del presente Suplemento;</w:t>
      </w:r>
    </w:p>
    <w:p w14:paraId="41187EA0" w14:textId="77777777" w:rsidR="00E71F07" w:rsidRPr="00EA7870" w:rsidRDefault="00E71F07" w:rsidP="00B37C3D">
      <w:pPr>
        <w:autoSpaceDE w:val="0"/>
        <w:autoSpaceDN w:val="0"/>
        <w:adjustRightInd w:val="0"/>
        <w:contextualSpacing/>
        <w:jc w:val="both"/>
        <w:rPr>
          <w:sz w:val="20"/>
          <w:szCs w:val="20"/>
          <w:lang w:val="es-AR"/>
        </w:rPr>
      </w:pPr>
    </w:p>
    <w:p w14:paraId="63BE8DAD" w14:textId="77777777"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 xml:space="preserve">acepta que la Emisora, conjuntamente con </w:t>
      </w:r>
      <w:r w:rsidR="007B2387" w:rsidRPr="00EA7870">
        <w:rPr>
          <w:sz w:val="20"/>
          <w:szCs w:val="20"/>
          <w:lang w:val="es-AR"/>
        </w:rPr>
        <w:t>el Colocador Local</w:t>
      </w:r>
      <w:r w:rsidRPr="00EA7870">
        <w:rPr>
          <w:sz w:val="20"/>
          <w:szCs w:val="20"/>
          <w:lang w:val="es-AR"/>
        </w:rPr>
        <w:t>, podrán declarar desierta la colocación de las Obligaciones Negociables, en todos los casos detallados en el presente Suplemento;</w:t>
      </w:r>
    </w:p>
    <w:p w14:paraId="204DFF9D" w14:textId="77777777" w:rsidR="00E71F07" w:rsidRPr="00EA7870" w:rsidRDefault="00E71F07" w:rsidP="00B37C3D">
      <w:pPr>
        <w:autoSpaceDE w:val="0"/>
        <w:autoSpaceDN w:val="0"/>
        <w:adjustRightInd w:val="0"/>
        <w:contextualSpacing/>
        <w:jc w:val="both"/>
        <w:rPr>
          <w:sz w:val="20"/>
          <w:szCs w:val="20"/>
          <w:lang w:val="es-AR"/>
        </w:rPr>
      </w:pPr>
    </w:p>
    <w:p w14:paraId="6B53F4BD" w14:textId="77777777" w:rsidR="00E71F07" w:rsidRPr="00EA7870" w:rsidRDefault="00E71F07" w:rsidP="00E2318E">
      <w:pPr>
        <w:numPr>
          <w:ilvl w:val="0"/>
          <w:numId w:val="50"/>
        </w:numPr>
        <w:autoSpaceDE w:val="0"/>
        <w:autoSpaceDN w:val="0"/>
        <w:adjustRightInd w:val="0"/>
        <w:ind w:left="426" w:hanging="426"/>
        <w:contextualSpacing/>
        <w:jc w:val="both"/>
        <w:rPr>
          <w:sz w:val="20"/>
          <w:szCs w:val="20"/>
          <w:lang w:val="es-AR"/>
        </w:rPr>
      </w:pPr>
      <w:r w:rsidRPr="00EA7870">
        <w:rPr>
          <w:sz w:val="20"/>
          <w:szCs w:val="20"/>
          <w:lang w:val="es-AR"/>
        </w:rPr>
        <w:t>(</w:t>
      </w:r>
      <w:r w:rsidR="007761FA" w:rsidRPr="00EA7870">
        <w:rPr>
          <w:sz w:val="20"/>
          <w:szCs w:val="20"/>
          <w:lang w:val="es-AR"/>
        </w:rPr>
        <w:t>i</w:t>
      </w:r>
      <w:r w:rsidRPr="00EA7870">
        <w:rPr>
          <w:sz w:val="20"/>
          <w:szCs w:val="20"/>
          <w:lang w:val="es-AR"/>
        </w:rPr>
        <w:t>) los fondos y valores que corresponden a la suscripción de las Obligaciones Negociables son provenientes de actividades lícitas relacionadas con su actividad; (</w:t>
      </w:r>
      <w:r w:rsidR="007761FA" w:rsidRPr="00EA7870">
        <w:rPr>
          <w:sz w:val="20"/>
          <w:szCs w:val="20"/>
          <w:lang w:val="es-AR"/>
        </w:rPr>
        <w:t>ii</w:t>
      </w:r>
      <w:r w:rsidRPr="00EA7870">
        <w:rPr>
          <w:sz w:val="20"/>
          <w:szCs w:val="20"/>
          <w:lang w:val="es-AR"/>
        </w:rPr>
        <w:t>) la información consignada en las Manifestaciones de Interés y para los registros de</w:t>
      </w:r>
      <w:r w:rsidR="007B2387" w:rsidRPr="00EA7870">
        <w:rPr>
          <w:sz w:val="20"/>
          <w:szCs w:val="20"/>
          <w:lang w:val="es-AR"/>
        </w:rPr>
        <w:t>l Colocador Local</w:t>
      </w:r>
      <w:r w:rsidRPr="00EA7870">
        <w:rPr>
          <w:sz w:val="20"/>
          <w:szCs w:val="20"/>
          <w:lang w:val="es-AR"/>
        </w:rPr>
        <w:t>, es exacta y verdadera, y (iii) tiene conocimiento de la normativa sobre encubrimiento y</w:t>
      </w:r>
      <w:r w:rsidR="001D6E6B" w:rsidRPr="00EA7870">
        <w:rPr>
          <w:sz w:val="20"/>
          <w:szCs w:val="20"/>
          <w:lang w:val="es-AR"/>
        </w:rPr>
        <w:t xml:space="preserve"> prevención de</w:t>
      </w:r>
      <w:r w:rsidRPr="00EA7870">
        <w:rPr>
          <w:sz w:val="20"/>
          <w:szCs w:val="20"/>
          <w:lang w:val="es-AR"/>
        </w:rPr>
        <w:t xml:space="preserve"> lavado de activos regulada por la Ley de Prevención de Lavado de Activos;</w:t>
      </w:r>
    </w:p>
    <w:p w14:paraId="0EE0D42D" w14:textId="77777777" w:rsidR="00E71F07" w:rsidRPr="00EA7870" w:rsidRDefault="00E71F07" w:rsidP="00B37C3D">
      <w:pPr>
        <w:autoSpaceDE w:val="0"/>
        <w:autoSpaceDN w:val="0"/>
        <w:adjustRightInd w:val="0"/>
        <w:contextualSpacing/>
        <w:jc w:val="both"/>
        <w:rPr>
          <w:b/>
          <w:sz w:val="20"/>
          <w:szCs w:val="20"/>
          <w:lang w:val="es-AR"/>
        </w:rPr>
      </w:pPr>
    </w:p>
    <w:p w14:paraId="623869D5" w14:textId="39F1B43F" w:rsidR="00E71F07" w:rsidRPr="00EA7870" w:rsidRDefault="00E71F07" w:rsidP="00E2318E">
      <w:pPr>
        <w:numPr>
          <w:ilvl w:val="0"/>
          <w:numId w:val="50"/>
        </w:numPr>
        <w:autoSpaceDE w:val="0"/>
        <w:autoSpaceDN w:val="0"/>
        <w:adjustRightInd w:val="0"/>
        <w:ind w:left="426" w:hanging="426"/>
        <w:jc w:val="both"/>
        <w:rPr>
          <w:b/>
          <w:sz w:val="20"/>
          <w:szCs w:val="20"/>
          <w:lang w:val="es-AR"/>
        </w:rPr>
      </w:pPr>
      <w:r w:rsidRPr="00EA7870">
        <w:rPr>
          <w:sz w:val="20"/>
          <w:szCs w:val="20"/>
          <w:lang w:val="es-AR"/>
        </w:rPr>
        <w:t xml:space="preserve">conoce y acepta que, en caso </w:t>
      </w:r>
      <w:r w:rsidR="00771486">
        <w:rPr>
          <w:sz w:val="20"/>
          <w:szCs w:val="20"/>
          <w:lang w:val="es-AR"/>
        </w:rPr>
        <w:t xml:space="preserve">de </w:t>
      </w:r>
      <w:r w:rsidRPr="00EA7870">
        <w:rPr>
          <w:sz w:val="20"/>
          <w:szCs w:val="20"/>
          <w:lang w:val="es-AR"/>
        </w:rPr>
        <w:t>que las Obligaciones Negociables no sean integradas en la forma prevista en la sección “</w:t>
      </w:r>
      <w:r w:rsidRPr="00EA7870">
        <w:rPr>
          <w:i/>
          <w:sz w:val="20"/>
          <w:szCs w:val="20"/>
          <w:lang w:val="es-AR"/>
        </w:rPr>
        <w:t>Plan de Distribución</w:t>
      </w:r>
      <w:r w:rsidRPr="00EA7870">
        <w:rPr>
          <w:sz w:val="20"/>
          <w:szCs w:val="20"/>
          <w:lang w:val="es-AR"/>
        </w:rPr>
        <w:t xml:space="preserve">” en el presente Suplemento, </w:t>
      </w:r>
      <w:r w:rsidR="007B2387" w:rsidRPr="00EA7870">
        <w:rPr>
          <w:sz w:val="20"/>
          <w:szCs w:val="20"/>
          <w:lang w:val="es-AR"/>
        </w:rPr>
        <w:t>el Colocador Local</w:t>
      </w:r>
      <w:r w:rsidR="005D134B" w:rsidRPr="00EA7870">
        <w:rPr>
          <w:sz w:val="20"/>
          <w:szCs w:val="20"/>
          <w:lang w:val="es-AR"/>
        </w:rPr>
        <w:t xml:space="preserve"> </w:t>
      </w:r>
      <w:r w:rsidRPr="00EA7870">
        <w:rPr>
          <w:sz w:val="20"/>
          <w:szCs w:val="20"/>
          <w:lang w:val="es-AR"/>
        </w:rPr>
        <w:t>procederá según las instrucciones que le imparta la Emisora, que podrán incluir, entre otras, la pérdida por parte de los inversores incumplidores del derecho de suscribir las Obligaciones Negociables en cuestión sin necesidad de otorgarle la posibilidad de remediar su incumplimiento</w:t>
      </w:r>
      <w:r w:rsidR="001D6E6B" w:rsidRPr="00EA7870">
        <w:rPr>
          <w:sz w:val="20"/>
          <w:szCs w:val="20"/>
          <w:lang w:val="es-AR"/>
        </w:rPr>
        <w:t xml:space="preserve">; </w:t>
      </w:r>
    </w:p>
    <w:p w14:paraId="29410605" w14:textId="77777777" w:rsidR="00E71F07" w:rsidRPr="00EA7870" w:rsidRDefault="00E71F07">
      <w:pPr>
        <w:autoSpaceDE w:val="0"/>
        <w:autoSpaceDN w:val="0"/>
        <w:adjustRightInd w:val="0"/>
        <w:ind w:left="426"/>
        <w:jc w:val="both"/>
        <w:rPr>
          <w:b/>
          <w:sz w:val="20"/>
          <w:szCs w:val="20"/>
          <w:lang w:val="es-AR"/>
        </w:rPr>
      </w:pPr>
    </w:p>
    <w:p w14:paraId="3E90A809" w14:textId="731E6581" w:rsidR="005D134B" w:rsidRPr="00EA7870" w:rsidRDefault="00CE59FD" w:rsidP="00E2318E">
      <w:pPr>
        <w:numPr>
          <w:ilvl w:val="0"/>
          <w:numId w:val="50"/>
        </w:numPr>
        <w:autoSpaceDE w:val="0"/>
        <w:autoSpaceDN w:val="0"/>
        <w:adjustRightInd w:val="0"/>
        <w:ind w:left="426" w:hanging="426"/>
        <w:jc w:val="both"/>
        <w:rPr>
          <w:bCs/>
          <w:sz w:val="20"/>
          <w:szCs w:val="20"/>
          <w:lang w:val="es-AR"/>
        </w:rPr>
      </w:pPr>
      <w:r w:rsidRPr="00EA7870">
        <w:rPr>
          <w:bCs/>
          <w:sz w:val="20"/>
          <w:szCs w:val="20"/>
          <w:lang w:val="es-AR"/>
        </w:rPr>
        <w:t>conoce y acepta las restricciones a la transferencia de las Obligaciones Negociables previstas en el presente Suplemento y las restricciones cambiarias existentes en la República Argentina;</w:t>
      </w:r>
    </w:p>
    <w:p w14:paraId="3E8C13A0" w14:textId="77777777" w:rsidR="00CE59FD" w:rsidRPr="00EA7870" w:rsidRDefault="00CE59FD" w:rsidP="00B37C3D">
      <w:pPr>
        <w:autoSpaceDE w:val="0"/>
        <w:autoSpaceDN w:val="0"/>
        <w:adjustRightInd w:val="0"/>
        <w:ind w:left="426"/>
        <w:jc w:val="both"/>
        <w:rPr>
          <w:b/>
          <w:sz w:val="20"/>
          <w:szCs w:val="20"/>
          <w:lang w:val="es-AR"/>
        </w:rPr>
      </w:pPr>
    </w:p>
    <w:p w14:paraId="4E8B4047" w14:textId="77777777" w:rsidR="005D134B" w:rsidRPr="00EA7870" w:rsidRDefault="005D134B" w:rsidP="00E2318E">
      <w:pPr>
        <w:numPr>
          <w:ilvl w:val="0"/>
          <w:numId w:val="50"/>
        </w:numPr>
        <w:autoSpaceDE w:val="0"/>
        <w:autoSpaceDN w:val="0"/>
        <w:adjustRightInd w:val="0"/>
        <w:ind w:left="426" w:hanging="426"/>
        <w:jc w:val="both"/>
        <w:rPr>
          <w:bCs/>
          <w:sz w:val="20"/>
          <w:szCs w:val="20"/>
        </w:rPr>
      </w:pPr>
      <w:r w:rsidRPr="00EA7870">
        <w:rPr>
          <w:bCs/>
          <w:sz w:val="20"/>
          <w:szCs w:val="20"/>
        </w:rPr>
        <w:t>no está domiciliado, ubicado, radicado o es considerado residente, de los países, dominios, jurisdicciones, territorios, estados asociados y regímenes tributarios especiales no considerados “</w:t>
      </w:r>
      <w:r w:rsidRPr="00EA7870">
        <w:rPr>
          <w:bCs/>
          <w:i/>
          <w:iCs/>
          <w:sz w:val="20"/>
          <w:szCs w:val="20"/>
        </w:rPr>
        <w:t>cooperantes a los fines de la transparencia fiscal</w:t>
      </w:r>
      <w:r w:rsidRPr="00EA7870">
        <w:rPr>
          <w:bCs/>
          <w:sz w:val="20"/>
          <w:szCs w:val="20"/>
        </w:rPr>
        <w:t>” o considerados de “</w:t>
      </w:r>
      <w:r w:rsidRPr="00EA7870">
        <w:rPr>
          <w:bCs/>
          <w:i/>
          <w:iCs/>
          <w:sz w:val="20"/>
          <w:szCs w:val="20"/>
        </w:rPr>
        <w:t>baja o nula tributación</w:t>
      </w:r>
      <w:r w:rsidRPr="00EA7870">
        <w:rPr>
          <w:bCs/>
          <w:sz w:val="20"/>
          <w:szCs w:val="20"/>
        </w:rPr>
        <w:t>”, y/o no utiliza, a efectos de la suscripción o integración de las Obligaciones Negociables, cuentas bancarias localizadas o abiertas en entidades financieras ubicadas en un país, dominio, jurisdicción, territorio, estado asociado o régimen tributario especial no considerados “</w:t>
      </w:r>
      <w:r w:rsidRPr="00EA7870">
        <w:rPr>
          <w:bCs/>
          <w:i/>
          <w:iCs/>
          <w:sz w:val="20"/>
          <w:szCs w:val="20"/>
        </w:rPr>
        <w:t>cooperantes a los fines de la transparencia fiscal</w:t>
      </w:r>
      <w:r w:rsidRPr="00EA7870">
        <w:rPr>
          <w:bCs/>
          <w:sz w:val="20"/>
          <w:szCs w:val="20"/>
        </w:rPr>
        <w:t>” o considerados de “</w:t>
      </w:r>
      <w:r w:rsidRPr="00EA7870">
        <w:rPr>
          <w:bCs/>
          <w:i/>
          <w:iCs/>
          <w:sz w:val="20"/>
          <w:szCs w:val="20"/>
        </w:rPr>
        <w:t>baja o nula tributación</w:t>
      </w:r>
      <w:r w:rsidRPr="00EA7870">
        <w:rPr>
          <w:bCs/>
          <w:sz w:val="20"/>
          <w:szCs w:val="20"/>
        </w:rPr>
        <w:t>”, renunciando, en caso de falsedad de esta declaración y garantía, a reclamar a la Emisora el pago de cualquier mayor costo derivado de ello</w:t>
      </w:r>
      <w:r w:rsidR="00392755" w:rsidRPr="00EA7870">
        <w:rPr>
          <w:bCs/>
          <w:sz w:val="20"/>
          <w:szCs w:val="20"/>
        </w:rPr>
        <w:t>; y</w:t>
      </w:r>
    </w:p>
    <w:p w14:paraId="4F2DC9EB" w14:textId="77777777" w:rsidR="00392755" w:rsidRPr="00EA7870" w:rsidRDefault="00392755" w:rsidP="00392755">
      <w:pPr>
        <w:pStyle w:val="Prrafodelista"/>
        <w:rPr>
          <w:bCs/>
          <w:sz w:val="20"/>
          <w:szCs w:val="20"/>
        </w:rPr>
      </w:pPr>
    </w:p>
    <w:p w14:paraId="2AA82C51" w14:textId="77777777" w:rsidR="00392755" w:rsidRPr="00EA7870" w:rsidRDefault="00392755" w:rsidP="00E2318E">
      <w:pPr>
        <w:numPr>
          <w:ilvl w:val="0"/>
          <w:numId w:val="50"/>
        </w:numPr>
        <w:autoSpaceDE w:val="0"/>
        <w:autoSpaceDN w:val="0"/>
        <w:adjustRightInd w:val="0"/>
        <w:ind w:left="426" w:hanging="426"/>
        <w:jc w:val="both"/>
        <w:rPr>
          <w:bCs/>
          <w:sz w:val="20"/>
          <w:szCs w:val="20"/>
        </w:rPr>
      </w:pPr>
      <w:r w:rsidRPr="00EA7870">
        <w:rPr>
          <w:bCs/>
          <w:sz w:val="20"/>
          <w:szCs w:val="20"/>
        </w:rPr>
        <w:t>no está domiciliado, ubicado, radicado o es considerado residente del Reino de España</w:t>
      </w:r>
      <w:bookmarkEnd w:id="58"/>
      <w:r w:rsidRPr="00EA7870">
        <w:rPr>
          <w:bCs/>
          <w:sz w:val="20"/>
          <w:szCs w:val="20"/>
        </w:rPr>
        <w:t>.</w:t>
      </w:r>
    </w:p>
    <w:p w14:paraId="10B8E124" w14:textId="77777777" w:rsidR="00850C3F" w:rsidRPr="00EA7870" w:rsidRDefault="00850C3F" w:rsidP="00D64D83">
      <w:pPr>
        <w:autoSpaceDE w:val="0"/>
        <w:autoSpaceDN w:val="0"/>
        <w:adjustRightInd w:val="0"/>
        <w:jc w:val="both"/>
        <w:rPr>
          <w:bCs/>
          <w:sz w:val="20"/>
          <w:szCs w:val="20"/>
        </w:rPr>
      </w:pPr>
    </w:p>
    <w:p w14:paraId="1FA1E105" w14:textId="77777777" w:rsidR="00036374" w:rsidRPr="00EA7870" w:rsidRDefault="00071167" w:rsidP="00036374">
      <w:pPr>
        <w:pStyle w:val="Ttulo1"/>
        <w:jc w:val="center"/>
        <w:rPr>
          <w:rFonts w:ascii="Times New Roman" w:hAnsi="Times New Roman"/>
          <w:sz w:val="20"/>
          <w:lang w:val="es-AR"/>
        </w:rPr>
      </w:pPr>
      <w:r w:rsidRPr="00EA7870">
        <w:rPr>
          <w:rFonts w:ascii="Times New Roman" w:hAnsi="Times New Roman"/>
          <w:sz w:val="20"/>
          <w:lang w:val="es-AR" w:bidi="es-ES"/>
        </w:rPr>
        <w:br w:type="page"/>
      </w:r>
      <w:bookmarkStart w:id="59" w:name="_DV_M155"/>
      <w:bookmarkStart w:id="60" w:name="_DV_M156"/>
      <w:bookmarkStart w:id="61" w:name="_DV_M258"/>
      <w:bookmarkStart w:id="62" w:name="_DV_M260"/>
      <w:bookmarkStart w:id="63" w:name="_DV_M266"/>
      <w:bookmarkStart w:id="64" w:name="_DV_M268"/>
      <w:bookmarkStart w:id="65" w:name="_DV_M269"/>
      <w:bookmarkStart w:id="66" w:name="_DV_M270"/>
      <w:bookmarkStart w:id="67" w:name="_DV_M271"/>
      <w:bookmarkStart w:id="68" w:name="_DV_M272"/>
      <w:bookmarkStart w:id="69" w:name="_DV_M273"/>
      <w:bookmarkStart w:id="70" w:name="_DV_M276"/>
      <w:bookmarkStart w:id="71" w:name="_DV_M277"/>
      <w:bookmarkStart w:id="72" w:name="_DV_M278"/>
      <w:bookmarkStart w:id="73" w:name="_DV_M279"/>
      <w:bookmarkStart w:id="74" w:name="_DV_M282"/>
      <w:bookmarkStart w:id="75" w:name="_DV_M283"/>
      <w:bookmarkStart w:id="76" w:name="_DV_M284"/>
      <w:bookmarkStart w:id="77" w:name="_DV_M285"/>
      <w:bookmarkStart w:id="78" w:name="_DV_M286"/>
      <w:bookmarkStart w:id="79" w:name="_DV_M287"/>
      <w:bookmarkStart w:id="80" w:name="_DV_M288"/>
      <w:bookmarkStart w:id="81" w:name="_DV_M289"/>
      <w:bookmarkStart w:id="82" w:name="_DV_M291"/>
      <w:bookmarkStart w:id="83" w:name="_DV_M292"/>
      <w:bookmarkStart w:id="84" w:name="_DV_M293"/>
      <w:bookmarkStart w:id="85" w:name="_DV_M294"/>
      <w:bookmarkStart w:id="86" w:name="_DV_M295"/>
      <w:bookmarkStart w:id="87" w:name="_DV_M351"/>
      <w:bookmarkStart w:id="88" w:name="_DV_C112"/>
      <w:bookmarkStart w:id="89" w:name="_DV_M127"/>
      <w:bookmarkStart w:id="90" w:name="_DV_M128"/>
      <w:bookmarkStart w:id="91" w:name="_DV_M129"/>
      <w:bookmarkStart w:id="92" w:name="_DV_M130"/>
      <w:bookmarkStart w:id="93" w:name="_DV_M131"/>
      <w:bookmarkStart w:id="94" w:name="_DV_M132"/>
      <w:bookmarkStart w:id="95" w:name="_DV_M133"/>
      <w:bookmarkStart w:id="96" w:name="_DV_M134"/>
      <w:bookmarkStart w:id="97" w:name="_DV_M135"/>
      <w:bookmarkStart w:id="98" w:name="_Toc24360364"/>
      <w:bookmarkStart w:id="99" w:name="_Toc24363269"/>
      <w:bookmarkStart w:id="100" w:name="_Toc515876665"/>
      <w:bookmarkStart w:id="101" w:name="_Toc51786031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036374" w:rsidRPr="00EA7870">
        <w:rPr>
          <w:rFonts w:ascii="Times New Roman" w:hAnsi="Times New Roman"/>
          <w:sz w:val="20"/>
          <w:lang w:val="es-AR"/>
        </w:rPr>
        <w:lastRenderedPageBreak/>
        <w:t>FACTORES DE RIESGO</w:t>
      </w:r>
      <w:bookmarkEnd w:id="98"/>
      <w:bookmarkEnd w:id="99"/>
      <w:r w:rsidR="00036374" w:rsidRPr="00EA7870">
        <w:rPr>
          <w:rFonts w:ascii="Times New Roman" w:hAnsi="Times New Roman"/>
          <w:sz w:val="20"/>
          <w:lang w:val="es-AR"/>
        </w:rPr>
        <w:t xml:space="preserve"> </w:t>
      </w:r>
    </w:p>
    <w:p w14:paraId="20424679" w14:textId="77777777" w:rsidR="00036374" w:rsidRPr="00EA7870" w:rsidRDefault="00036374" w:rsidP="00036374">
      <w:pPr>
        <w:rPr>
          <w:sz w:val="20"/>
          <w:szCs w:val="20"/>
          <w:lang w:val="es-AR"/>
        </w:rPr>
      </w:pPr>
    </w:p>
    <w:p w14:paraId="299658A4" w14:textId="77777777" w:rsidR="00036374" w:rsidRPr="00EA7870" w:rsidRDefault="00036374" w:rsidP="00036374">
      <w:pPr>
        <w:tabs>
          <w:tab w:val="left" w:pos="9356"/>
        </w:tabs>
        <w:spacing w:after="120"/>
        <w:jc w:val="both"/>
        <w:rPr>
          <w:i/>
          <w:color w:val="000000"/>
          <w:sz w:val="20"/>
          <w:szCs w:val="20"/>
          <w:lang w:eastAsia="es-AR"/>
        </w:rPr>
      </w:pPr>
      <w:r w:rsidRPr="00EA7870">
        <w:rPr>
          <w:i/>
          <w:color w:val="000000"/>
          <w:sz w:val="20"/>
          <w:szCs w:val="20"/>
          <w:lang w:eastAsia="es-AR"/>
        </w:rPr>
        <w:t xml:space="preserve">La inversión en las Obligaciones Negociables conlleva un importante grado de riesgo. En general, la inversión en títulos valores emitidos por emisores de mercados emergentes, tales como la Argentina, involucran riesgos que no son típicamente asociados con la inversión en títulos valores de emisores de los Estados Unidos. Antes de decidir invertir en las Obligaciones Negociables, debe leer cuidadosamente toda la información incluida en el Prospecto y en este Suplemento, incluyendo en particular, los factores de riesgo. Los riesgos descritos a continuación son aquellos conocidos por </w:t>
      </w:r>
      <w:r w:rsidR="007038E0" w:rsidRPr="00EA7870">
        <w:rPr>
          <w:i/>
          <w:color w:val="000000"/>
          <w:sz w:val="20"/>
          <w:szCs w:val="20"/>
          <w:lang w:eastAsia="es-AR"/>
        </w:rPr>
        <w:t xml:space="preserve">la Emisora </w:t>
      </w:r>
      <w:r w:rsidRPr="00EA7870">
        <w:rPr>
          <w:i/>
          <w:color w:val="000000"/>
          <w:sz w:val="20"/>
          <w:szCs w:val="20"/>
          <w:lang w:eastAsia="es-AR"/>
        </w:rPr>
        <w:t>y que actualmente cree que podría</w:t>
      </w:r>
      <w:r w:rsidR="009E21A0" w:rsidRPr="00EA7870">
        <w:rPr>
          <w:i/>
          <w:color w:val="000000"/>
          <w:sz w:val="20"/>
          <w:szCs w:val="20"/>
          <w:lang w:eastAsia="es-AR"/>
        </w:rPr>
        <w:t>n</w:t>
      </w:r>
      <w:r w:rsidRPr="00EA7870">
        <w:rPr>
          <w:i/>
          <w:color w:val="000000"/>
          <w:sz w:val="20"/>
          <w:szCs w:val="20"/>
          <w:lang w:eastAsia="es-AR"/>
        </w:rPr>
        <w:t xml:space="preserve"> afectar</w:t>
      </w:r>
      <w:r w:rsidR="007038E0" w:rsidRPr="00EA7870">
        <w:rPr>
          <w:i/>
          <w:color w:val="000000"/>
          <w:sz w:val="20"/>
          <w:szCs w:val="20"/>
          <w:lang w:eastAsia="es-AR"/>
        </w:rPr>
        <w:t>la</w:t>
      </w:r>
      <w:r w:rsidRPr="00EA7870">
        <w:rPr>
          <w:i/>
          <w:color w:val="000000"/>
          <w:sz w:val="20"/>
          <w:szCs w:val="20"/>
          <w:lang w:eastAsia="es-AR"/>
        </w:rPr>
        <w:t xml:space="preserve"> sustancialmente. </w:t>
      </w:r>
      <w:r w:rsidR="007038E0" w:rsidRPr="00EA7870">
        <w:rPr>
          <w:i/>
          <w:color w:val="000000"/>
          <w:sz w:val="20"/>
          <w:szCs w:val="20"/>
          <w:lang w:eastAsia="es-AR"/>
        </w:rPr>
        <w:t>Se recomienda</w:t>
      </w:r>
      <w:r w:rsidRPr="00EA7870">
        <w:rPr>
          <w:i/>
          <w:color w:val="000000"/>
          <w:sz w:val="20"/>
          <w:szCs w:val="20"/>
          <w:lang w:eastAsia="es-AR"/>
        </w:rPr>
        <w:t xml:space="preserve"> enfáticamente la lectura conjunta de la información incluida en el Prospecto y en este Suplemento ya que los riesgos adicionales no conocidos actualmente </w:t>
      </w:r>
      <w:r w:rsidR="007038E0" w:rsidRPr="00EA7870">
        <w:rPr>
          <w:i/>
          <w:color w:val="000000"/>
          <w:sz w:val="20"/>
          <w:szCs w:val="20"/>
          <w:lang w:eastAsia="es-AR"/>
        </w:rPr>
        <w:t xml:space="preserve">por la Emisora </w:t>
      </w:r>
      <w:r w:rsidRPr="00EA7870">
        <w:rPr>
          <w:i/>
          <w:color w:val="000000"/>
          <w:sz w:val="20"/>
          <w:szCs w:val="20"/>
          <w:lang w:eastAsia="es-AR"/>
        </w:rPr>
        <w:t xml:space="preserve">o que </w:t>
      </w:r>
      <w:r w:rsidR="007038E0" w:rsidRPr="00EA7870">
        <w:rPr>
          <w:i/>
          <w:color w:val="000000"/>
          <w:sz w:val="20"/>
          <w:szCs w:val="20"/>
          <w:lang w:eastAsia="es-AR"/>
        </w:rPr>
        <w:t xml:space="preserve">la Emisora </w:t>
      </w:r>
      <w:r w:rsidRPr="00EA7870">
        <w:rPr>
          <w:i/>
          <w:color w:val="000000"/>
          <w:sz w:val="20"/>
          <w:szCs w:val="20"/>
          <w:lang w:eastAsia="es-AR"/>
        </w:rPr>
        <w:t xml:space="preserve">no considera en la actualidad como importantes podrían asimismo perjudicar </w:t>
      </w:r>
      <w:r w:rsidR="007038E0" w:rsidRPr="00EA7870">
        <w:rPr>
          <w:i/>
          <w:color w:val="000000"/>
          <w:sz w:val="20"/>
          <w:szCs w:val="20"/>
          <w:lang w:eastAsia="es-AR"/>
        </w:rPr>
        <w:t>su</w:t>
      </w:r>
      <w:r w:rsidRPr="00EA7870">
        <w:rPr>
          <w:i/>
          <w:color w:val="000000"/>
          <w:sz w:val="20"/>
          <w:szCs w:val="20"/>
          <w:lang w:eastAsia="es-AR"/>
        </w:rPr>
        <w:t xml:space="preserve"> negocio.</w:t>
      </w:r>
    </w:p>
    <w:p w14:paraId="07D34667" w14:textId="77777777" w:rsidR="00036374" w:rsidRPr="00EA7870" w:rsidRDefault="00036374" w:rsidP="00036374">
      <w:pPr>
        <w:jc w:val="both"/>
        <w:rPr>
          <w:sz w:val="20"/>
          <w:szCs w:val="20"/>
        </w:rPr>
      </w:pPr>
      <w:r w:rsidRPr="00EA7870">
        <w:rPr>
          <w:i/>
          <w:sz w:val="20"/>
          <w:szCs w:val="20"/>
          <w:u w:val="single"/>
        </w:rPr>
        <w:t xml:space="preserve">Factores de Riesgo Relacionados con los </w:t>
      </w:r>
      <w:r w:rsidR="003E203F" w:rsidRPr="00EA7870">
        <w:rPr>
          <w:i/>
          <w:sz w:val="20"/>
          <w:szCs w:val="20"/>
          <w:u w:val="single"/>
        </w:rPr>
        <w:t>países</w:t>
      </w:r>
      <w:r w:rsidR="009E21A0" w:rsidRPr="00EA7870">
        <w:rPr>
          <w:i/>
          <w:sz w:val="20"/>
          <w:szCs w:val="20"/>
          <w:u w:val="single"/>
        </w:rPr>
        <w:t>, distintos a la Argentina,</w:t>
      </w:r>
      <w:r w:rsidR="003E203F" w:rsidRPr="00EA7870">
        <w:rPr>
          <w:i/>
          <w:sz w:val="20"/>
          <w:szCs w:val="20"/>
          <w:u w:val="single"/>
        </w:rPr>
        <w:t xml:space="preserve"> en donde opera </w:t>
      </w:r>
      <w:r w:rsidRPr="00EA7870">
        <w:rPr>
          <w:i/>
          <w:sz w:val="20"/>
          <w:szCs w:val="20"/>
          <w:u w:val="single"/>
        </w:rPr>
        <w:t>la Garante</w:t>
      </w:r>
      <w:r w:rsidRPr="00EA7870">
        <w:rPr>
          <w:sz w:val="20"/>
          <w:szCs w:val="20"/>
        </w:rPr>
        <w:t>:</w:t>
      </w:r>
    </w:p>
    <w:p w14:paraId="4F408115" w14:textId="77777777" w:rsidR="00036374" w:rsidRPr="00EA7870" w:rsidRDefault="00036374" w:rsidP="00036374">
      <w:pPr>
        <w:tabs>
          <w:tab w:val="left" w:pos="5287"/>
        </w:tabs>
        <w:jc w:val="both"/>
        <w:rPr>
          <w:sz w:val="20"/>
          <w:szCs w:val="20"/>
        </w:rPr>
      </w:pPr>
      <w:r w:rsidRPr="00EA7870">
        <w:rPr>
          <w:sz w:val="20"/>
          <w:szCs w:val="20"/>
        </w:rPr>
        <w:tab/>
      </w:r>
    </w:p>
    <w:p w14:paraId="78A4EE26" w14:textId="77777777" w:rsidR="00036374" w:rsidRPr="00EA7870" w:rsidRDefault="00036374" w:rsidP="00036374">
      <w:pPr>
        <w:spacing w:after="240"/>
        <w:jc w:val="both"/>
        <w:rPr>
          <w:b/>
          <w:i/>
          <w:sz w:val="20"/>
          <w:szCs w:val="20"/>
          <w:lang w:val="es-AR" w:eastAsia="en-US"/>
        </w:rPr>
      </w:pPr>
      <w:r w:rsidRPr="00EA7870">
        <w:rPr>
          <w:b/>
          <w:i/>
          <w:sz w:val="20"/>
          <w:szCs w:val="20"/>
          <w:lang w:val="es-AR" w:eastAsia="en-US"/>
        </w:rPr>
        <w:t>La inestabilidad política, social y económica en Bolivia podría afectar los resultados de las operaciones de la Garante</w:t>
      </w:r>
    </w:p>
    <w:p w14:paraId="6A511ABE" w14:textId="77777777" w:rsidR="00036374" w:rsidRPr="00EA7870" w:rsidRDefault="00036374" w:rsidP="00036374">
      <w:pPr>
        <w:spacing w:after="240"/>
        <w:jc w:val="both"/>
        <w:rPr>
          <w:sz w:val="20"/>
          <w:szCs w:val="20"/>
          <w:lang w:val="es-AR" w:eastAsia="en-US"/>
        </w:rPr>
      </w:pPr>
      <w:r w:rsidRPr="00EA7870">
        <w:rPr>
          <w:sz w:val="20"/>
          <w:szCs w:val="20"/>
          <w:lang w:val="es-AR" w:eastAsia="en-US"/>
        </w:rPr>
        <w:t xml:space="preserve">La Garante está expuesta a incertidumbre y riesgos derivados de sus operaciones en el bloque de Caipipendi en Bolivia, que ha experimentado una importante inestabilidad económica, política y social. La Garante posee derechos contractuales con respecto al bloque de Caipipendi en la cuenca de Tarija, que representó un </w:t>
      </w:r>
      <w:r w:rsidR="002F7E75" w:rsidRPr="00EA7870">
        <w:rPr>
          <w:sz w:val="20"/>
          <w:szCs w:val="20"/>
          <w:lang w:val="es-AR" w:eastAsia="en-US"/>
        </w:rPr>
        <w:t>4,6</w:t>
      </w:r>
      <w:r w:rsidRPr="00EA7870">
        <w:rPr>
          <w:sz w:val="20"/>
          <w:szCs w:val="20"/>
          <w:lang w:val="es-AR" w:eastAsia="en-US"/>
        </w:rPr>
        <w:t xml:space="preserve">% de su producción de petróleo total y </w:t>
      </w:r>
      <w:r w:rsidR="002F7E75" w:rsidRPr="00EA7870">
        <w:rPr>
          <w:sz w:val="20"/>
          <w:szCs w:val="20"/>
          <w:lang w:val="es-AR" w:eastAsia="en-US"/>
        </w:rPr>
        <w:t>20,8</w:t>
      </w:r>
      <w:r w:rsidRPr="00EA7870">
        <w:rPr>
          <w:sz w:val="20"/>
          <w:szCs w:val="20"/>
          <w:lang w:val="es-AR" w:eastAsia="en-US"/>
        </w:rPr>
        <w:t>% de su producción de gas total en 201</w:t>
      </w:r>
      <w:r w:rsidR="007038E0" w:rsidRPr="00EA7870">
        <w:rPr>
          <w:sz w:val="20"/>
          <w:szCs w:val="20"/>
          <w:lang w:val="es-AR" w:eastAsia="en-US"/>
        </w:rPr>
        <w:t>8</w:t>
      </w:r>
      <w:r w:rsidRPr="00EA7870">
        <w:rPr>
          <w:sz w:val="20"/>
          <w:szCs w:val="20"/>
          <w:lang w:val="es-AR" w:eastAsia="en-US"/>
        </w:rPr>
        <w:t>.</w:t>
      </w:r>
    </w:p>
    <w:p w14:paraId="447BDD70" w14:textId="77777777" w:rsidR="00036374" w:rsidRPr="00EA7870" w:rsidRDefault="00036374" w:rsidP="00036374">
      <w:pPr>
        <w:spacing w:after="240"/>
        <w:jc w:val="both"/>
        <w:rPr>
          <w:sz w:val="20"/>
          <w:szCs w:val="20"/>
          <w:lang w:val="es-AR" w:eastAsia="en-US"/>
        </w:rPr>
      </w:pPr>
      <w:r w:rsidRPr="00EA7870">
        <w:rPr>
          <w:sz w:val="20"/>
          <w:szCs w:val="20"/>
          <w:lang w:val="es-AR" w:eastAsia="en-US"/>
        </w:rPr>
        <w:t>Los cambios en las condiciones económicas, políticas y regulatorias en Bolivia y las medidas adoptadas por el gobierno de Bolivia han tenido y podrían continuar teniendo un impacto significativo sobre la Garante. El 23 de enero de 2009, el gobierno boliviano, a través del Decreto Supremo Nº</w:t>
      </w:r>
      <w:r w:rsidR="00E0169C" w:rsidRPr="00EA7870">
        <w:rPr>
          <w:sz w:val="20"/>
          <w:szCs w:val="20"/>
          <w:lang w:val="es-AR" w:eastAsia="en-US"/>
        </w:rPr>
        <w:t xml:space="preserve"> </w:t>
      </w:r>
      <w:r w:rsidRPr="00EA7870">
        <w:rPr>
          <w:sz w:val="20"/>
          <w:szCs w:val="20"/>
          <w:lang w:val="es-AR" w:eastAsia="en-US"/>
        </w:rPr>
        <w:t>29.888, nacionalizó 8.049.660 acciones de Empresa Petrolera Chaco S.A. (“</w:t>
      </w:r>
      <w:r w:rsidRPr="00EA7870">
        <w:rPr>
          <w:b/>
          <w:sz w:val="20"/>
          <w:szCs w:val="20"/>
          <w:lang w:val="es-AR" w:eastAsia="en-US"/>
        </w:rPr>
        <w:t>Chaco</w:t>
      </w:r>
      <w:r w:rsidRPr="00EA7870">
        <w:rPr>
          <w:sz w:val="20"/>
          <w:szCs w:val="20"/>
          <w:lang w:val="es-AR" w:eastAsia="en-US"/>
        </w:rPr>
        <w:t xml:space="preserve">”), de titularidad de la Garante, representativas del 50% del total de acciones de Chaco, sin una pronta, adecuada y efectiva indemnización a favor de la Garante. </w:t>
      </w:r>
    </w:p>
    <w:p w14:paraId="5EEAF989" w14:textId="3F578A3B" w:rsidR="00036374" w:rsidRPr="00EA7870" w:rsidRDefault="00036374" w:rsidP="00036374">
      <w:pPr>
        <w:spacing w:after="240"/>
        <w:jc w:val="both"/>
        <w:rPr>
          <w:sz w:val="20"/>
          <w:szCs w:val="20"/>
          <w:lang w:val="es-AR" w:eastAsia="en-US"/>
        </w:rPr>
      </w:pPr>
      <w:r w:rsidRPr="00EA7870">
        <w:rPr>
          <w:sz w:val="20"/>
          <w:szCs w:val="20"/>
          <w:lang w:val="es-AR" w:eastAsia="en-US"/>
        </w:rPr>
        <w:t>Como resultado de ello, la Garante llevó la controversia al Centro Internacional para Resolución de Disputas sobre Inversiones</w:t>
      </w:r>
      <w:r w:rsidRPr="00EA7870" w:rsidDel="00B30AAB">
        <w:rPr>
          <w:sz w:val="20"/>
          <w:szCs w:val="20"/>
          <w:lang w:val="es-AR" w:eastAsia="en-US"/>
        </w:rPr>
        <w:t xml:space="preserve"> </w:t>
      </w:r>
      <w:r w:rsidRPr="00EA7870">
        <w:rPr>
          <w:sz w:val="20"/>
          <w:szCs w:val="20"/>
          <w:lang w:val="es-AR" w:eastAsia="en-US"/>
        </w:rPr>
        <w:t>del Banco Mundial en el 2010 que fue conciliada en 2014. A la fecha, la Garante lleva adelante sus actividades de producción en virtud de un contrato de operación a largo plazo con YPFB.</w:t>
      </w:r>
    </w:p>
    <w:p w14:paraId="7773F387" w14:textId="77777777" w:rsidR="00036374" w:rsidRPr="00EA7870" w:rsidRDefault="00036374" w:rsidP="00036374">
      <w:pPr>
        <w:spacing w:after="240"/>
        <w:jc w:val="both"/>
        <w:rPr>
          <w:sz w:val="20"/>
          <w:szCs w:val="20"/>
          <w:lang w:val="es-AR" w:eastAsia="en-US"/>
        </w:rPr>
      </w:pPr>
      <w:r w:rsidRPr="00EA7870">
        <w:rPr>
          <w:sz w:val="20"/>
          <w:szCs w:val="20"/>
          <w:lang w:val="es-AR" w:eastAsia="en-US"/>
        </w:rPr>
        <w:t xml:space="preserve">La Garante no puede garantizar que su situación patrimonial o los resultados de sus operaciones no serán adversamente afectados por un cambio adverso en las condiciones económicas, políticas o sociales en Bolivia. </w:t>
      </w:r>
    </w:p>
    <w:p w14:paraId="36527E6D" w14:textId="77777777" w:rsidR="00036374" w:rsidRPr="00EA7870" w:rsidRDefault="00036374" w:rsidP="00036374">
      <w:pPr>
        <w:spacing w:after="240"/>
        <w:jc w:val="both"/>
        <w:rPr>
          <w:b/>
          <w:i/>
          <w:sz w:val="20"/>
          <w:szCs w:val="20"/>
          <w:lang w:val="es-AR" w:eastAsia="en-US"/>
        </w:rPr>
      </w:pPr>
      <w:r w:rsidRPr="00EA7870">
        <w:rPr>
          <w:b/>
          <w:i/>
          <w:sz w:val="20"/>
          <w:szCs w:val="20"/>
          <w:lang w:val="es-AR" w:eastAsia="en-US"/>
        </w:rPr>
        <w:t>La Garante está expuesta a riesgos asociados con su operación en México</w:t>
      </w:r>
    </w:p>
    <w:p w14:paraId="15C8E328" w14:textId="3567D390" w:rsidR="00036374" w:rsidRPr="00EA7870" w:rsidRDefault="00036374" w:rsidP="00036374">
      <w:pPr>
        <w:autoSpaceDE w:val="0"/>
        <w:autoSpaceDN w:val="0"/>
        <w:adjustRightInd w:val="0"/>
        <w:jc w:val="both"/>
        <w:rPr>
          <w:sz w:val="20"/>
          <w:szCs w:val="20"/>
          <w:lang w:val="es-AR" w:eastAsia="en-US"/>
        </w:rPr>
      </w:pPr>
      <w:r w:rsidRPr="00EA7870">
        <w:rPr>
          <w:sz w:val="20"/>
          <w:szCs w:val="20"/>
          <w:lang w:val="es-AR" w:eastAsia="en-US"/>
        </w:rPr>
        <w:t xml:space="preserve">La Garante se encuentra participando en el proceso de privatización de la industria del petróleo y el gas en México, el cual es un proceso relativamente nuevo. A la fecha de este Suplemento, la Garante desarrolla actividades en el bloque de Hokchi en virtud de un acuerdo de participación en la producción con la Comisión Nacional de Hidrocarburos (la autoridad de hidrocarburos mexicana). Adicionalmente, la Garante recientemente ha firmado acuerdos de exploración </w:t>
      </w:r>
      <w:r w:rsidR="00964667">
        <w:rPr>
          <w:sz w:val="20"/>
          <w:szCs w:val="20"/>
          <w:lang w:val="es-AR" w:eastAsia="en-US"/>
        </w:rPr>
        <w:t>por</w:t>
      </w:r>
      <w:r w:rsidR="00964667" w:rsidRPr="00EA7870">
        <w:rPr>
          <w:sz w:val="20"/>
          <w:szCs w:val="20"/>
          <w:lang w:val="es-AR" w:eastAsia="en-US"/>
        </w:rPr>
        <w:t xml:space="preserve"> </w:t>
      </w:r>
      <w:r w:rsidRPr="00EA7870">
        <w:rPr>
          <w:sz w:val="20"/>
          <w:szCs w:val="20"/>
          <w:lang w:val="es-AR" w:eastAsia="en-US"/>
        </w:rPr>
        <w:t xml:space="preserve">dos nuevos bloques. Como resultado de ello, la Garante está expuesta a incertidumbre y riesgos derivados de sus operaciones en México, que ha experimentado inestabilidad económica, política y social. Cambios en las condiciones económicas, políticas y sociales en México y las medidas adoptadas por el gobierno mexicano podrían tener un impacto significativo sobre la Garante. En particular, en relación con la elección presidencial </w:t>
      </w:r>
      <w:r w:rsidR="002F0B42" w:rsidRPr="00EA7870">
        <w:rPr>
          <w:sz w:val="20"/>
          <w:szCs w:val="20"/>
          <w:lang w:val="es-AR" w:eastAsia="en-US"/>
        </w:rPr>
        <w:t xml:space="preserve">celebrada en </w:t>
      </w:r>
      <w:r w:rsidRPr="00EA7870">
        <w:rPr>
          <w:sz w:val="20"/>
          <w:szCs w:val="20"/>
          <w:lang w:val="es-AR" w:eastAsia="en-US"/>
        </w:rPr>
        <w:t>julio de 2018</w:t>
      </w:r>
      <w:r w:rsidR="002F0B42" w:rsidRPr="00EA7870">
        <w:rPr>
          <w:sz w:val="20"/>
          <w:szCs w:val="20"/>
          <w:lang w:val="es-AR" w:eastAsia="en-US"/>
        </w:rPr>
        <w:t>, y el presidente recientemente electo</w:t>
      </w:r>
      <w:r w:rsidR="00964667">
        <w:rPr>
          <w:sz w:val="20"/>
          <w:szCs w:val="20"/>
          <w:lang w:val="es-AR" w:eastAsia="en-US"/>
        </w:rPr>
        <w:t xml:space="preserve"> asumió</w:t>
      </w:r>
      <w:r w:rsidR="002F0B42" w:rsidRPr="00EA7870">
        <w:rPr>
          <w:sz w:val="20"/>
          <w:szCs w:val="20"/>
          <w:lang w:val="es-AR" w:eastAsia="en-US"/>
        </w:rPr>
        <w:t xml:space="preserve"> en funciones en diciembre de 2018</w:t>
      </w:r>
      <w:r w:rsidRPr="00EA7870">
        <w:rPr>
          <w:sz w:val="20"/>
          <w:szCs w:val="20"/>
          <w:lang w:val="es-AR" w:eastAsia="en-US"/>
        </w:rPr>
        <w:t xml:space="preserve">. Por lo que la Garante no puede garantizar que </w:t>
      </w:r>
      <w:r w:rsidR="00964667">
        <w:rPr>
          <w:sz w:val="20"/>
          <w:szCs w:val="20"/>
          <w:lang w:val="es-AR" w:eastAsia="en-US"/>
        </w:rPr>
        <w:t xml:space="preserve">la nueva administración pueda producir </w:t>
      </w:r>
      <w:r w:rsidRPr="00EA7870">
        <w:rPr>
          <w:sz w:val="20"/>
          <w:szCs w:val="20"/>
          <w:lang w:val="es-AR" w:eastAsia="en-US"/>
        </w:rPr>
        <w:t>cambios políticos que impacten el sector de petróleo y gas de México.</w:t>
      </w:r>
    </w:p>
    <w:p w14:paraId="7175C555" w14:textId="77777777" w:rsidR="00903D6B" w:rsidRPr="00EA7870" w:rsidRDefault="00903D6B" w:rsidP="00036374">
      <w:pPr>
        <w:autoSpaceDE w:val="0"/>
        <w:autoSpaceDN w:val="0"/>
        <w:adjustRightInd w:val="0"/>
        <w:jc w:val="both"/>
        <w:rPr>
          <w:sz w:val="20"/>
          <w:szCs w:val="20"/>
          <w:lang w:val="es-AR" w:eastAsia="en-US"/>
        </w:rPr>
      </w:pPr>
    </w:p>
    <w:p w14:paraId="57AC9B48" w14:textId="77777777" w:rsidR="006633FE" w:rsidRPr="00EA7870" w:rsidRDefault="006633FE" w:rsidP="006633FE">
      <w:pPr>
        <w:autoSpaceDE w:val="0"/>
        <w:autoSpaceDN w:val="0"/>
        <w:adjustRightInd w:val="0"/>
        <w:jc w:val="both"/>
        <w:rPr>
          <w:i/>
          <w:sz w:val="20"/>
          <w:szCs w:val="20"/>
          <w:u w:val="single"/>
          <w:lang w:val="es-AR" w:eastAsia="en-US"/>
        </w:rPr>
      </w:pPr>
      <w:r w:rsidRPr="00EA7870">
        <w:rPr>
          <w:i/>
          <w:sz w:val="20"/>
          <w:szCs w:val="20"/>
          <w:u w:val="single"/>
          <w:lang w:val="es-AR" w:eastAsia="en-US"/>
        </w:rPr>
        <w:t>Actualización de Factores de Riesgo relacionados con la Argentina</w:t>
      </w:r>
    </w:p>
    <w:p w14:paraId="13CDF16D" w14:textId="77777777" w:rsidR="006633FE" w:rsidRPr="00EA7870" w:rsidRDefault="006633FE" w:rsidP="006633FE">
      <w:pPr>
        <w:jc w:val="both"/>
        <w:rPr>
          <w:b/>
          <w:sz w:val="20"/>
          <w:szCs w:val="20"/>
          <w:lang w:val="es-AR" w:eastAsia="en-US"/>
        </w:rPr>
      </w:pPr>
    </w:p>
    <w:p w14:paraId="5EB39506" w14:textId="77777777" w:rsidR="006633FE" w:rsidRPr="00EA7870" w:rsidRDefault="006633FE" w:rsidP="006633FE">
      <w:pPr>
        <w:jc w:val="both"/>
        <w:rPr>
          <w:b/>
          <w:bCs/>
          <w:i/>
          <w:sz w:val="20"/>
          <w:szCs w:val="20"/>
          <w:lang w:val="es-AR" w:eastAsia="en-US"/>
        </w:rPr>
      </w:pPr>
      <w:r w:rsidRPr="00EA7870">
        <w:rPr>
          <w:b/>
          <w:bCs/>
          <w:i/>
          <w:sz w:val="20"/>
          <w:szCs w:val="20"/>
          <w:lang w:val="es-AR" w:eastAsia="en-US"/>
        </w:rPr>
        <w:t>Los negocios de la Sucursal dependen en gran medida de las condiciones macroeconómicas, políticas, regulatorias y sociales de Argentina</w:t>
      </w:r>
    </w:p>
    <w:p w14:paraId="2A68EA63" w14:textId="77777777" w:rsidR="006633FE" w:rsidRPr="00EA7870" w:rsidRDefault="006633FE" w:rsidP="006633FE">
      <w:pPr>
        <w:jc w:val="both"/>
        <w:rPr>
          <w:b/>
          <w:bCs/>
          <w:i/>
          <w:sz w:val="20"/>
          <w:szCs w:val="20"/>
          <w:lang w:val="es-AR" w:eastAsia="en-US"/>
        </w:rPr>
      </w:pPr>
    </w:p>
    <w:p w14:paraId="15F49E53" w14:textId="165F3D65" w:rsidR="006633FE" w:rsidRPr="00EA7870" w:rsidRDefault="006633FE" w:rsidP="006633FE">
      <w:pPr>
        <w:jc w:val="both"/>
        <w:rPr>
          <w:bCs/>
          <w:sz w:val="20"/>
          <w:szCs w:val="20"/>
          <w:lang w:val="es-AR" w:eastAsia="en-US"/>
        </w:rPr>
      </w:pPr>
      <w:r w:rsidRPr="00EA7870">
        <w:rPr>
          <w:bCs/>
          <w:sz w:val="20"/>
          <w:szCs w:val="20"/>
          <w:lang w:val="es-AR" w:eastAsia="en-US"/>
        </w:rPr>
        <w:t xml:space="preserve">Casi todas las operaciones, bienes y clientes de la Sucursal se encuentran, en su mayor parte, ubicados en Argentina y, por ende, los negocios de la Sucursal dependen en gran medida de las condiciones </w:t>
      </w:r>
      <w:r w:rsidRPr="00EA7870">
        <w:rPr>
          <w:bCs/>
          <w:sz w:val="20"/>
          <w:szCs w:val="20"/>
          <w:lang w:val="es-AR" w:eastAsia="en-US"/>
        </w:rPr>
        <w:lastRenderedPageBreak/>
        <w:t>macroeconómicas, políticas, regulatorias y sociales imperantes en Argentina. Los cambios en las condiciones económicas, políticas, regulatorias y sociales de Argentina y las medidas adoptadas por el gobierno argentino han tenido y se prevé que continuarán teniendo un impacto significativo sobre los negocios, los resultados de las operaciones y la situación patrimonial de la Sucursal. Argentina es un mercado emergente, e invertir en mercados de tal naturaleza generalmente conlleva riesgos adicionales. Los inversores deben efectuar sus propias evaluaciones acerca de Argentina y las condiciones imperantes en el país antes de tomar la decisión de invertir en las Obligaciones Negociables.</w:t>
      </w:r>
    </w:p>
    <w:p w14:paraId="646A9F21" w14:textId="77777777" w:rsidR="006633FE" w:rsidRPr="00EA7870" w:rsidRDefault="006633FE" w:rsidP="006633FE">
      <w:pPr>
        <w:jc w:val="both"/>
        <w:rPr>
          <w:bCs/>
          <w:sz w:val="20"/>
          <w:szCs w:val="20"/>
          <w:lang w:val="es-AR" w:eastAsia="en-US"/>
        </w:rPr>
      </w:pPr>
    </w:p>
    <w:p w14:paraId="6967B20B" w14:textId="5EC2F846" w:rsidR="006633FE" w:rsidRPr="00EA7870" w:rsidRDefault="006633FE" w:rsidP="006633FE">
      <w:pPr>
        <w:jc w:val="both"/>
        <w:rPr>
          <w:sz w:val="20"/>
          <w:szCs w:val="20"/>
          <w:lang w:val="es-AR" w:eastAsia="en-US"/>
        </w:rPr>
      </w:pPr>
      <w:r w:rsidRPr="00EA7870">
        <w:rPr>
          <w:bCs/>
          <w:sz w:val="20"/>
          <w:szCs w:val="20"/>
          <w:lang w:val="es-AR" w:eastAsia="en-US"/>
        </w:rPr>
        <w:t xml:space="preserve">La economía argentina ha experimentado una importante volatilidad en las últimas décadas, incluyendo múltiples períodos de crecimiento bajo o negativo, altos niveles de inflación y depreciación monetaria. De acuerdo con información revisada publicada por el </w:t>
      </w:r>
      <w:r w:rsidR="00964667">
        <w:rPr>
          <w:bCs/>
          <w:sz w:val="20"/>
          <w:szCs w:val="20"/>
          <w:lang w:val="es-AR" w:eastAsia="en-US"/>
        </w:rPr>
        <w:t>Instituto Nacional de Estadísticas y Censos (el “</w:t>
      </w:r>
      <w:r w:rsidR="00964667" w:rsidRPr="00AB4115">
        <w:rPr>
          <w:b/>
          <w:bCs/>
          <w:sz w:val="20"/>
          <w:szCs w:val="20"/>
          <w:lang w:val="es-AR" w:eastAsia="en-US"/>
        </w:rPr>
        <w:t>INDEC</w:t>
      </w:r>
      <w:r w:rsidR="00964667">
        <w:rPr>
          <w:bCs/>
          <w:sz w:val="20"/>
          <w:szCs w:val="20"/>
          <w:lang w:val="es-AR" w:eastAsia="en-US"/>
        </w:rPr>
        <w:t>”)</w:t>
      </w:r>
      <w:r w:rsidRPr="00EA7870">
        <w:rPr>
          <w:bCs/>
          <w:sz w:val="20"/>
          <w:szCs w:val="20"/>
          <w:lang w:val="es-AR" w:eastAsia="en-US"/>
        </w:rPr>
        <w:t>, el PBI real de Argentina creció un 2,4% en 2013, disminuyó un 2,5% en 2014, creció un 2,7% en 2015, disminuyó un 1,8% en 2016, creció un 2,9% en 2017 y disminuyó un 2,5% en 2018</w:t>
      </w:r>
      <w:r w:rsidRPr="00EA7870">
        <w:rPr>
          <w:sz w:val="20"/>
          <w:szCs w:val="20"/>
          <w:lang w:val="es-AR" w:eastAsia="en-US"/>
        </w:rPr>
        <w:t>. En el primer trimestre de 2019, el PBI evidenció una caída del 5,8% en relación con el mismo período del 2018. Para mayor información sobre las condiciones macroeconómicas de Argentina, véase “</w:t>
      </w:r>
      <w:r w:rsidRPr="00EA7870">
        <w:rPr>
          <w:i/>
          <w:iCs/>
          <w:sz w:val="20"/>
          <w:szCs w:val="20"/>
          <w:lang w:val="es-AR" w:eastAsia="en-US"/>
        </w:rPr>
        <w:t>Reseña y Perspectiva Operativa y Financiera</w:t>
      </w:r>
      <w:r w:rsidRPr="00EA7870">
        <w:rPr>
          <w:i/>
          <w:color w:val="000000" w:themeColor="text1"/>
          <w:sz w:val="20"/>
          <w:szCs w:val="20"/>
          <w:lang w:val="es-AR"/>
        </w:rPr>
        <w:t>—</w:t>
      </w:r>
      <w:r w:rsidRPr="00EA7870">
        <w:rPr>
          <w:i/>
          <w:iCs/>
          <w:sz w:val="20"/>
          <w:szCs w:val="20"/>
          <w:lang w:val="es-AR" w:eastAsia="en-US"/>
        </w:rPr>
        <w:t>Principales Factores que Afectan los Resultados de las Operaciones de la Sucursal</w:t>
      </w:r>
      <w:r w:rsidRPr="00EA7870">
        <w:rPr>
          <w:i/>
          <w:color w:val="000000" w:themeColor="text1"/>
          <w:sz w:val="20"/>
          <w:szCs w:val="20"/>
          <w:lang w:val="es-AR"/>
        </w:rPr>
        <w:t>—</w:t>
      </w:r>
      <w:r w:rsidRPr="00EA7870">
        <w:rPr>
          <w:i/>
          <w:iCs/>
          <w:sz w:val="20"/>
          <w:szCs w:val="20"/>
          <w:lang w:val="es-AR" w:eastAsia="en-US"/>
        </w:rPr>
        <w:t>Condiciones Macroeconómicas de Argentina</w:t>
      </w:r>
      <w:r w:rsidRPr="00EA7870">
        <w:rPr>
          <w:sz w:val="20"/>
          <w:szCs w:val="20"/>
          <w:lang w:val="es-AR" w:eastAsia="en-US"/>
        </w:rPr>
        <w:t>” en el Prospecto.</w:t>
      </w:r>
    </w:p>
    <w:p w14:paraId="4A262FE7" w14:textId="77777777" w:rsidR="006633FE" w:rsidRPr="00EA7870" w:rsidRDefault="006633FE" w:rsidP="006633FE">
      <w:pPr>
        <w:jc w:val="both"/>
        <w:rPr>
          <w:bCs/>
          <w:sz w:val="20"/>
          <w:szCs w:val="20"/>
          <w:lang w:val="es-AR" w:eastAsia="en-US"/>
        </w:rPr>
      </w:pPr>
    </w:p>
    <w:p w14:paraId="36089DF1" w14:textId="77777777" w:rsidR="006633FE" w:rsidRPr="00EA7870" w:rsidRDefault="006633FE" w:rsidP="006633FE">
      <w:pPr>
        <w:jc w:val="both"/>
        <w:rPr>
          <w:bCs/>
          <w:sz w:val="20"/>
          <w:szCs w:val="20"/>
          <w:lang w:val="es-AR" w:eastAsia="en-US"/>
        </w:rPr>
      </w:pPr>
      <w:r w:rsidRPr="00EA7870">
        <w:rPr>
          <w:bCs/>
          <w:sz w:val="20"/>
          <w:szCs w:val="20"/>
          <w:lang w:val="es-AR" w:eastAsia="en-US"/>
        </w:rPr>
        <w:t xml:space="preserve">Las condiciones económicas de Argentina dependen de diversos factores, entre los que corresponde hacer mención a los siguientes: (i) la producción nacional, la demanda internacional y los precios de las exportaciones de los principales </w:t>
      </w:r>
      <w:r w:rsidRPr="00EA7870">
        <w:rPr>
          <w:bCs/>
          <w:i/>
          <w:sz w:val="20"/>
          <w:szCs w:val="20"/>
          <w:lang w:val="es-AR" w:eastAsia="en-US"/>
        </w:rPr>
        <w:t>commodities</w:t>
      </w:r>
      <w:r w:rsidRPr="00EA7870">
        <w:rPr>
          <w:bCs/>
          <w:sz w:val="20"/>
          <w:szCs w:val="20"/>
          <w:lang w:val="es-AR" w:eastAsia="en-US"/>
        </w:rPr>
        <w:t xml:space="preserve"> de Argentina; (ii) la competitividad y eficiencia de las industrias y servicios nacionales; (iii) la estabilidad y competitividad del peso argentino respecto de otras monedas; (iv) la tasa de inflación; (v) el déficit fiscal del gobierno; (vi) los niveles de deuda pública del gobierno; (vii) la inversión y financiamiento nacional y del exterior; y (viii) las políticas de gobierno y el entorno legal y regulatorio. Algunas de las políticas de gobierno y la regulación </w:t>
      </w:r>
      <w:r w:rsidRPr="00EA7870">
        <w:rPr>
          <w:bCs/>
          <w:sz w:val="20"/>
          <w:szCs w:val="20"/>
          <w:lang w:val="es-AR" w:eastAsia="en-US"/>
        </w:rPr>
        <w:noBreakHyphen/>
        <w:t>que en ocasiones han sido implementadas a través de medidas informales y han estado sujetas a cambios radicales</w:t>
      </w:r>
      <w:r w:rsidRPr="00EA7870">
        <w:rPr>
          <w:bCs/>
          <w:sz w:val="20"/>
          <w:szCs w:val="20"/>
          <w:lang w:val="es-AR" w:eastAsia="en-US"/>
        </w:rPr>
        <w:noBreakHyphen/>
        <w:t xml:space="preserve"> que han tenido gran impacto en la economía de Argentina en el pasado han sido, entre otras: (i) la política monetaria, incluyendo los controles cambiarios, controles sobre los capitales, altas tasas de interés y una variedad de medidas para contener la inflación; (ii) restricciones a las exportaciones e importaciones; (iii) controles de precios; (iv) incrementos salariales obligatorios; (v) impuestos, y (vi) la intervención del gobierno en el sector privado.</w:t>
      </w:r>
    </w:p>
    <w:p w14:paraId="52F5B54C" w14:textId="77777777" w:rsidR="006633FE" w:rsidRPr="00EA7870" w:rsidRDefault="006633FE" w:rsidP="006633FE">
      <w:pPr>
        <w:jc w:val="both"/>
        <w:rPr>
          <w:sz w:val="20"/>
          <w:szCs w:val="20"/>
          <w:lang w:val="es-AR" w:eastAsia="en-US"/>
        </w:rPr>
      </w:pPr>
    </w:p>
    <w:p w14:paraId="26F05CBC" w14:textId="500E153C" w:rsidR="006633FE" w:rsidRPr="00EA7870" w:rsidRDefault="006633FE" w:rsidP="006633FE">
      <w:pPr>
        <w:jc w:val="both"/>
        <w:rPr>
          <w:sz w:val="20"/>
          <w:szCs w:val="20"/>
          <w:lang w:val="es-AR" w:eastAsia="en-US"/>
        </w:rPr>
      </w:pPr>
      <w:r w:rsidRPr="00EA7870">
        <w:rPr>
          <w:sz w:val="20"/>
          <w:szCs w:val="20"/>
          <w:lang w:val="es-AR" w:eastAsia="en-US"/>
        </w:rPr>
        <w:t>Las elecciones generales presidenciales y legislativas en Argentina tuvieron lugar el 27 de octubre de 2019</w:t>
      </w:r>
      <w:r w:rsidR="00881B62">
        <w:rPr>
          <w:sz w:val="20"/>
          <w:szCs w:val="20"/>
          <w:lang w:val="es-AR" w:eastAsia="en-US"/>
        </w:rPr>
        <w:t>,</w:t>
      </w:r>
      <w:r w:rsidRPr="00EA7870">
        <w:rPr>
          <w:sz w:val="20"/>
          <w:szCs w:val="20"/>
          <w:lang w:val="es-AR" w:eastAsia="en-US"/>
        </w:rPr>
        <w:t xml:space="preserve"> y de ellas </w:t>
      </w:r>
      <w:r w:rsidR="00CE59FD" w:rsidRPr="00EA7870">
        <w:rPr>
          <w:sz w:val="20"/>
          <w:szCs w:val="20"/>
          <w:lang w:val="es-AR" w:eastAsia="en-US"/>
        </w:rPr>
        <w:t>result</w:t>
      </w:r>
      <w:r w:rsidR="00497DB3" w:rsidRPr="00EA7870">
        <w:rPr>
          <w:sz w:val="20"/>
          <w:szCs w:val="20"/>
          <w:lang w:val="es-AR" w:eastAsia="en-US"/>
        </w:rPr>
        <w:t xml:space="preserve">ó </w:t>
      </w:r>
      <w:r w:rsidR="001C4A1A" w:rsidRPr="00EA7870">
        <w:rPr>
          <w:sz w:val="20"/>
          <w:szCs w:val="20"/>
          <w:lang w:val="es-AR" w:eastAsia="en-US"/>
        </w:rPr>
        <w:t>vencedora</w:t>
      </w:r>
      <w:r w:rsidR="00497DB3" w:rsidRPr="00EA7870">
        <w:rPr>
          <w:sz w:val="20"/>
          <w:szCs w:val="20"/>
          <w:lang w:val="es-AR" w:eastAsia="en-US"/>
        </w:rPr>
        <w:t xml:space="preserve"> la fórmula del Frente de Todos </w:t>
      </w:r>
      <w:r w:rsidR="00CE59FD" w:rsidRPr="00EA7870">
        <w:rPr>
          <w:sz w:val="20"/>
          <w:szCs w:val="20"/>
          <w:lang w:val="es-AR" w:eastAsia="en-US"/>
        </w:rPr>
        <w:t xml:space="preserve">para ocupar los cargos en el poder ejecutivo, </w:t>
      </w:r>
      <w:r w:rsidR="00497DB3" w:rsidRPr="00EA7870">
        <w:rPr>
          <w:sz w:val="20"/>
          <w:szCs w:val="20"/>
          <w:lang w:val="es-AR" w:eastAsia="en-US"/>
        </w:rPr>
        <w:t>compuesta</w:t>
      </w:r>
      <w:r w:rsidR="00CE59FD" w:rsidRPr="00EA7870">
        <w:rPr>
          <w:sz w:val="20"/>
          <w:szCs w:val="20"/>
          <w:lang w:val="es-AR" w:eastAsia="en-US"/>
        </w:rPr>
        <w:t xml:space="preserve"> por Alberto Fernández y Cristina Fernández de Kirchner, quienes asumirán los cargos de presidente y vicepresidente, respectivamente, el 10 de diciembre de 2019.</w:t>
      </w:r>
      <w:r w:rsidRPr="00EA7870">
        <w:rPr>
          <w:sz w:val="20"/>
          <w:szCs w:val="20"/>
          <w:lang w:val="es-AR" w:eastAsia="en-US"/>
        </w:rPr>
        <w:t xml:space="preserve"> </w:t>
      </w:r>
      <w:r w:rsidR="00497DB3" w:rsidRPr="00EA7870">
        <w:rPr>
          <w:sz w:val="20"/>
          <w:szCs w:val="20"/>
          <w:lang w:val="es-AR" w:eastAsia="en-US"/>
        </w:rPr>
        <w:t>En cuanto a los resultados legislativos,</w:t>
      </w:r>
      <w:r w:rsidR="00CE59FD" w:rsidRPr="00EA7870">
        <w:rPr>
          <w:sz w:val="20"/>
          <w:szCs w:val="20"/>
          <w:lang w:val="es-AR" w:eastAsia="en-US"/>
        </w:rPr>
        <w:t xml:space="preserve"> </w:t>
      </w:r>
      <w:r w:rsidR="00497DB3" w:rsidRPr="00EA7870">
        <w:rPr>
          <w:sz w:val="20"/>
          <w:szCs w:val="20"/>
          <w:lang w:val="es-AR" w:eastAsia="en-US"/>
        </w:rPr>
        <w:t>el Frente de Todos logró co</w:t>
      </w:r>
      <w:r w:rsidR="001C4A1A" w:rsidRPr="00EA7870">
        <w:rPr>
          <w:sz w:val="20"/>
          <w:szCs w:val="20"/>
          <w:lang w:val="es-AR" w:eastAsia="en-US"/>
        </w:rPr>
        <w:t>n</w:t>
      </w:r>
      <w:r w:rsidR="00497DB3" w:rsidRPr="00EA7870">
        <w:rPr>
          <w:sz w:val="20"/>
          <w:szCs w:val="20"/>
          <w:lang w:val="es-AR" w:eastAsia="en-US"/>
        </w:rPr>
        <w:t xml:space="preserve">servar la mayoría en la Cámara de Senadores mientras que </w:t>
      </w:r>
      <w:r w:rsidR="001C4A1A" w:rsidRPr="00EA7870">
        <w:rPr>
          <w:sz w:val="20"/>
          <w:szCs w:val="20"/>
          <w:lang w:val="es-AR" w:eastAsia="en-US"/>
        </w:rPr>
        <w:t>Juntos por el Cambio</w:t>
      </w:r>
      <w:r w:rsidR="00497DB3" w:rsidRPr="00EA7870">
        <w:rPr>
          <w:sz w:val="20"/>
          <w:szCs w:val="20"/>
          <w:lang w:val="es-AR" w:eastAsia="en-US"/>
        </w:rPr>
        <w:t xml:space="preserve"> logró retener la mayoría en la Cámara de Diputados.</w:t>
      </w:r>
    </w:p>
    <w:p w14:paraId="6E2259A2" w14:textId="77777777" w:rsidR="006633FE" w:rsidRPr="00EA7870" w:rsidRDefault="006633FE" w:rsidP="006633FE">
      <w:pPr>
        <w:jc w:val="both"/>
        <w:rPr>
          <w:sz w:val="20"/>
          <w:szCs w:val="20"/>
          <w:lang w:val="es-AR" w:eastAsia="en-US"/>
        </w:rPr>
      </w:pPr>
    </w:p>
    <w:p w14:paraId="36D584AD" w14:textId="76CD178F" w:rsidR="006633FE" w:rsidRPr="00EA7870" w:rsidRDefault="006633FE" w:rsidP="006633FE">
      <w:pPr>
        <w:jc w:val="both"/>
        <w:rPr>
          <w:sz w:val="20"/>
          <w:szCs w:val="20"/>
          <w:lang w:val="es-AR" w:eastAsia="en-US"/>
        </w:rPr>
      </w:pPr>
      <w:r w:rsidRPr="00EA7870">
        <w:rPr>
          <w:sz w:val="20"/>
          <w:szCs w:val="20"/>
          <w:lang w:val="es-AR" w:eastAsia="en-US"/>
        </w:rPr>
        <w:t>La incertidumbre política en Argentina respecto de las medidas que adoptará el futuro gobierno podría causar volatilidad en los precios de mercado de los títulos de las emisoras argentinas. El gobierno electo podrá implementar cambios en las políticas y regulaciones actuales o mantener las existentes.</w:t>
      </w:r>
    </w:p>
    <w:p w14:paraId="384FBF2F" w14:textId="77777777" w:rsidR="006633FE" w:rsidRPr="00EA7870" w:rsidRDefault="006633FE" w:rsidP="006633FE">
      <w:pPr>
        <w:jc w:val="both"/>
        <w:rPr>
          <w:sz w:val="20"/>
          <w:szCs w:val="20"/>
          <w:lang w:val="es-AR" w:eastAsia="en-US"/>
        </w:rPr>
      </w:pPr>
    </w:p>
    <w:p w14:paraId="56BF3AEA" w14:textId="1E882D35" w:rsidR="00036374" w:rsidRPr="00EA7870" w:rsidRDefault="006633FE" w:rsidP="00E37F0A">
      <w:pPr>
        <w:jc w:val="both"/>
        <w:rPr>
          <w:sz w:val="20"/>
          <w:szCs w:val="20"/>
          <w:lang w:val="es-AR" w:eastAsia="en-US"/>
        </w:rPr>
      </w:pPr>
      <w:r w:rsidRPr="00EA7870">
        <w:rPr>
          <w:sz w:val="20"/>
          <w:szCs w:val="20"/>
          <w:lang w:val="es-AR" w:eastAsia="en-US"/>
        </w:rPr>
        <w:t xml:space="preserve">La </w:t>
      </w:r>
      <w:r w:rsidRPr="00EA7870">
        <w:rPr>
          <w:bCs/>
          <w:sz w:val="20"/>
          <w:szCs w:val="20"/>
          <w:lang w:val="es-AR" w:eastAsia="en-US"/>
        </w:rPr>
        <w:t>Sucursal</w:t>
      </w:r>
      <w:r w:rsidRPr="00EA7870">
        <w:rPr>
          <w:sz w:val="20"/>
          <w:szCs w:val="20"/>
          <w:lang w:val="es-AR" w:eastAsia="en-US"/>
        </w:rPr>
        <w:t xml:space="preserve"> no puede asegurar que los acontecimientos de Argentina no afectarán las condiciones macroeconómicas, políticas, regulatorias o sociales del país y, en consecuencia, que no afectarán los negocios, resultados de las operaciones y la situación financiera de la Sucursal.</w:t>
      </w:r>
    </w:p>
    <w:p w14:paraId="1962BC91" w14:textId="77777777" w:rsidR="006633FE" w:rsidRPr="00EA7870" w:rsidRDefault="006633FE" w:rsidP="00036374">
      <w:pPr>
        <w:autoSpaceDE w:val="0"/>
        <w:autoSpaceDN w:val="0"/>
        <w:adjustRightInd w:val="0"/>
        <w:jc w:val="both"/>
        <w:rPr>
          <w:sz w:val="20"/>
          <w:szCs w:val="20"/>
          <w:lang w:val="es-AR" w:eastAsia="en-US"/>
        </w:rPr>
      </w:pPr>
    </w:p>
    <w:p w14:paraId="0144047E" w14:textId="77777777" w:rsidR="00036374" w:rsidRPr="00EA7870" w:rsidRDefault="00036374" w:rsidP="00036374">
      <w:pPr>
        <w:jc w:val="both"/>
        <w:rPr>
          <w:sz w:val="20"/>
          <w:szCs w:val="20"/>
        </w:rPr>
      </w:pPr>
      <w:r w:rsidRPr="00EA7870">
        <w:rPr>
          <w:i/>
          <w:sz w:val="20"/>
          <w:szCs w:val="20"/>
          <w:u w:val="single"/>
        </w:rPr>
        <w:t>Factores de Riesgo Relacionados con las Obligaciones Negociables y la Garantía</w:t>
      </w:r>
      <w:r w:rsidRPr="00EA7870">
        <w:rPr>
          <w:sz w:val="20"/>
          <w:szCs w:val="20"/>
        </w:rPr>
        <w:t>:</w:t>
      </w:r>
    </w:p>
    <w:p w14:paraId="296D1550" w14:textId="77777777" w:rsidR="00036374" w:rsidRPr="00EA7870" w:rsidRDefault="00036374" w:rsidP="00036374">
      <w:pPr>
        <w:jc w:val="both"/>
        <w:rPr>
          <w:sz w:val="20"/>
          <w:szCs w:val="20"/>
        </w:rPr>
      </w:pPr>
    </w:p>
    <w:p w14:paraId="58D7791A" w14:textId="77777777" w:rsidR="00036374" w:rsidRPr="00EA7870" w:rsidRDefault="00036374" w:rsidP="00036374">
      <w:pPr>
        <w:keepNext/>
        <w:spacing w:after="240"/>
        <w:jc w:val="both"/>
        <w:rPr>
          <w:b/>
          <w:i/>
          <w:sz w:val="20"/>
          <w:szCs w:val="20"/>
          <w:lang w:val="es-AR" w:eastAsia="en-US"/>
        </w:rPr>
      </w:pPr>
      <w:r w:rsidRPr="00EA7870">
        <w:rPr>
          <w:b/>
          <w:i/>
          <w:sz w:val="20"/>
          <w:szCs w:val="20"/>
          <w:lang w:val="es-AR" w:eastAsia="en-US"/>
        </w:rPr>
        <w:t>Las Obligaciones Negociables estarán sujetas a restricciones sobre la transferencia que podrán afectar adversamente su valor y limitar la capacidad de los inversores de revender las Obligaciones Negociables</w:t>
      </w:r>
    </w:p>
    <w:p w14:paraId="5D4DB405" w14:textId="65D72330" w:rsidR="00036374" w:rsidRPr="00EA7870" w:rsidRDefault="00036374" w:rsidP="00036374">
      <w:pPr>
        <w:spacing w:after="240"/>
        <w:jc w:val="both"/>
        <w:rPr>
          <w:sz w:val="20"/>
          <w:szCs w:val="20"/>
          <w:lang w:val="es-AR" w:eastAsia="en-US"/>
        </w:rPr>
      </w:pPr>
      <w:r w:rsidRPr="00EA7870">
        <w:rPr>
          <w:sz w:val="20"/>
          <w:szCs w:val="20"/>
          <w:lang w:val="es-AR" w:eastAsia="en-US"/>
        </w:rPr>
        <w:t>Las Obligaciones Negociables no han sido registradas bajo la Ley de Títulos Valores de los Estados Unidos ni bajo ninguna ley en materia de títulos valores de ninguna otra jurisdicción, y no se requiere a la Emisora y la Emisora no tiene previsto en la actualidad realizar dicho registro en el futuro inmediato</w:t>
      </w:r>
      <w:r w:rsidR="009E21A0" w:rsidRPr="00EA7870">
        <w:rPr>
          <w:sz w:val="20"/>
          <w:szCs w:val="20"/>
          <w:lang w:val="es-AR" w:eastAsia="en-US"/>
        </w:rPr>
        <w:t>, excepto en la Argentina</w:t>
      </w:r>
      <w:r w:rsidRPr="00EA7870">
        <w:rPr>
          <w:sz w:val="20"/>
          <w:szCs w:val="20"/>
          <w:lang w:val="es-AR" w:eastAsia="en-US"/>
        </w:rPr>
        <w:t xml:space="preserve">. Las Obligaciones Negociables no pueden ofrecerse ni venderse salvo en virtud de una exención de los requisitos de registro o en una operación que no esté sujeta a los requisitos de registro de la Ley de Títulos Valores de los Estados Unidos y las leyes aplicables en materia de títulos valores de cualquier otra jurisdicción. Dichas exenciones incluyen ofertas y ventas que tienen lugar fuera de Estados Unidos para personas no estadounidenses en cumplimiento de la Regulación S y de acuerdo con cualquier ley aplicable </w:t>
      </w:r>
      <w:r w:rsidRPr="00EA7870">
        <w:rPr>
          <w:sz w:val="20"/>
          <w:szCs w:val="20"/>
          <w:lang w:val="es-AR" w:eastAsia="en-US"/>
        </w:rPr>
        <w:lastRenderedPageBreak/>
        <w:t xml:space="preserve">en materia de títulos valores de cualquier otra jurisdicción, y las ventas a </w:t>
      </w:r>
      <w:r w:rsidR="001A7235" w:rsidRPr="00EA7870">
        <w:rPr>
          <w:sz w:val="20"/>
          <w:szCs w:val="20"/>
          <w:lang w:val="es-AR" w:eastAsia="en-US"/>
        </w:rPr>
        <w:t>inversores acreditados</w:t>
      </w:r>
      <w:r w:rsidR="00742C86" w:rsidRPr="00EA7870">
        <w:rPr>
          <w:sz w:val="20"/>
          <w:szCs w:val="20"/>
          <w:lang w:val="es-AR" w:eastAsia="en-US"/>
        </w:rPr>
        <w:t xml:space="preserve"> institucionales</w:t>
      </w:r>
      <w:r w:rsidRPr="00EA7870">
        <w:rPr>
          <w:sz w:val="20"/>
          <w:szCs w:val="20"/>
          <w:lang w:val="es-AR" w:eastAsia="en-US"/>
        </w:rPr>
        <w:t xml:space="preserve"> de Estados Unidos </w:t>
      </w:r>
      <w:r w:rsidR="002370A4" w:rsidRPr="00EA7870">
        <w:rPr>
          <w:sz w:val="20"/>
          <w:szCs w:val="20"/>
          <w:lang w:val="es-AR" w:eastAsia="en-US"/>
        </w:rPr>
        <w:t>(</w:t>
      </w:r>
      <w:r w:rsidRPr="00EA7870">
        <w:rPr>
          <w:sz w:val="20"/>
          <w:szCs w:val="20"/>
          <w:lang w:val="es-AR" w:eastAsia="en-US"/>
        </w:rPr>
        <w:t>conforme</w:t>
      </w:r>
      <w:r w:rsidR="002370A4" w:rsidRPr="00EA7870">
        <w:rPr>
          <w:sz w:val="20"/>
          <w:szCs w:val="20"/>
          <w:lang w:val="es-AR" w:eastAsia="en-US"/>
        </w:rPr>
        <w:t xml:space="preserve"> dicho término</w:t>
      </w:r>
      <w:r w:rsidRPr="00EA7870">
        <w:rPr>
          <w:sz w:val="20"/>
          <w:szCs w:val="20"/>
          <w:lang w:val="es-AR" w:eastAsia="en-US"/>
        </w:rPr>
        <w:t xml:space="preserve"> se define bajo la </w:t>
      </w:r>
      <w:r w:rsidR="001A7235" w:rsidRPr="00EA7870">
        <w:rPr>
          <w:sz w:val="20"/>
          <w:szCs w:val="20"/>
          <w:lang w:val="es-AR" w:eastAsia="en-US"/>
        </w:rPr>
        <w:t>R</w:t>
      </w:r>
      <w:r w:rsidR="007B0502" w:rsidRPr="00EA7870">
        <w:rPr>
          <w:sz w:val="20"/>
          <w:szCs w:val="20"/>
          <w:lang w:val="es-AR" w:eastAsia="en-US"/>
        </w:rPr>
        <w:t>egla</w:t>
      </w:r>
      <w:r w:rsidR="001A7235" w:rsidRPr="00EA7870">
        <w:rPr>
          <w:sz w:val="20"/>
          <w:szCs w:val="20"/>
          <w:lang w:val="es-AR" w:eastAsia="en-US"/>
        </w:rPr>
        <w:t xml:space="preserve"> 501(a) de la Regula</w:t>
      </w:r>
      <w:r w:rsidR="007B0502" w:rsidRPr="00EA7870">
        <w:rPr>
          <w:sz w:val="20"/>
          <w:szCs w:val="20"/>
          <w:lang w:val="es-AR" w:eastAsia="en-US"/>
        </w:rPr>
        <w:t>c</w:t>
      </w:r>
      <w:r w:rsidR="001A7235" w:rsidRPr="00EA7870">
        <w:rPr>
          <w:sz w:val="20"/>
          <w:szCs w:val="20"/>
          <w:lang w:val="es-AR" w:eastAsia="en-US"/>
        </w:rPr>
        <w:t>i</w:t>
      </w:r>
      <w:r w:rsidR="007B0502" w:rsidRPr="00EA7870">
        <w:rPr>
          <w:sz w:val="20"/>
          <w:szCs w:val="20"/>
          <w:lang w:val="es-AR" w:eastAsia="en-US"/>
        </w:rPr>
        <w:t>ó</w:t>
      </w:r>
      <w:r w:rsidR="001A7235" w:rsidRPr="00EA7870">
        <w:rPr>
          <w:sz w:val="20"/>
          <w:szCs w:val="20"/>
          <w:lang w:val="es-AR" w:eastAsia="en-US"/>
        </w:rPr>
        <w:t>n D de la Ley de Títulos Valores de los Estados Unidos</w:t>
      </w:r>
      <w:r w:rsidR="002370A4" w:rsidRPr="00EA7870">
        <w:rPr>
          <w:sz w:val="20"/>
          <w:szCs w:val="20"/>
          <w:lang w:val="es-AR" w:eastAsia="en-US"/>
        </w:rPr>
        <w:t>)</w:t>
      </w:r>
      <w:r w:rsidRPr="00EA7870">
        <w:rPr>
          <w:sz w:val="20"/>
          <w:szCs w:val="20"/>
          <w:lang w:val="es-AR" w:eastAsia="en-US"/>
        </w:rPr>
        <w:t>. Asimismo, los inversores deben tener en cuenta que podrían tener que asumir los riesgos financieros de esta inversión por un período de tiempo indefinido y podrían existir restricciones adicionales bajo las leyes de otras jurisdicciones donde puedan venderse las Obligaciones Negociables.</w:t>
      </w:r>
    </w:p>
    <w:p w14:paraId="0900169C" w14:textId="77777777" w:rsidR="00036374" w:rsidRPr="00EA7870" w:rsidRDefault="00036374" w:rsidP="00036374">
      <w:pPr>
        <w:spacing w:after="240"/>
        <w:jc w:val="both"/>
        <w:rPr>
          <w:b/>
          <w:i/>
          <w:sz w:val="20"/>
          <w:szCs w:val="20"/>
          <w:lang w:val="es-AR" w:eastAsia="en-US"/>
        </w:rPr>
      </w:pPr>
      <w:r w:rsidRPr="00EA7870">
        <w:rPr>
          <w:b/>
          <w:i/>
          <w:sz w:val="20"/>
          <w:szCs w:val="20"/>
          <w:lang w:val="es-AR" w:eastAsia="en-US"/>
        </w:rPr>
        <w:t>Las Obligaciones Negociables y la Garantía estarán efectivamente subordinadas a la deuda garantizada de la Sucursal y de Pan American, respectivamente, y a los pasivos existentes y futuros de las subsidiarias de Pan American, según corresponda</w:t>
      </w:r>
    </w:p>
    <w:p w14:paraId="63701CA3" w14:textId="77777777" w:rsidR="00036374" w:rsidRPr="00EA7870" w:rsidRDefault="00036374" w:rsidP="00036374">
      <w:pPr>
        <w:spacing w:after="240"/>
        <w:jc w:val="both"/>
        <w:rPr>
          <w:sz w:val="20"/>
          <w:szCs w:val="20"/>
          <w:lang w:val="es-AR" w:eastAsia="en-US"/>
        </w:rPr>
      </w:pPr>
      <w:r w:rsidRPr="00EA7870">
        <w:rPr>
          <w:sz w:val="20"/>
          <w:szCs w:val="20"/>
          <w:lang w:val="es-AR" w:eastAsia="en-US"/>
        </w:rPr>
        <w:t xml:space="preserve">Las Obligaciones Negociables y la Garantía constituirán obligaciones no garantizadas y no subordinadas de la Emisora y Pan American, respectivamente, y gozarán de igual prioridad de pago, sin ninguna preferencia entre sí, que todas las demás obligaciones de deuda no garantizadas y no subordinadas, presentes y futuras, de la Emisora y Pan American (distintas de las obligaciones con preferencia por imperio de ley). Bajo la Ley </w:t>
      </w:r>
      <w:r w:rsidR="00D97AF6" w:rsidRPr="00EA7870">
        <w:rPr>
          <w:sz w:val="20"/>
          <w:szCs w:val="20"/>
          <w:lang w:val="es-AR" w:eastAsia="en-US"/>
        </w:rPr>
        <w:t>N°24.522 y sus modificatorias (la “</w:t>
      </w:r>
      <w:r w:rsidR="00D97AF6" w:rsidRPr="00EA7870">
        <w:rPr>
          <w:b/>
          <w:sz w:val="20"/>
          <w:szCs w:val="20"/>
          <w:lang w:val="es-AR" w:eastAsia="en-US"/>
        </w:rPr>
        <w:t>Ley de Concursos y Quiebras</w:t>
      </w:r>
      <w:r w:rsidR="00D97AF6" w:rsidRPr="00EA7870">
        <w:rPr>
          <w:sz w:val="20"/>
          <w:szCs w:val="20"/>
          <w:lang w:val="es-AR" w:eastAsia="en-US"/>
        </w:rPr>
        <w:t>”)</w:t>
      </w:r>
      <w:r w:rsidRPr="00EA7870">
        <w:rPr>
          <w:sz w:val="20"/>
          <w:szCs w:val="20"/>
          <w:lang w:val="es-AR" w:eastAsia="en-US"/>
        </w:rPr>
        <w:t>, las obligaciones en virtud de las Obligaciones Negociables están subordinadas a ciertas preferencias establecidas por ley, que incluyen créditos por salarios, jornales, previsionales, por impuestos y costas y gastos judiciales. Si la Emisora o la Garante estuvieran sujetas a un procedimiento de quiebra, concursal o un acuerdo preventivo extrajudicial o un proceso equivalente, los derechos de los tenedores de las Obligaciones Negociables estarán subordinados a las preferencias legales anteriores y como resultado de ello, la capacidad de la Emisora y de Pan American, según fuera el caso, de pagar los montos pendientes de cancelación en virtud de las Obligaciones Negociables y la Garantía podría verse afectada.</w:t>
      </w:r>
    </w:p>
    <w:p w14:paraId="5F077B5F" w14:textId="77777777" w:rsidR="00036374" w:rsidRPr="00EA7870" w:rsidRDefault="00036374" w:rsidP="00036374">
      <w:pPr>
        <w:spacing w:after="240"/>
        <w:jc w:val="both"/>
        <w:rPr>
          <w:sz w:val="20"/>
          <w:szCs w:val="20"/>
          <w:lang w:val="es-AR" w:eastAsia="en-US"/>
        </w:rPr>
      </w:pPr>
      <w:r w:rsidRPr="00EA7870">
        <w:rPr>
          <w:sz w:val="20"/>
          <w:szCs w:val="20"/>
          <w:lang w:val="es-AR" w:eastAsia="en-US"/>
        </w:rPr>
        <w:t xml:space="preserve">Las Obligaciones Negociables y la Garantía no se encuentran garantizadas por los bienes de la Emisora ni de Pan American. Cualquier reclamo futuro de acreedores garantizados respecto de los activos de la Emisora o Pan American que garanticen sus préstamos tendrá prioridad de pago respecto de cualquier reclamo de los tenedores de las Obligaciones Negociables respecto de dichos activos. </w:t>
      </w:r>
    </w:p>
    <w:p w14:paraId="3D14C367" w14:textId="77777777" w:rsidR="00036374" w:rsidRPr="00EA7870" w:rsidRDefault="00036374" w:rsidP="00036374">
      <w:pPr>
        <w:keepLines/>
        <w:spacing w:after="240"/>
        <w:jc w:val="both"/>
        <w:rPr>
          <w:sz w:val="20"/>
          <w:szCs w:val="20"/>
          <w:lang w:val="es-AR" w:eastAsia="en-US"/>
        </w:rPr>
      </w:pPr>
      <w:r w:rsidRPr="00EA7870">
        <w:rPr>
          <w:sz w:val="20"/>
          <w:szCs w:val="20"/>
          <w:lang w:val="es-AR" w:eastAsia="en-US"/>
        </w:rPr>
        <w:t>Las subsidiarias de Pan American son personas jurídicas separadas y distintas de la Emisora y Pan American. No tienen obligación alguna de pagar los montos adeudados en virtud de las Obligaciones Negociables ni de otorgar fondos a Pan American o a la Emisora para cumplir con sus obligaciones de pago de las Obligaciones Negociables, ya fuera en forma de dividendos, distribuciones, préstamos, garantías u otros pagos. Asimismo, cualquier pago de dividendos, préstamos o adelantos por parte de las subsidiarias de Pan American podría estar sujeto a restricciones legales o contractuales. Los pagos a Pan American y la Emisora por parte de las subsidiarias de Pan American también dependerán de las ganancias y consideraciones comerciales de las subsidiarias. El derecho de Pan American a recibir activos de cualquiera de sus subsidiarias en caso de producirse su quiebra, concurso o liquidación, y, en consecuencia, el derecho de los tenedores de las Obligaciones Negociables a participar en tales activos, estarán subordinados efectivamente a los reclamos de los acreedores de tal subsidiaria, incluso aquellos de los acreedores comerciales.</w:t>
      </w:r>
    </w:p>
    <w:p w14:paraId="609922BA" w14:textId="77777777" w:rsidR="002370A4" w:rsidRPr="00EA7870" w:rsidRDefault="002370A4" w:rsidP="002370A4">
      <w:pPr>
        <w:spacing w:after="240"/>
        <w:jc w:val="both"/>
        <w:rPr>
          <w:b/>
          <w:i/>
          <w:sz w:val="20"/>
          <w:szCs w:val="20"/>
          <w:lang w:val="es-AR" w:eastAsia="en-US"/>
        </w:rPr>
      </w:pPr>
      <w:r w:rsidRPr="00EA7870">
        <w:rPr>
          <w:b/>
          <w:i/>
          <w:sz w:val="20"/>
          <w:szCs w:val="20"/>
          <w:lang w:val="es-AR" w:eastAsia="en-US"/>
        </w:rPr>
        <w:t>No puede garantizarse que las calificaciones de riesgo asignadas a la Emisora o a las Obligaciones Negociables no serán objeto de una disminución, suspensión o retiro por parte de las agencias calificadoras y las calificaciones crediticias podrían no reflejar todos los riesgos de invertir en la Obligaciones Negociables</w:t>
      </w:r>
    </w:p>
    <w:p w14:paraId="6DD63161" w14:textId="77777777" w:rsidR="002370A4" w:rsidRPr="00EA7870" w:rsidRDefault="002370A4" w:rsidP="002370A4">
      <w:pPr>
        <w:spacing w:after="240"/>
        <w:jc w:val="both"/>
        <w:rPr>
          <w:sz w:val="20"/>
          <w:szCs w:val="20"/>
          <w:lang w:val="es-AR" w:eastAsia="en-US"/>
        </w:rPr>
      </w:pPr>
      <w:r w:rsidRPr="00EA7870">
        <w:rPr>
          <w:sz w:val="20"/>
          <w:szCs w:val="20"/>
          <w:lang w:val="es-AR" w:eastAsia="en-US"/>
        </w:rPr>
        <w:t>Las calificaciones de riesgo asignadas a la Emisora o a las Obligaciones Negociables, si corresponde, representan una evaluación por parte de las agencias calificadoras de riesgo de renombre internacional de la capacidad de la Emisora de pagar sus deudas a su vencimiento. En consecuencia, cualquier disminución o retiro de una calificación por parte de una agencia calificadora podría reducir la liquidez o el valor de mercado de las Obligaciones Negociables. Estas calificaciones crediticias podrían no reflejar el posible impacto de los riesgos relacionados con la estructura o la comerciabilidad de las Obligaciones Negociables. Una calificación asignada podría incrementarse o disminuirse dependiendo, entre otras cuestiones, de la evaluación realizada por la agencia calificadora respectiva de su solidez financiera, así como de su evaluación del riesgo soberano de los países en los que la Emisora opera generalmente. La baja, la suspensión o el retiro de dichas calificaciones podría tener un efecto negativo sobre el precio de mercado y la comerciabilidad de las Obligaciones Negociables.</w:t>
      </w:r>
    </w:p>
    <w:p w14:paraId="4D314116" w14:textId="77777777" w:rsidR="007761FA" w:rsidRPr="00EA7870" w:rsidRDefault="002370A4" w:rsidP="00036374">
      <w:pPr>
        <w:keepLines/>
        <w:spacing w:after="240"/>
        <w:jc w:val="both"/>
        <w:rPr>
          <w:sz w:val="20"/>
          <w:szCs w:val="20"/>
          <w:lang w:val="es-AR" w:eastAsia="en-US"/>
        </w:rPr>
      </w:pPr>
      <w:r w:rsidRPr="00EA7870">
        <w:rPr>
          <w:sz w:val="20"/>
          <w:szCs w:val="20"/>
          <w:lang w:val="es-AR" w:eastAsia="en-US"/>
        </w:rPr>
        <w:lastRenderedPageBreak/>
        <w:t>Las calificaciones no constituyen una recomendación para comprar, vender o mantener títulos valores, y pueden ser modificadas o retiradas en cualquier momento por la agencia que las emite, y las calificaciones no emiten juicio sobre el precio de mercado o la conveniencia para un inversor particular. La calificación de cada agencia debe evaluarse en forma independiente de la de cualquier otra agencia. La Emisora no puede asegurar que la calificación de las Obligaciones Negociables permanecerá vigente por un período de tiempo determinado o que la calificación no será objeto de una disminución, suspensión o retiro en su totalidad por parte de una o más agencias calificadoras si, a criterio de dichas agencias calificadoras, las circunstancias lo justifican.</w:t>
      </w:r>
    </w:p>
    <w:p w14:paraId="759AC3BA" w14:textId="77777777" w:rsidR="00036374" w:rsidRPr="00EA7870" w:rsidRDefault="00036374" w:rsidP="00036374">
      <w:pPr>
        <w:keepLines/>
        <w:spacing w:after="240"/>
        <w:jc w:val="both"/>
        <w:rPr>
          <w:b/>
          <w:i/>
          <w:sz w:val="20"/>
          <w:szCs w:val="20"/>
          <w:lang w:val="es-AR" w:eastAsia="en-US"/>
        </w:rPr>
      </w:pPr>
      <w:r w:rsidRPr="00EA7870">
        <w:rPr>
          <w:b/>
          <w:i/>
          <w:sz w:val="20"/>
          <w:szCs w:val="20"/>
          <w:lang w:val="es-AR" w:eastAsia="en-US"/>
        </w:rPr>
        <w:t>La Emisora podría rescatar las Obligaciones Negociables antes de su vencimiento</w:t>
      </w:r>
    </w:p>
    <w:p w14:paraId="4D53B580" w14:textId="3D0998F6" w:rsidR="00036374" w:rsidRPr="00EA7870" w:rsidRDefault="00036374" w:rsidP="00036374">
      <w:pPr>
        <w:keepLines/>
        <w:spacing w:after="240"/>
        <w:jc w:val="both"/>
        <w:rPr>
          <w:sz w:val="20"/>
          <w:szCs w:val="20"/>
          <w:lang w:val="es-AR" w:eastAsia="en-US"/>
        </w:rPr>
      </w:pPr>
      <w:r w:rsidRPr="00EA7870">
        <w:rPr>
          <w:sz w:val="20"/>
          <w:szCs w:val="20"/>
          <w:lang w:val="es-AR" w:eastAsia="en-US"/>
        </w:rPr>
        <w:t xml:space="preserve">Las Obligaciones Negociables </w:t>
      </w:r>
      <w:r w:rsidR="00BB7D33">
        <w:rPr>
          <w:sz w:val="20"/>
          <w:szCs w:val="20"/>
          <w:lang w:val="es-AR" w:eastAsia="en-US"/>
        </w:rPr>
        <w:t>podrán</w:t>
      </w:r>
      <w:r w:rsidR="00BB7D33" w:rsidRPr="00EA7870">
        <w:rPr>
          <w:sz w:val="20"/>
          <w:szCs w:val="20"/>
          <w:lang w:val="es-AR" w:eastAsia="en-US"/>
        </w:rPr>
        <w:t xml:space="preserve"> </w:t>
      </w:r>
      <w:r w:rsidRPr="00EA7870">
        <w:rPr>
          <w:sz w:val="20"/>
          <w:szCs w:val="20"/>
          <w:lang w:val="es-AR" w:eastAsia="en-US"/>
        </w:rPr>
        <w:t xml:space="preserve">ser rescatadas </w:t>
      </w:r>
      <w:r w:rsidR="00BB7D33">
        <w:rPr>
          <w:sz w:val="20"/>
          <w:szCs w:val="20"/>
          <w:lang w:val="es-AR" w:eastAsia="en-US"/>
        </w:rPr>
        <w:t>total o parcialmente</w:t>
      </w:r>
      <w:r w:rsidRPr="00EA7870">
        <w:rPr>
          <w:sz w:val="20"/>
          <w:szCs w:val="20"/>
          <w:lang w:val="es-AR" w:eastAsia="en-US"/>
        </w:rPr>
        <w:t xml:space="preserve"> a opción de la Emisora bajo ciertas circunstancias específicas detalladas en “</w:t>
      </w:r>
      <w:r w:rsidRPr="00EA7870">
        <w:rPr>
          <w:i/>
          <w:sz w:val="20"/>
          <w:szCs w:val="20"/>
          <w:lang w:val="es-AR" w:eastAsia="en-US"/>
        </w:rPr>
        <w:t>Descripción de las Obligaciones Negociables</w:t>
      </w:r>
      <w:r w:rsidRPr="00EA7870">
        <w:rPr>
          <w:sz w:val="20"/>
          <w:szCs w:val="20"/>
          <w:lang w:val="es-AR" w:eastAsia="en-US"/>
        </w:rPr>
        <w:t>”, en el presente Suplemento. En consecuencia, un inversor podría no ser capaz de reinvertir los fondos del rescate en un título valor similar a una tasa de interés efectiva igual a la de las Obligaciones Negociables.</w:t>
      </w:r>
    </w:p>
    <w:p w14:paraId="1F66BDF4" w14:textId="77777777" w:rsidR="00036374" w:rsidRPr="00EA7870" w:rsidRDefault="00036374" w:rsidP="00036374">
      <w:pPr>
        <w:spacing w:after="240"/>
        <w:jc w:val="both"/>
        <w:rPr>
          <w:b/>
          <w:i/>
          <w:sz w:val="20"/>
          <w:szCs w:val="20"/>
          <w:lang w:val="es-AR" w:eastAsia="en-US"/>
        </w:rPr>
      </w:pPr>
      <w:r w:rsidRPr="00EA7870">
        <w:rPr>
          <w:b/>
          <w:i/>
          <w:sz w:val="20"/>
          <w:szCs w:val="20"/>
          <w:lang w:val="es-AR" w:eastAsia="en-US"/>
        </w:rPr>
        <w:t>Podría resultar dificultoso para los tenedores de Obligaciones Negociables ejecutar sentencias contra la Emisora, Pan American, los directores de Pan American o los gerentes de primera línea de la Emisora</w:t>
      </w:r>
    </w:p>
    <w:p w14:paraId="4391F3EF" w14:textId="77777777" w:rsidR="00036374" w:rsidRPr="00EA7870" w:rsidRDefault="00036374" w:rsidP="00036374">
      <w:pPr>
        <w:spacing w:after="240"/>
        <w:jc w:val="both"/>
        <w:rPr>
          <w:sz w:val="20"/>
          <w:szCs w:val="20"/>
          <w:lang w:val="es-AR" w:eastAsia="en-US"/>
        </w:rPr>
      </w:pPr>
      <w:r w:rsidRPr="00EA7870">
        <w:rPr>
          <w:sz w:val="20"/>
          <w:szCs w:val="20"/>
          <w:lang w:val="es-AR" w:eastAsia="en-US"/>
        </w:rPr>
        <w:t xml:space="preserve">La Emisora es una sucursal argentina de la Garante. La Garante es una </w:t>
      </w:r>
      <w:r w:rsidR="009E21A0" w:rsidRPr="00EA7870">
        <w:rPr>
          <w:sz w:val="20"/>
          <w:szCs w:val="20"/>
          <w:lang w:val="es-AR" w:eastAsia="en-US"/>
        </w:rPr>
        <w:t>sociedad organizada y c</w:t>
      </w:r>
      <w:r w:rsidR="00740BD3" w:rsidRPr="00EA7870">
        <w:rPr>
          <w:sz w:val="20"/>
          <w:szCs w:val="20"/>
          <w:lang w:val="es-AR" w:eastAsia="en-US"/>
        </w:rPr>
        <w:t>on</w:t>
      </w:r>
      <w:r w:rsidR="00F81D11" w:rsidRPr="00EA7870">
        <w:rPr>
          <w:sz w:val="20"/>
          <w:szCs w:val="20"/>
          <w:lang w:val="es-AR" w:eastAsia="en-US"/>
        </w:rPr>
        <w:t xml:space="preserve"> </w:t>
      </w:r>
      <w:r w:rsidR="00CE5503" w:rsidRPr="00EA7870">
        <w:rPr>
          <w:sz w:val="20"/>
          <w:szCs w:val="20"/>
          <w:lang w:val="es-AR" w:eastAsia="en-US"/>
        </w:rPr>
        <w:t xml:space="preserve">domicilio </w:t>
      </w:r>
      <w:r w:rsidR="00740BD3" w:rsidRPr="00EA7870">
        <w:rPr>
          <w:sz w:val="20"/>
          <w:szCs w:val="20"/>
          <w:lang w:val="es-AR" w:eastAsia="en-US"/>
        </w:rPr>
        <w:t xml:space="preserve">en Madrid, </w:t>
      </w:r>
      <w:r w:rsidR="00655374" w:rsidRPr="00EA7870">
        <w:rPr>
          <w:sz w:val="20"/>
          <w:szCs w:val="20"/>
          <w:lang w:val="es-AR" w:eastAsia="en-US"/>
        </w:rPr>
        <w:t>Reino de</w:t>
      </w:r>
      <w:r w:rsidR="00CE5503" w:rsidRPr="00EA7870">
        <w:rPr>
          <w:sz w:val="20"/>
          <w:szCs w:val="20"/>
          <w:lang w:val="es-AR" w:eastAsia="en-US"/>
        </w:rPr>
        <w:t xml:space="preserve"> España</w:t>
      </w:r>
      <w:r w:rsidRPr="00EA7870">
        <w:rPr>
          <w:sz w:val="20"/>
          <w:szCs w:val="20"/>
          <w:lang w:val="es-AR" w:eastAsia="en-US"/>
        </w:rPr>
        <w:t xml:space="preserve">. Sustancialmente todos los directores de Pan American y todos los gerentes de primera línea de la Emisora tienen domicilio real en la Argentina o residen fuera de Estados Unidos. Asimismo, todos o una parte significativa de los activos de la Sucursal y la Garante y los activos de los directores de Pan American y los activos de los gerentes de primera línea de la Sucursal están situados fuera de Estados Unidos. En consecuencia, podría resultar dificultoso o imposible para los tenedores de Obligaciones Negociables correr traslado de las notificaciones procesales dentro de Estados Unidos a dichas personas, o hacer valer en tribunales </w:t>
      </w:r>
      <w:r w:rsidR="002F7E75" w:rsidRPr="00EA7870">
        <w:rPr>
          <w:sz w:val="20"/>
          <w:szCs w:val="20"/>
          <w:lang w:val="es-AR" w:eastAsia="en-US"/>
        </w:rPr>
        <w:t>arg</w:t>
      </w:r>
      <w:r w:rsidR="00595465" w:rsidRPr="00EA7870">
        <w:rPr>
          <w:sz w:val="20"/>
          <w:szCs w:val="20"/>
          <w:lang w:val="es-AR" w:eastAsia="en-US"/>
        </w:rPr>
        <w:t>e</w:t>
      </w:r>
      <w:r w:rsidR="002F7E75" w:rsidRPr="00EA7870">
        <w:rPr>
          <w:sz w:val="20"/>
          <w:szCs w:val="20"/>
          <w:lang w:val="es-AR" w:eastAsia="en-US"/>
        </w:rPr>
        <w:t xml:space="preserve">ntinos o españoles </w:t>
      </w:r>
      <w:r w:rsidRPr="00EA7870">
        <w:rPr>
          <w:sz w:val="20"/>
          <w:szCs w:val="20"/>
          <w:lang w:val="es-AR" w:eastAsia="en-US"/>
        </w:rPr>
        <w:t>sentencias contra la Emisora, la Garante o dichas personas dictadas en tribunales</w:t>
      </w:r>
      <w:r w:rsidR="002F7E75" w:rsidRPr="00EA7870">
        <w:rPr>
          <w:sz w:val="20"/>
          <w:szCs w:val="20"/>
          <w:lang w:val="es-AR" w:eastAsia="en-US"/>
        </w:rPr>
        <w:t xml:space="preserve"> estadounidenses</w:t>
      </w:r>
      <w:r w:rsidRPr="00EA7870">
        <w:rPr>
          <w:sz w:val="20"/>
          <w:szCs w:val="20"/>
          <w:lang w:val="es-AR" w:eastAsia="en-US"/>
        </w:rPr>
        <w:t>. Existen dudas respecto de si los tribunales argentinos</w:t>
      </w:r>
      <w:r w:rsidR="002F7E75" w:rsidRPr="00EA7870">
        <w:rPr>
          <w:sz w:val="20"/>
          <w:szCs w:val="20"/>
          <w:lang w:val="es-AR" w:eastAsia="en-US"/>
        </w:rPr>
        <w:t xml:space="preserve"> o españoles</w:t>
      </w:r>
      <w:r w:rsidRPr="00EA7870">
        <w:rPr>
          <w:sz w:val="20"/>
          <w:szCs w:val="20"/>
          <w:lang w:val="es-AR" w:eastAsia="en-US"/>
        </w:rPr>
        <w:t xml:space="preserve"> harán valer, con el mismo alcance y en los mismos plazos que podría hacerlo un tribunal estadounidense o extranjero, una acción fundada exclusivamente en las disposiciones de responsabilidad civil de las leyes federales en materia de títulos valores de Estados Unidos u otras reglamentaciones extranjeras interpuesta contra la Emisora, la Garante o dichas personas. Asimismo, la ejecutabilidad ante los tribunales argentinos de sentencias dictadas por tribunales estadounidenses o no argentinos estará sujeta al cumplimiento de ciertos requisitos bajo la ley argentina, entre ellos la condición de que la sentencia no podrá </w:t>
      </w:r>
      <w:r w:rsidR="004D44DD" w:rsidRPr="00EA7870">
        <w:rPr>
          <w:sz w:val="20"/>
          <w:szCs w:val="20"/>
          <w:lang w:val="es-AR" w:eastAsia="en-US"/>
        </w:rPr>
        <w:t xml:space="preserve">afectar </w:t>
      </w:r>
      <w:r w:rsidRPr="00EA7870">
        <w:rPr>
          <w:sz w:val="20"/>
          <w:szCs w:val="20"/>
          <w:lang w:val="es-AR" w:eastAsia="en-US"/>
        </w:rPr>
        <w:t>los principios de orden público de la Argentina.</w:t>
      </w:r>
      <w:r w:rsidR="002F7E75" w:rsidRPr="00EA7870">
        <w:rPr>
          <w:sz w:val="20"/>
          <w:szCs w:val="20"/>
          <w:lang w:val="es-AR" w:eastAsia="en-US"/>
        </w:rPr>
        <w:t xml:space="preserve"> Para ejecutar sentencias dictadas por tribunales estadounidense ante los tribunales de España, se debe presentar un exequatur en un Juzgado de Primera Instancia o en un Juzgado de lo Mercantil.</w:t>
      </w:r>
    </w:p>
    <w:p w14:paraId="5147FDCD" w14:textId="77777777" w:rsidR="00036374" w:rsidRPr="00EA7870" w:rsidRDefault="00036374" w:rsidP="00036374">
      <w:pPr>
        <w:spacing w:after="240"/>
        <w:jc w:val="both"/>
        <w:rPr>
          <w:b/>
          <w:i/>
          <w:sz w:val="20"/>
          <w:szCs w:val="20"/>
          <w:lang w:val="es-AR" w:eastAsia="en-US"/>
        </w:rPr>
      </w:pPr>
      <w:r w:rsidRPr="00EA7870">
        <w:rPr>
          <w:b/>
          <w:i/>
          <w:sz w:val="20"/>
          <w:szCs w:val="20"/>
          <w:lang w:val="es-AR" w:eastAsia="en-US"/>
        </w:rPr>
        <w:t>Resulta incierto el tratamiento impositivo que recibirán los tenedores de las Obligaciones Negociables en ciertas jurisdicciones</w:t>
      </w:r>
    </w:p>
    <w:p w14:paraId="51E0837A" w14:textId="343DDEB9" w:rsidR="00036374" w:rsidRPr="00EA7870" w:rsidRDefault="001158D9" w:rsidP="00036374">
      <w:pPr>
        <w:spacing w:after="240"/>
        <w:jc w:val="both"/>
        <w:rPr>
          <w:sz w:val="20"/>
          <w:szCs w:val="20"/>
          <w:lang w:val="es-AR" w:eastAsia="en-US"/>
        </w:rPr>
      </w:pPr>
      <w:r w:rsidRPr="00EA7870">
        <w:rPr>
          <w:sz w:val="20"/>
          <w:szCs w:val="20"/>
          <w:lang w:val="es-AR" w:eastAsia="en-US"/>
        </w:rPr>
        <w:t xml:space="preserve">Recientemente se ha introducido en la Argentina </w:t>
      </w:r>
      <w:r w:rsidR="00036374" w:rsidRPr="00EA7870">
        <w:rPr>
          <w:sz w:val="20"/>
          <w:szCs w:val="20"/>
          <w:lang w:val="es-AR" w:eastAsia="en-US"/>
        </w:rPr>
        <w:t>una reforma impositiva integral que, entre otras cuestiones, prevé que el sujeto pagador en virtud de instrumentos financieros debe actuar como agente de retención del impuesto a las ganancias correspondiente</w:t>
      </w:r>
      <w:r w:rsidRPr="00EA7870">
        <w:rPr>
          <w:sz w:val="20"/>
          <w:szCs w:val="20"/>
          <w:lang w:val="es-AR" w:eastAsia="en-US"/>
        </w:rPr>
        <w:t>s</w:t>
      </w:r>
      <w:r w:rsidR="00036374" w:rsidRPr="00EA7870">
        <w:rPr>
          <w:sz w:val="20"/>
          <w:szCs w:val="20"/>
          <w:lang w:val="es-AR" w:eastAsia="en-US"/>
        </w:rPr>
        <w:t xml:space="preserve"> cuando el tenedor de dicho instrumento financiero sea residente de una jurisdicción “</w:t>
      </w:r>
      <w:r w:rsidR="00036374" w:rsidRPr="00EA7870">
        <w:rPr>
          <w:i/>
          <w:sz w:val="20"/>
          <w:szCs w:val="20"/>
          <w:lang w:val="es-AR" w:eastAsia="en-US"/>
        </w:rPr>
        <w:t>no cooperante</w:t>
      </w:r>
      <w:r w:rsidR="00036374" w:rsidRPr="00EA7870">
        <w:rPr>
          <w:sz w:val="20"/>
          <w:szCs w:val="20"/>
          <w:lang w:val="es-AR" w:eastAsia="en-US"/>
        </w:rPr>
        <w:t>”, o sus fondos provengan de cuentas ubicadas en tales jurisdicciones, conforme se definen en la Ley de Impuesto a las Ganancias</w:t>
      </w:r>
      <w:r w:rsidRPr="00EA7870">
        <w:rPr>
          <w:sz w:val="20"/>
          <w:szCs w:val="20"/>
          <w:lang w:val="es-AR" w:eastAsia="en-US"/>
        </w:rPr>
        <w:t xml:space="preserve"> N°20.628, según fuera modificada y complementada de tiempo en tiempo (la “</w:t>
      </w:r>
      <w:r w:rsidRPr="00EA7870">
        <w:rPr>
          <w:b/>
          <w:sz w:val="20"/>
          <w:szCs w:val="20"/>
          <w:lang w:val="es-AR" w:eastAsia="en-US"/>
        </w:rPr>
        <w:t>Ley de Impuesto a las Ganancias</w:t>
      </w:r>
      <w:r w:rsidRPr="00EA7870">
        <w:rPr>
          <w:sz w:val="20"/>
          <w:szCs w:val="20"/>
          <w:lang w:val="es-AR" w:eastAsia="en-US"/>
        </w:rPr>
        <w:t>”)</w:t>
      </w:r>
      <w:r w:rsidR="00036374" w:rsidRPr="00EA7870">
        <w:rPr>
          <w:sz w:val="20"/>
          <w:szCs w:val="20"/>
          <w:lang w:val="es-AR" w:eastAsia="en-US"/>
        </w:rPr>
        <w:t xml:space="preserve">. </w:t>
      </w:r>
      <w:r w:rsidRPr="00EA7870">
        <w:rPr>
          <w:sz w:val="20"/>
          <w:szCs w:val="20"/>
          <w:lang w:val="es-AR" w:eastAsia="en-US"/>
        </w:rPr>
        <w:t xml:space="preserve">Asimismo, existe </w:t>
      </w:r>
      <w:r w:rsidR="00036374" w:rsidRPr="00EA7870">
        <w:rPr>
          <w:sz w:val="20"/>
          <w:szCs w:val="20"/>
          <w:lang w:val="es-AR" w:eastAsia="en-US"/>
        </w:rPr>
        <w:t>incertidumbre con respecto al alcance de las modificaciones y con respecto a qué jurisdicciones serán consideradas “</w:t>
      </w:r>
      <w:r w:rsidR="00036374" w:rsidRPr="00EA7870">
        <w:rPr>
          <w:i/>
          <w:sz w:val="20"/>
          <w:szCs w:val="20"/>
          <w:lang w:val="es-AR" w:eastAsia="en-US"/>
        </w:rPr>
        <w:t>no cooperantes</w:t>
      </w:r>
      <w:r w:rsidR="00036374" w:rsidRPr="00EA7870">
        <w:rPr>
          <w:sz w:val="20"/>
          <w:szCs w:val="20"/>
          <w:lang w:val="es-AR" w:eastAsia="en-US"/>
        </w:rPr>
        <w:t>” por el fisco argentino</w:t>
      </w:r>
      <w:r w:rsidR="00600D17" w:rsidRPr="00EA7870">
        <w:rPr>
          <w:sz w:val="20"/>
          <w:szCs w:val="20"/>
          <w:lang w:val="es-AR" w:eastAsia="en-US"/>
        </w:rPr>
        <w:t xml:space="preserve"> </w:t>
      </w:r>
      <w:r w:rsidR="001C555E" w:rsidRPr="00EA7870">
        <w:rPr>
          <w:sz w:val="20"/>
          <w:szCs w:val="20"/>
          <w:lang w:val="es-AR" w:eastAsia="en-US"/>
        </w:rPr>
        <w:t>y</w:t>
      </w:r>
      <w:r w:rsidR="001525FA" w:rsidRPr="00EA7870">
        <w:rPr>
          <w:sz w:val="20"/>
          <w:szCs w:val="20"/>
          <w:lang w:val="es-AR" w:eastAsia="en-US"/>
        </w:rPr>
        <w:t xml:space="preserve"> </w:t>
      </w:r>
      <w:r w:rsidR="00CF729E" w:rsidRPr="00EA7870">
        <w:rPr>
          <w:sz w:val="20"/>
          <w:szCs w:val="20"/>
          <w:lang w:val="es-AR" w:eastAsia="en-US"/>
        </w:rPr>
        <w:t>si el criterio adoptado se mantendrá en el futuro</w:t>
      </w:r>
      <w:r w:rsidR="00036374" w:rsidRPr="00EA7870">
        <w:rPr>
          <w:sz w:val="20"/>
          <w:szCs w:val="20"/>
          <w:lang w:val="es-AR" w:eastAsia="en-US"/>
        </w:rPr>
        <w:t xml:space="preserve">. Los pagos de intereses a tenedores de las Obligaciones Negociables residentes de aquellas jurisdicciones estarán sujetos a una retención impositiva del 35%, y la Emisora no abonará Montos Adicionales (según se define más adelante) a </w:t>
      </w:r>
      <w:r w:rsidR="009E21A0" w:rsidRPr="00EA7870">
        <w:rPr>
          <w:sz w:val="20"/>
          <w:szCs w:val="20"/>
          <w:lang w:val="es-AR" w:eastAsia="en-US"/>
        </w:rPr>
        <w:t>dich</w:t>
      </w:r>
      <w:r w:rsidR="00036374" w:rsidRPr="00EA7870">
        <w:rPr>
          <w:sz w:val="20"/>
          <w:szCs w:val="20"/>
          <w:lang w:val="es-AR" w:eastAsia="en-US"/>
        </w:rPr>
        <w:t>os tenedores. Para mayor información, véase “</w:t>
      </w:r>
      <w:r w:rsidR="00740BD3" w:rsidRPr="00EA7870">
        <w:rPr>
          <w:i/>
          <w:iCs/>
          <w:sz w:val="20"/>
          <w:szCs w:val="20"/>
        </w:rPr>
        <w:t>Información Adicional–Carga Tributaria</w:t>
      </w:r>
      <w:r w:rsidR="00036374" w:rsidRPr="00EA7870">
        <w:rPr>
          <w:i/>
          <w:sz w:val="20"/>
          <w:szCs w:val="20"/>
          <w:lang w:val="es-AR" w:eastAsia="en-US"/>
        </w:rPr>
        <w:t>”</w:t>
      </w:r>
      <w:r w:rsidR="00036374" w:rsidRPr="00EA7870">
        <w:rPr>
          <w:sz w:val="20"/>
          <w:szCs w:val="20"/>
          <w:lang w:val="es-AR" w:eastAsia="en-US"/>
        </w:rPr>
        <w:t xml:space="preserve"> del Prospecto y “</w:t>
      </w:r>
      <w:r w:rsidR="00036374" w:rsidRPr="00EA7870">
        <w:rPr>
          <w:i/>
          <w:sz w:val="20"/>
          <w:szCs w:val="20"/>
          <w:lang w:val="es-AR" w:eastAsia="en-US"/>
        </w:rPr>
        <w:t>Descripción de las Obligaciones Negociables—Montos Adicionales</w:t>
      </w:r>
      <w:r w:rsidR="00036374" w:rsidRPr="00EA7870">
        <w:rPr>
          <w:sz w:val="20"/>
          <w:szCs w:val="20"/>
          <w:lang w:val="es-AR" w:eastAsia="en-US"/>
        </w:rPr>
        <w:t xml:space="preserve">” en el presente. Como consecuencia de esta incertidumbre, las Obligaciones Negociables podrían experimentar liquidez reducida, lo cual podría afectar adversamente el precio de mercado y la comerciabilidad de las Obligaciones Negociables. </w:t>
      </w:r>
    </w:p>
    <w:p w14:paraId="2D20CFA4" w14:textId="44963261" w:rsidR="008C448F" w:rsidRPr="00EA7870" w:rsidRDefault="008C448F" w:rsidP="008C448F">
      <w:pPr>
        <w:jc w:val="both"/>
        <w:rPr>
          <w:b/>
          <w:i/>
          <w:color w:val="000000" w:themeColor="text1"/>
          <w:sz w:val="20"/>
          <w:szCs w:val="20"/>
          <w:lang w:val="es-AR" w:eastAsia="en-US"/>
        </w:rPr>
      </w:pPr>
      <w:r w:rsidRPr="00EA7870">
        <w:rPr>
          <w:b/>
          <w:i/>
          <w:color w:val="000000" w:themeColor="text1"/>
          <w:sz w:val="20"/>
          <w:szCs w:val="20"/>
          <w:lang w:val="es-AR" w:eastAsia="en-US"/>
        </w:rPr>
        <w:t xml:space="preserve">Los </w:t>
      </w:r>
      <w:r w:rsidR="009F3147" w:rsidRPr="00EA7870">
        <w:rPr>
          <w:b/>
          <w:i/>
          <w:color w:val="000000" w:themeColor="text1"/>
          <w:sz w:val="20"/>
          <w:szCs w:val="20"/>
          <w:lang w:val="es-AR" w:eastAsia="en-US"/>
        </w:rPr>
        <w:t xml:space="preserve">actuales y </w:t>
      </w:r>
      <w:r w:rsidRPr="00EA7870">
        <w:rPr>
          <w:b/>
          <w:i/>
          <w:color w:val="000000" w:themeColor="text1"/>
          <w:sz w:val="20"/>
          <w:szCs w:val="20"/>
          <w:lang w:val="es-AR" w:eastAsia="en-US"/>
        </w:rPr>
        <w:t>futuros controles cambiarios y restricciones a las transferencias al exterior podrían afectar la capacidad de l</w:t>
      </w:r>
      <w:r w:rsidR="00742C86" w:rsidRPr="00EA7870">
        <w:rPr>
          <w:b/>
          <w:i/>
          <w:color w:val="000000" w:themeColor="text1"/>
          <w:sz w:val="20"/>
          <w:szCs w:val="20"/>
          <w:lang w:val="es-AR" w:eastAsia="en-US"/>
        </w:rPr>
        <w:t>os invers</w:t>
      </w:r>
      <w:r w:rsidR="003A37B5" w:rsidRPr="00EA7870">
        <w:rPr>
          <w:b/>
          <w:i/>
          <w:color w:val="000000" w:themeColor="text1"/>
          <w:sz w:val="20"/>
          <w:szCs w:val="20"/>
          <w:lang w:val="es-AR" w:eastAsia="en-US"/>
        </w:rPr>
        <w:t>or</w:t>
      </w:r>
      <w:r w:rsidR="00742C86" w:rsidRPr="00EA7870">
        <w:rPr>
          <w:b/>
          <w:i/>
          <w:color w:val="000000" w:themeColor="text1"/>
          <w:sz w:val="20"/>
          <w:szCs w:val="20"/>
          <w:lang w:val="es-AR" w:eastAsia="en-US"/>
        </w:rPr>
        <w:t>es</w:t>
      </w:r>
      <w:r w:rsidRPr="00EA7870">
        <w:rPr>
          <w:b/>
          <w:i/>
          <w:color w:val="000000" w:themeColor="text1"/>
          <w:sz w:val="20"/>
          <w:szCs w:val="20"/>
          <w:lang w:val="es-AR" w:eastAsia="en-US"/>
        </w:rPr>
        <w:t xml:space="preserve"> de recibir pagos por las Obligaciones Negociables o repatriar su inversión en las Obligaciones Negociables</w:t>
      </w:r>
    </w:p>
    <w:p w14:paraId="5ECA84C4" w14:textId="77777777" w:rsidR="008C448F" w:rsidRPr="00EA7870" w:rsidRDefault="008C448F" w:rsidP="008C448F">
      <w:pPr>
        <w:jc w:val="both"/>
        <w:rPr>
          <w:b/>
          <w:i/>
          <w:color w:val="000000" w:themeColor="text1"/>
          <w:sz w:val="20"/>
          <w:szCs w:val="20"/>
          <w:lang w:val="es-AR" w:eastAsia="en-US"/>
        </w:rPr>
      </w:pPr>
    </w:p>
    <w:p w14:paraId="1A544A44" w14:textId="77777777" w:rsidR="008C448F" w:rsidRPr="00EA7870" w:rsidRDefault="008C448F" w:rsidP="00AA68F2">
      <w:pPr>
        <w:jc w:val="both"/>
        <w:rPr>
          <w:color w:val="000000" w:themeColor="text1"/>
          <w:sz w:val="20"/>
          <w:szCs w:val="20"/>
          <w:lang w:val="es-AR" w:eastAsia="en-US"/>
        </w:rPr>
      </w:pPr>
      <w:r w:rsidRPr="00EA7870">
        <w:rPr>
          <w:color w:val="000000" w:themeColor="text1"/>
          <w:sz w:val="20"/>
          <w:szCs w:val="20"/>
          <w:lang w:val="es-AR" w:eastAsia="en-US"/>
        </w:rPr>
        <w:t xml:space="preserve">En 2001 y 2002, la Argentina impuso controles cambiarios y restricciones a las transferencias, limitando significativamente la capacidad de las empresas de conservar divisas o realizar pagos al exterior. Asimismo, en el último trimestre de 2011 se dictaron nuevas reglamentaciones que limitaron significativamente el acceso al mercado cambiario por parte de personas </w:t>
      </w:r>
      <w:r w:rsidR="00595465" w:rsidRPr="00EA7870">
        <w:rPr>
          <w:color w:val="000000" w:themeColor="text1"/>
          <w:sz w:val="20"/>
          <w:szCs w:val="20"/>
          <w:lang w:val="es-AR" w:eastAsia="en-US"/>
        </w:rPr>
        <w:t xml:space="preserve">humanas </w:t>
      </w:r>
      <w:r w:rsidRPr="00EA7870">
        <w:rPr>
          <w:color w:val="000000" w:themeColor="text1"/>
          <w:sz w:val="20"/>
          <w:szCs w:val="20"/>
          <w:lang w:val="es-AR" w:eastAsia="en-US"/>
        </w:rPr>
        <w:t>y entidades del sector privado. A partir de diciembre de 2015, el gobierno nacional flexibilizó gradualmente las restricciones hasta su levantamiento total a mediados de 2017. Sin embargo, el 1 de septiembre de 2019 el gobierno nacional reinstauró controles cambiarios</w:t>
      </w:r>
      <w:r w:rsidR="001158D9" w:rsidRPr="00EA7870">
        <w:rPr>
          <w:color w:val="000000" w:themeColor="text1"/>
          <w:sz w:val="20"/>
          <w:szCs w:val="20"/>
          <w:lang w:val="es-AR" w:eastAsia="en-US"/>
        </w:rPr>
        <w:t>, los cuales tendrán</w:t>
      </w:r>
      <w:r w:rsidRPr="00EA7870">
        <w:rPr>
          <w:color w:val="000000" w:themeColor="text1"/>
          <w:sz w:val="20"/>
          <w:szCs w:val="20"/>
          <w:lang w:val="es-AR" w:eastAsia="en-US"/>
        </w:rPr>
        <w:t xml:space="preserve"> </w:t>
      </w:r>
      <w:r w:rsidR="001158D9" w:rsidRPr="00EA7870">
        <w:rPr>
          <w:color w:val="000000" w:themeColor="text1"/>
          <w:sz w:val="20"/>
          <w:szCs w:val="20"/>
          <w:lang w:val="es-AR" w:eastAsia="en-US"/>
        </w:rPr>
        <w:t>vigencia</w:t>
      </w:r>
      <w:r w:rsidRPr="00EA7870">
        <w:rPr>
          <w:color w:val="000000" w:themeColor="text1"/>
          <w:sz w:val="20"/>
          <w:szCs w:val="20"/>
          <w:lang w:val="es-AR" w:eastAsia="en-US"/>
        </w:rPr>
        <w:t xml:space="preserve"> hasta el 31 de diciembre de 2019. Los nuevos controles aplican respecto de la formación de activos externos de residentes, el pago de deudas financieras con el exterior, el </w:t>
      </w:r>
      <w:r w:rsidR="00A95D88" w:rsidRPr="00EA7870">
        <w:rPr>
          <w:color w:val="000000" w:themeColor="text1"/>
          <w:sz w:val="20"/>
          <w:szCs w:val="20"/>
          <w:lang w:val="es-AR" w:eastAsia="en-US"/>
        </w:rPr>
        <w:t xml:space="preserve">acceso </w:t>
      </w:r>
      <w:r w:rsidR="00AA68F2" w:rsidRPr="00EA7870">
        <w:rPr>
          <w:color w:val="000000" w:themeColor="text1"/>
          <w:sz w:val="20"/>
          <w:szCs w:val="20"/>
          <w:lang w:val="es-AR" w:eastAsia="en-US"/>
        </w:rPr>
        <w:t xml:space="preserve">al </w:t>
      </w:r>
      <w:r w:rsidR="00AA68F2" w:rsidRPr="00EA7870">
        <w:rPr>
          <w:bCs/>
          <w:iCs/>
          <w:sz w:val="20"/>
          <w:szCs w:val="20"/>
          <w:lang w:val="es-AR" w:eastAsia="en-US"/>
        </w:rPr>
        <w:t>Mercado Libre de Cambios (el “</w:t>
      </w:r>
      <w:r w:rsidR="00AA68F2" w:rsidRPr="00EA7870">
        <w:rPr>
          <w:b/>
          <w:iCs/>
          <w:sz w:val="20"/>
          <w:szCs w:val="20"/>
          <w:lang w:val="es-AR" w:eastAsia="en-US"/>
        </w:rPr>
        <w:t>MLC</w:t>
      </w:r>
      <w:r w:rsidR="00AA68F2" w:rsidRPr="00EA7870">
        <w:rPr>
          <w:bCs/>
          <w:iCs/>
          <w:sz w:val="20"/>
          <w:szCs w:val="20"/>
          <w:lang w:val="es-AR" w:eastAsia="en-US"/>
        </w:rPr>
        <w:t>”)</w:t>
      </w:r>
      <w:r w:rsidR="00A95D88" w:rsidRPr="00EA7870">
        <w:rPr>
          <w:color w:val="000000" w:themeColor="text1"/>
          <w:sz w:val="20"/>
          <w:szCs w:val="20"/>
          <w:lang w:val="es-AR" w:eastAsia="en-US"/>
        </w:rPr>
        <w:t xml:space="preserve"> para el </w:t>
      </w:r>
      <w:r w:rsidRPr="00EA7870">
        <w:rPr>
          <w:color w:val="000000" w:themeColor="text1"/>
          <w:sz w:val="20"/>
          <w:szCs w:val="20"/>
          <w:lang w:val="es-AR" w:eastAsia="en-US"/>
        </w:rPr>
        <w:t xml:space="preserve">pago </w:t>
      </w:r>
      <w:r w:rsidR="00A95D88" w:rsidRPr="00EA7870">
        <w:rPr>
          <w:color w:val="000000" w:themeColor="text1"/>
          <w:sz w:val="20"/>
          <w:szCs w:val="20"/>
          <w:lang w:val="es-AR" w:eastAsia="en-US"/>
        </w:rPr>
        <w:t xml:space="preserve">y remisión </w:t>
      </w:r>
      <w:r w:rsidRPr="00EA7870">
        <w:rPr>
          <w:color w:val="000000" w:themeColor="text1"/>
          <w:sz w:val="20"/>
          <w:szCs w:val="20"/>
          <w:lang w:val="es-AR" w:eastAsia="en-US"/>
        </w:rPr>
        <w:t>de dividendos</w:t>
      </w:r>
      <w:r w:rsidR="00A95D88" w:rsidRPr="00EA7870">
        <w:rPr>
          <w:color w:val="000000" w:themeColor="text1"/>
          <w:sz w:val="20"/>
          <w:szCs w:val="20"/>
          <w:lang w:val="es-AR" w:eastAsia="en-US"/>
        </w:rPr>
        <w:t xml:space="preserve"> en moneda extranjera al exterior</w:t>
      </w:r>
      <w:r w:rsidRPr="00EA7870">
        <w:rPr>
          <w:color w:val="000000" w:themeColor="text1"/>
          <w:sz w:val="20"/>
          <w:szCs w:val="20"/>
          <w:lang w:val="es-AR" w:eastAsia="en-US"/>
        </w:rPr>
        <w:t xml:space="preserve">, pagos de importaciones de bienes y servicios, obligación de ingreso y liquidación de cobros de exportaciones de bienes y servicios, entre otros. </w:t>
      </w:r>
    </w:p>
    <w:p w14:paraId="2EB1DE3B" w14:textId="77777777" w:rsidR="008C448F" w:rsidRPr="00EA7870" w:rsidRDefault="008C448F" w:rsidP="008C448F">
      <w:pPr>
        <w:jc w:val="both"/>
        <w:rPr>
          <w:color w:val="000000" w:themeColor="text1"/>
          <w:sz w:val="20"/>
          <w:szCs w:val="20"/>
          <w:lang w:val="es-AR" w:eastAsia="en-US"/>
        </w:rPr>
      </w:pPr>
    </w:p>
    <w:p w14:paraId="78A75ADE" w14:textId="496E938A" w:rsidR="008C448F" w:rsidRPr="00EA7870" w:rsidRDefault="008C448F" w:rsidP="0037429D">
      <w:pPr>
        <w:jc w:val="both"/>
        <w:rPr>
          <w:color w:val="000000" w:themeColor="text1"/>
          <w:sz w:val="20"/>
          <w:szCs w:val="20"/>
        </w:rPr>
      </w:pPr>
      <w:r w:rsidRPr="00EA7870">
        <w:rPr>
          <w:color w:val="000000" w:themeColor="text1"/>
          <w:sz w:val="20"/>
          <w:szCs w:val="20"/>
          <w:lang w:val="es-AR" w:eastAsia="en-US"/>
        </w:rPr>
        <w:t>Adicionalmente, la nueva normativa cambiaria requiere conformidad previa del B</w:t>
      </w:r>
      <w:r w:rsidR="00A95D88" w:rsidRPr="00EA7870">
        <w:rPr>
          <w:color w:val="000000" w:themeColor="text1"/>
          <w:sz w:val="20"/>
          <w:szCs w:val="20"/>
          <w:lang w:val="es-AR" w:eastAsia="en-US"/>
        </w:rPr>
        <w:t xml:space="preserve">anco </w:t>
      </w:r>
      <w:r w:rsidRPr="00EA7870">
        <w:rPr>
          <w:color w:val="000000" w:themeColor="text1"/>
          <w:sz w:val="20"/>
          <w:szCs w:val="20"/>
          <w:lang w:val="es-AR" w:eastAsia="en-US"/>
        </w:rPr>
        <w:t>C</w:t>
      </w:r>
      <w:r w:rsidR="00A95D88" w:rsidRPr="00EA7870">
        <w:rPr>
          <w:color w:val="000000" w:themeColor="text1"/>
          <w:sz w:val="20"/>
          <w:szCs w:val="20"/>
          <w:lang w:val="es-AR" w:eastAsia="en-US"/>
        </w:rPr>
        <w:t xml:space="preserve">entral de la </w:t>
      </w:r>
      <w:r w:rsidRPr="00EA7870">
        <w:rPr>
          <w:color w:val="000000" w:themeColor="text1"/>
          <w:sz w:val="20"/>
          <w:szCs w:val="20"/>
          <w:lang w:val="es-AR" w:eastAsia="en-US"/>
        </w:rPr>
        <w:t>R</w:t>
      </w:r>
      <w:r w:rsidR="00A95D88" w:rsidRPr="00EA7870">
        <w:rPr>
          <w:color w:val="000000" w:themeColor="text1"/>
          <w:sz w:val="20"/>
          <w:szCs w:val="20"/>
          <w:lang w:val="es-AR" w:eastAsia="en-US"/>
        </w:rPr>
        <w:t xml:space="preserve">epública </w:t>
      </w:r>
      <w:r w:rsidRPr="00EA7870">
        <w:rPr>
          <w:color w:val="000000" w:themeColor="text1"/>
          <w:sz w:val="20"/>
          <w:szCs w:val="20"/>
          <w:lang w:val="es-AR" w:eastAsia="en-US"/>
        </w:rPr>
        <w:t>A</w:t>
      </w:r>
      <w:r w:rsidR="00A95D88" w:rsidRPr="00EA7870">
        <w:rPr>
          <w:color w:val="000000" w:themeColor="text1"/>
          <w:sz w:val="20"/>
          <w:szCs w:val="20"/>
          <w:lang w:val="es-AR" w:eastAsia="en-US"/>
        </w:rPr>
        <w:t>rgentina (el “</w:t>
      </w:r>
      <w:r w:rsidR="00A95D88" w:rsidRPr="00EA7870">
        <w:rPr>
          <w:b/>
          <w:color w:val="000000" w:themeColor="text1"/>
          <w:sz w:val="20"/>
          <w:szCs w:val="20"/>
          <w:lang w:val="es-AR" w:eastAsia="en-US"/>
        </w:rPr>
        <w:t>BCRA</w:t>
      </w:r>
      <w:r w:rsidR="00A95D88" w:rsidRPr="00EA7870">
        <w:rPr>
          <w:color w:val="000000" w:themeColor="text1"/>
          <w:sz w:val="20"/>
          <w:szCs w:val="20"/>
          <w:lang w:val="es-AR" w:eastAsia="en-US"/>
        </w:rPr>
        <w:t>”</w:t>
      </w:r>
      <w:r w:rsidR="00A94F08" w:rsidRPr="00EA7870">
        <w:rPr>
          <w:color w:val="000000" w:themeColor="text1"/>
          <w:sz w:val="20"/>
          <w:szCs w:val="20"/>
          <w:lang w:val="es-AR" w:eastAsia="en-US"/>
        </w:rPr>
        <w:t xml:space="preserve"> o “</w:t>
      </w:r>
      <w:r w:rsidR="00A94F08" w:rsidRPr="00EA7870">
        <w:rPr>
          <w:b/>
          <w:bCs/>
          <w:color w:val="000000" w:themeColor="text1"/>
          <w:sz w:val="20"/>
          <w:szCs w:val="20"/>
          <w:lang w:val="es-AR" w:eastAsia="en-US"/>
        </w:rPr>
        <w:t>Banco Central</w:t>
      </w:r>
      <w:r w:rsidR="00A94F08" w:rsidRPr="00EA7870">
        <w:rPr>
          <w:color w:val="000000" w:themeColor="text1"/>
          <w:sz w:val="20"/>
          <w:szCs w:val="20"/>
          <w:lang w:val="es-AR" w:eastAsia="en-US"/>
        </w:rPr>
        <w:t>”</w:t>
      </w:r>
      <w:r w:rsidR="00A95D88" w:rsidRPr="00EA7870">
        <w:rPr>
          <w:color w:val="000000" w:themeColor="text1"/>
          <w:sz w:val="20"/>
          <w:szCs w:val="20"/>
          <w:lang w:val="es-AR" w:eastAsia="en-US"/>
        </w:rPr>
        <w:t>)</w:t>
      </w:r>
      <w:r w:rsidRPr="00EA7870">
        <w:rPr>
          <w:color w:val="000000" w:themeColor="text1"/>
          <w:sz w:val="20"/>
          <w:szCs w:val="20"/>
          <w:lang w:val="es-AR" w:eastAsia="en-US"/>
        </w:rPr>
        <w:t xml:space="preserve"> para el acceso al mercado de cambios</w:t>
      </w:r>
      <w:r w:rsidR="00C14CD8" w:rsidRPr="00EA7870">
        <w:rPr>
          <w:color w:val="000000" w:themeColor="text1"/>
          <w:sz w:val="20"/>
          <w:szCs w:val="20"/>
          <w:lang w:val="es-AR" w:eastAsia="en-US"/>
        </w:rPr>
        <w:t>: (i)</w:t>
      </w:r>
      <w:r w:rsidRPr="00EA7870">
        <w:rPr>
          <w:color w:val="000000" w:themeColor="text1"/>
          <w:sz w:val="20"/>
          <w:szCs w:val="20"/>
          <w:lang w:val="es-AR" w:eastAsia="en-US"/>
        </w:rPr>
        <w:t xml:space="preserve"> por parte de no residentes por montos superiores al equivalente a US$100 mensuales</w:t>
      </w:r>
      <w:r w:rsidR="00916CCD" w:rsidRPr="00EA7870">
        <w:rPr>
          <w:color w:val="000000" w:themeColor="text1"/>
          <w:sz w:val="20"/>
          <w:szCs w:val="20"/>
          <w:lang w:val="es-AR" w:eastAsia="en-US"/>
        </w:rPr>
        <w:t>,</w:t>
      </w:r>
      <w:r w:rsidRPr="00EA7870">
        <w:rPr>
          <w:color w:val="000000" w:themeColor="text1"/>
          <w:sz w:val="20"/>
          <w:szCs w:val="20"/>
          <w:lang w:val="es-AR" w:eastAsia="en-US"/>
        </w:rPr>
        <w:t xml:space="preserve"> </w:t>
      </w:r>
      <w:r w:rsidR="00C14CD8" w:rsidRPr="00EA7870">
        <w:rPr>
          <w:color w:val="000000" w:themeColor="text1"/>
          <w:sz w:val="20"/>
          <w:szCs w:val="20"/>
          <w:lang w:val="es-AR" w:eastAsia="en-US"/>
        </w:rPr>
        <w:t>y (ii) por parte de residentes por montos superiores a US$ 200 (a través de</w:t>
      </w:r>
      <w:r w:rsidR="0037429D" w:rsidRPr="00EA7870">
        <w:rPr>
          <w:color w:val="000000" w:themeColor="text1"/>
          <w:sz w:val="20"/>
          <w:szCs w:val="20"/>
          <w:lang w:val="es-AR" w:eastAsia="en-US"/>
        </w:rPr>
        <w:t xml:space="preserve"> operaciones con débito a cuentas del cliente en entidades financieras locales</w:t>
      </w:r>
      <w:r w:rsidR="00C14CD8" w:rsidRPr="00EA7870">
        <w:rPr>
          <w:color w:val="000000" w:themeColor="text1"/>
          <w:sz w:val="20"/>
          <w:szCs w:val="20"/>
          <w:lang w:val="es-AR" w:eastAsia="en-US"/>
        </w:rPr>
        <w:t xml:space="preserve">) o US$100 (en caso de operaciones en efectivo) mensuales, </w:t>
      </w:r>
      <w:r w:rsidRPr="00EA7870">
        <w:rPr>
          <w:color w:val="000000" w:themeColor="text1"/>
          <w:sz w:val="20"/>
          <w:szCs w:val="20"/>
          <w:lang w:val="es-AR" w:eastAsia="en-US"/>
        </w:rPr>
        <w:t>en el conjunto de entidades autorizadas a operar en cambios, salvo ciertas excepciones</w:t>
      </w:r>
      <w:r w:rsidR="00C14CD8" w:rsidRPr="00EA7870">
        <w:rPr>
          <w:color w:val="000000" w:themeColor="text1"/>
          <w:sz w:val="20"/>
          <w:szCs w:val="20"/>
          <w:lang w:val="es-AR" w:eastAsia="en-US"/>
        </w:rPr>
        <w:t xml:space="preserve"> (todo ello conforme a, entre otras, la Comunicación “A” 6815 del BCRA)</w:t>
      </w:r>
      <w:r w:rsidRPr="00EA7870">
        <w:rPr>
          <w:color w:val="000000" w:themeColor="text1"/>
          <w:sz w:val="20"/>
          <w:szCs w:val="20"/>
          <w:lang w:val="es-AR" w:eastAsia="en-US"/>
        </w:rPr>
        <w:t>. En virtud de ello, los inversores no residentes que reciban servicios de deuda bajo las Obligaciones Negociables en Argentina, en caso de que est</w:t>
      </w:r>
      <w:r w:rsidR="00742C86" w:rsidRPr="00EA7870">
        <w:rPr>
          <w:color w:val="000000" w:themeColor="text1"/>
          <w:sz w:val="20"/>
          <w:szCs w:val="20"/>
          <w:lang w:val="es-AR" w:eastAsia="en-US"/>
        </w:rPr>
        <w:t>a</w:t>
      </w:r>
      <w:r w:rsidRPr="00EA7870">
        <w:rPr>
          <w:color w:val="000000" w:themeColor="text1"/>
          <w:sz w:val="20"/>
          <w:szCs w:val="20"/>
          <w:lang w:val="es-AR" w:eastAsia="en-US"/>
        </w:rPr>
        <w:t xml:space="preserve">s paguen servicios en Pesos, podrían verse restringidos de </w:t>
      </w:r>
      <w:r w:rsidR="00916CCD" w:rsidRPr="00EA7870">
        <w:rPr>
          <w:color w:val="000000" w:themeColor="text1"/>
          <w:sz w:val="20"/>
          <w:szCs w:val="20"/>
          <w:lang w:val="es-AR" w:eastAsia="en-US"/>
        </w:rPr>
        <w:t xml:space="preserve">convertir y/o </w:t>
      </w:r>
      <w:r w:rsidRPr="00EA7870">
        <w:rPr>
          <w:color w:val="000000" w:themeColor="text1"/>
          <w:sz w:val="20"/>
          <w:szCs w:val="20"/>
          <w:lang w:val="es-AR" w:eastAsia="en-US"/>
        </w:rPr>
        <w:t xml:space="preserve">repatriar dichos fondos en la medida en que se supere el monto máximo antes mencionado. Para más información sobre los nuevos controles véase </w:t>
      </w:r>
      <w:r w:rsidRPr="00EA7870">
        <w:rPr>
          <w:color w:val="000000" w:themeColor="text1"/>
          <w:sz w:val="20"/>
          <w:szCs w:val="20"/>
        </w:rPr>
        <w:t xml:space="preserve">la sección </w:t>
      </w:r>
      <w:r w:rsidRPr="00EA7870">
        <w:rPr>
          <w:color w:val="000000" w:themeColor="text1"/>
          <w:sz w:val="20"/>
          <w:szCs w:val="20"/>
          <w:lang w:val="es-AR"/>
        </w:rPr>
        <w:t>“</w:t>
      </w:r>
      <w:r w:rsidRPr="00EA7870">
        <w:rPr>
          <w:i/>
          <w:iCs/>
          <w:color w:val="000000" w:themeColor="text1"/>
          <w:sz w:val="20"/>
          <w:szCs w:val="20"/>
          <w:lang w:val="es-AR"/>
        </w:rPr>
        <w:t>Información Adicional</w:t>
      </w:r>
      <w:r w:rsidRPr="00EA7870">
        <w:rPr>
          <w:i/>
          <w:iCs/>
          <w:color w:val="000000" w:themeColor="text1"/>
          <w:sz w:val="20"/>
          <w:szCs w:val="20"/>
        </w:rPr>
        <w:t>—</w:t>
      </w:r>
      <w:r w:rsidRPr="00EA7870">
        <w:rPr>
          <w:i/>
          <w:iCs/>
          <w:color w:val="000000" w:themeColor="text1"/>
          <w:sz w:val="20"/>
          <w:szCs w:val="20"/>
          <w:lang w:val="es-AR"/>
        </w:rPr>
        <w:t>Controles de Cambios</w:t>
      </w:r>
      <w:r w:rsidRPr="00EA7870">
        <w:rPr>
          <w:color w:val="000000" w:themeColor="text1"/>
          <w:sz w:val="20"/>
          <w:szCs w:val="20"/>
          <w:lang w:val="es-AR"/>
        </w:rPr>
        <w:t xml:space="preserve">” </w:t>
      </w:r>
      <w:r w:rsidRPr="00EA7870">
        <w:rPr>
          <w:color w:val="000000" w:themeColor="text1"/>
          <w:sz w:val="20"/>
          <w:szCs w:val="20"/>
        </w:rPr>
        <w:t>en el Prospecto.</w:t>
      </w:r>
    </w:p>
    <w:p w14:paraId="4755E3E5" w14:textId="77777777" w:rsidR="00B37C3D" w:rsidRPr="00EA7870" w:rsidRDefault="00B37C3D" w:rsidP="008C448F">
      <w:pPr>
        <w:jc w:val="both"/>
        <w:rPr>
          <w:color w:val="000000" w:themeColor="text1"/>
          <w:sz w:val="20"/>
          <w:szCs w:val="20"/>
          <w:lang w:val="es-AR" w:eastAsia="en-US"/>
        </w:rPr>
      </w:pPr>
    </w:p>
    <w:p w14:paraId="45149BBD" w14:textId="51177E8A" w:rsidR="00A95D88" w:rsidRPr="00EA7870" w:rsidRDefault="003C5557" w:rsidP="003C5557">
      <w:pPr>
        <w:spacing w:after="240"/>
        <w:jc w:val="both"/>
        <w:rPr>
          <w:bCs/>
          <w:iCs/>
          <w:sz w:val="20"/>
          <w:szCs w:val="20"/>
          <w:lang w:val="es-AR" w:eastAsia="en-US"/>
        </w:rPr>
      </w:pPr>
      <w:r w:rsidRPr="00EA7870">
        <w:rPr>
          <w:bCs/>
          <w:iCs/>
          <w:sz w:val="20"/>
          <w:szCs w:val="20"/>
          <w:lang w:val="es-AR" w:eastAsia="en-US"/>
        </w:rPr>
        <w:t>L</w:t>
      </w:r>
      <w:r w:rsidR="00410282" w:rsidRPr="00EA7870">
        <w:rPr>
          <w:bCs/>
          <w:iCs/>
          <w:sz w:val="20"/>
          <w:szCs w:val="20"/>
          <w:lang w:val="es-AR" w:eastAsia="en-US"/>
        </w:rPr>
        <w:t>a</w:t>
      </w:r>
      <w:r w:rsidRPr="00EA7870">
        <w:rPr>
          <w:bCs/>
          <w:iCs/>
          <w:sz w:val="20"/>
          <w:szCs w:val="20"/>
          <w:lang w:val="es-AR" w:eastAsia="en-US"/>
        </w:rPr>
        <w:t xml:space="preserve">s </w:t>
      </w:r>
      <w:r w:rsidR="00410282" w:rsidRPr="00EA7870">
        <w:rPr>
          <w:bCs/>
          <w:iCs/>
          <w:sz w:val="20"/>
          <w:szCs w:val="20"/>
          <w:lang w:val="es-AR" w:eastAsia="en-US"/>
        </w:rPr>
        <w:t>Obligaciones Negociables</w:t>
      </w:r>
      <w:r w:rsidRPr="00EA7870">
        <w:rPr>
          <w:bCs/>
          <w:iCs/>
          <w:sz w:val="20"/>
          <w:szCs w:val="20"/>
          <w:lang w:val="es-AR" w:eastAsia="en-US"/>
        </w:rPr>
        <w:t xml:space="preserve"> </w:t>
      </w:r>
      <w:r w:rsidR="009D24BD" w:rsidRPr="00EA7870">
        <w:rPr>
          <w:bCs/>
          <w:iCs/>
          <w:sz w:val="20"/>
          <w:szCs w:val="20"/>
          <w:lang w:val="es-AR" w:eastAsia="en-US"/>
        </w:rPr>
        <w:t xml:space="preserve">podrán integrarse </w:t>
      </w:r>
      <w:r w:rsidRPr="00EA7870">
        <w:rPr>
          <w:bCs/>
          <w:iCs/>
          <w:sz w:val="20"/>
          <w:szCs w:val="20"/>
          <w:lang w:val="es-AR" w:eastAsia="en-US"/>
        </w:rPr>
        <w:t xml:space="preserve">en Pesos </w:t>
      </w:r>
      <w:r w:rsidR="008F7D39" w:rsidRPr="00EA7870">
        <w:rPr>
          <w:bCs/>
          <w:iCs/>
          <w:sz w:val="20"/>
          <w:szCs w:val="20"/>
          <w:lang w:val="es-AR" w:eastAsia="en-US"/>
        </w:rPr>
        <w:t xml:space="preserve">o en Dólares </w:t>
      </w:r>
      <w:r w:rsidR="005F7833" w:rsidRPr="00EA7870">
        <w:rPr>
          <w:bCs/>
          <w:iCs/>
          <w:sz w:val="20"/>
          <w:szCs w:val="20"/>
          <w:lang w:val="es-AR" w:eastAsia="en-US"/>
        </w:rPr>
        <w:t xml:space="preserve">Estadounidenses </w:t>
      </w:r>
      <w:r w:rsidRPr="00EA7870">
        <w:rPr>
          <w:bCs/>
          <w:iCs/>
          <w:sz w:val="20"/>
          <w:szCs w:val="20"/>
          <w:lang w:val="es-AR" w:eastAsia="en-US"/>
        </w:rPr>
        <w:t xml:space="preserve">en </w:t>
      </w:r>
      <w:r w:rsidR="009E21A0" w:rsidRPr="00EA7870">
        <w:rPr>
          <w:bCs/>
          <w:iCs/>
          <w:sz w:val="20"/>
          <w:szCs w:val="20"/>
          <w:lang w:val="es-AR" w:eastAsia="en-US"/>
        </w:rPr>
        <w:t xml:space="preserve">la </w:t>
      </w:r>
      <w:r w:rsidRPr="00EA7870">
        <w:rPr>
          <w:bCs/>
          <w:iCs/>
          <w:sz w:val="20"/>
          <w:szCs w:val="20"/>
          <w:lang w:val="es-AR" w:eastAsia="en-US"/>
        </w:rPr>
        <w:t>Argentina</w:t>
      </w:r>
      <w:r w:rsidR="003A37B5" w:rsidRPr="00EA7870">
        <w:rPr>
          <w:bCs/>
          <w:iCs/>
          <w:sz w:val="20"/>
          <w:szCs w:val="20"/>
          <w:lang w:val="es-AR" w:eastAsia="en-US"/>
        </w:rPr>
        <w:t>;</w:t>
      </w:r>
      <w:r w:rsidR="00A95D88" w:rsidRPr="00EA7870">
        <w:rPr>
          <w:bCs/>
          <w:iCs/>
          <w:sz w:val="20"/>
          <w:szCs w:val="20"/>
          <w:lang w:val="es-AR" w:eastAsia="en-US"/>
        </w:rPr>
        <w:t xml:space="preserve"> para más información</w:t>
      </w:r>
      <w:r w:rsidR="00410282" w:rsidRPr="00EA7870">
        <w:rPr>
          <w:bCs/>
          <w:iCs/>
          <w:sz w:val="20"/>
          <w:szCs w:val="20"/>
          <w:lang w:val="es-AR" w:eastAsia="en-US"/>
        </w:rPr>
        <w:t>, v</w:t>
      </w:r>
      <w:r w:rsidRPr="00EA7870">
        <w:rPr>
          <w:bCs/>
          <w:iCs/>
          <w:sz w:val="20"/>
          <w:szCs w:val="20"/>
          <w:lang w:val="es-AR" w:eastAsia="en-US"/>
        </w:rPr>
        <w:t xml:space="preserve">éase </w:t>
      </w:r>
      <w:r w:rsidR="00410282" w:rsidRPr="00EA7870">
        <w:rPr>
          <w:bCs/>
          <w:iCs/>
          <w:sz w:val="20"/>
          <w:szCs w:val="20"/>
          <w:lang w:val="es-AR" w:eastAsia="en-US"/>
        </w:rPr>
        <w:t>“</w:t>
      </w:r>
      <w:r w:rsidRPr="00EA7870">
        <w:rPr>
          <w:bCs/>
          <w:i/>
          <w:iCs/>
          <w:sz w:val="20"/>
          <w:szCs w:val="20"/>
          <w:lang w:val="es-AR" w:eastAsia="en-US"/>
        </w:rPr>
        <w:t>Plan de distribución</w:t>
      </w:r>
      <w:r w:rsidR="00D66735" w:rsidRPr="00EA7870">
        <w:rPr>
          <w:i/>
          <w:color w:val="000000"/>
          <w:sz w:val="20"/>
          <w:szCs w:val="20"/>
          <w:lang w:val="es-AR"/>
        </w:rPr>
        <w:t>—</w:t>
      </w:r>
      <w:r w:rsidRPr="00EA7870">
        <w:rPr>
          <w:bCs/>
          <w:i/>
          <w:iCs/>
          <w:sz w:val="20"/>
          <w:szCs w:val="20"/>
          <w:lang w:val="es-AR" w:eastAsia="en-US"/>
        </w:rPr>
        <w:t>Liquidación</w:t>
      </w:r>
      <w:r w:rsidR="00410282" w:rsidRPr="00EA7870">
        <w:rPr>
          <w:bCs/>
          <w:iCs/>
          <w:sz w:val="20"/>
          <w:szCs w:val="20"/>
          <w:lang w:val="es-AR" w:eastAsia="en-US"/>
        </w:rPr>
        <w:t>” más adelante en este Suplemento</w:t>
      </w:r>
      <w:r w:rsidRPr="00EA7870">
        <w:rPr>
          <w:bCs/>
          <w:iCs/>
          <w:sz w:val="20"/>
          <w:szCs w:val="20"/>
          <w:lang w:val="es-AR" w:eastAsia="en-US"/>
        </w:rPr>
        <w:t xml:space="preserve">. </w:t>
      </w:r>
    </w:p>
    <w:p w14:paraId="42A76971" w14:textId="77777777" w:rsidR="003C5557" w:rsidRPr="00EA7870" w:rsidRDefault="003C5557" w:rsidP="003C5557">
      <w:pPr>
        <w:spacing w:after="240"/>
        <w:jc w:val="both"/>
        <w:rPr>
          <w:bCs/>
          <w:iCs/>
          <w:sz w:val="20"/>
          <w:szCs w:val="20"/>
          <w:lang w:val="es-AR" w:eastAsia="en-US"/>
        </w:rPr>
      </w:pPr>
      <w:r w:rsidRPr="00EA7870">
        <w:rPr>
          <w:bCs/>
          <w:iCs/>
          <w:sz w:val="20"/>
          <w:szCs w:val="20"/>
          <w:lang w:val="es-AR" w:eastAsia="en-US"/>
        </w:rPr>
        <w:t>De acuerdo con la normativa cambiaria vigente en Argentina</w:t>
      </w:r>
      <w:r w:rsidR="009E21A0" w:rsidRPr="00EA7870">
        <w:rPr>
          <w:bCs/>
          <w:iCs/>
          <w:sz w:val="20"/>
          <w:szCs w:val="20"/>
          <w:lang w:val="es-AR" w:eastAsia="en-US"/>
        </w:rPr>
        <w:t xml:space="preserve"> a la fecha de este Suplemento</w:t>
      </w:r>
      <w:r w:rsidRPr="00EA7870">
        <w:rPr>
          <w:bCs/>
          <w:iCs/>
          <w:sz w:val="20"/>
          <w:szCs w:val="20"/>
          <w:lang w:val="es-AR" w:eastAsia="en-US"/>
        </w:rPr>
        <w:t xml:space="preserve">, </w:t>
      </w:r>
      <w:r w:rsidR="00410282" w:rsidRPr="00EA7870">
        <w:rPr>
          <w:bCs/>
          <w:iCs/>
          <w:sz w:val="20"/>
          <w:szCs w:val="20"/>
          <w:lang w:val="es-AR" w:eastAsia="en-US"/>
        </w:rPr>
        <w:t>la</w:t>
      </w:r>
      <w:r w:rsidRPr="00EA7870">
        <w:rPr>
          <w:bCs/>
          <w:iCs/>
          <w:sz w:val="20"/>
          <w:szCs w:val="20"/>
          <w:lang w:val="es-AR" w:eastAsia="en-US"/>
        </w:rPr>
        <w:t xml:space="preserve"> Emisor</w:t>
      </w:r>
      <w:r w:rsidR="00410282" w:rsidRPr="00EA7870">
        <w:rPr>
          <w:bCs/>
          <w:iCs/>
          <w:sz w:val="20"/>
          <w:szCs w:val="20"/>
          <w:lang w:val="es-AR" w:eastAsia="en-US"/>
        </w:rPr>
        <w:t>a</w:t>
      </w:r>
      <w:r w:rsidRPr="00EA7870">
        <w:rPr>
          <w:bCs/>
          <w:iCs/>
          <w:sz w:val="20"/>
          <w:szCs w:val="20"/>
          <w:lang w:val="es-AR" w:eastAsia="en-US"/>
        </w:rPr>
        <w:t xml:space="preserve"> no tendría acceso al </w:t>
      </w:r>
      <w:r w:rsidR="00AA68F2" w:rsidRPr="00EA7870">
        <w:rPr>
          <w:bCs/>
          <w:iCs/>
          <w:sz w:val="20"/>
          <w:szCs w:val="20"/>
          <w:lang w:val="es-AR" w:eastAsia="en-US"/>
        </w:rPr>
        <w:t>MLC</w:t>
      </w:r>
      <w:r w:rsidRPr="00EA7870">
        <w:rPr>
          <w:bCs/>
          <w:iCs/>
          <w:sz w:val="20"/>
          <w:szCs w:val="20"/>
          <w:lang w:val="es-AR" w:eastAsia="en-US"/>
        </w:rPr>
        <w:t xml:space="preserve"> para adquirir Dólares </w:t>
      </w:r>
      <w:r w:rsidR="007038E0" w:rsidRPr="00EA7870">
        <w:rPr>
          <w:bCs/>
          <w:iCs/>
          <w:sz w:val="20"/>
          <w:szCs w:val="20"/>
          <w:lang w:val="es-AR" w:eastAsia="en-US"/>
        </w:rPr>
        <w:t>Estadounidenses</w:t>
      </w:r>
      <w:r w:rsidR="00410282" w:rsidRPr="00EA7870">
        <w:rPr>
          <w:bCs/>
          <w:iCs/>
          <w:sz w:val="20"/>
          <w:szCs w:val="20"/>
          <w:lang w:val="es-AR" w:eastAsia="en-US"/>
        </w:rPr>
        <w:t xml:space="preserve"> </w:t>
      </w:r>
      <w:r w:rsidRPr="00EA7870">
        <w:rPr>
          <w:bCs/>
          <w:iCs/>
          <w:sz w:val="20"/>
          <w:szCs w:val="20"/>
          <w:lang w:val="es-AR" w:eastAsia="en-US"/>
        </w:rPr>
        <w:t>para el pago de los servicios de deuda</w:t>
      </w:r>
      <w:r w:rsidR="00AA68F2" w:rsidRPr="00EA7870">
        <w:rPr>
          <w:bCs/>
          <w:iCs/>
          <w:sz w:val="20"/>
          <w:szCs w:val="20"/>
          <w:lang w:val="es-AR" w:eastAsia="en-US"/>
        </w:rPr>
        <w:t xml:space="preserve"> (capital e intereses)</w:t>
      </w:r>
      <w:r w:rsidRPr="00EA7870">
        <w:rPr>
          <w:bCs/>
          <w:iCs/>
          <w:sz w:val="20"/>
          <w:szCs w:val="20"/>
          <w:lang w:val="es-AR" w:eastAsia="en-US"/>
        </w:rPr>
        <w:t xml:space="preserve"> bajo l</w:t>
      </w:r>
      <w:r w:rsidR="00410282" w:rsidRPr="00EA7870">
        <w:rPr>
          <w:bCs/>
          <w:iCs/>
          <w:sz w:val="20"/>
          <w:szCs w:val="20"/>
          <w:lang w:val="es-AR" w:eastAsia="en-US"/>
        </w:rPr>
        <w:t>a</w:t>
      </w:r>
      <w:r w:rsidRPr="00EA7870">
        <w:rPr>
          <w:bCs/>
          <w:iCs/>
          <w:sz w:val="20"/>
          <w:szCs w:val="20"/>
          <w:lang w:val="es-AR" w:eastAsia="en-US"/>
        </w:rPr>
        <w:t xml:space="preserve">s </w:t>
      </w:r>
      <w:r w:rsidR="00410282" w:rsidRPr="00EA7870">
        <w:rPr>
          <w:bCs/>
          <w:iCs/>
          <w:sz w:val="20"/>
          <w:szCs w:val="20"/>
          <w:lang w:val="es-AR" w:eastAsia="en-US"/>
        </w:rPr>
        <w:t>Obligaciones Negociables</w:t>
      </w:r>
      <w:r w:rsidR="00037C12" w:rsidRPr="00EA7870">
        <w:rPr>
          <w:bCs/>
          <w:iCs/>
          <w:sz w:val="20"/>
          <w:szCs w:val="20"/>
          <w:lang w:val="es-AR" w:eastAsia="en-US"/>
        </w:rPr>
        <w:t>.</w:t>
      </w:r>
      <w:r w:rsidR="009D24BD" w:rsidRPr="00EA7870">
        <w:rPr>
          <w:bCs/>
          <w:iCs/>
          <w:sz w:val="20"/>
          <w:szCs w:val="20"/>
          <w:lang w:val="es-AR" w:eastAsia="en-US"/>
        </w:rPr>
        <w:t xml:space="preserve"> </w:t>
      </w:r>
      <w:r w:rsidRPr="00EA7870">
        <w:rPr>
          <w:bCs/>
          <w:iCs/>
          <w:sz w:val="20"/>
          <w:szCs w:val="20"/>
          <w:lang w:val="es-AR" w:eastAsia="en-US"/>
        </w:rPr>
        <w:t>Si las regulaciones cambiarias existentes no cambian para que l</w:t>
      </w:r>
      <w:r w:rsidR="00410282" w:rsidRPr="00EA7870">
        <w:rPr>
          <w:bCs/>
          <w:iCs/>
          <w:sz w:val="20"/>
          <w:szCs w:val="20"/>
          <w:lang w:val="es-AR" w:eastAsia="en-US"/>
        </w:rPr>
        <w:t>a</w:t>
      </w:r>
      <w:r w:rsidRPr="00EA7870">
        <w:rPr>
          <w:bCs/>
          <w:iCs/>
          <w:sz w:val="20"/>
          <w:szCs w:val="20"/>
          <w:lang w:val="es-AR" w:eastAsia="en-US"/>
        </w:rPr>
        <w:t xml:space="preserve"> Emisor</w:t>
      </w:r>
      <w:r w:rsidR="00410282" w:rsidRPr="00EA7870">
        <w:rPr>
          <w:bCs/>
          <w:iCs/>
          <w:sz w:val="20"/>
          <w:szCs w:val="20"/>
          <w:lang w:val="es-AR" w:eastAsia="en-US"/>
        </w:rPr>
        <w:t>a</w:t>
      </w:r>
      <w:r w:rsidRPr="00EA7870">
        <w:rPr>
          <w:bCs/>
          <w:iCs/>
          <w:sz w:val="20"/>
          <w:szCs w:val="20"/>
          <w:lang w:val="es-AR" w:eastAsia="en-US"/>
        </w:rPr>
        <w:t xml:space="preserve"> tenga acceso al MLC para adquirir Dólares </w:t>
      </w:r>
      <w:r w:rsidR="007038E0" w:rsidRPr="00EA7870">
        <w:rPr>
          <w:bCs/>
          <w:iCs/>
          <w:sz w:val="20"/>
          <w:szCs w:val="20"/>
          <w:lang w:val="es-AR" w:eastAsia="en-US"/>
        </w:rPr>
        <w:t>Estadounidenses</w:t>
      </w:r>
      <w:r w:rsidR="00410282" w:rsidRPr="00EA7870">
        <w:rPr>
          <w:bCs/>
          <w:iCs/>
          <w:sz w:val="20"/>
          <w:szCs w:val="20"/>
          <w:lang w:val="es-AR" w:eastAsia="en-US"/>
        </w:rPr>
        <w:t xml:space="preserve"> </w:t>
      </w:r>
      <w:r w:rsidRPr="00EA7870">
        <w:rPr>
          <w:bCs/>
          <w:iCs/>
          <w:sz w:val="20"/>
          <w:szCs w:val="20"/>
          <w:lang w:val="es-AR" w:eastAsia="en-US"/>
        </w:rPr>
        <w:t>para el pago de los servicios de deuda</w:t>
      </w:r>
      <w:r w:rsidR="00AA68F2" w:rsidRPr="00EA7870">
        <w:rPr>
          <w:bCs/>
          <w:iCs/>
          <w:sz w:val="20"/>
          <w:szCs w:val="20"/>
          <w:lang w:val="es-AR" w:eastAsia="en-US"/>
        </w:rPr>
        <w:t xml:space="preserve"> (capital e intereses)</w:t>
      </w:r>
      <w:r w:rsidRPr="00EA7870">
        <w:rPr>
          <w:bCs/>
          <w:iCs/>
          <w:sz w:val="20"/>
          <w:szCs w:val="20"/>
          <w:lang w:val="es-AR" w:eastAsia="en-US"/>
        </w:rPr>
        <w:t xml:space="preserve"> </w:t>
      </w:r>
      <w:r w:rsidR="009D24BD" w:rsidRPr="00EA7870">
        <w:rPr>
          <w:bCs/>
          <w:iCs/>
          <w:sz w:val="20"/>
          <w:szCs w:val="20"/>
          <w:lang w:val="es-AR" w:eastAsia="en-US"/>
        </w:rPr>
        <w:t xml:space="preserve">en relación con </w:t>
      </w:r>
      <w:r w:rsidR="00410282" w:rsidRPr="00EA7870">
        <w:rPr>
          <w:bCs/>
          <w:iCs/>
          <w:sz w:val="20"/>
          <w:szCs w:val="20"/>
          <w:lang w:val="es-AR" w:eastAsia="en-US"/>
        </w:rPr>
        <w:t>las Obligaciones Negociables</w:t>
      </w:r>
      <w:r w:rsidR="009D24BD" w:rsidRPr="00EA7870">
        <w:rPr>
          <w:bCs/>
          <w:iCs/>
          <w:sz w:val="20"/>
          <w:szCs w:val="20"/>
          <w:lang w:val="es-AR" w:eastAsia="en-US"/>
        </w:rPr>
        <w:t xml:space="preserve"> integradas en Pesos o en Dólares </w:t>
      </w:r>
      <w:r w:rsidR="005F7833" w:rsidRPr="00EA7870">
        <w:rPr>
          <w:bCs/>
          <w:iCs/>
          <w:sz w:val="20"/>
          <w:szCs w:val="20"/>
          <w:lang w:val="es-AR" w:eastAsia="en-US"/>
        </w:rPr>
        <w:t xml:space="preserve">Estadounidenses </w:t>
      </w:r>
      <w:r w:rsidR="009D24BD" w:rsidRPr="00EA7870">
        <w:rPr>
          <w:bCs/>
          <w:iCs/>
          <w:sz w:val="20"/>
          <w:szCs w:val="20"/>
          <w:lang w:val="es-AR" w:eastAsia="en-US"/>
        </w:rPr>
        <w:t>en la Argentina</w:t>
      </w:r>
      <w:r w:rsidRPr="00EA7870">
        <w:rPr>
          <w:bCs/>
          <w:iCs/>
          <w:sz w:val="20"/>
          <w:szCs w:val="20"/>
          <w:lang w:val="es-AR" w:eastAsia="en-US"/>
        </w:rPr>
        <w:t xml:space="preserve">, o si </w:t>
      </w:r>
      <w:r w:rsidR="00410282" w:rsidRPr="00EA7870">
        <w:rPr>
          <w:bCs/>
          <w:iCs/>
          <w:sz w:val="20"/>
          <w:szCs w:val="20"/>
          <w:lang w:val="es-AR" w:eastAsia="en-US"/>
        </w:rPr>
        <w:t xml:space="preserve">en el futuro </w:t>
      </w:r>
      <w:r w:rsidRPr="00EA7870">
        <w:rPr>
          <w:bCs/>
          <w:iCs/>
          <w:sz w:val="20"/>
          <w:szCs w:val="20"/>
          <w:lang w:val="es-AR" w:eastAsia="en-US"/>
        </w:rPr>
        <w:t>se imponen controles cambiarios</w:t>
      </w:r>
      <w:r w:rsidR="00F1634B" w:rsidRPr="00EA7870">
        <w:rPr>
          <w:bCs/>
          <w:iCs/>
          <w:sz w:val="20"/>
          <w:szCs w:val="20"/>
          <w:lang w:val="es-AR" w:eastAsia="en-US"/>
        </w:rPr>
        <w:t xml:space="preserve">, o se adoptan interpretaciones de las </w:t>
      </w:r>
      <w:r w:rsidR="00766CA1" w:rsidRPr="00EA7870">
        <w:rPr>
          <w:bCs/>
          <w:iCs/>
          <w:sz w:val="20"/>
          <w:szCs w:val="20"/>
          <w:lang w:val="es-AR" w:eastAsia="en-US"/>
        </w:rPr>
        <w:t xml:space="preserve">actuales o futuras </w:t>
      </w:r>
      <w:r w:rsidR="00F1634B" w:rsidRPr="00EA7870">
        <w:rPr>
          <w:bCs/>
          <w:iCs/>
          <w:sz w:val="20"/>
          <w:szCs w:val="20"/>
          <w:lang w:val="es-AR" w:eastAsia="en-US"/>
        </w:rPr>
        <w:t>normas cambiarias,</w:t>
      </w:r>
      <w:r w:rsidRPr="00EA7870">
        <w:rPr>
          <w:bCs/>
          <w:iCs/>
          <w:sz w:val="20"/>
          <w:szCs w:val="20"/>
          <w:lang w:val="es-AR" w:eastAsia="en-US"/>
        </w:rPr>
        <w:t xml:space="preserve"> que </w:t>
      </w:r>
      <w:r w:rsidR="007038E0" w:rsidRPr="00EA7870">
        <w:rPr>
          <w:bCs/>
          <w:iCs/>
          <w:sz w:val="20"/>
          <w:szCs w:val="20"/>
          <w:lang w:val="es-AR" w:eastAsia="en-US"/>
        </w:rPr>
        <w:t>restringen</w:t>
      </w:r>
      <w:r w:rsidRPr="00EA7870">
        <w:rPr>
          <w:bCs/>
          <w:iCs/>
          <w:sz w:val="20"/>
          <w:szCs w:val="20"/>
          <w:lang w:val="es-AR" w:eastAsia="en-US"/>
        </w:rPr>
        <w:t xml:space="preserve"> aún más el acceso al MLC o las transferencias al exterior, l</w:t>
      </w:r>
      <w:r w:rsidR="00410282" w:rsidRPr="00EA7870">
        <w:rPr>
          <w:bCs/>
          <w:iCs/>
          <w:sz w:val="20"/>
          <w:szCs w:val="20"/>
          <w:lang w:val="es-AR" w:eastAsia="en-US"/>
        </w:rPr>
        <w:t>a</w:t>
      </w:r>
      <w:r w:rsidRPr="00EA7870">
        <w:rPr>
          <w:bCs/>
          <w:iCs/>
          <w:sz w:val="20"/>
          <w:szCs w:val="20"/>
          <w:lang w:val="es-AR" w:eastAsia="en-US"/>
        </w:rPr>
        <w:t xml:space="preserve"> Emisor</w:t>
      </w:r>
      <w:r w:rsidR="00410282" w:rsidRPr="00EA7870">
        <w:rPr>
          <w:bCs/>
          <w:iCs/>
          <w:sz w:val="20"/>
          <w:szCs w:val="20"/>
          <w:lang w:val="es-AR" w:eastAsia="en-US"/>
        </w:rPr>
        <w:t>a</w:t>
      </w:r>
      <w:r w:rsidRPr="00EA7870">
        <w:rPr>
          <w:bCs/>
          <w:iCs/>
          <w:sz w:val="20"/>
          <w:szCs w:val="20"/>
          <w:lang w:val="es-AR" w:eastAsia="en-US"/>
        </w:rPr>
        <w:t xml:space="preserve"> </w:t>
      </w:r>
      <w:r w:rsidR="00F1634B" w:rsidRPr="00EA7870">
        <w:rPr>
          <w:bCs/>
          <w:iCs/>
          <w:sz w:val="20"/>
          <w:szCs w:val="20"/>
          <w:lang w:val="es-AR" w:eastAsia="en-US"/>
        </w:rPr>
        <w:t xml:space="preserve">podría tener que </w:t>
      </w:r>
      <w:r w:rsidRPr="00EA7870">
        <w:rPr>
          <w:bCs/>
          <w:iCs/>
          <w:sz w:val="20"/>
          <w:szCs w:val="20"/>
          <w:lang w:val="es-AR" w:eastAsia="en-US"/>
        </w:rPr>
        <w:t>pagar tod</w:t>
      </w:r>
      <w:r w:rsidR="007038E0" w:rsidRPr="00EA7870">
        <w:rPr>
          <w:bCs/>
          <w:iCs/>
          <w:sz w:val="20"/>
          <w:szCs w:val="20"/>
          <w:lang w:val="es-AR" w:eastAsia="en-US"/>
        </w:rPr>
        <w:t>o</w:t>
      </w:r>
      <w:r w:rsidRPr="00EA7870">
        <w:rPr>
          <w:bCs/>
          <w:iCs/>
          <w:sz w:val="20"/>
          <w:szCs w:val="20"/>
          <w:lang w:val="es-AR" w:eastAsia="en-US"/>
        </w:rPr>
        <w:t>s</w:t>
      </w:r>
      <w:r w:rsidR="00F1634B" w:rsidRPr="00EA7870">
        <w:rPr>
          <w:bCs/>
          <w:iCs/>
          <w:sz w:val="20"/>
          <w:szCs w:val="20"/>
          <w:lang w:val="es-AR" w:eastAsia="en-US"/>
        </w:rPr>
        <w:t>, o una porción sustancial de,</w:t>
      </w:r>
      <w:r w:rsidRPr="00EA7870">
        <w:rPr>
          <w:bCs/>
          <w:iCs/>
          <w:sz w:val="20"/>
          <w:szCs w:val="20"/>
          <w:lang w:val="es-AR" w:eastAsia="en-US"/>
        </w:rPr>
        <w:t xml:space="preserve"> l</w:t>
      </w:r>
      <w:r w:rsidR="007038E0" w:rsidRPr="00EA7870">
        <w:rPr>
          <w:bCs/>
          <w:iCs/>
          <w:sz w:val="20"/>
          <w:szCs w:val="20"/>
          <w:lang w:val="es-AR" w:eastAsia="en-US"/>
        </w:rPr>
        <w:t>o</w:t>
      </w:r>
      <w:r w:rsidRPr="00EA7870">
        <w:rPr>
          <w:bCs/>
          <w:iCs/>
          <w:sz w:val="20"/>
          <w:szCs w:val="20"/>
          <w:lang w:val="es-AR" w:eastAsia="en-US"/>
        </w:rPr>
        <w:t xml:space="preserve">s </w:t>
      </w:r>
      <w:r w:rsidR="007038E0" w:rsidRPr="00EA7870">
        <w:rPr>
          <w:bCs/>
          <w:iCs/>
          <w:sz w:val="20"/>
          <w:szCs w:val="20"/>
          <w:lang w:val="es-AR" w:eastAsia="en-US"/>
        </w:rPr>
        <w:t>montos</w:t>
      </w:r>
      <w:r w:rsidRPr="00EA7870">
        <w:rPr>
          <w:bCs/>
          <w:iCs/>
          <w:sz w:val="20"/>
          <w:szCs w:val="20"/>
          <w:lang w:val="es-AR" w:eastAsia="en-US"/>
        </w:rPr>
        <w:t xml:space="preserve"> pagader</w:t>
      </w:r>
      <w:r w:rsidR="007038E0" w:rsidRPr="00EA7870">
        <w:rPr>
          <w:bCs/>
          <w:iCs/>
          <w:sz w:val="20"/>
          <w:szCs w:val="20"/>
          <w:lang w:val="es-AR" w:eastAsia="en-US"/>
        </w:rPr>
        <w:t>o</w:t>
      </w:r>
      <w:r w:rsidRPr="00EA7870">
        <w:rPr>
          <w:bCs/>
          <w:iCs/>
          <w:sz w:val="20"/>
          <w:szCs w:val="20"/>
          <w:lang w:val="es-AR" w:eastAsia="en-US"/>
        </w:rPr>
        <w:t xml:space="preserve">s bajo </w:t>
      </w:r>
      <w:r w:rsidR="00410282" w:rsidRPr="00EA7870">
        <w:rPr>
          <w:bCs/>
          <w:iCs/>
          <w:sz w:val="20"/>
          <w:szCs w:val="20"/>
          <w:lang w:val="es-AR" w:eastAsia="en-US"/>
        </w:rPr>
        <w:t xml:space="preserve">las Obligaciones Negociables </w:t>
      </w:r>
      <w:r w:rsidRPr="00EA7870">
        <w:rPr>
          <w:bCs/>
          <w:iCs/>
          <w:sz w:val="20"/>
          <w:szCs w:val="20"/>
          <w:lang w:val="es-AR" w:eastAsia="en-US"/>
        </w:rPr>
        <w:t xml:space="preserve">en </w:t>
      </w:r>
      <w:r w:rsidR="007E69F5" w:rsidRPr="00EA7870">
        <w:rPr>
          <w:bCs/>
          <w:iCs/>
          <w:sz w:val="20"/>
          <w:szCs w:val="20"/>
          <w:lang w:val="es-AR" w:eastAsia="en-US"/>
        </w:rPr>
        <w:t>Dólares Estadounidenses</w:t>
      </w:r>
      <w:r w:rsidRPr="00EA7870">
        <w:rPr>
          <w:bCs/>
          <w:iCs/>
          <w:sz w:val="20"/>
          <w:szCs w:val="20"/>
          <w:lang w:val="es-AR" w:eastAsia="en-US"/>
        </w:rPr>
        <w:t xml:space="preserve"> con Dólar</w:t>
      </w:r>
      <w:r w:rsidR="007038E0" w:rsidRPr="00EA7870">
        <w:rPr>
          <w:bCs/>
          <w:iCs/>
          <w:sz w:val="20"/>
          <w:szCs w:val="20"/>
          <w:lang w:val="es-AR" w:eastAsia="en-US"/>
        </w:rPr>
        <w:t>es</w:t>
      </w:r>
      <w:r w:rsidRPr="00EA7870">
        <w:rPr>
          <w:bCs/>
          <w:iCs/>
          <w:sz w:val="20"/>
          <w:szCs w:val="20"/>
          <w:lang w:val="es-AR" w:eastAsia="en-US"/>
        </w:rPr>
        <w:t xml:space="preserve"> </w:t>
      </w:r>
      <w:r w:rsidR="007038E0" w:rsidRPr="00EA7870">
        <w:rPr>
          <w:bCs/>
          <w:iCs/>
          <w:sz w:val="20"/>
          <w:szCs w:val="20"/>
          <w:lang w:val="es-AR" w:eastAsia="en-US"/>
        </w:rPr>
        <w:t>Estadounidenses</w:t>
      </w:r>
      <w:r w:rsidR="00410282" w:rsidRPr="00EA7870">
        <w:rPr>
          <w:bCs/>
          <w:iCs/>
          <w:sz w:val="20"/>
          <w:szCs w:val="20"/>
          <w:lang w:val="es-AR" w:eastAsia="en-US"/>
        </w:rPr>
        <w:t xml:space="preserve"> de </w:t>
      </w:r>
      <w:r w:rsidRPr="00EA7870">
        <w:rPr>
          <w:bCs/>
          <w:iCs/>
          <w:sz w:val="20"/>
          <w:szCs w:val="20"/>
          <w:lang w:val="es-AR" w:eastAsia="en-US"/>
        </w:rPr>
        <w:t xml:space="preserve">libre </w:t>
      </w:r>
      <w:r w:rsidR="007038E0" w:rsidRPr="00EA7870">
        <w:rPr>
          <w:bCs/>
          <w:iCs/>
          <w:sz w:val="20"/>
          <w:szCs w:val="20"/>
          <w:lang w:val="es-AR" w:eastAsia="en-US"/>
        </w:rPr>
        <w:t>disponibilidad</w:t>
      </w:r>
      <w:r w:rsidRPr="00EA7870">
        <w:rPr>
          <w:bCs/>
          <w:iCs/>
          <w:sz w:val="20"/>
          <w:szCs w:val="20"/>
          <w:lang w:val="es-AR" w:eastAsia="en-US"/>
        </w:rPr>
        <w:t xml:space="preserve"> que </w:t>
      </w:r>
      <w:r w:rsidR="00410282" w:rsidRPr="00EA7870">
        <w:rPr>
          <w:bCs/>
          <w:iCs/>
          <w:sz w:val="20"/>
          <w:szCs w:val="20"/>
          <w:lang w:val="es-AR" w:eastAsia="en-US"/>
        </w:rPr>
        <w:t>posea</w:t>
      </w:r>
      <w:r w:rsidRPr="00EA7870">
        <w:rPr>
          <w:bCs/>
          <w:iCs/>
          <w:sz w:val="20"/>
          <w:szCs w:val="20"/>
          <w:lang w:val="es-AR" w:eastAsia="en-US"/>
        </w:rPr>
        <w:t xml:space="preserve"> en Argentina o en el exterior, o por cualquier otro medio permitido por la ley en Argentina. </w:t>
      </w:r>
      <w:r w:rsidR="00410282" w:rsidRPr="00EA7870">
        <w:rPr>
          <w:bCs/>
          <w:iCs/>
          <w:sz w:val="20"/>
          <w:szCs w:val="20"/>
          <w:lang w:val="es-AR" w:eastAsia="en-US"/>
        </w:rPr>
        <w:t>Para más información v</w:t>
      </w:r>
      <w:r w:rsidRPr="00EA7870">
        <w:rPr>
          <w:bCs/>
          <w:iCs/>
          <w:sz w:val="20"/>
          <w:szCs w:val="20"/>
          <w:lang w:val="es-AR" w:eastAsia="en-US"/>
        </w:rPr>
        <w:t xml:space="preserve">éase </w:t>
      </w:r>
      <w:r w:rsidR="00410282" w:rsidRPr="00EA7870">
        <w:rPr>
          <w:bCs/>
          <w:iCs/>
          <w:sz w:val="20"/>
          <w:szCs w:val="20"/>
          <w:lang w:val="es-AR" w:eastAsia="en-US"/>
        </w:rPr>
        <w:t>“</w:t>
      </w:r>
      <w:r w:rsidRPr="00EA7870">
        <w:rPr>
          <w:bCs/>
          <w:i/>
          <w:iCs/>
          <w:sz w:val="20"/>
          <w:szCs w:val="20"/>
          <w:lang w:val="es-AR" w:eastAsia="en-US"/>
        </w:rPr>
        <w:t xml:space="preserve">Descripción de </w:t>
      </w:r>
      <w:r w:rsidR="00410282" w:rsidRPr="00EA7870">
        <w:rPr>
          <w:bCs/>
          <w:i/>
          <w:iCs/>
          <w:sz w:val="20"/>
          <w:szCs w:val="20"/>
          <w:lang w:val="es-AR" w:eastAsia="en-US"/>
        </w:rPr>
        <w:t>las Obligaciones Negociables</w:t>
      </w:r>
      <w:r w:rsidR="00D66735" w:rsidRPr="00EA7870">
        <w:rPr>
          <w:i/>
          <w:color w:val="000000"/>
          <w:sz w:val="20"/>
          <w:szCs w:val="20"/>
          <w:lang w:val="es-AR"/>
        </w:rPr>
        <w:t>—</w:t>
      </w:r>
      <w:r w:rsidR="006239C2" w:rsidRPr="00EA7870">
        <w:rPr>
          <w:i/>
          <w:color w:val="000000"/>
          <w:sz w:val="20"/>
          <w:szCs w:val="20"/>
          <w:lang w:val="es-AR"/>
        </w:rPr>
        <w:t>Indemnidad de Moneda</w:t>
      </w:r>
      <w:r w:rsidR="00410282" w:rsidRPr="00EA7870">
        <w:rPr>
          <w:bCs/>
          <w:iCs/>
          <w:sz w:val="20"/>
          <w:szCs w:val="20"/>
          <w:lang w:val="es-AR" w:eastAsia="en-US"/>
        </w:rPr>
        <w:t>” en este Suplemento</w:t>
      </w:r>
      <w:r w:rsidRPr="00EA7870">
        <w:rPr>
          <w:bCs/>
          <w:iCs/>
          <w:sz w:val="20"/>
          <w:szCs w:val="20"/>
          <w:lang w:val="es-AR" w:eastAsia="en-US"/>
        </w:rPr>
        <w:t xml:space="preserve">. Alternativamente, el pago de los </w:t>
      </w:r>
      <w:r w:rsidR="00410282" w:rsidRPr="00EA7870">
        <w:rPr>
          <w:bCs/>
          <w:iCs/>
          <w:sz w:val="20"/>
          <w:szCs w:val="20"/>
          <w:lang w:val="es-AR" w:eastAsia="en-US"/>
        </w:rPr>
        <w:t>intereses y/o capital</w:t>
      </w:r>
      <w:r w:rsidRPr="00EA7870">
        <w:rPr>
          <w:bCs/>
          <w:iCs/>
          <w:sz w:val="20"/>
          <w:szCs w:val="20"/>
          <w:lang w:val="es-AR" w:eastAsia="en-US"/>
        </w:rPr>
        <w:t xml:space="preserve"> </w:t>
      </w:r>
      <w:r w:rsidR="00410282" w:rsidRPr="00EA7870">
        <w:rPr>
          <w:bCs/>
          <w:iCs/>
          <w:sz w:val="20"/>
          <w:szCs w:val="20"/>
          <w:lang w:val="es-AR" w:eastAsia="en-US"/>
        </w:rPr>
        <w:t>bajo las Obligaciones Negociables</w:t>
      </w:r>
      <w:r w:rsidRPr="00EA7870">
        <w:rPr>
          <w:bCs/>
          <w:iCs/>
          <w:sz w:val="20"/>
          <w:szCs w:val="20"/>
          <w:lang w:val="es-AR" w:eastAsia="en-US"/>
        </w:rPr>
        <w:t xml:space="preserve"> </w:t>
      </w:r>
      <w:r w:rsidR="00DA107D" w:rsidRPr="00EA7870">
        <w:rPr>
          <w:bCs/>
          <w:iCs/>
          <w:sz w:val="20"/>
          <w:szCs w:val="20"/>
          <w:lang w:val="es-AR" w:eastAsia="en-US"/>
        </w:rPr>
        <w:t xml:space="preserve">podría tener que </w:t>
      </w:r>
      <w:r w:rsidRPr="00EA7870">
        <w:rPr>
          <w:bCs/>
          <w:iCs/>
          <w:sz w:val="20"/>
          <w:szCs w:val="20"/>
          <w:lang w:val="es-AR" w:eastAsia="en-US"/>
        </w:rPr>
        <w:t>ser efectuado por l</w:t>
      </w:r>
      <w:r w:rsidR="00410282" w:rsidRPr="00EA7870">
        <w:rPr>
          <w:bCs/>
          <w:iCs/>
          <w:sz w:val="20"/>
          <w:szCs w:val="20"/>
          <w:lang w:val="es-AR" w:eastAsia="en-US"/>
        </w:rPr>
        <w:t>a</w:t>
      </w:r>
      <w:r w:rsidRPr="00EA7870">
        <w:rPr>
          <w:bCs/>
          <w:iCs/>
          <w:sz w:val="20"/>
          <w:szCs w:val="20"/>
          <w:lang w:val="es-AR" w:eastAsia="en-US"/>
        </w:rPr>
        <w:t xml:space="preserve"> Garante en virtud de la Garantía.</w:t>
      </w:r>
      <w:r w:rsidR="00410282" w:rsidRPr="00EA7870">
        <w:rPr>
          <w:bCs/>
          <w:iCs/>
          <w:sz w:val="20"/>
          <w:szCs w:val="20"/>
          <w:lang w:val="es-AR" w:eastAsia="en-US"/>
        </w:rPr>
        <w:t xml:space="preserve"> </w:t>
      </w:r>
    </w:p>
    <w:p w14:paraId="2B84EE57" w14:textId="77777777" w:rsidR="008C448F" w:rsidRPr="00EA7870" w:rsidRDefault="008C448F" w:rsidP="008C448F">
      <w:pPr>
        <w:jc w:val="both"/>
        <w:rPr>
          <w:color w:val="000000" w:themeColor="text1"/>
          <w:sz w:val="20"/>
          <w:szCs w:val="20"/>
          <w:lang w:val="es-AR" w:eastAsia="en-US"/>
        </w:rPr>
      </w:pPr>
      <w:r w:rsidRPr="00EA7870">
        <w:rPr>
          <w:color w:val="000000" w:themeColor="text1"/>
          <w:sz w:val="20"/>
          <w:szCs w:val="20"/>
          <w:lang w:val="es-AR" w:eastAsia="en-US"/>
        </w:rPr>
        <w:t>No es posible anticipar si la vigencia de los controles cambiarios será extendida más allá del 31 de diciembre de 2019. El gobierno argentino podría mantener dichos controles o imponer nuevos controles cambiarios, restricciones a la transferencia o requisitos que puedan afectar la capacidad de los inversores de recibir pagos en virtud de las Obligaciones Negociables o repatriar su inversión en las Obligaciones Negociables.</w:t>
      </w:r>
    </w:p>
    <w:p w14:paraId="25B854BA" w14:textId="77777777" w:rsidR="001F4F32" w:rsidRPr="00EA7870" w:rsidRDefault="00036374" w:rsidP="00C22395">
      <w:pPr>
        <w:spacing w:after="240"/>
        <w:jc w:val="both"/>
        <w:rPr>
          <w:sz w:val="20"/>
          <w:szCs w:val="20"/>
          <w:lang w:val="es-AR" w:eastAsia="en-US"/>
        </w:rPr>
      </w:pPr>
      <w:r w:rsidRPr="00EA7870">
        <w:rPr>
          <w:b/>
          <w:sz w:val="20"/>
          <w:szCs w:val="20"/>
        </w:rPr>
        <w:br w:type="page"/>
      </w:r>
      <w:bookmarkEnd w:id="100"/>
      <w:bookmarkEnd w:id="101"/>
    </w:p>
    <w:p w14:paraId="2B97243C" w14:textId="77777777" w:rsidR="00B530EF" w:rsidRPr="00EA7870" w:rsidRDefault="00B530EF" w:rsidP="00E913A3">
      <w:pPr>
        <w:pStyle w:val="Ttulo1"/>
        <w:spacing w:before="0" w:after="0"/>
        <w:jc w:val="center"/>
        <w:rPr>
          <w:rFonts w:ascii="Times New Roman" w:hAnsi="Times New Roman"/>
          <w:sz w:val="20"/>
          <w:lang w:val="es-AR"/>
        </w:rPr>
      </w:pPr>
      <w:bookmarkStart w:id="102" w:name="_Toc467143444"/>
      <w:bookmarkStart w:id="103" w:name="_Toc428964321"/>
      <w:bookmarkStart w:id="104" w:name="_Toc245729496"/>
      <w:bookmarkStart w:id="105" w:name="_Toc337141359"/>
      <w:bookmarkStart w:id="106" w:name="_Toc24360365"/>
      <w:bookmarkStart w:id="107" w:name="_Toc24363270"/>
      <w:bookmarkEnd w:id="102"/>
      <w:bookmarkEnd w:id="103"/>
      <w:r w:rsidRPr="00EA7870">
        <w:rPr>
          <w:rFonts w:ascii="Times New Roman" w:hAnsi="Times New Roman"/>
          <w:sz w:val="20"/>
          <w:lang w:val="es-AR"/>
        </w:rPr>
        <w:lastRenderedPageBreak/>
        <w:t>TÉRMINOS Y CONDICIONES</w:t>
      </w:r>
      <w:bookmarkStart w:id="108" w:name="_Toc245729497"/>
      <w:bookmarkEnd w:id="104"/>
      <w:r w:rsidRPr="00EA7870">
        <w:rPr>
          <w:rFonts w:ascii="Times New Roman" w:hAnsi="Times New Roman"/>
          <w:sz w:val="20"/>
          <w:lang w:val="es-AR"/>
        </w:rPr>
        <w:t xml:space="preserve"> DE LAS OBLIGACIONES NEGOCIABLES</w:t>
      </w:r>
      <w:bookmarkEnd w:id="105"/>
      <w:bookmarkEnd w:id="106"/>
      <w:bookmarkEnd w:id="107"/>
      <w:bookmarkEnd w:id="108"/>
    </w:p>
    <w:p w14:paraId="6055E245" w14:textId="77777777" w:rsidR="00A90677" w:rsidRPr="00EA7870" w:rsidRDefault="00A90677" w:rsidP="00C32E50">
      <w:pPr>
        <w:jc w:val="center"/>
        <w:rPr>
          <w:sz w:val="20"/>
          <w:szCs w:val="20"/>
          <w:lang w:val="es-AR"/>
        </w:rPr>
      </w:pPr>
    </w:p>
    <w:p w14:paraId="59D64E0D" w14:textId="77777777" w:rsidR="00B530EF" w:rsidRPr="00EA7870" w:rsidRDefault="00B530EF" w:rsidP="00594A4A">
      <w:pPr>
        <w:pStyle w:val="fdBodyText"/>
        <w:ind w:firstLine="0"/>
        <w:jc w:val="both"/>
        <w:rPr>
          <w:i/>
          <w:lang w:val="es-AR"/>
        </w:rPr>
      </w:pPr>
      <w:r w:rsidRPr="00EA7870">
        <w:rPr>
          <w:i/>
          <w:lang w:val="es-AR"/>
        </w:rPr>
        <w:t>El siguiente resumen contiene información básica sobre las Obligaciones Negociables y no pretende ser exhaustivo. Para una mayor comprensión de las Obligaciones Negociables, remitirse a la sección titulada “Descripción de las Obligaciones Negociables” en el presente Suplemento.</w:t>
      </w:r>
    </w:p>
    <w:tbl>
      <w:tblPr>
        <w:tblW w:w="5001" w:type="pct"/>
        <w:tblLayout w:type="fixed"/>
        <w:tblCellMar>
          <w:left w:w="115" w:type="dxa"/>
          <w:right w:w="115" w:type="dxa"/>
        </w:tblCellMar>
        <w:tblLook w:val="0000" w:firstRow="0" w:lastRow="0" w:firstColumn="0" w:lastColumn="0" w:noHBand="0" w:noVBand="0"/>
      </w:tblPr>
      <w:tblGrid>
        <w:gridCol w:w="4096"/>
        <w:gridCol w:w="4410"/>
      </w:tblGrid>
      <w:tr w:rsidR="00B530EF" w:rsidRPr="00EA7870" w14:paraId="299F1AA6" w14:textId="77777777" w:rsidTr="008C3631">
        <w:trPr>
          <w:trHeight w:val="20"/>
        </w:trPr>
        <w:tc>
          <w:tcPr>
            <w:tcW w:w="4096" w:type="dxa"/>
          </w:tcPr>
          <w:p w14:paraId="0D7D3286" w14:textId="77777777" w:rsidR="00B530EF" w:rsidRPr="00EA7870" w:rsidRDefault="00B530EF" w:rsidP="003D31BC">
            <w:pPr>
              <w:tabs>
                <w:tab w:val="right" w:leader="dot" w:pos="4400"/>
              </w:tabs>
              <w:ind w:left="360" w:right="360" w:hanging="360"/>
              <w:rPr>
                <w:b/>
                <w:sz w:val="20"/>
                <w:szCs w:val="20"/>
                <w:lang w:val="es-AR" w:bidi="he-IL"/>
              </w:rPr>
            </w:pPr>
            <w:r w:rsidRPr="00EA7870">
              <w:rPr>
                <w:b/>
                <w:sz w:val="20"/>
                <w:szCs w:val="20"/>
                <w:lang w:val="es-AR" w:bidi="he-IL"/>
              </w:rPr>
              <w:t>Emisora</w:t>
            </w:r>
            <w:r w:rsidRPr="00EA7870">
              <w:rPr>
                <w:sz w:val="20"/>
                <w:szCs w:val="20"/>
                <w:lang w:val="es-AR" w:bidi="he-IL"/>
              </w:rPr>
              <w:t xml:space="preserve"> </w:t>
            </w:r>
            <w:r w:rsidRPr="00EA7870">
              <w:rPr>
                <w:sz w:val="20"/>
                <w:szCs w:val="20"/>
                <w:lang w:val="es-AR" w:bidi="he-IL"/>
              </w:rPr>
              <w:tab/>
            </w:r>
          </w:p>
        </w:tc>
        <w:tc>
          <w:tcPr>
            <w:tcW w:w="4410" w:type="dxa"/>
          </w:tcPr>
          <w:p w14:paraId="17080471" w14:textId="77777777" w:rsidR="00B530EF" w:rsidRPr="00EA7870" w:rsidRDefault="00790F8F" w:rsidP="00594A4A">
            <w:pPr>
              <w:spacing w:after="200"/>
              <w:rPr>
                <w:color w:val="000000"/>
                <w:sz w:val="20"/>
                <w:szCs w:val="20"/>
                <w:lang w:val="es-AR" w:bidi="he-IL"/>
              </w:rPr>
            </w:pPr>
            <w:r w:rsidRPr="00EA7870">
              <w:rPr>
                <w:sz w:val="20"/>
                <w:szCs w:val="20"/>
                <w:lang w:val="es-AR" w:bidi="he-IL"/>
              </w:rPr>
              <w:t>Pan American Energy</w:t>
            </w:r>
            <w:r w:rsidR="009369F6" w:rsidRPr="00EA7870">
              <w:rPr>
                <w:sz w:val="20"/>
                <w:szCs w:val="20"/>
                <w:lang w:val="es-AR" w:bidi="he-IL"/>
              </w:rPr>
              <w:t>, S.L.</w:t>
            </w:r>
            <w:r w:rsidRPr="00EA7870">
              <w:rPr>
                <w:sz w:val="20"/>
                <w:szCs w:val="20"/>
                <w:lang w:val="es-AR" w:bidi="he-IL"/>
              </w:rPr>
              <w:t>, Sucursal Argentina</w:t>
            </w:r>
            <w:r w:rsidR="004F20EE" w:rsidRPr="00EA7870">
              <w:rPr>
                <w:sz w:val="20"/>
                <w:szCs w:val="20"/>
                <w:lang w:val="es-AR" w:bidi="he-IL"/>
              </w:rPr>
              <w:t>.</w:t>
            </w:r>
          </w:p>
        </w:tc>
      </w:tr>
      <w:tr w:rsidR="00274FCB" w:rsidRPr="00EA7870" w14:paraId="0A8C5F65" w14:textId="77777777" w:rsidTr="008C3631">
        <w:trPr>
          <w:trHeight w:val="20"/>
        </w:trPr>
        <w:tc>
          <w:tcPr>
            <w:tcW w:w="4096" w:type="dxa"/>
          </w:tcPr>
          <w:p w14:paraId="57CE239A"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Garante</w:t>
            </w:r>
            <w:r w:rsidRPr="00EA7870">
              <w:rPr>
                <w:sz w:val="20"/>
                <w:szCs w:val="20"/>
                <w:lang w:val="es-AR" w:bidi="he-IL"/>
              </w:rPr>
              <w:t xml:space="preserve"> </w:t>
            </w:r>
            <w:r w:rsidRPr="00EA7870">
              <w:rPr>
                <w:sz w:val="20"/>
                <w:szCs w:val="20"/>
                <w:lang w:val="es-AR" w:bidi="he-IL"/>
              </w:rPr>
              <w:tab/>
            </w:r>
          </w:p>
        </w:tc>
        <w:tc>
          <w:tcPr>
            <w:tcW w:w="4410" w:type="dxa"/>
          </w:tcPr>
          <w:p w14:paraId="1A38A7DC" w14:textId="77777777" w:rsidR="00274FCB" w:rsidRPr="00EA7870" w:rsidRDefault="00274FCB" w:rsidP="00274FCB">
            <w:pPr>
              <w:spacing w:after="200"/>
              <w:rPr>
                <w:sz w:val="20"/>
                <w:szCs w:val="20"/>
                <w:lang w:val="es-AR" w:bidi="he-IL"/>
              </w:rPr>
            </w:pPr>
            <w:r w:rsidRPr="00EA7870">
              <w:rPr>
                <w:sz w:val="20"/>
                <w:szCs w:val="20"/>
                <w:lang w:val="es-AR" w:bidi="he-IL"/>
              </w:rPr>
              <w:t>Pan American Energy</w:t>
            </w:r>
            <w:r w:rsidR="009369F6" w:rsidRPr="00EA7870">
              <w:rPr>
                <w:sz w:val="20"/>
                <w:szCs w:val="20"/>
                <w:lang w:val="es-AR" w:bidi="he-IL"/>
              </w:rPr>
              <w:t>, S.L</w:t>
            </w:r>
            <w:r w:rsidR="004F20EE" w:rsidRPr="00EA7870">
              <w:rPr>
                <w:sz w:val="20"/>
                <w:szCs w:val="20"/>
                <w:lang w:val="es-AR" w:bidi="he-IL"/>
              </w:rPr>
              <w:t>.</w:t>
            </w:r>
          </w:p>
        </w:tc>
      </w:tr>
      <w:tr w:rsidR="00451503" w:rsidRPr="00EA7870" w14:paraId="384233ED" w14:textId="77777777" w:rsidTr="008C3631">
        <w:trPr>
          <w:trHeight w:val="20"/>
        </w:trPr>
        <w:tc>
          <w:tcPr>
            <w:tcW w:w="4096" w:type="dxa"/>
          </w:tcPr>
          <w:p w14:paraId="46344935" w14:textId="77777777" w:rsidR="00451503" w:rsidRPr="00EA7870" w:rsidRDefault="00451503" w:rsidP="00274FCB">
            <w:pPr>
              <w:tabs>
                <w:tab w:val="right" w:leader="dot" w:pos="4400"/>
              </w:tabs>
              <w:ind w:left="360" w:right="360" w:hanging="360"/>
              <w:rPr>
                <w:b/>
                <w:sz w:val="20"/>
                <w:szCs w:val="20"/>
                <w:lang w:val="es-AR" w:bidi="he-IL"/>
              </w:rPr>
            </w:pPr>
            <w:r w:rsidRPr="00EA7870">
              <w:rPr>
                <w:b/>
                <w:sz w:val="20"/>
                <w:szCs w:val="20"/>
                <w:lang w:val="es-AR" w:bidi="he-IL"/>
              </w:rPr>
              <w:t>Descripción</w:t>
            </w:r>
            <w:r w:rsidR="007D2CF2" w:rsidRPr="00EA7870">
              <w:rPr>
                <w:sz w:val="20"/>
                <w:szCs w:val="20"/>
                <w:lang w:val="es-AR" w:bidi="he-IL"/>
              </w:rPr>
              <w:tab/>
            </w:r>
          </w:p>
        </w:tc>
        <w:tc>
          <w:tcPr>
            <w:tcW w:w="4410" w:type="dxa"/>
          </w:tcPr>
          <w:p w14:paraId="5EE953D6" w14:textId="77777777" w:rsidR="00451503" w:rsidRPr="00EA7870" w:rsidRDefault="00451503" w:rsidP="00185092">
            <w:pPr>
              <w:spacing w:after="200"/>
              <w:jc w:val="both"/>
              <w:rPr>
                <w:sz w:val="20"/>
                <w:szCs w:val="20"/>
                <w:lang w:val="es-AR" w:bidi="he-IL"/>
              </w:rPr>
            </w:pPr>
            <w:r w:rsidRPr="00EA7870">
              <w:rPr>
                <w:sz w:val="20"/>
                <w:szCs w:val="20"/>
                <w:lang w:val="es-AR" w:bidi="he-IL"/>
              </w:rPr>
              <w:t>Obligaciones negociables simples no convertibles en acciones, no subordinadas, incondicional e irrevocablemente garantizadas por la Garante, emitidas conforme con la Ley de Obligaciones Negociables y demás normas vigentes.</w:t>
            </w:r>
            <w:r w:rsidR="000F24A2" w:rsidRPr="00EA7870">
              <w:rPr>
                <w:sz w:val="20"/>
                <w:szCs w:val="20"/>
                <w:lang w:val="es-AR" w:bidi="he-IL"/>
              </w:rPr>
              <w:t xml:space="preserve"> </w:t>
            </w:r>
          </w:p>
        </w:tc>
      </w:tr>
      <w:tr w:rsidR="00274FCB" w:rsidRPr="00EA7870" w14:paraId="16726ABF" w14:textId="77777777" w:rsidTr="008C3631">
        <w:trPr>
          <w:trHeight w:val="20"/>
        </w:trPr>
        <w:tc>
          <w:tcPr>
            <w:tcW w:w="4096" w:type="dxa"/>
          </w:tcPr>
          <w:p w14:paraId="5ECED640"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Clase</w:t>
            </w:r>
            <w:r w:rsidRPr="00EA7870">
              <w:rPr>
                <w:sz w:val="20"/>
                <w:szCs w:val="20"/>
                <w:lang w:val="es-AR" w:bidi="he-IL"/>
              </w:rPr>
              <w:tab/>
            </w:r>
          </w:p>
        </w:tc>
        <w:tc>
          <w:tcPr>
            <w:tcW w:w="4410" w:type="dxa"/>
          </w:tcPr>
          <w:p w14:paraId="3FFE3635" w14:textId="77777777" w:rsidR="00274FCB" w:rsidRPr="00EA7870" w:rsidRDefault="00274FCB" w:rsidP="00274FCB">
            <w:pPr>
              <w:spacing w:after="200"/>
              <w:rPr>
                <w:sz w:val="20"/>
                <w:szCs w:val="20"/>
                <w:lang w:val="es-AR" w:bidi="he-IL"/>
              </w:rPr>
            </w:pPr>
            <w:r w:rsidRPr="00EA7870">
              <w:rPr>
                <w:sz w:val="20"/>
                <w:szCs w:val="20"/>
                <w:lang w:val="es-AR" w:bidi="he-IL"/>
              </w:rPr>
              <w:t>IX</w:t>
            </w:r>
            <w:r w:rsidR="00CD2CA2" w:rsidRPr="00EA7870">
              <w:rPr>
                <w:sz w:val="20"/>
                <w:szCs w:val="20"/>
                <w:lang w:val="es-AR" w:bidi="he-IL"/>
              </w:rPr>
              <w:t>.</w:t>
            </w:r>
          </w:p>
        </w:tc>
      </w:tr>
      <w:tr w:rsidR="00274FCB" w:rsidRPr="00EA7870" w14:paraId="2FDAED88" w14:textId="77777777" w:rsidTr="008C3631">
        <w:trPr>
          <w:trHeight w:val="461"/>
        </w:trPr>
        <w:tc>
          <w:tcPr>
            <w:tcW w:w="4096" w:type="dxa"/>
          </w:tcPr>
          <w:p w14:paraId="3E75CC8C"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Moneda de Denominación</w:t>
            </w:r>
            <w:r w:rsidRPr="00EA7870">
              <w:rPr>
                <w:sz w:val="20"/>
                <w:szCs w:val="20"/>
                <w:lang w:val="es-AR" w:bidi="he-IL"/>
              </w:rPr>
              <w:tab/>
            </w:r>
          </w:p>
        </w:tc>
        <w:tc>
          <w:tcPr>
            <w:tcW w:w="4410" w:type="dxa"/>
          </w:tcPr>
          <w:p w14:paraId="4834E250" w14:textId="77777777" w:rsidR="00274FCB" w:rsidRPr="00EA7870" w:rsidRDefault="007E69F5" w:rsidP="00274FCB">
            <w:pPr>
              <w:spacing w:after="200"/>
              <w:jc w:val="both"/>
              <w:rPr>
                <w:sz w:val="20"/>
                <w:szCs w:val="20"/>
                <w:lang w:val="es-AR" w:bidi="he-IL"/>
              </w:rPr>
            </w:pPr>
            <w:r w:rsidRPr="00EA7870">
              <w:rPr>
                <w:sz w:val="20"/>
                <w:szCs w:val="20"/>
                <w:lang w:val="es-AR" w:bidi="he-IL"/>
              </w:rPr>
              <w:t>Dólares Estadounidenses</w:t>
            </w:r>
            <w:r w:rsidR="00274FCB" w:rsidRPr="00EA7870">
              <w:rPr>
                <w:sz w:val="20"/>
                <w:szCs w:val="20"/>
                <w:lang w:val="es-AR" w:bidi="he-IL"/>
              </w:rPr>
              <w:t>.</w:t>
            </w:r>
          </w:p>
        </w:tc>
      </w:tr>
      <w:tr w:rsidR="00E42BBF" w:rsidRPr="00EA7870" w14:paraId="1FA34EFD" w14:textId="77777777" w:rsidTr="008C3631">
        <w:trPr>
          <w:trHeight w:val="20"/>
        </w:trPr>
        <w:tc>
          <w:tcPr>
            <w:tcW w:w="4096" w:type="dxa"/>
          </w:tcPr>
          <w:p w14:paraId="7CD74568" w14:textId="77777777" w:rsidR="00E42BBF" w:rsidRPr="00EA7870" w:rsidRDefault="00E42BBF" w:rsidP="00274FCB">
            <w:pPr>
              <w:tabs>
                <w:tab w:val="right" w:leader="dot" w:pos="4400"/>
              </w:tabs>
              <w:ind w:left="360" w:right="360" w:hanging="360"/>
              <w:rPr>
                <w:b/>
                <w:sz w:val="20"/>
                <w:szCs w:val="20"/>
                <w:lang w:val="es-AR" w:bidi="he-IL"/>
              </w:rPr>
            </w:pPr>
            <w:r w:rsidRPr="00EA7870">
              <w:rPr>
                <w:b/>
                <w:sz w:val="20"/>
                <w:szCs w:val="20"/>
                <w:lang w:val="es-AR" w:bidi="he-IL"/>
              </w:rPr>
              <w:t>Moneda de Integración</w:t>
            </w:r>
            <w:r w:rsidRPr="00EA7870">
              <w:rPr>
                <w:sz w:val="20"/>
                <w:szCs w:val="20"/>
                <w:lang w:val="es-AR" w:bidi="he-IL"/>
              </w:rPr>
              <w:tab/>
            </w:r>
          </w:p>
        </w:tc>
        <w:tc>
          <w:tcPr>
            <w:tcW w:w="4410" w:type="dxa"/>
          </w:tcPr>
          <w:p w14:paraId="698EA02A" w14:textId="77777777" w:rsidR="00D66735" w:rsidRPr="00EA7870" w:rsidRDefault="00E42BBF" w:rsidP="00185092">
            <w:pPr>
              <w:spacing w:after="200"/>
              <w:jc w:val="both"/>
              <w:rPr>
                <w:sz w:val="20"/>
                <w:szCs w:val="20"/>
                <w:lang w:val="es-AR" w:bidi="he-IL"/>
              </w:rPr>
            </w:pPr>
            <w:r w:rsidRPr="00EA7870">
              <w:rPr>
                <w:sz w:val="20"/>
                <w:szCs w:val="20"/>
                <w:lang w:val="es-AR" w:bidi="he-IL"/>
              </w:rPr>
              <w:t>Pesos</w:t>
            </w:r>
            <w:r w:rsidR="0011501F" w:rsidRPr="00EA7870">
              <w:rPr>
                <w:sz w:val="20"/>
                <w:szCs w:val="20"/>
                <w:lang w:val="es-AR" w:bidi="he-IL"/>
              </w:rPr>
              <w:t xml:space="preserve"> o Dólares </w:t>
            </w:r>
            <w:r w:rsidR="007B0502" w:rsidRPr="00EA7870">
              <w:rPr>
                <w:sz w:val="20"/>
                <w:szCs w:val="20"/>
                <w:lang w:val="es-AR" w:bidi="he-IL"/>
              </w:rPr>
              <w:t>Estadounidense</w:t>
            </w:r>
            <w:r w:rsidR="00131E06" w:rsidRPr="00EA7870">
              <w:rPr>
                <w:sz w:val="20"/>
                <w:szCs w:val="20"/>
                <w:lang w:val="es-AR" w:bidi="he-IL"/>
              </w:rPr>
              <w:t>s</w:t>
            </w:r>
            <w:r w:rsidR="007B0502" w:rsidRPr="00EA7870">
              <w:rPr>
                <w:sz w:val="20"/>
                <w:szCs w:val="20"/>
                <w:lang w:val="es-AR" w:bidi="he-IL"/>
              </w:rPr>
              <w:t xml:space="preserve">, conforme lo establecido en la </w:t>
            </w:r>
            <w:r w:rsidR="007B0502" w:rsidRPr="00EA7870">
              <w:rPr>
                <w:sz w:val="20"/>
                <w:szCs w:val="20"/>
                <w:lang w:val="es-AR"/>
              </w:rPr>
              <w:t>sección</w:t>
            </w:r>
            <w:r w:rsidR="007B0502" w:rsidRPr="00EA7870">
              <w:rPr>
                <w:color w:val="000000"/>
                <w:sz w:val="20"/>
                <w:szCs w:val="20"/>
                <w:lang w:val="es-AR" w:bidi="he-IL"/>
              </w:rPr>
              <w:t xml:space="preserve"> “</w:t>
            </w:r>
            <w:r w:rsidR="007B0502" w:rsidRPr="00EA7870">
              <w:rPr>
                <w:i/>
                <w:color w:val="000000"/>
                <w:sz w:val="20"/>
                <w:szCs w:val="20"/>
                <w:lang w:val="es-AR" w:bidi="he-IL"/>
              </w:rPr>
              <w:t>Plan de Distribución—Liquidación</w:t>
            </w:r>
            <w:r w:rsidR="007B0502" w:rsidRPr="00EA7870">
              <w:rPr>
                <w:color w:val="000000"/>
                <w:sz w:val="20"/>
                <w:szCs w:val="20"/>
                <w:lang w:val="es-AR" w:bidi="he-IL"/>
              </w:rPr>
              <w:t>” en el presente Suplemento</w:t>
            </w:r>
            <w:r w:rsidR="00185092" w:rsidRPr="00EA7870">
              <w:rPr>
                <w:sz w:val="20"/>
                <w:szCs w:val="20"/>
                <w:lang w:val="es-AR" w:bidi="he-IL"/>
              </w:rPr>
              <w:t>.</w:t>
            </w:r>
          </w:p>
        </w:tc>
      </w:tr>
      <w:tr w:rsidR="00274FCB" w:rsidRPr="00EA7870" w14:paraId="554D77DA" w14:textId="77777777" w:rsidTr="008C3631">
        <w:trPr>
          <w:trHeight w:val="20"/>
        </w:trPr>
        <w:tc>
          <w:tcPr>
            <w:tcW w:w="4096" w:type="dxa"/>
            <w:shd w:val="clear" w:color="auto" w:fill="auto"/>
          </w:tcPr>
          <w:p w14:paraId="571A10AF" w14:textId="77777777" w:rsidR="00274FCB" w:rsidRPr="00EA7870" w:rsidRDefault="00274FCB" w:rsidP="007E43A2">
            <w:pPr>
              <w:tabs>
                <w:tab w:val="right" w:leader="dot" w:pos="4400"/>
              </w:tabs>
              <w:ind w:left="360" w:right="360" w:hanging="360"/>
              <w:rPr>
                <w:b/>
                <w:sz w:val="20"/>
                <w:szCs w:val="20"/>
                <w:lang w:val="es-AR" w:bidi="he-IL"/>
              </w:rPr>
            </w:pPr>
            <w:r w:rsidRPr="00EA7870">
              <w:rPr>
                <w:b/>
                <w:sz w:val="20"/>
                <w:szCs w:val="20"/>
                <w:lang w:val="es-AR" w:bidi="he-IL"/>
              </w:rPr>
              <w:t>Moneda de Pago</w:t>
            </w:r>
            <w:r w:rsidRPr="00EA7870">
              <w:rPr>
                <w:sz w:val="20"/>
                <w:szCs w:val="20"/>
                <w:lang w:val="es-AR" w:bidi="he-IL"/>
              </w:rPr>
              <w:tab/>
            </w:r>
          </w:p>
        </w:tc>
        <w:tc>
          <w:tcPr>
            <w:tcW w:w="4410" w:type="dxa"/>
            <w:shd w:val="clear" w:color="auto" w:fill="auto"/>
          </w:tcPr>
          <w:p w14:paraId="1DFEDC13" w14:textId="77777777" w:rsidR="00274FCB" w:rsidRPr="00EA7870" w:rsidRDefault="007E69F5" w:rsidP="00274FCB">
            <w:pPr>
              <w:spacing w:after="200"/>
              <w:jc w:val="both"/>
              <w:rPr>
                <w:sz w:val="20"/>
                <w:szCs w:val="20"/>
                <w:lang w:val="es-AR" w:bidi="he-IL"/>
              </w:rPr>
            </w:pPr>
            <w:r w:rsidRPr="00EA7870">
              <w:rPr>
                <w:sz w:val="20"/>
                <w:szCs w:val="20"/>
                <w:lang w:val="es-AR" w:bidi="he-IL"/>
              </w:rPr>
              <w:t>Dólares Estadounidenses</w:t>
            </w:r>
            <w:r w:rsidR="00274FCB" w:rsidRPr="00EA7870">
              <w:rPr>
                <w:sz w:val="20"/>
                <w:szCs w:val="20"/>
                <w:lang w:val="es-AR" w:bidi="he-IL"/>
              </w:rPr>
              <w:t>.</w:t>
            </w:r>
          </w:p>
        </w:tc>
      </w:tr>
      <w:tr w:rsidR="00274FCB" w:rsidRPr="00EA7870" w14:paraId="33992C14" w14:textId="77777777" w:rsidTr="008C3631">
        <w:trPr>
          <w:trHeight w:val="20"/>
        </w:trPr>
        <w:tc>
          <w:tcPr>
            <w:tcW w:w="4096" w:type="dxa"/>
          </w:tcPr>
          <w:p w14:paraId="17FBD3D1" w14:textId="77777777" w:rsidR="00274FCB" w:rsidRPr="00EA7870" w:rsidRDefault="00274FCB" w:rsidP="00274FCB">
            <w:pPr>
              <w:tabs>
                <w:tab w:val="right" w:leader="dot" w:pos="4400"/>
              </w:tabs>
              <w:ind w:right="360"/>
              <w:rPr>
                <w:b/>
                <w:sz w:val="20"/>
                <w:szCs w:val="20"/>
                <w:lang w:val="es-AR" w:bidi="he-IL"/>
              </w:rPr>
            </w:pPr>
            <w:r w:rsidRPr="00EA7870">
              <w:rPr>
                <w:b/>
                <w:sz w:val="20"/>
                <w:szCs w:val="20"/>
                <w:lang w:val="es-AR" w:bidi="he-IL"/>
              </w:rPr>
              <w:t>Unidad Mínima de Negociación</w:t>
            </w:r>
            <w:r w:rsidRPr="00EA7870">
              <w:rPr>
                <w:b/>
                <w:sz w:val="20"/>
                <w:szCs w:val="20"/>
                <w:lang w:val="es-AR"/>
              </w:rPr>
              <w:t xml:space="preserve"> y Denominación Mínima</w:t>
            </w:r>
            <w:r w:rsidRPr="00EA7870">
              <w:rPr>
                <w:sz w:val="20"/>
                <w:szCs w:val="20"/>
                <w:lang w:val="es-AR" w:bidi="he-IL"/>
              </w:rPr>
              <w:tab/>
            </w:r>
          </w:p>
        </w:tc>
        <w:tc>
          <w:tcPr>
            <w:tcW w:w="4410" w:type="dxa"/>
          </w:tcPr>
          <w:p w14:paraId="32F9C8CD" w14:textId="77777777" w:rsidR="00274FCB" w:rsidRPr="00EA7870" w:rsidRDefault="00274FCB" w:rsidP="001631E4">
            <w:pPr>
              <w:spacing w:after="200"/>
              <w:jc w:val="both"/>
              <w:rPr>
                <w:sz w:val="20"/>
                <w:szCs w:val="20"/>
                <w:lang w:val="es-AR" w:bidi="he-IL"/>
              </w:rPr>
            </w:pPr>
            <w:r w:rsidRPr="00EA7870">
              <w:rPr>
                <w:sz w:val="20"/>
                <w:szCs w:val="20"/>
                <w:lang w:val="es-AR" w:bidi="he-IL"/>
              </w:rPr>
              <w:t>US$</w:t>
            </w:r>
            <w:r w:rsidR="00AF67AA" w:rsidRPr="00EA7870">
              <w:rPr>
                <w:sz w:val="20"/>
                <w:szCs w:val="20"/>
                <w:lang w:val="es-AR" w:bidi="he-IL"/>
              </w:rPr>
              <w:t>1.000</w:t>
            </w:r>
            <w:r w:rsidRPr="00EA7870">
              <w:rPr>
                <w:sz w:val="20"/>
                <w:szCs w:val="20"/>
                <w:lang w:val="es-AR" w:bidi="he-IL"/>
              </w:rPr>
              <w:t xml:space="preserve"> y múltiplos de US$1.000 por encima de dicho monto.</w:t>
            </w:r>
          </w:p>
        </w:tc>
      </w:tr>
      <w:tr w:rsidR="00274FCB" w:rsidRPr="00EA7870" w14:paraId="6B0658A2" w14:textId="77777777" w:rsidTr="008C3631">
        <w:trPr>
          <w:trHeight w:val="20"/>
        </w:trPr>
        <w:tc>
          <w:tcPr>
            <w:tcW w:w="4096" w:type="dxa"/>
          </w:tcPr>
          <w:p w14:paraId="163CB94F" w14:textId="77777777" w:rsidR="00274FCB" w:rsidRPr="00EA7870" w:rsidRDefault="00274FCB" w:rsidP="00274FCB">
            <w:pPr>
              <w:tabs>
                <w:tab w:val="right" w:leader="dot" w:pos="4400"/>
              </w:tabs>
              <w:ind w:right="360"/>
              <w:rPr>
                <w:b/>
                <w:sz w:val="20"/>
                <w:szCs w:val="20"/>
                <w:lang w:val="es-AR" w:bidi="he-IL"/>
              </w:rPr>
            </w:pPr>
            <w:r w:rsidRPr="00EA7870">
              <w:rPr>
                <w:b/>
                <w:sz w:val="20"/>
                <w:szCs w:val="20"/>
                <w:lang w:val="es-AR" w:bidi="he-IL"/>
              </w:rPr>
              <w:t>Monto Mínimo de Suscripción</w:t>
            </w:r>
            <w:r w:rsidRPr="00EA7870">
              <w:rPr>
                <w:sz w:val="20"/>
                <w:szCs w:val="20"/>
                <w:lang w:val="es-AR" w:bidi="he-IL"/>
              </w:rPr>
              <w:tab/>
            </w:r>
          </w:p>
        </w:tc>
        <w:tc>
          <w:tcPr>
            <w:tcW w:w="4410" w:type="dxa"/>
          </w:tcPr>
          <w:p w14:paraId="329DCE76" w14:textId="77777777" w:rsidR="00274FCB" w:rsidRPr="00EA7870" w:rsidRDefault="00274FCB" w:rsidP="001631E4">
            <w:pPr>
              <w:spacing w:after="200"/>
              <w:jc w:val="both"/>
              <w:rPr>
                <w:sz w:val="20"/>
                <w:szCs w:val="20"/>
                <w:lang w:val="es-AR" w:bidi="he-IL"/>
              </w:rPr>
            </w:pPr>
            <w:r w:rsidRPr="00EA7870">
              <w:rPr>
                <w:sz w:val="20"/>
                <w:szCs w:val="20"/>
                <w:lang w:val="es-AR" w:bidi="he-IL"/>
              </w:rPr>
              <w:t>US$</w:t>
            </w:r>
            <w:r w:rsidR="00DD1EE7" w:rsidRPr="00EA7870">
              <w:rPr>
                <w:sz w:val="20"/>
                <w:szCs w:val="20"/>
                <w:lang w:val="es-AR"/>
              </w:rPr>
              <w:t>150.000</w:t>
            </w:r>
            <w:r w:rsidRPr="00EA7870">
              <w:rPr>
                <w:sz w:val="20"/>
                <w:szCs w:val="20"/>
                <w:lang w:val="es-AR" w:bidi="he-IL"/>
              </w:rPr>
              <w:t xml:space="preserve"> y múltiplos de US$1.000 por encima de dicho monto.</w:t>
            </w:r>
          </w:p>
        </w:tc>
      </w:tr>
      <w:tr w:rsidR="00274FCB" w:rsidRPr="00EA7870" w14:paraId="6756FCA8" w14:textId="77777777" w:rsidTr="008C3631">
        <w:trPr>
          <w:trHeight w:val="20"/>
        </w:trPr>
        <w:tc>
          <w:tcPr>
            <w:tcW w:w="4096" w:type="dxa"/>
          </w:tcPr>
          <w:p w14:paraId="6D8341E6"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Monto Máximo de Emisión</w:t>
            </w:r>
            <w:r w:rsidRPr="00EA7870">
              <w:rPr>
                <w:sz w:val="20"/>
                <w:szCs w:val="20"/>
                <w:lang w:val="es-AR" w:bidi="he-IL"/>
              </w:rPr>
              <w:tab/>
            </w:r>
          </w:p>
        </w:tc>
        <w:tc>
          <w:tcPr>
            <w:tcW w:w="4410" w:type="dxa"/>
          </w:tcPr>
          <w:p w14:paraId="5F8408EB" w14:textId="794C7564" w:rsidR="00274FCB" w:rsidRPr="00EA7870" w:rsidRDefault="00274FCB" w:rsidP="00185092">
            <w:pPr>
              <w:spacing w:after="200"/>
              <w:jc w:val="both"/>
              <w:rPr>
                <w:color w:val="000000"/>
                <w:sz w:val="20"/>
                <w:szCs w:val="20"/>
                <w:lang w:val="es-AR" w:bidi="he-IL"/>
              </w:rPr>
            </w:pPr>
            <w:r w:rsidRPr="00EA7870">
              <w:rPr>
                <w:color w:val="000000"/>
                <w:sz w:val="20"/>
                <w:szCs w:val="20"/>
                <w:lang w:val="es-AR" w:bidi="he-IL"/>
              </w:rPr>
              <w:t xml:space="preserve">Hasta </w:t>
            </w:r>
            <w:r w:rsidR="00D22F7D" w:rsidRPr="00EA7870">
              <w:rPr>
                <w:bCs/>
                <w:sz w:val="20"/>
                <w:szCs w:val="20"/>
                <w:lang w:val="es-AR"/>
              </w:rPr>
              <w:t>US$</w:t>
            </w:r>
            <w:r w:rsidR="00FF15BD">
              <w:rPr>
                <w:bCs/>
                <w:sz w:val="20"/>
                <w:szCs w:val="20"/>
                <w:lang w:val="es-AR"/>
              </w:rPr>
              <w:t>75</w:t>
            </w:r>
            <w:r w:rsidR="00D22F7D" w:rsidRPr="00EA7870">
              <w:rPr>
                <w:bCs/>
                <w:sz w:val="20"/>
                <w:szCs w:val="20"/>
                <w:lang w:val="es-AR"/>
              </w:rPr>
              <w:t xml:space="preserve">.000.000 </w:t>
            </w:r>
            <w:r w:rsidR="00D22F7D" w:rsidRPr="00EA7870">
              <w:rPr>
                <w:sz w:val="20"/>
                <w:szCs w:val="20"/>
                <w:lang w:val="es-AR"/>
              </w:rPr>
              <w:t>ampliable por hasta US$1</w:t>
            </w:r>
            <w:r w:rsidR="00FF15BD">
              <w:rPr>
                <w:sz w:val="20"/>
                <w:szCs w:val="20"/>
                <w:lang w:val="es-AR"/>
              </w:rPr>
              <w:t>2</w:t>
            </w:r>
            <w:r w:rsidR="00D22F7D" w:rsidRPr="00EA7870">
              <w:rPr>
                <w:sz w:val="20"/>
                <w:szCs w:val="20"/>
                <w:lang w:val="es-AR"/>
              </w:rPr>
              <w:t>0.000.000</w:t>
            </w:r>
            <w:r w:rsidR="00185092" w:rsidRPr="00EA7870">
              <w:rPr>
                <w:color w:val="000000"/>
                <w:sz w:val="20"/>
                <w:szCs w:val="20"/>
                <w:lang w:val="es-AR" w:bidi="he-IL"/>
              </w:rPr>
              <w:t xml:space="preserve">, </w:t>
            </w:r>
            <w:r w:rsidRPr="00EA7870">
              <w:rPr>
                <w:sz w:val="20"/>
                <w:szCs w:val="20"/>
                <w:lang w:val="es-AR"/>
              </w:rPr>
              <w:t xml:space="preserve">según se informe oportunamente en el aviso de resultados complementario al presente Suplemento que se publicará en la AIF, en el Boletín Diario de la BCBA, en el </w:t>
            </w:r>
            <w:r w:rsidR="00A91547" w:rsidRPr="00EA7870">
              <w:rPr>
                <w:sz w:val="20"/>
                <w:szCs w:val="20"/>
                <w:lang w:val="es-AR"/>
              </w:rPr>
              <w:t xml:space="preserve">boletín electrónico del MAE, </w:t>
            </w:r>
            <w:r w:rsidRPr="00EA7870">
              <w:rPr>
                <w:sz w:val="20"/>
                <w:szCs w:val="20"/>
                <w:lang w:val="es-AR"/>
              </w:rPr>
              <w:t xml:space="preserve">y </w:t>
            </w:r>
            <w:r w:rsidR="00AE5672" w:rsidRPr="00EA7870">
              <w:rPr>
                <w:sz w:val="20"/>
                <w:szCs w:val="20"/>
                <w:lang w:val="es-AR"/>
              </w:rPr>
              <w:t xml:space="preserve">en el </w:t>
            </w:r>
            <w:r w:rsidR="00AE5672" w:rsidRPr="00EA7870">
              <w:rPr>
                <w:sz w:val="20"/>
                <w:szCs w:val="20"/>
              </w:rPr>
              <w:t xml:space="preserve">sitio </w:t>
            </w:r>
            <w:r w:rsidR="00AE5672" w:rsidRPr="00EA7870">
              <w:rPr>
                <w:i/>
                <w:iCs/>
                <w:sz w:val="20"/>
                <w:szCs w:val="20"/>
              </w:rPr>
              <w:t>web</w:t>
            </w:r>
            <w:r w:rsidR="00AE5672" w:rsidRPr="00EA7870">
              <w:rPr>
                <w:sz w:val="20"/>
                <w:szCs w:val="20"/>
              </w:rPr>
              <w:t xml:space="preserve"> institucional de la Emisora</w:t>
            </w:r>
            <w:r w:rsidRPr="00EA7870">
              <w:rPr>
                <w:sz w:val="20"/>
                <w:szCs w:val="20"/>
                <w:lang w:val="es-AR"/>
              </w:rPr>
              <w:t xml:space="preserve"> (el “</w:t>
            </w:r>
            <w:r w:rsidRPr="00EA7870">
              <w:rPr>
                <w:b/>
                <w:sz w:val="20"/>
                <w:szCs w:val="20"/>
                <w:lang w:val="es-AR"/>
              </w:rPr>
              <w:t>Aviso de Resultados</w:t>
            </w:r>
            <w:r w:rsidRPr="00EA7870">
              <w:rPr>
                <w:sz w:val="20"/>
                <w:szCs w:val="20"/>
                <w:lang w:val="es-AR"/>
              </w:rPr>
              <w:t>”).</w:t>
            </w:r>
          </w:p>
        </w:tc>
      </w:tr>
      <w:tr w:rsidR="00274FCB" w:rsidRPr="00EA7870" w14:paraId="54CAB2FB" w14:textId="77777777" w:rsidTr="008C3631">
        <w:trPr>
          <w:trHeight w:val="20"/>
        </w:trPr>
        <w:tc>
          <w:tcPr>
            <w:tcW w:w="4096" w:type="dxa"/>
          </w:tcPr>
          <w:p w14:paraId="0F279858"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Precio de Emisión</w:t>
            </w:r>
            <w:r w:rsidRPr="00EA7870">
              <w:rPr>
                <w:sz w:val="20"/>
                <w:szCs w:val="20"/>
                <w:lang w:val="es-AR" w:bidi="he-IL"/>
              </w:rPr>
              <w:tab/>
            </w:r>
          </w:p>
        </w:tc>
        <w:tc>
          <w:tcPr>
            <w:tcW w:w="4410" w:type="dxa"/>
          </w:tcPr>
          <w:p w14:paraId="7D0C1D3D" w14:textId="77777777" w:rsidR="00274FCB" w:rsidRPr="00EA7870" w:rsidRDefault="00274FCB" w:rsidP="00274FCB">
            <w:pPr>
              <w:spacing w:after="200"/>
              <w:jc w:val="both"/>
              <w:rPr>
                <w:color w:val="000000"/>
                <w:sz w:val="20"/>
                <w:szCs w:val="20"/>
                <w:lang w:val="es-AR" w:bidi="he-IL"/>
              </w:rPr>
            </w:pPr>
            <w:r w:rsidRPr="00EA7870">
              <w:rPr>
                <w:sz w:val="20"/>
                <w:szCs w:val="20"/>
                <w:lang w:val="es-AR"/>
              </w:rPr>
              <w:t>Será aquel que se informe oportunamente en el Aviso de Resultados.</w:t>
            </w:r>
            <w:r w:rsidR="007D2CF2" w:rsidRPr="00EA7870">
              <w:rPr>
                <w:sz w:val="20"/>
                <w:szCs w:val="20"/>
                <w:lang w:val="es-AR"/>
              </w:rPr>
              <w:t xml:space="preserve"> </w:t>
            </w:r>
          </w:p>
        </w:tc>
      </w:tr>
      <w:tr w:rsidR="00274FCB" w:rsidRPr="00EA7870" w14:paraId="6922998E" w14:textId="77777777" w:rsidTr="008C3631">
        <w:trPr>
          <w:trHeight w:val="20"/>
        </w:trPr>
        <w:tc>
          <w:tcPr>
            <w:tcW w:w="4096" w:type="dxa"/>
          </w:tcPr>
          <w:p w14:paraId="7F4130E7"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Fecha de Emisión y Liquidación</w:t>
            </w:r>
            <w:r w:rsidRPr="00EA7870">
              <w:rPr>
                <w:sz w:val="20"/>
                <w:szCs w:val="20"/>
                <w:lang w:val="es-AR" w:bidi="he-IL"/>
              </w:rPr>
              <w:tab/>
            </w:r>
          </w:p>
        </w:tc>
        <w:tc>
          <w:tcPr>
            <w:tcW w:w="4410" w:type="dxa"/>
          </w:tcPr>
          <w:p w14:paraId="02FE1970" w14:textId="77777777" w:rsidR="00274FCB" w:rsidRPr="00EA7870" w:rsidDel="00FD26B9" w:rsidRDefault="00274FCB" w:rsidP="00274FCB">
            <w:pPr>
              <w:spacing w:after="200"/>
              <w:jc w:val="both"/>
              <w:rPr>
                <w:color w:val="000000"/>
                <w:sz w:val="20"/>
                <w:szCs w:val="20"/>
                <w:lang w:val="es-AR" w:bidi="he-IL"/>
              </w:rPr>
            </w:pPr>
            <w:r w:rsidRPr="00EA7870">
              <w:rPr>
                <w:sz w:val="20"/>
                <w:szCs w:val="20"/>
                <w:lang w:val="es-AR"/>
              </w:rPr>
              <w:t>Será aquel</w:t>
            </w:r>
            <w:r w:rsidR="00AE22AF" w:rsidRPr="00EA7870">
              <w:rPr>
                <w:sz w:val="20"/>
                <w:szCs w:val="20"/>
                <w:lang w:val="es-AR"/>
              </w:rPr>
              <w:t>la</w:t>
            </w:r>
            <w:r w:rsidRPr="00EA7870">
              <w:rPr>
                <w:sz w:val="20"/>
                <w:szCs w:val="20"/>
                <w:lang w:val="es-AR"/>
              </w:rPr>
              <w:t xml:space="preserve"> que se informe oportunamente en el Aviso de Resultados.</w:t>
            </w:r>
          </w:p>
        </w:tc>
      </w:tr>
      <w:tr w:rsidR="00274FCB" w:rsidRPr="00EA7870" w14:paraId="77B6706D" w14:textId="77777777" w:rsidTr="008C3631">
        <w:trPr>
          <w:trHeight w:val="20"/>
        </w:trPr>
        <w:tc>
          <w:tcPr>
            <w:tcW w:w="4096" w:type="dxa"/>
          </w:tcPr>
          <w:p w14:paraId="6F69BB72"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Fecha de Vencimiento</w:t>
            </w:r>
            <w:r w:rsidRPr="00EA7870">
              <w:rPr>
                <w:sz w:val="20"/>
                <w:szCs w:val="20"/>
                <w:lang w:val="es-AR" w:bidi="he-IL"/>
              </w:rPr>
              <w:tab/>
            </w:r>
          </w:p>
        </w:tc>
        <w:tc>
          <w:tcPr>
            <w:tcW w:w="4410" w:type="dxa"/>
          </w:tcPr>
          <w:p w14:paraId="4648F39C" w14:textId="54EE5297" w:rsidR="00BE5D49" w:rsidRPr="00EA7870" w:rsidRDefault="0047003A" w:rsidP="005C51B3">
            <w:pPr>
              <w:spacing w:after="200"/>
              <w:jc w:val="both"/>
              <w:rPr>
                <w:sz w:val="20"/>
                <w:szCs w:val="20"/>
                <w:lang w:val="es-AR"/>
              </w:rPr>
            </w:pPr>
            <w:r w:rsidRPr="00EA7870">
              <w:rPr>
                <w:sz w:val="20"/>
                <w:szCs w:val="20"/>
                <w:lang w:val="es-AR"/>
              </w:rPr>
              <w:t xml:space="preserve">Tendrá lugar a los </w:t>
            </w:r>
            <w:r w:rsidR="00AD0AC5" w:rsidRPr="00EA7870">
              <w:rPr>
                <w:sz w:val="20"/>
                <w:szCs w:val="20"/>
                <w:lang w:val="es-AR"/>
              </w:rPr>
              <w:t>4</w:t>
            </w:r>
            <w:r w:rsidR="008118A3" w:rsidRPr="00EA7870">
              <w:rPr>
                <w:sz w:val="20"/>
                <w:szCs w:val="20"/>
                <w:lang w:val="es-AR"/>
              </w:rPr>
              <w:t xml:space="preserve"> </w:t>
            </w:r>
            <w:r w:rsidRPr="00EA7870">
              <w:rPr>
                <w:sz w:val="20"/>
                <w:szCs w:val="20"/>
                <w:lang w:val="es-AR"/>
              </w:rPr>
              <w:t xml:space="preserve">años contados desde la Fecha de Emisión y Liquidación, </w:t>
            </w:r>
            <w:r w:rsidR="00B85AE2" w:rsidRPr="00EA7870">
              <w:rPr>
                <w:sz w:val="20"/>
                <w:szCs w:val="20"/>
                <w:lang w:val="es-AR"/>
              </w:rPr>
              <w:t>y será informada</w:t>
            </w:r>
            <w:r w:rsidRPr="00EA7870">
              <w:rPr>
                <w:sz w:val="20"/>
                <w:szCs w:val="20"/>
                <w:lang w:val="es-AR"/>
              </w:rPr>
              <w:t xml:space="preserve"> oportunamente en el Aviso de Resultados.</w:t>
            </w:r>
          </w:p>
        </w:tc>
      </w:tr>
      <w:tr w:rsidR="00274FCB" w:rsidRPr="00EA7870" w14:paraId="34F36CAC" w14:textId="77777777" w:rsidTr="008C3631">
        <w:trPr>
          <w:trHeight w:val="20"/>
        </w:trPr>
        <w:tc>
          <w:tcPr>
            <w:tcW w:w="4096" w:type="dxa"/>
          </w:tcPr>
          <w:p w14:paraId="2D03EDC0"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Amortización</w:t>
            </w:r>
            <w:r w:rsidRPr="00EA7870">
              <w:rPr>
                <w:sz w:val="20"/>
                <w:szCs w:val="20"/>
                <w:lang w:val="es-AR" w:bidi="he-IL"/>
              </w:rPr>
              <w:tab/>
            </w:r>
          </w:p>
        </w:tc>
        <w:tc>
          <w:tcPr>
            <w:tcW w:w="4410" w:type="dxa"/>
          </w:tcPr>
          <w:p w14:paraId="0AC4A4D0" w14:textId="55E34C69" w:rsidR="00274FCB" w:rsidRPr="00EA7870" w:rsidRDefault="00EE7335" w:rsidP="00651B51">
            <w:pPr>
              <w:spacing w:after="200"/>
              <w:jc w:val="both"/>
              <w:rPr>
                <w:color w:val="000000"/>
                <w:sz w:val="20"/>
                <w:szCs w:val="20"/>
                <w:lang w:bidi="he-IL"/>
              </w:rPr>
            </w:pPr>
            <w:r w:rsidRPr="00EA7870">
              <w:rPr>
                <w:color w:val="000000"/>
                <w:sz w:val="20"/>
                <w:szCs w:val="20"/>
                <w:lang w:bidi="he-IL"/>
              </w:rPr>
              <w:t xml:space="preserve">El capital de las Obligaciones Negociables se pagará </w:t>
            </w:r>
            <w:r w:rsidR="003A37B5" w:rsidRPr="00EA7870">
              <w:rPr>
                <w:color w:val="000000"/>
                <w:sz w:val="20"/>
                <w:szCs w:val="20"/>
                <w:lang w:bidi="he-IL"/>
              </w:rPr>
              <w:t xml:space="preserve">íntegramente </w:t>
            </w:r>
            <w:r w:rsidRPr="00EA7870">
              <w:rPr>
                <w:color w:val="000000"/>
                <w:sz w:val="20"/>
                <w:szCs w:val="20"/>
                <w:lang w:bidi="he-IL"/>
              </w:rPr>
              <w:t>en una</w:t>
            </w:r>
            <w:r w:rsidR="003A37B5" w:rsidRPr="00EA7870">
              <w:rPr>
                <w:color w:val="000000"/>
                <w:sz w:val="20"/>
                <w:szCs w:val="20"/>
                <w:lang w:bidi="he-IL"/>
              </w:rPr>
              <w:t xml:space="preserve"> </w:t>
            </w:r>
            <w:r w:rsidRPr="00EA7870">
              <w:rPr>
                <w:color w:val="000000"/>
                <w:sz w:val="20"/>
                <w:szCs w:val="20"/>
                <w:lang w:bidi="he-IL"/>
              </w:rPr>
              <w:t>cuota</w:t>
            </w:r>
            <w:r w:rsidR="007761FA" w:rsidRPr="00EA7870">
              <w:rPr>
                <w:color w:val="000000"/>
                <w:sz w:val="20"/>
                <w:szCs w:val="20"/>
                <w:lang w:bidi="he-IL"/>
              </w:rPr>
              <w:t xml:space="preserve"> </w:t>
            </w:r>
            <w:r w:rsidRPr="00EA7870">
              <w:rPr>
                <w:color w:val="000000"/>
                <w:sz w:val="20"/>
                <w:szCs w:val="20"/>
                <w:lang w:bidi="he-IL"/>
              </w:rPr>
              <w:t>en la Fecha de Vencimiento</w:t>
            </w:r>
            <w:r w:rsidR="00651B51" w:rsidRPr="00EA7870">
              <w:rPr>
                <w:color w:val="000000"/>
                <w:sz w:val="20"/>
                <w:szCs w:val="20"/>
                <w:lang w:bidi="he-IL"/>
              </w:rPr>
              <w:t>.</w:t>
            </w:r>
          </w:p>
        </w:tc>
      </w:tr>
      <w:tr w:rsidR="00274FCB" w:rsidRPr="00EA7870" w14:paraId="41B5A98F" w14:textId="77777777" w:rsidTr="008C3631">
        <w:trPr>
          <w:trHeight w:val="20"/>
        </w:trPr>
        <w:tc>
          <w:tcPr>
            <w:tcW w:w="4096" w:type="dxa"/>
          </w:tcPr>
          <w:p w14:paraId="799CC34B" w14:textId="77777777" w:rsidR="00274FCB" w:rsidRPr="00EA7870" w:rsidRDefault="00274FCB" w:rsidP="00274FCB">
            <w:pPr>
              <w:tabs>
                <w:tab w:val="right" w:leader="dot" w:pos="4400"/>
              </w:tabs>
              <w:ind w:left="360" w:right="360" w:hanging="360"/>
              <w:rPr>
                <w:sz w:val="20"/>
                <w:szCs w:val="20"/>
                <w:lang w:val="es-AR" w:bidi="he-IL"/>
              </w:rPr>
            </w:pPr>
            <w:r w:rsidRPr="00EA7870">
              <w:rPr>
                <w:b/>
                <w:sz w:val="20"/>
                <w:szCs w:val="20"/>
                <w:lang w:val="es-AR" w:bidi="he-IL"/>
              </w:rPr>
              <w:t>Suscripción e Integración</w:t>
            </w:r>
            <w:r w:rsidRPr="00EA7870">
              <w:rPr>
                <w:sz w:val="20"/>
                <w:szCs w:val="20"/>
                <w:lang w:val="es-AR" w:bidi="he-IL"/>
              </w:rPr>
              <w:tab/>
            </w:r>
          </w:p>
        </w:tc>
        <w:tc>
          <w:tcPr>
            <w:tcW w:w="4410" w:type="dxa"/>
          </w:tcPr>
          <w:p w14:paraId="0DFD1906" w14:textId="77777777" w:rsidR="00274FCB" w:rsidRPr="00EA7870" w:rsidRDefault="00274FCB" w:rsidP="00F73760">
            <w:pPr>
              <w:spacing w:after="200"/>
              <w:jc w:val="both"/>
              <w:rPr>
                <w:color w:val="000000"/>
                <w:sz w:val="20"/>
                <w:szCs w:val="20"/>
                <w:lang w:val="es-AR" w:bidi="he-IL"/>
              </w:rPr>
            </w:pPr>
            <w:r w:rsidRPr="00EA7870">
              <w:rPr>
                <w:color w:val="000000"/>
                <w:sz w:val="20"/>
                <w:szCs w:val="20"/>
                <w:lang w:val="es-AR" w:bidi="he-IL"/>
              </w:rPr>
              <w:t xml:space="preserve">Las Obligaciones Negociables </w:t>
            </w:r>
            <w:r w:rsidR="00DD1EE7" w:rsidRPr="00EA7870">
              <w:rPr>
                <w:color w:val="000000"/>
                <w:sz w:val="20"/>
                <w:szCs w:val="20"/>
                <w:lang w:val="es-AR" w:bidi="he-IL"/>
              </w:rPr>
              <w:t xml:space="preserve">podrán ser </w:t>
            </w:r>
            <w:r w:rsidRPr="00EA7870">
              <w:rPr>
                <w:color w:val="000000"/>
                <w:sz w:val="20"/>
                <w:szCs w:val="20"/>
                <w:lang w:val="es-AR" w:bidi="he-IL"/>
              </w:rPr>
              <w:t>suscriptas e integradas en</w:t>
            </w:r>
            <w:r w:rsidR="00185092" w:rsidRPr="00EA7870">
              <w:rPr>
                <w:color w:val="000000"/>
                <w:sz w:val="20"/>
                <w:szCs w:val="20"/>
                <w:lang w:val="es-AR" w:bidi="he-IL"/>
              </w:rPr>
              <w:t xml:space="preserve"> </w:t>
            </w:r>
            <w:r w:rsidR="0078295D" w:rsidRPr="00EA7870">
              <w:rPr>
                <w:color w:val="000000"/>
                <w:sz w:val="20"/>
                <w:szCs w:val="20"/>
                <w:lang w:val="es-AR" w:bidi="he-IL"/>
              </w:rPr>
              <w:t xml:space="preserve">Dólares Estadounidenses o en </w:t>
            </w:r>
            <w:r w:rsidR="007D2CF2" w:rsidRPr="00EA7870">
              <w:rPr>
                <w:sz w:val="20"/>
                <w:szCs w:val="20"/>
                <w:lang w:val="es-AR"/>
              </w:rPr>
              <w:t>Pesos</w:t>
            </w:r>
            <w:r w:rsidR="00F73760" w:rsidRPr="00EA7870">
              <w:rPr>
                <w:sz w:val="20"/>
                <w:szCs w:val="20"/>
                <w:lang w:val="es-AR"/>
              </w:rPr>
              <w:t xml:space="preserve"> (en la Argentina)</w:t>
            </w:r>
            <w:r w:rsidR="007D2CF2" w:rsidRPr="00EA7870">
              <w:rPr>
                <w:sz w:val="20"/>
                <w:szCs w:val="20"/>
                <w:lang w:val="es-AR"/>
              </w:rPr>
              <w:t>, calculado al Tipo de Cambio Aplicable</w:t>
            </w:r>
            <w:r w:rsidR="008B1652" w:rsidRPr="00EA7870">
              <w:rPr>
                <w:sz w:val="20"/>
                <w:szCs w:val="20"/>
                <w:lang w:val="es-AR"/>
              </w:rPr>
              <w:t xml:space="preserve">, </w:t>
            </w:r>
            <w:r w:rsidR="007D2CF2" w:rsidRPr="00EA7870">
              <w:rPr>
                <w:sz w:val="20"/>
                <w:szCs w:val="20"/>
                <w:lang w:val="es-AR"/>
              </w:rPr>
              <w:t>conforme se detalla en la sección</w:t>
            </w:r>
            <w:r w:rsidR="007D2CF2" w:rsidRPr="00EA7870">
              <w:rPr>
                <w:color w:val="000000"/>
                <w:sz w:val="20"/>
                <w:szCs w:val="20"/>
                <w:lang w:val="es-AR" w:bidi="he-IL"/>
              </w:rPr>
              <w:t xml:space="preserve"> </w:t>
            </w:r>
            <w:r w:rsidRPr="00EA7870">
              <w:rPr>
                <w:color w:val="000000"/>
                <w:sz w:val="20"/>
                <w:szCs w:val="20"/>
                <w:lang w:val="es-AR" w:bidi="he-IL"/>
              </w:rPr>
              <w:t>“</w:t>
            </w:r>
            <w:r w:rsidRPr="00EA7870">
              <w:rPr>
                <w:i/>
                <w:color w:val="000000"/>
                <w:sz w:val="20"/>
                <w:szCs w:val="20"/>
                <w:lang w:val="es-AR" w:bidi="he-IL"/>
              </w:rPr>
              <w:t>Plan de Distribución—Liquidación</w:t>
            </w:r>
            <w:r w:rsidRPr="00EA7870">
              <w:rPr>
                <w:color w:val="000000"/>
                <w:sz w:val="20"/>
                <w:szCs w:val="20"/>
                <w:lang w:val="es-AR" w:bidi="he-IL"/>
              </w:rPr>
              <w:t>” en el presente Suplemento.</w:t>
            </w:r>
            <w:r w:rsidR="00DD1EE7" w:rsidRPr="00EA7870">
              <w:rPr>
                <w:color w:val="000000"/>
                <w:sz w:val="20"/>
                <w:szCs w:val="20"/>
                <w:lang w:val="es-AR" w:bidi="he-IL"/>
              </w:rPr>
              <w:t xml:space="preserve"> </w:t>
            </w:r>
          </w:p>
        </w:tc>
      </w:tr>
      <w:tr w:rsidR="00274FCB" w:rsidRPr="00EA7870" w14:paraId="035F972C" w14:textId="77777777" w:rsidTr="008C3631">
        <w:trPr>
          <w:trHeight w:val="20"/>
        </w:trPr>
        <w:tc>
          <w:tcPr>
            <w:tcW w:w="4096" w:type="dxa"/>
          </w:tcPr>
          <w:p w14:paraId="7136BD7F"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lastRenderedPageBreak/>
              <w:t>Tasa de Interés</w:t>
            </w:r>
            <w:r w:rsidRPr="00EA7870">
              <w:rPr>
                <w:sz w:val="20"/>
                <w:szCs w:val="20"/>
                <w:lang w:val="es-AR" w:bidi="he-IL"/>
              </w:rPr>
              <w:tab/>
            </w:r>
          </w:p>
        </w:tc>
        <w:tc>
          <w:tcPr>
            <w:tcW w:w="4410" w:type="dxa"/>
          </w:tcPr>
          <w:p w14:paraId="5C109637" w14:textId="5BB2E7F6" w:rsidR="00274FCB" w:rsidRPr="00EA7870" w:rsidRDefault="00274FCB" w:rsidP="00274FCB">
            <w:pPr>
              <w:spacing w:after="200"/>
              <w:jc w:val="both"/>
              <w:rPr>
                <w:color w:val="000000"/>
                <w:sz w:val="20"/>
                <w:szCs w:val="20"/>
                <w:lang w:val="es-AR" w:bidi="he-IL"/>
              </w:rPr>
            </w:pPr>
            <w:r w:rsidRPr="00EA7870">
              <w:rPr>
                <w:color w:val="000000"/>
                <w:sz w:val="20"/>
                <w:szCs w:val="20"/>
                <w:lang w:val="es-AR" w:bidi="he-IL"/>
              </w:rPr>
              <w:t xml:space="preserve">Tasa fija, la cual será </w:t>
            </w:r>
            <w:r w:rsidRPr="00EA7870">
              <w:rPr>
                <w:sz w:val="20"/>
                <w:szCs w:val="20"/>
                <w:lang w:val="es-AR" w:eastAsia="es-AR"/>
              </w:rPr>
              <w:t>informada a través del Aviso de Resultados</w:t>
            </w:r>
            <w:r w:rsidRPr="00EA7870">
              <w:rPr>
                <w:color w:val="000000"/>
                <w:sz w:val="20"/>
                <w:szCs w:val="20"/>
                <w:lang w:val="es-AR" w:bidi="he-IL"/>
              </w:rPr>
              <w:t>. Los intereses se calcularán en base a un año de 360 días y meses de 30 días.</w:t>
            </w:r>
          </w:p>
        </w:tc>
      </w:tr>
      <w:tr w:rsidR="00274FCB" w:rsidRPr="00EA7870" w14:paraId="238ADC5B" w14:textId="77777777" w:rsidTr="008C3631">
        <w:trPr>
          <w:trHeight w:val="20"/>
        </w:trPr>
        <w:tc>
          <w:tcPr>
            <w:tcW w:w="4096" w:type="dxa"/>
          </w:tcPr>
          <w:p w14:paraId="053728A3" w14:textId="2406F48E"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Fecha</w:t>
            </w:r>
            <w:r w:rsidR="00CE59FD" w:rsidRPr="00EA7870">
              <w:rPr>
                <w:b/>
                <w:sz w:val="20"/>
                <w:szCs w:val="20"/>
                <w:lang w:val="es-AR" w:bidi="he-IL"/>
              </w:rPr>
              <w:t>s</w:t>
            </w:r>
            <w:r w:rsidRPr="00EA7870">
              <w:rPr>
                <w:b/>
                <w:sz w:val="20"/>
                <w:szCs w:val="20"/>
                <w:lang w:val="es-AR" w:bidi="he-IL"/>
              </w:rPr>
              <w:t xml:space="preserve"> de Pago de Intereses</w:t>
            </w:r>
            <w:r w:rsidRPr="00EA7870">
              <w:rPr>
                <w:sz w:val="20"/>
                <w:szCs w:val="20"/>
                <w:lang w:val="es-AR" w:bidi="he-IL"/>
              </w:rPr>
              <w:tab/>
            </w:r>
          </w:p>
        </w:tc>
        <w:tc>
          <w:tcPr>
            <w:tcW w:w="4410" w:type="dxa"/>
          </w:tcPr>
          <w:p w14:paraId="301EAACA" w14:textId="44A8AD9D" w:rsidR="00274FCB" w:rsidRPr="00EA7870" w:rsidRDefault="00274FCB" w:rsidP="005C51B3">
            <w:pPr>
              <w:spacing w:after="200"/>
              <w:jc w:val="both"/>
              <w:rPr>
                <w:color w:val="000000"/>
                <w:sz w:val="20"/>
                <w:szCs w:val="20"/>
                <w:lang w:val="es-AR" w:bidi="he-IL"/>
              </w:rPr>
            </w:pPr>
            <w:r w:rsidRPr="00EA7870">
              <w:rPr>
                <w:color w:val="000000"/>
                <w:sz w:val="20"/>
                <w:szCs w:val="20"/>
                <w:lang w:val="es-AR" w:bidi="he-IL"/>
              </w:rPr>
              <w:t xml:space="preserve">Los intereses se devengarán y </w:t>
            </w:r>
            <w:r w:rsidRPr="00EA7870">
              <w:rPr>
                <w:sz w:val="20"/>
                <w:szCs w:val="20"/>
                <w:lang w:val="es-AR"/>
              </w:rPr>
              <w:t xml:space="preserve">serán pagados </w:t>
            </w:r>
            <w:r w:rsidR="007761FA" w:rsidRPr="00EA7870">
              <w:rPr>
                <w:sz w:val="20"/>
                <w:szCs w:val="20"/>
                <w:lang w:val="es-AR"/>
              </w:rPr>
              <w:t>anualmente</w:t>
            </w:r>
            <w:r w:rsidRPr="00EA7870">
              <w:rPr>
                <w:sz w:val="20"/>
                <w:szCs w:val="20"/>
                <w:lang w:val="es-AR"/>
              </w:rPr>
              <w:t xml:space="preserve">, en forma vencida comenzando su pago en la fecha en que se cumplan </w:t>
            </w:r>
            <w:r w:rsidR="007761FA" w:rsidRPr="00EA7870">
              <w:rPr>
                <w:sz w:val="20"/>
                <w:szCs w:val="20"/>
                <w:lang w:val="es-AR"/>
              </w:rPr>
              <w:t>doce</w:t>
            </w:r>
            <w:r w:rsidRPr="00EA7870">
              <w:rPr>
                <w:sz w:val="20"/>
                <w:szCs w:val="20"/>
                <w:lang w:val="es-AR"/>
              </w:rPr>
              <w:t xml:space="preserve"> meses </w:t>
            </w:r>
            <w:r w:rsidRPr="00EA7870">
              <w:rPr>
                <w:color w:val="000000"/>
                <w:sz w:val="20"/>
                <w:szCs w:val="20"/>
                <w:lang w:val="es-AR" w:bidi="he-IL"/>
              </w:rPr>
              <w:t>desde la Fecha de Emisión y Liquidación (cada una, una “</w:t>
            </w:r>
            <w:r w:rsidRPr="00EA7870">
              <w:rPr>
                <w:b/>
                <w:color w:val="000000"/>
                <w:sz w:val="20"/>
                <w:szCs w:val="20"/>
                <w:lang w:val="es-AR" w:bidi="he-IL"/>
              </w:rPr>
              <w:t>Fecha de Pago de Intereses</w:t>
            </w:r>
            <w:r w:rsidRPr="00EA7870">
              <w:rPr>
                <w:color w:val="000000"/>
                <w:sz w:val="20"/>
                <w:szCs w:val="20"/>
                <w:lang w:val="es-AR" w:bidi="he-IL"/>
              </w:rPr>
              <w:t>”).</w:t>
            </w:r>
            <w:r w:rsidRPr="00EA7870">
              <w:rPr>
                <w:sz w:val="20"/>
                <w:szCs w:val="20"/>
                <w:lang w:val="es-AR"/>
              </w:rPr>
              <w:t xml:space="preserve"> Las Fechas de Pago de Intereses serán informadas </w:t>
            </w:r>
            <w:r w:rsidR="00D95C67" w:rsidRPr="00EA7870">
              <w:rPr>
                <w:sz w:val="20"/>
                <w:szCs w:val="20"/>
                <w:lang w:val="es-AR"/>
              </w:rPr>
              <w:t xml:space="preserve">en </w:t>
            </w:r>
            <w:r w:rsidRPr="00EA7870">
              <w:rPr>
                <w:sz w:val="20"/>
                <w:szCs w:val="20"/>
                <w:lang w:val="es-AR"/>
              </w:rPr>
              <w:t xml:space="preserve">el Aviso de Resultados. Si cualquier día de pago de cualquier monto bajo las Obligaciones Negociables no fuera un Día Hábil, dicho pago será efectuado en el Día Hábil inmediatamente posterior. </w:t>
            </w:r>
          </w:p>
        </w:tc>
      </w:tr>
      <w:tr w:rsidR="00274FCB" w:rsidRPr="00EA7870" w14:paraId="7F72CC88" w14:textId="77777777" w:rsidTr="008C3631">
        <w:trPr>
          <w:trHeight w:val="20"/>
        </w:trPr>
        <w:tc>
          <w:tcPr>
            <w:tcW w:w="4096" w:type="dxa"/>
          </w:tcPr>
          <w:p w14:paraId="213441CA" w14:textId="77777777" w:rsidR="00274FCB" w:rsidRPr="00EA7870" w:rsidRDefault="00274FCB" w:rsidP="00274FCB">
            <w:pPr>
              <w:tabs>
                <w:tab w:val="right" w:leader="dot" w:pos="4400"/>
              </w:tabs>
              <w:ind w:left="360" w:right="360" w:hanging="360"/>
              <w:rPr>
                <w:b/>
                <w:sz w:val="20"/>
                <w:szCs w:val="20"/>
                <w:lang w:val="es-AR" w:bidi="he-IL"/>
              </w:rPr>
            </w:pPr>
            <w:r w:rsidRPr="00EA7870">
              <w:rPr>
                <w:b/>
                <w:sz w:val="20"/>
                <w:szCs w:val="20"/>
                <w:lang w:val="es-AR" w:bidi="he-IL"/>
              </w:rPr>
              <w:t>Montos Adicionales</w:t>
            </w:r>
            <w:r w:rsidRPr="00EA7870">
              <w:rPr>
                <w:sz w:val="20"/>
                <w:szCs w:val="20"/>
                <w:lang w:val="es-AR" w:bidi="he-IL"/>
              </w:rPr>
              <w:tab/>
            </w:r>
          </w:p>
        </w:tc>
        <w:tc>
          <w:tcPr>
            <w:tcW w:w="4410" w:type="dxa"/>
          </w:tcPr>
          <w:p w14:paraId="6CCC94BB" w14:textId="77777777" w:rsidR="00274FCB" w:rsidRPr="00EA7870" w:rsidRDefault="00274FCB" w:rsidP="001631E4">
            <w:pPr>
              <w:spacing w:after="200"/>
              <w:jc w:val="both"/>
              <w:rPr>
                <w:color w:val="000000"/>
                <w:sz w:val="20"/>
                <w:szCs w:val="20"/>
                <w:lang w:val="es-AR"/>
              </w:rPr>
            </w:pPr>
            <w:bookmarkStart w:id="109" w:name="_Hlk514870754"/>
            <w:r w:rsidRPr="00EA7870">
              <w:rPr>
                <w:color w:val="000000"/>
                <w:sz w:val="20"/>
                <w:szCs w:val="20"/>
                <w:lang w:val="es-AR"/>
              </w:rPr>
              <w:t xml:space="preserve">Los pagos </w:t>
            </w:r>
            <w:r w:rsidR="00AF67AA" w:rsidRPr="00EA7870">
              <w:rPr>
                <w:color w:val="000000"/>
                <w:sz w:val="20"/>
                <w:szCs w:val="20"/>
                <w:lang w:val="es-AR"/>
              </w:rPr>
              <w:t xml:space="preserve">en virtud de </w:t>
            </w:r>
            <w:r w:rsidRPr="00EA7870">
              <w:rPr>
                <w:color w:val="000000"/>
                <w:sz w:val="20"/>
                <w:szCs w:val="20"/>
                <w:lang w:val="es-AR"/>
              </w:rPr>
              <w:t>las Obligaciones Negociables se efectuarán sin deducciones ni retenciones por impuestos argentinos o impuestos de ciertas otras jurisdicciones, según el caso. En caso de exigirse dichas deducciones o retenciones en virtud de una regulación emanada de una autoridad gubernamental competente, la Emisora realizará esa deducción o retención, efectuará el pago del monto retenido a la autoridad gubernamental correspondiente y pagará los montos adicionales que resulten necesarios a fin de que los tenedores de Obligaciones Negociables reciban los mismos montos que hubieran recibido en el caso de no haberse exigido dichas retenciones o deducciones;</w:t>
            </w:r>
            <w:r w:rsidR="00825090" w:rsidRPr="00EA7870">
              <w:rPr>
                <w:color w:val="000000"/>
                <w:sz w:val="20"/>
                <w:szCs w:val="20"/>
                <w:lang w:val="es-AR"/>
              </w:rPr>
              <w:t xml:space="preserve"> </w:t>
            </w:r>
            <w:r w:rsidRPr="00EA7870">
              <w:rPr>
                <w:color w:val="000000"/>
                <w:sz w:val="20"/>
                <w:szCs w:val="20"/>
                <w:lang w:val="es-AR"/>
              </w:rPr>
              <w:t>ello, sujeto a ciertas excepciones establecidas en “</w:t>
            </w:r>
            <w:r w:rsidRPr="00EA7870">
              <w:rPr>
                <w:i/>
                <w:color w:val="000000"/>
                <w:sz w:val="20"/>
                <w:szCs w:val="20"/>
                <w:lang w:val="es-AR"/>
              </w:rPr>
              <w:t>Descripción de las Obligaciones Negociables—Montos Adicionales</w:t>
            </w:r>
            <w:r w:rsidRPr="00EA7870">
              <w:rPr>
                <w:color w:val="000000"/>
                <w:sz w:val="20"/>
                <w:szCs w:val="20"/>
                <w:lang w:val="es-AR"/>
              </w:rPr>
              <w:t>”</w:t>
            </w:r>
            <w:r w:rsidR="00F73760" w:rsidRPr="00EA7870">
              <w:rPr>
                <w:color w:val="000000"/>
                <w:sz w:val="20"/>
                <w:szCs w:val="20"/>
                <w:lang w:val="es-AR"/>
              </w:rPr>
              <w:t xml:space="preserve"> más adelante en el presente Suplemento</w:t>
            </w:r>
            <w:r w:rsidRPr="00EA7870">
              <w:rPr>
                <w:color w:val="000000"/>
                <w:sz w:val="20"/>
                <w:szCs w:val="20"/>
                <w:lang w:val="es-AR"/>
              </w:rPr>
              <w:t>.</w:t>
            </w:r>
            <w:bookmarkEnd w:id="109"/>
          </w:p>
        </w:tc>
      </w:tr>
      <w:tr w:rsidR="00A60E0D" w:rsidRPr="00EA7870" w14:paraId="1802D69C" w14:textId="77777777" w:rsidTr="008C3631">
        <w:trPr>
          <w:trHeight w:val="20"/>
        </w:trPr>
        <w:tc>
          <w:tcPr>
            <w:tcW w:w="4096" w:type="dxa"/>
          </w:tcPr>
          <w:p w14:paraId="721D6E52" w14:textId="77777777" w:rsidR="00A60E0D" w:rsidRPr="00EA7870" w:rsidRDefault="00A60E0D" w:rsidP="00A60E0D">
            <w:pPr>
              <w:tabs>
                <w:tab w:val="right" w:leader="dot" w:pos="4400"/>
              </w:tabs>
              <w:ind w:right="360"/>
              <w:rPr>
                <w:b/>
                <w:sz w:val="20"/>
                <w:szCs w:val="20"/>
                <w:lang w:val="es-AR" w:bidi="he-IL"/>
              </w:rPr>
            </w:pPr>
            <w:r w:rsidRPr="00EA7870">
              <w:rPr>
                <w:b/>
                <w:sz w:val="20"/>
                <w:szCs w:val="20"/>
                <w:lang w:val="es-AR" w:bidi="he-IL"/>
              </w:rPr>
              <w:t>Rescate Optativo con Prima Compensatoria</w:t>
            </w:r>
            <w:r w:rsidRPr="00EA7870">
              <w:rPr>
                <w:sz w:val="20"/>
                <w:szCs w:val="20"/>
                <w:lang w:val="es-AR" w:bidi="he-IL"/>
              </w:rPr>
              <w:tab/>
            </w:r>
          </w:p>
        </w:tc>
        <w:tc>
          <w:tcPr>
            <w:tcW w:w="4410" w:type="dxa"/>
          </w:tcPr>
          <w:p w14:paraId="6E1E35CC" w14:textId="2E98D3F9" w:rsidR="00C34AEB" w:rsidRPr="00EA7870" w:rsidRDefault="00A60E0D" w:rsidP="00C34AEB">
            <w:pPr>
              <w:tabs>
                <w:tab w:val="left" w:pos="-360"/>
                <w:tab w:val="left" w:pos="0"/>
              </w:tabs>
              <w:suppressAutoHyphens/>
              <w:spacing w:after="200"/>
              <w:jc w:val="both"/>
              <w:rPr>
                <w:color w:val="000000"/>
                <w:sz w:val="20"/>
                <w:szCs w:val="20"/>
                <w:lang w:val="es-AR" w:bidi="he-IL"/>
              </w:rPr>
            </w:pPr>
            <w:r w:rsidRPr="00EA7870">
              <w:rPr>
                <w:color w:val="000000"/>
                <w:sz w:val="20"/>
                <w:szCs w:val="20"/>
                <w:lang w:val="es-AR"/>
              </w:rPr>
              <w:t xml:space="preserve">En cualquier momento anterior a la fecha que se informe en el Aviso de Resultados, la Emisora </w:t>
            </w:r>
            <w:r w:rsidR="00EC29E1" w:rsidRPr="00EA7870">
              <w:rPr>
                <w:color w:val="000000"/>
                <w:sz w:val="20"/>
                <w:szCs w:val="20"/>
                <w:lang w:val="es-AR"/>
              </w:rPr>
              <w:t>podrá</w:t>
            </w:r>
            <w:r w:rsidRPr="00EA7870">
              <w:rPr>
                <w:color w:val="000000"/>
                <w:sz w:val="20"/>
                <w:szCs w:val="20"/>
                <w:lang w:val="es-AR"/>
              </w:rPr>
              <w:t xml:space="preserve">, a su opción, rescatar las Obligaciones Negociables, en su totalidad o en forma parcial, a un precio de rescate </w:t>
            </w:r>
            <w:r w:rsidR="00A00FE0" w:rsidRPr="00EA7870">
              <w:rPr>
                <w:spacing w:val="-2"/>
                <w:sz w:val="20"/>
                <w:szCs w:val="20"/>
                <w:lang w:val="es-AR"/>
              </w:rPr>
              <w:t>equivalente al que resulte mayor entre</w:t>
            </w:r>
            <w:r w:rsidR="00B94514" w:rsidRPr="00EA7870">
              <w:rPr>
                <w:spacing w:val="-2"/>
                <w:sz w:val="20"/>
                <w:szCs w:val="20"/>
                <w:lang w:val="es-AR"/>
              </w:rPr>
              <w:t>:</w:t>
            </w:r>
            <w:r w:rsidR="00A00FE0" w:rsidRPr="00EA7870">
              <w:rPr>
                <w:spacing w:val="-2"/>
                <w:sz w:val="20"/>
                <w:szCs w:val="20"/>
                <w:lang w:val="es-AR"/>
              </w:rPr>
              <w:t xml:space="preserve"> (1) el 100% del monto de capital de las Obligaciones Negociables a ser rescatadas</w:t>
            </w:r>
            <w:r w:rsidR="00B94514" w:rsidRPr="00EA7870">
              <w:rPr>
                <w:spacing w:val="-2"/>
                <w:sz w:val="20"/>
                <w:szCs w:val="20"/>
                <w:lang w:val="es-AR"/>
              </w:rPr>
              <w:t>,</w:t>
            </w:r>
            <w:r w:rsidR="00A00FE0" w:rsidRPr="00EA7870">
              <w:rPr>
                <w:spacing w:val="-2"/>
                <w:sz w:val="20"/>
                <w:szCs w:val="20"/>
                <w:lang w:val="es-AR"/>
              </w:rPr>
              <w:t xml:space="preserve"> </w:t>
            </w:r>
            <w:r w:rsidR="008366FF" w:rsidRPr="00EA7870">
              <w:rPr>
                <w:spacing w:val="-2"/>
                <w:sz w:val="20"/>
                <w:szCs w:val="20"/>
                <w:lang w:val="es-AR"/>
              </w:rPr>
              <w:t>y</w:t>
            </w:r>
            <w:r w:rsidR="00A00FE0" w:rsidRPr="00EA7870">
              <w:rPr>
                <w:spacing w:val="-2"/>
                <w:sz w:val="20"/>
                <w:szCs w:val="20"/>
                <w:lang w:val="es-AR"/>
              </w:rPr>
              <w:t xml:space="preserve"> (2) la suma del valor presente de cada pago programado remanente de capital e intereses sobre las mismas (excluyendo los intereses devengados a la fecha de rescate) descontado a la fecha de rescate en forma </w:t>
            </w:r>
            <w:r w:rsidR="00CE59FD" w:rsidRPr="00EA7870">
              <w:rPr>
                <w:spacing w:val="-2"/>
                <w:sz w:val="20"/>
                <w:szCs w:val="20"/>
                <w:lang w:val="es-AR"/>
              </w:rPr>
              <w:t xml:space="preserve">anual </w:t>
            </w:r>
            <w:r w:rsidR="00A00FE0" w:rsidRPr="00EA7870">
              <w:rPr>
                <w:spacing w:val="-2"/>
                <w:sz w:val="20"/>
                <w:szCs w:val="20"/>
                <w:lang w:val="es-AR"/>
              </w:rPr>
              <w:t xml:space="preserve">(suponiendo un año de 360 días compuesto por doce meses de 30 días) a la Tasa del Tesoro </w:t>
            </w:r>
            <w:r w:rsidR="005B6A8F" w:rsidRPr="00EA7870">
              <w:rPr>
                <w:spacing w:val="-2"/>
                <w:sz w:val="20"/>
                <w:szCs w:val="20"/>
                <w:lang w:val="es-AR"/>
              </w:rPr>
              <w:t xml:space="preserve">(según este término se define más adelante) </w:t>
            </w:r>
            <w:r w:rsidR="00A00FE0" w:rsidRPr="00EA7870">
              <w:rPr>
                <w:spacing w:val="-2"/>
                <w:sz w:val="20"/>
                <w:szCs w:val="20"/>
                <w:lang w:val="es-AR"/>
              </w:rPr>
              <w:t xml:space="preserve">más </w:t>
            </w:r>
            <w:r w:rsidR="00A65F9C" w:rsidRPr="00EA7870">
              <w:rPr>
                <w:spacing w:val="-2"/>
                <w:sz w:val="20"/>
                <w:szCs w:val="20"/>
                <w:lang w:val="es-AR"/>
              </w:rPr>
              <w:t>un margen que se informe oportunamente en el Aviso de Resultados</w:t>
            </w:r>
            <w:r w:rsidR="00A00FE0" w:rsidRPr="00EA7870">
              <w:rPr>
                <w:spacing w:val="-2"/>
                <w:sz w:val="20"/>
                <w:szCs w:val="20"/>
                <w:lang w:val="es-AR"/>
              </w:rPr>
              <w:t>, más, en cada caso, intereses devengados e impagos a la fecha de rescate.</w:t>
            </w:r>
            <w:r w:rsidR="00A65F9C" w:rsidRPr="00EA7870">
              <w:rPr>
                <w:color w:val="000000"/>
                <w:sz w:val="20"/>
                <w:szCs w:val="20"/>
                <w:lang w:val="es-AR"/>
              </w:rPr>
              <w:t xml:space="preserve"> </w:t>
            </w:r>
            <w:r w:rsidRPr="00EA7870">
              <w:rPr>
                <w:color w:val="000000"/>
                <w:sz w:val="20"/>
                <w:szCs w:val="20"/>
                <w:lang w:val="es-AR"/>
              </w:rPr>
              <w:t>Véase “</w:t>
            </w:r>
            <w:r w:rsidRPr="00EA7870">
              <w:rPr>
                <w:i/>
                <w:color w:val="000000"/>
                <w:sz w:val="20"/>
                <w:szCs w:val="20"/>
                <w:lang w:val="es-AR"/>
              </w:rPr>
              <w:t>Descripción de las Obligaciones Negociables—Rescate Optativo con Prima Compensatoria</w:t>
            </w:r>
            <w:r w:rsidRPr="00EA7870">
              <w:rPr>
                <w:color w:val="000000"/>
                <w:sz w:val="20"/>
                <w:szCs w:val="20"/>
                <w:lang w:val="es-AR"/>
              </w:rPr>
              <w:t>”</w:t>
            </w:r>
            <w:r w:rsidR="00CE59FD" w:rsidRPr="00EA7870">
              <w:rPr>
                <w:color w:val="000000"/>
                <w:sz w:val="20"/>
                <w:szCs w:val="20"/>
                <w:lang w:val="es-AR"/>
              </w:rPr>
              <w:t xml:space="preserve"> del presente Suplemento.</w:t>
            </w:r>
            <w:r w:rsidR="00DD1EE7" w:rsidRPr="00EA7870">
              <w:rPr>
                <w:color w:val="000000"/>
                <w:sz w:val="20"/>
                <w:szCs w:val="20"/>
                <w:lang w:val="es-AR"/>
              </w:rPr>
              <w:t xml:space="preserve"> </w:t>
            </w:r>
          </w:p>
        </w:tc>
      </w:tr>
      <w:tr w:rsidR="00A60E0D" w:rsidRPr="00EA7870" w14:paraId="6DA60EF9" w14:textId="77777777" w:rsidTr="008C3631">
        <w:trPr>
          <w:trHeight w:val="20"/>
        </w:trPr>
        <w:tc>
          <w:tcPr>
            <w:tcW w:w="4096" w:type="dxa"/>
          </w:tcPr>
          <w:p w14:paraId="3FEFF01F" w14:textId="77777777" w:rsidR="00A60E0D" w:rsidRPr="00EA7870" w:rsidRDefault="00A60E0D" w:rsidP="00A60E0D">
            <w:pPr>
              <w:tabs>
                <w:tab w:val="right" w:leader="dot" w:pos="4400"/>
              </w:tabs>
              <w:ind w:right="360"/>
              <w:rPr>
                <w:b/>
                <w:sz w:val="20"/>
                <w:szCs w:val="20"/>
                <w:lang w:val="es-AR" w:bidi="he-IL"/>
              </w:rPr>
            </w:pPr>
            <w:r w:rsidRPr="00EA7870">
              <w:rPr>
                <w:b/>
                <w:sz w:val="20"/>
                <w:szCs w:val="20"/>
                <w:lang w:val="es-AR" w:bidi="he-IL"/>
              </w:rPr>
              <w:t>Rescate Optativo sin Prima Compensatoria</w:t>
            </w:r>
            <w:r w:rsidRPr="00EA7870">
              <w:rPr>
                <w:sz w:val="20"/>
                <w:szCs w:val="20"/>
                <w:lang w:val="es-AR" w:bidi="he-IL"/>
              </w:rPr>
              <w:tab/>
            </w:r>
          </w:p>
        </w:tc>
        <w:tc>
          <w:tcPr>
            <w:tcW w:w="4410" w:type="dxa"/>
          </w:tcPr>
          <w:p w14:paraId="72DB99BE" w14:textId="089C9D45" w:rsidR="00A60E0D" w:rsidRPr="00EA7870" w:rsidRDefault="00A65F9C" w:rsidP="00E8195F">
            <w:pPr>
              <w:tabs>
                <w:tab w:val="left" w:pos="-360"/>
                <w:tab w:val="left" w:pos="0"/>
              </w:tabs>
              <w:suppressAutoHyphens/>
              <w:spacing w:after="200"/>
              <w:jc w:val="both"/>
              <w:rPr>
                <w:spacing w:val="-2"/>
                <w:sz w:val="20"/>
                <w:szCs w:val="20"/>
                <w:lang w:val="es-AR"/>
              </w:rPr>
            </w:pPr>
            <w:r w:rsidRPr="00EA7870">
              <w:rPr>
                <w:spacing w:val="-2"/>
                <w:sz w:val="20"/>
                <w:szCs w:val="20"/>
                <w:lang w:val="es-AR"/>
              </w:rPr>
              <w:t xml:space="preserve">En cualquier momento, en o a partir de la </w:t>
            </w:r>
            <w:r w:rsidR="008366FF" w:rsidRPr="00EA7870">
              <w:rPr>
                <w:spacing w:val="-2"/>
                <w:sz w:val="20"/>
                <w:szCs w:val="20"/>
                <w:lang w:val="es-AR"/>
              </w:rPr>
              <w:t>Fecha de Rescate</w:t>
            </w:r>
            <w:r w:rsidR="00771486">
              <w:rPr>
                <w:spacing w:val="-2"/>
                <w:sz w:val="20"/>
                <w:szCs w:val="20"/>
                <w:lang w:val="es-AR"/>
              </w:rPr>
              <w:t xml:space="preserve"> </w:t>
            </w:r>
            <w:r w:rsidR="008366FF" w:rsidRPr="00EA7870">
              <w:rPr>
                <w:spacing w:val="-2"/>
                <w:sz w:val="20"/>
                <w:szCs w:val="20"/>
                <w:lang w:val="es-AR"/>
              </w:rPr>
              <w:t>(</w:t>
            </w:r>
            <w:r w:rsidR="009840C6" w:rsidRPr="00EA7870">
              <w:rPr>
                <w:spacing w:val="-2"/>
                <w:sz w:val="20"/>
                <w:szCs w:val="20"/>
                <w:lang w:val="es-AR"/>
              </w:rPr>
              <w:t>s</w:t>
            </w:r>
            <w:r w:rsidR="008366FF" w:rsidRPr="00EA7870">
              <w:rPr>
                <w:spacing w:val="-2"/>
                <w:sz w:val="20"/>
                <w:szCs w:val="20"/>
                <w:lang w:val="es-AR"/>
              </w:rPr>
              <w:t xml:space="preserve">egún </w:t>
            </w:r>
            <w:r w:rsidR="009840C6" w:rsidRPr="00EA7870">
              <w:rPr>
                <w:spacing w:val="-2"/>
                <w:sz w:val="20"/>
                <w:szCs w:val="20"/>
                <w:lang w:val="es-AR"/>
              </w:rPr>
              <w:t xml:space="preserve">este término </w:t>
            </w:r>
            <w:r w:rsidR="008366FF" w:rsidRPr="00EA7870">
              <w:rPr>
                <w:spacing w:val="-2"/>
                <w:sz w:val="20"/>
                <w:szCs w:val="20"/>
                <w:lang w:val="es-AR"/>
              </w:rPr>
              <w:t>se define más adelante)</w:t>
            </w:r>
            <w:r w:rsidRPr="00EA7870">
              <w:rPr>
                <w:spacing w:val="-2"/>
                <w:sz w:val="20"/>
                <w:szCs w:val="20"/>
                <w:lang w:val="es-AR"/>
              </w:rPr>
              <w:t xml:space="preserve">, la Emisora podrá, a su opción, rescatar las Obligaciones Negociables, en su totalidad o en forma parcial, </w:t>
            </w:r>
            <w:r w:rsidR="008366FF" w:rsidRPr="00EA7870">
              <w:rPr>
                <w:spacing w:val="-2"/>
                <w:sz w:val="20"/>
                <w:szCs w:val="20"/>
                <w:lang w:val="es-AR"/>
              </w:rPr>
              <w:t xml:space="preserve">pagando el 100% del </w:t>
            </w:r>
            <w:r w:rsidRPr="00EA7870">
              <w:rPr>
                <w:spacing w:val="-2"/>
                <w:sz w:val="20"/>
                <w:szCs w:val="20"/>
                <w:lang w:val="es-AR"/>
              </w:rPr>
              <w:t>monto de capital</w:t>
            </w:r>
            <w:r w:rsidR="008366FF" w:rsidRPr="00EA7870">
              <w:rPr>
                <w:spacing w:val="-2"/>
                <w:sz w:val="20"/>
                <w:szCs w:val="20"/>
                <w:lang w:val="es-AR"/>
              </w:rPr>
              <w:t xml:space="preserve"> de las Obligaciones Negociables a ser rescatadas</w:t>
            </w:r>
            <w:r w:rsidR="006B25DD" w:rsidRPr="00EA7870">
              <w:rPr>
                <w:spacing w:val="-2"/>
                <w:sz w:val="20"/>
                <w:szCs w:val="20"/>
                <w:lang w:val="es-AR"/>
              </w:rPr>
              <w:t xml:space="preserve">, </w:t>
            </w:r>
            <w:r w:rsidRPr="00EA7870">
              <w:rPr>
                <w:spacing w:val="-2"/>
                <w:sz w:val="20"/>
                <w:szCs w:val="20"/>
                <w:lang w:val="es-AR"/>
              </w:rPr>
              <w:t>más los intereses devengados e impagos hasta la fecha de rescate aplicable.</w:t>
            </w:r>
            <w:r w:rsidRPr="00EA7870">
              <w:rPr>
                <w:sz w:val="20"/>
                <w:szCs w:val="20"/>
                <w:lang w:val="es-AR"/>
              </w:rPr>
              <w:t xml:space="preserve"> </w:t>
            </w:r>
            <w:r w:rsidR="00A60E0D" w:rsidRPr="00EA7870">
              <w:rPr>
                <w:spacing w:val="-2"/>
                <w:sz w:val="20"/>
                <w:szCs w:val="20"/>
                <w:lang w:val="es-AR"/>
              </w:rPr>
              <w:t>Véase “</w:t>
            </w:r>
            <w:r w:rsidR="00A60E0D" w:rsidRPr="00EA7870">
              <w:rPr>
                <w:i/>
                <w:spacing w:val="-2"/>
                <w:sz w:val="20"/>
                <w:szCs w:val="20"/>
                <w:lang w:val="es-AR"/>
              </w:rPr>
              <w:t xml:space="preserve">Descripción de las </w:t>
            </w:r>
            <w:r w:rsidR="00A60E0D" w:rsidRPr="00EA7870">
              <w:rPr>
                <w:i/>
                <w:spacing w:val="-2"/>
                <w:sz w:val="20"/>
                <w:szCs w:val="20"/>
                <w:lang w:val="es-AR"/>
              </w:rPr>
              <w:lastRenderedPageBreak/>
              <w:t>Obligaciones Negociables—</w:t>
            </w:r>
            <w:r w:rsidR="00A60E0D" w:rsidRPr="00EA7870">
              <w:rPr>
                <w:i/>
                <w:sz w:val="20"/>
                <w:szCs w:val="20"/>
                <w:lang w:val="es-AR" w:bidi="he-IL"/>
              </w:rPr>
              <w:t>Rescate Optativo sin Prima Compensatoria</w:t>
            </w:r>
            <w:r w:rsidR="00A60E0D" w:rsidRPr="00EA7870">
              <w:rPr>
                <w:sz w:val="20"/>
                <w:szCs w:val="20"/>
                <w:lang w:val="es-AR" w:bidi="he-IL"/>
              </w:rPr>
              <w:t>”</w:t>
            </w:r>
            <w:r w:rsidR="00CE59FD" w:rsidRPr="00EA7870">
              <w:rPr>
                <w:sz w:val="20"/>
                <w:szCs w:val="20"/>
                <w:lang w:val="es-AR" w:bidi="he-IL"/>
              </w:rPr>
              <w:t xml:space="preserve"> del presente Suplemento</w:t>
            </w:r>
            <w:r w:rsidR="00B94514" w:rsidRPr="00EA7870">
              <w:rPr>
                <w:sz w:val="20"/>
                <w:szCs w:val="20"/>
                <w:lang w:val="es-AR" w:bidi="he-IL"/>
              </w:rPr>
              <w:t>.</w:t>
            </w:r>
            <w:r w:rsidR="00DD1EE7" w:rsidRPr="00EA7870">
              <w:rPr>
                <w:sz w:val="20"/>
                <w:szCs w:val="20"/>
                <w:lang w:val="es-AR" w:bidi="he-IL"/>
              </w:rPr>
              <w:t xml:space="preserve"> </w:t>
            </w:r>
          </w:p>
        </w:tc>
      </w:tr>
      <w:tr w:rsidR="00A60E0D" w:rsidRPr="00EA7870" w14:paraId="369B3E86" w14:textId="77777777" w:rsidTr="008C3631">
        <w:trPr>
          <w:trHeight w:val="20"/>
        </w:trPr>
        <w:tc>
          <w:tcPr>
            <w:tcW w:w="4096" w:type="dxa"/>
          </w:tcPr>
          <w:p w14:paraId="16995787" w14:textId="77777777" w:rsidR="00A60E0D" w:rsidRPr="00EA7870" w:rsidRDefault="00A60E0D" w:rsidP="004D3267">
            <w:pPr>
              <w:tabs>
                <w:tab w:val="right" w:leader="dot" w:pos="4400"/>
              </w:tabs>
              <w:ind w:right="360"/>
              <w:rPr>
                <w:b/>
                <w:sz w:val="20"/>
                <w:szCs w:val="20"/>
                <w:lang w:val="es-AR" w:bidi="he-IL"/>
              </w:rPr>
            </w:pPr>
            <w:r w:rsidRPr="00EA7870">
              <w:rPr>
                <w:b/>
                <w:sz w:val="20"/>
                <w:szCs w:val="20"/>
                <w:lang w:val="es-AR" w:bidi="he-IL"/>
              </w:rPr>
              <w:lastRenderedPageBreak/>
              <w:t xml:space="preserve">Rescate </w:t>
            </w:r>
            <w:r w:rsidR="004D3267" w:rsidRPr="00EA7870">
              <w:rPr>
                <w:b/>
                <w:sz w:val="20"/>
                <w:szCs w:val="20"/>
                <w:lang w:val="es-AR" w:bidi="he-IL"/>
              </w:rPr>
              <w:t xml:space="preserve">Optativo </w:t>
            </w:r>
            <w:r w:rsidRPr="00EA7870">
              <w:rPr>
                <w:b/>
                <w:sz w:val="20"/>
                <w:szCs w:val="20"/>
                <w:lang w:val="es-AR" w:bidi="he-IL"/>
              </w:rPr>
              <w:t>por Cuestiones Impositivas</w:t>
            </w:r>
            <w:r w:rsidRPr="00EA7870">
              <w:rPr>
                <w:sz w:val="20"/>
                <w:szCs w:val="20"/>
                <w:lang w:val="es-AR" w:bidi="he-IL"/>
              </w:rPr>
              <w:tab/>
            </w:r>
          </w:p>
        </w:tc>
        <w:tc>
          <w:tcPr>
            <w:tcW w:w="4410" w:type="dxa"/>
          </w:tcPr>
          <w:p w14:paraId="13BF8D45" w14:textId="7810D8D7" w:rsidR="00A60E0D" w:rsidRPr="00EA7870" w:rsidRDefault="00A60E0D" w:rsidP="005C51B3">
            <w:pPr>
              <w:tabs>
                <w:tab w:val="left" w:pos="0"/>
              </w:tabs>
              <w:spacing w:after="200"/>
              <w:jc w:val="both"/>
              <w:rPr>
                <w:color w:val="000000"/>
                <w:sz w:val="20"/>
                <w:szCs w:val="20"/>
                <w:lang w:val="es-AR" w:bidi="he-IL"/>
              </w:rPr>
            </w:pPr>
            <w:r w:rsidRPr="00EA7870">
              <w:rPr>
                <w:sz w:val="20"/>
                <w:szCs w:val="20"/>
                <w:lang w:val="es-AR"/>
              </w:rPr>
              <w:t xml:space="preserve">Las Obligaciones Negociables podrán ser rescatadas, en su totalidad pero no en forma parcial, </w:t>
            </w:r>
            <w:r w:rsidR="00A65F9C" w:rsidRPr="00EA7870">
              <w:rPr>
                <w:sz w:val="20"/>
                <w:szCs w:val="20"/>
                <w:lang w:val="es-AR"/>
              </w:rPr>
              <w:t xml:space="preserve">en cualquier momento </w:t>
            </w:r>
            <w:r w:rsidRPr="00EA7870">
              <w:rPr>
                <w:sz w:val="20"/>
                <w:szCs w:val="20"/>
                <w:lang w:val="es-AR"/>
              </w:rPr>
              <w:t xml:space="preserve">a opción de la Emisora, con sujeción a las leyes argentinas aplicables, a un precio de rescate equivalente al 100% del monto de capital de las Obligaciones Negociables, </w:t>
            </w:r>
            <w:r w:rsidR="00A65F9C" w:rsidRPr="00EA7870">
              <w:rPr>
                <w:sz w:val="20"/>
                <w:szCs w:val="20"/>
                <w:lang w:val="es-AR"/>
              </w:rPr>
              <w:t xml:space="preserve">con más los intereses devengados e impagos hasta la fecha de rescate, si: (i) </w:t>
            </w:r>
            <w:r w:rsidR="00011AB1" w:rsidRPr="00EA7870">
              <w:rPr>
                <w:sz w:val="20"/>
                <w:szCs w:val="20"/>
                <w:lang w:val="es-AR"/>
              </w:rPr>
              <w:t xml:space="preserve">en ocasión de un próximo pago en virtud de las Obligaciones Negociables, la Emisora o la Garante </w:t>
            </w:r>
            <w:r w:rsidR="00A65F9C" w:rsidRPr="00EA7870">
              <w:rPr>
                <w:sz w:val="20"/>
                <w:szCs w:val="20"/>
                <w:lang w:val="es-AR"/>
              </w:rPr>
              <w:t xml:space="preserve">hubieran quedado o fueran a quedar obligadas a pagar Montos Adicionales (según se definen en el presente) como resultado de cualquier cambio o modificación de las leyes (o las reglamentaciones o pronunciamientos promulgados en virtud de ellas) de cualquier Jurisdicción Impositiva Pertinente (según se define en el presente), o cualquier cambio en la aplicación, administración o interpretación oficial de dichas leyes, reglamentaciones o pronunciamientos, incluso un fallo de un juez competente, o un cambio en la posición oficial con respecto a cualquier tratado que afecte la tributación, o con respecto a la aplicación del mismo, del que una Jurisdicción Impositiva Pertinente sea parte, y tal cambio o modificación entra en vigencia </w:t>
            </w:r>
            <w:r w:rsidR="008A5185" w:rsidRPr="00EA7870">
              <w:rPr>
                <w:sz w:val="20"/>
                <w:szCs w:val="20"/>
                <w:lang w:val="es-AR"/>
              </w:rPr>
              <w:t xml:space="preserve">en o </w:t>
            </w:r>
            <w:r w:rsidR="00A65F9C" w:rsidRPr="00EA7870">
              <w:rPr>
                <w:sz w:val="20"/>
                <w:szCs w:val="20"/>
                <w:lang w:val="es-AR"/>
              </w:rPr>
              <w:t>a partir de la Fecha de Emisión</w:t>
            </w:r>
            <w:r w:rsidR="00DB3221" w:rsidRPr="00EA7870">
              <w:rPr>
                <w:sz w:val="20"/>
                <w:szCs w:val="20"/>
                <w:lang w:val="es-AR"/>
              </w:rPr>
              <w:t xml:space="preserve"> y Liquidación</w:t>
            </w:r>
            <w:r w:rsidR="00A65F9C" w:rsidRPr="00EA7870">
              <w:rPr>
                <w:sz w:val="20"/>
                <w:szCs w:val="20"/>
                <w:lang w:val="es-AR"/>
              </w:rPr>
              <w:t xml:space="preserve"> o, en el caso de Montos Adicionales a pagar con respecto a Impuestos determinados o establecidos por o en representación de una jurisdicción (distinta de </w:t>
            </w:r>
            <w:r w:rsidR="00DA6E9F" w:rsidRPr="00EA7870">
              <w:rPr>
                <w:sz w:val="20"/>
                <w:szCs w:val="20"/>
                <w:lang w:val="es-AR"/>
              </w:rPr>
              <w:t xml:space="preserve">la </w:t>
            </w:r>
            <w:r w:rsidR="00A65F9C" w:rsidRPr="00EA7870">
              <w:rPr>
                <w:sz w:val="20"/>
                <w:szCs w:val="20"/>
                <w:lang w:val="es-AR"/>
              </w:rPr>
              <w:t xml:space="preserve">Argentina o </w:t>
            </w:r>
            <w:r w:rsidR="00ED4A50" w:rsidRPr="00EA7870">
              <w:rPr>
                <w:sz w:val="20"/>
                <w:szCs w:val="20"/>
                <w:lang w:val="es-AR"/>
              </w:rPr>
              <w:t>España</w:t>
            </w:r>
            <w:r w:rsidR="00A65F9C" w:rsidRPr="00EA7870">
              <w:rPr>
                <w:sz w:val="20"/>
                <w:szCs w:val="20"/>
                <w:lang w:val="es-AR"/>
              </w:rPr>
              <w:t xml:space="preserve">) en la que se encuentra constituida la Emisora o la Garante (o un Sucesor) o en la que residen para fines impositivos, </w:t>
            </w:r>
            <w:r w:rsidR="008A5185" w:rsidRPr="00EA7870">
              <w:rPr>
                <w:sz w:val="20"/>
                <w:szCs w:val="20"/>
                <w:lang w:val="es-AR"/>
              </w:rPr>
              <w:t xml:space="preserve">en o </w:t>
            </w:r>
            <w:r w:rsidR="00A65F9C" w:rsidRPr="00EA7870">
              <w:rPr>
                <w:sz w:val="20"/>
                <w:szCs w:val="20"/>
                <w:lang w:val="es-AR"/>
              </w:rPr>
              <w:t xml:space="preserve">a partir de la fecha en que la Emisora o la Garante (o un Sucesor) se constituye o adquiere el carácter de residente; y (ii) la Emisora no pudiera evitar dicha obligación de pagar Montos Adicionales tomando las medidas razonables que tuviera a su disposición. </w:t>
            </w:r>
            <w:r w:rsidRPr="00EA7870">
              <w:rPr>
                <w:spacing w:val="-2"/>
                <w:sz w:val="20"/>
                <w:szCs w:val="20"/>
                <w:lang w:val="es-AR"/>
              </w:rPr>
              <w:t>Véase “</w:t>
            </w:r>
            <w:r w:rsidRPr="00EA7870">
              <w:rPr>
                <w:i/>
                <w:spacing w:val="-2"/>
                <w:sz w:val="20"/>
                <w:szCs w:val="20"/>
                <w:lang w:val="es-AR"/>
              </w:rPr>
              <w:t xml:space="preserve">Descripción de las Obligaciones Negociables—Rescate </w:t>
            </w:r>
            <w:r w:rsidR="008A5185" w:rsidRPr="00EA7870">
              <w:rPr>
                <w:i/>
                <w:spacing w:val="-2"/>
                <w:sz w:val="20"/>
                <w:szCs w:val="20"/>
                <w:lang w:val="es-AR"/>
              </w:rPr>
              <w:t xml:space="preserve">Optativo </w:t>
            </w:r>
            <w:r w:rsidRPr="00EA7870">
              <w:rPr>
                <w:i/>
                <w:spacing w:val="-2"/>
                <w:sz w:val="20"/>
                <w:szCs w:val="20"/>
                <w:lang w:val="es-AR"/>
              </w:rPr>
              <w:t>por Cuestiones Impositivas”</w:t>
            </w:r>
            <w:r w:rsidR="00CE59FD" w:rsidRPr="00EA7870">
              <w:rPr>
                <w:iCs/>
                <w:spacing w:val="-2"/>
                <w:sz w:val="20"/>
                <w:szCs w:val="20"/>
                <w:lang w:val="es-AR"/>
              </w:rPr>
              <w:t xml:space="preserve"> del presente Suplemento</w:t>
            </w:r>
            <w:r w:rsidR="00B94514" w:rsidRPr="00EA7870">
              <w:rPr>
                <w:iCs/>
                <w:spacing w:val="-2"/>
                <w:sz w:val="20"/>
                <w:szCs w:val="20"/>
                <w:lang w:val="es-AR"/>
              </w:rPr>
              <w:t>.</w:t>
            </w:r>
          </w:p>
        </w:tc>
      </w:tr>
      <w:tr w:rsidR="00A60E0D" w:rsidRPr="00EA7870" w14:paraId="6EA5FE48" w14:textId="77777777" w:rsidTr="008C3631">
        <w:trPr>
          <w:trHeight w:val="20"/>
        </w:trPr>
        <w:tc>
          <w:tcPr>
            <w:tcW w:w="4096" w:type="dxa"/>
          </w:tcPr>
          <w:p w14:paraId="7CBA65D4" w14:textId="77777777" w:rsidR="00A60E0D" w:rsidRPr="00EA7870" w:rsidRDefault="00A60E0D" w:rsidP="00A60E0D">
            <w:pPr>
              <w:tabs>
                <w:tab w:val="right" w:leader="dot" w:pos="4400"/>
              </w:tabs>
              <w:ind w:left="360" w:right="360" w:hanging="360"/>
              <w:rPr>
                <w:b/>
                <w:sz w:val="20"/>
                <w:szCs w:val="20"/>
                <w:lang w:val="es-AR" w:bidi="he-IL"/>
              </w:rPr>
            </w:pPr>
            <w:r w:rsidRPr="00EA7870">
              <w:rPr>
                <w:b/>
                <w:sz w:val="20"/>
                <w:szCs w:val="20"/>
                <w:lang w:val="es-AR" w:bidi="he-IL"/>
              </w:rPr>
              <w:t>Rango</w:t>
            </w:r>
            <w:r w:rsidRPr="00EA7870">
              <w:rPr>
                <w:sz w:val="20"/>
                <w:szCs w:val="20"/>
                <w:lang w:val="es-AR" w:bidi="he-IL"/>
              </w:rPr>
              <w:tab/>
            </w:r>
          </w:p>
        </w:tc>
        <w:tc>
          <w:tcPr>
            <w:tcW w:w="4410" w:type="dxa"/>
          </w:tcPr>
          <w:p w14:paraId="15E17D57" w14:textId="77777777" w:rsidR="00A60E0D" w:rsidRPr="00EA7870" w:rsidRDefault="00A60E0D" w:rsidP="00A60E0D">
            <w:pPr>
              <w:spacing w:after="200"/>
              <w:jc w:val="both"/>
              <w:rPr>
                <w:color w:val="000000"/>
                <w:sz w:val="20"/>
                <w:szCs w:val="20"/>
                <w:lang w:val="es-AR"/>
              </w:rPr>
            </w:pPr>
            <w:r w:rsidRPr="00EA7870">
              <w:rPr>
                <w:color w:val="000000"/>
                <w:sz w:val="20"/>
                <w:szCs w:val="20"/>
                <w:lang w:val="es-AR"/>
              </w:rPr>
              <w:t>Las Obligaciones Negociables constituirán “obligaciones negociables simples no convertibles en acciones” bajo la ley argentina, y se emitirán de acuerdo con todos los requisitos de la Ley de Obligaciones Negociables y demás leyes y reglamentaciones argentinas aplicables y en cumplimiento de los mismos; serán obligaciones quirografarias no subordinadas de la Emisora, y:</w:t>
            </w:r>
          </w:p>
          <w:p w14:paraId="069227E2" w14:textId="77777777" w:rsidR="00A60E0D" w:rsidRPr="00EA7870" w:rsidRDefault="00A60E0D" w:rsidP="00E2318E">
            <w:pPr>
              <w:numPr>
                <w:ilvl w:val="0"/>
                <w:numId w:val="3"/>
              </w:numPr>
              <w:ind w:left="613" w:hanging="108"/>
              <w:jc w:val="both"/>
              <w:rPr>
                <w:color w:val="000000"/>
                <w:sz w:val="20"/>
                <w:szCs w:val="20"/>
                <w:lang w:val="es-AR"/>
              </w:rPr>
            </w:pPr>
            <w:r w:rsidRPr="00EA7870">
              <w:rPr>
                <w:color w:val="000000"/>
                <w:sz w:val="20"/>
                <w:szCs w:val="20"/>
                <w:lang w:val="es-AR"/>
              </w:rPr>
              <w:t>tendrán igual prioridad de pago que todas las demás obligaciones no garantizadas y no subordinadas presentes y futuras de la Emisora (salvo las obligaciones que gocen de preferencia por imperio de la ley, incluyendo, sin limitación, créditos laborales e impositivos);</w:t>
            </w:r>
          </w:p>
          <w:p w14:paraId="3010C233" w14:textId="77777777" w:rsidR="00A60E0D" w:rsidRPr="00EA7870" w:rsidRDefault="00A60E0D" w:rsidP="00E2318E">
            <w:pPr>
              <w:numPr>
                <w:ilvl w:val="0"/>
                <w:numId w:val="3"/>
              </w:numPr>
              <w:ind w:left="613" w:hanging="108"/>
              <w:jc w:val="both"/>
              <w:rPr>
                <w:sz w:val="20"/>
                <w:szCs w:val="20"/>
                <w:lang w:val="es-AR"/>
              </w:rPr>
            </w:pPr>
            <w:r w:rsidRPr="00EA7870">
              <w:rPr>
                <w:color w:val="000000"/>
                <w:sz w:val="20"/>
                <w:szCs w:val="20"/>
                <w:lang w:val="es-AR"/>
              </w:rPr>
              <w:lastRenderedPageBreak/>
              <w:t>tendrán preferencia en su derecho de pago sobre cualquier endeudamiento subordinado presente y futuro de la Emisora, si lo hubiera;</w:t>
            </w:r>
          </w:p>
          <w:p w14:paraId="0DF6E1BE" w14:textId="77777777" w:rsidR="00A60E0D" w:rsidRPr="00EA7870" w:rsidRDefault="00A60E0D" w:rsidP="00E2318E">
            <w:pPr>
              <w:numPr>
                <w:ilvl w:val="0"/>
                <w:numId w:val="3"/>
              </w:numPr>
              <w:ind w:left="613" w:hanging="108"/>
              <w:jc w:val="both"/>
              <w:rPr>
                <w:sz w:val="20"/>
                <w:szCs w:val="20"/>
                <w:lang w:val="es-AR"/>
              </w:rPr>
            </w:pPr>
            <w:r w:rsidRPr="00EA7870">
              <w:rPr>
                <w:color w:val="000000"/>
                <w:sz w:val="20"/>
                <w:szCs w:val="20"/>
                <w:lang w:val="es-AR"/>
              </w:rPr>
              <w:t xml:space="preserve">se encontrarán efectivamente subordinadas a todas las obligaciones garantizadas presentes y futuras de la Emisora, en la medida del valor de los activos en garantía de dichas obligaciones; y </w:t>
            </w:r>
          </w:p>
          <w:p w14:paraId="533EE6E0" w14:textId="77777777" w:rsidR="00A60E0D" w:rsidRPr="00EA7870" w:rsidRDefault="00A60E0D" w:rsidP="00E2318E">
            <w:pPr>
              <w:numPr>
                <w:ilvl w:val="0"/>
                <w:numId w:val="3"/>
              </w:numPr>
              <w:ind w:left="613" w:hanging="108"/>
              <w:jc w:val="both"/>
              <w:rPr>
                <w:sz w:val="20"/>
                <w:szCs w:val="20"/>
                <w:lang w:val="es-AR"/>
              </w:rPr>
            </w:pPr>
            <w:r w:rsidRPr="00EA7870">
              <w:rPr>
                <w:color w:val="000000"/>
                <w:sz w:val="20"/>
                <w:szCs w:val="20"/>
                <w:lang w:val="es-AR"/>
              </w:rPr>
              <w:t>estarán estructuralmente subordinadas a todas las deudas existentes y futuras y otros pasivos de cualquier subsidiaria de la Garante.</w:t>
            </w:r>
          </w:p>
          <w:p w14:paraId="2F2C09B3" w14:textId="77777777" w:rsidR="00A60E0D" w:rsidRPr="00EA7870" w:rsidRDefault="00A60E0D" w:rsidP="00A60E0D">
            <w:pPr>
              <w:jc w:val="both"/>
              <w:rPr>
                <w:color w:val="000000"/>
                <w:sz w:val="20"/>
                <w:szCs w:val="20"/>
                <w:lang w:val="es-AR"/>
              </w:rPr>
            </w:pPr>
          </w:p>
          <w:p w14:paraId="477CE833" w14:textId="77777777" w:rsidR="00A60E0D" w:rsidRPr="00EA7870" w:rsidRDefault="00A60E0D" w:rsidP="00A60E0D">
            <w:pPr>
              <w:spacing w:after="200"/>
              <w:jc w:val="both"/>
              <w:rPr>
                <w:color w:val="000000"/>
                <w:sz w:val="20"/>
                <w:szCs w:val="20"/>
                <w:lang w:val="es-AR"/>
              </w:rPr>
            </w:pPr>
            <w:r w:rsidRPr="00EA7870">
              <w:rPr>
                <w:color w:val="000000"/>
                <w:sz w:val="20"/>
                <w:szCs w:val="20"/>
                <w:lang w:val="es-AR"/>
              </w:rPr>
              <w:t>La Garantía, por su parte, constituirá una obligación quirografaria no subordinada de la Garante.</w:t>
            </w:r>
          </w:p>
          <w:p w14:paraId="1DE4D401" w14:textId="5F78076F" w:rsidR="00321BCC" w:rsidRPr="00EA7870" w:rsidRDefault="00A60E0D" w:rsidP="00D006AC">
            <w:pPr>
              <w:spacing w:after="200"/>
              <w:jc w:val="both"/>
              <w:rPr>
                <w:color w:val="000000"/>
                <w:sz w:val="20"/>
                <w:szCs w:val="20"/>
                <w:lang w:val="es-AR" w:bidi="he-IL"/>
              </w:rPr>
            </w:pPr>
            <w:r w:rsidRPr="00EA7870">
              <w:rPr>
                <w:color w:val="000000"/>
                <w:sz w:val="20"/>
                <w:szCs w:val="20"/>
                <w:lang w:val="es-AR"/>
              </w:rPr>
              <w:t xml:space="preserve">Al </w:t>
            </w:r>
            <w:r w:rsidR="00DA6BB5" w:rsidRPr="00EA7870">
              <w:rPr>
                <w:color w:val="000000"/>
                <w:sz w:val="20"/>
                <w:szCs w:val="20"/>
                <w:lang w:val="es-AR"/>
              </w:rPr>
              <w:t>30 de junio</w:t>
            </w:r>
            <w:r w:rsidRPr="00EA7870">
              <w:rPr>
                <w:color w:val="000000"/>
                <w:sz w:val="20"/>
                <w:szCs w:val="20"/>
                <w:lang w:val="es-AR"/>
              </w:rPr>
              <w:t xml:space="preserve"> de 201</w:t>
            </w:r>
            <w:r w:rsidR="00E42BBF" w:rsidRPr="00EA7870">
              <w:rPr>
                <w:color w:val="000000"/>
                <w:sz w:val="20"/>
                <w:szCs w:val="20"/>
                <w:lang w:val="es-AR"/>
              </w:rPr>
              <w:t>9</w:t>
            </w:r>
            <w:r w:rsidRPr="00EA7870">
              <w:rPr>
                <w:color w:val="000000"/>
                <w:sz w:val="20"/>
                <w:szCs w:val="20"/>
                <w:lang w:val="es-AR"/>
              </w:rPr>
              <w:t xml:space="preserve">, la </w:t>
            </w:r>
            <w:r w:rsidR="00810ECF" w:rsidRPr="00EA7870">
              <w:rPr>
                <w:color w:val="000000"/>
                <w:sz w:val="20"/>
                <w:szCs w:val="20"/>
                <w:lang w:val="es-AR"/>
              </w:rPr>
              <w:t xml:space="preserve">Garante </w:t>
            </w:r>
            <w:r w:rsidRPr="00EA7870">
              <w:rPr>
                <w:color w:val="000000"/>
                <w:sz w:val="20"/>
                <w:szCs w:val="20"/>
                <w:lang w:val="es-AR"/>
              </w:rPr>
              <w:t xml:space="preserve">tenía </w:t>
            </w:r>
            <w:r w:rsidRPr="00EA7870">
              <w:rPr>
                <w:sz w:val="20"/>
                <w:szCs w:val="20"/>
                <w:lang w:val="es-AR"/>
              </w:rPr>
              <w:t>US</w:t>
            </w:r>
            <w:r w:rsidR="00F41C8A" w:rsidRPr="00EA7870">
              <w:rPr>
                <w:sz w:val="20"/>
                <w:szCs w:val="20"/>
                <w:lang w:val="es-AR"/>
              </w:rPr>
              <w:t>$</w:t>
            </w:r>
            <w:r w:rsidR="008118A3" w:rsidRPr="00EA7870">
              <w:rPr>
                <w:sz w:val="20"/>
                <w:szCs w:val="20"/>
                <w:lang w:val="es-AR"/>
              </w:rPr>
              <w:t>2.381,5</w:t>
            </w:r>
            <w:r w:rsidR="004B1818" w:rsidRPr="00EA7870">
              <w:rPr>
                <w:sz w:val="20"/>
                <w:szCs w:val="20"/>
                <w:lang w:val="es-AR"/>
              </w:rPr>
              <w:t xml:space="preserve"> </w:t>
            </w:r>
            <w:r w:rsidRPr="00EA7870">
              <w:rPr>
                <w:sz w:val="20"/>
                <w:szCs w:val="20"/>
                <w:lang w:val="es-AR"/>
              </w:rPr>
              <w:t>millones de deuda total</w:t>
            </w:r>
            <w:r w:rsidR="002F0B42" w:rsidRPr="00EA7870">
              <w:rPr>
                <w:sz w:val="20"/>
                <w:szCs w:val="20"/>
                <w:lang w:val="es-AR"/>
              </w:rPr>
              <w:t xml:space="preserve"> consolidada</w:t>
            </w:r>
            <w:r w:rsidR="00F41C8A" w:rsidRPr="00EA7870">
              <w:rPr>
                <w:color w:val="000000"/>
                <w:sz w:val="20"/>
                <w:szCs w:val="20"/>
                <w:lang w:val="es-AR"/>
              </w:rPr>
              <w:t xml:space="preserve">. Los montos anteriormente mencionados </w:t>
            </w:r>
            <w:r w:rsidR="008F2933" w:rsidRPr="00EA7870">
              <w:rPr>
                <w:color w:val="000000"/>
                <w:sz w:val="20"/>
                <w:szCs w:val="20"/>
                <w:lang w:val="es-AR"/>
              </w:rPr>
              <w:t xml:space="preserve">no incluyen </w:t>
            </w:r>
            <w:r w:rsidR="0005026F" w:rsidRPr="00EA7870">
              <w:rPr>
                <w:color w:val="000000"/>
                <w:sz w:val="20"/>
                <w:szCs w:val="20"/>
                <w:lang w:val="es-AR"/>
              </w:rPr>
              <w:t xml:space="preserve">la suma </w:t>
            </w:r>
            <w:r w:rsidR="00F81D11" w:rsidRPr="00EA7870">
              <w:rPr>
                <w:color w:val="000000"/>
                <w:sz w:val="20"/>
                <w:szCs w:val="20"/>
                <w:lang w:val="es-AR"/>
              </w:rPr>
              <w:t xml:space="preserve">denominada en pesos </w:t>
            </w:r>
            <w:r w:rsidR="00037C12" w:rsidRPr="00EA7870">
              <w:rPr>
                <w:color w:val="000000"/>
                <w:sz w:val="20"/>
                <w:szCs w:val="20"/>
                <w:lang w:val="es-AR"/>
              </w:rPr>
              <w:t>equivalente a</w:t>
            </w:r>
            <w:r w:rsidR="00F81D11" w:rsidRPr="00EA7870">
              <w:rPr>
                <w:color w:val="000000"/>
                <w:sz w:val="20"/>
                <w:szCs w:val="20"/>
                <w:lang w:val="es-AR"/>
              </w:rPr>
              <w:t xml:space="preserve"> </w:t>
            </w:r>
            <w:r w:rsidR="00D006AC" w:rsidRPr="00EA7870">
              <w:rPr>
                <w:color w:val="000000"/>
                <w:sz w:val="20"/>
                <w:szCs w:val="20"/>
                <w:lang w:val="es-AR"/>
              </w:rPr>
              <w:t>Ps.</w:t>
            </w:r>
            <w:r w:rsidR="003E1060" w:rsidRPr="00EA7870">
              <w:rPr>
                <w:color w:val="000000"/>
                <w:sz w:val="20"/>
                <w:szCs w:val="20"/>
                <w:lang w:val="es-AR"/>
              </w:rPr>
              <w:t>21</w:t>
            </w:r>
            <w:r w:rsidR="00554577" w:rsidRPr="00EA7870">
              <w:rPr>
                <w:color w:val="000000"/>
                <w:sz w:val="20"/>
                <w:szCs w:val="20"/>
                <w:lang w:val="es-AR"/>
              </w:rPr>
              <w:t>.</w:t>
            </w:r>
            <w:r w:rsidR="003E1060" w:rsidRPr="00EA7870">
              <w:rPr>
                <w:color w:val="000000"/>
                <w:sz w:val="20"/>
                <w:szCs w:val="20"/>
                <w:lang w:val="es-AR"/>
              </w:rPr>
              <w:t xml:space="preserve">788 </w:t>
            </w:r>
            <w:r w:rsidR="00791507" w:rsidRPr="00EA7870">
              <w:rPr>
                <w:color w:val="000000"/>
                <w:sz w:val="20"/>
                <w:szCs w:val="20"/>
                <w:lang w:val="es-AR"/>
              </w:rPr>
              <w:t>millones</w:t>
            </w:r>
            <w:r w:rsidR="00C63056" w:rsidRPr="00EA7870">
              <w:rPr>
                <w:color w:val="000000"/>
                <w:sz w:val="20"/>
                <w:szCs w:val="20"/>
                <w:lang w:val="es-AR"/>
              </w:rPr>
              <w:t>, pendientes de pago a la fecha de este Suplemento,</w:t>
            </w:r>
            <w:r w:rsidR="00F41C8A" w:rsidRPr="00EA7870">
              <w:rPr>
                <w:color w:val="000000"/>
                <w:sz w:val="20"/>
                <w:szCs w:val="20"/>
                <w:lang w:val="es-AR"/>
              </w:rPr>
              <w:t xml:space="preserve"> </w:t>
            </w:r>
            <w:r w:rsidR="006F3051" w:rsidRPr="00EA7870">
              <w:rPr>
                <w:color w:val="000000"/>
                <w:sz w:val="20"/>
                <w:szCs w:val="20"/>
                <w:lang w:val="es-AR"/>
              </w:rPr>
              <w:t>pagaderos por</w:t>
            </w:r>
            <w:r w:rsidR="00F41C8A" w:rsidRPr="00EA7870">
              <w:rPr>
                <w:color w:val="000000"/>
                <w:sz w:val="20"/>
                <w:szCs w:val="20"/>
                <w:lang w:val="es-AR"/>
              </w:rPr>
              <w:t xml:space="preserve"> la </w:t>
            </w:r>
            <w:r w:rsidR="00791507" w:rsidRPr="00EA7870">
              <w:rPr>
                <w:color w:val="000000"/>
                <w:sz w:val="20"/>
                <w:szCs w:val="20"/>
                <w:lang w:val="es-AR"/>
              </w:rPr>
              <w:t>Sucursal</w:t>
            </w:r>
            <w:r w:rsidR="00F41C8A" w:rsidRPr="00EA7870">
              <w:rPr>
                <w:color w:val="000000"/>
                <w:sz w:val="20"/>
                <w:szCs w:val="20"/>
                <w:lang w:val="es-AR"/>
              </w:rPr>
              <w:t xml:space="preserve"> en relación con la </w:t>
            </w:r>
            <w:r w:rsidR="006F3051" w:rsidRPr="00EA7870">
              <w:rPr>
                <w:color w:val="000000"/>
                <w:sz w:val="20"/>
                <w:szCs w:val="20"/>
                <w:lang w:val="es-AR"/>
              </w:rPr>
              <w:t xml:space="preserve">transferencia </w:t>
            </w:r>
            <w:r w:rsidR="00791507" w:rsidRPr="00EA7870">
              <w:rPr>
                <w:color w:val="000000"/>
                <w:sz w:val="20"/>
                <w:szCs w:val="20"/>
                <w:lang w:val="es-AR"/>
              </w:rPr>
              <w:t>de activos y pasivos de</w:t>
            </w:r>
            <w:r w:rsidR="00F41C8A" w:rsidRPr="00EA7870">
              <w:rPr>
                <w:color w:val="000000"/>
                <w:sz w:val="20"/>
                <w:szCs w:val="20"/>
                <w:lang w:val="es-AR"/>
              </w:rPr>
              <w:t xml:space="preserve"> Axion </w:t>
            </w:r>
            <w:r w:rsidR="00E31669" w:rsidRPr="00EA7870">
              <w:rPr>
                <w:color w:val="000000"/>
                <w:sz w:val="20"/>
                <w:szCs w:val="20"/>
                <w:lang w:val="es-AR"/>
              </w:rPr>
              <w:t xml:space="preserve">Argentina </w:t>
            </w:r>
            <w:r w:rsidR="00F41C8A" w:rsidRPr="00EA7870">
              <w:rPr>
                <w:color w:val="000000"/>
                <w:sz w:val="20"/>
                <w:szCs w:val="20"/>
                <w:lang w:val="es-AR"/>
              </w:rPr>
              <w:t xml:space="preserve">a la Sucursal, </w:t>
            </w:r>
            <w:r w:rsidR="008F2933" w:rsidRPr="00EA7870">
              <w:rPr>
                <w:color w:val="000000"/>
                <w:sz w:val="20"/>
                <w:szCs w:val="20"/>
                <w:lang w:val="es-AR"/>
              </w:rPr>
              <w:t xml:space="preserve">que se refleja en una reserva en el patrimonio neto dentro del concepto “Reserva Transferencia Fondo de Comercio”, y </w:t>
            </w:r>
            <w:r w:rsidR="00156A2C" w:rsidRPr="00EA7870">
              <w:rPr>
                <w:color w:val="000000"/>
                <w:sz w:val="20"/>
                <w:szCs w:val="20"/>
                <w:lang w:val="es-AR"/>
              </w:rPr>
              <w:t>está</w:t>
            </w:r>
            <w:r w:rsidR="00F41C8A" w:rsidRPr="00EA7870">
              <w:rPr>
                <w:color w:val="000000"/>
                <w:sz w:val="20"/>
                <w:szCs w:val="20"/>
                <w:lang w:val="es-AR"/>
              </w:rPr>
              <w:t xml:space="preserve"> contractualmente subordinado a las Obligaciones Negociables, en el evento de un concurso preventivo, quiebra o liquidación de la Sucursal en los t</w:t>
            </w:r>
            <w:r w:rsidR="00791507" w:rsidRPr="00EA7870">
              <w:rPr>
                <w:color w:val="000000"/>
                <w:sz w:val="20"/>
                <w:szCs w:val="20"/>
                <w:lang w:val="es-AR"/>
              </w:rPr>
              <w:t xml:space="preserve">érminos de los </w:t>
            </w:r>
            <w:r w:rsidR="00B94514" w:rsidRPr="00EA7870">
              <w:rPr>
                <w:color w:val="000000"/>
                <w:sz w:val="20"/>
                <w:szCs w:val="20"/>
                <w:lang w:val="es-AR"/>
              </w:rPr>
              <w:t>a</w:t>
            </w:r>
            <w:r w:rsidR="00F41C8A" w:rsidRPr="00EA7870">
              <w:rPr>
                <w:color w:val="000000"/>
                <w:sz w:val="20"/>
                <w:szCs w:val="20"/>
                <w:lang w:val="es-AR"/>
              </w:rPr>
              <w:t>rtículos 41 y 250 de la Ley de Concursos y Quiebras</w:t>
            </w:r>
            <w:r w:rsidRPr="00EA7870">
              <w:rPr>
                <w:color w:val="000000"/>
                <w:sz w:val="20"/>
                <w:szCs w:val="20"/>
                <w:lang w:val="es-AR"/>
              </w:rPr>
              <w:t>,</w:t>
            </w:r>
            <w:r w:rsidR="00F41C8A" w:rsidRPr="00EA7870">
              <w:rPr>
                <w:color w:val="000000"/>
                <w:sz w:val="20"/>
                <w:szCs w:val="20"/>
                <w:lang w:val="es-AR"/>
              </w:rPr>
              <w:t xml:space="preserve"> y tiene un vencimiento mayor a</w:t>
            </w:r>
            <w:r w:rsidR="006F3051" w:rsidRPr="00EA7870">
              <w:rPr>
                <w:color w:val="000000"/>
                <w:sz w:val="20"/>
                <w:szCs w:val="20"/>
                <w:lang w:val="es-AR"/>
              </w:rPr>
              <w:t>l</w:t>
            </w:r>
            <w:r w:rsidR="00F41C8A" w:rsidRPr="00EA7870">
              <w:rPr>
                <w:color w:val="000000"/>
                <w:sz w:val="20"/>
                <w:szCs w:val="20"/>
                <w:lang w:val="es-AR"/>
              </w:rPr>
              <w:t xml:space="preserve"> </w:t>
            </w:r>
            <w:r w:rsidR="003A37B5" w:rsidRPr="00EA7870">
              <w:rPr>
                <w:color w:val="000000"/>
                <w:sz w:val="20"/>
                <w:szCs w:val="20"/>
                <w:lang w:val="es-AR"/>
              </w:rPr>
              <w:t>previsto</w:t>
            </w:r>
            <w:r w:rsidR="00745B77" w:rsidRPr="00EA7870">
              <w:rPr>
                <w:color w:val="000000"/>
                <w:sz w:val="20"/>
                <w:szCs w:val="20"/>
                <w:lang w:val="es-AR"/>
              </w:rPr>
              <w:t xml:space="preserve"> para </w:t>
            </w:r>
            <w:r w:rsidR="00F41C8A" w:rsidRPr="00EA7870">
              <w:rPr>
                <w:color w:val="000000"/>
                <w:sz w:val="20"/>
                <w:szCs w:val="20"/>
                <w:lang w:val="es-AR"/>
              </w:rPr>
              <w:t>las Obligaciones Negociables</w:t>
            </w:r>
            <w:r w:rsidRPr="00EA7870">
              <w:rPr>
                <w:color w:val="000000"/>
                <w:sz w:val="20"/>
                <w:szCs w:val="20"/>
                <w:lang w:val="es-AR"/>
              </w:rPr>
              <w:t>.</w:t>
            </w:r>
          </w:p>
        </w:tc>
      </w:tr>
      <w:tr w:rsidR="00A60E0D" w:rsidRPr="00EA7870" w14:paraId="4A2C7B66" w14:textId="77777777" w:rsidTr="008C3631">
        <w:trPr>
          <w:trHeight w:val="20"/>
        </w:trPr>
        <w:tc>
          <w:tcPr>
            <w:tcW w:w="4096" w:type="dxa"/>
          </w:tcPr>
          <w:p w14:paraId="7118FAC7" w14:textId="77777777" w:rsidR="00A60E0D" w:rsidRPr="00EA7870" w:rsidRDefault="00A60E0D" w:rsidP="00A60E0D">
            <w:pPr>
              <w:tabs>
                <w:tab w:val="right" w:leader="dot" w:pos="4400"/>
              </w:tabs>
              <w:ind w:left="360" w:right="360" w:hanging="360"/>
              <w:rPr>
                <w:b/>
                <w:sz w:val="20"/>
                <w:szCs w:val="20"/>
                <w:lang w:val="es-AR" w:bidi="he-IL"/>
              </w:rPr>
            </w:pPr>
            <w:r w:rsidRPr="00EA7870">
              <w:rPr>
                <w:b/>
                <w:sz w:val="20"/>
                <w:szCs w:val="20"/>
                <w:lang w:val="es-AR" w:bidi="he-IL"/>
              </w:rPr>
              <w:lastRenderedPageBreak/>
              <w:t>Ciertos Compromisos</w:t>
            </w:r>
            <w:r w:rsidRPr="00EA7870">
              <w:rPr>
                <w:sz w:val="20"/>
                <w:szCs w:val="20"/>
                <w:lang w:val="es-AR" w:bidi="he-IL"/>
              </w:rPr>
              <w:tab/>
            </w:r>
          </w:p>
        </w:tc>
        <w:tc>
          <w:tcPr>
            <w:tcW w:w="4410" w:type="dxa"/>
          </w:tcPr>
          <w:p w14:paraId="6659906A" w14:textId="3BC27A90" w:rsidR="00A60E0D" w:rsidRPr="00EA7870" w:rsidRDefault="00A60E0D" w:rsidP="00A60E0D">
            <w:pPr>
              <w:jc w:val="both"/>
              <w:rPr>
                <w:color w:val="000000"/>
                <w:sz w:val="20"/>
                <w:szCs w:val="20"/>
                <w:lang w:val="es-AR"/>
              </w:rPr>
            </w:pPr>
            <w:r w:rsidRPr="00EA7870">
              <w:rPr>
                <w:color w:val="000000"/>
                <w:sz w:val="20"/>
                <w:szCs w:val="20"/>
                <w:lang w:val="es-AR"/>
              </w:rPr>
              <w:t>El Contrato de Fideicomiso (conforme dicho término se define más adelante) contendrá compromisos que, entre otras cuestiones, limitarán la capacidad de la Emisora</w:t>
            </w:r>
            <w:r w:rsidR="00A00FE0" w:rsidRPr="00EA7870">
              <w:rPr>
                <w:color w:val="000000"/>
                <w:sz w:val="20"/>
                <w:szCs w:val="20"/>
                <w:lang w:val="es-AR"/>
              </w:rPr>
              <w:t>, de la Garante y de sus</w:t>
            </w:r>
            <w:r w:rsidRPr="00EA7870">
              <w:rPr>
                <w:color w:val="000000"/>
                <w:sz w:val="20"/>
                <w:szCs w:val="20"/>
                <w:lang w:val="es-AR"/>
              </w:rPr>
              <w:t xml:space="preserve"> subsidiarias</w:t>
            </w:r>
            <w:r w:rsidR="003A37B5" w:rsidRPr="00EA7870">
              <w:rPr>
                <w:color w:val="000000"/>
                <w:sz w:val="20"/>
                <w:szCs w:val="20"/>
                <w:lang w:val="es-AR"/>
              </w:rPr>
              <w:t>, de</w:t>
            </w:r>
            <w:r w:rsidRPr="00EA7870">
              <w:rPr>
                <w:color w:val="000000"/>
                <w:sz w:val="20"/>
                <w:szCs w:val="20"/>
                <w:lang w:val="es-AR"/>
              </w:rPr>
              <w:t>:</w:t>
            </w:r>
          </w:p>
          <w:p w14:paraId="1506108C" w14:textId="77777777" w:rsidR="00A00FE0" w:rsidRPr="00EA7870" w:rsidRDefault="00A00FE0" w:rsidP="00E2318E">
            <w:pPr>
              <w:numPr>
                <w:ilvl w:val="0"/>
                <w:numId w:val="3"/>
              </w:numPr>
              <w:jc w:val="both"/>
              <w:rPr>
                <w:color w:val="000000"/>
                <w:sz w:val="20"/>
                <w:szCs w:val="20"/>
                <w:lang w:val="es-AR"/>
              </w:rPr>
            </w:pPr>
            <w:r w:rsidRPr="00EA7870">
              <w:rPr>
                <w:color w:val="000000"/>
                <w:sz w:val="20"/>
                <w:szCs w:val="20"/>
                <w:lang w:val="es-AR"/>
              </w:rPr>
              <w:t>incurrir en endeudamiento adicional;</w:t>
            </w:r>
          </w:p>
          <w:p w14:paraId="24B57CC3" w14:textId="77777777" w:rsidR="00A00FE0" w:rsidRPr="00EA7870" w:rsidRDefault="00A00FE0" w:rsidP="00E2318E">
            <w:pPr>
              <w:numPr>
                <w:ilvl w:val="0"/>
                <w:numId w:val="3"/>
              </w:numPr>
              <w:jc w:val="both"/>
              <w:rPr>
                <w:color w:val="000000"/>
                <w:sz w:val="20"/>
                <w:szCs w:val="20"/>
                <w:lang w:val="es-AR"/>
              </w:rPr>
            </w:pPr>
            <w:r w:rsidRPr="00EA7870">
              <w:rPr>
                <w:color w:val="000000"/>
                <w:sz w:val="20"/>
                <w:szCs w:val="20"/>
                <w:lang w:val="es-AR"/>
              </w:rPr>
              <w:t>incurrir en gravámenes;</w:t>
            </w:r>
          </w:p>
          <w:p w14:paraId="61801DA1" w14:textId="77777777" w:rsidR="00A00FE0" w:rsidRPr="00EA7870" w:rsidRDefault="00A00FE0" w:rsidP="00E2318E">
            <w:pPr>
              <w:numPr>
                <w:ilvl w:val="0"/>
                <w:numId w:val="3"/>
              </w:numPr>
              <w:jc w:val="both"/>
              <w:rPr>
                <w:color w:val="000000"/>
                <w:sz w:val="20"/>
                <w:szCs w:val="20"/>
                <w:lang w:val="es-AR"/>
              </w:rPr>
            </w:pPr>
            <w:r w:rsidRPr="00EA7870">
              <w:rPr>
                <w:color w:val="000000"/>
                <w:sz w:val="20"/>
                <w:szCs w:val="20"/>
                <w:lang w:val="es-AR"/>
              </w:rPr>
              <w:t>efectuar pagos restringidos bajo ciertas condiciones</w:t>
            </w:r>
            <w:r w:rsidR="00C12208" w:rsidRPr="00EA7870">
              <w:rPr>
                <w:color w:val="000000"/>
                <w:sz w:val="20"/>
                <w:szCs w:val="20"/>
                <w:lang w:val="es-AR"/>
              </w:rPr>
              <w:t xml:space="preserve"> limitadas</w:t>
            </w:r>
            <w:r w:rsidRPr="00EA7870">
              <w:rPr>
                <w:color w:val="000000"/>
                <w:sz w:val="20"/>
                <w:szCs w:val="20"/>
                <w:lang w:val="es-AR"/>
              </w:rPr>
              <w:t xml:space="preserve">; </w:t>
            </w:r>
          </w:p>
          <w:p w14:paraId="0AFD8CB2" w14:textId="77777777" w:rsidR="00A00FE0" w:rsidRPr="00EA7870" w:rsidRDefault="00A00FE0" w:rsidP="00E2318E">
            <w:pPr>
              <w:numPr>
                <w:ilvl w:val="0"/>
                <w:numId w:val="3"/>
              </w:numPr>
              <w:jc w:val="both"/>
              <w:rPr>
                <w:color w:val="000000"/>
                <w:sz w:val="20"/>
                <w:szCs w:val="20"/>
                <w:lang w:val="es-AR"/>
              </w:rPr>
            </w:pPr>
            <w:r w:rsidRPr="00EA7870">
              <w:rPr>
                <w:color w:val="000000"/>
                <w:sz w:val="20"/>
                <w:szCs w:val="20"/>
                <w:lang w:val="es-AR"/>
              </w:rPr>
              <w:t xml:space="preserve">celebrar </w:t>
            </w:r>
            <w:r w:rsidR="00326C51" w:rsidRPr="00EA7870">
              <w:rPr>
                <w:color w:val="000000"/>
                <w:sz w:val="20"/>
                <w:szCs w:val="20"/>
                <w:lang w:val="es-AR"/>
              </w:rPr>
              <w:t xml:space="preserve">transacciones </w:t>
            </w:r>
            <w:r w:rsidRPr="00EA7870">
              <w:rPr>
                <w:color w:val="000000"/>
                <w:sz w:val="20"/>
                <w:szCs w:val="20"/>
                <w:lang w:val="es-AR"/>
              </w:rPr>
              <w:t>con afiliadas; y</w:t>
            </w:r>
          </w:p>
          <w:p w14:paraId="3C0B4F06" w14:textId="77777777" w:rsidR="00A00FE0" w:rsidRPr="00EA7870" w:rsidRDefault="00A00FE0" w:rsidP="00E2318E">
            <w:pPr>
              <w:numPr>
                <w:ilvl w:val="0"/>
                <w:numId w:val="3"/>
              </w:numPr>
              <w:jc w:val="both"/>
              <w:rPr>
                <w:color w:val="000000"/>
                <w:sz w:val="20"/>
                <w:szCs w:val="20"/>
                <w:lang w:val="es-AR"/>
              </w:rPr>
            </w:pPr>
            <w:r w:rsidRPr="00EA7870">
              <w:rPr>
                <w:color w:val="000000"/>
                <w:sz w:val="20"/>
                <w:szCs w:val="20"/>
                <w:lang w:val="es-AR"/>
              </w:rPr>
              <w:t>realizar una fusión propiamente dicha, por absorción o vender todos o sustancialmente todos los activos de la Garante.</w:t>
            </w:r>
          </w:p>
          <w:p w14:paraId="18E3622A" w14:textId="77777777" w:rsidR="00981F6C" w:rsidRPr="00EA7870" w:rsidRDefault="00981F6C" w:rsidP="000F775A">
            <w:pPr>
              <w:jc w:val="both"/>
              <w:rPr>
                <w:sz w:val="20"/>
                <w:szCs w:val="20"/>
                <w:lang w:val="es-AR"/>
              </w:rPr>
            </w:pPr>
          </w:p>
          <w:p w14:paraId="66399596" w14:textId="4FA74282" w:rsidR="00A00FE0" w:rsidRPr="00EA7870" w:rsidRDefault="00A00FE0" w:rsidP="005C51B3">
            <w:pPr>
              <w:spacing w:after="200"/>
              <w:jc w:val="both"/>
              <w:rPr>
                <w:color w:val="000000"/>
                <w:sz w:val="20"/>
                <w:szCs w:val="20"/>
                <w:lang w:val="es-AR"/>
              </w:rPr>
            </w:pPr>
            <w:r w:rsidRPr="00EA7870">
              <w:rPr>
                <w:sz w:val="20"/>
                <w:szCs w:val="20"/>
                <w:lang w:val="es-AR"/>
              </w:rPr>
              <w:t>Estos compromisos estarán sujetos a ciertas excepciones y salvedades. Para más información, véase “</w:t>
            </w:r>
            <w:r w:rsidRPr="00EA7870">
              <w:rPr>
                <w:i/>
                <w:sz w:val="20"/>
                <w:szCs w:val="20"/>
                <w:lang w:val="es-AR"/>
              </w:rPr>
              <w:t>Descripción de las Obligaciones Negociables—Ciertos Compromisos.</w:t>
            </w:r>
            <w:r w:rsidRPr="00EA7870">
              <w:rPr>
                <w:sz w:val="20"/>
                <w:szCs w:val="20"/>
                <w:lang w:val="es-AR"/>
              </w:rPr>
              <w:t xml:space="preserve">” Si, luego de la </w:t>
            </w:r>
            <w:r w:rsidR="00EF780E" w:rsidRPr="00EA7870">
              <w:rPr>
                <w:sz w:val="20"/>
                <w:szCs w:val="20"/>
                <w:lang w:val="es-AR"/>
              </w:rPr>
              <w:t xml:space="preserve">Fecha </w:t>
            </w:r>
            <w:r w:rsidRPr="00EA7870">
              <w:rPr>
                <w:sz w:val="20"/>
                <w:szCs w:val="20"/>
                <w:lang w:val="es-AR"/>
              </w:rPr>
              <w:t xml:space="preserve">de </w:t>
            </w:r>
            <w:r w:rsidR="00EF780E" w:rsidRPr="00EA7870">
              <w:rPr>
                <w:sz w:val="20"/>
                <w:szCs w:val="20"/>
                <w:lang w:val="es-AR"/>
              </w:rPr>
              <w:t>Emisión y Liquidación</w:t>
            </w:r>
            <w:r w:rsidRPr="00EA7870">
              <w:rPr>
                <w:sz w:val="20"/>
                <w:szCs w:val="20"/>
                <w:lang w:val="es-AR"/>
              </w:rPr>
              <w:t xml:space="preserve">, las Obligaciones Negociables alcanzan </w:t>
            </w:r>
            <w:r w:rsidR="00D00087" w:rsidRPr="00EA7870">
              <w:rPr>
                <w:sz w:val="20"/>
                <w:szCs w:val="20"/>
                <w:lang w:val="es-AR"/>
              </w:rPr>
              <w:t xml:space="preserve">una Calificación </w:t>
            </w:r>
            <w:r w:rsidRPr="00EA7870">
              <w:rPr>
                <w:sz w:val="20"/>
                <w:szCs w:val="20"/>
                <w:lang w:val="es-AR"/>
              </w:rPr>
              <w:t>de Grado de Inversión (conforme se define en “</w:t>
            </w:r>
            <w:r w:rsidRPr="00EA7870">
              <w:rPr>
                <w:i/>
                <w:sz w:val="20"/>
                <w:szCs w:val="20"/>
                <w:lang w:val="es-AR"/>
              </w:rPr>
              <w:t>Descripción de las Obligaciones Negociables</w:t>
            </w:r>
            <w:r w:rsidRPr="00EA7870">
              <w:rPr>
                <w:sz w:val="20"/>
                <w:szCs w:val="20"/>
                <w:lang w:val="es-AR"/>
              </w:rPr>
              <w:t>”), dejarán de aplicarse a las Obligaciones Negociables ciertos compromisos bajo el Contrato de Fideicomiso. Véase “</w:t>
            </w:r>
            <w:r w:rsidRPr="00EA7870">
              <w:rPr>
                <w:i/>
                <w:sz w:val="20"/>
                <w:szCs w:val="20"/>
                <w:lang w:val="es-AR"/>
              </w:rPr>
              <w:t>Descripción de las Obligaciones Negociables—</w:t>
            </w:r>
            <w:r w:rsidRPr="00EA7870">
              <w:rPr>
                <w:i/>
                <w:sz w:val="20"/>
                <w:szCs w:val="20"/>
                <w:lang w:val="es-AR"/>
              </w:rPr>
              <w:lastRenderedPageBreak/>
              <w:t>Ciertos Compromisos—Suspensión de Ciertos Compromisos</w:t>
            </w:r>
            <w:r w:rsidRPr="00EA7870">
              <w:rPr>
                <w:sz w:val="20"/>
                <w:szCs w:val="20"/>
                <w:lang w:val="es-AR"/>
              </w:rPr>
              <w:t>”</w:t>
            </w:r>
            <w:r w:rsidR="00CE59FD" w:rsidRPr="00EA7870">
              <w:rPr>
                <w:sz w:val="20"/>
                <w:szCs w:val="20"/>
                <w:lang w:val="es-AR"/>
              </w:rPr>
              <w:t xml:space="preserve"> del presente Suplemento</w:t>
            </w:r>
            <w:r w:rsidR="00B94514" w:rsidRPr="00EA7870">
              <w:rPr>
                <w:sz w:val="20"/>
                <w:szCs w:val="20"/>
                <w:lang w:val="es-AR"/>
              </w:rPr>
              <w:t>.</w:t>
            </w:r>
          </w:p>
        </w:tc>
      </w:tr>
      <w:tr w:rsidR="00A60E0D" w:rsidRPr="00EA7870" w14:paraId="40EA4EAF" w14:textId="77777777" w:rsidTr="008C3631">
        <w:trPr>
          <w:trHeight w:val="20"/>
        </w:trPr>
        <w:tc>
          <w:tcPr>
            <w:tcW w:w="4096" w:type="dxa"/>
          </w:tcPr>
          <w:p w14:paraId="2786E514" w14:textId="77777777" w:rsidR="00A60E0D" w:rsidRPr="00EA7870" w:rsidRDefault="00A60E0D" w:rsidP="00A60E0D">
            <w:pPr>
              <w:tabs>
                <w:tab w:val="right" w:leader="dot" w:pos="4400"/>
              </w:tabs>
              <w:ind w:left="360" w:right="360" w:hanging="360"/>
              <w:rPr>
                <w:b/>
                <w:sz w:val="20"/>
                <w:szCs w:val="20"/>
                <w:lang w:val="es-AR" w:bidi="he-IL"/>
              </w:rPr>
            </w:pPr>
            <w:r w:rsidRPr="00EA7870">
              <w:rPr>
                <w:b/>
                <w:sz w:val="20"/>
                <w:szCs w:val="20"/>
                <w:lang w:val="es-AR" w:bidi="he-IL"/>
              </w:rPr>
              <w:lastRenderedPageBreak/>
              <w:t>Forma, Compensación y Liquidación</w:t>
            </w:r>
            <w:r w:rsidRPr="00EA7870">
              <w:rPr>
                <w:sz w:val="20"/>
                <w:szCs w:val="20"/>
                <w:lang w:val="es-AR" w:bidi="he-IL"/>
              </w:rPr>
              <w:tab/>
            </w:r>
          </w:p>
        </w:tc>
        <w:tc>
          <w:tcPr>
            <w:tcW w:w="4410" w:type="dxa"/>
          </w:tcPr>
          <w:p w14:paraId="7D0EEEC1" w14:textId="77777777" w:rsidR="00A60E0D" w:rsidRPr="00EA7870" w:rsidRDefault="00A60E0D" w:rsidP="002D16D9">
            <w:pPr>
              <w:spacing w:after="200"/>
              <w:jc w:val="both"/>
              <w:rPr>
                <w:color w:val="000000"/>
                <w:sz w:val="20"/>
                <w:szCs w:val="20"/>
                <w:lang w:val="es-AR" w:bidi="he-IL"/>
              </w:rPr>
            </w:pPr>
            <w:r w:rsidRPr="00EA7870">
              <w:rPr>
                <w:color w:val="000000"/>
                <w:sz w:val="20"/>
                <w:szCs w:val="20"/>
                <w:lang w:val="es-AR" w:bidi="he-IL"/>
              </w:rPr>
              <w:t>Las Obligaciones Negociables se emitirán inicialmente en forma de una o más obligaciones negociables globales sin cupones de interés, registradas a nombre de The Depository Trust Company (“</w:t>
            </w:r>
            <w:r w:rsidRPr="00EA7870">
              <w:rPr>
                <w:b/>
                <w:color w:val="000000"/>
                <w:sz w:val="20"/>
                <w:szCs w:val="20"/>
                <w:lang w:val="es-AR" w:bidi="he-IL"/>
              </w:rPr>
              <w:t>DTC</w:t>
            </w:r>
            <w:r w:rsidRPr="00EA7870">
              <w:rPr>
                <w:color w:val="000000"/>
                <w:sz w:val="20"/>
                <w:szCs w:val="20"/>
                <w:lang w:val="es-AR" w:bidi="he-IL"/>
              </w:rPr>
              <w:t xml:space="preserve">”), o quien éste designe, </w:t>
            </w:r>
            <w:r w:rsidRPr="00EA7870">
              <w:rPr>
                <w:sz w:val="20"/>
                <w:szCs w:val="20"/>
              </w:rPr>
              <w:t xml:space="preserve">para las cuentas de sus participantes directos e indirectos, incluyendo Euroclear Bank S.A./N.V., como operador del Sistema Euroclear, y Clearstream Banking, </w:t>
            </w:r>
            <w:r w:rsidRPr="00EA7870">
              <w:rPr>
                <w:i/>
                <w:sz w:val="20"/>
                <w:szCs w:val="20"/>
              </w:rPr>
              <w:t>société anonyme</w:t>
            </w:r>
            <w:r w:rsidRPr="00EA7870">
              <w:rPr>
                <w:sz w:val="20"/>
                <w:szCs w:val="20"/>
              </w:rPr>
              <w:t>, y se negociarán en el sistema de liquidación de fondos del mismo día de DTC. Para más información, véase la sección “</w:t>
            </w:r>
            <w:r w:rsidRPr="00EA7870">
              <w:rPr>
                <w:i/>
                <w:iCs/>
                <w:sz w:val="20"/>
                <w:szCs w:val="20"/>
              </w:rPr>
              <w:t>Descripción de las Obligaciones Negociables—Registro y Sistema Escritural</w:t>
            </w:r>
            <w:r w:rsidRPr="00EA7870">
              <w:rPr>
                <w:sz w:val="20"/>
                <w:szCs w:val="20"/>
              </w:rPr>
              <w:t xml:space="preserve">” en este Suplemento. </w:t>
            </w:r>
          </w:p>
        </w:tc>
      </w:tr>
      <w:tr w:rsidR="00A60E0D" w:rsidRPr="00EA7870" w14:paraId="328D0F6E" w14:textId="77777777" w:rsidTr="008C3631">
        <w:trPr>
          <w:trHeight w:val="20"/>
        </w:trPr>
        <w:tc>
          <w:tcPr>
            <w:tcW w:w="4096" w:type="dxa"/>
          </w:tcPr>
          <w:p w14:paraId="77D9710E" w14:textId="77777777" w:rsidR="00A60E0D" w:rsidRPr="00EA7870" w:rsidRDefault="00A60E0D" w:rsidP="00A60E0D">
            <w:pPr>
              <w:tabs>
                <w:tab w:val="right" w:leader="dot" w:pos="4400"/>
              </w:tabs>
              <w:ind w:left="360" w:right="360" w:hanging="360"/>
              <w:rPr>
                <w:b/>
                <w:sz w:val="20"/>
                <w:szCs w:val="20"/>
                <w:lang w:val="es-AR" w:bidi="he-IL"/>
              </w:rPr>
            </w:pPr>
            <w:r w:rsidRPr="00EA7870">
              <w:rPr>
                <w:b/>
                <w:sz w:val="20"/>
                <w:szCs w:val="20"/>
                <w:lang w:val="es-AR" w:bidi="he-IL"/>
              </w:rPr>
              <w:t>Listado/Negociación</w:t>
            </w:r>
            <w:r w:rsidRPr="00EA7870">
              <w:rPr>
                <w:sz w:val="20"/>
                <w:szCs w:val="20"/>
                <w:lang w:val="es-AR" w:bidi="he-IL"/>
              </w:rPr>
              <w:tab/>
            </w:r>
          </w:p>
        </w:tc>
        <w:tc>
          <w:tcPr>
            <w:tcW w:w="4410" w:type="dxa"/>
          </w:tcPr>
          <w:p w14:paraId="6BD30BFC" w14:textId="77777777" w:rsidR="00A60E0D" w:rsidRPr="00EA7870" w:rsidRDefault="00A60E0D" w:rsidP="007761FA">
            <w:pPr>
              <w:jc w:val="both"/>
              <w:rPr>
                <w:color w:val="000000"/>
                <w:sz w:val="20"/>
                <w:szCs w:val="20"/>
                <w:lang w:val="es-AR" w:bidi="he-IL"/>
              </w:rPr>
            </w:pPr>
            <w:r w:rsidRPr="00EA7870">
              <w:rPr>
                <w:sz w:val="20"/>
                <w:szCs w:val="20"/>
                <w:lang w:val="es-AR"/>
              </w:rPr>
              <w:t xml:space="preserve">La Emisora ha solicitado autorización para el listado y negociación de las Obligaciones Negociables en BYMA a través de la BCBA, en virtud del ejercicio de la facultad delegada por BYMA a la BCBA conforme lo dispuesto por la Resolución N°18.629 de la CNV y para su negociación en el MAE. </w:t>
            </w:r>
            <w:r w:rsidR="00F94EF2" w:rsidRPr="00EA7870">
              <w:rPr>
                <w:sz w:val="20"/>
                <w:szCs w:val="20"/>
              </w:rPr>
              <w:t>L</w:t>
            </w:r>
            <w:r w:rsidR="00E42BBF" w:rsidRPr="00EA7870">
              <w:rPr>
                <w:sz w:val="20"/>
                <w:szCs w:val="20"/>
              </w:rPr>
              <w:t>a Sucursal no puede asegurar que dichas autorizaciones serán otorgadas, o que, una vez otorgadas, las Obligaciones Negociables continuarán listando y/o negociándose en dichos mercados.</w:t>
            </w:r>
          </w:p>
          <w:p w14:paraId="1A7FC3F3" w14:textId="77777777" w:rsidR="007761FA" w:rsidRPr="00EA7870" w:rsidRDefault="007761FA" w:rsidP="007761FA">
            <w:pPr>
              <w:jc w:val="both"/>
              <w:rPr>
                <w:color w:val="000000"/>
                <w:sz w:val="20"/>
                <w:szCs w:val="20"/>
                <w:lang w:val="es-AR" w:bidi="he-IL"/>
              </w:rPr>
            </w:pPr>
          </w:p>
        </w:tc>
      </w:tr>
      <w:tr w:rsidR="00A60E0D" w:rsidRPr="00EA7870" w14:paraId="4F57538E" w14:textId="77777777" w:rsidTr="008C3631">
        <w:trPr>
          <w:trHeight w:val="20"/>
        </w:trPr>
        <w:tc>
          <w:tcPr>
            <w:tcW w:w="4096" w:type="dxa"/>
          </w:tcPr>
          <w:p w14:paraId="6895B3BE" w14:textId="77777777" w:rsidR="00A60E0D" w:rsidRPr="00EA7870" w:rsidRDefault="00A60E0D" w:rsidP="00A60E0D">
            <w:pPr>
              <w:tabs>
                <w:tab w:val="right" w:leader="dot" w:pos="4400"/>
              </w:tabs>
              <w:ind w:left="360" w:right="360" w:hanging="360"/>
              <w:rPr>
                <w:b/>
                <w:sz w:val="20"/>
                <w:szCs w:val="20"/>
                <w:lang w:val="es-AR" w:bidi="he-IL"/>
              </w:rPr>
            </w:pPr>
            <w:r w:rsidRPr="00EA7870">
              <w:rPr>
                <w:b/>
                <w:sz w:val="20"/>
                <w:szCs w:val="20"/>
                <w:lang w:val="es-AR" w:bidi="he-IL"/>
              </w:rPr>
              <w:t>Destino de los Fondos</w:t>
            </w:r>
            <w:r w:rsidRPr="00EA7870">
              <w:rPr>
                <w:sz w:val="20"/>
                <w:szCs w:val="20"/>
                <w:lang w:val="es-AR" w:bidi="he-IL"/>
              </w:rPr>
              <w:tab/>
            </w:r>
          </w:p>
        </w:tc>
        <w:tc>
          <w:tcPr>
            <w:tcW w:w="4410" w:type="dxa"/>
          </w:tcPr>
          <w:p w14:paraId="521D767C" w14:textId="77777777" w:rsidR="00A60E0D" w:rsidRPr="00EA7870" w:rsidRDefault="00A60E0D">
            <w:pPr>
              <w:spacing w:after="200"/>
              <w:jc w:val="both"/>
              <w:rPr>
                <w:sz w:val="20"/>
                <w:szCs w:val="20"/>
                <w:lang w:val="es-AR"/>
              </w:rPr>
            </w:pPr>
            <w:r w:rsidRPr="00EA7870">
              <w:rPr>
                <w:sz w:val="20"/>
                <w:szCs w:val="20"/>
                <w:lang w:val="es-AR"/>
              </w:rPr>
              <w:t>La Emisora planea utilizar el producido de esta oferta, en cumplimiento de los requisitos del Artículo 36 de la Ley de Obligaciones Negociables, según se detalla en la sección “</w:t>
            </w:r>
            <w:r w:rsidRPr="00EA7870">
              <w:rPr>
                <w:i/>
                <w:sz w:val="20"/>
                <w:szCs w:val="20"/>
                <w:lang w:val="es-AR"/>
              </w:rPr>
              <w:t>Destino de los Fondos</w:t>
            </w:r>
            <w:r w:rsidRPr="00EA7870">
              <w:rPr>
                <w:sz w:val="20"/>
                <w:szCs w:val="20"/>
                <w:lang w:val="es-AR"/>
              </w:rPr>
              <w:t>” en el presente Suplemento.</w:t>
            </w:r>
            <w:r w:rsidR="008F2933" w:rsidRPr="00EA7870">
              <w:rPr>
                <w:sz w:val="20"/>
                <w:szCs w:val="20"/>
                <w:lang w:val="es-AR"/>
              </w:rPr>
              <w:t xml:space="preserve"> </w:t>
            </w:r>
          </w:p>
        </w:tc>
      </w:tr>
      <w:tr w:rsidR="00A60E0D" w:rsidRPr="00EA7870" w14:paraId="2A5448DD" w14:textId="77777777" w:rsidTr="008C3631">
        <w:trPr>
          <w:trHeight w:val="20"/>
        </w:trPr>
        <w:tc>
          <w:tcPr>
            <w:tcW w:w="4096" w:type="dxa"/>
          </w:tcPr>
          <w:p w14:paraId="642D46A0" w14:textId="77777777" w:rsidR="00A60E0D" w:rsidRPr="00EA7870" w:rsidRDefault="00A60E0D" w:rsidP="00D006AC">
            <w:pPr>
              <w:tabs>
                <w:tab w:val="right" w:leader="dot" w:pos="4400"/>
              </w:tabs>
              <w:ind w:right="360"/>
              <w:rPr>
                <w:b/>
                <w:sz w:val="20"/>
                <w:szCs w:val="20"/>
                <w:lang w:val="es-AR" w:bidi="he-IL"/>
              </w:rPr>
            </w:pPr>
            <w:r w:rsidRPr="00EA7870">
              <w:rPr>
                <w:b/>
                <w:sz w:val="20"/>
                <w:szCs w:val="20"/>
                <w:lang w:val="es-AR"/>
              </w:rPr>
              <w:t>Calificación de Riesgo</w:t>
            </w:r>
            <w:r w:rsidR="00512C74" w:rsidRPr="00EA7870">
              <w:rPr>
                <w:b/>
                <w:sz w:val="20"/>
                <w:szCs w:val="20"/>
                <w:lang w:val="es-AR"/>
              </w:rPr>
              <w:t xml:space="preserve"> Internacional</w:t>
            </w:r>
            <w:r w:rsidRPr="00EA7870">
              <w:rPr>
                <w:sz w:val="20"/>
                <w:szCs w:val="20"/>
                <w:lang w:val="es-AR" w:bidi="he-IL"/>
              </w:rPr>
              <w:tab/>
            </w:r>
          </w:p>
        </w:tc>
        <w:tc>
          <w:tcPr>
            <w:tcW w:w="4410" w:type="dxa"/>
          </w:tcPr>
          <w:p w14:paraId="37FB5260" w14:textId="1AC224C3" w:rsidR="00A60E0D" w:rsidRPr="00EA7870" w:rsidRDefault="00A60E0D" w:rsidP="007C2463">
            <w:pPr>
              <w:pStyle w:val="Textoindependiente3"/>
              <w:rPr>
                <w:color w:val="000000"/>
                <w:sz w:val="20"/>
                <w:lang w:val="es-AR" w:bidi="he-IL"/>
              </w:rPr>
            </w:pPr>
            <w:r w:rsidRPr="00EA7870">
              <w:rPr>
                <w:sz w:val="20"/>
                <w:lang w:val="es-AR"/>
              </w:rPr>
              <w:t xml:space="preserve">El Programa no cuenta con una calificación de riesgo. Las Obligaciones Negociables no cuentan con calificación de riesgo local. </w:t>
            </w:r>
            <w:r w:rsidRPr="00EA7870">
              <w:rPr>
                <w:color w:val="000000"/>
                <w:sz w:val="20"/>
                <w:lang w:val="es-AR" w:bidi="he-IL"/>
              </w:rPr>
              <w:t>A nivel internacional, las Obligaciones Negociables</w:t>
            </w:r>
            <w:r w:rsidR="003A37B5" w:rsidRPr="00EA7870">
              <w:rPr>
                <w:color w:val="000000"/>
                <w:sz w:val="20"/>
                <w:lang w:val="es-AR" w:bidi="he-IL"/>
              </w:rPr>
              <w:t xml:space="preserve"> podrían</w:t>
            </w:r>
            <w:r w:rsidRPr="00EA7870">
              <w:rPr>
                <w:color w:val="000000"/>
                <w:sz w:val="20"/>
                <w:lang w:val="es-AR" w:bidi="he-IL"/>
              </w:rPr>
              <w:t xml:space="preserve"> </w:t>
            </w:r>
            <w:r w:rsidR="00D006AC" w:rsidRPr="00EA7870">
              <w:rPr>
                <w:color w:val="000000"/>
                <w:sz w:val="20"/>
                <w:lang w:val="es-AR" w:bidi="he-IL"/>
              </w:rPr>
              <w:t>ten</w:t>
            </w:r>
            <w:r w:rsidR="003A37B5" w:rsidRPr="00EA7870">
              <w:rPr>
                <w:color w:val="000000"/>
                <w:sz w:val="20"/>
                <w:lang w:val="es-AR" w:bidi="he-IL"/>
              </w:rPr>
              <w:t>er</w:t>
            </w:r>
            <w:r w:rsidR="00D006AC" w:rsidRPr="00EA7870">
              <w:rPr>
                <w:color w:val="000000"/>
                <w:sz w:val="20"/>
                <w:lang w:val="es-AR" w:bidi="he-IL"/>
              </w:rPr>
              <w:t xml:space="preserve"> una calificación de riesgo</w:t>
            </w:r>
            <w:r w:rsidRPr="00EA7870">
              <w:rPr>
                <w:color w:val="000000"/>
                <w:sz w:val="20"/>
                <w:lang w:val="es-AR" w:bidi="he-IL"/>
              </w:rPr>
              <w:t>, la cual será oportunamente informada</w:t>
            </w:r>
            <w:r w:rsidR="00B25D39" w:rsidRPr="00EA7870">
              <w:rPr>
                <w:color w:val="000000"/>
                <w:sz w:val="20"/>
                <w:lang w:val="es-AR" w:bidi="he-IL"/>
              </w:rPr>
              <w:t>, de existir,</w:t>
            </w:r>
            <w:r w:rsidRPr="00EA7870">
              <w:rPr>
                <w:color w:val="000000"/>
                <w:sz w:val="20"/>
                <w:lang w:val="es-AR" w:bidi="he-IL"/>
              </w:rPr>
              <w:t xml:space="preserve"> </w:t>
            </w:r>
            <w:r w:rsidR="00512C74" w:rsidRPr="00EA7870">
              <w:rPr>
                <w:color w:val="000000"/>
                <w:sz w:val="20"/>
                <w:lang w:val="es-AR" w:bidi="he-IL"/>
              </w:rPr>
              <w:t>a través de un aviso complementario a este Suplemento. Para mayor información véase “</w:t>
            </w:r>
            <w:r w:rsidR="00512C74" w:rsidRPr="00EA7870">
              <w:rPr>
                <w:i/>
                <w:iCs/>
                <w:color w:val="000000"/>
                <w:sz w:val="20"/>
                <w:lang w:val="es-AR" w:bidi="he-IL"/>
              </w:rPr>
              <w:t>Calificación de Riesgo</w:t>
            </w:r>
            <w:r w:rsidR="00512C74" w:rsidRPr="00EA7870">
              <w:rPr>
                <w:color w:val="000000"/>
                <w:sz w:val="20"/>
                <w:lang w:val="es-AR" w:bidi="he-IL"/>
              </w:rPr>
              <w:t>” en este Suplemento</w:t>
            </w:r>
            <w:r w:rsidRPr="00EA7870">
              <w:rPr>
                <w:color w:val="000000"/>
                <w:sz w:val="20"/>
                <w:lang w:val="es-AR" w:bidi="he-IL"/>
              </w:rPr>
              <w:t xml:space="preserve">. </w:t>
            </w:r>
          </w:p>
          <w:p w14:paraId="3F93F615" w14:textId="77777777" w:rsidR="00A60E0D" w:rsidRPr="00EA7870" w:rsidRDefault="00A60E0D" w:rsidP="00A60E0D">
            <w:pPr>
              <w:pStyle w:val="Textoindependiente3"/>
              <w:rPr>
                <w:sz w:val="20"/>
                <w:lang w:val="es-AR"/>
              </w:rPr>
            </w:pPr>
          </w:p>
        </w:tc>
      </w:tr>
      <w:tr w:rsidR="00F94EF2" w:rsidRPr="00EA7870" w14:paraId="2D0E4B03" w14:textId="77777777" w:rsidTr="008C3631">
        <w:trPr>
          <w:trHeight w:val="20"/>
        </w:trPr>
        <w:tc>
          <w:tcPr>
            <w:tcW w:w="4096" w:type="dxa"/>
          </w:tcPr>
          <w:p w14:paraId="7E7C19D4" w14:textId="77777777" w:rsidR="00F94EF2" w:rsidRPr="00EA7870" w:rsidRDefault="00F94EF2" w:rsidP="00A60E0D">
            <w:pPr>
              <w:tabs>
                <w:tab w:val="right" w:leader="dot" w:pos="4400"/>
              </w:tabs>
              <w:ind w:right="360"/>
              <w:rPr>
                <w:b/>
                <w:sz w:val="20"/>
                <w:szCs w:val="20"/>
                <w:lang w:val="es-AR"/>
              </w:rPr>
            </w:pPr>
            <w:r w:rsidRPr="00EA7870">
              <w:rPr>
                <w:b/>
                <w:sz w:val="20"/>
                <w:szCs w:val="20"/>
                <w:lang w:val="es-AR"/>
              </w:rPr>
              <w:t>Códigos ISIN y CUSIP</w:t>
            </w:r>
            <w:r w:rsidRPr="00EA7870">
              <w:rPr>
                <w:sz w:val="20"/>
                <w:szCs w:val="20"/>
                <w:lang w:val="es-AR" w:bidi="he-IL"/>
              </w:rPr>
              <w:tab/>
            </w:r>
          </w:p>
        </w:tc>
        <w:tc>
          <w:tcPr>
            <w:tcW w:w="4410" w:type="dxa"/>
          </w:tcPr>
          <w:p w14:paraId="79F7C828" w14:textId="77777777" w:rsidR="00F94EF2" w:rsidRPr="00EA7870" w:rsidRDefault="00F94EF2" w:rsidP="007C2463">
            <w:pPr>
              <w:pStyle w:val="Textoindependiente3"/>
              <w:rPr>
                <w:color w:val="000000"/>
                <w:sz w:val="20"/>
                <w:lang w:val="es-AR" w:bidi="he-IL"/>
              </w:rPr>
            </w:pPr>
            <w:r w:rsidRPr="00EA7870">
              <w:rPr>
                <w:color w:val="000000"/>
                <w:sz w:val="20"/>
                <w:lang w:val="es-AR" w:bidi="he-IL"/>
              </w:rPr>
              <w:t>Serán informados en el Aviso de Resultados.</w:t>
            </w:r>
          </w:p>
          <w:p w14:paraId="31C6A756" w14:textId="77777777" w:rsidR="00F94EF2" w:rsidRPr="00EA7870" w:rsidRDefault="00F94EF2" w:rsidP="007C2463">
            <w:pPr>
              <w:pStyle w:val="Textoindependiente3"/>
              <w:rPr>
                <w:sz w:val="20"/>
                <w:lang w:val="es-AR"/>
              </w:rPr>
            </w:pPr>
          </w:p>
        </w:tc>
      </w:tr>
      <w:tr w:rsidR="00A60E0D" w:rsidRPr="00EA7870" w14:paraId="3E6B1D56" w14:textId="77777777" w:rsidTr="008C3631">
        <w:trPr>
          <w:trHeight w:val="20"/>
        </w:trPr>
        <w:tc>
          <w:tcPr>
            <w:tcW w:w="4096" w:type="dxa"/>
          </w:tcPr>
          <w:p w14:paraId="1860717B" w14:textId="77777777" w:rsidR="00A60E0D" w:rsidRPr="00EA7870" w:rsidRDefault="00A60E0D" w:rsidP="00A60E0D">
            <w:pPr>
              <w:tabs>
                <w:tab w:val="right" w:leader="dot" w:pos="4400"/>
              </w:tabs>
              <w:ind w:left="360" w:right="360" w:hanging="360"/>
              <w:rPr>
                <w:b/>
                <w:sz w:val="20"/>
                <w:szCs w:val="20"/>
                <w:lang w:val="es-AR" w:bidi="he-IL"/>
              </w:rPr>
            </w:pPr>
            <w:r w:rsidRPr="00EA7870">
              <w:rPr>
                <w:b/>
                <w:sz w:val="20"/>
                <w:szCs w:val="20"/>
                <w:lang w:val="es-AR"/>
              </w:rPr>
              <w:t>Factores de Riesgo</w:t>
            </w:r>
            <w:r w:rsidRPr="00EA7870">
              <w:rPr>
                <w:sz w:val="20"/>
                <w:szCs w:val="20"/>
                <w:lang w:val="es-AR" w:bidi="he-IL"/>
              </w:rPr>
              <w:tab/>
            </w:r>
          </w:p>
        </w:tc>
        <w:tc>
          <w:tcPr>
            <w:tcW w:w="4410" w:type="dxa"/>
          </w:tcPr>
          <w:p w14:paraId="46EE48C9" w14:textId="77777777" w:rsidR="00A60E0D" w:rsidRPr="00EA7870" w:rsidRDefault="00A60E0D" w:rsidP="001631E4">
            <w:pPr>
              <w:spacing w:after="200"/>
              <w:jc w:val="both"/>
              <w:rPr>
                <w:color w:val="000000"/>
                <w:sz w:val="20"/>
                <w:szCs w:val="20"/>
                <w:lang w:val="es-AR"/>
              </w:rPr>
            </w:pPr>
            <w:r w:rsidRPr="00EA7870">
              <w:rPr>
                <w:color w:val="000000"/>
                <w:sz w:val="20"/>
                <w:szCs w:val="20"/>
                <w:lang w:val="es-AR" w:bidi="he-IL"/>
              </w:rPr>
              <w:t>Debe considerarse cuidadosamente toda la información contenida en el Prospecto y en este Suplemento. Véase “</w:t>
            </w:r>
            <w:r w:rsidRPr="00EA7870">
              <w:rPr>
                <w:i/>
                <w:color w:val="000000"/>
                <w:sz w:val="20"/>
                <w:szCs w:val="20"/>
                <w:lang w:val="es-AR" w:bidi="he-IL"/>
              </w:rPr>
              <w:t>Información Clave sobre la Emisora—Factores de Riesgo</w:t>
            </w:r>
            <w:r w:rsidRPr="00EA7870">
              <w:rPr>
                <w:color w:val="000000"/>
                <w:sz w:val="20"/>
                <w:szCs w:val="20"/>
                <w:lang w:val="es-AR" w:bidi="he-IL"/>
              </w:rPr>
              <w:t>” del Prospecto</w:t>
            </w:r>
            <w:r w:rsidR="00AF67AA" w:rsidRPr="00EA7870">
              <w:rPr>
                <w:color w:val="000000"/>
                <w:sz w:val="20"/>
                <w:szCs w:val="20"/>
                <w:lang w:val="es-AR" w:bidi="he-IL"/>
              </w:rPr>
              <w:t xml:space="preserve"> y “</w:t>
            </w:r>
            <w:r w:rsidR="00AF67AA" w:rsidRPr="00EA7870">
              <w:rPr>
                <w:i/>
                <w:color w:val="000000"/>
                <w:sz w:val="20"/>
                <w:szCs w:val="20"/>
                <w:lang w:val="es-AR" w:bidi="he-IL"/>
              </w:rPr>
              <w:t xml:space="preserve">Factores </w:t>
            </w:r>
            <w:r w:rsidR="001631E4" w:rsidRPr="00EA7870">
              <w:rPr>
                <w:i/>
                <w:color w:val="000000"/>
                <w:sz w:val="20"/>
                <w:szCs w:val="20"/>
                <w:lang w:val="es-AR" w:bidi="he-IL"/>
              </w:rPr>
              <w:t>de Riesgo</w:t>
            </w:r>
            <w:r w:rsidR="001631E4" w:rsidRPr="00EA7870">
              <w:rPr>
                <w:color w:val="000000"/>
                <w:sz w:val="20"/>
                <w:szCs w:val="20"/>
                <w:lang w:val="es-AR" w:bidi="he-IL"/>
              </w:rPr>
              <w:t>” en el presente Suplemento</w:t>
            </w:r>
            <w:r w:rsidRPr="00EA7870">
              <w:rPr>
                <w:color w:val="000000"/>
                <w:sz w:val="20"/>
                <w:szCs w:val="20"/>
                <w:lang w:val="es-AR" w:bidi="he-IL"/>
              </w:rPr>
              <w:t>, para una descripción de ciertos riesgos significativos relacionados con una inversión en las Obligaciones Negociables.</w:t>
            </w:r>
          </w:p>
        </w:tc>
      </w:tr>
      <w:tr w:rsidR="00A60E0D" w:rsidRPr="00EA7870" w14:paraId="0A42065F" w14:textId="77777777" w:rsidTr="008C3631">
        <w:trPr>
          <w:trHeight w:val="20"/>
        </w:trPr>
        <w:tc>
          <w:tcPr>
            <w:tcW w:w="4096" w:type="dxa"/>
          </w:tcPr>
          <w:p w14:paraId="2E514FAC" w14:textId="77777777" w:rsidR="00A60E0D" w:rsidRPr="00EA7870" w:rsidRDefault="00A60E0D" w:rsidP="00A60E0D">
            <w:pPr>
              <w:tabs>
                <w:tab w:val="right" w:leader="dot" w:pos="4400"/>
              </w:tabs>
              <w:ind w:left="360" w:right="360" w:hanging="360"/>
              <w:rPr>
                <w:b/>
                <w:sz w:val="20"/>
                <w:szCs w:val="20"/>
                <w:lang w:val="es-AR" w:bidi="he-IL"/>
              </w:rPr>
            </w:pPr>
            <w:r w:rsidRPr="00EA7870">
              <w:rPr>
                <w:b/>
                <w:sz w:val="20"/>
                <w:szCs w:val="20"/>
                <w:lang w:val="es-AR" w:bidi="he-IL"/>
              </w:rPr>
              <w:t>Ley Aplicable</w:t>
            </w:r>
            <w:r w:rsidRPr="00EA7870">
              <w:rPr>
                <w:sz w:val="20"/>
                <w:szCs w:val="20"/>
                <w:lang w:val="es-AR" w:bidi="he-IL"/>
              </w:rPr>
              <w:tab/>
            </w:r>
          </w:p>
        </w:tc>
        <w:tc>
          <w:tcPr>
            <w:tcW w:w="4410" w:type="dxa"/>
          </w:tcPr>
          <w:p w14:paraId="006A54C0" w14:textId="77777777" w:rsidR="00A60E0D" w:rsidRPr="00EA7870" w:rsidRDefault="00A60E0D" w:rsidP="00D006AC">
            <w:pPr>
              <w:spacing w:after="200"/>
              <w:jc w:val="both"/>
              <w:rPr>
                <w:color w:val="000000"/>
                <w:sz w:val="20"/>
                <w:szCs w:val="20"/>
                <w:lang w:val="es-AR"/>
              </w:rPr>
            </w:pPr>
            <w:r w:rsidRPr="00EA7870">
              <w:rPr>
                <w:color w:val="000000"/>
                <w:sz w:val="20"/>
                <w:szCs w:val="20"/>
                <w:lang w:val="es-AR"/>
              </w:rPr>
              <w:t xml:space="preserve">El Contrato de Fideicomiso y las Obligaciones Negociables se regirán por las leyes del Estado de Nueva York, quedando establecido que todos los asuntos relacionados con la debida autorización, incluyendo la autorización de la CNV para la oferta </w:t>
            </w:r>
            <w:r w:rsidRPr="00EA7870">
              <w:rPr>
                <w:color w:val="000000"/>
                <w:sz w:val="20"/>
                <w:szCs w:val="20"/>
                <w:lang w:val="es-AR"/>
              </w:rPr>
              <w:lastRenderedPageBreak/>
              <w:t xml:space="preserve">pública de las Obligaciones Negociables en </w:t>
            </w:r>
            <w:r w:rsidR="00DA6E9F" w:rsidRPr="00EA7870">
              <w:rPr>
                <w:color w:val="000000"/>
                <w:sz w:val="20"/>
                <w:szCs w:val="20"/>
                <w:lang w:val="es-AR"/>
              </w:rPr>
              <w:t xml:space="preserve">la </w:t>
            </w:r>
            <w:r w:rsidRPr="00EA7870">
              <w:rPr>
                <w:color w:val="000000"/>
                <w:sz w:val="20"/>
                <w:szCs w:val="20"/>
                <w:lang w:val="es-AR"/>
              </w:rPr>
              <w:t xml:space="preserve">Argentina, la capacidad, otorgamiento, emisión y entrega de las Obligaciones Negociables y los asuntos relacionados con la oferta pública en </w:t>
            </w:r>
            <w:r w:rsidR="00DA6E9F" w:rsidRPr="00EA7870">
              <w:rPr>
                <w:color w:val="000000"/>
                <w:sz w:val="20"/>
                <w:szCs w:val="20"/>
                <w:lang w:val="es-AR"/>
              </w:rPr>
              <w:t xml:space="preserve">la </w:t>
            </w:r>
            <w:r w:rsidRPr="00EA7870">
              <w:rPr>
                <w:color w:val="000000"/>
                <w:sz w:val="20"/>
                <w:szCs w:val="20"/>
                <w:lang w:val="es-AR"/>
              </w:rPr>
              <w:t>Argentina y los requisitos legales necesarios para que las Obligaciones Negociables revistan el carácter de “obligaciones negociables” bajo la ley argentina, así como las asambleas de tenedores de Obligaciones Negociables, se regirán por la Ley de Obligaciones Negociables, la Ley General de Sociedades, la Ley de Mercado de Capitales, las Normas de la CNV y demás leyes y reglamentaciones argentinas aplicables.</w:t>
            </w:r>
            <w:r w:rsidRPr="00EA7870">
              <w:rPr>
                <w:sz w:val="20"/>
                <w:szCs w:val="20"/>
              </w:rPr>
              <w:t xml:space="preserve"> </w:t>
            </w:r>
          </w:p>
        </w:tc>
      </w:tr>
      <w:tr w:rsidR="00A60E0D" w:rsidRPr="00EA7870" w14:paraId="1A31F29F" w14:textId="77777777" w:rsidTr="008C3631">
        <w:trPr>
          <w:trHeight w:val="20"/>
        </w:trPr>
        <w:tc>
          <w:tcPr>
            <w:tcW w:w="4096" w:type="dxa"/>
          </w:tcPr>
          <w:p w14:paraId="21FB1BF8" w14:textId="77777777" w:rsidR="00A60E0D" w:rsidRPr="00EA7870" w:rsidRDefault="00A60E0D" w:rsidP="00A60E0D">
            <w:pPr>
              <w:pStyle w:val="DPWfdPF"/>
              <w:tabs>
                <w:tab w:val="right" w:leader="dot" w:pos="4395"/>
              </w:tabs>
              <w:ind w:right="192" w:firstLine="0"/>
              <w:rPr>
                <w:b/>
                <w:lang w:val="es-AR"/>
              </w:rPr>
            </w:pPr>
            <w:r w:rsidRPr="00EA7870">
              <w:rPr>
                <w:b/>
                <w:lang w:val="es-AR"/>
              </w:rPr>
              <w:lastRenderedPageBreak/>
              <w:t>Acción Ejecutiva</w:t>
            </w:r>
            <w:r w:rsidRPr="00EA7870">
              <w:rPr>
                <w:lang w:val="es-AR"/>
              </w:rPr>
              <w:tab/>
            </w:r>
          </w:p>
        </w:tc>
        <w:tc>
          <w:tcPr>
            <w:tcW w:w="4410" w:type="dxa"/>
          </w:tcPr>
          <w:p w14:paraId="396CB393" w14:textId="77777777" w:rsidR="00A60E0D" w:rsidRPr="00EA7870" w:rsidRDefault="00A60E0D" w:rsidP="00167A6A">
            <w:pPr>
              <w:spacing w:after="200"/>
              <w:jc w:val="both"/>
              <w:rPr>
                <w:sz w:val="20"/>
                <w:szCs w:val="20"/>
                <w:lang w:val="es-AR"/>
              </w:rPr>
            </w:pPr>
            <w:r w:rsidRPr="00EA7870">
              <w:rPr>
                <w:color w:val="000000"/>
                <w:sz w:val="20"/>
                <w:szCs w:val="20"/>
                <w:lang w:val="es-AR"/>
              </w:rPr>
              <w:t xml:space="preserve">Las Obligaciones Negociables serán emitidas conforme con la Ley de Obligaciones Negociables y constituirán “obligaciones negociables” conforme con las disposiciones de la misma y gozarán de los derechos allí establecidos. En particular, bajo los términos del </w:t>
            </w:r>
            <w:r w:rsidR="007D2CF2" w:rsidRPr="00EA7870">
              <w:rPr>
                <w:color w:val="000000"/>
                <w:sz w:val="20"/>
                <w:szCs w:val="20"/>
                <w:lang w:val="es-AR"/>
              </w:rPr>
              <w:t>A</w:t>
            </w:r>
            <w:r w:rsidRPr="00EA7870">
              <w:rPr>
                <w:color w:val="000000"/>
                <w:sz w:val="20"/>
                <w:szCs w:val="20"/>
                <w:lang w:val="es-AR"/>
              </w:rPr>
              <w:t xml:space="preserve">rtículo 29 de dicha ley, las Obligaciones Negociables confieren a sus tenedores el derecho de iniciar una acción ejecutiva a fin de perseguir el cobro del capital e intereses vencidos bajo las Obligaciones Negociables (incluyendo Montos Adicionales), derecho éste que no podrá ser restringido ni afectado sin el previo consentimiento de dicho tenedor. Todo depositario podrá entregar, y todo </w:t>
            </w:r>
            <w:r w:rsidR="00167A6A" w:rsidRPr="00EA7870">
              <w:rPr>
                <w:color w:val="000000"/>
                <w:sz w:val="20"/>
                <w:szCs w:val="20"/>
                <w:lang w:val="es-AR"/>
              </w:rPr>
              <w:t xml:space="preserve">tenedor </w:t>
            </w:r>
            <w:r w:rsidRPr="00EA7870">
              <w:rPr>
                <w:color w:val="000000"/>
                <w:sz w:val="20"/>
                <w:szCs w:val="20"/>
                <w:lang w:val="es-AR"/>
              </w:rPr>
              <w:t xml:space="preserve">tiene el derecho de obtener, de acuerdo con el Artículo 129 de la Ley de Mercado de Capitales, certificados respecto de las Obligaciones Negociables representadas por una obligación negociable global, a ser extendidos a favor de cualquier </w:t>
            </w:r>
            <w:r w:rsidR="00167A6A" w:rsidRPr="00EA7870">
              <w:rPr>
                <w:color w:val="000000"/>
                <w:sz w:val="20"/>
                <w:szCs w:val="20"/>
                <w:lang w:val="es-AR"/>
              </w:rPr>
              <w:t>tenedor</w:t>
            </w:r>
            <w:r w:rsidRPr="00EA7870">
              <w:rPr>
                <w:color w:val="000000"/>
                <w:sz w:val="20"/>
                <w:szCs w:val="20"/>
                <w:lang w:val="es-AR"/>
              </w:rPr>
              <w:t xml:space="preserve"> sujeto a ciertas limitaciones establecidas en el Contrato de Fideicomiso. Estos certificados permiten a los titulares beneficiarios iniciar acciones judiciales, entre ellas acciones ejecutivas, ante cualquier tribunal competente de </w:t>
            </w:r>
            <w:r w:rsidR="00DA6E9F" w:rsidRPr="00EA7870">
              <w:rPr>
                <w:color w:val="000000"/>
                <w:sz w:val="20"/>
                <w:szCs w:val="20"/>
                <w:lang w:val="es-AR"/>
              </w:rPr>
              <w:t xml:space="preserve">la </w:t>
            </w:r>
            <w:r w:rsidRPr="00EA7870">
              <w:rPr>
                <w:color w:val="000000"/>
                <w:sz w:val="20"/>
                <w:szCs w:val="20"/>
                <w:lang w:val="es-AR"/>
              </w:rPr>
              <w:t>Argentina a fin de obtener el pago de cualquier suma vencida bajo las Obligaciones Negociables.</w:t>
            </w:r>
          </w:p>
        </w:tc>
      </w:tr>
      <w:tr w:rsidR="00A60E0D" w:rsidRPr="00EA7870" w14:paraId="7B5763F2" w14:textId="77777777" w:rsidTr="008C3631">
        <w:trPr>
          <w:trHeight w:val="20"/>
        </w:trPr>
        <w:tc>
          <w:tcPr>
            <w:tcW w:w="4096" w:type="dxa"/>
          </w:tcPr>
          <w:p w14:paraId="09358240" w14:textId="77777777" w:rsidR="00A60E0D" w:rsidRPr="00EA7870" w:rsidRDefault="00A60E0D" w:rsidP="00A60E0D">
            <w:pPr>
              <w:tabs>
                <w:tab w:val="right" w:leader="dot" w:pos="4400"/>
              </w:tabs>
              <w:spacing w:after="200"/>
              <w:ind w:left="360" w:right="360" w:hanging="360"/>
              <w:rPr>
                <w:b/>
                <w:sz w:val="20"/>
                <w:szCs w:val="20"/>
                <w:lang w:val="es-AR"/>
              </w:rPr>
            </w:pPr>
            <w:r w:rsidRPr="00EA7870">
              <w:rPr>
                <w:b/>
                <w:sz w:val="20"/>
                <w:szCs w:val="20"/>
                <w:lang w:val="es-AR"/>
              </w:rPr>
              <w:t>Jurisdicción</w:t>
            </w:r>
            <w:r w:rsidRPr="00AD6B7D">
              <w:rPr>
                <w:bCs/>
                <w:sz w:val="20"/>
                <w:szCs w:val="20"/>
                <w:lang w:val="es-AR"/>
              </w:rPr>
              <w:tab/>
            </w:r>
          </w:p>
        </w:tc>
        <w:tc>
          <w:tcPr>
            <w:tcW w:w="4410" w:type="dxa"/>
          </w:tcPr>
          <w:p w14:paraId="64D28579" w14:textId="77777777" w:rsidR="00A60E0D" w:rsidRPr="00EA7870" w:rsidRDefault="00A60E0D" w:rsidP="00A60E0D">
            <w:pPr>
              <w:spacing w:after="200"/>
              <w:jc w:val="both"/>
              <w:rPr>
                <w:color w:val="000000"/>
                <w:sz w:val="20"/>
                <w:szCs w:val="20"/>
                <w:lang w:val="es-AR"/>
              </w:rPr>
            </w:pPr>
            <w:r w:rsidRPr="00EA7870">
              <w:rPr>
                <w:color w:val="000000"/>
                <w:sz w:val="20"/>
                <w:szCs w:val="20"/>
                <w:lang w:val="es-AR"/>
              </w:rPr>
              <w:t xml:space="preserve">La Emisora se someterá irrevocablemente a la jurisdicción no exclusiva de los tribunales estaduales o federales con asiento en el Distrito de Manhattan, Ciudad de Nueva York, Estados Unidos de América, y de los tribunales argentinos con asiento en la Ciudad de Buenos Aires, Argentina. Sin perjuicio de lo anterior, de acuerdo con el Artículo 46 de la Ley de Mercado de Capitales, los tenedores de Obligaciones Negociables podrán someter controversias relacionadas con las Obligaciones Negociables a la jurisdicción no exclusiva del Tribunal de Arbitraje General de la BCBA, </w:t>
            </w:r>
            <w:r w:rsidRPr="00EA7870">
              <w:rPr>
                <w:sz w:val="20"/>
                <w:szCs w:val="20"/>
                <w:lang w:val="es-AR"/>
              </w:rPr>
              <w:t xml:space="preserve">en virtud del ejercicio de la facultad delegada por BYMA a la BCBA conforme lo dispuesto por la Resolución N°18.629 de la CNV, o el tribunal arbitral del mercado de valores que lo reemplace, todo ello, </w:t>
            </w:r>
            <w:r w:rsidRPr="00EA7870">
              <w:rPr>
                <w:color w:val="000000"/>
                <w:sz w:val="20"/>
                <w:szCs w:val="20"/>
                <w:lang w:val="es-AR"/>
              </w:rPr>
              <w:t xml:space="preserve">de acuerdo con el artículo 46 de la Ley de Mercado de Capitales. </w:t>
            </w:r>
          </w:p>
        </w:tc>
      </w:tr>
      <w:tr w:rsidR="00A60E0D" w:rsidRPr="00EA7870" w14:paraId="4A24CA1C" w14:textId="77777777" w:rsidTr="008C3631">
        <w:trPr>
          <w:trHeight w:val="20"/>
        </w:trPr>
        <w:tc>
          <w:tcPr>
            <w:tcW w:w="4096" w:type="dxa"/>
          </w:tcPr>
          <w:p w14:paraId="62A237D1" w14:textId="77777777" w:rsidR="00A60E0D" w:rsidRPr="00EA7870" w:rsidRDefault="00A60E0D" w:rsidP="00A60E0D">
            <w:pPr>
              <w:pStyle w:val="DPWfdPF"/>
              <w:tabs>
                <w:tab w:val="right" w:leader="dot" w:pos="4395"/>
              </w:tabs>
              <w:ind w:right="192" w:firstLine="0"/>
              <w:rPr>
                <w:lang w:val="es-AR"/>
              </w:rPr>
            </w:pPr>
            <w:r w:rsidRPr="00EA7870">
              <w:rPr>
                <w:b/>
                <w:lang w:val="es-AR"/>
              </w:rPr>
              <w:lastRenderedPageBreak/>
              <w:t>Colocador Local</w:t>
            </w:r>
            <w:r w:rsidR="00E43364" w:rsidRPr="00EA7870">
              <w:rPr>
                <w:b/>
                <w:lang w:val="es-AR"/>
              </w:rPr>
              <w:t xml:space="preserve"> y Agente de Liquidación Local</w:t>
            </w:r>
            <w:r w:rsidRPr="00EA7870">
              <w:rPr>
                <w:lang w:val="es-AR" w:bidi="he-IL"/>
              </w:rPr>
              <w:tab/>
            </w:r>
          </w:p>
        </w:tc>
        <w:tc>
          <w:tcPr>
            <w:tcW w:w="4410" w:type="dxa"/>
          </w:tcPr>
          <w:p w14:paraId="04444557" w14:textId="77777777" w:rsidR="00A60E0D" w:rsidRPr="00EA7870" w:rsidRDefault="00185092" w:rsidP="00185092">
            <w:pPr>
              <w:spacing w:after="200"/>
              <w:jc w:val="both"/>
              <w:rPr>
                <w:color w:val="000000"/>
                <w:sz w:val="20"/>
                <w:szCs w:val="20"/>
                <w:lang w:val="es-AR"/>
              </w:rPr>
            </w:pPr>
            <w:r w:rsidRPr="00EA7870">
              <w:rPr>
                <w:color w:val="000000"/>
                <w:sz w:val="20"/>
                <w:szCs w:val="20"/>
                <w:lang w:val="es-AR"/>
              </w:rPr>
              <w:t>Banco Itaú Argentina S.A</w:t>
            </w:r>
            <w:r w:rsidR="007E43A2" w:rsidRPr="00EA7870">
              <w:rPr>
                <w:color w:val="000000"/>
                <w:sz w:val="20"/>
                <w:szCs w:val="20"/>
                <w:lang w:val="es-AR"/>
              </w:rPr>
              <w:t>.</w:t>
            </w:r>
            <w:r w:rsidR="00DD1EE7" w:rsidRPr="00EA7870">
              <w:rPr>
                <w:color w:val="000000"/>
                <w:sz w:val="20"/>
                <w:szCs w:val="20"/>
                <w:lang w:val="es-AR"/>
              </w:rPr>
              <w:t xml:space="preserve"> </w:t>
            </w:r>
          </w:p>
        </w:tc>
      </w:tr>
      <w:tr w:rsidR="00A60E0D" w:rsidRPr="00A22E7F" w14:paraId="74998C8D" w14:textId="77777777" w:rsidTr="008C3631">
        <w:trPr>
          <w:trHeight w:val="20"/>
        </w:trPr>
        <w:tc>
          <w:tcPr>
            <w:tcW w:w="4096" w:type="dxa"/>
          </w:tcPr>
          <w:p w14:paraId="006A7429" w14:textId="77777777" w:rsidR="00A60E0D" w:rsidRPr="00EA7870" w:rsidRDefault="00A60E0D" w:rsidP="00BA306C">
            <w:pPr>
              <w:tabs>
                <w:tab w:val="right" w:leader="dot" w:pos="4400"/>
              </w:tabs>
              <w:ind w:right="360"/>
              <w:jc w:val="both"/>
              <w:rPr>
                <w:b/>
                <w:sz w:val="20"/>
                <w:szCs w:val="20"/>
                <w:lang w:val="es-AR" w:bidi="he-IL"/>
              </w:rPr>
            </w:pPr>
            <w:r w:rsidRPr="00EA7870">
              <w:rPr>
                <w:b/>
                <w:sz w:val="20"/>
                <w:szCs w:val="20"/>
                <w:lang w:val="es-AR" w:bidi="he-IL"/>
              </w:rPr>
              <w:t xml:space="preserve">Agente Fiduciario, </w:t>
            </w:r>
            <w:r w:rsidR="00FF0E10" w:rsidRPr="00EA7870">
              <w:rPr>
                <w:b/>
                <w:sz w:val="20"/>
                <w:szCs w:val="20"/>
                <w:lang w:val="es-AR" w:bidi="he-IL"/>
              </w:rPr>
              <w:t>A</w:t>
            </w:r>
            <w:r w:rsidRPr="00EA7870">
              <w:rPr>
                <w:b/>
                <w:sz w:val="20"/>
                <w:szCs w:val="20"/>
                <w:lang w:val="es-AR" w:bidi="he-IL"/>
              </w:rPr>
              <w:t>gente de Registro, Agente de Pago y Agente de Transferencia en Nueva York</w:t>
            </w:r>
            <w:r w:rsidRPr="00EA7870">
              <w:rPr>
                <w:sz w:val="20"/>
                <w:szCs w:val="20"/>
                <w:lang w:val="es-AR" w:bidi="he-IL"/>
              </w:rPr>
              <w:tab/>
            </w:r>
          </w:p>
          <w:p w14:paraId="0EF6F029" w14:textId="77777777" w:rsidR="00A60E0D" w:rsidRPr="00EA7870" w:rsidRDefault="00A60E0D" w:rsidP="00A60E0D">
            <w:pPr>
              <w:tabs>
                <w:tab w:val="right" w:leader="dot" w:pos="4400"/>
              </w:tabs>
              <w:ind w:right="360"/>
              <w:rPr>
                <w:sz w:val="20"/>
                <w:szCs w:val="20"/>
                <w:lang w:val="es-AR" w:bidi="he-IL"/>
              </w:rPr>
            </w:pPr>
          </w:p>
        </w:tc>
        <w:tc>
          <w:tcPr>
            <w:tcW w:w="4410" w:type="dxa"/>
          </w:tcPr>
          <w:p w14:paraId="32680F44" w14:textId="77777777" w:rsidR="00A60E0D" w:rsidRPr="00EA7870" w:rsidRDefault="00A60E0D" w:rsidP="00A60E0D">
            <w:pPr>
              <w:spacing w:after="200"/>
              <w:jc w:val="both"/>
              <w:rPr>
                <w:color w:val="000000"/>
                <w:sz w:val="20"/>
                <w:szCs w:val="20"/>
                <w:lang w:val="es-AR"/>
              </w:rPr>
            </w:pPr>
          </w:p>
          <w:p w14:paraId="5D1E75C9" w14:textId="77777777" w:rsidR="00A60E0D" w:rsidRPr="00EA7870" w:rsidRDefault="001631E4" w:rsidP="00A60E0D">
            <w:pPr>
              <w:spacing w:after="200"/>
              <w:jc w:val="both"/>
              <w:rPr>
                <w:color w:val="000000"/>
                <w:sz w:val="20"/>
                <w:szCs w:val="20"/>
                <w:lang w:val="en-GB" w:bidi="he-IL"/>
              </w:rPr>
            </w:pPr>
            <w:r w:rsidRPr="00EA7870">
              <w:rPr>
                <w:color w:val="000000"/>
                <w:sz w:val="20"/>
                <w:szCs w:val="20"/>
                <w:lang w:val="en-GB"/>
              </w:rPr>
              <w:t>The Bank of New York Mellon.</w:t>
            </w:r>
          </w:p>
        </w:tc>
      </w:tr>
    </w:tbl>
    <w:p w14:paraId="41B1EE5D" w14:textId="77777777" w:rsidR="00B530EF" w:rsidRPr="00EA7870" w:rsidRDefault="00B530EF" w:rsidP="002D1221">
      <w:pPr>
        <w:pStyle w:val="Ttulo1"/>
        <w:jc w:val="center"/>
        <w:rPr>
          <w:rFonts w:ascii="Times New Roman" w:hAnsi="Times New Roman"/>
          <w:sz w:val="20"/>
          <w:lang w:val="es-AR"/>
        </w:rPr>
      </w:pPr>
      <w:r w:rsidRPr="00A22E7F">
        <w:rPr>
          <w:rFonts w:ascii="Times New Roman" w:hAnsi="Times New Roman"/>
          <w:sz w:val="20"/>
          <w:lang w:val="es-AR"/>
        </w:rPr>
        <w:br w:type="page"/>
      </w:r>
      <w:bookmarkStart w:id="110" w:name="_DV_M392"/>
      <w:bookmarkStart w:id="111" w:name="_Toc245729501"/>
      <w:bookmarkStart w:id="112" w:name="_Toc337141365"/>
      <w:bookmarkStart w:id="113" w:name="_Toc24360366"/>
      <w:bookmarkStart w:id="114" w:name="_Toc24363271"/>
      <w:bookmarkEnd w:id="110"/>
      <w:r w:rsidRPr="00EA7870">
        <w:rPr>
          <w:rFonts w:ascii="Times New Roman" w:hAnsi="Times New Roman"/>
          <w:sz w:val="20"/>
          <w:lang w:val="es-AR"/>
        </w:rPr>
        <w:lastRenderedPageBreak/>
        <w:t xml:space="preserve">DESTINO DE </w:t>
      </w:r>
      <w:r w:rsidR="00F157C6" w:rsidRPr="00EA7870">
        <w:rPr>
          <w:rFonts w:ascii="Times New Roman" w:hAnsi="Times New Roman"/>
          <w:sz w:val="20"/>
          <w:lang w:val="es-AR"/>
        </w:rPr>
        <w:t xml:space="preserve">LOS </w:t>
      </w:r>
      <w:r w:rsidRPr="00EA7870">
        <w:rPr>
          <w:rFonts w:ascii="Times New Roman" w:hAnsi="Times New Roman"/>
          <w:sz w:val="20"/>
          <w:lang w:val="es-AR"/>
        </w:rPr>
        <w:t>FONDOS</w:t>
      </w:r>
      <w:bookmarkEnd w:id="111"/>
      <w:bookmarkEnd w:id="112"/>
      <w:bookmarkEnd w:id="113"/>
      <w:bookmarkEnd w:id="114"/>
    </w:p>
    <w:p w14:paraId="62124A69" w14:textId="77777777" w:rsidR="004B1818" w:rsidRPr="00EA7870" w:rsidRDefault="004B1818" w:rsidP="00573029">
      <w:pPr>
        <w:jc w:val="both"/>
        <w:rPr>
          <w:color w:val="000000"/>
          <w:sz w:val="20"/>
          <w:szCs w:val="20"/>
          <w:lang w:val="es-AR"/>
        </w:rPr>
      </w:pPr>
    </w:p>
    <w:p w14:paraId="72BD9C2C" w14:textId="1129E4EC" w:rsidR="00BF4A7B" w:rsidRPr="00EA7870" w:rsidRDefault="00C73982" w:rsidP="00573029">
      <w:pPr>
        <w:jc w:val="both"/>
        <w:rPr>
          <w:color w:val="000000"/>
          <w:sz w:val="20"/>
          <w:szCs w:val="20"/>
          <w:lang w:val="es-AR"/>
        </w:rPr>
      </w:pPr>
      <w:r w:rsidRPr="00EA7870">
        <w:rPr>
          <w:color w:val="000000"/>
          <w:sz w:val="20"/>
          <w:szCs w:val="20"/>
          <w:lang w:val="es-AR"/>
        </w:rPr>
        <w:t>L</w:t>
      </w:r>
      <w:r w:rsidR="002D16D9" w:rsidRPr="00EA7870">
        <w:rPr>
          <w:color w:val="000000"/>
          <w:sz w:val="20"/>
          <w:szCs w:val="20"/>
          <w:lang w:val="es-AR"/>
        </w:rPr>
        <w:t xml:space="preserve">a Emisora </w:t>
      </w:r>
      <w:r w:rsidRPr="00EA7870">
        <w:rPr>
          <w:color w:val="000000"/>
          <w:sz w:val="20"/>
          <w:szCs w:val="20"/>
          <w:lang w:val="es-AR"/>
        </w:rPr>
        <w:t>estima que los fondos netos derivados de la colocación y emisión de las Obligaciones Negociables será</w:t>
      </w:r>
      <w:r w:rsidR="003A37B5" w:rsidRPr="00EA7870">
        <w:rPr>
          <w:color w:val="000000"/>
          <w:sz w:val="20"/>
          <w:szCs w:val="20"/>
          <w:lang w:val="es-AR"/>
        </w:rPr>
        <w:t>n</w:t>
      </w:r>
      <w:r w:rsidRPr="00EA7870">
        <w:rPr>
          <w:color w:val="000000"/>
          <w:sz w:val="20"/>
          <w:szCs w:val="20"/>
          <w:lang w:val="es-AR"/>
        </w:rPr>
        <w:t xml:space="preserve"> de aproximadamente US</w:t>
      </w:r>
      <w:r w:rsidR="00707A28" w:rsidRPr="00EA7870">
        <w:rPr>
          <w:color w:val="000000"/>
          <w:sz w:val="20"/>
          <w:szCs w:val="20"/>
          <w:lang w:val="es-AR"/>
        </w:rPr>
        <w:t>$</w:t>
      </w:r>
      <w:r w:rsidR="007E7B1E">
        <w:rPr>
          <w:color w:val="000000"/>
          <w:sz w:val="20"/>
          <w:szCs w:val="20"/>
          <w:lang w:val="es-AR"/>
        </w:rPr>
        <w:t>72.456.800</w:t>
      </w:r>
      <w:r w:rsidR="00707A28" w:rsidRPr="00EA7870">
        <w:rPr>
          <w:color w:val="000000"/>
          <w:sz w:val="20"/>
          <w:szCs w:val="20"/>
          <w:lang w:val="es-AR"/>
        </w:rPr>
        <w:t xml:space="preserve"> </w:t>
      </w:r>
      <w:r w:rsidRPr="00EA7870">
        <w:rPr>
          <w:color w:val="000000"/>
          <w:sz w:val="20"/>
          <w:szCs w:val="20"/>
          <w:lang w:val="es-AR"/>
        </w:rPr>
        <w:t xml:space="preserve">(asumiendo una colocación </w:t>
      </w:r>
      <w:r w:rsidR="004B1818" w:rsidRPr="00EA7870">
        <w:rPr>
          <w:color w:val="000000"/>
          <w:sz w:val="20"/>
          <w:szCs w:val="20"/>
          <w:lang w:val="es-AR"/>
        </w:rPr>
        <w:t xml:space="preserve">base </w:t>
      </w:r>
      <w:r w:rsidRPr="00EA7870">
        <w:rPr>
          <w:color w:val="000000"/>
          <w:sz w:val="20"/>
          <w:szCs w:val="20"/>
          <w:lang w:val="es-AR"/>
        </w:rPr>
        <w:t>por un valor nominal de US</w:t>
      </w:r>
      <w:r w:rsidR="00877F6A" w:rsidRPr="00EA7870">
        <w:rPr>
          <w:color w:val="000000"/>
          <w:sz w:val="20"/>
          <w:szCs w:val="20"/>
          <w:lang w:val="es-AR"/>
        </w:rPr>
        <w:t>$</w:t>
      </w:r>
      <w:r w:rsidR="004D25D4">
        <w:rPr>
          <w:color w:val="000000"/>
          <w:sz w:val="20"/>
          <w:szCs w:val="20"/>
          <w:lang w:val="es-AR"/>
        </w:rPr>
        <w:t>75</w:t>
      </w:r>
      <w:r w:rsidR="00877F6A" w:rsidRPr="00EA7870">
        <w:rPr>
          <w:color w:val="000000"/>
          <w:sz w:val="20"/>
          <w:szCs w:val="20"/>
          <w:lang w:val="es-AR"/>
        </w:rPr>
        <w:t xml:space="preserve">.000.000), </w:t>
      </w:r>
      <w:r w:rsidR="00BF4A7B" w:rsidRPr="00EA7870">
        <w:rPr>
          <w:color w:val="000000"/>
          <w:sz w:val="20"/>
          <w:szCs w:val="20"/>
          <w:lang w:val="es-AR"/>
        </w:rPr>
        <w:t xml:space="preserve">previa deducción de comisiones a ser pagadas a los </w:t>
      </w:r>
      <w:r w:rsidR="007E43A2" w:rsidRPr="00EA7870">
        <w:rPr>
          <w:color w:val="000000"/>
          <w:sz w:val="20"/>
          <w:szCs w:val="20"/>
          <w:lang w:val="es-AR"/>
        </w:rPr>
        <w:t>Colocadores Internacionales</w:t>
      </w:r>
      <w:r w:rsidR="00BF4A7B" w:rsidRPr="00EA7870">
        <w:rPr>
          <w:color w:val="000000"/>
          <w:sz w:val="20"/>
          <w:szCs w:val="20"/>
          <w:lang w:val="es-AR"/>
        </w:rPr>
        <w:t xml:space="preserve"> y </w:t>
      </w:r>
      <w:r w:rsidR="00495E0A" w:rsidRPr="00EA7870">
        <w:rPr>
          <w:color w:val="000000"/>
          <w:sz w:val="20"/>
          <w:szCs w:val="20"/>
          <w:lang w:val="es-AR"/>
        </w:rPr>
        <w:t xml:space="preserve">al </w:t>
      </w:r>
      <w:r w:rsidR="007B2387" w:rsidRPr="00EA7870">
        <w:rPr>
          <w:sz w:val="20"/>
          <w:szCs w:val="20"/>
          <w:lang w:val="es-AR"/>
        </w:rPr>
        <w:t>Colocador Local</w:t>
      </w:r>
      <w:r w:rsidR="00BF4A7B" w:rsidRPr="00EA7870">
        <w:rPr>
          <w:color w:val="000000"/>
          <w:sz w:val="20"/>
          <w:szCs w:val="20"/>
          <w:lang w:val="es-AR"/>
        </w:rPr>
        <w:t xml:space="preserve"> y otros gastos, comisiones y honorarios relacionados con la colocación y emisión de las Obligaciones Negociables, a efectivizarse con posterioridad a la Fecha de Emisión y Liquidación</w:t>
      </w:r>
      <w:r w:rsidR="003B4291" w:rsidRPr="00EA7870">
        <w:rPr>
          <w:color w:val="000000"/>
          <w:sz w:val="20"/>
          <w:szCs w:val="20"/>
          <w:lang w:val="es-AR"/>
        </w:rPr>
        <w:t>. P</w:t>
      </w:r>
      <w:r w:rsidR="00BF4A7B" w:rsidRPr="00EA7870">
        <w:rPr>
          <w:color w:val="000000"/>
          <w:sz w:val="20"/>
          <w:szCs w:val="20"/>
          <w:lang w:val="es-AR"/>
        </w:rPr>
        <w:t>ara más información, véase “</w:t>
      </w:r>
      <w:r w:rsidR="007D2CF2" w:rsidRPr="00EA7870">
        <w:rPr>
          <w:i/>
          <w:iCs/>
          <w:color w:val="000000"/>
          <w:sz w:val="20"/>
          <w:szCs w:val="20"/>
          <w:lang w:val="es-AR"/>
        </w:rPr>
        <w:t>Plan de Distribución</w:t>
      </w:r>
      <w:r w:rsidR="007D2CF2" w:rsidRPr="00EA7870">
        <w:rPr>
          <w:i/>
          <w:sz w:val="20"/>
          <w:szCs w:val="20"/>
          <w:lang w:val="es-AR"/>
        </w:rPr>
        <w:t>—</w:t>
      </w:r>
      <w:r w:rsidR="00BF4A7B" w:rsidRPr="00EA7870">
        <w:rPr>
          <w:i/>
          <w:iCs/>
          <w:color w:val="000000"/>
          <w:sz w:val="20"/>
          <w:szCs w:val="20"/>
          <w:lang w:val="es-AR"/>
        </w:rPr>
        <w:t>Gastos de Emisión</w:t>
      </w:r>
      <w:r w:rsidR="00BF4A7B" w:rsidRPr="00EA7870">
        <w:rPr>
          <w:color w:val="000000"/>
          <w:sz w:val="20"/>
          <w:szCs w:val="20"/>
          <w:lang w:val="es-AR"/>
        </w:rPr>
        <w:t xml:space="preserve">” en el presente. </w:t>
      </w:r>
    </w:p>
    <w:p w14:paraId="6F1D31C0" w14:textId="77777777" w:rsidR="00BF4A7B" w:rsidRPr="00EA7870" w:rsidRDefault="00BF4A7B" w:rsidP="00BF4A7B">
      <w:pPr>
        <w:jc w:val="both"/>
        <w:rPr>
          <w:color w:val="000000"/>
          <w:sz w:val="20"/>
          <w:szCs w:val="20"/>
          <w:lang w:val="es-AR"/>
        </w:rPr>
      </w:pPr>
    </w:p>
    <w:p w14:paraId="4E0A96FF" w14:textId="77777777" w:rsidR="00BF4A7B" w:rsidRPr="00EA7870" w:rsidRDefault="00BF4A7B" w:rsidP="00BF4A7B">
      <w:pPr>
        <w:jc w:val="both"/>
        <w:rPr>
          <w:color w:val="000000"/>
          <w:sz w:val="20"/>
          <w:szCs w:val="20"/>
          <w:lang w:val="es-AR"/>
        </w:rPr>
      </w:pPr>
      <w:r w:rsidRPr="00EA7870">
        <w:rPr>
          <w:color w:val="000000"/>
          <w:sz w:val="20"/>
          <w:szCs w:val="20"/>
          <w:lang w:val="es-AR"/>
        </w:rPr>
        <w:t>De conformidad con lo dispuesto por el Artículo 36 de la Ley de Obligaciones Negociables, y las regulaciones aplicables vigentes en la Argentina, la Emisora emplear</w:t>
      </w:r>
      <w:r w:rsidR="0014379F" w:rsidRPr="00EA7870">
        <w:rPr>
          <w:color w:val="000000"/>
          <w:sz w:val="20"/>
          <w:szCs w:val="20"/>
          <w:lang w:val="es-AR"/>
        </w:rPr>
        <w:t>á</w:t>
      </w:r>
      <w:r w:rsidRPr="00EA7870">
        <w:rPr>
          <w:color w:val="000000"/>
          <w:sz w:val="20"/>
          <w:szCs w:val="20"/>
          <w:lang w:val="es-AR"/>
        </w:rPr>
        <w:t xml:space="preserve"> </w:t>
      </w:r>
      <w:r w:rsidR="004B1818" w:rsidRPr="00EA7870">
        <w:rPr>
          <w:color w:val="000000"/>
          <w:sz w:val="20"/>
          <w:szCs w:val="20"/>
          <w:lang w:val="es-AR"/>
        </w:rPr>
        <w:t xml:space="preserve">el </w:t>
      </w:r>
      <w:r w:rsidRPr="00EA7870">
        <w:rPr>
          <w:color w:val="000000"/>
          <w:sz w:val="20"/>
          <w:szCs w:val="20"/>
          <w:lang w:val="es-AR"/>
        </w:rPr>
        <w:t>producido proveniente de la colocación y emisión de las Obligaciones Negociables para los siguientes destinos que se detallan a continuación:</w:t>
      </w:r>
    </w:p>
    <w:p w14:paraId="074FA568" w14:textId="77777777" w:rsidR="00A90657" w:rsidRPr="00EA7870" w:rsidRDefault="00A90657" w:rsidP="00BF4A7B">
      <w:pPr>
        <w:jc w:val="both"/>
        <w:rPr>
          <w:color w:val="000000"/>
          <w:sz w:val="20"/>
          <w:szCs w:val="20"/>
          <w:lang w:val="es-AR"/>
        </w:rPr>
      </w:pPr>
    </w:p>
    <w:p w14:paraId="1589486C" w14:textId="77777777" w:rsidR="002F29B9" w:rsidRPr="00EA7870" w:rsidRDefault="0054529F" w:rsidP="00E2318E">
      <w:pPr>
        <w:numPr>
          <w:ilvl w:val="0"/>
          <w:numId w:val="12"/>
        </w:numPr>
        <w:ind w:left="709" w:right="-1" w:hanging="349"/>
        <w:jc w:val="both"/>
        <w:rPr>
          <w:color w:val="000000"/>
          <w:sz w:val="20"/>
          <w:szCs w:val="20"/>
          <w:lang w:val="es-AR"/>
        </w:rPr>
      </w:pPr>
      <w:r w:rsidRPr="00EA7870">
        <w:rPr>
          <w:color w:val="000000"/>
          <w:sz w:val="20"/>
          <w:szCs w:val="20"/>
          <w:lang w:val="es-AR"/>
        </w:rPr>
        <w:t>p</w:t>
      </w:r>
      <w:r w:rsidR="00A90657" w:rsidRPr="00EA7870">
        <w:rPr>
          <w:color w:val="000000"/>
          <w:sz w:val="20"/>
          <w:szCs w:val="20"/>
          <w:lang w:val="es-AR"/>
        </w:rPr>
        <w:t>ara financiar el plan de inversiones productivas de la Emisora</w:t>
      </w:r>
      <w:r w:rsidR="00D006AC" w:rsidRPr="00EA7870">
        <w:rPr>
          <w:color w:val="000000"/>
          <w:sz w:val="20"/>
          <w:szCs w:val="20"/>
          <w:lang w:val="es-AR"/>
        </w:rPr>
        <w:t>,</w:t>
      </w:r>
      <w:r w:rsidR="00A90657" w:rsidRPr="00EA7870">
        <w:rPr>
          <w:color w:val="000000"/>
          <w:sz w:val="20"/>
          <w:szCs w:val="20"/>
          <w:lang w:val="es-AR"/>
        </w:rPr>
        <w:t xml:space="preserve"> incluyendo sin limitación</w:t>
      </w:r>
      <w:r w:rsidR="002F29B9" w:rsidRPr="00EA7870">
        <w:rPr>
          <w:color w:val="000000"/>
          <w:sz w:val="20"/>
          <w:szCs w:val="20"/>
          <w:lang w:val="es-AR"/>
        </w:rPr>
        <w:t xml:space="preserve">, </w:t>
      </w:r>
      <w:r w:rsidR="00A90657" w:rsidRPr="00EA7870">
        <w:rPr>
          <w:color w:val="000000"/>
          <w:sz w:val="20"/>
          <w:szCs w:val="20"/>
          <w:lang w:val="es-AR"/>
        </w:rPr>
        <w:t>inversión en bienes de capital, servicios e instalaciones para la perforación, fractura, estimulación y producción de pozos de petróleo y gas natural, junto a su completación, y reparación, en las áreas de Cerro Dragón, Anticlinal Funes, Piedra Clavada y Koluel Kaike, en la Provincia del Chubut; el área Cerro Dragón en la Provincia de Santa Cruz</w:t>
      </w:r>
      <w:r w:rsidR="00B17B0C" w:rsidRPr="00EA7870">
        <w:rPr>
          <w:color w:val="000000"/>
          <w:sz w:val="20"/>
          <w:szCs w:val="20"/>
          <w:lang w:val="es-AR"/>
        </w:rPr>
        <w:t xml:space="preserve">, </w:t>
      </w:r>
      <w:r w:rsidR="00A90657" w:rsidRPr="00EA7870">
        <w:rPr>
          <w:color w:val="000000"/>
          <w:sz w:val="20"/>
          <w:szCs w:val="20"/>
          <w:lang w:val="es-AR"/>
        </w:rPr>
        <w:t xml:space="preserve">Aguada Pichana Este, Aguada Pichana Oeste, Aguada de Castro, Bandurria Centro, Lindero Atravesado, San Roque, Coirón Amargo Sur Este y Aguada Cánepa, en la Provincia de Neuquén; y/o </w:t>
      </w:r>
    </w:p>
    <w:p w14:paraId="4EAC0F35" w14:textId="77777777" w:rsidR="002F29B9" w:rsidRPr="00EA7870" w:rsidRDefault="002F29B9" w:rsidP="00B37C3D">
      <w:pPr>
        <w:ind w:left="709" w:right="-1"/>
        <w:jc w:val="both"/>
        <w:rPr>
          <w:color w:val="000000"/>
          <w:sz w:val="20"/>
          <w:szCs w:val="20"/>
          <w:lang w:val="es-AR"/>
        </w:rPr>
      </w:pPr>
    </w:p>
    <w:p w14:paraId="39D03208" w14:textId="77777777" w:rsidR="002F29B9" w:rsidRPr="00EA7870" w:rsidRDefault="00A90657" w:rsidP="00E2318E">
      <w:pPr>
        <w:numPr>
          <w:ilvl w:val="0"/>
          <w:numId w:val="12"/>
        </w:numPr>
        <w:ind w:left="709" w:right="-1" w:hanging="349"/>
        <w:jc w:val="both"/>
        <w:rPr>
          <w:color w:val="000000"/>
          <w:sz w:val="20"/>
          <w:szCs w:val="20"/>
          <w:lang w:val="es-AR"/>
        </w:rPr>
      </w:pPr>
      <w:r w:rsidRPr="00EA7870">
        <w:rPr>
          <w:color w:val="000000"/>
          <w:sz w:val="20"/>
          <w:szCs w:val="20"/>
          <w:lang w:val="es-AR"/>
        </w:rPr>
        <w:t>para la expansión, adquisición, construcción y/o mejoras de activos utilizados en su proceso de refinación de petróleo crudo, y mejoras en la red de distribución de productos refinados; y/o</w:t>
      </w:r>
      <w:r w:rsidR="00C90873" w:rsidRPr="00EA7870">
        <w:rPr>
          <w:color w:val="000000"/>
          <w:sz w:val="20"/>
          <w:szCs w:val="20"/>
          <w:lang w:val="es-AR"/>
        </w:rPr>
        <w:t xml:space="preserve"> </w:t>
      </w:r>
    </w:p>
    <w:p w14:paraId="031C2537" w14:textId="77777777" w:rsidR="002F29B9" w:rsidRPr="00EA7870" w:rsidRDefault="002F29B9" w:rsidP="00B37C3D">
      <w:pPr>
        <w:ind w:left="709" w:right="-1"/>
        <w:jc w:val="both"/>
        <w:rPr>
          <w:color w:val="000000"/>
          <w:sz w:val="20"/>
          <w:szCs w:val="20"/>
          <w:lang w:val="es-AR"/>
        </w:rPr>
      </w:pPr>
    </w:p>
    <w:p w14:paraId="69CC6D52" w14:textId="438FB8EC" w:rsidR="002F29B9" w:rsidRPr="00EA7870" w:rsidRDefault="002F29B9" w:rsidP="00E2318E">
      <w:pPr>
        <w:numPr>
          <w:ilvl w:val="0"/>
          <w:numId w:val="12"/>
        </w:numPr>
        <w:ind w:left="709" w:right="-1" w:hanging="349"/>
        <w:jc w:val="both"/>
        <w:rPr>
          <w:color w:val="000000"/>
          <w:sz w:val="20"/>
          <w:szCs w:val="20"/>
          <w:lang w:val="es-AR"/>
        </w:rPr>
      </w:pPr>
      <w:r w:rsidRPr="00EA7870">
        <w:rPr>
          <w:color w:val="000000"/>
          <w:sz w:val="20"/>
          <w:szCs w:val="20"/>
          <w:lang w:val="es-AR"/>
        </w:rPr>
        <w:t>para la refinanciación de deudas de la Emisora por aproximadamente US$100.591.653, las cuales incluyen: (</w:t>
      </w:r>
      <w:r w:rsidR="000A3596" w:rsidRPr="00EA7870">
        <w:rPr>
          <w:color w:val="000000"/>
          <w:sz w:val="20"/>
          <w:szCs w:val="20"/>
          <w:lang w:val="es-AR"/>
        </w:rPr>
        <w:t>i</w:t>
      </w:r>
      <w:r w:rsidRPr="00EA7870">
        <w:rPr>
          <w:color w:val="000000"/>
          <w:sz w:val="20"/>
          <w:szCs w:val="20"/>
          <w:lang w:val="es-AR"/>
        </w:rPr>
        <w:t xml:space="preserve">) </w:t>
      </w:r>
      <w:r w:rsidR="00B17B0C" w:rsidRPr="00EA7870">
        <w:rPr>
          <w:color w:val="000000"/>
          <w:sz w:val="20"/>
          <w:szCs w:val="20"/>
          <w:lang w:val="es-AR"/>
        </w:rPr>
        <w:t xml:space="preserve">un </w:t>
      </w:r>
      <w:r w:rsidRPr="00EA7870">
        <w:rPr>
          <w:color w:val="000000"/>
          <w:sz w:val="20"/>
          <w:szCs w:val="20"/>
          <w:lang w:val="es-AR"/>
        </w:rPr>
        <w:t>préstamo con HSBC Argentina S.A.</w:t>
      </w:r>
      <w:r w:rsidR="00B17B0C" w:rsidRPr="00EA7870">
        <w:rPr>
          <w:color w:val="000000"/>
          <w:sz w:val="20"/>
          <w:szCs w:val="20"/>
          <w:lang w:val="es-AR"/>
        </w:rPr>
        <w:t>,</w:t>
      </w:r>
      <w:r w:rsidRPr="00EA7870">
        <w:rPr>
          <w:color w:val="000000"/>
          <w:sz w:val="20"/>
          <w:szCs w:val="20"/>
          <w:lang w:val="es-AR"/>
        </w:rPr>
        <w:t xml:space="preserve"> de fecha 17 de agosto de 2018 por un monto de aproximadamente US$23.000.000; (ii) </w:t>
      </w:r>
      <w:r w:rsidR="00B17B0C" w:rsidRPr="00EA7870">
        <w:rPr>
          <w:color w:val="000000"/>
          <w:sz w:val="20"/>
          <w:szCs w:val="20"/>
          <w:lang w:val="es-AR"/>
        </w:rPr>
        <w:t xml:space="preserve">un </w:t>
      </w:r>
      <w:r w:rsidRPr="00EA7870">
        <w:rPr>
          <w:color w:val="000000"/>
          <w:sz w:val="20"/>
          <w:szCs w:val="20"/>
          <w:lang w:val="es-AR"/>
        </w:rPr>
        <w:t xml:space="preserve">préstamo con Corporación Financiera Internacional de fecha 30 de </w:t>
      </w:r>
      <w:r w:rsidR="00495E0A" w:rsidRPr="00EA7870">
        <w:rPr>
          <w:color w:val="000000"/>
          <w:sz w:val="20"/>
          <w:szCs w:val="20"/>
          <w:lang w:val="es-AR"/>
        </w:rPr>
        <w:t xml:space="preserve">julio </w:t>
      </w:r>
      <w:r w:rsidRPr="00EA7870">
        <w:rPr>
          <w:color w:val="000000"/>
          <w:sz w:val="20"/>
          <w:szCs w:val="20"/>
          <w:lang w:val="es-AR"/>
        </w:rPr>
        <w:t>de 2015</w:t>
      </w:r>
      <w:r w:rsidR="00B17B0C" w:rsidRPr="00EA7870">
        <w:rPr>
          <w:color w:val="000000"/>
          <w:sz w:val="20"/>
          <w:szCs w:val="20"/>
          <w:lang w:val="es-AR"/>
        </w:rPr>
        <w:t>,</w:t>
      </w:r>
      <w:r w:rsidRPr="00EA7870">
        <w:rPr>
          <w:color w:val="000000"/>
          <w:sz w:val="20"/>
          <w:szCs w:val="20"/>
          <w:lang w:val="es-AR"/>
        </w:rPr>
        <w:t xml:space="preserve"> por un monto de aproximadamente US$60.910.000; </w:t>
      </w:r>
      <w:r w:rsidR="002D1371">
        <w:rPr>
          <w:color w:val="000000"/>
          <w:sz w:val="20"/>
          <w:szCs w:val="20"/>
          <w:lang w:val="es-AR"/>
        </w:rPr>
        <w:t>y</w:t>
      </w:r>
      <w:r w:rsidRPr="00EA7870">
        <w:rPr>
          <w:color w:val="000000"/>
          <w:sz w:val="20"/>
          <w:szCs w:val="20"/>
          <w:lang w:val="es-AR"/>
        </w:rPr>
        <w:t xml:space="preserve"> (</w:t>
      </w:r>
      <w:r w:rsidR="00B17B0C" w:rsidRPr="00EA7870">
        <w:rPr>
          <w:color w:val="000000"/>
          <w:sz w:val="20"/>
          <w:szCs w:val="20"/>
          <w:lang w:val="es-AR"/>
        </w:rPr>
        <w:t>i</w:t>
      </w:r>
      <w:r w:rsidR="00C662D8">
        <w:rPr>
          <w:color w:val="000000"/>
          <w:sz w:val="20"/>
          <w:szCs w:val="20"/>
          <w:lang w:val="es-AR"/>
        </w:rPr>
        <w:t>ii</w:t>
      </w:r>
      <w:r w:rsidRPr="00EA7870">
        <w:rPr>
          <w:color w:val="000000"/>
          <w:sz w:val="20"/>
          <w:szCs w:val="20"/>
          <w:lang w:val="es-AR"/>
        </w:rPr>
        <w:t>) un préstamo con la Corporación Andina de Fomento de fecha 24 de enero de 2014, por un monto de aproximadamente US$3.571.432; y/o</w:t>
      </w:r>
    </w:p>
    <w:p w14:paraId="628AC16D" w14:textId="77777777" w:rsidR="002F29B9" w:rsidRPr="00EA7870" w:rsidRDefault="002F29B9" w:rsidP="00B37C3D">
      <w:pPr>
        <w:ind w:left="709" w:right="-1"/>
        <w:jc w:val="both"/>
        <w:rPr>
          <w:color w:val="000000"/>
          <w:sz w:val="20"/>
          <w:szCs w:val="20"/>
          <w:lang w:val="es-AR"/>
        </w:rPr>
      </w:pPr>
    </w:p>
    <w:p w14:paraId="002B4CE4" w14:textId="77777777" w:rsidR="00D954FD" w:rsidRPr="00EA7870" w:rsidRDefault="007D2CF2" w:rsidP="00E2318E">
      <w:pPr>
        <w:numPr>
          <w:ilvl w:val="0"/>
          <w:numId w:val="12"/>
        </w:numPr>
        <w:ind w:left="709" w:right="-1" w:hanging="349"/>
        <w:jc w:val="both"/>
        <w:rPr>
          <w:color w:val="000000"/>
          <w:sz w:val="20"/>
          <w:szCs w:val="20"/>
          <w:lang w:val="es-AR"/>
        </w:rPr>
      </w:pPr>
      <w:r w:rsidRPr="00EA7870">
        <w:rPr>
          <w:color w:val="000000"/>
          <w:sz w:val="20"/>
          <w:szCs w:val="20"/>
          <w:lang w:val="es-AR"/>
        </w:rPr>
        <w:t>p</w:t>
      </w:r>
      <w:r w:rsidR="00D954FD" w:rsidRPr="00EA7870">
        <w:rPr>
          <w:color w:val="000000"/>
          <w:sz w:val="20"/>
          <w:szCs w:val="20"/>
          <w:lang w:val="es-AR"/>
        </w:rPr>
        <w:t>ara la adquisición de participaciones sociales y/o financiamiento del giro comercial de su negocio; y/o</w:t>
      </w:r>
      <w:r w:rsidR="00D954FD" w:rsidRPr="00EA7870" w:rsidDel="00A36D9E">
        <w:rPr>
          <w:color w:val="000000"/>
          <w:sz w:val="20"/>
          <w:szCs w:val="20"/>
          <w:lang w:val="es-AR"/>
        </w:rPr>
        <w:t xml:space="preserve"> </w:t>
      </w:r>
    </w:p>
    <w:p w14:paraId="18317596" w14:textId="77777777" w:rsidR="00D954FD" w:rsidRPr="00EA7870" w:rsidRDefault="00D954FD" w:rsidP="001F69D8">
      <w:pPr>
        <w:ind w:left="709" w:right="-1"/>
        <w:jc w:val="both"/>
        <w:rPr>
          <w:color w:val="000000"/>
          <w:sz w:val="20"/>
          <w:szCs w:val="20"/>
          <w:lang w:val="es-AR"/>
        </w:rPr>
      </w:pPr>
    </w:p>
    <w:p w14:paraId="3C78BC28" w14:textId="77777777" w:rsidR="00B8322B" w:rsidRPr="00EA7870" w:rsidRDefault="007D2CF2" w:rsidP="00E2318E">
      <w:pPr>
        <w:numPr>
          <w:ilvl w:val="0"/>
          <w:numId w:val="12"/>
        </w:numPr>
        <w:ind w:left="709" w:right="-1" w:hanging="349"/>
        <w:jc w:val="both"/>
        <w:rPr>
          <w:color w:val="000000"/>
          <w:sz w:val="20"/>
          <w:szCs w:val="20"/>
          <w:lang w:val="es-AR"/>
        </w:rPr>
      </w:pPr>
      <w:r w:rsidRPr="00EA7870">
        <w:rPr>
          <w:color w:val="000000"/>
          <w:sz w:val="20"/>
          <w:szCs w:val="20"/>
          <w:lang w:val="es-AR"/>
        </w:rPr>
        <w:t>p</w:t>
      </w:r>
      <w:r w:rsidR="00B75B2F" w:rsidRPr="00EA7870">
        <w:rPr>
          <w:color w:val="000000"/>
          <w:sz w:val="20"/>
          <w:szCs w:val="20"/>
          <w:lang w:val="es-AR"/>
        </w:rPr>
        <w:t>ara la i</w:t>
      </w:r>
      <w:r w:rsidR="00A36D9E" w:rsidRPr="00EA7870">
        <w:rPr>
          <w:color w:val="000000"/>
          <w:sz w:val="20"/>
          <w:szCs w:val="20"/>
          <w:lang w:val="es-AR"/>
        </w:rPr>
        <w:t xml:space="preserve">ntegración de capital de trabajo en el país, entendiéndose como tal el activo corriente menos el pasivo corriente, incluyendo, el pago a proveedores por insumos y/o servicios prestados y el pago de otros pasivos operativos corrientes </w:t>
      </w:r>
      <w:r w:rsidR="00495E0A" w:rsidRPr="00EA7870">
        <w:rPr>
          <w:color w:val="000000"/>
          <w:sz w:val="20"/>
          <w:szCs w:val="20"/>
          <w:lang w:val="es-AR"/>
        </w:rPr>
        <w:t xml:space="preserve">u </w:t>
      </w:r>
      <w:r w:rsidR="00A36D9E" w:rsidRPr="00EA7870">
        <w:rPr>
          <w:color w:val="000000"/>
          <w:sz w:val="20"/>
          <w:szCs w:val="20"/>
          <w:lang w:val="es-AR"/>
        </w:rPr>
        <w:t>otro</w:t>
      </w:r>
      <w:r w:rsidR="003D1E26" w:rsidRPr="00EA7870">
        <w:rPr>
          <w:color w:val="000000"/>
          <w:sz w:val="20"/>
          <w:szCs w:val="20"/>
          <w:lang w:val="es-AR"/>
        </w:rPr>
        <w:t xml:space="preserve"> endeudamiento</w:t>
      </w:r>
      <w:r w:rsidR="00495E0A" w:rsidRPr="00EA7870">
        <w:rPr>
          <w:color w:val="000000"/>
          <w:sz w:val="20"/>
          <w:szCs w:val="20"/>
          <w:lang w:val="es-AR"/>
        </w:rPr>
        <w:t xml:space="preserve"> corriente</w:t>
      </w:r>
      <w:r w:rsidR="003D1E26" w:rsidRPr="00EA7870">
        <w:rPr>
          <w:color w:val="000000"/>
          <w:sz w:val="20"/>
          <w:szCs w:val="20"/>
          <w:lang w:val="es-AR"/>
        </w:rPr>
        <w:t>.</w:t>
      </w:r>
    </w:p>
    <w:p w14:paraId="7ED7295E" w14:textId="77777777" w:rsidR="00B8322B" w:rsidRPr="00EA7870" w:rsidRDefault="00B8322B" w:rsidP="00C24A62">
      <w:pPr>
        <w:pStyle w:val="Prrafodelista"/>
        <w:rPr>
          <w:color w:val="000000"/>
          <w:sz w:val="20"/>
          <w:szCs w:val="20"/>
        </w:rPr>
      </w:pPr>
    </w:p>
    <w:p w14:paraId="1F5B0192" w14:textId="77777777" w:rsidR="000753EF" w:rsidRPr="00EA7870" w:rsidRDefault="002D16D9" w:rsidP="00D402C2">
      <w:pPr>
        <w:jc w:val="both"/>
        <w:rPr>
          <w:color w:val="000000"/>
          <w:sz w:val="20"/>
          <w:szCs w:val="20"/>
        </w:rPr>
      </w:pPr>
      <w:r w:rsidRPr="00EA7870">
        <w:rPr>
          <w:color w:val="000000"/>
          <w:sz w:val="20"/>
          <w:szCs w:val="20"/>
        </w:rPr>
        <w:t xml:space="preserve">Pendiente la aplicación de fondos de acuerdo al correspondiente plan, los mismos podrán ser </w:t>
      </w:r>
      <w:r w:rsidRPr="00EA7870">
        <w:rPr>
          <w:color w:val="000000"/>
          <w:sz w:val="20"/>
          <w:szCs w:val="20"/>
          <w:lang w:val="es-AR"/>
        </w:rPr>
        <w:t xml:space="preserve">invertidos </w:t>
      </w:r>
      <w:r w:rsidRPr="00EA7870">
        <w:rPr>
          <w:color w:val="000000"/>
          <w:sz w:val="20"/>
          <w:szCs w:val="20"/>
        </w:rPr>
        <w:t>transitoriamente en valores negociables públicos y otras colocaciones a corto plazo.</w:t>
      </w:r>
      <w:r w:rsidR="00D954FD" w:rsidRPr="00EA7870">
        <w:rPr>
          <w:color w:val="000000"/>
          <w:sz w:val="20"/>
          <w:szCs w:val="20"/>
        </w:rPr>
        <w:t xml:space="preserve"> </w:t>
      </w:r>
    </w:p>
    <w:p w14:paraId="015812CA" w14:textId="77777777" w:rsidR="000753EF" w:rsidRPr="00EA7870" w:rsidRDefault="000753EF" w:rsidP="00D402C2">
      <w:pPr>
        <w:jc w:val="both"/>
        <w:rPr>
          <w:color w:val="000000"/>
          <w:sz w:val="20"/>
          <w:szCs w:val="20"/>
        </w:rPr>
      </w:pPr>
    </w:p>
    <w:p w14:paraId="2AD56D35" w14:textId="77777777" w:rsidR="00D402C2" w:rsidRPr="00EA7870" w:rsidRDefault="00D402C2" w:rsidP="00D402C2">
      <w:pPr>
        <w:jc w:val="both"/>
        <w:rPr>
          <w:color w:val="000000"/>
          <w:sz w:val="20"/>
          <w:szCs w:val="20"/>
        </w:rPr>
      </w:pPr>
      <w:r w:rsidRPr="00EA7870">
        <w:rPr>
          <w:color w:val="000000"/>
          <w:sz w:val="20"/>
          <w:szCs w:val="20"/>
        </w:rPr>
        <w:t>El destino y la asignación de los fondos netos obtenidos estarán influenciados por diversos factores ajenos a</w:t>
      </w:r>
      <w:r w:rsidR="00B17B0C" w:rsidRPr="00EA7870">
        <w:rPr>
          <w:color w:val="000000"/>
          <w:sz w:val="20"/>
          <w:szCs w:val="20"/>
        </w:rPr>
        <w:t>l</w:t>
      </w:r>
      <w:r w:rsidR="00222B52" w:rsidRPr="00EA7870">
        <w:rPr>
          <w:color w:val="000000"/>
          <w:sz w:val="20"/>
          <w:szCs w:val="20"/>
        </w:rPr>
        <w:t xml:space="preserve"> </w:t>
      </w:r>
      <w:r w:rsidRPr="00EA7870">
        <w:rPr>
          <w:color w:val="000000"/>
          <w:sz w:val="20"/>
          <w:szCs w:val="20"/>
        </w:rPr>
        <w:t>control</w:t>
      </w:r>
      <w:r w:rsidR="00B17B0C" w:rsidRPr="00EA7870">
        <w:rPr>
          <w:color w:val="000000"/>
          <w:sz w:val="20"/>
          <w:szCs w:val="20"/>
        </w:rPr>
        <w:t xml:space="preserve"> de la Emisora</w:t>
      </w:r>
      <w:r w:rsidRPr="00EA7870">
        <w:rPr>
          <w:color w:val="000000"/>
          <w:sz w:val="20"/>
          <w:szCs w:val="20"/>
        </w:rPr>
        <w:t xml:space="preserve">, incluyendo las condiciones económicas y del mercado financiero. Cualquier cambio de estos u otros factores podrían hacer necesario o conveniente que revisemos, a discreción, nuestros propósitos para el destino de los fondos netos obtenidos con la emisión. En consecuencia, podríamos modificar el destino de fondos arriba descripto, siempre dentro de los destinos previstos en el </w:t>
      </w:r>
      <w:r w:rsidR="00C112BF" w:rsidRPr="00EA7870">
        <w:rPr>
          <w:color w:val="000000"/>
          <w:sz w:val="20"/>
          <w:szCs w:val="20"/>
          <w:lang w:val="es-AR"/>
        </w:rPr>
        <w:t>Artículo 36 de la Ley de Obligaciones Negociables</w:t>
      </w:r>
      <w:r w:rsidRPr="00EA7870">
        <w:rPr>
          <w:color w:val="000000"/>
          <w:sz w:val="20"/>
          <w:szCs w:val="20"/>
        </w:rPr>
        <w:t>.</w:t>
      </w:r>
    </w:p>
    <w:p w14:paraId="58CB48F8" w14:textId="77777777" w:rsidR="00D402C2" w:rsidRPr="00EA7870" w:rsidRDefault="00D402C2" w:rsidP="00D402C2">
      <w:pPr>
        <w:jc w:val="both"/>
        <w:rPr>
          <w:color w:val="000000"/>
          <w:sz w:val="20"/>
          <w:szCs w:val="20"/>
        </w:rPr>
      </w:pPr>
    </w:p>
    <w:p w14:paraId="09BB38B6" w14:textId="77777777" w:rsidR="00D402C2" w:rsidRPr="00EA7870" w:rsidRDefault="00D402C2" w:rsidP="00D402C2">
      <w:pPr>
        <w:jc w:val="both"/>
        <w:rPr>
          <w:color w:val="000000"/>
          <w:sz w:val="20"/>
          <w:szCs w:val="20"/>
        </w:rPr>
      </w:pPr>
      <w:r w:rsidRPr="00EA7870">
        <w:rPr>
          <w:color w:val="000000"/>
          <w:sz w:val="20"/>
          <w:szCs w:val="20"/>
        </w:rPr>
        <w:t>La efectiva aplicación de los fondos será oportunamente informada y certificada a la CNV de conformidad con las Normas de la CNV.</w:t>
      </w:r>
    </w:p>
    <w:p w14:paraId="6E7B5B68" w14:textId="77777777" w:rsidR="002D16D9" w:rsidRPr="00EA7870" w:rsidRDefault="00A36D9E" w:rsidP="002D16D9">
      <w:pPr>
        <w:rPr>
          <w:color w:val="1F497D"/>
          <w:sz w:val="20"/>
          <w:szCs w:val="20"/>
          <w:lang w:val="es-AR"/>
        </w:rPr>
      </w:pPr>
      <w:r w:rsidRPr="00EA7870">
        <w:rPr>
          <w:color w:val="1F497D"/>
          <w:sz w:val="20"/>
          <w:szCs w:val="20"/>
          <w:lang w:val="es-AR"/>
        </w:rPr>
        <w:br w:type="page"/>
      </w:r>
    </w:p>
    <w:p w14:paraId="0D6E94F4" w14:textId="77777777" w:rsidR="00B530EF" w:rsidRPr="00EA7870" w:rsidRDefault="00B530EF" w:rsidP="002D1221">
      <w:pPr>
        <w:pStyle w:val="Ttulo1"/>
        <w:jc w:val="center"/>
        <w:rPr>
          <w:rFonts w:ascii="Times New Roman" w:hAnsi="Times New Roman"/>
          <w:b w:val="0"/>
          <w:sz w:val="20"/>
          <w:lang w:val="es-AR"/>
        </w:rPr>
      </w:pPr>
      <w:bookmarkStart w:id="115" w:name="_Toc245729502"/>
      <w:bookmarkStart w:id="116" w:name="_Toc337141366"/>
      <w:bookmarkStart w:id="117" w:name="_Toc24360367"/>
      <w:bookmarkStart w:id="118" w:name="_Toc24363272"/>
      <w:r w:rsidRPr="00EA7870">
        <w:rPr>
          <w:rFonts w:ascii="Times New Roman" w:hAnsi="Times New Roman"/>
          <w:sz w:val="20"/>
          <w:lang w:val="es-AR"/>
        </w:rPr>
        <w:lastRenderedPageBreak/>
        <w:t>CALIFICACIÓN DE RIESGO</w:t>
      </w:r>
      <w:bookmarkEnd w:id="115"/>
      <w:bookmarkEnd w:id="116"/>
      <w:bookmarkEnd w:id="117"/>
      <w:bookmarkEnd w:id="118"/>
    </w:p>
    <w:p w14:paraId="665504F8" w14:textId="77777777" w:rsidR="00862B7B" w:rsidRPr="00EA7870" w:rsidRDefault="00862B7B" w:rsidP="00C07790">
      <w:pPr>
        <w:jc w:val="center"/>
        <w:rPr>
          <w:b/>
          <w:sz w:val="20"/>
          <w:szCs w:val="20"/>
          <w:lang w:val="es-AR"/>
        </w:rPr>
      </w:pPr>
    </w:p>
    <w:p w14:paraId="66AC7E00" w14:textId="77777777" w:rsidR="00642607" w:rsidRPr="00EA7870" w:rsidRDefault="00FD4F23" w:rsidP="007C2463">
      <w:pPr>
        <w:pStyle w:val="Textoindependiente3"/>
        <w:rPr>
          <w:color w:val="000000"/>
          <w:sz w:val="20"/>
          <w:lang w:val="es-AR" w:bidi="he-IL"/>
        </w:rPr>
      </w:pPr>
      <w:r w:rsidRPr="00EA7870">
        <w:rPr>
          <w:sz w:val="20"/>
          <w:lang w:val="es-AR"/>
        </w:rPr>
        <w:t xml:space="preserve">El Programa no cuenta con una calificación de riesgo. </w:t>
      </w:r>
      <w:r w:rsidR="00E426A3" w:rsidRPr="00EA7870">
        <w:rPr>
          <w:sz w:val="20"/>
          <w:lang w:val="es-AR"/>
        </w:rPr>
        <w:t xml:space="preserve">Las Obligaciones Negociables no cuentan con calificación de riesgo local. </w:t>
      </w:r>
      <w:r w:rsidR="00642607" w:rsidRPr="00EA7870">
        <w:rPr>
          <w:color w:val="000000"/>
          <w:sz w:val="20"/>
          <w:lang w:val="es-AR" w:bidi="he-IL"/>
        </w:rPr>
        <w:t xml:space="preserve">A nivel internacional, </w:t>
      </w:r>
      <w:r w:rsidRPr="00EA7870">
        <w:rPr>
          <w:color w:val="000000"/>
          <w:sz w:val="20"/>
          <w:lang w:val="es-AR" w:bidi="he-IL"/>
        </w:rPr>
        <w:t>la calificaci</w:t>
      </w:r>
      <w:r w:rsidR="009F5219" w:rsidRPr="00EA7870">
        <w:rPr>
          <w:color w:val="000000"/>
          <w:sz w:val="20"/>
          <w:lang w:val="es-AR" w:bidi="he-IL"/>
        </w:rPr>
        <w:t>ón</w:t>
      </w:r>
      <w:r w:rsidRPr="00EA7870">
        <w:rPr>
          <w:color w:val="000000"/>
          <w:sz w:val="20"/>
          <w:lang w:val="es-AR" w:bidi="he-IL"/>
        </w:rPr>
        <w:t xml:space="preserve"> de riesgo de las Obligaciones Negociables </w:t>
      </w:r>
      <w:r w:rsidR="00642607" w:rsidRPr="00EA7870">
        <w:rPr>
          <w:color w:val="000000"/>
          <w:sz w:val="20"/>
          <w:lang w:val="es-AR" w:bidi="he-IL"/>
        </w:rPr>
        <w:t>será oportunamente informada</w:t>
      </w:r>
      <w:r w:rsidR="00B25D39" w:rsidRPr="00EA7870">
        <w:rPr>
          <w:color w:val="000000"/>
          <w:sz w:val="20"/>
          <w:lang w:val="es-AR" w:bidi="he-IL"/>
        </w:rPr>
        <w:t>, de existir,</w:t>
      </w:r>
      <w:r w:rsidR="00642607" w:rsidRPr="00EA7870">
        <w:rPr>
          <w:color w:val="000000"/>
          <w:sz w:val="20"/>
          <w:lang w:val="es-AR" w:bidi="he-IL"/>
        </w:rPr>
        <w:t xml:space="preserve"> </w:t>
      </w:r>
      <w:r w:rsidR="00512C74" w:rsidRPr="00EA7870">
        <w:rPr>
          <w:color w:val="000000"/>
          <w:sz w:val="20"/>
          <w:lang w:val="es-AR" w:bidi="he-IL"/>
        </w:rPr>
        <w:t>a través de un aviso complementario a este Suplemento.</w:t>
      </w:r>
      <w:r w:rsidR="0005451E" w:rsidRPr="00EA7870">
        <w:rPr>
          <w:color w:val="000000"/>
          <w:sz w:val="20"/>
          <w:lang w:val="es-AR" w:bidi="he-IL"/>
        </w:rPr>
        <w:t xml:space="preserve"> </w:t>
      </w:r>
    </w:p>
    <w:p w14:paraId="026AB306" w14:textId="77777777" w:rsidR="00AA46FF" w:rsidRPr="00EA7870" w:rsidRDefault="00AA46FF" w:rsidP="00642607">
      <w:pPr>
        <w:pStyle w:val="Textoindependiente3"/>
        <w:rPr>
          <w:color w:val="000000"/>
          <w:sz w:val="20"/>
          <w:lang w:val="es-AR" w:bidi="he-IL"/>
        </w:rPr>
      </w:pPr>
    </w:p>
    <w:p w14:paraId="5262ABAB" w14:textId="77777777" w:rsidR="006D42A4" w:rsidRPr="00EA7870" w:rsidRDefault="006D42A4" w:rsidP="006D42A4">
      <w:pPr>
        <w:pStyle w:val="Textoindependiente3"/>
        <w:rPr>
          <w:sz w:val="20"/>
          <w:lang w:val="es-AR"/>
        </w:rPr>
      </w:pPr>
      <w:r w:rsidRPr="00EA7870">
        <w:rPr>
          <w:sz w:val="20"/>
          <w:lang w:val="es-AR"/>
        </w:rPr>
        <w:t>Tal</w:t>
      </w:r>
      <w:r w:rsidR="0041345E" w:rsidRPr="00EA7870">
        <w:rPr>
          <w:sz w:val="20"/>
          <w:lang w:val="es-AR"/>
        </w:rPr>
        <w:t>es</w:t>
      </w:r>
      <w:r w:rsidRPr="00EA7870">
        <w:rPr>
          <w:sz w:val="20"/>
          <w:lang w:val="es-AR"/>
        </w:rPr>
        <w:t xml:space="preserve"> calificaci</w:t>
      </w:r>
      <w:r w:rsidR="0041345E" w:rsidRPr="00EA7870">
        <w:rPr>
          <w:sz w:val="20"/>
          <w:lang w:val="es-AR"/>
        </w:rPr>
        <w:t>o</w:t>
      </w:r>
      <w:r w:rsidR="00F3459D" w:rsidRPr="00EA7870">
        <w:rPr>
          <w:sz w:val="20"/>
          <w:lang w:val="es-AR"/>
        </w:rPr>
        <w:t>n</w:t>
      </w:r>
      <w:r w:rsidR="0041345E" w:rsidRPr="00EA7870">
        <w:rPr>
          <w:sz w:val="20"/>
          <w:lang w:val="es-AR"/>
        </w:rPr>
        <w:t>es</w:t>
      </w:r>
      <w:r w:rsidR="00F3459D" w:rsidRPr="00EA7870">
        <w:rPr>
          <w:sz w:val="20"/>
          <w:lang w:val="es-AR"/>
        </w:rPr>
        <w:t xml:space="preserve"> de riesgo </w:t>
      </w:r>
      <w:r w:rsidRPr="00EA7870">
        <w:rPr>
          <w:sz w:val="20"/>
          <w:lang w:val="es-AR"/>
        </w:rPr>
        <w:t>podría</w:t>
      </w:r>
      <w:r w:rsidR="0041345E" w:rsidRPr="00EA7870">
        <w:rPr>
          <w:sz w:val="20"/>
          <w:lang w:val="es-AR"/>
        </w:rPr>
        <w:t>n</w:t>
      </w:r>
      <w:r w:rsidRPr="00EA7870">
        <w:rPr>
          <w:sz w:val="20"/>
          <w:lang w:val="es-AR"/>
        </w:rPr>
        <w:t xml:space="preserve"> ser modificada</w:t>
      </w:r>
      <w:r w:rsidR="0041345E" w:rsidRPr="00EA7870">
        <w:rPr>
          <w:sz w:val="20"/>
          <w:lang w:val="es-AR"/>
        </w:rPr>
        <w:t>s</w:t>
      </w:r>
      <w:r w:rsidRPr="00EA7870">
        <w:rPr>
          <w:sz w:val="20"/>
          <w:lang w:val="es-AR"/>
        </w:rPr>
        <w:t>, suspendida</w:t>
      </w:r>
      <w:r w:rsidR="0041345E" w:rsidRPr="00EA7870">
        <w:rPr>
          <w:sz w:val="20"/>
          <w:lang w:val="es-AR"/>
        </w:rPr>
        <w:t>s</w:t>
      </w:r>
      <w:r w:rsidRPr="00EA7870">
        <w:rPr>
          <w:sz w:val="20"/>
          <w:lang w:val="es-AR"/>
        </w:rPr>
        <w:t xml:space="preserve"> o revocada</w:t>
      </w:r>
      <w:r w:rsidR="0041345E" w:rsidRPr="00EA7870">
        <w:rPr>
          <w:sz w:val="20"/>
          <w:lang w:val="es-AR"/>
        </w:rPr>
        <w:t>s</w:t>
      </w:r>
      <w:r w:rsidRPr="00EA7870">
        <w:rPr>
          <w:sz w:val="20"/>
          <w:lang w:val="es-AR"/>
        </w:rPr>
        <w:t xml:space="preserve"> en cualquier momento. </w:t>
      </w:r>
    </w:p>
    <w:p w14:paraId="2E60ABB2" w14:textId="77777777" w:rsidR="006D42A4" w:rsidRPr="00EA7870" w:rsidRDefault="006D42A4" w:rsidP="006D42A4">
      <w:pPr>
        <w:pStyle w:val="Textoindependiente3"/>
        <w:rPr>
          <w:sz w:val="20"/>
          <w:lang w:val="es-AR"/>
        </w:rPr>
      </w:pPr>
    </w:p>
    <w:p w14:paraId="4DA79DB6" w14:textId="77777777" w:rsidR="006D42A4" w:rsidRPr="00EA7870" w:rsidRDefault="006D42A4" w:rsidP="006D42A4">
      <w:pPr>
        <w:pStyle w:val="Textoindependiente3"/>
        <w:rPr>
          <w:sz w:val="20"/>
          <w:lang w:val="es-AR"/>
        </w:rPr>
      </w:pPr>
      <w:r w:rsidRPr="00EA7870">
        <w:rPr>
          <w:sz w:val="20"/>
          <w:lang w:val="es-AR"/>
        </w:rPr>
        <w:t>La calificación de riesgo en ningún caso constituye una recomendación para comprar, mantener o vender las Obligaciones Negociables.</w:t>
      </w:r>
    </w:p>
    <w:p w14:paraId="325A24FC" w14:textId="77777777" w:rsidR="006D42A4" w:rsidRPr="00EA7870" w:rsidRDefault="006D42A4" w:rsidP="006D42A4">
      <w:pPr>
        <w:pStyle w:val="Textoindependiente3"/>
        <w:rPr>
          <w:sz w:val="20"/>
          <w:lang w:val="es-AR"/>
        </w:rPr>
      </w:pPr>
    </w:p>
    <w:p w14:paraId="4749B788" w14:textId="77777777" w:rsidR="00F94EF2" w:rsidRPr="00EA7870" w:rsidRDefault="00F94EF2">
      <w:pPr>
        <w:rPr>
          <w:sz w:val="20"/>
          <w:szCs w:val="20"/>
          <w:lang w:val="es-AR"/>
        </w:rPr>
      </w:pPr>
      <w:r w:rsidRPr="00EA7870">
        <w:rPr>
          <w:sz w:val="20"/>
          <w:szCs w:val="20"/>
          <w:lang w:val="es-AR"/>
        </w:rPr>
        <w:br w:type="page"/>
      </w:r>
    </w:p>
    <w:p w14:paraId="7212AA07" w14:textId="77777777" w:rsidR="00B530EF" w:rsidRPr="00EA7870" w:rsidRDefault="00B530EF" w:rsidP="004A5A75">
      <w:pPr>
        <w:pStyle w:val="Ttulo1"/>
        <w:spacing w:before="0" w:after="0"/>
        <w:jc w:val="center"/>
        <w:rPr>
          <w:rFonts w:ascii="Times New Roman" w:hAnsi="Times New Roman"/>
          <w:sz w:val="20"/>
          <w:lang w:val="es-AR"/>
        </w:rPr>
      </w:pPr>
      <w:bookmarkStart w:id="119" w:name="_Toc24360368"/>
      <w:bookmarkStart w:id="120" w:name="_Toc24363273"/>
      <w:r w:rsidRPr="00EA7870">
        <w:rPr>
          <w:rFonts w:ascii="Times New Roman" w:hAnsi="Times New Roman"/>
          <w:sz w:val="20"/>
          <w:lang w:val="es-AR"/>
        </w:rPr>
        <w:lastRenderedPageBreak/>
        <w:t>DESCRIPCIÓN DE LAS OBLIGACIONES NEGOCIABLES</w:t>
      </w:r>
      <w:bookmarkEnd w:id="119"/>
      <w:bookmarkEnd w:id="120"/>
    </w:p>
    <w:p w14:paraId="5111D5A3" w14:textId="77777777" w:rsidR="00F94EF2" w:rsidRPr="00EA7870" w:rsidRDefault="00F94EF2" w:rsidP="004A5A75">
      <w:pPr>
        <w:rPr>
          <w:sz w:val="20"/>
          <w:szCs w:val="20"/>
          <w:lang w:val="es-AR"/>
        </w:rPr>
      </w:pPr>
    </w:p>
    <w:p w14:paraId="343DBB3D" w14:textId="77777777" w:rsidR="00376725" w:rsidRPr="00EA7870" w:rsidRDefault="00376725" w:rsidP="00F94EF2">
      <w:pPr>
        <w:pStyle w:val="BodyText2Sgl"/>
        <w:autoSpaceDE/>
        <w:adjustRightInd/>
        <w:jc w:val="both"/>
        <w:rPr>
          <w:rFonts w:ascii="Times New Roman" w:eastAsia="Calibri" w:hAnsi="Times New Roman"/>
          <w:i/>
          <w:sz w:val="20"/>
          <w:szCs w:val="20"/>
          <w:lang w:val="es-AR" w:eastAsia="en-US"/>
        </w:rPr>
      </w:pPr>
      <w:r w:rsidRPr="00EA7870">
        <w:rPr>
          <w:rFonts w:ascii="Times New Roman" w:eastAsia="Calibri" w:hAnsi="Times New Roman"/>
          <w:i/>
          <w:sz w:val="20"/>
          <w:szCs w:val="20"/>
          <w:lang w:val="es-AR" w:eastAsia="en-US"/>
        </w:rPr>
        <w:t xml:space="preserve">El siguiente es un resumen de los principales términos y condiciones de las Obligaciones Negociables y el Contrato de Fideicomiso (conforme se define a continuación) que las rige. Debido a que es un resumen es posible que no contenga toda la información que puede ser importante para el inversor. El siguiente resumen está condicionado en su totalidad por referencia a las Obligaciones Negociables y al Contrato de Fideicomiso. El inversor debe leer el Contrato de Fideicomiso en su totalidad. Los inversores pueden obtener una copia del Contrato de Fideicomiso del modo descripto en la sección “Información disponible” en el presente </w:t>
      </w:r>
      <w:r w:rsidR="00D94242" w:rsidRPr="00EA7870">
        <w:rPr>
          <w:rFonts w:ascii="Times New Roman" w:eastAsia="Calibri" w:hAnsi="Times New Roman"/>
          <w:i/>
          <w:sz w:val="20"/>
          <w:szCs w:val="20"/>
          <w:lang w:val="es-AR" w:eastAsia="en-US"/>
        </w:rPr>
        <w:t>Suplemento</w:t>
      </w:r>
      <w:r w:rsidRPr="00EA7870">
        <w:rPr>
          <w:rFonts w:ascii="Times New Roman" w:eastAsia="Calibri" w:hAnsi="Times New Roman"/>
          <w:i/>
          <w:sz w:val="20"/>
          <w:szCs w:val="20"/>
          <w:lang w:val="es-AR" w:eastAsia="en-US"/>
        </w:rPr>
        <w:t xml:space="preserve">. </w:t>
      </w:r>
    </w:p>
    <w:p w14:paraId="3F44D1A7" w14:textId="77777777" w:rsidR="00F94EF2" w:rsidRPr="00EA7870" w:rsidRDefault="00F94EF2" w:rsidP="004A5A75">
      <w:pPr>
        <w:pStyle w:val="BodyText2Sgl"/>
        <w:autoSpaceDE/>
        <w:adjustRightInd/>
        <w:jc w:val="both"/>
        <w:rPr>
          <w:rFonts w:ascii="Times New Roman" w:eastAsia="Calibri" w:hAnsi="Times New Roman"/>
          <w:i/>
          <w:sz w:val="20"/>
          <w:szCs w:val="20"/>
          <w:lang w:val="es-AR" w:eastAsia="en-US"/>
        </w:rPr>
      </w:pPr>
    </w:p>
    <w:p w14:paraId="4E2BB9E0" w14:textId="77777777" w:rsidR="00376725" w:rsidRPr="00EA7870" w:rsidRDefault="00376725" w:rsidP="00376725">
      <w:pPr>
        <w:pStyle w:val="BodyText2Sgl"/>
        <w:autoSpaceDE/>
        <w:adjustRightInd/>
        <w:spacing w:after="240"/>
        <w:jc w:val="both"/>
        <w:rPr>
          <w:rFonts w:ascii="Times New Roman" w:eastAsia="Calibri" w:hAnsi="Times New Roman"/>
          <w:sz w:val="20"/>
          <w:szCs w:val="20"/>
          <w:lang w:val="es-AR" w:eastAsia="en-US"/>
        </w:rPr>
      </w:pPr>
      <w:r w:rsidRPr="00EA7870">
        <w:rPr>
          <w:rFonts w:ascii="Times New Roman" w:eastAsia="Calibri" w:hAnsi="Times New Roman"/>
          <w:sz w:val="20"/>
          <w:szCs w:val="20"/>
          <w:lang w:val="es-AR" w:eastAsia="en-US"/>
        </w:rPr>
        <w:t xml:space="preserve">En esta </w:t>
      </w:r>
      <w:r w:rsidR="00E55132" w:rsidRPr="00EA7870">
        <w:rPr>
          <w:rFonts w:ascii="Times New Roman" w:eastAsia="Calibri" w:hAnsi="Times New Roman"/>
          <w:sz w:val="20"/>
          <w:szCs w:val="20"/>
          <w:lang w:val="es-AR" w:eastAsia="en-US"/>
        </w:rPr>
        <w:t xml:space="preserve">descripción </w:t>
      </w:r>
      <w:r w:rsidRPr="00EA7870">
        <w:rPr>
          <w:rFonts w:ascii="Times New Roman" w:eastAsia="Calibri" w:hAnsi="Times New Roman"/>
          <w:sz w:val="20"/>
          <w:szCs w:val="20"/>
          <w:lang w:val="es-AR" w:eastAsia="en-US"/>
        </w:rPr>
        <w:t>de las Obligaciones Negociables, la “Emisora” se refiere a Pan American Energy</w:t>
      </w:r>
      <w:r w:rsidR="0054529F" w:rsidRPr="00EA7870">
        <w:rPr>
          <w:rFonts w:ascii="Times New Roman" w:eastAsia="Calibri" w:hAnsi="Times New Roman"/>
          <w:sz w:val="20"/>
          <w:szCs w:val="20"/>
          <w:lang w:val="es-AR" w:eastAsia="en-US"/>
        </w:rPr>
        <w:t>, S.L.</w:t>
      </w:r>
      <w:r w:rsidRPr="00EA7870">
        <w:rPr>
          <w:rFonts w:ascii="Times New Roman" w:eastAsia="Calibri" w:hAnsi="Times New Roman"/>
          <w:sz w:val="20"/>
          <w:szCs w:val="20"/>
          <w:lang w:val="es-AR" w:eastAsia="en-US"/>
        </w:rPr>
        <w:t>, Sucursal Argentina, y la “Garante” se refiere a Pan American Energy</w:t>
      </w:r>
      <w:r w:rsidR="0054529F" w:rsidRPr="00EA7870">
        <w:rPr>
          <w:rFonts w:ascii="Times New Roman" w:eastAsia="Calibri" w:hAnsi="Times New Roman"/>
          <w:sz w:val="20"/>
          <w:szCs w:val="20"/>
          <w:lang w:val="es-AR" w:eastAsia="en-US"/>
        </w:rPr>
        <w:t>, S.L.</w:t>
      </w:r>
      <w:r w:rsidRPr="00EA7870">
        <w:rPr>
          <w:rFonts w:ascii="Times New Roman" w:eastAsia="Calibri" w:hAnsi="Times New Roman"/>
          <w:sz w:val="20"/>
          <w:szCs w:val="20"/>
          <w:lang w:val="es-AR" w:eastAsia="en-US"/>
        </w:rPr>
        <w:t xml:space="preserve"> (</w:t>
      </w:r>
      <w:r w:rsidR="0054529F" w:rsidRPr="00EA7870">
        <w:rPr>
          <w:rFonts w:ascii="Times New Roman" w:eastAsia="Calibri" w:hAnsi="Times New Roman"/>
          <w:sz w:val="20"/>
          <w:szCs w:val="20"/>
          <w:lang w:val="es-AR" w:eastAsia="en-US"/>
        </w:rPr>
        <w:t>Madrid, Reino de España</w:t>
      </w:r>
      <w:r w:rsidRPr="00EA7870">
        <w:rPr>
          <w:rFonts w:ascii="Times New Roman" w:eastAsia="Calibri" w:hAnsi="Times New Roman"/>
          <w:sz w:val="20"/>
          <w:szCs w:val="20"/>
          <w:lang w:val="es-AR" w:eastAsia="en-US"/>
        </w:rPr>
        <w:t>), excluyendo a sus subsidiarias. Las definiciones de ciertos términos utilizados en esta descripción se encuentran bajo el título “</w:t>
      </w:r>
      <w:r w:rsidRPr="00EA7870">
        <w:rPr>
          <w:rFonts w:ascii="Times New Roman" w:eastAsia="Calibri" w:hAnsi="Times New Roman"/>
          <w:i/>
          <w:sz w:val="20"/>
          <w:szCs w:val="20"/>
          <w:lang w:val="es-AR" w:eastAsia="en-US"/>
        </w:rPr>
        <w:t>—Ciertas definiciones</w:t>
      </w:r>
      <w:r w:rsidRPr="00EA7870">
        <w:rPr>
          <w:rFonts w:ascii="Times New Roman" w:eastAsia="Calibri" w:hAnsi="Times New Roman"/>
          <w:sz w:val="20"/>
          <w:szCs w:val="20"/>
          <w:lang w:val="es-AR" w:eastAsia="en-US"/>
        </w:rPr>
        <w:t>”.</w:t>
      </w:r>
    </w:p>
    <w:p w14:paraId="7E86A7C7" w14:textId="77777777" w:rsidR="00376725" w:rsidRPr="00EA7870" w:rsidRDefault="00376725" w:rsidP="00390488">
      <w:pPr>
        <w:pStyle w:val="BodyText2Sgl"/>
        <w:autoSpaceDE/>
        <w:adjustRightInd/>
        <w:spacing w:after="240"/>
        <w:jc w:val="both"/>
        <w:rPr>
          <w:rFonts w:ascii="Times New Roman" w:eastAsia="Calibri" w:hAnsi="Times New Roman"/>
          <w:sz w:val="20"/>
          <w:szCs w:val="20"/>
          <w:lang w:val="es-AR" w:eastAsia="en-US"/>
        </w:rPr>
      </w:pPr>
      <w:r w:rsidRPr="00EA7870">
        <w:rPr>
          <w:rFonts w:ascii="Times New Roman" w:hAnsi="Times New Roman"/>
          <w:sz w:val="20"/>
          <w:szCs w:val="20"/>
          <w:lang w:val="es-AR" w:eastAsia="en-US"/>
        </w:rPr>
        <w:t>Las Obligaciones Negociables se emitirán bajo, y se regirán en virtud de, el Contrato de Fideicomiso (el “</w:t>
      </w:r>
      <w:r w:rsidRPr="00EA7870">
        <w:rPr>
          <w:rFonts w:ascii="Times New Roman" w:hAnsi="Times New Roman"/>
          <w:b/>
          <w:sz w:val="20"/>
          <w:szCs w:val="20"/>
          <w:lang w:val="es-AR" w:eastAsia="en-US"/>
        </w:rPr>
        <w:t>Contrato de Fideicomiso</w:t>
      </w:r>
      <w:r w:rsidRPr="00EA7870">
        <w:rPr>
          <w:rFonts w:ascii="Times New Roman" w:hAnsi="Times New Roman"/>
          <w:sz w:val="20"/>
          <w:szCs w:val="20"/>
          <w:lang w:val="es-AR" w:eastAsia="en-US"/>
        </w:rPr>
        <w:t>”) a ser celebrado entre la Emisora, The Bank of New York Mellon, como agente fiduciario</w:t>
      </w:r>
      <w:r w:rsidR="00D94242" w:rsidRPr="00EA7870">
        <w:rPr>
          <w:rFonts w:ascii="Times New Roman" w:hAnsi="Times New Roman"/>
          <w:sz w:val="20"/>
          <w:szCs w:val="20"/>
          <w:lang w:val="es-AR" w:eastAsia="en-US"/>
        </w:rPr>
        <w:t xml:space="preserve"> (el “</w:t>
      </w:r>
      <w:r w:rsidR="00D94242" w:rsidRPr="00EA7870">
        <w:rPr>
          <w:rFonts w:ascii="Times New Roman" w:hAnsi="Times New Roman"/>
          <w:b/>
          <w:sz w:val="20"/>
          <w:szCs w:val="20"/>
          <w:lang w:val="es-AR" w:eastAsia="en-US"/>
        </w:rPr>
        <w:t>Agente Fiduciario</w:t>
      </w:r>
      <w:r w:rsidR="00D94242" w:rsidRPr="00EA7870">
        <w:rPr>
          <w:rFonts w:ascii="Times New Roman" w:hAnsi="Times New Roman"/>
          <w:sz w:val="20"/>
          <w:szCs w:val="20"/>
          <w:lang w:val="es-AR" w:eastAsia="en-US"/>
        </w:rPr>
        <w:t>”)</w:t>
      </w:r>
      <w:r w:rsidRPr="00EA7870">
        <w:rPr>
          <w:rFonts w:ascii="Times New Roman" w:hAnsi="Times New Roman"/>
          <w:sz w:val="20"/>
          <w:szCs w:val="20"/>
          <w:lang w:val="es-AR" w:eastAsia="en-US"/>
        </w:rPr>
        <w:t>, agente de registro, agente de transferencia y agente de pago</w:t>
      </w:r>
      <w:r w:rsidR="00495E0A" w:rsidRPr="00EA7870">
        <w:rPr>
          <w:rFonts w:ascii="Times New Roman" w:hAnsi="Times New Roman"/>
          <w:sz w:val="20"/>
          <w:szCs w:val="20"/>
          <w:lang w:val="es-AR" w:eastAsia="en-US"/>
        </w:rPr>
        <w:t xml:space="preserve"> de Nueva York</w:t>
      </w:r>
      <w:r w:rsidRPr="00EA7870">
        <w:rPr>
          <w:rFonts w:ascii="Times New Roman" w:eastAsia="Calibri" w:hAnsi="Times New Roman"/>
          <w:sz w:val="20"/>
          <w:szCs w:val="20"/>
          <w:lang w:val="es-AR" w:eastAsia="en-US"/>
        </w:rPr>
        <w:t>.</w:t>
      </w:r>
    </w:p>
    <w:p w14:paraId="0EDF8298" w14:textId="77777777" w:rsidR="00376725" w:rsidRPr="00EA7870" w:rsidRDefault="00376725" w:rsidP="00390488">
      <w:pPr>
        <w:pStyle w:val="BodyText2Sgl"/>
        <w:autoSpaceDE/>
        <w:adjustRightInd/>
        <w:spacing w:after="240"/>
        <w:jc w:val="both"/>
        <w:rPr>
          <w:rFonts w:ascii="Times New Roman" w:eastAsia="Calibri" w:hAnsi="Times New Roman"/>
          <w:sz w:val="20"/>
          <w:szCs w:val="20"/>
          <w:lang w:val="es-AR"/>
        </w:rPr>
      </w:pPr>
      <w:r w:rsidRPr="00EA7870">
        <w:rPr>
          <w:rFonts w:ascii="Times New Roman" w:eastAsia="Calibri" w:hAnsi="Times New Roman"/>
          <w:sz w:val="20"/>
          <w:szCs w:val="20"/>
          <w:lang w:val="es-AR" w:eastAsia="en-US"/>
        </w:rPr>
        <w:t xml:space="preserve">Las Obligaciones Negociables constituirán obligaciones negociables simples no convertibles en </w:t>
      </w:r>
      <w:r w:rsidR="00810ECF" w:rsidRPr="00EA7870">
        <w:rPr>
          <w:rFonts w:ascii="Times New Roman" w:eastAsia="Calibri" w:hAnsi="Times New Roman"/>
          <w:sz w:val="20"/>
          <w:szCs w:val="20"/>
          <w:lang w:val="es-AR" w:eastAsia="en-US"/>
        </w:rPr>
        <w:t xml:space="preserve">acciones en </w:t>
      </w:r>
      <w:r w:rsidRPr="00EA7870">
        <w:rPr>
          <w:rFonts w:ascii="Times New Roman" w:eastAsia="Calibri" w:hAnsi="Times New Roman"/>
          <w:sz w:val="20"/>
          <w:szCs w:val="20"/>
          <w:lang w:val="es-AR" w:eastAsia="en-US"/>
        </w:rPr>
        <w:t xml:space="preserve">virtud de la Ley de Obligaciones Negociables, gozarán de los beneficios y estarán sujetas a los requisitos procesales previstos en dicha normativa, y se emitirán y colocarán de acuerdo con la citada ley, la Ley de Mercado de Capitales, las Normas de la CNV y demás normativa aplicable en la Argentina. </w:t>
      </w:r>
    </w:p>
    <w:p w14:paraId="2FA1BA17" w14:textId="192C4E3B" w:rsidR="000E2E50" w:rsidRPr="00EA7870" w:rsidRDefault="000E2E50" w:rsidP="00390488">
      <w:pPr>
        <w:pStyle w:val="BodyText2Sgl"/>
        <w:autoSpaceDE/>
        <w:adjustRightInd/>
        <w:spacing w:after="240"/>
        <w:jc w:val="both"/>
        <w:rPr>
          <w:rFonts w:ascii="Times New Roman" w:hAnsi="Times New Roman"/>
          <w:sz w:val="20"/>
          <w:szCs w:val="20"/>
          <w:lang w:val="es-AR"/>
        </w:rPr>
      </w:pPr>
      <w:r w:rsidRPr="00EA7870">
        <w:rPr>
          <w:rFonts w:ascii="Times New Roman" w:eastAsia="Calibri" w:hAnsi="Times New Roman"/>
          <w:sz w:val="20"/>
          <w:szCs w:val="20"/>
          <w:lang w:val="es-AR" w:eastAsia="en-US"/>
        </w:rPr>
        <w:t>Las Obligaciones Negociable</w:t>
      </w:r>
      <w:r w:rsidRPr="00EA7870">
        <w:rPr>
          <w:rFonts w:ascii="Times New Roman" w:hAnsi="Times New Roman"/>
          <w:sz w:val="20"/>
          <w:szCs w:val="20"/>
          <w:lang w:val="es-AR"/>
        </w:rPr>
        <w:t xml:space="preserve">s se emitirán como “Clase IX” bajo nuestro Programa para la emisión de obligaciones negociables por US$1.100.000.000 (o su equivalente en otras monedas). El Programa fue aprobado por resolución del Representante Legal de la Emisora el 10 de junio de 2013; mientras que la prórroga del período de vigencia del mismo por cinco (5) años adicionales fue aprobada por resolución del Representante Legal de la Emisora el 28 de agosto de 2018. La emisión de las Obligaciones Negociables fue aprobada por </w:t>
      </w:r>
      <w:r w:rsidR="00E5002F" w:rsidRPr="00EA7870">
        <w:rPr>
          <w:rFonts w:ascii="Times New Roman" w:hAnsi="Times New Roman"/>
          <w:sz w:val="20"/>
          <w:szCs w:val="20"/>
          <w:lang w:val="es-AR"/>
        </w:rPr>
        <w:t xml:space="preserve">resolución </w:t>
      </w:r>
      <w:r w:rsidRPr="00EA7870">
        <w:rPr>
          <w:rFonts w:ascii="Times New Roman" w:hAnsi="Times New Roman"/>
          <w:sz w:val="20"/>
          <w:szCs w:val="20"/>
          <w:lang w:val="es-AR"/>
        </w:rPr>
        <w:t xml:space="preserve">del Representante Legal de la Emisora de fecha </w:t>
      </w:r>
      <w:r w:rsidR="007761FA" w:rsidRPr="00EA7870">
        <w:rPr>
          <w:rFonts w:ascii="Times New Roman" w:hAnsi="Times New Roman"/>
          <w:sz w:val="20"/>
          <w:szCs w:val="20"/>
          <w:lang w:val="es-AR"/>
        </w:rPr>
        <w:t>17</w:t>
      </w:r>
      <w:r w:rsidRPr="00EA7870">
        <w:rPr>
          <w:rFonts w:ascii="Times New Roman" w:hAnsi="Times New Roman"/>
          <w:sz w:val="20"/>
          <w:szCs w:val="20"/>
          <w:lang w:val="es-AR"/>
        </w:rPr>
        <w:t xml:space="preserve"> de</w:t>
      </w:r>
      <w:r w:rsidR="003D03E4" w:rsidRPr="00EA7870">
        <w:rPr>
          <w:rFonts w:ascii="Times New Roman" w:hAnsi="Times New Roman"/>
          <w:sz w:val="20"/>
          <w:szCs w:val="20"/>
          <w:lang w:val="es-AR"/>
        </w:rPr>
        <w:t xml:space="preserve"> octubre</w:t>
      </w:r>
      <w:r w:rsidRPr="00EA7870">
        <w:rPr>
          <w:rFonts w:ascii="Times New Roman" w:hAnsi="Times New Roman"/>
          <w:sz w:val="20"/>
          <w:szCs w:val="20"/>
          <w:lang w:val="es-AR"/>
        </w:rPr>
        <w:t xml:space="preserve"> de 201</w:t>
      </w:r>
      <w:r w:rsidR="00E5002F" w:rsidRPr="00EA7870">
        <w:rPr>
          <w:rFonts w:ascii="Times New Roman" w:hAnsi="Times New Roman"/>
          <w:sz w:val="20"/>
          <w:szCs w:val="20"/>
          <w:lang w:val="es-AR"/>
        </w:rPr>
        <w:t xml:space="preserve">9 y acta de subdelegado de fecha </w:t>
      </w:r>
      <w:r w:rsidR="009114EC" w:rsidRPr="00EA7870">
        <w:rPr>
          <w:rFonts w:ascii="Times New Roman" w:hAnsi="Times New Roman"/>
          <w:sz w:val="20"/>
          <w:szCs w:val="20"/>
          <w:lang w:val="es-AR"/>
        </w:rPr>
        <w:t>1</w:t>
      </w:r>
      <w:r w:rsidR="00AD0FB2">
        <w:rPr>
          <w:rFonts w:ascii="Times New Roman" w:hAnsi="Times New Roman"/>
          <w:sz w:val="20"/>
          <w:szCs w:val="20"/>
          <w:lang w:val="es-AR"/>
        </w:rPr>
        <w:t>2</w:t>
      </w:r>
      <w:r w:rsidR="00E5002F" w:rsidRPr="00EA7870">
        <w:rPr>
          <w:rFonts w:ascii="Times New Roman" w:hAnsi="Times New Roman"/>
          <w:sz w:val="20"/>
          <w:szCs w:val="20"/>
          <w:lang w:val="es-AR"/>
        </w:rPr>
        <w:t xml:space="preserve"> de</w:t>
      </w:r>
      <w:r w:rsidR="003D03E4" w:rsidRPr="00EA7870">
        <w:rPr>
          <w:rFonts w:ascii="Times New Roman" w:hAnsi="Times New Roman"/>
          <w:sz w:val="20"/>
          <w:szCs w:val="20"/>
          <w:lang w:val="es-AR"/>
        </w:rPr>
        <w:t xml:space="preserve"> </w:t>
      </w:r>
      <w:r w:rsidR="000C407C" w:rsidRPr="00EA7870">
        <w:rPr>
          <w:rFonts w:ascii="Times New Roman" w:hAnsi="Times New Roman"/>
          <w:sz w:val="20"/>
          <w:szCs w:val="20"/>
          <w:lang w:val="es-AR"/>
        </w:rPr>
        <w:t>noviembre</w:t>
      </w:r>
      <w:r w:rsidR="00E5002F" w:rsidRPr="00EA7870">
        <w:rPr>
          <w:rFonts w:ascii="Times New Roman" w:hAnsi="Times New Roman"/>
          <w:sz w:val="20"/>
          <w:szCs w:val="20"/>
          <w:lang w:val="es-AR"/>
        </w:rPr>
        <w:t xml:space="preserve"> de 2019</w:t>
      </w:r>
      <w:r w:rsidRPr="00EA7870">
        <w:rPr>
          <w:rFonts w:ascii="Times New Roman" w:hAnsi="Times New Roman"/>
          <w:sz w:val="20"/>
          <w:szCs w:val="20"/>
          <w:lang w:val="es-AR"/>
        </w:rPr>
        <w:t>. La creación del Programa en virtud del cual se emitirán las Obligaciones Negociables fue autorizada por la CNV mediante la Resolución Nº</w:t>
      </w:r>
      <w:r w:rsidR="00E0169C" w:rsidRPr="00EA7870">
        <w:rPr>
          <w:rFonts w:ascii="Times New Roman" w:hAnsi="Times New Roman"/>
          <w:sz w:val="20"/>
          <w:szCs w:val="20"/>
          <w:lang w:val="es-AR"/>
        </w:rPr>
        <w:t xml:space="preserve"> </w:t>
      </w:r>
      <w:r w:rsidRPr="00EA7870">
        <w:rPr>
          <w:rFonts w:ascii="Times New Roman" w:hAnsi="Times New Roman"/>
          <w:sz w:val="20"/>
          <w:szCs w:val="20"/>
          <w:lang w:val="es-AR"/>
        </w:rPr>
        <w:t>17.197 de fecha 1</w:t>
      </w:r>
      <w:r w:rsidR="00B459CD" w:rsidRPr="00EA7870">
        <w:rPr>
          <w:rFonts w:ascii="Times New Roman" w:hAnsi="Times New Roman"/>
          <w:sz w:val="20"/>
          <w:szCs w:val="20"/>
          <w:lang w:val="es-AR"/>
        </w:rPr>
        <w:t>0</w:t>
      </w:r>
      <w:r w:rsidRPr="00EA7870">
        <w:rPr>
          <w:rFonts w:ascii="Times New Roman" w:hAnsi="Times New Roman"/>
          <w:sz w:val="20"/>
          <w:szCs w:val="20"/>
          <w:lang w:val="es-AR"/>
        </w:rPr>
        <w:t xml:space="preserve"> de octubre de 2013. La prórroga del período de vigencia del Programa fue autorizada por </w:t>
      </w:r>
      <w:r w:rsidR="008F2933" w:rsidRPr="00EA7870">
        <w:rPr>
          <w:rFonts w:ascii="Times New Roman" w:hAnsi="Times New Roman"/>
          <w:sz w:val="20"/>
          <w:szCs w:val="20"/>
          <w:lang w:val="es-AR"/>
        </w:rPr>
        <w:t>D</w:t>
      </w:r>
      <w:r w:rsidRPr="00EA7870">
        <w:rPr>
          <w:rFonts w:ascii="Times New Roman" w:hAnsi="Times New Roman"/>
          <w:sz w:val="20"/>
          <w:szCs w:val="20"/>
          <w:lang w:val="es-AR"/>
        </w:rPr>
        <w:t>isposición N°DI – 2018 – 49 – APN–GE#CNV de fecha 21 de septiembre de 2018 de la Gerente de Emisoras de la CNV.</w:t>
      </w:r>
      <w:r w:rsidR="0002414E" w:rsidRPr="00EA7870">
        <w:rPr>
          <w:rFonts w:ascii="Times New Roman" w:hAnsi="Times New Roman"/>
          <w:sz w:val="20"/>
          <w:szCs w:val="20"/>
          <w:lang w:val="es-AR"/>
        </w:rPr>
        <w:t xml:space="preserve"> La oferta pública de las Obligaciones Negociables que se describen en este Suplemento en la Argentina se encuentra comprendida dentro de la autorización de oferta pública otorgada por la CNV al Programa, en el marco de lo establecido por el artículo 41 del Título II del Capítulo V de las Normas de la CNV. Este Suplemento no ha sido previamente revisado ni conformado por la CNV. De acuerdo con el procedimiento establecido en el artículo 51 del Título II del Capítulo V de las Normas de la CNV, dentro de los cinco días hábiles de suscriptas las Obligaciones Negociables, la Emisora presentará la documentación definitiva relativa a las mismas.</w:t>
      </w:r>
    </w:p>
    <w:p w14:paraId="6A6CD906" w14:textId="77777777" w:rsidR="00376725" w:rsidRPr="00EA7870" w:rsidRDefault="00376725" w:rsidP="00390488">
      <w:pPr>
        <w:pStyle w:val="BodyText2Sgl"/>
        <w:autoSpaceDE/>
        <w:adjustRightInd/>
        <w:spacing w:after="240"/>
        <w:jc w:val="both"/>
        <w:rPr>
          <w:rFonts w:ascii="Times New Roman" w:hAnsi="Times New Roman"/>
          <w:sz w:val="20"/>
          <w:szCs w:val="20"/>
          <w:lang w:val="es-AR"/>
        </w:rPr>
      </w:pPr>
      <w:r w:rsidRPr="00EA7870">
        <w:rPr>
          <w:rFonts w:ascii="Times New Roman" w:hAnsi="Times New Roman"/>
          <w:sz w:val="20"/>
          <w:szCs w:val="20"/>
          <w:lang w:val="es-AR"/>
        </w:rPr>
        <w:t xml:space="preserve">La Emisora ha presentado una solicitud para que las Obligaciones Negociables se listen </w:t>
      </w:r>
      <w:r w:rsidR="00F94EF2" w:rsidRPr="00EA7870">
        <w:rPr>
          <w:rFonts w:ascii="Times New Roman" w:hAnsi="Times New Roman"/>
          <w:sz w:val="20"/>
          <w:szCs w:val="20"/>
          <w:lang w:val="es-AR"/>
        </w:rPr>
        <w:t xml:space="preserve">y negocien </w:t>
      </w:r>
      <w:r w:rsidRPr="00EA7870">
        <w:rPr>
          <w:rFonts w:ascii="Times New Roman" w:hAnsi="Times New Roman"/>
          <w:sz w:val="20"/>
          <w:szCs w:val="20"/>
          <w:lang w:val="es-AR"/>
        </w:rPr>
        <w:t xml:space="preserve">en BYMA y sean admitidas para negociación en el MAE. </w:t>
      </w:r>
      <w:r w:rsidR="00F94EF2" w:rsidRPr="00EA7870">
        <w:rPr>
          <w:rFonts w:ascii="Times New Roman" w:hAnsi="Times New Roman"/>
          <w:sz w:val="20"/>
          <w:szCs w:val="20"/>
          <w:lang w:val="es-AR"/>
        </w:rPr>
        <w:t>La Sucursal no puede asegurar que dichas autorizaciones serán otorgadas, o que, una vez otorgadas, las Obligaciones Negociables continuarán listando y/o negociándose en dichos mercados.</w:t>
      </w:r>
      <w:r w:rsidRPr="00EA7870">
        <w:rPr>
          <w:rFonts w:ascii="Times New Roman" w:hAnsi="Times New Roman"/>
          <w:sz w:val="20"/>
          <w:szCs w:val="20"/>
          <w:lang w:val="es-AR"/>
        </w:rPr>
        <w:t xml:space="preserve"> Véase el título “</w:t>
      </w:r>
      <w:r w:rsidRPr="00EA7870">
        <w:rPr>
          <w:rFonts w:ascii="Times New Roman" w:hAnsi="Times New Roman"/>
          <w:i/>
          <w:sz w:val="20"/>
          <w:szCs w:val="20"/>
          <w:lang w:val="es-AR"/>
        </w:rPr>
        <w:t>—Listado</w:t>
      </w:r>
      <w:r w:rsidRPr="00EA7870">
        <w:rPr>
          <w:rFonts w:ascii="Times New Roman" w:hAnsi="Times New Roman"/>
          <w:sz w:val="20"/>
          <w:szCs w:val="20"/>
          <w:lang w:val="es-AR"/>
        </w:rPr>
        <w:t>”.</w:t>
      </w:r>
    </w:p>
    <w:p w14:paraId="6CCE9EC2" w14:textId="77777777" w:rsidR="00376725" w:rsidRPr="00EA7870" w:rsidRDefault="00376725" w:rsidP="00376725">
      <w:pPr>
        <w:jc w:val="both"/>
        <w:rPr>
          <w:b/>
          <w:sz w:val="20"/>
          <w:szCs w:val="20"/>
          <w:lang w:val="es-AR"/>
        </w:rPr>
      </w:pPr>
      <w:r w:rsidRPr="00EA7870">
        <w:rPr>
          <w:b/>
          <w:sz w:val="20"/>
          <w:szCs w:val="20"/>
          <w:lang w:val="es-AR"/>
        </w:rPr>
        <w:t>Términos y Condiciones Básicos de las Obligaciones Negociables</w:t>
      </w:r>
    </w:p>
    <w:p w14:paraId="4DAD61AD" w14:textId="77777777" w:rsidR="00376725" w:rsidRPr="00EA7870" w:rsidRDefault="00376725" w:rsidP="00376725">
      <w:pPr>
        <w:ind w:right="43"/>
        <w:jc w:val="both"/>
        <w:rPr>
          <w:sz w:val="20"/>
          <w:szCs w:val="20"/>
          <w:lang w:val="es-AR"/>
        </w:rPr>
      </w:pPr>
    </w:p>
    <w:p w14:paraId="0F890497" w14:textId="77777777" w:rsidR="00376725" w:rsidRPr="00EA7870" w:rsidRDefault="00376725" w:rsidP="00376725">
      <w:pPr>
        <w:keepLines/>
        <w:ind w:right="43"/>
        <w:jc w:val="both"/>
        <w:rPr>
          <w:sz w:val="20"/>
          <w:szCs w:val="20"/>
          <w:lang w:val="es-AR"/>
        </w:rPr>
      </w:pPr>
      <w:r w:rsidRPr="00EA7870">
        <w:rPr>
          <w:sz w:val="20"/>
          <w:szCs w:val="20"/>
          <w:lang w:val="es-AR"/>
        </w:rPr>
        <w:t>Las Obligaciones Negociables:</w:t>
      </w:r>
    </w:p>
    <w:p w14:paraId="1681C70F" w14:textId="77777777" w:rsidR="00376725" w:rsidRPr="00EA7870" w:rsidRDefault="00376725" w:rsidP="00376725">
      <w:pPr>
        <w:keepLines/>
        <w:ind w:right="43"/>
        <w:jc w:val="both"/>
        <w:rPr>
          <w:sz w:val="20"/>
          <w:szCs w:val="20"/>
          <w:lang w:val="es-AR"/>
        </w:rPr>
      </w:pPr>
    </w:p>
    <w:p w14:paraId="0BBE58C1" w14:textId="77777777" w:rsidR="00376725" w:rsidRPr="00EA7870" w:rsidRDefault="00376725" w:rsidP="00E2318E">
      <w:pPr>
        <w:keepLines/>
        <w:numPr>
          <w:ilvl w:val="1"/>
          <w:numId w:val="8"/>
        </w:numPr>
        <w:spacing w:after="240"/>
        <w:jc w:val="both"/>
        <w:rPr>
          <w:sz w:val="20"/>
          <w:szCs w:val="20"/>
          <w:lang w:val="es-AR"/>
        </w:rPr>
      </w:pPr>
      <w:r w:rsidRPr="00EA7870">
        <w:rPr>
          <w:sz w:val="20"/>
          <w:szCs w:val="20"/>
          <w:lang w:val="es-AR"/>
        </w:rPr>
        <w:t>estarán garantizadas</w:t>
      </w:r>
      <w:r w:rsidR="00495E0A" w:rsidRPr="00EA7870">
        <w:rPr>
          <w:sz w:val="20"/>
          <w:szCs w:val="20"/>
          <w:lang w:val="es-AR"/>
        </w:rPr>
        <w:t xml:space="preserve"> </w:t>
      </w:r>
      <w:r w:rsidRPr="00EA7870">
        <w:rPr>
          <w:sz w:val="20"/>
          <w:szCs w:val="20"/>
          <w:lang w:val="es-AR"/>
        </w:rPr>
        <w:t>incondicionalmente</w:t>
      </w:r>
      <w:r w:rsidR="00495E0A" w:rsidRPr="00EA7870">
        <w:rPr>
          <w:sz w:val="20"/>
          <w:szCs w:val="20"/>
          <w:lang w:val="es-AR"/>
        </w:rPr>
        <w:t xml:space="preserve"> </w:t>
      </w:r>
      <w:r w:rsidRPr="00EA7870">
        <w:rPr>
          <w:sz w:val="20"/>
          <w:szCs w:val="20"/>
          <w:lang w:val="es-AR"/>
        </w:rPr>
        <w:t>por la Garante (la “</w:t>
      </w:r>
      <w:r w:rsidRPr="00EA7870">
        <w:rPr>
          <w:b/>
          <w:sz w:val="20"/>
          <w:szCs w:val="20"/>
          <w:lang w:val="es-AR"/>
        </w:rPr>
        <w:t>Garantía</w:t>
      </w:r>
      <w:r w:rsidRPr="00EA7870">
        <w:rPr>
          <w:sz w:val="20"/>
          <w:szCs w:val="20"/>
          <w:lang w:val="es-AR"/>
        </w:rPr>
        <w:t>”);</w:t>
      </w:r>
    </w:p>
    <w:p w14:paraId="205F9079" w14:textId="4FFDBAE5" w:rsidR="00376725" w:rsidRPr="00EA7870" w:rsidRDefault="00376725" w:rsidP="00E2318E">
      <w:pPr>
        <w:keepLines/>
        <w:numPr>
          <w:ilvl w:val="1"/>
          <w:numId w:val="8"/>
        </w:numPr>
        <w:spacing w:after="240"/>
        <w:jc w:val="both"/>
        <w:rPr>
          <w:sz w:val="20"/>
          <w:szCs w:val="20"/>
          <w:lang w:val="es-AR"/>
        </w:rPr>
      </w:pPr>
      <w:r w:rsidRPr="00EA7870">
        <w:rPr>
          <w:sz w:val="20"/>
          <w:szCs w:val="20"/>
          <w:lang w:val="es-AR"/>
        </w:rPr>
        <w:t xml:space="preserve">serán emitidas con un valor nominal total original de hasta </w:t>
      </w:r>
      <w:r w:rsidR="00D22F7D" w:rsidRPr="00EA7870">
        <w:rPr>
          <w:bCs/>
          <w:sz w:val="20"/>
          <w:szCs w:val="20"/>
          <w:lang w:val="es-AR"/>
        </w:rPr>
        <w:t>US$</w:t>
      </w:r>
      <w:r w:rsidR="00FF15BD">
        <w:rPr>
          <w:bCs/>
          <w:sz w:val="20"/>
          <w:szCs w:val="20"/>
          <w:lang w:val="es-AR"/>
        </w:rPr>
        <w:t>75</w:t>
      </w:r>
      <w:r w:rsidR="00D22F7D" w:rsidRPr="00EA7870">
        <w:rPr>
          <w:bCs/>
          <w:sz w:val="20"/>
          <w:szCs w:val="20"/>
          <w:lang w:val="es-AR"/>
        </w:rPr>
        <w:t xml:space="preserve">.000.000 </w:t>
      </w:r>
      <w:r w:rsidR="00D22F7D" w:rsidRPr="00EA7870">
        <w:rPr>
          <w:sz w:val="20"/>
          <w:szCs w:val="20"/>
          <w:lang w:val="es-AR"/>
        </w:rPr>
        <w:t>ampliable por hasta US$1</w:t>
      </w:r>
      <w:r w:rsidR="00FF15BD">
        <w:rPr>
          <w:sz w:val="20"/>
          <w:szCs w:val="20"/>
          <w:lang w:val="es-AR"/>
        </w:rPr>
        <w:t>2</w:t>
      </w:r>
      <w:r w:rsidR="00D22F7D" w:rsidRPr="00EA7870">
        <w:rPr>
          <w:sz w:val="20"/>
          <w:szCs w:val="20"/>
          <w:lang w:val="es-AR"/>
        </w:rPr>
        <w:t xml:space="preserve">0.000.000 </w:t>
      </w:r>
      <w:r w:rsidRPr="00EA7870">
        <w:rPr>
          <w:sz w:val="20"/>
          <w:szCs w:val="20"/>
          <w:lang w:val="es-AR"/>
        </w:rPr>
        <w:t>según oportunamente se informe en el Aviso de Resultados;</w:t>
      </w:r>
    </w:p>
    <w:p w14:paraId="0D3639D1" w14:textId="77777777" w:rsidR="00376725" w:rsidRPr="00EA7870" w:rsidRDefault="00376725" w:rsidP="00E2318E">
      <w:pPr>
        <w:keepLines/>
        <w:numPr>
          <w:ilvl w:val="1"/>
          <w:numId w:val="8"/>
        </w:numPr>
        <w:spacing w:after="240"/>
        <w:jc w:val="both"/>
        <w:rPr>
          <w:sz w:val="20"/>
          <w:szCs w:val="20"/>
          <w:lang w:val="es-AR"/>
        </w:rPr>
      </w:pPr>
      <w:r w:rsidRPr="00EA7870">
        <w:rPr>
          <w:sz w:val="20"/>
          <w:szCs w:val="20"/>
          <w:lang w:val="es-AR"/>
        </w:rPr>
        <w:t xml:space="preserve">vencerán en la </w:t>
      </w:r>
      <w:r w:rsidR="005C3A97" w:rsidRPr="00EA7870">
        <w:rPr>
          <w:sz w:val="20"/>
          <w:szCs w:val="20"/>
          <w:lang w:val="es-AR"/>
        </w:rPr>
        <w:t>Fecha de Vencimiento</w:t>
      </w:r>
      <w:r w:rsidRPr="00EA7870">
        <w:rPr>
          <w:sz w:val="20"/>
          <w:szCs w:val="20"/>
          <w:lang w:val="es-AR"/>
        </w:rPr>
        <w:t>, salvo que sean rescatadas con anterioridad de acuerdo con los términos de las Obligaciones Negociables (véase “</w:t>
      </w:r>
      <w:r w:rsidRPr="00EA7870">
        <w:rPr>
          <w:i/>
          <w:sz w:val="20"/>
          <w:szCs w:val="20"/>
          <w:lang w:val="es-AR"/>
        </w:rPr>
        <w:t>—Rescate Optativo</w:t>
      </w:r>
      <w:r w:rsidRPr="00EA7870">
        <w:rPr>
          <w:sz w:val="20"/>
          <w:szCs w:val="20"/>
          <w:lang w:val="es-AR"/>
        </w:rPr>
        <w:t>” más adelante);</w:t>
      </w:r>
      <w:r w:rsidR="00F94FC5" w:rsidRPr="00EA7870">
        <w:rPr>
          <w:sz w:val="20"/>
          <w:szCs w:val="20"/>
          <w:lang w:val="es-AR"/>
        </w:rPr>
        <w:t xml:space="preserve"> y</w:t>
      </w:r>
    </w:p>
    <w:p w14:paraId="7454C1D1" w14:textId="24AE92BE" w:rsidR="00376725" w:rsidRPr="00EA7870" w:rsidRDefault="00376725" w:rsidP="00E2318E">
      <w:pPr>
        <w:keepLines/>
        <w:numPr>
          <w:ilvl w:val="1"/>
          <w:numId w:val="8"/>
        </w:numPr>
        <w:spacing w:after="240"/>
        <w:jc w:val="both"/>
        <w:rPr>
          <w:sz w:val="20"/>
          <w:szCs w:val="20"/>
          <w:lang w:val="es-AR"/>
        </w:rPr>
      </w:pPr>
      <w:r w:rsidRPr="00EA7870">
        <w:rPr>
          <w:sz w:val="20"/>
          <w:szCs w:val="20"/>
          <w:lang w:val="es-AR"/>
        </w:rPr>
        <w:lastRenderedPageBreak/>
        <w:t xml:space="preserve">devengarán intereses a una tasa </w:t>
      </w:r>
      <w:r w:rsidR="00F66D0F" w:rsidRPr="00EA7870">
        <w:rPr>
          <w:sz w:val="20"/>
          <w:szCs w:val="20"/>
          <w:lang w:val="es-AR"/>
        </w:rPr>
        <w:t>fija</w:t>
      </w:r>
      <w:r w:rsidRPr="00EA7870">
        <w:rPr>
          <w:sz w:val="20"/>
          <w:szCs w:val="20"/>
          <w:lang w:val="es-AR"/>
        </w:rPr>
        <w:t xml:space="preserve"> anual, que será informada oportunamente en el Aviso de Resultados, desde la Fecha de Emisión</w:t>
      </w:r>
      <w:r w:rsidR="00004B95" w:rsidRPr="00EA7870">
        <w:rPr>
          <w:sz w:val="20"/>
          <w:szCs w:val="20"/>
          <w:lang w:val="es-AR"/>
        </w:rPr>
        <w:t xml:space="preserve"> y Liquidación</w:t>
      </w:r>
      <w:r w:rsidRPr="00EA7870">
        <w:rPr>
          <w:sz w:val="20"/>
          <w:szCs w:val="20"/>
          <w:lang w:val="es-AR"/>
        </w:rPr>
        <w:t xml:space="preserve">, y serán pagaderos </w:t>
      </w:r>
      <w:r w:rsidR="00F94FC5" w:rsidRPr="00EA7870">
        <w:rPr>
          <w:sz w:val="20"/>
          <w:szCs w:val="20"/>
          <w:lang w:val="es-AR"/>
        </w:rPr>
        <w:t>anualmente</w:t>
      </w:r>
      <w:r w:rsidRPr="00EA7870">
        <w:rPr>
          <w:sz w:val="20"/>
          <w:szCs w:val="20"/>
          <w:lang w:val="es-AR"/>
        </w:rPr>
        <w:t xml:space="preserve"> por período vencido en las fechas que se informen en el Aviso de Resultados, a quienes sean tenedores registrales en las fechas inmediatamente precedentes a la fecha de pago de intereses aplicable. Los intereses se computarán sobre la base de un año de 360 días compuesto por doce meses de 30 días cada uno.</w:t>
      </w:r>
    </w:p>
    <w:p w14:paraId="729C6649" w14:textId="77777777" w:rsidR="00376725" w:rsidRPr="00EA7870" w:rsidRDefault="00376725" w:rsidP="00376725">
      <w:pPr>
        <w:pStyle w:val="BodyText2Sgl"/>
        <w:keepLines/>
        <w:jc w:val="both"/>
        <w:rPr>
          <w:rFonts w:ascii="Times New Roman" w:eastAsia="Times New Roman" w:hAnsi="Times New Roman"/>
          <w:sz w:val="20"/>
          <w:szCs w:val="20"/>
          <w:lang w:val="es-AR" w:eastAsia="es-ES"/>
        </w:rPr>
      </w:pPr>
      <w:r w:rsidRPr="00EA7870">
        <w:rPr>
          <w:rFonts w:ascii="Times New Roman" w:hAnsi="Times New Roman"/>
          <w:sz w:val="20"/>
          <w:szCs w:val="20"/>
          <w:lang w:val="es-AR"/>
        </w:rPr>
        <w:t>Las Obligaciones Negociables se emitirán en denominaciones mínimas de US$</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1.000</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y</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en</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múltiplos</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enteros</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de</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US$1.000</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para</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denominaciones</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que</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superen</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esa</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cifra.</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Esta</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oferta</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exigirá</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un</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monto</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de</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suscripción</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mínimo</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de</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US$</w:t>
      </w:r>
      <w:r w:rsidR="00394B4C" w:rsidRPr="00EA7870">
        <w:rPr>
          <w:rFonts w:ascii="Times New Roman" w:hAnsi="Times New Roman"/>
          <w:sz w:val="20"/>
          <w:szCs w:val="20"/>
          <w:lang w:val="es-AR"/>
        </w:rPr>
        <w:t>150.000</w:t>
      </w:r>
      <w:r w:rsidRPr="00EA7870">
        <w:rPr>
          <w:rFonts w:ascii="Times New Roman" w:hAnsi="Times New Roman"/>
          <w:sz w:val="20"/>
          <w:szCs w:val="20"/>
          <w:lang w:val="es-AR"/>
        </w:rPr>
        <w:t>.</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Las</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Obligaciones</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Negociables</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estarán</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representadas</w:t>
      </w:r>
      <w:r w:rsidR="001A28B3" w:rsidRPr="00EA7870">
        <w:rPr>
          <w:rFonts w:ascii="Times New Roman" w:hAnsi="Times New Roman"/>
          <w:sz w:val="20"/>
          <w:szCs w:val="20"/>
          <w:lang w:val="es-AR"/>
        </w:rPr>
        <w:t xml:space="preserve"> </w:t>
      </w:r>
      <w:r w:rsidRPr="00EA7870">
        <w:rPr>
          <w:rFonts w:ascii="Times New Roman" w:hAnsi="Times New Roman"/>
          <w:sz w:val="20"/>
          <w:szCs w:val="20"/>
          <w:lang w:val="es-AR"/>
        </w:rPr>
        <w:t>por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una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varias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Obligaciones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Negociables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nominativas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globales,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salvo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circunstancias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específicas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que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Obligaciones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Negociables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podrán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ser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emitidas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forma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cartular.</w:t>
      </w:r>
      <w:r w:rsidR="001A28B3" w:rsidRPr="00EA7870">
        <w:rPr>
          <w:rFonts w:ascii="Times New Roman" w:eastAsia="Times New Roman" w:hAnsi="Times New Roman"/>
          <w:sz w:val="20"/>
          <w:szCs w:val="20"/>
          <w:lang w:val="es-AR" w:eastAsia="es-ES"/>
        </w:rPr>
        <w:t xml:space="preserve"> </w:t>
      </w:r>
    </w:p>
    <w:p w14:paraId="750CE5FE" w14:textId="77777777" w:rsidR="00376725" w:rsidRPr="00EA7870" w:rsidRDefault="00376725" w:rsidP="00376725">
      <w:pPr>
        <w:keepLines/>
        <w:jc w:val="both"/>
        <w:rPr>
          <w:sz w:val="20"/>
          <w:szCs w:val="20"/>
          <w:lang w:val="es-AR"/>
        </w:rPr>
      </w:pPr>
    </w:p>
    <w:p w14:paraId="0AE03BA3" w14:textId="705F3639" w:rsidR="00376725" w:rsidRPr="00EA7870" w:rsidRDefault="00376725" w:rsidP="00376725">
      <w:pPr>
        <w:keepLine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mantendrá</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ellos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oficinas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Distrito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Manhattan,</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Inicialmente,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desempeñará</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00873D88" w:rsidRPr="00EA7870">
        <w:rPr>
          <w:sz w:val="20"/>
          <w:szCs w:val="20"/>
          <w:lang w:val="es-AR"/>
        </w:rPr>
        <w:t xml:space="preserve">Banco Itaú Argentina S.A. actuará como agente de liquidación de las Obligaciones Negociables en Argentina. </w:t>
      </w:r>
      <w:r w:rsidR="00ED480B" w:rsidRPr="00EA7870">
        <w:rPr>
          <w:sz w:val="20"/>
          <w:szCs w:val="20"/>
          <w:lang w:val="es-AR"/>
        </w:rPr>
        <w:t>En tanto: (i) las Obligaciones Negociables ten</w:t>
      </w:r>
      <w:r w:rsidR="00D56DD0" w:rsidRPr="00EA7870">
        <w:rPr>
          <w:sz w:val="20"/>
          <w:szCs w:val="20"/>
          <w:lang w:val="es-AR"/>
        </w:rPr>
        <w:t>g</w:t>
      </w:r>
      <w:r w:rsidR="00ED480B" w:rsidRPr="00EA7870">
        <w:rPr>
          <w:sz w:val="20"/>
          <w:szCs w:val="20"/>
          <w:lang w:val="es-AR"/>
        </w:rPr>
        <w:t>a</w:t>
      </w:r>
      <w:r w:rsidR="00D56DD0" w:rsidRPr="00EA7870">
        <w:rPr>
          <w:sz w:val="20"/>
          <w:szCs w:val="20"/>
          <w:lang w:val="es-AR"/>
        </w:rPr>
        <w:t>n</w:t>
      </w:r>
      <w:r w:rsidR="00ED480B" w:rsidRPr="00EA7870">
        <w:rPr>
          <w:sz w:val="20"/>
          <w:szCs w:val="20"/>
          <w:lang w:val="es-AR"/>
        </w:rPr>
        <w:t xml:space="preserve"> oferta pública en Arge</w:t>
      </w:r>
      <w:r w:rsidR="00D56DD0" w:rsidRPr="00EA7870">
        <w:rPr>
          <w:sz w:val="20"/>
          <w:szCs w:val="20"/>
          <w:lang w:val="es-AR"/>
        </w:rPr>
        <w:t>nti</w:t>
      </w:r>
      <w:r w:rsidR="00ED480B" w:rsidRPr="00EA7870">
        <w:rPr>
          <w:sz w:val="20"/>
          <w:szCs w:val="20"/>
          <w:lang w:val="es-AR"/>
        </w:rPr>
        <w:t>na, se encuentren listadas y negocien en BYMA, y negocien en MAE; (ii) así se requiera en virtud de las leyes de la Argentina o las Normas de la CNV u otra normativa aplicable, y (iii) se hubiese adjudicado Obligaciones Negociables a inversores residentes en la Argentina, la Emisora designará, tan pronto sea posible, y mantendrá mientras que las Obligaciones Negociables se encuentren en circulación y los requisitos antes mencionados sigan siendo aplicables, un agente de registro, un agente de pago, un agente de transferencia y un representante del Agente Fiduciario en la Argentina.</w:t>
      </w:r>
    </w:p>
    <w:p w14:paraId="575C8127" w14:textId="77777777" w:rsidR="00376725" w:rsidRPr="00EA7870" w:rsidRDefault="00F112D5" w:rsidP="00376725">
      <w:pPr>
        <w:pStyle w:val="BodyText2Sgl"/>
        <w:keepLines/>
        <w:jc w:val="both"/>
        <w:rPr>
          <w:rFonts w:ascii="Times New Roman" w:eastAsia="Times New Roman" w:hAnsi="Times New Roman"/>
          <w:sz w:val="20"/>
          <w:szCs w:val="20"/>
          <w:lang w:val="es-AR" w:eastAsia="es-ES"/>
        </w:rPr>
      </w:pPr>
      <w:r w:rsidRPr="00EA7870">
        <w:rPr>
          <w:rFonts w:ascii="Times New Roman" w:eastAsia="Times New Roman" w:hAnsi="Times New Roman"/>
          <w:sz w:val="20"/>
          <w:szCs w:val="20"/>
          <w:lang w:val="es-AR" w:eastAsia="es-ES"/>
        </w:rPr>
        <w:t xml:space="preserve"> </w:t>
      </w:r>
    </w:p>
    <w:p w14:paraId="12D3A411" w14:textId="77777777" w:rsidR="00376725" w:rsidRPr="00EA7870" w:rsidRDefault="00376725" w:rsidP="00376725">
      <w:pPr>
        <w:pStyle w:val="BodyText2Sgl"/>
        <w:keepLines/>
        <w:jc w:val="both"/>
        <w:rPr>
          <w:rFonts w:ascii="Times New Roman" w:eastAsia="Times New Roman" w:hAnsi="Times New Roman"/>
          <w:sz w:val="20"/>
          <w:szCs w:val="20"/>
          <w:lang w:val="es-AR" w:eastAsia="es-ES"/>
        </w:rPr>
      </w:pPr>
      <w:r w:rsidRPr="00EA7870">
        <w:rPr>
          <w:rFonts w:ascii="Times New Roman" w:eastAsia="Times New Roman" w:hAnsi="Times New Roman"/>
          <w:sz w:val="20"/>
          <w:szCs w:val="20"/>
          <w:lang w:val="es-AR" w:eastAsia="es-ES"/>
        </w:rPr>
        <w:t>Si</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un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tenedor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Obligaciones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Negociables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por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un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valor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nominal</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total</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al</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menos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US$1.000.000</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imparte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Emisora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instrucciones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efectos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que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esta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última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proceda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efectuar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el</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pago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por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transferencia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bancaria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sumas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asociadas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Obligaciones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Negociables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dicho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tenedor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una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cuenta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bancaria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radicada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Ciudad</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Nueva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York,</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Emisora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procederá</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efectuar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todos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pagos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capital,</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primas,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si</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hubiera,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intereses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(incluidos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Montos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Adicionales)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relacionados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con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esas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Obligaciones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Negociables,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acuerdo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con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dichas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instrucciones.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Todos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demás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pagos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asociados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Obligaciones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Negociables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detentadas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forma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cartular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se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efectuarán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oficina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agencia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del</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agente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pago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Ciudad</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Nueva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York,</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salvo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que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Emisora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opte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por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realizar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pagos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intereses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por</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cheque,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remitido</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direcciones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registradas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tenedores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registrales.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Todos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pagos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relación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con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las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Obligaciones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Negociables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detentadas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en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forma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global</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se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realizarán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DTC</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de</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conformidad</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con</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sus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procedimientos</w:t>
      </w:r>
      <w:r w:rsidR="001A28B3" w:rsidRPr="00EA7870">
        <w:rPr>
          <w:rFonts w:ascii="Times New Roman" w:eastAsia="Times New Roman" w:hAnsi="Times New Roman"/>
          <w:sz w:val="20"/>
          <w:szCs w:val="20"/>
          <w:lang w:val="es-AR" w:eastAsia="es-ES"/>
        </w:rPr>
        <w:t xml:space="preserve"> </w:t>
      </w:r>
      <w:r w:rsidRPr="00EA7870">
        <w:rPr>
          <w:rFonts w:ascii="Times New Roman" w:eastAsia="Times New Roman" w:hAnsi="Times New Roman"/>
          <w:sz w:val="20"/>
          <w:szCs w:val="20"/>
          <w:lang w:val="es-AR" w:eastAsia="es-ES"/>
        </w:rPr>
        <w:t>aplicables.</w:t>
      </w:r>
      <w:r w:rsidR="001A28B3" w:rsidRPr="00EA7870">
        <w:rPr>
          <w:rFonts w:ascii="Times New Roman" w:eastAsia="Times New Roman" w:hAnsi="Times New Roman"/>
          <w:sz w:val="20"/>
          <w:szCs w:val="20"/>
          <w:lang w:val="es-AR" w:eastAsia="es-ES"/>
        </w:rPr>
        <w:t xml:space="preserve"> </w:t>
      </w:r>
    </w:p>
    <w:p w14:paraId="5C49CD0E" w14:textId="77777777" w:rsidR="00376725" w:rsidRPr="00EA7870" w:rsidRDefault="00376725" w:rsidP="00376725">
      <w:pPr>
        <w:jc w:val="both"/>
        <w:rPr>
          <w:sz w:val="20"/>
          <w:szCs w:val="20"/>
          <w:lang w:val="es-AR"/>
        </w:rPr>
      </w:pPr>
    </w:p>
    <w:p w14:paraId="164C8AB9" w14:textId="77777777" w:rsidR="00376725" w:rsidRPr="00EA7870" w:rsidRDefault="00376725" w:rsidP="00376725">
      <w:pPr>
        <w:jc w:val="both"/>
        <w:rPr>
          <w:b/>
          <w:sz w:val="20"/>
          <w:szCs w:val="20"/>
          <w:lang w:val="es-AR"/>
        </w:rPr>
      </w:pPr>
      <w:r w:rsidRPr="00EA7870">
        <w:rPr>
          <w:b/>
          <w:sz w:val="20"/>
          <w:szCs w:val="20"/>
          <w:lang w:val="es-AR"/>
        </w:rPr>
        <w:t>Obligaciones</w:t>
      </w:r>
      <w:r w:rsidR="001A28B3" w:rsidRPr="00EA7870">
        <w:rPr>
          <w:b/>
          <w:sz w:val="20"/>
          <w:szCs w:val="20"/>
          <w:lang w:val="es-AR"/>
        </w:rPr>
        <w:t xml:space="preserve"> </w:t>
      </w:r>
      <w:r w:rsidRPr="00EA7870">
        <w:rPr>
          <w:b/>
          <w:sz w:val="20"/>
          <w:szCs w:val="20"/>
          <w:lang w:val="es-AR"/>
        </w:rPr>
        <w:t>Negociables</w:t>
      </w:r>
      <w:r w:rsidR="001A28B3" w:rsidRPr="00EA7870">
        <w:rPr>
          <w:b/>
          <w:sz w:val="20"/>
          <w:szCs w:val="20"/>
          <w:lang w:val="es-AR"/>
        </w:rPr>
        <w:t xml:space="preserve"> </w:t>
      </w:r>
      <w:r w:rsidRPr="00EA7870">
        <w:rPr>
          <w:b/>
          <w:sz w:val="20"/>
          <w:szCs w:val="20"/>
          <w:lang w:val="es-AR"/>
        </w:rPr>
        <w:t>Adicionales</w:t>
      </w:r>
    </w:p>
    <w:p w14:paraId="11729F9F" w14:textId="77777777" w:rsidR="00376725" w:rsidRPr="00EA7870" w:rsidRDefault="00376725" w:rsidP="00376725">
      <w:pPr>
        <w:jc w:val="both"/>
        <w:rPr>
          <w:sz w:val="20"/>
          <w:szCs w:val="20"/>
          <w:lang w:val="es-AR"/>
        </w:rPr>
      </w:pPr>
    </w:p>
    <w:p w14:paraId="75624404" w14:textId="7F1758F5" w:rsidR="00376725" w:rsidRPr="00EA7870" w:rsidRDefault="00376725" w:rsidP="00376725">
      <w:pPr>
        <w:tabs>
          <w:tab w:val="left" w:pos="5387"/>
        </w:tabs>
        <w:jc w:val="both"/>
        <w:rPr>
          <w:sz w:val="20"/>
          <w:szCs w:val="20"/>
          <w:lang w:val="es-AR"/>
        </w:rPr>
      </w:pPr>
      <w:r w:rsidRPr="00EA7870">
        <w:rPr>
          <w:sz w:val="20"/>
          <w:szCs w:val="20"/>
          <w:lang w:val="es-AR"/>
        </w:rPr>
        <w:t>Sujeto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describen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continuación,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3560AE" w:rsidRPr="00EA7870">
        <w:rPr>
          <w:sz w:val="20"/>
          <w:szCs w:val="20"/>
          <w:lang w:val="es-AR"/>
        </w:rPr>
        <w:t>, sin el consentimiento de los tenedores,</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emitir</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w:t>
      </w:r>
      <w:r w:rsidRPr="00EA7870">
        <w:rPr>
          <w:b/>
          <w:sz w:val="20"/>
          <w:szCs w:val="20"/>
          <w:lang w:val="es-AR"/>
        </w:rPr>
        <w:t>Obligaciones</w:t>
      </w:r>
      <w:r w:rsidR="001A28B3" w:rsidRPr="00EA7870">
        <w:rPr>
          <w:b/>
          <w:sz w:val="20"/>
          <w:szCs w:val="20"/>
          <w:lang w:val="es-AR"/>
        </w:rPr>
        <w:t xml:space="preserve"> </w:t>
      </w:r>
      <w:r w:rsidRPr="00EA7870">
        <w:rPr>
          <w:b/>
          <w:sz w:val="20"/>
          <w:szCs w:val="20"/>
          <w:lang w:val="es-AR"/>
        </w:rPr>
        <w:t>Negociables</w:t>
      </w:r>
      <w:r w:rsidR="001A28B3" w:rsidRPr="00EA7870">
        <w:rPr>
          <w:b/>
          <w:sz w:val="20"/>
          <w:szCs w:val="20"/>
          <w:lang w:val="es-AR"/>
        </w:rPr>
        <w:t xml:space="preserve"> </w:t>
      </w:r>
      <w:r w:rsidR="0054529F" w:rsidRPr="00EA7870">
        <w:rPr>
          <w:b/>
          <w:sz w:val="20"/>
          <w:szCs w:val="20"/>
          <w:lang w:val="es-AR"/>
        </w:rPr>
        <w:t>A</w:t>
      </w:r>
      <w:r w:rsidRPr="00EA7870">
        <w:rPr>
          <w:b/>
          <w:sz w:val="20"/>
          <w:szCs w:val="20"/>
          <w:lang w:val="es-AR"/>
        </w:rPr>
        <w:t>dicionales</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marco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EF780E"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EF780E" w:rsidRPr="00EA7870">
        <w:rPr>
          <w:sz w:val="20"/>
          <w:szCs w:val="20"/>
          <w:lang w:val="es-AR"/>
        </w:rPr>
        <w:t>Emisión</w:t>
      </w:r>
      <w:r w:rsidR="001A28B3" w:rsidRPr="00EA7870">
        <w:rPr>
          <w:sz w:val="20"/>
          <w:szCs w:val="20"/>
          <w:lang w:val="es-AR"/>
        </w:rPr>
        <w:t xml:space="preserve"> </w:t>
      </w:r>
      <w:r w:rsidR="00EF780E" w:rsidRPr="00EA7870">
        <w:rPr>
          <w:sz w:val="20"/>
          <w:szCs w:val="20"/>
          <w:lang w:val="es-AR"/>
        </w:rPr>
        <w:t>y</w:t>
      </w:r>
      <w:r w:rsidR="001A28B3" w:rsidRPr="00EA7870">
        <w:rPr>
          <w:sz w:val="20"/>
          <w:szCs w:val="20"/>
          <w:lang w:val="es-AR"/>
        </w:rPr>
        <w:t xml:space="preserve"> </w:t>
      </w:r>
      <w:r w:rsidR="00EF780E" w:rsidRPr="00EA7870">
        <w:rPr>
          <w:sz w:val="20"/>
          <w:szCs w:val="20"/>
          <w:lang w:val="es-AR"/>
        </w:rPr>
        <w:t>Liquidación</w:t>
      </w:r>
      <w:r w:rsidRPr="00EA7870">
        <w:rPr>
          <w:sz w:val="20"/>
          <w:szCs w:val="20"/>
          <w:lang w:val="es-AR"/>
        </w:rPr>
        <w:t>,</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inicial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primera</w:t>
      </w:r>
      <w:r w:rsidR="001A28B3" w:rsidRPr="00EA7870">
        <w:rPr>
          <w:sz w:val="20"/>
          <w:szCs w:val="20"/>
          <w:lang w:val="es-AR"/>
        </w:rPr>
        <w:t xml:space="preserve"> </w:t>
      </w:r>
      <w:r w:rsidR="002739A3"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2739A3"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2739A3" w:rsidRPr="00EA7870">
        <w:rPr>
          <w:sz w:val="20"/>
          <w:szCs w:val="20"/>
          <w:lang w:val="es-AR"/>
        </w:rPr>
        <w:t>Intereses</w:t>
      </w:r>
      <w:r w:rsidRPr="00EA7870">
        <w:rPr>
          <w:sz w:val="20"/>
          <w:szCs w:val="20"/>
          <w:lang w:val="es-AR"/>
        </w:rPr>
        <w:t>,</w:t>
      </w:r>
      <w:r w:rsidR="001A28B3" w:rsidRPr="00EA7870">
        <w:rPr>
          <w:sz w:val="20"/>
          <w:szCs w:val="20"/>
          <w:lang w:val="es-AR"/>
        </w:rPr>
        <w:t xml:space="preserve"> </w:t>
      </w:r>
      <w:r w:rsidRPr="00EA7870">
        <w:rPr>
          <w:i/>
          <w:sz w:val="20"/>
          <w:szCs w:val="20"/>
          <w:lang w:val="es-AR"/>
        </w:rPr>
        <w:t>quedando</w:t>
      </w:r>
      <w:r w:rsidR="001A28B3" w:rsidRPr="00EA7870">
        <w:rPr>
          <w:i/>
          <w:sz w:val="20"/>
          <w:szCs w:val="20"/>
          <w:lang w:val="es-AR"/>
        </w:rPr>
        <w:t xml:space="preserve"> </w:t>
      </w:r>
      <w:r w:rsidRPr="00EA7870">
        <w:rPr>
          <w:i/>
          <w:sz w:val="20"/>
          <w:szCs w:val="20"/>
          <w:lang w:val="es-AR"/>
        </w:rPr>
        <w:t>establecido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son</w:t>
      </w:r>
      <w:r w:rsidR="001A28B3" w:rsidRPr="00EA7870">
        <w:rPr>
          <w:sz w:val="20"/>
          <w:szCs w:val="20"/>
          <w:lang w:val="es-AR"/>
        </w:rPr>
        <w:t xml:space="preserve"> </w:t>
      </w:r>
      <w:r w:rsidRPr="00EA7870">
        <w:rPr>
          <w:sz w:val="20"/>
          <w:szCs w:val="20"/>
          <w:lang w:val="es-AR"/>
        </w:rPr>
        <w:t>fungibles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ofrecidas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efectos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impuesto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ganancias</w:t>
      </w:r>
      <w:r w:rsidR="001A28B3" w:rsidRPr="00EA7870">
        <w:rPr>
          <w:sz w:val="20"/>
          <w:szCs w:val="20"/>
          <w:lang w:val="es-AR"/>
        </w:rPr>
        <w:t xml:space="preserve"> </w:t>
      </w:r>
      <w:r w:rsidRPr="00EA7870">
        <w:rPr>
          <w:sz w:val="20"/>
          <w:szCs w:val="20"/>
          <w:lang w:val="es-AR"/>
        </w:rPr>
        <w:t>federal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BD0B0B" w:rsidRPr="00EA7870">
        <w:rPr>
          <w:sz w:val="20"/>
          <w:szCs w:val="20"/>
          <w:lang w:val="es-AR"/>
        </w:rPr>
        <w:t>los Estados Unidos</w:t>
      </w:r>
      <w:r w:rsidRPr="00EA7870">
        <w:rPr>
          <w:sz w:val="20"/>
          <w:szCs w:val="20"/>
          <w:lang w:val="es-AR"/>
        </w:rPr>
        <w:t>,</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tendrán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número</w:t>
      </w:r>
      <w:r w:rsidR="001A28B3" w:rsidRPr="00EA7870">
        <w:rPr>
          <w:sz w:val="20"/>
          <w:szCs w:val="20"/>
          <w:lang w:val="es-AR"/>
        </w:rPr>
        <w:t xml:space="preserve"> </w:t>
      </w:r>
      <w:r w:rsidRPr="00EA7870">
        <w:rPr>
          <w:sz w:val="20"/>
          <w:szCs w:val="20"/>
          <w:lang w:val="es-AR"/>
        </w:rPr>
        <w:t>CUSIP,</w:t>
      </w:r>
      <w:r w:rsidR="001A28B3" w:rsidRPr="00EA7870">
        <w:rPr>
          <w:sz w:val="20"/>
          <w:szCs w:val="20"/>
          <w:lang w:val="es-AR"/>
        </w:rPr>
        <w:t xml:space="preserve"> </w:t>
      </w:r>
      <w:r w:rsidRPr="00EA7870">
        <w:rPr>
          <w:sz w:val="20"/>
          <w:szCs w:val="20"/>
          <w:lang w:val="es-AR"/>
        </w:rPr>
        <w:t>número</w:t>
      </w:r>
      <w:r w:rsidR="001A28B3" w:rsidRPr="00EA7870">
        <w:rPr>
          <w:sz w:val="20"/>
          <w:szCs w:val="20"/>
          <w:lang w:val="es-AR"/>
        </w:rPr>
        <w:t xml:space="preserve"> </w:t>
      </w:r>
      <w:r w:rsidRPr="00EA7870">
        <w:rPr>
          <w:sz w:val="20"/>
          <w:szCs w:val="20"/>
          <w:lang w:val="es-AR"/>
        </w:rPr>
        <w:t>ISIN</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número</w:t>
      </w:r>
      <w:r w:rsidR="001A28B3" w:rsidRPr="00EA7870">
        <w:rPr>
          <w:sz w:val="20"/>
          <w:szCs w:val="20"/>
          <w:lang w:val="es-AR"/>
        </w:rPr>
        <w:t xml:space="preserve"> </w:t>
      </w:r>
      <w:r w:rsidRPr="00EA7870">
        <w:rPr>
          <w:sz w:val="20"/>
          <w:szCs w:val="20"/>
          <w:lang w:val="es-AR"/>
        </w:rPr>
        <w:t>identificatorio</w:t>
      </w:r>
      <w:r w:rsidR="001A28B3" w:rsidRPr="00EA7870">
        <w:rPr>
          <w:sz w:val="20"/>
          <w:szCs w:val="20"/>
          <w:lang w:val="es-AR"/>
        </w:rPr>
        <w:t xml:space="preserve"> </w:t>
      </w:r>
      <w:r w:rsidRPr="00EA7870">
        <w:rPr>
          <w:sz w:val="20"/>
          <w:szCs w:val="20"/>
          <w:lang w:val="es-AR"/>
        </w:rPr>
        <w:t>distinto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emitidas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marco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ofrecidas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consideradas</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misma</w:t>
      </w:r>
      <w:r w:rsidR="001A28B3" w:rsidRPr="00EA7870">
        <w:rPr>
          <w:sz w:val="20"/>
          <w:szCs w:val="20"/>
          <w:lang w:val="es-AR"/>
        </w:rPr>
        <w:t xml:space="preserve"> </w:t>
      </w:r>
      <w:r w:rsidRPr="00EA7870">
        <w:rPr>
          <w:sz w:val="20"/>
          <w:szCs w:val="20"/>
          <w:lang w:val="es-AR"/>
        </w:rPr>
        <w:t>clase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votarán</w:t>
      </w:r>
      <w:r w:rsidR="001A28B3" w:rsidRPr="00EA7870">
        <w:rPr>
          <w:sz w:val="20"/>
          <w:szCs w:val="20"/>
          <w:lang w:val="es-AR"/>
        </w:rPr>
        <w:t xml:space="preserve"> </w:t>
      </w:r>
      <w:r w:rsidRPr="00EA7870">
        <w:rPr>
          <w:sz w:val="20"/>
          <w:szCs w:val="20"/>
          <w:lang w:val="es-AR"/>
        </w:rPr>
        <w:t>juntas</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clase</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cuestiones</w:t>
      </w:r>
      <w:r w:rsidR="001A28B3" w:rsidRPr="00EA7870">
        <w:rPr>
          <w:sz w:val="20"/>
          <w:szCs w:val="20"/>
          <w:lang w:val="es-AR"/>
        </w:rPr>
        <w:t xml:space="preserve"> </w:t>
      </w:r>
      <w:r w:rsidRPr="00EA7870">
        <w:rPr>
          <w:sz w:val="20"/>
          <w:szCs w:val="20"/>
          <w:lang w:val="es-AR"/>
        </w:rPr>
        <w:t>relativas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55D84291" w14:textId="77777777" w:rsidR="00BD0B0B" w:rsidRPr="00EA7870" w:rsidRDefault="00BD0B0B" w:rsidP="00376725">
      <w:pPr>
        <w:jc w:val="both"/>
        <w:rPr>
          <w:b/>
          <w:sz w:val="20"/>
          <w:szCs w:val="20"/>
          <w:lang w:val="es-AR"/>
        </w:rPr>
      </w:pPr>
    </w:p>
    <w:p w14:paraId="647E8AEB" w14:textId="77777777" w:rsidR="00376725" w:rsidRPr="00EA7870" w:rsidRDefault="00376725" w:rsidP="00376725">
      <w:pPr>
        <w:jc w:val="both"/>
        <w:rPr>
          <w:b/>
          <w:sz w:val="20"/>
          <w:szCs w:val="20"/>
          <w:lang w:val="es-AR"/>
        </w:rPr>
      </w:pPr>
      <w:r w:rsidRPr="00EA7870">
        <w:rPr>
          <w:b/>
          <w:sz w:val="20"/>
          <w:szCs w:val="20"/>
          <w:lang w:val="es-AR"/>
        </w:rPr>
        <w:t>Rango</w:t>
      </w:r>
    </w:p>
    <w:p w14:paraId="65A435D5" w14:textId="77777777" w:rsidR="00376725" w:rsidRPr="00EA7870" w:rsidRDefault="00376725" w:rsidP="00376725">
      <w:pPr>
        <w:jc w:val="both"/>
        <w:rPr>
          <w:sz w:val="20"/>
          <w:szCs w:val="20"/>
          <w:lang w:val="es-AR"/>
        </w:rPr>
      </w:pPr>
    </w:p>
    <w:p w14:paraId="67B20BC3" w14:textId="77777777" w:rsidR="00376725" w:rsidRPr="00EA7870" w:rsidRDefault="00376725" w:rsidP="00A32B39">
      <w:pPr>
        <w:spacing w:after="200"/>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color w:val="000000"/>
          <w:sz w:val="20"/>
          <w:szCs w:val="20"/>
          <w:lang w:val="es-AR"/>
        </w:rPr>
        <w:t xml:space="preserve"> </w:t>
      </w:r>
      <w:r w:rsidRPr="00EA7870">
        <w:rPr>
          <w:color w:val="000000"/>
          <w:sz w:val="20"/>
          <w:szCs w:val="20"/>
          <w:lang w:val="es-AR"/>
        </w:rPr>
        <w:t>constituirán</w:t>
      </w:r>
      <w:r w:rsidR="001A28B3" w:rsidRPr="00EA7870">
        <w:rPr>
          <w:color w:val="000000"/>
          <w:sz w:val="20"/>
          <w:szCs w:val="20"/>
          <w:lang w:val="es-AR"/>
        </w:rPr>
        <w:t xml:space="preserve"> </w:t>
      </w:r>
      <w:r w:rsidRPr="00EA7870">
        <w:rPr>
          <w:color w:val="000000"/>
          <w:sz w:val="20"/>
          <w:szCs w:val="20"/>
          <w:lang w:val="es-AR"/>
        </w:rPr>
        <w:t>obligaciones</w:t>
      </w:r>
      <w:r w:rsidR="001A28B3" w:rsidRPr="00EA7870">
        <w:rPr>
          <w:color w:val="000000"/>
          <w:sz w:val="20"/>
          <w:szCs w:val="20"/>
          <w:lang w:val="es-AR"/>
        </w:rPr>
        <w:t xml:space="preserve"> </w:t>
      </w:r>
      <w:r w:rsidRPr="00EA7870">
        <w:rPr>
          <w:color w:val="000000"/>
          <w:sz w:val="20"/>
          <w:szCs w:val="20"/>
          <w:lang w:val="es-AR"/>
        </w:rPr>
        <w:t>no</w:t>
      </w:r>
      <w:r w:rsidR="001A28B3" w:rsidRPr="00EA7870">
        <w:rPr>
          <w:color w:val="000000"/>
          <w:sz w:val="20"/>
          <w:szCs w:val="20"/>
          <w:lang w:val="es-AR"/>
        </w:rPr>
        <w:t xml:space="preserve"> </w:t>
      </w:r>
      <w:r w:rsidRPr="00EA7870">
        <w:rPr>
          <w:color w:val="000000"/>
          <w:sz w:val="20"/>
          <w:szCs w:val="20"/>
          <w:lang w:val="es-AR"/>
        </w:rPr>
        <w:t>garantizadas</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no</w:t>
      </w:r>
      <w:r w:rsidR="001A28B3" w:rsidRPr="00EA7870">
        <w:rPr>
          <w:color w:val="000000"/>
          <w:sz w:val="20"/>
          <w:szCs w:val="20"/>
          <w:lang w:val="es-AR"/>
        </w:rPr>
        <w:t xml:space="preserve"> </w:t>
      </w:r>
      <w:r w:rsidRPr="00EA7870">
        <w:rPr>
          <w:color w:val="000000"/>
          <w:sz w:val="20"/>
          <w:szCs w:val="20"/>
          <w:lang w:val="es-AR"/>
        </w:rPr>
        <w:t>subordinadas</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Emisora</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Garante,</w:t>
      </w:r>
      <w:r w:rsidR="001A28B3" w:rsidRPr="00EA7870">
        <w:rPr>
          <w:color w:val="000000"/>
          <w:sz w:val="20"/>
          <w:szCs w:val="20"/>
          <w:lang w:val="es-AR"/>
        </w:rPr>
        <w:t xml:space="preserve"> </w:t>
      </w:r>
      <w:r w:rsidRPr="00EA7870">
        <w:rPr>
          <w:color w:val="000000"/>
          <w:sz w:val="20"/>
          <w:szCs w:val="20"/>
          <w:lang w:val="es-AR"/>
        </w:rPr>
        <w:t>respectivamente,</w:t>
      </w:r>
      <w:r w:rsidR="001A28B3" w:rsidRPr="00EA7870">
        <w:rPr>
          <w:color w:val="000000"/>
          <w:sz w:val="20"/>
          <w:szCs w:val="20"/>
          <w:lang w:val="es-AR"/>
        </w:rPr>
        <w:t xml:space="preserve"> </w:t>
      </w:r>
      <w:r w:rsidRPr="00EA7870">
        <w:rPr>
          <w:color w:val="000000"/>
          <w:sz w:val="20"/>
          <w:szCs w:val="20"/>
          <w:lang w:val="es-AR"/>
        </w:rPr>
        <w:t>y:</w:t>
      </w:r>
    </w:p>
    <w:p w14:paraId="347A1A72" w14:textId="58251186" w:rsidR="00376725" w:rsidRPr="00EA7870" w:rsidRDefault="00376725" w:rsidP="00E2318E">
      <w:pPr>
        <w:pStyle w:val="Prrafodelista"/>
        <w:widowControl w:val="0"/>
        <w:numPr>
          <w:ilvl w:val="0"/>
          <w:numId w:val="9"/>
        </w:numPr>
        <w:spacing w:after="200"/>
        <w:contextualSpacing/>
        <w:jc w:val="both"/>
        <w:rPr>
          <w:sz w:val="20"/>
          <w:szCs w:val="20"/>
        </w:rPr>
      </w:pPr>
      <w:r w:rsidRPr="00EA7870">
        <w:rPr>
          <w:color w:val="000000"/>
          <w:sz w:val="20"/>
          <w:szCs w:val="20"/>
        </w:rPr>
        <w:t>tendrán</w:t>
      </w:r>
      <w:r w:rsidR="001A28B3" w:rsidRPr="00EA7870">
        <w:rPr>
          <w:color w:val="000000"/>
          <w:sz w:val="20"/>
          <w:szCs w:val="20"/>
        </w:rPr>
        <w:t xml:space="preserve"> </w:t>
      </w:r>
      <w:r w:rsidRPr="00EA7870">
        <w:rPr>
          <w:sz w:val="20"/>
          <w:szCs w:val="20"/>
        </w:rPr>
        <w:t>igual</w:t>
      </w:r>
      <w:r w:rsidR="001A28B3" w:rsidRPr="00EA7870">
        <w:rPr>
          <w:sz w:val="20"/>
          <w:szCs w:val="20"/>
        </w:rPr>
        <w:t xml:space="preserve"> </w:t>
      </w:r>
      <w:r w:rsidRPr="00EA7870">
        <w:rPr>
          <w:sz w:val="20"/>
          <w:szCs w:val="20"/>
        </w:rPr>
        <w:t>prioridad</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pago</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todas</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demás</w:t>
      </w:r>
      <w:r w:rsidR="001A28B3" w:rsidRPr="00EA7870">
        <w:rPr>
          <w:sz w:val="20"/>
          <w:szCs w:val="20"/>
        </w:rPr>
        <w:t xml:space="preserve"> </w:t>
      </w:r>
      <w:r w:rsidRPr="00EA7870">
        <w:rPr>
          <w:color w:val="000000"/>
          <w:sz w:val="20"/>
          <w:szCs w:val="20"/>
        </w:rPr>
        <w:t>obligaciones</w:t>
      </w:r>
      <w:r w:rsidR="001A28B3" w:rsidRPr="00EA7870">
        <w:rPr>
          <w:color w:val="000000"/>
          <w:sz w:val="20"/>
          <w:szCs w:val="20"/>
        </w:rPr>
        <w:t xml:space="preserve"> </w:t>
      </w:r>
      <w:r w:rsidRPr="00EA7870">
        <w:rPr>
          <w:color w:val="000000"/>
          <w:sz w:val="20"/>
          <w:szCs w:val="20"/>
        </w:rPr>
        <w:t>no</w:t>
      </w:r>
      <w:r w:rsidR="001A28B3" w:rsidRPr="00EA7870">
        <w:rPr>
          <w:color w:val="000000"/>
          <w:sz w:val="20"/>
          <w:szCs w:val="20"/>
        </w:rPr>
        <w:t xml:space="preserve"> </w:t>
      </w:r>
      <w:r w:rsidRPr="00EA7870">
        <w:rPr>
          <w:color w:val="000000"/>
          <w:sz w:val="20"/>
          <w:szCs w:val="20"/>
        </w:rPr>
        <w:t>garantizadas</w:t>
      </w:r>
      <w:r w:rsidR="001A28B3" w:rsidRPr="00EA7870">
        <w:rPr>
          <w:color w:val="000000"/>
          <w:sz w:val="20"/>
          <w:szCs w:val="20"/>
        </w:rPr>
        <w:t xml:space="preserve"> </w:t>
      </w:r>
      <w:r w:rsidRPr="00EA7870">
        <w:rPr>
          <w:color w:val="000000"/>
          <w:sz w:val="20"/>
          <w:szCs w:val="20"/>
        </w:rPr>
        <w:t>y</w:t>
      </w:r>
      <w:r w:rsidR="001A28B3" w:rsidRPr="00EA7870">
        <w:rPr>
          <w:color w:val="000000"/>
          <w:sz w:val="20"/>
          <w:szCs w:val="20"/>
        </w:rPr>
        <w:t xml:space="preserve"> </w:t>
      </w:r>
      <w:r w:rsidRPr="00EA7870">
        <w:rPr>
          <w:color w:val="000000"/>
          <w:sz w:val="20"/>
          <w:szCs w:val="20"/>
        </w:rPr>
        <w:t>no</w:t>
      </w:r>
      <w:r w:rsidR="001A28B3" w:rsidRPr="00EA7870">
        <w:rPr>
          <w:color w:val="000000"/>
          <w:sz w:val="20"/>
          <w:szCs w:val="20"/>
        </w:rPr>
        <w:t xml:space="preserve"> </w:t>
      </w:r>
      <w:r w:rsidRPr="00EA7870">
        <w:rPr>
          <w:color w:val="000000"/>
          <w:sz w:val="20"/>
          <w:szCs w:val="20"/>
        </w:rPr>
        <w:t>subordinadas</w:t>
      </w:r>
      <w:r w:rsidR="001A28B3" w:rsidRPr="00EA7870">
        <w:rPr>
          <w:color w:val="000000"/>
          <w:sz w:val="20"/>
          <w:szCs w:val="20"/>
        </w:rPr>
        <w:t xml:space="preserve"> </w:t>
      </w:r>
      <w:r w:rsidRPr="00EA7870">
        <w:rPr>
          <w:sz w:val="20"/>
          <w:szCs w:val="20"/>
        </w:rPr>
        <w:t>presentes</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futuras</w:t>
      </w:r>
      <w:r w:rsidR="001A28B3" w:rsidRPr="00EA7870">
        <w:rPr>
          <w:sz w:val="20"/>
          <w:szCs w:val="20"/>
        </w:rPr>
        <w:t xml:space="preserve"> </w:t>
      </w:r>
      <w:r w:rsidRPr="00EA7870">
        <w:rPr>
          <w:color w:val="000000"/>
          <w:sz w:val="20"/>
          <w:szCs w:val="20"/>
        </w:rPr>
        <w:t>de</w:t>
      </w:r>
      <w:r w:rsidR="001A28B3" w:rsidRPr="00EA7870">
        <w:rPr>
          <w:color w:val="000000"/>
          <w:sz w:val="20"/>
          <w:szCs w:val="20"/>
        </w:rPr>
        <w:t xml:space="preserve"> </w:t>
      </w:r>
      <w:r w:rsidRPr="00EA7870">
        <w:rPr>
          <w:color w:val="000000"/>
          <w:sz w:val="20"/>
          <w:szCs w:val="20"/>
        </w:rPr>
        <w:t>la</w:t>
      </w:r>
      <w:r w:rsidR="001A28B3" w:rsidRPr="00EA7870">
        <w:rPr>
          <w:color w:val="000000"/>
          <w:sz w:val="20"/>
          <w:szCs w:val="20"/>
        </w:rPr>
        <w:t xml:space="preserve"> </w:t>
      </w:r>
      <w:r w:rsidRPr="00EA7870">
        <w:rPr>
          <w:color w:val="000000"/>
          <w:sz w:val="20"/>
          <w:szCs w:val="20"/>
        </w:rPr>
        <w:t>Emisora</w:t>
      </w:r>
      <w:r w:rsidR="001A28B3" w:rsidRPr="00EA7870">
        <w:rPr>
          <w:color w:val="000000"/>
          <w:sz w:val="20"/>
          <w:szCs w:val="20"/>
        </w:rPr>
        <w:t xml:space="preserve"> </w:t>
      </w:r>
      <w:r w:rsidRPr="00EA7870">
        <w:rPr>
          <w:color w:val="000000"/>
          <w:sz w:val="20"/>
          <w:szCs w:val="20"/>
        </w:rPr>
        <w:t>y</w:t>
      </w:r>
      <w:r w:rsidR="001A28B3" w:rsidRPr="00EA7870">
        <w:rPr>
          <w:color w:val="000000"/>
          <w:sz w:val="20"/>
          <w:szCs w:val="20"/>
        </w:rPr>
        <w:t xml:space="preserve"> </w:t>
      </w:r>
      <w:r w:rsidRPr="00EA7870">
        <w:rPr>
          <w:color w:val="000000"/>
          <w:sz w:val="20"/>
          <w:szCs w:val="20"/>
        </w:rPr>
        <w:t>la</w:t>
      </w:r>
      <w:r w:rsidR="001A28B3" w:rsidRPr="00EA7870">
        <w:rPr>
          <w:color w:val="000000"/>
          <w:sz w:val="20"/>
          <w:szCs w:val="20"/>
        </w:rPr>
        <w:t xml:space="preserve"> </w:t>
      </w:r>
      <w:r w:rsidRPr="00EA7870">
        <w:rPr>
          <w:color w:val="000000"/>
          <w:sz w:val="20"/>
          <w:szCs w:val="20"/>
        </w:rPr>
        <w:t>Garante,</w:t>
      </w:r>
      <w:r w:rsidR="001A28B3" w:rsidRPr="00EA7870">
        <w:rPr>
          <w:color w:val="000000"/>
          <w:sz w:val="20"/>
          <w:szCs w:val="20"/>
        </w:rPr>
        <w:t xml:space="preserve"> </w:t>
      </w:r>
      <w:r w:rsidRPr="00EA7870">
        <w:rPr>
          <w:color w:val="000000"/>
          <w:sz w:val="20"/>
          <w:szCs w:val="20"/>
        </w:rPr>
        <w:t>respectivamente,</w:t>
      </w:r>
      <w:r w:rsidR="001A28B3" w:rsidRPr="00EA7870">
        <w:rPr>
          <w:color w:val="000000"/>
          <w:sz w:val="20"/>
          <w:szCs w:val="20"/>
        </w:rPr>
        <w:t xml:space="preserve"> </w:t>
      </w:r>
      <w:r w:rsidRPr="00EA7870">
        <w:rPr>
          <w:color w:val="000000"/>
          <w:sz w:val="20"/>
          <w:szCs w:val="20"/>
        </w:rPr>
        <w:t>pendientes</w:t>
      </w:r>
      <w:r w:rsidR="001A28B3" w:rsidRPr="00EA7870">
        <w:rPr>
          <w:color w:val="000000"/>
          <w:sz w:val="20"/>
          <w:szCs w:val="20"/>
        </w:rPr>
        <w:t xml:space="preserve"> </w:t>
      </w:r>
      <w:r w:rsidRPr="00EA7870">
        <w:rPr>
          <w:color w:val="000000"/>
          <w:sz w:val="20"/>
          <w:szCs w:val="20"/>
        </w:rPr>
        <w:t>de</w:t>
      </w:r>
      <w:r w:rsidR="001A28B3" w:rsidRPr="00EA7870">
        <w:rPr>
          <w:color w:val="000000"/>
          <w:sz w:val="20"/>
          <w:szCs w:val="20"/>
        </w:rPr>
        <w:t xml:space="preserve"> </w:t>
      </w:r>
      <w:r w:rsidRPr="00EA7870">
        <w:rPr>
          <w:color w:val="000000"/>
          <w:sz w:val="20"/>
          <w:szCs w:val="20"/>
        </w:rPr>
        <w:t>pago</w:t>
      </w:r>
      <w:r w:rsidR="001A28B3" w:rsidRPr="00EA7870">
        <w:rPr>
          <w:color w:val="000000"/>
          <w:sz w:val="20"/>
          <w:szCs w:val="20"/>
        </w:rPr>
        <w:t xml:space="preserve"> </w:t>
      </w:r>
      <w:r w:rsidRPr="00EA7870">
        <w:rPr>
          <w:color w:val="000000"/>
          <w:sz w:val="20"/>
          <w:szCs w:val="20"/>
        </w:rPr>
        <w:t>periódicamente</w:t>
      </w:r>
      <w:r w:rsidR="001A28B3" w:rsidRPr="00EA7870">
        <w:rPr>
          <w:color w:val="000000"/>
          <w:sz w:val="20"/>
          <w:szCs w:val="20"/>
        </w:rPr>
        <w:t xml:space="preserve"> </w:t>
      </w:r>
      <w:r w:rsidRPr="00EA7870">
        <w:rPr>
          <w:sz w:val="20"/>
          <w:szCs w:val="20"/>
        </w:rPr>
        <w:t>(salvo</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gozan</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preferencia</w:t>
      </w:r>
      <w:r w:rsidR="001A28B3" w:rsidRPr="00EA7870">
        <w:rPr>
          <w:sz w:val="20"/>
          <w:szCs w:val="20"/>
        </w:rPr>
        <w:t xml:space="preserve"> </w:t>
      </w:r>
      <w:r w:rsidR="004A3EED" w:rsidRPr="00EA7870">
        <w:rPr>
          <w:sz w:val="20"/>
          <w:szCs w:val="20"/>
        </w:rPr>
        <w:t>por imperio de la ley, incluyendo, sin limitación</w:t>
      </w:r>
      <w:r w:rsidRPr="00EA7870">
        <w:rPr>
          <w:sz w:val="20"/>
          <w:szCs w:val="20"/>
        </w:rPr>
        <w:t>,</w:t>
      </w:r>
      <w:r w:rsidR="001A28B3" w:rsidRPr="00EA7870">
        <w:rPr>
          <w:color w:val="000000"/>
          <w:sz w:val="20"/>
          <w:szCs w:val="20"/>
        </w:rPr>
        <w:t xml:space="preserve"> </w:t>
      </w:r>
      <w:r w:rsidRPr="00EA7870">
        <w:rPr>
          <w:color w:val="000000"/>
          <w:sz w:val="20"/>
          <w:szCs w:val="20"/>
        </w:rPr>
        <w:t>créditos</w:t>
      </w:r>
      <w:r w:rsidR="001A28B3" w:rsidRPr="00EA7870">
        <w:rPr>
          <w:color w:val="000000"/>
          <w:sz w:val="20"/>
          <w:szCs w:val="20"/>
        </w:rPr>
        <w:t xml:space="preserve"> </w:t>
      </w:r>
      <w:r w:rsidRPr="00EA7870">
        <w:rPr>
          <w:color w:val="000000"/>
          <w:sz w:val="20"/>
          <w:szCs w:val="20"/>
        </w:rPr>
        <w:t>laborales</w:t>
      </w:r>
      <w:r w:rsidR="001A28B3" w:rsidRPr="00EA7870">
        <w:rPr>
          <w:color w:val="000000"/>
          <w:sz w:val="20"/>
          <w:szCs w:val="20"/>
        </w:rPr>
        <w:t xml:space="preserve"> </w:t>
      </w:r>
      <w:r w:rsidRPr="00EA7870">
        <w:rPr>
          <w:color w:val="000000"/>
          <w:sz w:val="20"/>
          <w:szCs w:val="20"/>
        </w:rPr>
        <w:t>y</w:t>
      </w:r>
      <w:r w:rsidR="001A28B3" w:rsidRPr="00EA7870">
        <w:rPr>
          <w:color w:val="000000"/>
          <w:sz w:val="20"/>
          <w:szCs w:val="20"/>
        </w:rPr>
        <w:t xml:space="preserve"> </w:t>
      </w:r>
      <w:r w:rsidRPr="00EA7870">
        <w:rPr>
          <w:color w:val="000000"/>
          <w:sz w:val="20"/>
          <w:szCs w:val="20"/>
        </w:rPr>
        <w:t>fiscales);</w:t>
      </w:r>
    </w:p>
    <w:p w14:paraId="4B5562C0" w14:textId="77777777" w:rsidR="00376725" w:rsidRPr="00EA7870" w:rsidRDefault="00376725" w:rsidP="00E2318E">
      <w:pPr>
        <w:numPr>
          <w:ilvl w:val="0"/>
          <w:numId w:val="9"/>
        </w:numPr>
        <w:spacing w:after="200"/>
        <w:jc w:val="both"/>
        <w:rPr>
          <w:sz w:val="20"/>
          <w:szCs w:val="20"/>
          <w:lang w:val="es-AR"/>
        </w:rPr>
      </w:pPr>
      <w:r w:rsidRPr="00EA7870">
        <w:rPr>
          <w:color w:val="000000"/>
          <w:sz w:val="20"/>
          <w:szCs w:val="20"/>
          <w:lang w:val="es-AR"/>
        </w:rPr>
        <w:lastRenderedPageBreak/>
        <w:t>tendrán</w:t>
      </w:r>
      <w:r w:rsidR="001A28B3" w:rsidRPr="00EA7870">
        <w:rPr>
          <w:color w:val="000000"/>
          <w:sz w:val="20"/>
          <w:szCs w:val="20"/>
          <w:lang w:val="es-AR"/>
        </w:rPr>
        <w:t xml:space="preserve"> </w:t>
      </w:r>
      <w:r w:rsidRPr="00EA7870">
        <w:rPr>
          <w:color w:val="000000"/>
          <w:sz w:val="20"/>
          <w:szCs w:val="20"/>
          <w:lang w:val="es-AR"/>
        </w:rPr>
        <w:t>preferencia</w:t>
      </w:r>
      <w:r w:rsidR="001A28B3" w:rsidRPr="00EA7870">
        <w:rPr>
          <w:color w:val="000000"/>
          <w:sz w:val="20"/>
          <w:szCs w:val="20"/>
          <w:lang w:val="es-AR"/>
        </w:rPr>
        <w:t xml:space="preserve"> </w:t>
      </w:r>
      <w:r w:rsidRPr="00EA7870">
        <w:rPr>
          <w:color w:val="000000"/>
          <w:sz w:val="20"/>
          <w:szCs w:val="20"/>
          <w:lang w:val="es-AR"/>
        </w:rPr>
        <w:t>en</w:t>
      </w:r>
      <w:r w:rsidR="001A28B3" w:rsidRPr="00EA7870">
        <w:rPr>
          <w:color w:val="000000"/>
          <w:sz w:val="20"/>
          <w:szCs w:val="20"/>
          <w:lang w:val="es-AR"/>
        </w:rPr>
        <w:t xml:space="preserve"> </w:t>
      </w:r>
      <w:r w:rsidRPr="00EA7870">
        <w:rPr>
          <w:color w:val="000000"/>
          <w:sz w:val="20"/>
          <w:szCs w:val="20"/>
          <w:lang w:val="es-AR"/>
        </w:rPr>
        <w:t>su</w:t>
      </w:r>
      <w:r w:rsidR="001A28B3" w:rsidRPr="00EA7870">
        <w:rPr>
          <w:color w:val="000000"/>
          <w:sz w:val="20"/>
          <w:szCs w:val="20"/>
          <w:lang w:val="es-AR"/>
        </w:rPr>
        <w:t xml:space="preserve"> </w:t>
      </w:r>
      <w:r w:rsidRPr="00EA7870">
        <w:rPr>
          <w:color w:val="000000"/>
          <w:sz w:val="20"/>
          <w:szCs w:val="20"/>
          <w:lang w:val="es-AR"/>
        </w:rPr>
        <w:t>derecho</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pago</w:t>
      </w:r>
      <w:r w:rsidR="001A28B3" w:rsidRPr="00EA7870">
        <w:rPr>
          <w:color w:val="000000"/>
          <w:sz w:val="20"/>
          <w:szCs w:val="20"/>
          <w:lang w:val="es-AR"/>
        </w:rPr>
        <w:t xml:space="preserve"> </w:t>
      </w:r>
      <w:r w:rsidRPr="00EA7870">
        <w:rPr>
          <w:color w:val="000000"/>
          <w:sz w:val="20"/>
          <w:szCs w:val="20"/>
          <w:lang w:val="es-AR"/>
        </w:rPr>
        <w:t>sobre</w:t>
      </w:r>
      <w:r w:rsidR="001A28B3" w:rsidRPr="00EA7870">
        <w:rPr>
          <w:color w:val="000000"/>
          <w:sz w:val="20"/>
          <w:szCs w:val="20"/>
          <w:lang w:val="es-AR"/>
        </w:rPr>
        <w:t xml:space="preserve"> </w:t>
      </w:r>
      <w:r w:rsidRPr="00EA7870">
        <w:rPr>
          <w:color w:val="000000"/>
          <w:sz w:val="20"/>
          <w:szCs w:val="20"/>
          <w:lang w:val="es-AR"/>
        </w:rPr>
        <w:t>todo</w:t>
      </w:r>
      <w:r w:rsidR="001A28B3" w:rsidRPr="00EA7870">
        <w:rPr>
          <w:color w:val="000000"/>
          <w:sz w:val="20"/>
          <w:szCs w:val="20"/>
          <w:lang w:val="es-AR"/>
        </w:rPr>
        <w:t xml:space="preserve"> </w:t>
      </w:r>
      <w:r w:rsidRPr="00EA7870">
        <w:rPr>
          <w:color w:val="000000"/>
          <w:sz w:val="20"/>
          <w:szCs w:val="20"/>
          <w:lang w:val="es-AR"/>
        </w:rPr>
        <w:t>el</w:t>
      </w:r>
      <w:r w:rsidR="001A28B3" w:rsidRPr="00EA7870">
        <w:rPr>
          <w:color w:val="000000"/>
          <w:sz w:val="20"/>
          <w:szCs w:val="20"/>
          <w:lang w:val="es-AR"/>
        </w:rPr>
        <w:t xml:space="preserve"> </w:t>
      </w:r>
      <w:r w:rsidRPr="00EA7870">
        <w:rPr>
          <w:color w:val="000000"/>
          <w:sz w:val="20"/>
          <w:szCs w:val="20"/>
          <w:lang w:val="es-AR"/>
        </w:rPr>
        <w:t>endeudamiento</w:t>
      </w:r>
      <w:r w:rsidR="001A28B3" w:rsidRPr="00EA7870">
        <w:rPr>
          <w:color w:val="000000"/>
          <w:sz w:val="20"/>
          <w:szCs w:val="20"/>
          <w:lang w:val="es-AR"/>
        </w:rPr>
        <w:t xml:space="preserve"> </w:t>
      </w:r>
      <w:r w:rsidRPr="00EA7870">
        <w:rPr>
          <w:color w:val="000000"/>
          <w:sz w:val="20"/>
          <w:szCs w:val="20"/>
          <w:lang w:val="es-AR"/>
        </w:rPr>
        <w:t>subordinado</w:t>
      </w:r>
      <w:r w:rsidR="001A28B3" w:rsidRPr="00EA7870">
        <w:rPr>
          <w:color w:val="000000"/>
          <w:sz w:val="20"/>
          <w:szCs w:val="20"/>
          <w:lang w:val="es-AR"/>
        </w:rPr>
        <w:t xml:space="preserve"> </w:t>
      </w:r>
      <w:r w:rsidRPr="00EA7870">
        <w:rPr>
          <w:color w:val="000000"/>
          <w:sz w:val="20"/>
          <w:szCs w:val="20"/>
          <w:lang w:val="es-AR"/>
        </w:rPr>
        <w:t>presente</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futuro</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Emisora</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Garante,</w:t>
      </w:r>
      <w:r w:rsidR="001A28B3" w:rsidRPr="00EA7870">
        <w:rPr>
          <w:color w:val="000000"/>
          <w:sz w:val="20"/>
          <w:szCs w:val="20"/>
          <w:lang w:val="es-AR"/>
        </w:rPr>
        <w:t xml:space="preserve"> </w:t>
      </w:r>
      <w:r w:rsidRPr="00EA7870">
        <w:rPr>
          <w:color w:val="000000"/>
          <w:sz w:val="20"/>
          <w:szCs w:val="20"/>
          <w:lang w:val="es-AR"/>
        </w:rPr>
        <w:t>respectivamente,</w:t>
      </w:r>
      <w:r w:rsidR="001A28B3" w:rsidRPr="00EA7870">
        <w:rPr>
          <w:color w:val="000000"/>
          <w:sz w:val="20"/>
          <w:szCs w:val="20"/>
          <w:lang w:val="es-AR"/>
        </w:rPr>
        <w:t xml:space="preserve"> </w:t>
      </w:r>
      <w:r w:rsidRPr="00EA7870">
        <w:rPr>
          <w:color w:val="000000"/>
          <w:sz w:val="20"/>
          <w:szCs w:val="20"/>
          <w:lang w:val="es-AR"/>
        </w:rPr>
        <w:t>si</w:t>
      </w:r>
      <w:r w:rsidR="001A28B3" w:rsidRPr="00EA7870">
        <w:rPr>
          <w:color w:val="000000"/>
          <w:sz w:val="20"/>
          <w:szCs w:val="20"/>
          <w:lang w:val="es-AR"/>
        </w:rPr>
        <w:t xml:space="preserve"> </w:t>
      </w:r>
      <w:r w:rsidRPr="00EA7870">
        <w:rPr>
          <w:color w:val="000000"/>
          <w:sz w:val="20"/>
          <w:szCs w:val="20"/>
          <w:lang w:val="es-AR"/>
        </w:rPr>
        <w:t>lo</w:t>
      </w:r>
      <w:r w:rsidR="001A28B3" w:rsidRPr="00EA7870">
        <w:rPr>
          <w:color w:val="000000"/>
          <w:sz w:val="20"/>
          <w:szCs w:val="20"/>
          <w:lang w:val="es-AR"/>
        </w:rPr>
        <w:t xml:space="preserve"> </w:t>
      </w:r>
      <w:r w:rsidRPr="00EA7870">
        <w:rPr>
          <w:color w:val="000000"/>
          <w:sz w:val="20"/>
          <w:szCs w:val="20"/>
          <w:lang w:val="es-AR"/>
        </w:rPr>
        <w:t>hubiera;</w:t>
      </w:r>
    </w:p>
    <w:p w14:paraId="25BA49B3" w14:textId="77777777" w:rsidR="00376725" w:rsidRPr="00EA7870" w:rsidRDefault="00376725" w:rsidP="00E2318E">
      <w:pPr>
        <w:numPr>
          <w:ilvl w:val="0"/>
          <w:numId w:val="9"/>
        </w:numPr>
        <w:spacing w:after="200"/>
        <w:jc w:val="both"/>
        <w:rPr>
          <w:sz w:val="20"/>
          <w:szCs w:val="20"/>
          <w:lang w:val="es-AR"/>
        </w:rPr>
      </w:pPr>
      <w:r w:rsidRPr="00EA7870">
        <w:rPr>
          <w:color w:val="000000"/>
          <w:sz w:val="20"/>
          <w:szCs w:val="20"/>
          <w:lang w:val="es-AR"/>
        </w:rPr>
        <w:t>se</w:t>
      </w:r>
      <w:r w:rsidR="001A28B3" w:rsidRPr="00EA7870">
        <w:rPr>
          <w:color w:val="000000"/>
          <w:sz w:val="20"/>
          <w:szCs w:val="20"/>
          <w:lang w:val="es-AR"/>
        </w:rPr>
        <w:t xml:space="preserve"> </w:t>
      </w:r>
      <w:r w:rsidRPr="00EA7870">
        <w:rPr>
          <w:color w:val="000000"/>
          <w:sz w:val="20"/>
          <w:szCs w:val="20"/>
          <w:lang w:val="es-AR"/>
        </w:rPr>
        <w:t>encontrarán</w:t>
      </w:r>
      <w:r w:rsidR="001A28B3" w:rsidRPr="00EA7870">
        <w:rPr>
          <w:color w:val="000000"/>
          <w:sz w:val="20"/>
          <w:szCs w:val="20"/>
          <w:lang w:val="es-AR"/>
        </w:rPr>
        <w:t xml:space="preserve"> </w:t>
      </w:r>
      <w:r w:rsidRPr="00EA7870">
        <w:rPr>
          <w:color w:val="000000"/>
          <w:sz w:val="20"/>
          <w:szCs w:val="20"/>
          <w:lang w:val="es-AR"/>
        </w:rPr>
        <w:t>efectivamente</w:t>
      </w:r>
      <w:r w:rsidR="001A28B3" w:rsidRPr="00EA7870">
        <w:rPr>
          <w:color w:val="000000"/>
          <w:sz w:val="20"/>
          <w:szCs w:val="20"/>
          <w:lang w:val="es-AR"/>
        </w:rPr>
        <w:t xml:space="preserve"> </w:t>
      </w:r>
      <w:r w:rsidRPr="00EA7870">
        <w:rPr>
          <w:color w:val="000000"/>
          <w:sz w:val="20"/>
          <w:szCs w:val="20"/>
          <w:lang w:val="es-AR"/>
        </w:rPr>
        <w:t>subordinadas</w:t>
      </w:r>
      <w:r w:rsidR="001A28B3" w:rsidRPr="00EA7870">
        <w:rPr>
          <w:color w:val="000000"/>
          <w:sz w:val="20"/>
          <w:szCs w:val="20"/>
          <w:lang w:val="es-AR"/>
        </w:rPr>
        <w:t xml:space="preserve"> </w:t>
      </w:r>
      <w:r w:rsidRPr="00EA7870">
        <w:rPr>
          <w:color w:val="000000"/>
          <w:sz w:val="20"/>
          <w:szCs w:val="20"/>
          <w:lang w:val="es-AR"/>
        </w:rPr>
        <w:t>a</w:t>
      </w:r>
      <w:r w:rsidR="001A28B3" w:rsidRPr="00EA7870">
        <w:rPr>
          <w:color w:val="000000"/>
          <w:sz w:val="20"/>
          <w:szCs w:val="20"/>
          <w:lang w:val="es-AR"/>
        </w:rPr>
        <w:t xml:space="preserve"> </w:t>
      </w:r>
      <w:r w:rsidRPr="00EA7870">
        <w:rPr>
          <w:color w:val="000000"/>
          <w:sz w:val="20"/>
          <w:szCs w:val="20"/>
          <w:lang w:val="es-AR"/>
        </w:rPr>
        <w:t>todas</w:t>
      </w:r>
      <w:r w:rsidR="001A28B3" w:rsidRPr="00EA7870">
        <w:rPr>
          <w:color w:val="000000"/>
          <w:sz w:val="20"/>
          <w:szCs w:val="20"/>
          <w:lang w:val="es-AR"/>
        </w:rPr>
        <w:t xml:space="preserve"> </w:t>
      </w:r>
      <w:r w:rsidRPr="00EA7870">
        <w:rPr>
          <w:color w:val="000000"/>
          <w:sz w:val="20"/>
          <w:szCs w:val="20"/>
          <w:lang w:val="es-AR"/>
        </w:rPr>
        <w:t>las</w:t>
      </w:r>
      <w:r w:rsidR="001A28B3" w:rsidRPr="00EA7870">
        <w:rPr>
          <w:color w:val="000000"/>
          <w:sz w:val="20"/>
          <w:szCs w:val="20"/>
          <w:lang w:val="es-AR"/>
        </w:rPr>
        <w:t xml:space="preserve"> </w:t>
      </w:r>
      <w:r w:rsidRPr="00EA7870">
        <w:rPr>
          <w:color w:val="000000"/>
          <w:sz w:val="20"/>
          <w:szCs w:val="20"/>
          <w:lang w:val="es-AR"/>
        </w:rPr>
        <w:t>obligaciones</w:t>
      </w:r>
      <w:r w:rsidR="001A28B3" w:rsidRPr="00EA7870">
        <w:rPr>
          <w:color w:val="000000"/>
          <w:sz w:val="20"/>
          <w:szCs w:val="20"/>
          <w:lang w:val="es-AR"/>
        </w:rPr>
        <w:t xml:space="preserve"> </w:t>
      </w:r>
      <w:r w:rsidRPr="00EA7870">
        <w:rPr>
          <w:color w:val="000000"/>
          <w:sz w:val="20"/>
          <w:szCs w:val="20"/>
          <w:lang w:val="es-AR"/>
        </w:rPr>
        <w:t>garantizadas</w:t>
      </w:r>
      <w:r w:rsidR="001A28B3" w:rsidRPr="00EA7870">
        <w:rPr>
          <w:color w:val="000000"/>
          <w:sz w:val="20"/>
          <w:szCs w:val="20"/>
          <w:lang w:val="es-AR"/>
        </w:rPr>
        <w:t xml:space="preserve"> </w:t>
      </w:r>
      <w:r w:rsidRPr="00EA7870">
        <w:rPr>
          <w:color w:val="000000"/>
          <w:sz w:val="20"/>
          <w:szCs w:val="20"/>
          <w:lang w:val="es-AR"/>
        </w:rPr>
        <w:t>presentes</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futuras</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Emisora</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Garante,</w:t>
      </w:r>
      <w:r w:rsidR="001A28B3" w:rsidRPr="00EA7870">
        <w:rPr>
          <w:color w:val="000000"/>
          <w:sz w:val="20"/>
          <w:szCs w:val="20"/>
          <w:lang w:val="es-AR"/>
        </w:rPr>
        <w:t xml:space="preserve"> </w:t>
      </w:r>
      <w:r w:rsidRPr="00EA7870">
        <w:rPr>
          <w:color w:val="000000"/>
          <w:sz w:val="20"/>
          <w:szCs w:val="20"/>
          <w:lang w:val="es-AR"/>
        </w:rPr>
        <w:t>respectivamente,</w:t>
      </w:r>
      <w:r w:rsidR="001A28B3" w:rsidRPr="00EA7870">
        <w:rPr>
          <w:color w:val="000000"/>
          <w:sz w:val="20"/>
          <w:szCs w:val="20"/>
          <w:lang w:val="es-AR"/>
        </w:rPr>
        <w:t xml:space="preserve"> </w:t>
      </w:r>
      <w:r w:rsidRPr="00EA7870">
        <w:rPr>
          <w:color w:val="000000"/>
          <w:sz w:val="20"/>
          <w:szCs w:val="20"/>
          <w:lang w:val="es-AR"/>
        </w:rPr>
        <w:t>en</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medida</w:t>
      </w:r>
      <w:r w:rsidR="001A28B3" w:rsidRPr="00EA7870">
        <w:rPr>
          <w:color w:val="000000"/>
          <w:sz w:val="20"/>
          <w:szCs w:val="20"/>
          <w:lang w:val="es-AR"/>
        </w:rPr>
        <w:t xml:space="preserve"> </w:t>
      </w:r>
      <w:r w:rsidRPr="00EA7870">
        <w:rPr>
          <w:color w:val="000000"/>
          <w:sz w:val="20"/>
          <w:szCs w:val="20"/>
          <w:lang w:val="es-AR"/>
        </w:rPr>
        <w:t>del</w:t>
      </w:r>
      <w:r w:rsidR="001A28B3" w:rsidRPr="00EA7870">
        <w:rPr>
          <w:color w:val="000000"/>
          <w:sz w:val="20"/>
          <w:szCs w:val="20"/>
          <w:lang w:val="es-AR"/>
        </w:rPr>
        <w:t xml:space="preserve"> </w:t>
      </w:r>
      <w:r w:rsidRPr="00EA7870">
        <w:rPr>
          <w:color w:val="000000"/>
          <w:sz w:val="20"/>
          <w:szCs w:val="20"/>
          <w:lang w:val="es-AR"/>
        </w:rPr>
        <w:t>valor</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los</w:t>
      </w:r>
      <w:r w:rsidR="001A28B3" w:rsidRPr="00EA7870">
        <w:rPr>
          <w:color w:val="000000"/>
          <w:sz w:val="20"/>
          <w:szCs w:val="20"/>
          <w:lang w:val="es-AR"/>
        </w:rPr>
        <w:t xml:space="preserve"> </w:t>
      </w:r>
      <w:r w:rsidRPr="00EA7870">
        <w:rPr>
          <w:color w:val="000000"/>
          <w:sz w:val="20"/>
          <w:szCs w:val="20"/>
          <w:lang w:val="es-AR"/>
        </w:rPr>
        <w:t>activos</w:t>
      </w:r>
      <w:r w:rsidR="001A28B3" w:rsidRPr="00EA7870">
        <w:rPr>
          <w:color w:val="000000"/>
          <w:sz w:val="20"/>
          <w:szCs w:val="20"/>
          <w:lang w:val="es-AR"/>
        </w:rPr>
        <w:t xml:space="preserve"> </w:t>
      </w:r>
      <w:r w:rsidRPr="00EA7870">
        <w:rPr>
          <w:color w:val="000000"/>
          <w:sz w:val="20"/>
          <w:szCs w:val="20"/>
          <w:lang w:val="es-AR"/>
        </w:rPr>
        <w:t>en</w:t>
      </w:r>
      <w:r w:rsidR="001A28B3" w:rsidRPr="00EA7870">
        <w:rPr>
          <w:color w:val="000000"/>
          <w:sz w:val="20"/>
          <w:szCs w:val="20"/>
          <w:lang w:val="es-AR"/>
        </w:rPr>
        <w:t xml:space="preserve"> </w:t>
      </w:r>
      <w:r w:rsidRPr="00EA7870">
        <w:rPr>
          <w:color w:val="000000"/>
          <w:sz w:val="20"/>
          <w:szCs w:val="20"/>
          <w:lang w:val="es-AR"/>
        </w:rPr>
        <w:t>garantía</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dichas</w:t>
      </w:r>
      <w:r w:rsidR="001A28B3" w:rsidRPr="00EA7870">
        <w:rPr>
          <w:color w:val="000000"/>
          <w:sz w:val="20"/>
          <w:szCs w:val="20"/>
          <w:lang w:val="es-AR"/>
        </w:rPr>
        <w:t xml:space="preserve"> </w:t>
      </w:r>
      <w:r w:rsidRPr="00EA7870">
        <w:rPr>
          <w:color w:val="000000"/>
          <w:sz w:val="20"/>
          <w:szCs w:val="20"/>
          <w:lang w:val="es-AR"/>
        </w:rPr>
        <w:t>obligaciones;</w:t>
      </w:r>
      <w:r w:rsidR="001A28B3" w:rsidRPr="00EA7870">
        <w:rPr>
          <w:color w:val="000000"/>
          <w:sz w:val="20"/>
          <w:szCs w:val="20"/>
          <w:lang w:val="es-AR"/>
        </w:rPr>
        <w:t xml:space="preserve"> </w:t>
      </w:r>
      <w:r w:rsidRPr="00EA7870">
        <w:rPr>
          <w:color w:val="000000"/>
          <w:sz w:val="20"/>
          <w:szCs w:val="20"/>
          <w:lang w:val="es-AR"/>
        </w:rPr>
        <w:t>y</w:t>
      </w:r>
    </w:p>
    <w:p w14:paraId="76AA2BB8" w14:textId="77777777" w:rsidR="00376725" w:rsidRPr="00EA7870" w:rsidRDefault="00376725" w:rsidP="00E2318E">
      <w:pPr>
        <w:numPr>
          <w:ilvl w:val="0"/>
          <w:numId w:val="9"/>
        </w:numPr>
        <w:spacing w:after="200"/>
        <w:jc w:val="both"/>
        <w:rPr>
          <w:sz w:val="20"/>
          <w:szCs w:val="20"/>
          <w:lang w:val="es-AR"/>
        </w:rPr>
      </w:pPr>
      <w:r w:rsidRPr="00EA7870">
        <w:rPr>
          <w:color w:val="000000"/>
          <w:sz w:val="20"/>
          <w:szCs w:val="20"/>
          <w:lang w:val="es-AR"/>
        </w:rPr>
        <w:t>estarán</w:t>
      </w:r>
      <w:r w:rsidR="001A28B3" w:rsidRPr="00EA7870">
        <w:rPr>
          <w:color w:val="000000"/>
          <w:sz w:val="20"/>
          <w:szCs w:val="20"/>
          <w:lang w:val="es-AR"/>
        </w:rPr>
        <w:t xml:space="preserve"> </w:t>
      </w:r>
      <w:r w:rsidRPr="00EA7870">
        <w:rPr>
          <w:color w:val="000000"/>
          <w:sz w:val="20"/>
          <w:szCs w:val="20"/>
          <w:lang w:val="es-AR"/>
        </w:rPr>
        <w:t>estructuralmente</w:t>
      </w:r>
      <w:r w:rsidR="001A28B3" w:rsidRPr="00EA7870">
        <w:rPr>
          <w:color w:val="000000"/>
          <w:sz w:val="20"/>
          <w:szCs w:val="20"/>
          <w:lang w:val="es-AR"/>
        </w:rPr>
        <w:t xml:space="preserve"> </w:t>
      </w:r>
      <w:r w:rsidRPr="00EA7870">
        <w:rPr>
          <w:color w:val="000000"/>
          <w:sz w:val="20"/>
          <w:szCs w:val="20"/>
          <w:lang w:val="es-AR"/>
        </w:rPr>
        <w:t>subordinadas</w:t>
      </w:r>
      <w:r w:rsidR="001A28B3" w:rsidRPr="00EA7870">
        <w:rPr>
          <w:color w:val="000000"/>
          <w:sz w:val="20"/>
          <w:szCs w:val="20"/>
          <w:lang w:val="es-AR"/>
        </w:rPr>
        <w:t xml:space="preserve"> </w:t>
      </w:r>
      <w:r w:rsidRPr="00EA7870">
        <w:rPr>
          <w:color w:val="000000"/>
          <w:sz w:val="20"/>
          <w:szCs w:val="20"/>
          <w:lang w:val="es-AR"/>
        </w:rPr>
        <w:t>a</w:t>
      </w:r>
      <w:r w:rsidR="001A28B3" w:rsidRPr="00EA7870">
        <w:rPr>
          <w:color w:val="000000"/>
          <w:sz w:val="20"/>
          <w:szCs w:val="20"/>
          <w:lang w:val="es-AR"/>
        </w:rPr>
        <w:t xml:space="preserve"> </w:t>
      </w:r>
      <w:r w:rsidRPr="00EA7870">
        <w:rPr>
          <w:color w:val="000000"/>
          <w:sz w:val="20"/>
          <w:szCs w:val="20"/>
          <w:lang w:val="es-AR"/>
        </w:rPr>
        <w:t>todas</w:t>
      </w:r>
      <w:r w:rsidR="001A28B3" w:rsidRPr="00EA7870">
        <w:rPr>
          <w:color w:val="000000"/>
          <w:sz w:val="20"/>
          <w:szCs w:val="20"/>
          <w:lang w:val="es-AR"/>
        </w:rPr>
        <w:t xml:space="preserve"> </w:t>
      </w:r>
      <w:r w:rsidRPr="00EA7870">
        <w:rPr>
          <w:color w:val="000000"/>
          <w:sz w:val="20"/>
          <w:szCs w:val="20"/>
          <w:lang w:val="es-AR"/>
        </w:rPr>
        <w:t>las</w:t>
      </w:r>
      <w:r w:rsidR="001A28B3" w:rsidRPr="00EA7870">
        <w:rPr>
          <w:color w:val="000000"/>
          <w:sz w:val="20"/>
          <w:szCs w:val="20"/>
          <w:lang w:val="es-AR"/>
        </w:rPr>
        <w:t xml:space="preserve"> </w:t>
      </w:r>
      <w:r w:rsidRPr="00EA7870">
        <w:rPr>
          <w:color w:val="000000"/>
          <w:sz w:val="20"/>
          <w:szCs w:val="20"/>
          <w:lang w:val="es-AR"/>
        </w:rPr>
        <w:t>deudas</w:t>
      </w:r>
      <w:r w:rsidR="001A28B3" w:rsidRPr="00EA7870">
        <w:rPr>
          <w:color w:val="000000"/>
          <w:sz w:val="20"/>
          <w:szCs w:val="20"/>
          <w:lang w:val="es-AR"/>
        </w:rPr>
        <w:t xml:space="preserve"> </w:t>
      </w:r>
      <w:r w:rsidRPr="00EA7870">
        <w:rPr>
          <w:color w:val="000000"/>
          <w:sz w:val="20"/>
          <w:szCs w:val="20"/>
          <w:lang w:val="es-AR"/>
        </w:rPr>
        <w:t>existentes</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futuras</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otros</w:t>
      </w:r>
      <w:r w:rsidR="001A28B3" w:rsidRPr="00EA7870">
        <w:rPr>
          <w:color w:val="000000"/>
          <w:sz w:val="20"/>
          <w:szCs w:val="20"/>
          <w:lang w:val="es-AR"/>
        </w:rPr>
        <w:t xml:space="preserve"> </w:t>
      </w:r>
      <w:r w:rsidRPr="00EA7870">
        <w:rPr>
          <w:color w:val="000000"/>
          <w:sz w:val="20"/>
          <w:szCs w:val="20"/>
          <w:lang w:val="es-AR"/>
        </w:rPr>
        <w:t>pasivos</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cualquier</w:t>
      </w:r>
      <w:r w:rsidR="001A28B3" w:rsidRPr="00EA7870">
        <w:rPr>
          <w:color w:val="000000"/>
          <w:sz w:val="20"/>
          <w:szCs w:val="20"/>
          <w:lang w:val="es-AR"/>
        </w:rPr>
        <w:t xml:space="preserve"> </w:t>
      </w:r>
      <w:r w:rsidRPr="00EA7870">
        <w:rPr>
          <w:color w:val="000000"/>
          <w:sz w:val="20"/>
          <w:szCs w:val="20"/>
          <w:lang w:val="es-AR"/>
        </w:rPr>
        <w:t>Subsidiaria</w:t>
      </w:r>
      <w:r w:rsidR="001A28B3" w:rsidRPr="00EA7870">
        <w:rPr>
          <w:color w:val="000000"/>
          <w:sz w:val="20"/>
          <w:szCs w:val="20"/>
          <w:lang w:val="es-AR"/>
        </w:rPr>
        <w:t xml:space="preserve"> </w:t>
      </w:r>
      <w:r w:rsidRPr="00EA7870">
        <w:rPr>
          <w:color w:val="000000"/>
          <w:sz w:val="20"/>
          <w:szCs w:val="20"/>
          <w:lang w:val="es-AR"/>
        </w:rPr>
        <w:t>de</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Emisora</w:t>
      </w:r>
      <w:r w:rsidR="001A28B3" w:rsidRPr="00EA7870">
        <w:rPr>
          <w:color w:val="000000"/>
          <w:sz w:val="20"/>
          <w:szCs w:val="20"/>
          <w:lang w:val="es-AR"/>
        </w:rPr>
        <w:t xml:space="preserve"> </w:t>
      </w:r>
      <w:r w:rsidRPr="00EA7870">
        <w:rPr>
          <w:color w:val="000000"/>
          <w:sz w:val="20"/>
          <w:szCs w:val="20"/>
          <w:lang w:val="es-AR"/>
        </w:rPr>
        <w:t>y</w:t>
      </w:r>
      <w:r w:rsidR="001A28B3" w:rsidRPr="00EA7870">
        <w:rPr>
          <w:color w:val="000000"/>
          <w:sz w:val="20"/>
          <w:szCs w:val="20"/>
          <w:lang w:val="es-AR"/>
        </w:rPr>
        <w:t xml:space="preserve"> </w:t>
      </w:r>
      <w:r w:rsidRPr="00EA7870">
        <w:rPr>
          <w:color w:val="000000"/>
          <w:sz w:val="20"/>
          <w:szCs w:val="20"/>
          <w:lang w:val="es-AR"/>
        </w:rPr>
        <w:t>la</w:t>
      </w:r>
      <w:r w:rsidR="001A28B3" w:rsidRPr="00EA7870">
        <w:rPr>
          <w:color w:val="000000"/>
          <w:sz w:val="20"/>
          <w:szCs w:val="20"/>
          <w:lang w:val="es-AR"/>
        </w:rPr>
        <w:t xml:space="preserve"> </w:t>
      </w:r>
      <w:r w:rsidRPr="00EA7870">
        <w:rPr>
          <w:color w:val="000000"/>
          <w:sz w:val="20"/>
          <w:szCs w:val="20"/>
          <w:lang w:val="es-AR"/>
        </w:rPr>
        <w:t>Garante,</w:t>
      </w:r>
      <w:r w:rsidR="001A28B3" w:rsidRPr="00EA7870">
        <w:rPr>
          <w:color w:val="000000"/>
          <w:sz w:val="20"/>
          <w:szCs w:val="20"/>
          <w:lang w:val="es-AR"/>
        </w:rPr>
        <w:t xml:space="preserve"> </w:t>
      </w:r>
      <w:r w:rsidRPr="00EA7870">
        <w:rPr>
          <w:color w:val="000000"/>
          <w:sz w:val="20"/>
          <w:szCs w:val="20"/>
          <w:lang w:val="es-AR"/>
        </w:rPr>
        <w:t>respectivamente.</w:t>
      </w:r>
    </w:p>
    <w:p w14:paraId="795C2DEC" w14:textId="77777777" w:rsidR="00376725" w:rsidRPr="00EA7870" w:rsidRDefault="00376725" w:rsidP="00376725">
      <w:pPr>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constituirán</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simples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convertibles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tendrán</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beneficios</w:t>
      </w:r>
      <w:r w:rsidR="001A28B3" w:rsidRPr="00EA7870">
        <w:rPr>
          <w:sz w:val="20"/>
          <w:szCs w:val="20"/>
          <w:lang w:val="es-AR"/>
        </w:rPr>
        <w:t xml:space="preserve"> </w:t>
      </w:r>
      <w:r w:rsidRPr="00EA7870">
        <w:rPr>
          <w:sz w:val="20"/>
          <w:szCs w:val="20"/>
          <w:lang w:val="es-AR"/>
        </w:rPr>
        <w:t>allí</w:t>
      </w:r>
      <w:r w:rsidR="001A28B3" w:rsidRPr="00EA7870">
        <w:rPr>
          <w:sz w:val="20"/>
          <w:szCs w:val="20"/>
          <w:lang w:val="es-AR"/>
        </w:rPr>
        <w:t xml:space="preserve"> </w:t>
      </w:r>
      <w:r w:rsidRPr="00EA7870">
        <w:rPr>
          <w:sz w:val="20"/>
          <w:szCs w:val="20"/>
          <w:lang w:val="es-AR"/>
        </w:rPr>
        <w:t>establecidos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estarán</w:t>
      </w:r>
      <w:r w:rsidR="001A28B3" w:rsidRPr="00EA7870">
        <w:rPr>
          <w:sz w:val="20"/>
          <w:szCs w:val="20"/>
          <w:lang w:val="es-AR"/>
        </w:rPr>
        <w:t xml:space="preserve"> </w:t>
      </w:r>
      <w:r w:rsidRPr="00EA7870">
        <w:rPr>
          <w:sz w:val="20"/>
          <w:szCs w:val="20"/>
          <w:lang w:val="es-AR"/>
        </w:rPr>
        <w:t>sujetas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procedimiento.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Artículo</w:t>
      </w:r>
      <w:r w:rsidR="001A28B3" w:rsidRPr="00EA7870">
        <w:rPr>
          <w:sz w:val="20"/>
          <w:szCs w:val="20"/>
          <w:lang w:val="es-AR"/>
        </w:rPr>
        <w:t xml:space="preserve"> </w:t>
      </w:r>
      <w:r w:rsidRPr="00EA7870">
        <w:rPr>
          <w:sz w:val="20"/>
          <w:szCs w:val="20"/>
          <w:lang w:val="es-AR"/>
        </w:rPr>
        <w:t>29</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revisten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carácter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otorgan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interponer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acción</w:t>
      </w:r>
      <w:r w:rsidR="001A28B3" w:rsidRPr="00EA7870">
        <w:rPr>
          <w:sz w:val="20"/>
          <w:szCs w:val="20"/>
          <w:lang w:val="es-AR"/>
        </w:rPr>
        <w:t xml:space="preserve"> </w:t>
      </w:r>
      <w:r w:rsidRPr="00EA7870">
        <w:rPr>
          <w:sz w:val="20"/>
          <w:szCs w:val="20"/>
          <w:lang w:val="es-AR"/>
        </w:rPr>
        <w:t>ejecutiva.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globales</w:t>
      </w:r>
      <w:r w:rsidR="001A28B3" w:rsidRPr="00EA7870">
        <w:rPr>
          <w:sz w:val="20"/>
          <w:szCs w:val="20"/>
          <w:lang w:val="es-AR"/>
        </w:rPr>
        <w:t xml:space="preserve"> </w:t>
      </w:r>
      <w:r w:rsidRPr="00EA7870">
        <w:rPr>
          <w:sz w:val="20"/>
          <w:szCs w:val="20"/>
          <w:lang w:val="es-AR"/>
        </w:rPr>
        <w:t>tendrá</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obtener</w:t>
      </w:r>
      <w:r w:rsidR="001A28B3" w:rsidRPr="00EA7870">
        <w:rPr>
          <w:sz w:val="20"/>
          <w:szCs w:val="20"/>
          <w:lang w:val="es-AR"/>
        </w:rPr>
        <w:t xml:space="preserve"> </w:t>
      </w:r>
      <w:r w:rsidRPr="00EA7870">
        <w:rPr>
          <w:sz w:val="20"/>
          <w:szCs w:val="20"/>
          <w:lang w:val="es-AR"/>
        </w:rPr>
        <w:t>pruebas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participación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global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Artículo</w:t>
      </w:r>
      <w:r w:rsidR="001A28B3" w:rsidRPr="00EA7870">
        <w:rPr>
          <w:sz w:val="20"/>
          <w:szCs w:val="20"/>
          <w:lang w:val="es-AR"/>
        </w:rPr>
        <w:t xml:space="preserve"> </w:t>
      </w:r>
      <w:r w:rsidRPr="00EA7870">
        <w:rPr>
          <w:sz w:val="20"/>
          <w:szCs w:val="20"/>
          <w:lang w:val="es-AR"/>
        </w:rPr>
        <w:t>129</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Capitales</w:t>
      </w:r>
      <w:r w:rsidR="001A28B3" w:rsidRPr="00EA7870">
        <w:rPr>
          <w:sz w:val="20"/>
          <w:szCs w:val="20"/>
          <w:lang w:val="es-AR"/>
        </w:rPr>
        <w:t xml:space="preserve"> </w:t>
      </w:r>
      <w:r w:rsidRPr="00EA7870">
        <w:rPr>
          <w:sz w:val="20"/>
          <w:szCs w:val="20"/>
          <w:lang w:val="es-AR"/>
        </w:rPr>
        <w:t>(inclusive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iniciar</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ejecutivas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prevista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fin,</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considerado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titular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aquella</w:t>
      </w:r>
      <w:r w:rsidR="001A28B3" w:rsidRPr="00EA7870">
        <w:rPr>
          <w:sz w:val="20"/>
          <w:szCs w:val="20"/>
          <w:lang w:val="es-AR"/>
        </w:rPr>
        <w:t xml:space="preserve"> </w:t>
      </w:r>
      <w:r w:rsidRPr="00EA7870">
        <w:rPr>
          <w:sz w:val="20"/>
          <w:szCs w:val="20"/>
          <w:lang w:val="es-AR"/>
        </w:rPr>
        <w:t>porción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global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representa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participación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misma.</w:t>
      </w:r>
      <w:r w:rsidR="001A28B3" w:rsidRPr="00EA7870">
        <w:rPr>
          <w:sz w:val="20"/>
          <w:szCs w:val="20"/>
          <w:lang w:val="es-AR"/>
        </w:rPr>
        <w:t xml:space="preserve"> </w:t>
      </w:r>
      <w:r w:rsidRPr="00EA7870">
        <w:rPr>
          <w:sz w:val="20"/>
          <w:szCs w:val="20"/>
          <w:lang w:val="es-AR"/>
        </w:rPr>
        <w:t>Esta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global</w:t>
      </w:r>
      <w:r w:rsidR="001A28B3" w:rsidRPr="00EA7870">
        <w:rPr>
          <w:sz w:val="20"/>
          <w:szCs w:val="20"/>
          <w:lang w:val="es-AR"/>
        </w:rPr>
        <w:t xml:space="preserve"> </w:t>
      </w:r>
      <w:r w:rsidRPr="00EA7870">
        <w:rPr>
          <w:sz w:val="20"/>
          <w:szCs w:val="20"/>
          <w:lang w:val="es-AR"/>
        </w:rPr>
        <w:t>permite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titulares</w:t>
      </w:r>
      <w:r w:rsidR="001A28B3" w:rsidRPr="00EA7870">
        <w:rPr>
          <w:sz w:val="20"/>
          <w:szCs w:val="20"/>
          <w:lang w:val="es-AR"/>
        </w:rPr>
        <w:t xml:space="preserve"> </w:t>
      </w:r>
      <w:r w:rsidRPr="00EA7870">
        <w:rPr>
          <w:sz w:val="20"/>
          <w:szCs w:val="20"/>
          <w:lang w:val="es-AR"/>
        </w:rPr>
        <w:t>beneficiarios</w:t>
      </w:r>
      <w:r w:rsidR="001A28B3" w:rsidRPr="00EA7870">
        <w:rPr>
          <w:sz w:val="20"/>
          <w:szCs w:val="20"/>
          <w:lang w:val="es-AR"/>
        </w:rPr>
        <w:t xml:space="preserve"> </w:t>
      </w:r>
      <w:r w:rsidRPr="00EA7870">
        <w:rPr>
          <w:sz w:val="20"/>
          <w:szCs w:val="20"/>
          <w:lang w:val="es-AR"/>
        </w:rPr>
        <w:t>entablar</w:t>
      </w:r>
      <w:r w:rsidR="001A28B3" w:rsidRPr="00EA7870">
        <w:rPr>
          <w:sz w:val="20"/>
          <w:szCs w:val="20"/>
          <w:lang w:val="es-AR"/>
        </w:rPr>
        <w:t xml:space="preserve"> </w:t>
      </w:r>
      <w:r w:rsidRPr="00EA7870">
        <w:rPr>
          <w:sz w:val="20"/>
          <w:szCs w:val="20"/>
          <w:lang w:val="es-AR"/>
        </w:rPr>
        <w:t>demandas</w:t>
      </w:r>
      <w:r w:rsidR="001A28B3" w:rsidRPr="00EA7870">
        <w:rPr>
          <w:sz w:val="20"/>
          <w:szCs w:val="20"/>
          <w:lang w:val="es-AR"/>
        </w:rPr>
        <w:t xml:space="preserve"> </w:t>
      </w:r>
      <w:r w:rsidRPr="00EA7870">
        <w:rPr>
          <w:sz w:val="20"/>
          <w:szCs w:val="20"/>
          <w:lang w:val="es-AR"/>
        </w:rPr>
        <w:t>ante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tribunales</w:t>
      </w:r>
      <w:r w:rsidR="001A28B3" w:rsidRPr="00EA7870">
        <w:rPr>
          <w:sz w:val="20"/>
          <w:szCs w:val="20"/>
          <w:lang w:val="es-AR"/>
        </w:rPr>
        <w:t xml:space="preserve"> </w:t>
      </w:r>
      <w:r w:rsidRPr="00EA7870">
        <w:rPr>
          <w:sz w:val="20"/>
          <w:szCs w:val="20"/>
          <w:lang w:val="es-AR"/>
        </w:rPr>
        <w:t>competentes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ejecutivas,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perseguir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cobro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sumas</w:t>
      </w:r>
      <w:r w:rsidR="001A28B3" w:rsidRPr="00EA7870">
        <w:rPr>
          <w:sz w:val="20"/>
          <w:szCs w:val="20"/>
          <w:lang w:val="es-AR"/>
        </w:rPr>
        <w:t xml:space="preserve"> </w:t>
      </w:r>
      <w:r w:rsidRPr="00EA7870">
        <w:rPr>
          <w:sz w:val="20"/>
          <w:szCs w:val="20"/>
          <w:lang w:val="es-AR"/>
        </w:rPr>
        <w:t>adeudadas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605AAF24" w14:textId="77777777" w:rsidR="00376725" w:rsidRPr="00EA7870" w:rsidRDefault="00376725" w:rsidP="00376725">
      <w:pPr>
        <w:jc w:val="both"/>
        <w:rPr>
          <w:b/>
          <w:sz w:val="20"/>
          <w:szCs w:val="20"/>
          <w:lang w:val="es-AR"/>
        </w:rPr>
      </w:pPr>
    </w:p>
    <w:p w14:paraId="11FDF463" w14:textId="77777777" w:rsidR="00376725" w:rsidRPr="00EA7870" w:rsidRDefault="00376725" w:rsidP="00376725">
      <w:pPr>
        <w:jc w:val="both"/>
        <w:rPr>
          <w:b/>
          <w:sz w:val="20"/>
          <w:szCs w:val="20"/>
          <w:lang w:val="es-AR"/>
        </w:rPr>
      </w:pPr>
      <w:r w:rsidRPr="00EA7870">
        <w:rPr>
          <w:b/>
          <w:sz w:val="20"/>
          <w:szCs w:val="20"/>
          <w:lang w:val="es-AR"/>
        </w:rPr>
        <w:t>Montos</w:t>
      </w:r>
      <w:r w:rsidR="001A28B3" w:rsidRPr="00EA7870">
        <w:rPr>
          <w:b/>
          <w:sz w:val="20"/>
          <w:szCs w:val="20"/>
          <w:lang w:val="es-AR"/>
        </w:rPr>
        <w:t xml:space="preserve"> </w:t>
      </w:r>
      <w:r w:rsidRPr="00EA7870">
        <w:rPr>
          <w:b/>
          <w:sz w:val="20"/>
          <w:szCs w:val="20"/>
          <w:lang w:val="es-AR"/>
        </w:rPr>
        <w:t>Adicionales</w:t>
      </w:r>
    </w:p>
    <w:p w14:paraId="56953A8D" w14:textId="77777777" w:rsidR="00376725" w:rsidRPr="00EA7870" w:rsidRDefault="00376725" w:rsidP="00376725">
      <w:pPr>
        <w:jc w:val="both"/>
        <w:rPr>
          <w:sz w:val="20"/>
          <w:szCs w:val="20"/>
          <w:lang w:val="es-AR"/>
        </w:rPr>
      </w:pPr>
    </w:p>
    <w:p w14:paraId="35F42317" w14:textId="211E21D1" w:rsidR="00376725" w:rsidRPr="00EA7870" w:rsidRDefault="00376725" w:rsidP="00376725">
      <w:pPr>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abonados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trate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efectuados</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concepto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aranceles,</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cargas</w:t>
      </w:r>
      <w:r w:rsidR="001A28B3" w:rsidRPr="00EA7870">
        <w:rPr>
          <w:sz w:val="20"/>
          <w:szCs w:val="20"/>
          <w:lang w:val="es-AR"/>
        </w:rPr>
        <w:t xml:space="preserve"> </w:t>
      </w:r>
      <w:r w:rsidRPr="00EA7870">
        <w:rPr>
          <w:sz w:val="20"/>
          <w:szCs w:val="20"/>
          <w:lang w:val="es-AR"/>
        </w:rPr>
        <w:t>gubernamentales</w:t>
      </w:r>
      <w:r w:rsidR="001A28B3" w:rsidRPr="00EA7870">
        <w:rPr>
          <w:sz w:val="20"/>
          <w:szCs w:val="20"/>
          <w:lang w:val="es-AR"/>
        </w:rPr>
        <w:t xml:space="preserve"> </w:t>
      </w:r>
      <w:r w:rsidRPr="00EA7870">
        <w:rPr>
          <w:sz w:val="20"/>
          <w:szCs w:val="20"/>
          <w:lang w:val="es-AR"/>
        </w:rPr>
        <w:t>actuales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futuros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naturaleza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w:t>
      </w:r>
      <w:r w:rsidRPr="00EA7870">
        <w:rPr>
          <w:b/>
          <w:sz w:val="20"/>
          <w:szCs w:val="20"/>
          <w:lang w:val="es-AR"/>
        </w:rPr>
        <w:t>Impuestos</w:t>
      </w:r>
      <w:r w:rsidRPr="00EA7870">
        <w:rPr>
          <w:sz w:val="20"/>
          <w:szCs w:val="20"/>
          <w:lang w:val="es-AR"/>
        </w:rPr>
        <w:t>”)</w:t>
      </w:r>
      <w:r w:rsidR="001A28B3" w:rsidRPr="00EA7870">
        <w:rPr>
          <w:sz w:val="20"/>
          <w:szCs w:val="20"/>
          <w:lang w:val="es-AR"/>
        </w:rPr>
        <w:t xml:space="preserve"> </w:t>
      </w:r>
      <w:r w:rsidRPr="00EA7870">
        <w:rPr>
          <w:sz w:val="20"/>
          <w:szCs w:val="20"/>
          <w:lang w:val="es-AR"/>
        </w:rPr>
        <w:t>determinados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gravados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subdivisión</w:t>
      </w:r>
      <w:r w:rsidR="001A28B3" w:rsidRPr="00EA7870">
        <w:rPr>
          <w:sz w:val="20"/>
          <w:szCs w:val="20"/>
          <w:lang w:val="es-AR"/>
        </w:rPr>
        <w:t xml:space="preserve"> </w:t>
      </w:r>
      <w:r w:rsidRPr="00EA7870">
        <w:rPr>
          <w:sz w:val="20"/>
          <w:szCs w:val="20"/>
          <w:lang w:val="es-AR"/>
        </w:rPr>
        <w:t>política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autoridad</w:t>
      </w:r>
      <w:r w:rsidR="001A28B3" w:rsidRPr="00EA7870">
        <w:rPr>
          <w:sz w:val="20"/>
          <w:szCs w:val="20"/>
          <w:lang w:val="es-AR"/>
        </w:rPr>
        <w:t xml:space="preserve"> </w:t>
      </w:r>
      <w:r w:rsidRPr="00EA7870">
        <w:rPr>
          <w:sz w:val="20"/>
          <w:szCs w:val="20"/>
          <w:lang w:val="es-AR"/>
        </w:rPr>
        <w:t>perteneciente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países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facultada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establecer</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esté</w:t>
      </w:r>
      <w:r w:rsidR="001A28B3" w:rsidRPr="00EA7870">
        <w:rPr>
          <w:sz w:val="20"/>
          <w:szCs w:val="20"/>
          <w:lang w:val="es-AR"/>
        </w:rPr>
        <w:t xml:space="preserve"> </w:t>
      </w:r>
      <w:r w:rsidRPr="00EA7870">
        <w:rPr>
          <w:sz w:val="20"/>
          <w:szCs w:val="20"/>
          <w:lang w:val="es-AR"/>
        </w:rPr>
        <w:t>constituida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residente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impositivos,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desde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través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realicen</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w:t>
      </w:r>
      <w:r w:rsidRPr="00EA7870">
        <w:rPr>
          <w:b/>
          <w:sz w:val="20"/>
          <w:szCs w:val="20"/>
          <w:lang w:val="es-AR"/>
        </w:rPr>
        <w:t>Jurisdicción</w:t>
      </w:r>
      <w:r w:rsidR="001A28B3" w:rsidRPr="00EA7870">
        <w:rPr>
          <w:b/>
          <w:sz w:val="20"/>
          <w:szCs w:val="20"/>
          <w:lang w:val="es-AR"/>
        </w:rPr>
        <w:t xml:space="preserve"> </w:t>
      </w:r>
      <w:r w:rsidRPr="00EA7870">
        <w:rPr>
          <w:b/>
          <w:sz w:val="20"/>
          <w:szCs w:val="20"/>
          <w:lang w:val="es-AR"/>
        </w:rPr>
        <w:t>Impositiva</w:t>
      </w:r>
      <w:r w:rsidR="001A28B3" w:rsidRPr="00EA7870">
        <w:rPr>
          <w:b/>
          <w:sz w:val="20"/>
          <w:szCs w:val="20"/>
          <w:lang w:val="es-AR"/>
        </w:rPr>
        <w:t xml:space="preserve"> </w:t>
      </w:r>
      <w:r w:rsidRPr="00EA7870">
        <w:rPr>
          <w:b/>
          <w:sz w:val="20"/>
          <w:szCs w:val="20"/>
          <w:lang w:val="es-AR"/>
        </w:rPr>
        <w:t>Pertinente</w:t>
      </w:r>
      <w:r w:rsidRPr="00EA7870">
        <w:rPr>
          <w:sz w:val="20"/>
          <w:szCs w:val="20"/>
          <w:lang w:val="es-AR"/>
        </w:rPr>
        <w:t>”,</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Impuesto</w:t>
      </w:r>
      <w:r w:rsidR="001A28B3" w:rsidRPr="00EA7870">
        <w:rPr>
          <w:sz w:val="20"/>
          <w:szCs w:val="20"/>
          <w:lang w:val="es-AR"/>
        </w:rPr>
        <w:t xml:space="preserve"> </w:t>
      </w:r>
      <w:r w:rsidRPr="00EA7870">
        <w:rPr>
          <w:sz w:val="20"/>
          <w:szCs w:val="20"/>
          <w:lang w:val="es-AR"/>
        </w:rPr>
        <w:t>determinado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Impositiva</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w:t>
      </w:r>
      <w:r w:rsidRPr="00EA7870">
        <w:rPr>
          <w:b/>
          <w:sz w:val="20"/>
          <w:szCs w:val="20"/>
          <w:lang w:val="es-AR"/>
        </w:rPr>
        <w:t>Impuestos</w:t>
      </w:r>
      <w:r w:rsidR="001A28B3" w:rsidRPr="00EA7870">
        <w:rPr>
          <w:b/>
          <w:sz w:val="20"/>
          <w:szCs w:val="20"/>
          <w:lang w:val="es-AR"/>
        </w:rPr>
        <w:t xml:space="preserve"> </w:t>
      </w:r>
      <w:r w:rsidRPr="00EA7870">
        <w:rPr>
          <w:b/>
          <w:sz w:val="20"/>
          <w:szCs w:val="20"/>
          <w:lang w:val="es-AR"/>
        </w:rPr>
        <w:t>Cubiertos</w:t>
      </w:r>
      <w:r w:rsidRPr="00EA7870">
        <w:rPr>
          <w:sz w:val="20"/>
          <w:szCs w:val="20"/>
          <w:lang w:val="es-AR"/>
        </w:rPr>
        <w:t>”),</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requerida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ley</w:t>
      </w:r>
      <w:r w:rsidR="00EB1BF4" w:rsidRPr="00EA7870">
        <w:rPr>
          <w:sz w:val="20"/>
          <w:szCs w:val="20"/>
          <w:lang w:val="es-AR"/>
        </w:rPr>
        <w:t xml:space="preserve"> (o cualquier disposición o regl</w:t>
      </w:r>
      <w:r w:rsidR="00D56DD0" w:rsidRPr="00EA7870">
        <w:rPr>
          <w:sz w:val="20"/>
          <w:szCs w:val="20"/>
          <w:lang w:val="es-AR"/>
        </w:rPr>
        <w:t>a</w:t>
      </w:r>
      <w:r w:rsidR="00EB1BF4" w:rsidRPr="00EA7870">
        <w:rPr>
          <w:sz w:val="20"/>
          <w:szCs w:val="20"/>
          <w:lang w:val="es-AR"/>
        </w:rPr>
        <w:t>mentación emitida en virtud de la misma)</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trate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pagarán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w:t>
      </w:r>
      <w:r w:rsidRPr="00EA7870">
        <w:rPr>
          <w:b/>
          <w:sz w:val="20"/>
          <w:szCs w:val="20"/>
          <w:lang w:val="es-AR"/>
        </w:rPr>
        <w:t>Montos</w:t>
      </w:r>
      <w:r w:rsidR="001A28B3" w:rsidRPr="00EA7870">
        <w:rPr>
          <w:b/>
          <w:sz w:val="20"/>
          <w:szCs w:val="20"/>
          <w:lang w:val="es-AR"/>
        </w:rPr>
        <w:t xml:space="preserve"> </w:t>
      </w:r>
      <w:r w:rsidRPr="00EA7870">
        <w:rPr>
          <w:b/>
          <w:sz w:val="20"/>
          <w:szCs w:val="20"/>
          <w:lang w:val="es-AR"/>
        </w:rPr>
        <w:t>Adicionales</w:t>
      </w:r>
      <w:r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fueran</w:t>
      </w:r>
      <w:r w:rsidR="001A28B3" w:rsidRPr="00EA7870">
        <w:rPr>
          <w:sz w:val="20"/>
          <w:szCs w:val="20"/>
          <w:lang w:val="es-AR"/>
        </w:rPr>
        <w:t xml:space="preserve"> </w:t>
      </w:r>
      <w:r w:rsidRPr="00EA7870">
        <w:rPr>
          <w:sz w:val="20"/>
          <w:szCs w:val="20"/>
          <w:lang w:val="es-AR"/>
        </w:rPr>
        <w:t>necesarios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netos</w:t>
      </w:r>
      <w:r w:rsidR="001A28B3" w:rsidRPr="00EA7870">
        <w:rPr>
          <w:sz w:val="20"/>
          <w:szCs w:val="20"/>
          <w:lang w:val="es-AR"/>
        </w:rPr>
        <w:t xml:space="preserve"> </w:t>
      </w:r>
      <w:r w:rsidRPr="00EA7870">
        <w:rPr>
          <w:sz w:val="20"/>
          <w:szCs w:val="20"/>
          <w:lang w:val="es-AR"/>
        </w:rPr>
        <w:t>percibidos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titulares</w:t>
      </w:r>
      <w:r w:rsidR="001A28B3" w:rsidRPr="00EA7870">
        <w:rPr>
          <w:sz w:val="20"/>
          <w:szCs w:val="20"/>
          <w:lang w:val="es-AR"/>
        </w:rPr>
        <w:t xml:space="preserve"> </w:t>
      </w:r>
      <w:r w:rsidRPr="00EA7870">
        <w:rPr>
          <w:sz w:val="20"/>
          <w:szCs w:val="20"/>
          <w:lang w:val="es-AR"/>
        </w:rPr>
        <w:t>beneficiarios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toda</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iguales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recibido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ausencia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descriptos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oración</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excepción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pagaderos</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p>
    <w:p w14:paraId="71F30A76" w14:textId="77777777" w:rsidR="00376725" w:rsidRPr="00EA7870" w:rsidRDefault="00376725" w:rsidP="00376725">
      <w:pPr>
        <w:jc w:val="both"/>
        <w:rPr>
          <w:sz w:val="20"/>
          <w:szCs w:val="20"/>
          <w:lang w:val="es-AR"/>
        </w:rPr>
      </w:pPr>
    </w:p>
    <w:p w14:paraId="13E53A4B" w14:textId="77777777" w:rsidR="00376725" w:rsidRPr="00EA7870" w:rsidRDefault="00376725" w:rsidP="00376725">
      <w:pPr>
        <w:ind w:firstLine="567"/>
        <w:jc w:val="both"/>
        <w:rPr>
          <w:sz w:val="20"/>
          <w:szCs w:val="20"/>
          <w:lang w:val="es-AR"/>
        </w:rPr>
      </w:pPr>
      <w:r w:rsidRPr="00EA7870">
        <w:rPr>
          <w:sz w:val="20"/>
          <w:szCs w:val="20"/>
          <w:lang w:val="es-AR"/>
        </w:rPr>
        <w:t>(i)</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nombre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titulares</w:t>
      </w:r>
      <w:r w:rsidR="001A28B3" w:rsidRPr="00EA7870">
        <w:rPr>
          <w:sz w:val="20"/>
          <w:szCs w:val="20"/>
          <w:lang w:val="es-AR"/>
        </w:rPr>
        <w:t xml:space="preserve"> </w:t>
      </w:r>
      <w:r w:rsidRPr="00EA7870">
        <w:rPr>
          <w:sz w:val="20"/>
          <w:szCs w:val="20"/>
          <w:lang w:val="es-AR"/>
        </w:rPr>
        <w:t>beneficiarios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responsables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Cubiertos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existencia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conexión</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actual</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Impositiva</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mera</w:t>
      </w:r>
      <w:r w:rsidR="001A28B3" w:rsidRPr="00EA7870">
        <w:rPr>
          <w:sz w:val="20"/>
          <w:szCs w:val="20"/>
          <w:lang w:val="es-AR"/>
        </w:rPr>
        <w:t xml:space="preserve"> </w:t>
      </w:r>
      <w:r w:rsidRPr="00EA7870">
        <w:rPr>
          <w:sz w:val="20"/>
          <w:szCs w:val="20"/>
          <w:lang w:val="es-AR"/>
        </w:rPr>
        <w:t>tenencia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titularidad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recepción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ingresos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ella;</w:t>
      </w:r>
    </w:p>
    <w:p w14:paraId="5BFA1899" w14:textId="77777777" w:rsidR="00376725" w:rsidRPr="00EA7870" w:rsidRDefault="00376725" w:rsidP="00376725">
      <w:pPr>
        <w:ind w:firstLine="567"/>
        <w:jc w:val="both"/>
        <w:rPr>
          <w:sz w:val="20"/>
          <w:szCs w:val="20"/>
          <w:lang w:val="es-AR"/>
        </w:rPr>
      </w:pPr>
    </w:p>
    <w:p w14:paraId="248E9F1E" w14:textId="77777777" w:rsidR="00376725" w:rsidRPr="00EA7870" w:rsidRDefault="00376725" w:rsidP="00376725">
      <w:pPr>
        <w:ind w:firstLine="567"/>
        <w:jc w:val="both"/>
        <w:rPr>
          <w:sz w:val="20"/>
          <w:szCs w:val="20"/>
          <w:lang w:val="es-AR"/>
        </w:rPr>
      </w:pPr>
      <w:r w:rsidRPr="00EA7870">
        <w:rPr>
          <w:sz w:val="20"/>
          <w:szCs w:val="20"/>
          <w:lang w:val="es-AR"/>
        </w:rPr>
        <w:t>(ii)</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impuesto</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patrimonio,</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consumo</w:t>
      </w:r>
      <w:r w:rsidR="001A28B3" w:rsidRPr="00EA7870">
        <w:rPr>
          <w:sz w:val="20"/>
          <w:szCs w:val="20"/>
          <w:lang w:val="es-AR"/>
        </w:rPr>
        <w:t xml:space="preserve"> </w:t>
      </w:r>
      <w:r w:rsidRPr="00EA7870">
        <w:rPr>
          <w:sz w:val="20"/>
          <w:szCs w:val="20"/>
          <w:lang w:val="es-AR"/>
        </w:rPr>
        <w:t>interno,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herencia,</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donaciones,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ventas,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uso,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agregado,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ingresos</w:t>
      </w:r>
      <w:r w:rsidR="001A28B3" w:rsidRPr="00EA7870">
        <w:rPr>
          <w:sz w:val="20"/>
          <w:szCs w:val="20"/>
          <w:lang w:val="es-AR"/>
        </w:rPr>
        <w:t xml:space="preserve"> </w:t>
      </w:r>
      <w:r w:rsidRPr="00EA7870">
        <w:rPr>
          <w:sz w:val="20"/>
          <w:szCs w:val="20"/>
          <w:lang w:val="es-AR"/>
        </w:rPr>
        <w:t>brutos,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personales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aranceles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cargas</w:t>
      </w:r>
      <w:r w:rsidR="001A28B3" w:rsidRPr="00EA7870">
        <w:rPr>
          <w:sz w:val="20"/>
          <w:szCs w:val="20"/>
          <w:lang w:val="es-AR"/>
        </w:rPr>
        <w:t xml:space="preserve"> </w:t>
      </w:r>
      <w:r w:rsidRPr="00EA7870">
        <w:rPr>
          <w:sz w:val="20"/>
          <w:szCs w:val="20"/>
          <w:lang w:val="es-AR"/>
        </w:rPr>
        <w:t>gubernamentales</w:t>
      </w:r>
      <w:r w:rsidR="001A28B3" w:rsidRPr="00EA7870">
        <w:rPr>
          <w:sz w:val="20"/>
          <w:szCs w:val="20"/>
          <w:lang w:val="es-AR"/>
        </w:rPr>
        <w:t xml:space="preserve"> </w:t>
      </w:r>
      <w:r w:rsidRPr="00EA7870">
        <w:rPr>
          <w:sz w:val="20"/>
          <w:szCs w:val="20"/>
          <w:lang w:val="es-AR"/>
        </w:rPr>
        <w:t>similares;</w:t>
      </w:r>
    </w:p>
    <w:p w14:paraId="0E7B0D34" w14:textId="77777777" w:rsidR="00376725" w:rsidRPr="00EA7870" w:rsidRDefault="00376725" w:rsidP="00376725">
      <w:pPr>
        <w:ind w:firstLine="567"/>
        <w:jc w:val="both"/>
        <w:rPr>
          <w:sz w:val="20"/>
          <w:szCs w:val="20"/>
          <w:lang w:val="es-AR"/>
        </w:rPr>
      </w:pPr>
    </w:p>
    <w:p w14:paraId="21B64C6C" w14:textId="77777777" w:rsidR="00376725" w:rsidRPr="00EA7870" w:rsidRDefault="00376725" w:rsidP="00376725">
      <w:pPr>
        <w:ind w:firstLine="567"/>
        <w:jc w:val="both"/>
        <w:rPr>
          <w:sz w:val="20"/>
          <w:szCs w:val="20"/>
          <w:lang w:val="es-AR"/>
        </w:rPr>
      </w:pPr>
      <w:r w:rsidRPr="00EA7870">
        <w:rPr>
          <w:sz w:val="20"/>
          <w:szCs w:val="20"/>
          <w:lang w:val="es-AR"/>
        </w:rPr>
        <w:t>(iii)</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aranceles,</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cargas</w:t>
      </w:r>
      <w:r w:rsidR="001A28B3" w:rsidRPr="00EA7870">
        <w:rPr>
          <w:sz w:val="20"/>
          <w:szCs w:val="20"/>
          <w:lang w:val="es-AR"/>
        </w:rPr>
        <w:t xml:space="preserve"> </w:t>
      </w:r>
      <w:r w:rsidRPr="00EA7870">
        <w:rPr>
          <w:sz w:val="20"/>
          <w:szCs w:val="20"/>
          <w:lang w:val="es-AR"/>
        </w:rPr>
        <w:t>gubernamentales</w:t>
      </w:r>
      <w:r w:rsidR="001A28B3" w:rsidRPr="00EA7870">
        <w:rPr>
          <w:sz w:val="20"/>
          <w:szCs w:val="20"/>
          <w:lang w:val="es-AR"/>
        </w:rPr>
        <w:t xml:space="preserve"> </w:t>
      </w:r>
      <w:r w:rsidRPr="00EA7870">
        <w:rPr>
          <w:sz w:val="20"/>
          <w:szCs w:val="20"/>
          <w:lang w:val="es-AR"/>
        </w:rPr>
        <w:t>pagaderos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vía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699E9E7A" w14:textId="77777777" w:rsidR="00376725" w:rsidRPr="00EA7870" w:rsidRDefault="00376725" w:rsidP="00376725">
      <w:pPr>
        <w:ind w:firstLine="567"/>
        <w:jc w:val="both"/>
        <w:rPr>
          <w:sz w:val="20"/>
          <w:szCs w:val="20"/>
          <w:lang w:val="es-AR"/>
        </w:rPr>
      </w:pPr>
    </w:p>
    <w:p w14:paraId="0532A6F5" w14:textId="77777777" w:rsidR="00376725" w:rsidRPr="00EA7870" w:rsidRDefault="00376725" w:rsidP="00376725">
      <w:pPr>
        <w:ind w:firstLine="567"/>
        <w:jc w:val="both"/>
        <w:rPr>
          <w:sz w:val="20"/>
          <w:szCs w:val="20"/>
          <w:lang w:val="es-AR"/>
        </w:rPr>
      </w:pPr>
      <w:r w:rsidRPr="00EA7870">
        <w:rPr>
          <w:sz w:val="20"/>
          <w:szCs w:val="20"/>
          <w:lang w:val="es-AR"/>
        </w:rPr>
        <w:t>(iv)</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presentada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presentación</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obligatoria)</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definido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continuación),</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tenido</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recibir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presentada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último</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días;</w:t>
      </w:r>
    </w:p>
    <w:p w14:paraId="033BC96B" w14:textId="77777777" w:rsidR="00376725" w:rsidRPr="00EA7870" w:rsidRDefault="00376725" w:rsidP="00376725">
      <w:pPr>
        <w:ind w:firstLine="567"/>
        <w:jc w:val="both"/>
        <w:rPr>
          <w:sz w:val="20"/>
          <w:szCs w:val="20"/>
          <w:lang w:val="es-AR"/>
        </w:rPr>
      </w:pPr>
    </w:p>
    <w:p w14:paraId="27AABB21" w14:textId="77777777" w:rsidR="00376725" w:rsidRPr="00EA7870" w:rsidRDefault="00376725">
      <w:pPr>
        <w:ind w:firstLine="567"/>
        <w:jc w:val="both"/>
        <w:rPr>
          <w:sz w:val="20"/>
          <w:szCs w:val="20"/>
          <w:lang w:val="es-AR"/>
        </w:rPr>
      </w:pPr>
      <w:r w:rsidRPr="00EA7870">
        <w:rPr>
          <w:sz w:val="20"/>
          <w:szCs w:val="20"/>
          <w:lang w:val="es-AR"/>
        </w:rPr>
        <w:lastRenderedPageBreak/>
        <w:t>(v)</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nombre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final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Cubiertos,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gravados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final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requisito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certificación,</w:t>
      </w:r>
      <w:r w:rsidR="001A28B3" w:rsidRPr="00EA7870">
        <w:rPr>
          <w:sz w:val="20"/>
          <w:szCs w:val="20"/>
          <w:lang w:val="es-AR"/>
        </w:rPr>
        <w:t xml:space="preserve"> </w:t>
      </w:r>
      <w:r w:rsidRPr="00EA7870">
        <w:rPr>
          <w:sz w:val="20"/>
          <w:szCs w:val="20"/>
          <w:lang w:val="es-AR"/>
        </w:rPr>
        <w:t>identificación,</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documentación</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relativo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requerido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regulación,</w:t>
      </w:r>
      <w:r w:rsidR="001A28B3" w:rsidRPr="00EA7870">
        <w:rPr>
          <w:sz w:val="20"/>
          <w:szCs w:val="20"/>
          <w:lang w:val="es-AR"/>
        </w:rPr>
        <w:t xml:space="preserve"> </w:t>
      </w:r>
      <w:r w:rsidRPr="00EA7870">
        <w:rPr>
          <w:sz w:val="20"/>
          <w:szCs w:val="20"/>
          <w:lang w:val="es-AR"/>
        </w:rPr>
        <w:t>práctica</w:t>
      </w:r>
      <w:r w:rsidR="001A28B3" w:rsidRPr="00EA7870">
        <w:rPr>
          <w:sz w:val="20"/>
          <w:szCs w:val="20"/>
          <w:lang w:val="es-AR"/>
        </w:rPr>
        <w:t xml:space="preserve"> </w:t>
      </w:r>
      <w:r w:rsidRPr="00EA7870">
        <w:rPr>
          <w:sz w:val="20"/>
          <w:szCs w:val="20"/>
          <w:lang w:val="es-AR"/>
        </w:rPr>
        <w:t>administrativa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tratado</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condición</w:t>
      </w:r>
      <w:r w:rsidR="001A28B3" w:rsidRPr="00EA7870">
        <w:rPr>
          <w:sz w:val="20"/>
          <w:szCs w:val="20"/>
          <w:lang w:val="es-AR"/>
        </w:rPr>
        <w:t xml:space="preserve"> </w:t>
      </w:r>
      <w:r w:rsidRPr="00EA7870">
        <w:rPr>
          <w:sz w:val="20"/>
          <w:szCs w:val="20"/>
          <w:lang w:val="es-AR"/>
        </w:rPr>
        <w:t>previa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exención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reducción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tasa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Cubiertos;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mínimo</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previos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tiempo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breve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razonablemente</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sustancial</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tributaria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dio</w:t>
      </w:r>
      <w:r w:rsidR="001A28B3" w:rsidRPr="00EA7870">
        <w:rPr>
          <w:sz w:val="20"/>
          <w:szCs w:val="20"/>
          <w:lang w:val="es-AR"/>
        </w:rPr>
        <w:t xml:space="preserve"> </w:t>
      </w:r>
      <w:r w:rsidRPr="00EA7870">
        <w:rPr>
          <w:sz w:val="20"/>
          <w:szCs w:val="20"/>
          <w:lang w:val="es-AR"/>
        </w:rPr>
        <w:t>origen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aplicación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w:t>
      </w:r>
      <w:r w:rsidR="001A28B3" w:rsidRPr="00EA7870">
        <w:rPr>
          <w:sz w:val="20"/>
          <w:szCs w:val="20"/>
          <w:lang w:val="es-AR"/>
        </w:rPr>
        <w:t xml:space="preserve"> </w:t>
      </w:r>
      <w:r w:rsidRPr="00EA7870">
        <w:rPr>
          <w:sz w:val="20"/>
          <w:szCs w:val="20"/>
          <w:lang w:val="es-AR"/>
        </w:rPr>
        <w:t>cláusula</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estado</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primera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primera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deberán</w:t>
      </w:r>
      <w:r w:rsidR="001A28B3" w:rsidRPr="00EA7870">
        <w:rPr>
          <w:sz w:val="20"/>
          <w:szCs w:val="20"/>
          <w:lang w:val="es-AR"/>
        </w:rPr>
        <w:t xml:space="preserve"> </w:t>
      </w:r>
      <w:r w:rsidRPr="00EA7870">
        <w:rPr>
          <w:sz w:val="20"/>
          <w:szCs w:val="20"/>
          <w:lang w:val="es-AR"/>
        </w:rPr>
        <w:t>aplicar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cláusula</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otorgado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anticipación</w:t>
      </w:r>
      <w:r w:rsidR="001A28B3" w:rsidRPr="00EA7870">
        <w:rPr>
          <w:sz w:val="20"/>
          <w:szCs w:val="20"/>
          <w:lang w:val="es-AR"/>
        </w:rPr>
        <w:t xml:space="preserve"> </w:t>
      </w:r>
      <w:r w:rsidRPr="00EA7870">
        <w:rPr>
          <w:sz w:val="20"/>
          <w:szCs w:val="20"/>
          <w:lang w:val="es-AR"/>
        </w:rPr>
        <w:t>donde</w:t>
      </w:r>
      <w:r w:rsidR="001A28B3" w:rsidRPr="00EA7870">
        <w:rPr>
          <w:sz w:val="20"/>
          <w:szCs w:val="20"/>
          <w:lang w:val="es-AR"/>
        </w:rPr>
        <w:t xml:space="preserve"> </w:t>
      </w:r>
      <w:r w:rsidRPr="00EA7870">
        <w:rPr>
          <w:sz w:val="20"/>
          <w:szCs w:val="20"/>
          <w:lang w:val="es-AR"/>
        </w:rPr>
        <w:t>conste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deberán</w:t>
      </w:r>
      <w:r w:rsidR="001A28B3" w:rsidRPr="00EA7870">
        <w:rPr>
          <w:sz w:val="20"/>
          <w:szCs w:val="20"/>
          <w:lang w:val="es-AR"/>
        </w:rPr>
        <w:t xml:space="preserve"> </w:t>
      </w:r>
      <w:r w:rsidRPr="00EA7870">
        <w:rPr>
          <w:sz w:val="20"/>
          <w:szCs w:val="20"/>
          <w:lang w:val="es-AR"/>
        </w:rPr>
        <w:t>cumplir</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(quedando</w:t>
      </w:r>
      <w:r w:rsidR="001A28B3" w:rsidRPr="00EA7870">
        <w:rPr>
          <w:sz w:val="20"/>
          <w:szCs w:val="20"/>
          <w:lang w:val="es-AR"/>
        </w:rPr>
        <w:t xml:space="preserve"> </w:t>
      </w:r>
      <w:r w:rsidRPr="00EA7870">
        <w:rPr>
          <w:sz w:val="20"/>
          <w:szCs w:val="20"/>
          <w:lang w:val="es-AR"/>
        </w:rPr>
        <w:t>entendido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acordado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notificaciones</w:t>
      </w:r>
      <w:r w:rsidR="001A28B3" w:rsidRPr="00EA7870">
        <w:rPr>
          <w:sz w:val="20"/>
          <w:szCs w:val="20"/>
          <w:lang w:val="es-AR"/>
        </w:rPr>
        <w:t xml:space="preserve"> </w:t>
      </w:r>
      <w:r w:rsidRPr="00EA7870">
        <w:rPr>
          <w:sz w:val="20"/>
          <w:szCs w:val="20"/>
          <w:lang w:val="es-AR"/>
        </w:rPr>
        <w:t>cursadas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w:t>
      </w:r>
      <w:r w:rsidR="001A28B3" w:rsidRPr="00EA7870">
        <w:rPr>
          <w:sz w:val="20"/>
          <w:szCs w:val="20"/>
          <w:lang w:val="es-AR"/>
        </w:rPr>
        <w:t xml:space="preserve"> </w:t>
      </w:r>
      <w:r w:rsidRPr="00EA7870">
        <w:rPr>
          <w:sz w:val="20"/>
          <w:szCs w:val="20"/>
          <w:lang w:val="es-AR"/>
        </w:rPr>
        <w:t>cláusula</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interpretarán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sentido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constituir</w:t>
      </w:r>
      <w:r w:rsidR="001A28B3" w:rsidRPr="00EA7870">
        <w:rPr>
          <w:sz w:val="20"/>
          <w:szCs w:val="20"/>
          <w:lang w:val="es-AR"/>
        </w:rPr>
        <w:t xml:space="preserve"> </w:t>
      </w:r>
      <w:r w:rsidRPr="00EA7870">
        <w:rPr>
          <w:sz w:val="20"/>
          <w:szCs w:val="20"/>
          <w:lang w:val="es-AR"/>
        </w:rPr>
        <w:t>asesoramiento</w:t>
      </w:r>
      <w:r w:rsidR="001A28B3" w:rsidRPr="00EA7870">
        <w:rPr>
          <w:sz w:val="20"/>
          <w:szCs w:val="20"/>
          <w:lang w:val="es-AR"/>
        </w:rPr>
        <w:t xml:space="preserve"> </w:t>
      </w:r>
      <w:r w:rsidRPr="00EA7870">
        <w:rPr>
          <w:sz w:val="20"/>
          <w:szCs w:val="20"/>
          <w:lang w:val="es-AR"/>
        </w:rPr>
        <w:t>impositivo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Cubiertos);</w:t>
      </w:r>
    </w:p>
    <w:p w14:paraId="5BD9AFBD" w14:textId="77777777" w:rsidR="00376725" w:rsidRPr="00EA7870" w:rsidRDefault="00376725" w:rsidP="00376725">
      <w:pPr>
        <w:ind w:firstLine="567"/>
        <w:jc w:val="both"/>
        <w:rPr>
          <w:sz w:val="20"/>
          <w:szCs w:val="20"/>
          <w:lang w:val="es-AR"/>
        </w:rPr>
      </w:pPr>
    </w:p>
    <w:p w14:paraId="4937D2D5" w14:textId="77777777" w:rsidR="00376725" w:rsidRPr="00EA7870" w:rsidRDefault="00376725" w:rsidP="00376725">
      <w:pPr>
        <w:ind w:firstLine="567"/>
        <w:jc w:val="both"/>
        <w:rPr>
          <w:sz w:val="20"/>
          <w:szCs w:val="20"/>
          <w:lang w:val="es-AR"/>
        </w:rPr>
      </w:pPr>
      <w:r w:rsidRPr="00EA7870">
        <w:rPr>
          <w:sz w:val="20"/>
          <w:szCs w:val="20"/>
          <w:lang w:val="es-AR"/>
        </w:rPr>
        <w:t>(vi)</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Cubiertos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habrían</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establecidos</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presentado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presentación</w:t>
      </w:r>
      <w:r w:rsidR="001A28B3" w:rsidRPr="00EA7870">
        <w:rPr>
          <w:sz w:val="20"/>
          <w:szCs w:val="20"/>
          <w:lang w:val="es-AR"/>
        </w:rPr>
        <w:t xml:space="preserve"> </w:t>
      </w:r>
      <w:r w:rsidRPr="00EA7870">
        <w:rPr>
          <w:sz w:val="20"/>
          <w:szCs w:val="20"/>
          <w:lang w:val="es-AR"/>
        </w:rPr>
        <w:t>fuese</w:t>
      </w:r>
      <w:r w:rsidR="001A28B3" w:rsidRPr="00EA7870">
        <w:rPr>
          <w:sz w:val="20"/>
          <w:szCs w:val="20"/>
          <w:lang w:val="es-AR"/>
        </w:rPr>
        <w:t xml:space="preserve"> </w:t>
      </w:r>
      <w:r w:rsidRPr="00EA7870">
        <w:rPr>
          <w:sz w:val="20"/>
          <w:szCs w:val="20"/>
          <w:lang w:val="es-AR"/>
        </w:rPr>
        <w:t>obligatoria)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p>
    <w:p w14:paraId="7DA001CD" w14:textId="77777777" w:rsidR="00376725" w:rsidRPr="00EA7870" w:rsidRDefault="00376725" w:rsidP="00376725">
      <w:pPr>
        <w:ind w:firstLine="567"/>
        <w:jc w:val="both"/>
        <w:rPr>
          <w:sz w:val="20"/>
          <w:szCs w:val="20"/>
          <w:lang w:val="es-AR"/>
        </w:rPr>
      </w:pPr>
    </w:p>
    <w:p w14:paraId="7E722029" w14:textId="77777777" w:rsidR="00376725" w:rsidRPr="00EA7870" w:rsidRDefault="00376725" w:rsidP="00376725">
      <w:pPr>
        <w:ind w:firstLine="567"/>
        <w:jc w:val="both"/>
        <w:rPr>
          <w:sz w:val="20"/>
          <w:szCs w:val="20"/>
          <w:lang w:val="es-AR"/>
        </w:rPr>
      </w:pPr>
      <w:r w:rsidRPr="00EA7870">
        <w:rPr>
          <w:sz w:val="20"/>
          <w:szCs w:val="20"/>
          <w:lang w:val="es-AR"/>
        </w:rPr>
        <w:t>(vii)</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colectiva</w:t>
      </w:r>
      <w:r w:rsidR="00F71847" w:rsidRPr="00EA7870">
        <w:rPr>
          <w:sz w:val="20"/>
          <w:szCs w:val="20"/>
          <w:lang w:val="es-AR"/>
        </w:rPr>
        <w:t xml:space="preserve"> (</w:t>
      </w:r>
      <w:r w:rsidR="00F71847" w:rsidRPr="00EA7870">
        <w:rPr>
          <w:i/>
          <w:iCs/>
          <w:sz w:val="20"/>
          <w:szCs w:val="20"/>
          <w:lang w:val="es-AR"/>
        </w:rPr>
        <w:t>partnership</w:t>
      </w:r>
      <w:r w:rsidR="00F71847" w:rsidRPr="00EA7870">
        <w:rPr>
          <w:sz w:val="20"/>
          <w:szCs w:val="20"/>
          <w:lang w:val="es-AR"/>
        </w:rPr>
        <w:t>)</w:t>
      </w:r>
      <w:r w:rsidR="001A28B3" w:rsidRPr="00EA7870">
        <w:rPr>
          <w:sz w:val="20"/>
          <w:szCs w:val="20"/>
          <w:lang w:val="es-AR"/>
        </w:rPr>
        <w:t xml:space="preserve"> </w:t>
      </w:r>
      <w:r w:rsidRPr="00EA7870">
        <w:rPr>
          <w:sz w:val="20"/>
          <w:szCs w:val="20"/>
          <w:lang w:val="es-AR"/>
        </w:rPr>
        <w:t>(incluida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entidad</w:t>
      </w:r>
      <w:r w:rsidR="001A28B3" w:rsidRPr="00EA7870">
        <w:rPr>
          <w:sz w:val="20"/>
          <w:szCs w:val="20"/>
          <w:lang w:val="es-AR"/>
        </w:rPr>
        <w:t xml:space="preserve"> </w:t>
      </w:r>
      <w:r w:rsidRPr="00EA7870">
        <w:rPr>
          <w:sz w:val="20"/>
          <w:szCs w:val="20"/>
          <w:lang w:val="es-AR"/>
        </w:rPr>
        <w:t>considerada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colectiva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Cubiertos</w:t>
      </w:r>
      <w:r w:rsidR="001A28B3" w:rsidRPr="00EA7870">
        <w:rPr>
          <w:sz w:val="20"/>
          <w:szCs w:val="20"/>
          <w:lang w:val="es-AR"/>
        </w:rPr>
        <w:t xml:space="preserve"> </w:t>
      </w:r>
      <w:r w:rsidRPr="00EA7870">
        <w:rPr>
          <w:sz w:val="20"/>
          <w:szCs w:val="20"/>
          <w:lang w:val="es-AR"/>
        </w:rPr>
        <w:t>pertinentes)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distinta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único</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final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fideicomitente</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socio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colectiva</w:t>
      </w:r>
      <w:r w:rsidR="00F71847" w:rsidRPr="00EA7870">
        <w:rPr>
          <w:sz w:val="20"/>
          <w:szCs w:val="20"/>
          <w:lang w:val="es-AR"/>
        </w:rPr>
        <w:t xml:space="preserve"> (</w:t>
      </w:r>
      <w:r w:rsidR="00F71847" w:rsidRPr="00EA7870">
        <w:rPr>
          <w:i/>
          <w:iCs/>
          <w:sz w:val="20"/>
          <w:szCs w:val="20"/>
          <w:lang w:val="es-AR"/>
        </w:rPr>
        <w:t>partnership</w:t>
      </w:r>
      <w:r w:rsidR="00F71847"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final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habría</w:t>
      </w:r>
      <w:r w:rsidR="001A28B3" w:rsidRPr="00EA7870">
        <w:rPr>
          <w:sz w:val="20"/>
          <w:szCs w:val="20"/>
          <w:lang w:val="es-AR"/>
        </w:rPr>
        <w:t xml:space="preserve"> </w:t>
      </w:r>
      <w:r w:rsidRPr="00EA7870">
        <w:rPr>
          <w:sz w:val="20"/>
          <w:szCs w:val="20"/>
          <w:lang w:val="es-AR"/>
        </w:rPr>
        <w:t>tenido</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fideicomitente,</w:t>
      </w:r>
      <w:r w:rsidR="001A28B3" w:rsidRPr="00EA7870">
        <w:rPr>
          <w:sz w:val="20"/>
          <w:szCs w:val="20"/>
          <w:lang w:val="es-AR"/>
        </w:rPr>
        <w:t xml:space="preserve"> </w:t>
      </w:r>
      <w:r w:rsidRPr="00EA7870">
        <w:rPr>
          <w:sz w:val="20"/>
          <w:szCs w:val="20"/>
          <w:lang w:val="es-AR"/>
        </w:rPr>
        <w:t>socio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final</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real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p>
    <w:p w14:paraId="7B48CD7C" w14:textId="77777777" w:rsidR="00873D88" w:rsidRPr="00EA7870" w:rsidRDefault="00873D88" w:rsidP="00376725">
      <w:pPr>
        <w:ind w:firstLine="567"/>
        <w:jc w:val="both"/>
        <w:rPr>
          <w:sz w:val="20"/>
          <w:szCs w:val="20"/>
          <w:lang w:val="es-AR"/>
        </w:rPr>
      </w:pPr>
    </w:p>
    <w:p w14:paraId="33001358" w14:textId="1922F5A8" w:rsidR="00873D88" w:rsidRPr="00EA7870" w:rsidRDefault="00873D88" w:rsidP="00B37C3D">
      <w:pPr>
        <w:ind w:firstLine="567"/>
        <w:jc w:val="both"/>
        <w:rPr>
          <w:sz w:val="20"/>
          <w:szCs w:val="20"/>
          <w:lang w:val="es-AR"/>
        </w:rPr>
      </w:pPr>
      <w:r w:rsidRPr="00EA7870">
        <w:rPr>
          <w:rFonts w:ascii="TimesNewRoman" w:hAnsi="TimesNewRoman"/>
          <w:sz w:val="20"/>
          <w:szCs w:val="20"/>
          <w:lang w:val="es-AR"/>
        </w:rPr>
        <w:t xml:space="preserve">(viii) a o en nombre de un tenedor o beneficiario de una Obligación Negociable respecto de Impuestos Cubiertos establecidos </w:t>
      </w:r>
      <w:r w:rsidRPr="00EA7870">
        <w:rPr>
          <w:sz w:val="20"/>
          <w:szCs w:val="20"/>
          <w:lang w:val="es-AR"/>
        </w:rPr>
        <w:t xml:space="preserve">por España o cualquier subdivisión política o autoridad de España y que no se habría impuesto si la Emisora o la Garante, según corresponda, hubiera recibido oportunamente determinada información requerida por la legislación fiscal española aplicable, incluyendo sin limitación un certificado debidamente emitido por el agente de pago, de conformidad con la Ley </w:t>
      </w:r>
      <w:r w:rsidR="00325103" w:rsidRPr="00EA7870">
        <w:rPr>
          <w:sz w:val="20"/>
          <w:szCs w:val="20"/>
          <w:lang w:val="es-AR"/>
        </w:rPr>
        <w:t>N°</w:t>
      </w:r>
      <w:r w:rsidRPr="00EA7870">
        <w:rPr>
          <w:sz w:val="20"/>
          <w:szCs w:val="20"/>
          <w:lang w:val="es-AR"/>
        </w:rPr>
        <w:t>10/2014</w:t>
      </w:r>
      <w:r w:rsidR="008366FF" w:rsidRPr="00EA7870">
        <w:rPr>
          <w:sz w:val="20"/>
          <w:szCs w:val="20"/>
          <w:lang w:val="es-AR"/>
        </w:rPr>
        <w:t>, de fecha 26 de junio,</w:t>
      </w:r>
      <w:r w:rsidRPr="00EA7870">
        <w:rPr>
          <w:sz w:val="20"/>
          <w:szCs w:val="20"/>
          <w:lang w:val="es-AR"/>
        </w:rPr>
        <w:t xml:space="preserve"> </w:t>
      </w:r>
      <w:r w:rsidR="004043F7" w:rsidRPr="00EA7870">
        <w:rPr>
          <w:sz w:val="20"/>
          <w:szCs w:val="20"/>
          <w:lang w:val="es-AR"/>
        </w:rPr>
        <w:t xml:space="preserve">de ordenación, supervisión y solvencia de entidades de crédito, </w:t>
      </w:r>
      <w:r w:rsidRPr="00EA7870">
        <w:rPr>
          <w:sz w:val="20"/>
          <w:szCs w:val="20"/>
          <w:lang w:val="es-AR"/>
        </w:rPr>
        <w:t xml:space="preserve">y el Real Decreto </w:t>
      </w:r>
      <w:r w:rsidR="00325103" w:rsidRPr="00EA7870">
        <w:rPr>
          <w:sz w:val="20"/>
          <w:szCs w:val="20"/>
          <w:lang w:val="es-AR"/>
        </w:rPr>
        <w:t>N°</w:t>
      </w:r>
      <w:r w:rsidRPr="00EA7870">
        <w:rPr>
          <w:sz w:val="20"/>
          <w:szCs w:val="20"/>
          <w:lang w:val="es-AR"/>
        </w:rPr>
        <w:t xml:space="preserve">1065/2007, de fecha 27 de julio, </w:t>
      </w:r>
      <w:r w:rsidR="008366FF" w:rsidRPr="00EA7870">
        <w:rPr>
          <w:sz w:val="20"/>
          <w:szCs w:val="20"/>
          <w:lang w:val="es-AR"/>
        </w:rPr>
        <w:t xml:space="preserve">por el que se aprueba el Reglamento General de las actuaciones y los procedimientos de gestión e inspección tributaria y de desarrollo de las normas comunes de los procedimientos de aplicación de los tributos, según fuera </w:t>
      </w:r>
      <w:r w:rsidRPr="00EA7870">
        <w:rPr>
          <w:sz w:val="20"/>
          <w:szCs w:val="20"/>
          <w:lang w:val="es-AR"/>
        </w:rPr>
        <w:t xml:space="preserve">modificado por el Real Decreto </w:t>
      </w:r>
      <w:r w:rsidR="00325103" w:rsidRPr="00EA7870">
        <w:rPr>
          <w:sz w:val="20"/>
          <w:szCs w:val="20"/>
          <w:lang w:val="es-AR"/>
        </w:rPr>
        <w:t>N°</w:t>
      </w:r>
      <w:r w:rsidRPr="00EA7870">
        <w:rPr>
          <w:sz w:val="20"/>
          <w:szCs w:val="20"/>
          <w:lang w:val="es-AR"/>
        </w:rPr>
        <w:t>1145/2011, de fecha 29 de julio, y cualquier otra norma reglamentaria de l</w:t>
      </w:r>
      <w:r w:rsidR="00B4415D" w:rsidRPr="00EA7870">
        <w:rPr>
          <w:sz w:val="20"/>
          <w:szCs w:val="20"/>
          <w:lang w:val="es-AR"/>
        </w:rPr>
        <w:t>o</w:t>
      </w:r>
      <w:r w:rsidRPr="00EA7870">
        <w:rPr>
          <w:sz w:val="20"/>
          <w:szCs w:val="20"/>
          <w:lang w:val="es-AR"/>
        </w:rPr>
        <w:t>s mism</w:t>
      </w:r>
      <w:r w:rsidR="00B4415D" w:rsidRPr="00EA7870">
        <w:rPr>
          <w:sz w:val="20"/>
          <w:szCs w:val="20"/>
          <w:lang w:val="es-AR"/>
        </w:rPr>
        <w:t>o</w:t>
      </w:r>
      <w:r w:rsidRPr="00EA7870">
        <w:rPr>
          <w:sz w:val="20"/>
          <w:szCs w:val="20"/>
          <w:lang w:val="es-AR"/>
        </w:rPr>
        <w:t xml:space="preserve">s; </w:t>
      </w:r>
    </w:p>
    <w:p w14:paraId="24F2F634" w14:textId="77777777" w:rsidR="00376725" w:rsidRPr="00EA7870" w:rsidRDefault="00376725" w:rsidP="00376725">
      <w:pPr>
        <w:ind w:firstLine="567"/>
        <w:jc w:val="both"/>
        <w:rPr>
          <w:sz w:val="20"/>
          <w:szCs w:val="20"/>
          <w:lang w:val="es-AR"/>
        </w:rPr>
      </w:pPr>
    </w:p>
    <w:p w14:paraId="17DBFD90" w14:textId="77777777" w:rsidR="00376725" w:rsidRPr="00EA7870" w:rsidRDefault="00376725" w:rsidP="00376725">
      <w:pPr>
        <w:ind w:firstLine="567"/>
        <w:jc w:val="both"/>
        <w:rPr>
          <w:rFonts w:ascii="TimesNewRoman" w:hAnsi="TimesNewRoman"/>
          <w:sz w:val="20"/>
          <w:szCs w:val="20"/>
          <w:lang w:val="es-AR"/>
        </w:rPr>
      </w:pPr>
      <w:r w:rsidRPr="00EA7870">
        <w:rPr>
          <w:rFonts w:ascii="TimesNewRoman" w:hAnsi="TimesNewRoman"/>
          <w:sz w:val="20"/>
          <w:szCs w:val="20"/>
          <w:lang w:val="es-AR"/>
        </w:rPr>
        <w:t>(ix)</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nombre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tenedor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beneficiario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Impuestos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Cubiertos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establecidos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razón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residente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ha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invertido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fondos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provenientes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w:t>
      </w:r>
      <w:r w:rsidRPr="00EA7870">
        <w:rPr>
          <w:rFonts w:ascii="TimesNewRoman" w:hAnsi="TimesNewRoman"/>
          <w:i/>
          <w:sz w:val="20"/>
          <w:szCs w:val="20"/>
          <w:lang w:val="es-AR"/>
        </w:rPr>
        <w:t>jurisdicción</w:t>
      </w:r>
      <w:r w:rsidR="001A28B3" w:rsidRPr="00EA7870">
        <w:rPr>
          <w:rFonts w:ascii="TimesNewRoman" w:hAnsi="TimesNewRoman"/>
          <w:i/>
          <w:sz w:val="20"/>
          <w:szCs w:val="20"/>
          <w:lang w:val="es-AR"/>
        </w:rPr>
        <w:t xml:space="preserve"> </w:t>
      </w:r>
      <w:r w:rsidRPr="00EA7870">
        <w:rPr>
          <w:rFonts w:ascii="TimesNewRoman" w:hAnsi="TimesNewRoman"/>
          <w:i/>
          <w:sz w:val="20"/>
          <w:szCs w:val="20"/>
          <w:lang w:val="es-AR"/>
        </w:rPr>
        <w:t>no</w:t>
      </w:r>
      <w:r w:rsidR="001A28B3" w:rsidRPr="00EA7870">
        <w:rPr>
          <w:rFonts w:ascii="TimesNewRoman" w:hAnsi="TimesNewRoman"/>
          <w:i/>
          <w:sz w:val="20"/>
          <w:szCs w:val="20"/>
          <w:lang w:val="es-AR"/>
        </w:rPr>
        <w:t xml:space="preserve"> </w:t>
      </w:r>
      <w:r w:rsidRPr="00EA7870">
        <w:rPr>
          <w:rFonts w:ascii="TimesNewRoman" w:hAnsi="TimesNewRoman"/>
          <w:i/>
          <w:sz w:val="20"/>
          <w:szCs w:val="20"/>
          <w:lang w:val="es-AR"/>
        </w:rPr>
        <w:t>cooperante</w:t>
      </w:r>
      <w:r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(según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define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Ley</w:t>
      </w:r>
      <w:r w:rsidR="001A28B3" w:rsidRPr="00EA7870">
        <w:rPr>
          <w:rFonts w:ascii="TimesNewRoman" w:hAnsi="TimesNewRoman"/>
          <w:sz w:val="20"/>
          <w:szCs w:val="20"/>
          <w:lang w:val="es-AR"/>
        </w:rPr>
        <w:t xml:space="preserve"> </w:t>
      </w:r>
      <w:r w:rsidR="001D6598" w:rsidRPr="00EA7870">
        <w:rPr>
          <w:rFonts w:ascii="TimesNewRoman" w:hAnsi="TimesNewRoman"/>
          <w:sz w:val="20"/>
          <w:szCs w:val="20"/>
          <w:lang w:val="es-AR"/>
        </w:rPr>
        <w:t xml:space="preserve">N°20.628 </w:t>
      </w:r>
      <w:r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Impuesto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Ganancias</w:t>
      </w:r>
      <w:r w:rsidR="001D6598" w:rsidRPr="00EA7870">
        <w:rPr>
          <w:rFonts w:ascii="TimesNewRoman" w:hAnsi="TimesNewRoman"/>
          <w:sz w:val="20"/>
          <w:szCs w:val="20"/>
          <w:lang w:val="es-AR"/>
        </w:rPr>
        <w:t xml:space="preserve">, según fuera modificada, complementada </w:t>
      </w:r>
      <w:r w:rsidR="00A87756" w:rsidRPr="00EA7870">
        <w:rPr>
          <w:rFonts w:ascii="TimesNewRoman" w:hAnsi="TimesNewRoman"/>
          <w:sz w:val="20"/>
          <w:szCs w:val="20"/>
          <w:lang w:val="es-AR"/>
        </w:rPr>
        <w:t>de tiempo en tiempo (la “</w:t>
      </w:r>
      <w:r w:rsidR="00A87756" w:rsidRPr="00EA7870">
        <w:rPr>
          <w:rFonts w:ascii="TimesNewRoman" w:hAnsi="TimesNewRoman"/>
          <w:b/>
          <w:sz w:val="20"/>
          <w:szCs w:val="20"/>
          <w:lang w:val="es-AR"/>
        </w:rPr>
        <w:t>Ley del Impuesto a las Ganancias Argentina</w:t>
      </w:r>
      <w:r w:rsidR="00A87756"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reglamentaciones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emitidas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virtud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misma,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incluye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toda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jurisdicción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listada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w:t>
      </w:r>
      <w:r w:rsidRPr="00EA7870">
        <w:rPr>
          <w:rFonts w:ascii="TimesNewRoman" w:hAnsi="TimesNewRoman"/>
          <w:i/>
          <w:sz w:val="20"/>
          <w:szCs w:val="20"/>
          <w:lang w:val="es-AR"/>
        </w:rPr>
        <w:t>no</w:t>
      </w:r>
      <w:r w:rsidR="001A28B3" w:rsidRPr="00EA7870">
        <w:rPr>
          <w:rFonts w:ascii="TimesNewRoman" w:hAnsi="TimesNewRoman"/>
          <w:i/>
          <w:sz w:val="20"/>
          <w:szCs w:val="20"/>
          <w:lang w:val="es-AR"/>
        </w:rPr>
        <w:t xml:space="preserve"> </w:t>
      </w:r>
      <w:r w:rsidRPr="00EA7870">
        <w:rPr>
          <w:rFonts w:ascii="TimesNewRoman" w:hAnsi="TimesNewRoman"/>
          <w:i/>
          <w:sz w:val="20"/>
          <w:szCs w:val="20"/>
          <w:lang w:val="es-AR"/>
        </w:rPr>
        <w:t>cooperante</w:t>
      </w:r>
      <w:r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jurisdicción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baja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nula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tributación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cualquier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definición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similar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Impuesto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Ganancias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Argentina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reglamentaciones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emitidas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virtud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misma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incluyan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oportunamente);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p>
    <w:p w14:paraId="6D9B3A87" w14:textId="77777777" w:rsidR="00376725" w:rsidRPr="00EA7870" w:rsidRDefault="00376725" w:rsidP="00376725">
      <w:pPr>
        <w:ind w:firstLine="567"/>
        <w:jc w:val="both"/>
        <w:rPr>
          <w:rFonts w:ascii="TimesNewRoman" w:hAnsi="TimesNewRoman"/>
          <w:sz w:val="20"/>
          <w:szCs w:val="20"/>
          <w:lang w:val="es-AR"/>
        </w:rPr>
      </w:pPr>
    </w:p>
    <w:p w14:paraId="7721363D" w14:textId="77777777" w:rsidR="00376725" w:rsidRPr="00EA7870" w:rsidRDefault="00376725" w:rsidP="00376725">
      <w:pPr>
        <w:ind w:firstLine="567"/>
        <w:jc w:val="both"/>
        <w:rPr>
          <w:sz w:val="20"/>
          <w:szCs w:val="20"/>
          <w:lang w:val="es-AR"/>
        </w:rPr>
      </w:pPr>
      <w:r w:rsidRPr="00EA7870">
        <w:rPr>
          <w:rFonts w:ascii="TimesNewRoman" w:hAnsi="TimesNewRoman"/>
          <w:sz w:val="20"/>
          <w:szCs w:val="20"/>
          <w:lang w:val="es-AR"/>
        </w:rPr>
        <w:t>(x</w:t>
      </w:r>
      <w:r w:rsidRPr="00EA7870">
        <w:rPr>
          <w:sz w:val="20"/>
          <w:szCs w:val="20"/>
          <w:lang w:val="es-AR"/>
        </w:rPr>
        <w:t>)</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combinación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cláusulas</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w:t>
      </w:r>
      <w:r w:rsidR="00A84FAE" w:rsidRPr="00EA7870">
        <w:rPr>
          <w:sz w:val="20"/>
          <w:szCs w:val="20"/>
          <w:lang w:val="es-AR"/>
        </w:rPr>
        <w:t>i</w:t>
      </w:r>
      <w:r w:rsidRPr="00EA7870">
        <w:rPr>
          <w:sz w:val="20"/>
          <w:szCs w:val="20"/>
          <w:lang w:val="es-AR"/>
        </w:rPr>
        <w:t>x)</w:t>
      </w:r>
      <w:r w:rsidR="001A28B3" w:rsidRPr="00EA7870">
        <w:rPr>
          <w:sz w:val="20"/>
          <w:szCs w:val="20"/>
          <w:lang w:val="es-AR"/>
        </w:rPr>
        <w:t xml:space="preserve"> </w:t>
      </w:r>
      <w:r w:rsidRPr="00EA7870">
        <w:rPr>
          <w:sz w:val="20"/>
          <w:szCs w:val="20"/>
          <w:lang w:val="es-AR"/>
        </w:rPr>
        <w:t>precedentes.</w:t>
      </w:r>
    </w:p>
    <w:p w14:paraId="502AC343" w14:textId="77777777" w:rsidR="00376725" w:rsidRPr="00EA7870" w:rsidRDefault="00376725" w:rsidP="00376725">
      <w:pPr>
        <w:ind w:firstLine="567"/>
        <w:jc w:val="both"/>
        <w:rPr>
          <w:sz w:val="20"/>
          <w:szCs w:val="20"/>
          <w:lang w:val="es-AR"/>
        </w:rPr>
      </w:pPr>
    </w:p>
    <w:p w14:paraId="1391B9FC" w14:textId="77777777" w:rsidR="00376725" w:rsidRPr="00EA7870" w:rsidRDefault="00376725" w:rsidP="00376725">
      <w:pPr>
        <w:jc w:val="both"/>
        <w:rPr>
          <w:sz w:val="20"/>
          <w:szCs w:val="20"/>
          <w:lang w:val="es-AR"/>
        </w:rPr>
      </w:pP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antedicho,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limitaciones</w:t>
      </w:r>
      <w:r w:rsidR="001A28B3" w:rsidRPr="00EA7870">
        <w:rPr>
          <w:sz w:val="20"/>
          <w:szCs w:val="20"/>
          <w:lang w:val="es-AR"/>
        </w:rPr>
        <w:t xml:space="preserve"> </w:t>
      </w:r>
      <w:r w:rsidRPr="00EA7870">
        <w:rPr>
          <w:sz w:val="20"/>
          <w:szCs w:val="20"/>
          <w:lang w:val="es-AR"/>
        </w:rPr>
        <w:t>impuestas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prevista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cláusula</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precedente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titulares</w:t>
      </w:r>
      <w:r w:rsidR="001A28B3" w:rsidRPr="00EA7870">
        <w:rPr>
          <w:sz w:val="20"/>
          <w:szCs w:val="20"/>
          <w:lang w:val="es-AR"/>
        </w:rPr>
        <w:t xml:space="preserve"> </w:t>
      </w:r>
      <w:r w:rsidRPr="00EA7870">
        <w:rPr>
          <w:sz w:val="20"/>
          <w:szCs w:val="20"/>
          <w:lang w:val="es-AR"/>
        </w:rPr>
        <w:t>beneficiarios</w:t>
      </w:r>
      <w:r w:rsidR="001A28B3" w:rsidRPr="00EA7870">
        <w:rPr>
          <w:sz w:val="20"/>
          <w:szCs w:val="20"/>
          <w:lang w:val="es-AR"/>
        </w:rPr>
        <w:t xml:space="preserve"> </w:t>
      </w:r>
      <w:r w:rsidRPr="00EA7870">
        <w:rPr>
          <w:sz w:val="20"/>
          <w:szCs w:val="20"/>
          <w:lang w:val="es-AR"/>
        </w:rPr>
        <w:t>afectados</w:t>
      </w:r>
      <w:r w:rsidR="001A28B3" w:rsidRPr="00EA7870">
        <w:rPr>
          <w:sz w:val="20"/>
          <w:szCs w:val="20"/>
          <w:lang w:val="es-AR"/>
        </w:rPr>
        <w:t xml:space="preserve"> </w:t>
      </w:r>
      <w:r w:rsidRPr="00EA7870">
        <w:rPr>
          <w:sz w:val="20"/>
          <w:szCs w:val="20"/>
          <w:lang w:val="es-AR"/>
        </w:rPr>
        <w:t>demuestran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certificación,</w:t>
      </w:r>
      <w:r w:rsidR="001A28B3" w:rsidRPr="00EA7870">
        <w:rPr>
          <w:sz w:val="20"/>
          <w:szCs w:val="20"/>
          <w:lang w:val="es-AR"/>
        </w:rPr>
        <w:t xml:space="preserve"> </w:t>
      </w:r>
      <w:r w:rsidRPr="00EA7870">
        <w:rPr>
          <w:sz w:val="20"/>
          <w:szCs w:val="20"/>
          <w:lang w:val="es-AR"/>
        </w:rPr>
        <w:t>identificación,</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documentación</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relativo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pertinentes</w:t>
      </w:r>
      <w:r w:rsidR="001A28B3" w:rsidRPr="00EA7870">
        <w:rPr>
          <w:sz w:val="20"/>
          <w:szCs w:val="20"/>
          <w:lang w:val="es-AR"/>
        </w:rPr>
        <w:t xml:space="preserve"> </w:t>
      </w:r>
      <w:r w:rsidRPr="00EA7870">
        <w:rPr>
          <w:sz w:val="20"/>
          <w:szCs w:val="20"/>
          <w:lang w:val="es-AR"/>
        </w:rPr>
        <w:t>serían</w:t>
      </w:r>
      <w:r w:rsidR="001A28B3" w:rsidRPr="00EA7870">
        <w:rPr>
          <w:sz w:val="20"/>
          <w:szCs w:val="20"/>
          <w:lang w:val="es-AR"/>
        </w:rPr>
        <w:t xml:space="preserve"> </w:t>
      </w:r>
      <w:r w:rsidRPr="00EA7870">
        <w:rPr>
          <w:sz w:val="20"/>
          <w:szCs w:val="20"/>
          <w:lang w:val="es-AR"/>
        </w:rPr>
        <w:t>significativamente</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onerosos,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procedimiento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esencia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revelada,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titulares</w:t>
      </w:r>
      <w:r w:rsidR="001A28B3" w:rsidRPr="00EA7870">
        <w:rPr>
          <w:sz w:val="20"/>
          <w:szCs w:val="20"/>
          <w:lang w:val="es-AR"/>
        </w:rPr>
        <w:t xml:space="preserve"> </w:t>
      </w:r>
      <w:r w:rsidRPr="00EA7870">
        <w:rPr>
          <w:sz w:val="20"/>
          <w:szCs w:val="20"/>
          <w:lang w:val="es-AR"/>
        </w:rPr>
        <w:t>beneficiarios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reglamentación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práctica</w:t>
      </w:r>
      <w:r w:rsidR="001A28B3" w:rsidRPr="00EA7870">
        <w:rPr>
          <w:sz w:val="20"/>
          <w:szCs w:val="20"/>
          <w:lang w:val="es-AR"/>
        </w:rPr>
        <w:t xml:space="preserve"> </w:t>
      </w:r>
      <w:r w:rsidRPr="00EA7870">
        <w:rPr>
          <w:sz w:val="20"/>
          <w:szCs w:val="20"/>
          <w:lang w:val="es-AR"/>
        </w:rPr>
        <w:t>administrativa</w:t>
      </w:r>
      <w:r w:rsidR="001A28B3" w:rsidRPr="00EA7870">
        <w:rPr>
          <w:sz w:val="20"/>
          <w:szCs w:val="20"/>
          <w:lang w:val="es-AR"/>
        </w:rPr>
        <w:t xml:space="preserve"> </w:t>
      </w:r>
      <w:r w:rsidRPr="00EA7870">
        <w:rPr>
          <w:sz w:val="20"/>
          <w:szCs w:val="20"/>
          <w:lang w:val="es-AR"/>
        </w:rPr>
        <w:t>tributaria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Formularios</w:t>
      </w:r>
      <w:r w:rsidR="001A28B3" w:rsidRPr="00EA7870">
        <w:rPr>
          <w:sz w:val="20"/>
          <w:szCs w:val="20"/>
          <w:lang w:val="es-AR"/>
        </w:rPr>
        <w:t xml:space="preserve"> </w:t>
      </w:r>
      <w:r w:rsidRPr="00EA7870">
        <w:rPr>
          <w:sz w:val="20"/>
          <w:szCs w:val="20"/>
          <w:lang w:val="es-AR"/>
        </w:rPr>
        <w:t>W-8</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W-9</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Autoridad</w:t>
      </w:r>
      <w:r w:rsidR="001A28B3" w:rsidRPr="00EA7870">
        <w:rPr>
          <w:sz w:val="20"/>
          <w:szCs w:val="20"/>
          <w:lang w:val="es-AR"/>
        </w:rPr>
        <w:t xml:space="preserve"> </w:t>
      </w:r>
      <w:r w:rsidRPr="00EA7870">
        <w:rPr>
          <w:sz w:val="20"/>
          <w:szCs w:val="20"/>
          <w:lang w:val="es-AR"/>
        </w:rPr>
        <w:t>Tributaria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(IRS)).</w:t>
      </w:r>
    </w:p>
    <w:p w14:paraId="5898A773" w14:textId="77777777" w:rsidR="00376725" w:rsidRPr="00EA7870" w:rsidRDefault="00376725" w:rsidP="00376725">
      <w:pPr>
        <w:jc w:val="both"/>
        <w:rPr>
          <w:sz w:val="20"/>
          <w:szCs w:val="20"/>
          <w:lang w:val="es-AR"/>
        </w:rPr>
      </w:pPr>
    </w:p>
    <w:p w14:paraId="735CDBBD" w14:textId="77777777" w:rsidR="00376725" w:rsidRPr="00EA7870" w:rsidRDefault="00376725" w:rsidP="00376725">
      <w:pPr>
        <w:jc w:val="both"/>
        <w:rPr>
          <w:sz w:val="20"/>
          <w:szCs w:val="20"/>
          <w:lang w:val="es-AR"/>
        </w:rPr>
      </w:pP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establecida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pagado</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pagará</w:t>
      </w:r>
      <w:r w:rsidR="001A28B3" w:rsidRPr="00EA7870">
        <w:rPr>
          <w:sz w:val="20"/>
          <w:szCs w:val="20"/>
          <w:lang w:val="es-AR"/>
        </w:rPr>
        <w:t xml:space="preserve"> </w:t>
      </w:r>
      <w:r w:rsidRPr="00EA7870">
        <w:rPr>
          <w:sz w:val="20"/>
          <w:szCs w:val="20"/>
          <w:lang w:val="es-AR"/>
        </w:rPr>
        <w:t>neto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impuesta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requerida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descripto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Artículo</w:t>
      </w:r>
      <w:r w:rsidR="001A28B3" w:rsidRPr="00EA7870">
        <w:rPr>
          <w:sz w:val="20"/>
          <w:szCs w:val="20"/>
          <w:lang w:val="es-AR"/>
        </w:rPr>
        <w:t xml:space="preserve"> </w:t>
      </w:r>
      <w:r w:rsidRPr="00EA7870">
        <w:rPr>
          <w:sz w:val="20"/>
          <w:szCs w:val="20"/>
          <w:lang w:val="es-AR"/>
        </w:rPr>
        <w:t>1471(b)</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Código</w:t>
      </w:r>
      <w:r w:rsidR="00873D88" w:rsidRPr="00EA7870">
        <w:rPr>
          <w:sz w:val="20"/>
          <w:szCs w:val="20"/>
          <w:lang w:val="es-AR"/>
        </w:rPr>
        <w:t xml:space="preserve"> de Rentas Internas de 1986 (según el mismo fuera modificado, el “</w:t>
      </w:r>
      <w:r w:rsidR="00873D88" w:rsidRPr="00EA7870">
        <w:rPr>
          <w:b/>
          <w:bCs/>
          <w:sz w:val="20"/>
          <w:szCs w:val="20"/>
          <w:lang w:val="es-AR"/>
        </w:rPr>
        <w:t>Código</w:t>
      </w:r>
      <w:r w:rsidR="00873D88" w:rsidRPr="00EA7870">
        <w:rPr>
          <w:sz w:val="20"/>
          <w:szCs w:val="20"/>
          <w:lang w:val="es-AR"/>
        </w:rPr>
        <w:t>”)</w:t>
      </w:r>
      <w:r w:rsidRPr="00EA7870">
        <w:rPr>
          <w:sz w:val="20"/>
          <w:szCs w:val="20"/>
          <w:lang w:val="es-AR"/>
        </w:rPr>
        <w:t>,</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impuesta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Artículos</w:t>
      </w:r>
      <w:r w:rsidR="001A28B3" w:rsidRPr="00EA7870">
        <w:rPr>
          <w:sz w:val="20"/>
          <w:szCs w:val="20"/>
          <w:lang w:val="es-AR"/>
        </w:rPr>
        <w:t xml:space="preserve"> </w:t>
      </w:r>
      <w:r w:rsidRPr="00EA7870">
        <w:rPr>
          <w:sz w:val="20"/>
          <w:szCs w:val="20"/>
          <w:lang w:val="es-AR"/>
        </w:rPr>
        <w:t>1471</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1474</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Código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reglamentación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mismo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interpretaciones</w:t>
      </w:r>
      <w:r w:rsidR="001A28B3" w:rsidRPr="00EA7870">
        <w:rPr>
          <w:sz w:val="20"/>
          <w:szCs w:val="20"/>
          <w:lang w:val="es-AR"/>
        </w:rPr>
        <w:t xml:space="preserve"> </w:t>
      </w:r>
      <w:r w:rsidRPr="00EA7870">
        <w:rPr>
          <w:sz w:val="20"/>
          <w:szCs w:val="20"/>
          <w:lang w:val="es-AR"/>
        </w:rPr>
        <w:t>oficiales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convenio</w:t>
      </w:r>
      <w:r w:rsidR="001A28B3" w:rsidRPr="00EA7870">
        <w:rPr>
          <w:sz w:val="20"/>
          <w:szCs w:val="20"/>
          <w:lang w:val="es-AR"/>
        </w:rPr>
        <w:t xml:space="preserve"> </w:t>
      </w:r>
      <w:r w:rsidRPr="00EA7870">
        <w:rPr>
          <w:sz w:val="20"/>
          <w:szCs w:val="20"/>
          <w:lang w:val="es-AR"/>
        </w:rPr>
        <w:t>intergubernamental</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facilite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implementación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legislación,</w:t>
      </w:r>
      <w:r w:rsidR="001A28B3" w:rsidRPr="00EA7870">
        <w:rPr>
          <w:sz w:val="20"/>
          <w:szCs w:val="20"/>
          <w:lang w:val="es-AR"/>
        </w:rPr>
        <w:t xml:space="preserve"> </w:t>
      </w:r>
      <w:r w:rsidRPr="00EA7870">
        <w:rPr>
          <w:sz w:val="20"/>
          <w:szCs w:val="20"/>
          <w:lang w:val="es-AR"/>
        </w:rPr>
        <w:t>norma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práctica</w:t>
      </w:r>
      <w:r w:rsidR="001A28B3" w:rsidRPr="00EA7870">
        <w:rPr>
          <w:sz w:val="20"/>
          <w:szCs w:val="20"/>
          <w:lang w:val="es-AR"/>
        </w:rPr>
        <w:t xml:space="preserve"> </w:t>
      </w:r>
      <w:r w:rsidRPr="00EA7870">
        <w:rPr>
          <w:sz w:val="20"/>
          <w:szCs w:val="20"/>
          <w:lang w:val="es-AR"/>
        </w:rPr>
        <w:t>impositiva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regulatoria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implemente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convenio</w:t>
      </w:r>
      <w:r w:rsidR="001A28B3" w:rsidRPr="00EA7870">
        <w:rPr>
          <w:sz w:val="20"/>
          <w:szCs w:val="20"/>
          <w:lang w:val="es-AR"/>
        </w:rPr>
        <w:t xml:space="preserve"> </w:t>
      </w:r>
      <w:r w:rsidRPr="00EA7870">
        <w:rPr>
          <w:sz w:val="20"/>
          <w:szCs w:val="20"/>
          <w:lang w:val="es-AR"/>
        </w:rPr>
        <w:t>intergubernamental)</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deducción,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w:t>
      </w:r>
      <w:r w:rsidRPr="00EA7870">
        <w:rPr>
          <w:b/>
          <w:sz w:val="20"/>
          <w:szCs w:val="20"/>
          <w:lang w:val="es-AR"/>
        </w:rPr>
        <w:t>Retención</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la</w:t>
      </w:r>
      <w:r w:rsidR="001A28B3" w:rsidRPr="00EA7870">
        <w:rPr>
          <w:b/>
          <w:sz w:val="20"/>
          <w:szCs w:val="20"/>
          <w:lang w:val="es-AR"/>
        </w:rPr>
        <w:t xml:space="preserve"> </w:t>
      </w:r>
      <w:r w:rsidRPr="00EA7870">
        <w:rPr>
          <w:b/>
          <w:sz w:val="20"/>
          <w:szCs w:val="20"/>
          <w:lang w:val="es-AR"/>
        </w:rPr>
        <w:t>FATCA</w:t>
      </w:r>
      <w:r w:rsidRPr="00EA7870">
        <w:rPr>
          <w:sz w:val="20"/>
          <w:szCs w:val="20"/>
          <w:lang w:val="es-AR"/>
        </w:rPr>
        <w:t>”).</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estarán</w:t>
      </w:r>
      <w:r w:rsidR="001A28B3" w:rsidRPr="00EA7870">
        <w:rPr>
          <w:sz w:val="20"/>
          <w:szCs w:val="20"/>
          <w:lang w:val="es-AR"/>
        </w:rPr>
        <w:t xml:space="preserve"> </w:t>
      </w:r>
      <w:r w:rsidRPr="00EA7870">
        <w:rPr>
          <w:sz w:val="20"/>
          <w:szCs w:val="20"/>
          <w:lang w:val="es-AR"/>
        </w:rPr>
        <w:t>obligadas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FATCA.</w:t>
      </w:r>
    </w:p>
    <w:p w14:paraId="4C66D041" w14:textId="77777777" w:rsidR="00376725" w:rsidRPr="00EA7870" w:rsidRDefault="00376725" w:rsidP="00376725">
      <w:pPr>
        <w:jc w:val="both"/>
        <w:rPr>
          <w:sz w:val="20"/>
          <w:szCs w:val="20"/>
          <w:lang w:val="es-AR"/>
        </w:rPr>
      </w:pPr>
    </w:p>
    <w:p w14:paraId="1F502B5A" w14:textId="77777777" w:rsidR="00376725" w:rsidRPr="00EA7870" w:rsidRDefault="00376725" w:rsidP="00376725">
      <w:pPr>
        <w:jc w:val="both"/>
        <w:rPr>
          <w:sz w:val="20"/>
          <w:szCs w:val="20"/>
          <w:lang w:val="es-AR"/>
        </w:rPr>
      </w:pPr>
      <w:r w:rsidRPr="00EA7870">
        <w:rPr>
          <w:sz w:val="20"/>
          <w:szCs w:val="20"/>
          <w:lang w:val="es-AR"/>
        </w:rPr>
        <w:t>(</w:t>
      </w:r>
      <w:r w:rsidR="001603FF" w:rsidRPr="00EA7870">
        <w:rPr>
          <w:sz w:val="20"/>
          <w:szCs w:val="20"/>
          <w:lang w:val="es-AR"/>
        </w:rPr>
        <w:t>b</w:t>
      </w:r>
      <w:r w:rsidRPr="00EA7870">
        <w:rPr>
          <w:sz w:val="20"/>
          <w:szCs w:val="20"/>
          <w:lang w:val="es-AR"/>
        </w:rPr>
        <w:t>)</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emplea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w:t>
      </w:r>
      <w:r w:rsidRPr="00EA7870">
        <w:rPr>
          <w:b/>
          <w:sz w:val="20"/>
          <w:szCs w:val="20"/>
          <w:lang w:val="es-AR"/>
        </w:rPr>
        <w:t>Fecha</w:t>
      </w:r>
      <w:r w:rsidR="001A28B3" w:rsidRPr="00EA7870">
        <w:rPr>
          <w:b/>
          <w:sz w:val="20"/>
          <w:szCs w:val="20"/>
          <w:lang w:val="es-AR"/>
        </w:rPr>
        <w:t xml:space="preserve"> </w:t>
      </w:r>
      <w:r w:rsidRPr="00EA7870">
        <w:rPr>
          <w:b/>
          <w:sz w:val="20"/>
          <w:szCs w:val="20"/>
          <w:lang w:val="es-AR"/>
        </w:rPr>
        <w:t>Pertinente</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venza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primera</w:t>
      </w:r>
      <w:r w:rsidR="001A28B3" w:rsidRPr="00EA7870">
        <w:rPr>
          <w:sz w:val="20"/>
          <w:szCs w:val="20"/>
          <w:lang w:val="es-AR"/>
        </w:rPr>
        <w:t xml:space="preserve"> </w:t>
      </w:r>
      <w:r w:rsidRPr="00EA7870">
        <w:rPr>
          <w:sz w:val="20"/>
          <w:szCs w:val="20"/>
          <w:lang w:val="es-AR"/>
        </w:rPr>
        <w:t>vez,</w:t>
      </w:r>
      <w:r w:rsidR="001A28B3" w:rsidRPr="00EA7870">
        <w:rPr>
          <w:sz w:val="20"/>
          <w:szCs w:val="20"/>
          <w:lang w:val="es-AR"/>
        </w:rPr>
        <w:t xml:space="preserve"> </w:t>
      </w:r>
      <w:r w:rsidRPr="00EA7870">
        <w:rPr>
          <w:sz w:val="20"/>
          <w:szCs w:val="20"/>
          <w:lang w:val="es-AR"/>
        </w:rPr>
        <w:t>pero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recibido</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habiendo</w:t>
      </w:r>
      <w:r w:rsidR="001A28B3" w:rsidRPr="00EA7870">
        <w:rPr>
          <w:sz w:val="20"/>
          <w:szCs w:val="20"/>
          <w:lang w:val="es-AR"/>
        </w:rPr>
        <w:t xml:space="preserve"> </w:t>
      </w:r>
      <w:r w:rsidRPr="00EA7870">
        <w:rPr>
          <w:sz w:val="20"/>
          <w:szCs w:val="20"/>
          <w:lang w:val="es-AR"/>
        </w:rPr>
        <w:t>así</w:t>
      </w:r>
      <w:r w:rsidR="001A28B3" w:rsidRPr="00EA7870">
        <w:rPr>
          <w:sz w:val="20"/>
          <w:szCs w:val="20"/>
          <w:lang w:val="es-AR"/>
        </w:rPr>
        <w:t xml:space="preserve"> </w:t>
      </w:r>
      <w:r w:rsidRPr="00EA7870">
        <w:rPr>
          <w:sz w:val="20"/>
          <w:szCs w:val="20"/>
          <w:lang w:val="es-AR"/>
        </w:rPr>
        <w:t>recibido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cursado</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p>
    <w:p w14:paraId="619BD816" w14:textId="77777777" w:rsidR="00376725" w:rsidRPr="00EA7870" w:rsidRDefault="00376725" w:rsidP="00376725">
      <w:pPr>
        <w:jc w:val="both"/>
        <w:rPr>
          <w:sz w:val="20"/>
          <w:szCs w:val="20"/>
          <w:lang w:val="es-AR"/>
        </w:rPr>
      </w:pPr>
    </w:p>
    <w:p w14:paraId="32BDAD44" w14:textId="584287C9" w:rsidR="00376725" w:rsidRPr="00EA7870" w:rsidRDefault="00376725" w:rsidP="00376725">
      <w:pPr>
        <w:jc w:val="both"/>
        <w:rPr>
          <w:sz w:val="20"/>
          <w:szCs w:val="20"/>
          <w:lang w:val="es-AR"/>
        </w:rPr>
      </w:pPr>
      <w:r w:rsidRPr="00EA7870">
        <w:rPr>
          <w:sz w:val="20"/>
          <w:szCs w:val="20"/>
          <w:lang w:val="es-AR"/>
        </w:rPr>
        <w:t>(</w:t>
      </w:r>
      <w:r w:rsidR="001603FF" w:rsidRPr="00EA7870">
        <w:rPr>
          <w:sz w:val="20"/>
          <w:szCs w:val="20"/>
          <w:lang w:val="es-AR"/>
        </w:rPr>
        <w:t>c</w:t>
      </w:r>
      <w:r w:rsidRPr="00EA7870">
        <w:rPr>
          <w:sz w:val="20"/>
          <w:szCs w:val="20"/>
          <w:lang w:val="es-AR"/>
        </w:rPr>
        <w:t>)</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acordado</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sellos,</w:t>
      </w:r>
      <w:r w:rsidR="001A28B3" w:rsidRPr="00EA7870">
        <w:rPr>
          <w:sz w:val="20"/>
          <w:szCs w:val="20"/>
          <w:lang w:val="es-AR"/>
        </w:rPr>
        <w:t xml:space="preserve"> </w:t>
      </w:r>
      <w:r w:rsidRPr="00EA7870">
        <w:rPr>
          <w:sz w:val="20"/>
          <w:szCs w:val="20"/>
          <w:lang w:val="es-AR"/>
        </w:rPr>
        <w:t>tasas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justicia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documentarios,</w:t>
      </w:r>
      <w:r w:rsidR="001A28B3" w:rsidRPr="00EA7870">
        <w:rPr>
          <w:sz w:val="20"/>
          <w:szCs w:val="20"/>
          <w:lang w:val="es-AR"/>
        </w:rPr>
        <w:t xml:space="preserve"> </w:t>
      </w:r>
      <w:r w:rsidRPr="00EA7870">
        <w:rPr>
          <w:sz w:val="20"/>
          <w:szCs w:val="20"/>
          <w:lang w:val="es-AR"/>
        </w:rPr>
        <w:t>así</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cargas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internos,</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penalidades,</w:t>
      </w:r>
      <w:r w:rsidR="001A28B3" w:rsidRPr="00EA7870">
        <w:rPr>
          <w:sz w:val="20"/>
          <w:szCs w:val="20"/>
          <w:lang w:val="es-AR"/>
        </w:rPr>
        <w:t xml:space="preserve"> </w:t>
      </w:r>
      <w:r w:rsidRPr="00EA7870">
        <w:rPr>
          <w:sz w:val="20"/>
          <w:szCs w:val="20"/>
          <w:lang w:val="es-AR"/>
        </w:rPr>
        <w:t>presentes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futuros,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surjan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resultado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celebración,</w:t>
      </w:r>
      <w:r w:rsidR="001A28B3" w:rsidRPr="00EA7870">
        <w:rPr>
          <w:sz w:val="20"/>
          <w:szCs w:val="20"/>
          <w:lang w:val="es-AR"/>
        </w:rPr>
        <w:t xml:space="preserve"> </w:t>
      </w:r>
      <w:r w:rsidRPr="00EA7870">
        <w:rPr>
          <w:sz w:val="20"/>
          <w:szCs w:val="20"/>
          <w:lang w:val="es-AR"/>
        </w:rPr>
        <w:t>entrega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documento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instrumento</w:t>
      </w:r>
      <w:r w:rsidR="001A28B3" w:rsidRPr="00EA7870">
        <w:rPr>
          <w:sz w:val="20"/>
          <w:szCs w:val="20"/>
          <w:lang w:val="es-AR"/>
        </w:rPr>
        <w:t xml:space="preserve"> </w:t>
      </w:r>
      <w:r w:rsidRPr="00EA7870">
        <w:rPr>
          <w:sz w:val="20"/>
          <w:szCs w:val="20"/>
          <w:lang w:val="es-AR"/>
        </w:rPr>
        <w:t>referido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excluyendo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cargas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determinados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4043F7" w:rsidRPr="00EA7870">
        <w:rPr>
          <w:sz w:val="20"/>
          <w:szCs w:val="20"/>
          <w:lang w:val="es-AR"/>
        </w:rPr>
        <w:t>, España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p>
    <w:p w14:paraId="31ACEB69" w14:textId="77777777" w:rsidR="00376725" w:rsidRPr="00EA7870" w:rsidRDefault="00376725" w:rsidP="00376725">
      <w:pPr>
        <w:jc w:val="both"/>
        <w:rPr>
          <w:sz w:val="20"/>
          <w:szCs w:val="20"/>
          <w:lang w:val="es-AR"/>
        </w:rPr>
      </w:pPr>
    </w:p>
    <w:p w14:paraId="51CFEF97" w14:textId="77777777" w:rsidR="00376725" w:rsidRPr="00EA7870" w:rsidRDefault="00376725" w:rsidP="00376725">
      <w:pPr>
        <w:jc w:val="both"/>
        <w:rPr>
          <w:sz w:val="20"/>
          <w:szCs w:val="20"/>
          <w:lang w:val="es-AR"/>
        </w:rPr>
      </w:pPr>
      <w:r w:rsidRPr="00EA7870">
        <w:rPr>
          <w:sz w:val="20"/>
          <w:szCs w:val="20"/>
          <w:lang w:val="es-AR"/>
        </w:rPr>
        <w:t>(</w:t>
      </w:r>
      <w:r w:rsidR="001603FF" w:rsidRPr="00EA7870">
        <w:rPr>
          <w:sz w:val="20"/>
          <w:szCs w:val="20"/>
          <w:lang w:val="es-AR"/>
        </w:rPr>
        <w:t>d</w:t>
      </w:r>
      <w:r w:rsidRPr="00EA7870">
        <w:rPr>
          <w:sz w:val="20"/>
          <w:szCs w:val="20"/>
          <w:lang w:val="es-AR"/>
        </w:rPr>
        <w:t>)</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pagarán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Cubiertos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Impositiva</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oportunamente,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p>
    <w:p w14:paraId="31274288" w14:textId="77777777" w:rsidR="00376725" w:rsidRPr="00EA7870" w:rsidRDefault="00376725" w:rsidP="00376725">
      <w:pPr>
        <w:jc w:val="both"/>
        <w:rPr>
          <w:sz w:val="20"/>
          <w:szCs w:val="20"/>
          <w:lang w:val="es-AR"/>
        </w:rPr>
      </w:pPr>
    </w:p>
    <w:p w14:paraId="4A302A9B" w14:textId="77777777" w:rsidR="00376725" w:rsidRPr="00EA7870" w:rsidRDefault="00376725" w:rsidP="00376725">
      <w:pPr>
        <w:jc w:val="both"/>
        <w:rPr>
          <w:b/>
          <w:sz w:val="20"/>
          <w:szCs w:val="20"/>
          <w:lang w:val="es-AR"/>
        </w:rPr>
      </w:pPr>
      <w:r w:rsidRPr="00EA7870">
        <w:rPr>
          <w:b/>
          <w:sz w:val="20"/>
          <w:szCs w:val="20"/>
          <w:lang w:val="es-AR"/>
        </w:rPr>
        <w:t>Rescate</w:t>
      </w:r>
      <w:r w:rsidR="001A28B3" w:rsidRPr="00EA7870">
        <w:rPr>
          <w:b/>
          <w:sz w:val="20"/>
          <w:szCs w:val="20"/>
          <w:lang w:val="es-AR"/>
        </w:rPr>
        <w:t xml:space="preserve"> </w:t>
      </w:r>
      <w:r w:rsidRPr="00EA7870">
        <w:rPr>
          <w:b/>
          <w:sz w:val="20"/>
          <w:szCs w:val="20"/>
          <w:lang w:val="es-AR"/>
        </w:rPr>
        <w:t>Optativo</w:t>
      </w:r>
    </w:p>
    <w:p w14:paraId="34DF55ED" w14:textId="77777777" w:rsidR="00B63387" w:rsidRPr="00EA7870" w:rsidRDefault="001A28B3" w:rsidP="00376725">
      <w:pPr>
        <w:jc w:val="both"/>
        <w:rPr>
          <w:sz w:val="20"/>
          <w:szCs w:val="20"/>
          <w:lang w:val="es-AR"/>
        </w:rPr>
      </w:pPr>
      <w:r w:rsidRPr="00EA7870">
        <w:rPr>
          <w:sz w:val="20"/>
          <w:szCs w:val="20"/>
          <w:lang w:val="es-AR"/>
        </w:rPr>
        <w:t xml:space="preserve"> </w:t>
      </w:r>
    </w:p>
    <w:p w14:paraId="76F021DD" w14:textId="77777777" w:rsidR="00376725" w:rsidRPr="00EA7870" w:rsidRDefault="00376725" w:rsidP="00376725">
      <w:pPr>
        <w:jc w:val="both"/>
        <w:rPr>
          <w:b/>
          <w:i/>
          <w:sz w:val="20"/>
          <w:szCs w:val="20"/>
          <w:lang w:val="es-AR"/>
        </w:rPr>
      </w:pPr>
      <w:r w:rsidRPr="00EA7870">
        <w:rPr>
          <w:b/>
          <w:i/>
          <w:sz w:val="20"/>
          <w:szCs w:val="20"/>
          <w:lang w:val="es-AR"/>
        </w:rPr>
        <w:t>Rescate</w:t>
      </w:r>
      <w:r w:rsidR="001A28B3" w:rsidRPr="00EA7870">
        <w:rPr>
          <w:b/>
          <w:i/>
          <w:sz w:val="20"/>
          <w:szCs w:val="20"/>
          <w:lang w:val="es-AR"/>
        </w:rPr>
        <w:t xml:space="preserve"> </w:t>
      </w:r>
      <w:r w:rsidRPr="00EA7870">
        <w:rPr>
          <w:b/>
          <w:i/>
          <w:sz w:val="20"/>
          <w:szCs w:val="20"/>
          <w:lang w:val="es-AR"/>
        </w:rPr>
        <w:t>Optativo</w:t>
      </w:r>
      <w:r w:rsidR="001A28B3" w:rsidRPr="00EA7870">
        <w:rPr>
          <w:b/>
          <w:i/>
          <w:sz w:val="20"/>
          <w:szCs w:val="20"/>
          <w:lang w:val="es-AR"/>
        </w:rPr>
        <w:t xml:space="preserve"> </w:t>
      </w:r>
      <w:r w:rsidRPr="00EA7870">
        <w:rPr>
          <w:b/>
          <w:i/>
          <w:sz w:val="20"/>
          <w:szCs w:val="20"/>
          <w:lang w:val="es-AR"/>
        </w:rPr>
        <w:t>con</w:t>
      </w:r>
      <w:r w:rsidR="001A28B3" w:rsidRPr="00EA7870">
        <w:rPr>
          <w:b/>
          <w:i/>
          <w:sz w:val="20"/>
          <w:szCs w:val="20"/>
          <w:lang w:val="es-AR"/>
        </w:rPr>
        <w:t xml:space="preserve"> </w:t>
      </w:r>
      <w:r w:rsidRPr="00EA7870">
        <w:rPr>
          <w:b/>
          <w:i/>
          <w:sz w:val="20"/>
          <w:szCs w:val="20"/>
          <w:lang w:val="es-AR"/>
        </w:rPr>
        <w:t>Prima</w:t>
      </w:r>
      <w:r w:rsidR="001A28B3" w:rsidRPr="00EA7870">
        <w:rPr>
          <w:b/>
          <w:i/>
          <w:sz w:val="20"/>
          <w:szCs w:val="20"/>
          <w:lang w:val="es-AR"/>
        </w:rPr>
        <w:t xml:space="preserve"> </w:t>
      </w:r>
      <w:r w:rsidRPr="00EA7870">
        <w:rPr>
          <w:b/>
          <w:i/>
          <w:sz w:val="20"/>
          <w:szCs w:val="20"/>
          <w:lang w:val="es-AR"/>
        </w:rPr>
        <w:t>Compensatoria</w:t>
      </w:r>
    </w:p>
    <w:p w14:paraId="75500109" w14:textId="77777777" w:rsidR="00376725" w:rsidRPr="00EA7870" w:rsidRDefault="00376725" w:rsidP="00376725">
      <w:pPr>
        <w:jc w:val="both"/>
        <w:rPr>
          <w:sz w:val="20"/>
          <w:szCs w:val="20"/>
          <w:lang w:val="es-AR"/>
        </w:rPr>
      </w:pPr>
    </w:p>
    <w:p w14:paraId="1944A9E3" w14:textId="77777777" w:rsidR="00376725" w:rsidRPr="00EA7870" w:rsidRDefault="00376725" w:rsidP="00376725">
      <w:pPr>
        <w:tabs>
          <w:tab w:val="left" w:pos="-360"/>
          <w:tab w:val="left" w:pos="0"/>
        </w:tabs>
        <w:suppressAutoHyphens/>
        <w:jc w:val="both"/>
        <w:rPr>
          <w:spacing w:val="-2"/>
          <w:sz w:val="20"/>
          <w:szCs w:val="20"/>
          <w:lang w:val="es-AR"/>
        </w:rPr>
      </w:pP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cualquier</w:t>
      </w:r>
      <w:r w:rsidR="001A28B3" w:rsidRPr="00EA7870">
        <w:rPr>
          <w:spacing w:val="-2"/>
          <w:sz w:val="20"/>
          <w:szCs w:val="20"/>
          <w:lang w:val="es-AR"/>
        </w:rPr>
        <w:t xml:space="preserve"> </w:t>
      </w:r>
      <w:r w:rsidRPr="00EA7870">
        <w:rPr>
          <w:spacing w:val="-2"/>
          <w:sz w:val="20"/>
          <w:szCs w:val="20"/>
          <w:lang w:val="es-AR"/>
        </w:rPr>
        <w:t>momento</w:t>
      </w:r>
      <w:r w:rsidR="001A28B3" w:rsidRPr="00EA7870">
        <w:rPr>
          <w:spacing w:val="-2"/>
          <w:sz w:val="20"/>
          <w:szCs w:val="20"/>
          <w:lang w:val="es-AR"/>
        </w:rPr>
        <w:t xml:space="preserve"> </w:t>
      </w:r>
      <w:r w:rsidRPr="00EA7870">
        <w:rPr>
          <w:spacing w:val="-2"/>
          <w:sz w:val="20"/>
          <w:szCs w:val="20"/>
          <w:lang w:val="es-AR"/>
        </w:rPr>
        <w:t>anterior</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fecha</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se</w:t>
      </w:r>
      <w:r w:rsidR="001A28B3" w:rsidRPr="00EA7870">
        <w:rPr>
          <w:spacing w:val="-2"/>
          <w:sz w:val="20"/>
          <w:szCs w:val="20"/>
          <w:lang w:val="es-AR"/>
        </w:rPr>
        <w:t xml:space="preserve"> </w:t>
      </w:r>
      <w:r w:rsidRPr="00EA7870">
        <w:rPr>
          <w:spacing w:val="-2"/>
          <w:sz w:val="20"/>
          <w:szCs w:val="20"/>
          <w:lang w:val="es-AR"/>
        </w:rPr>
        <w:t>informe</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Aviso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Resultados</w:t>
      </w:r>
      <w:r w:rsidR="005D134B" w:rsidRPr="00EA7870">
        <w:rPr>
          <w:spacing w:val="-2"/>
          <w:sz w:val="20"/>
          <w:szCs w:val="20"/>
          <w:lang w:val="es-AR"/>
        </w:rPr>
        <w:t xml:space="preserve"> (la “</w:t>
      </w:r>
      <w:r w:rsidR="005D134B" w:rsidRPr="00EA7870">
        <w:rPr>
          <w:b/>
          <w:bCs/>
          <w:spacing w:val="-2"/>
          <w:sz w:val="20"/>
          <w:szCs w:val="20"/>
          <w:lang w:val="es-AR"/>
        </w:rPr>
        <w:t>Fecha de Rescate</w:t>
      </w:r>
      <w:r w:rsidR="005D134B" w:rsidRPr="00EA7870">
        <w:rPr>
          <w:spacing w:val="-2"/>
          <w:sz w:val="20"/>
          <w:szCs w:val="20"/>
          <w:lang w:val="es-AR"/>
        </w:rPr>
        <w:t>”)</w:t>
      </w:r>
      <w:r w:rsidRPr="00EA7870">
        <w:rPr>
          <w:bCs/>
          <w:iCs/>
          <w:sz w:val="20"/>
          <w:szCs w:val="20"/>
          <w:lang w:val="es-AR"/>
        </w:rPr>
        <w:t>,</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podrá,</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opción,</w:t>
      </w:r>
      <w:r w:rsidR="001A28B3" w:rsidRPr="00EA7870">
        <w:rPr>
          <w:spacing w:val="-2"/>
          <w:sz w:val="20"/>
          <w:szCs w:val="20"/>
          <w:lang w:val="es-AR"/>
        </w:rPr>
        <w:t xml:space="preserve"> </w:t>
      </w:r>
      <w:r w:rsidRPr="00EA7870">
        <w:rPr>
          <w:spacing w:val="-2"/>
          <w:sz w:val="20"/>
          <w:szCs w:val="20"/>
          <w:lang w:val="es-AR"/>
        </w:rPr>
        <w:t>rescatar</w:t>
      </w:r>
      <w:r w:rsidR="001A28B3" w:rsidRPr="00EA7870">
        <w:rPr>
          <w:spacing w:val="-2"/>
          <w:sz w:val="20"/>
          <w:szCs w:val="20"/>
          <w:lang w:val="es-AR"/>
        </w:rPr>
        <w:t xml:space="preserve"> </w:t>
      </w:r>
      <w:r w:rsidRPr="00EA7870">
        <w:rPr>
          <w:spacing w:val="-2"/>
          <w:sz w:val="20"/>
          <w:szCs w:val="20"/>
          <w:lang w:val="es-AR"/>
        </w:rPr>
        <w:t>las</w:t>
      </w:r>
      <w:r w:rsidR="001A28B3" w:rsidRPr="00EA7870">
        <w:rPr>
          <w:spacing w:val="-2"/>
          <w:sz w:val="20"/>
          <w:szCs w:val="20"/>
          <w:lang w:val="es-AR"/>
        </w:rPr>
        <w:t xml:space="preserve"> </w:t>
      </w:r>
      <w:r w:rsidRPr="00EA7870">
        <w:rPr>
          <w:spacing w:val="-2"/>
          <w:sz w:val="20"/>
          <w:szCs w:val="20"/>
          <w:lang w:val="es-AR"/>
        </w:rPr>
        <w:t>Obligaciones</w:t>
      </w:r>
      <w:r w:rsidR="001A28B3" w:rsidRPr="00EA7870">
        <w:rPr>
          <w:spacing w:val="-2"/>
          <w:sz w:val="20"/>
          <w:szCs w:val="20"/>
          <w:lang w:val="es-AR"/>
        </w:rPr>
        <w:t xml:space="preserve"> </w:t>
      </w:r>
      <w:r w:rsidRPr="00EA7870">
        <w:rPr>
          <w:spacing w:val="-2"/>
          <w:sz w:val="20"/>
          <w:szCs w:val="20"/>
          <w:lang w:val="es-AR"/>
        </w:rPr>
        <w:t>Negociables,</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totalidad</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forma</w:t>
      </w:r>
      <w:r w:rsidR="001A28B3" w:rsidRPr="00EA7870">
        <w:rPr>
          <w:spacing w:val="-2"/>
          <w:sz w:val="20"/>
          <w:szCs w:val="20"/>
          <w:lang w:val="es-AR"/>
        </w:rPr>
        <w:t xml:space="preserve"> </w:t>
      </w:r>
      <w:r w:rsidRPr="00EA7870">
        <w:rPr>
          <w:spacing w:val="-2"/>
          <w:sz w:val="20"/>
          <w:szCs w:val="20"/>
          <w:lang w:val="es-AR"/>
        </w:rPr>
        <w:t>parcial,</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precio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rescate</w:t>
      </w:r>
      <w:r w:rsidR="001A28B3" w:rsidRPr="00EA7870">
        <w:rPr>
          <w:spacing w:val="-2"/>
          <w:sz w:val="20"/>
          <w:szCs w:val="20"/>
          <w:lang w:val="es-AR"/>
        </w:rPr>
        <w:t xml:space="preserve"> </w:t>
      </w:r>
      <w:r w:rsidRPr="00EA7870">
        <w:rPr>
          <w:spacing w:val="-2"/>
          <w:sz w:val="20"/>
          <w:szCs w:val="20"/>
          <w:lang w:val="es-AR"/>
        </w:rPr>
        <w:t>equivalente</w:t>
      </w:r>
      <w:r w:rsidR="001A28B3" w:rsidRPr="00EA7870">
        <w:rPr>
          <w:spacing w:val="-2"/>
          <w:sz w:val="20"/>
          <w:szCs w:val="20"/>
          <w:lang w:val="es-AR"/>
        </w:rPr>
        <w:t xml:space="preserve"> </w:t>
      </w:r>
      <w:r w:rsidRPr="00EA7870">
        <w:rPr>
          <w:spacing w:val="-2"/>
          <w:sz w:val="20"/>
          <w:szCs w:val="20"/>
          <w:lang w:val="es-AR"/>
        </w:rPr>
        <w:t>al</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resulte</w:t>
      </w:r>
      <w:r w:rsidR="001A28B3" w:rsidRPr="00EA7870">
        <w:rPr>
          <w:spacing w:val="-2"/>
          <w:sz w:val="20"/>
          <w:szCs w:val="20"/>
          <w:lang w:val="es-AR"/>
        </w:rPr>
        <w:t xml:space="preserve"> </w:t>
      </w:r>
      <w:r w:rsidRPr="00EA7870">
        <w:rPr>
          <w:spacing w:val="-2"/>
          <w:sz w:val="20"/>
          <w:szCs w:val="20"/>
          <w:lang w:val="es-AR"/>
        </w:rPr>
        <w:t>mayor</w:t>
      </w:r>
      <w:r w:rsidR="001A28B3" w:rsidRPr="00EA7870">
        <w:rPr>
          <w:spacing w:val="-2"/>
          <w:sz w:val="20"/>
          <w:szCs w:val="20"/>
          <w:lang w:val="es-AR"/>
        </w:rPr>
        <w:t xml:space="preserve"> </w:t>
      </w:r>
      <w:r w:rsidRPr="00EA7870">
        <w:rPr>
          <w:spacing w:val="-2"/>
          <w:sz w:val="20"/>
          <w:szCs w:val="20"/>
          <w:lang w:val="es-AR"/>
        </w:rPr>
        <w:t>entre</w:t>
      </w:r>
      <w:r w:rsidR="001A28B3" w:rsidRPr="00EA7870">
        <w:rPr>
          <w:spacing w:val="-2"/>
          <w:sz w:val="20"/>
          <w:szCs w:val="20"/>
          <w:lang w:val="es-AR"/>
        </w:rPr>
        <w:t xml:space="preserve"> </w:t>
      </w:r>
      <w:r w:rsidRPr="00EA7870">
        <w:rPr>
          <w:spacing w:val="-2"/>
          <w:sz w:val="20"/>
          <w:szCs w:val="20"/>
          <w:lang w:val="es-AR"/>
        </w:rPr>
        <w:t>(1)</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100%</w:t>
      </w:r>
      <w:r w:rsidR="001A28B3" w:rsidRPr="00EA7870">
        <w:rPr>
          <w:spacing w:val="-2"/>
          <w:sz w:val="20"/>
          <w:szCs w:val="20"/>
          <w:lang w:val="es-AR"/>
        </w:rPr>
        <w:t xml:space="preserve"> </w:t>
      </w:r>
      <w:r w:rsidRPr="00EA7870">
        <w:rPr>
          <w:spacing w:val="-2"/>
          <w:sz w:val="20"/>
          <w:szCs w:val="20"/>
          <w:lang w:val="es-AR"/>
        </w:rPr>
        <w:t>del</w:t>
      </w:r>
      <w:r w:rsidR="001A28B3" w:rsidRPr="00EA7870">
        <w:rPr>
          <w:spacing w:val="-2"/>
          <w:sz w:val="20"/>
          <w:szCs w:val="20"/>
          <w:lang w:val="es-AR"/>
        </w:rPr>
        <w:t xml:space="preserve"> </w:t>
      </w:r>
      <w:r w:rsidRPr="00EA7870">
        <w:rPr>
          <w:spacing w:val="-2"/>
          <w:sz w:val="20"/>
          <w:szCs w:val="20"/>
          <w:lang w:val="es-AR"/>
        </w:rPr>
        <w:t>monto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capital</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las</w:t>
      </w:r>
      <w:r w:rsidR="001A28B3" w:rsidRPr="00EA7870">
        <w:rPr>
          <w:spacing w:val="-2"/>
          <w:sz w:val="20"/>
          <w:szCs w:val="20"/>
          <w:lang w:val="es-AR"/>
        </w:rPr>
        <w:t xml:space="preserve"> </w:t>
      </w:r>
      <w:r w:rsidRPr="00EA7870">
        <w:rPr>
          <w:spacing w:val="-2"/>
          <w:sz w:val="20"/>
          <w:szCs w:val="20"/>
          <w:lang w:val="es-AR"/>
        </w:rPr>
        <w:t>Obligaciones</w:t>
      </w:r>
      <w:r w:rsidR="001A28B3" w:rsidRPr="00EA7870">
        <w:rPr>
          <w:spacing w:val="-2"/>
          <w:sz w:val="20"/>
          <w:szCs w:val="20"/>
          <w:lang w:val="es-AR"/>
        </w:rPr>
        <w:t xml:space="preserve"> </w:t>
      </w:r>
      <w:r w:rsidRPr="00EA7870">
        <w:rPr>
          <w:spacing w:val="-2"/>
          <w:sz w:val="20"/>
          <w:szCs w:val="20"/>
          <w:lang w:val="es-AR"/>
        </w:rPr>
        <w:t>Negociables</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ser</w:t>
      </w:r>
      <w:r w:rsidR="001A28B3" w:rsidRPr="00EA7870">
        <w:rPr>
          <w:spacing w:val="-2"/>
          <w:sz w:val="20"/>
          <w:szCs w:val="20"/>
          <w:lang w:val="es-AR"/>
        </w:rPr>
        <w:t xml:space="preserve"> </w:t>
      </w:r>
      <w:r w:rsidRPr="00EA7870">
        <w:rPr>
          <w:spacing w:val="-2"/>
          <w:sz w:val="20"/>
          <w:szCs w:val="20"/>
          <w:lang w:val="es-AR"/>
        </w:rPr>
        <w:t>rescatadas</w:t>
      </w:r>
      <w:r w:rsidR="001A28B3" w:rsidRPr="00EA7870">
        <w:rPr>
          <w:spacing w:val="-2"/>
          <w:sz w:val="20"/>
          <w:szCs w:val="20"/>
          <w:lang w:val="es-AR"/>
        </w:rPr>
        <w:t xml:space="preserve"> </w:t>
      </w:r>
      <w:r w:rsidR="00325103"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(2)</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suma</w:t>
      </w:r>
      <w:r w:rsidR="001A28B3" w:rsidRPr="00EA7870">
        <w:rPr>
          <w:spacing w:val="-2"/>
          <w:sz w:val="20"/>
          <w:szCs w:val="20"/>
          <w:lang w:val="es-AR"/>
        </w:rPr>
        <w:t xml:space="preserve"> </w:t>
      </w:r>
      <w:r w:rsidRPr="00EA7870">
        <w:rPr>
          <w:spacing w:val="-2"/>
          <w:sz w:val="20"/>
          <w:szCs w:val="20"/>
          <w:lang w:val="es-AR"/>
        </w:rPr>
        <w:t>del</w:t>
      </w:r>
      <w:r w:rsidR="001A28B3" w:rsidRPr="00EA7870">
        <w:rPr>
          <w:spacing w:val="-2"/>
          <w:sz w:val="20"/>
          <w:szCs w:val="20"/>
          <w:lang w:val="es-AR"/>
        </w:rPr>
        <w:t xml:space="preserve"> </w:t>
      </w:r>
      <w:r w:rsidRPr="00EA7870">
        <w:rPr>
          <w:spacing w:val="-2"/>
          <w:sz w:val="20"/>
          <w:szCs w:val="20"/>
          <w:lang w:val="es-AR"/>
        </w:rPr>
        <w:t>valor</w:t>
      </w:r>
      <w:r w:rsidR="001A28B3" w:rsidRPr="00EA7870">
        <w:rPr>
          <w:spacing w:val="-2"/>
          <w:sz w:val="20"/>
          <w:szCs w:val="20"/>
          <w:lang w:val="es-AR"/>
        </w:rPr>
        <w:t xml:space="preserve"> </w:t>
      </w:r>
      <w:r w:rsidRPr="00EA7870">
        <w:rPr>
          <w:spacing w:val="-2"/>
          <w:sz w:val="20"/>
          <w:szCs w:val="20"/>
          <w:lang w:val="es-AR"/>
        </w:rPr>
        <w:t>presente</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cada</w:t>
      </w:r>
      <w:r w:rsidR="001A28B3" w:rsidRPr="00EA7870">
        <w:rPr>
          <w:spacing w:val="-2"/>
          <w:sz w:val="20"/>
          <w:szCs w:val="20"/>
          <w:lang w:val="es-AR"/>
        </w:rPr>
        <w:t xml:space="preserve"> </w:t>
      </w:r>
      <w:r w:rsidRPr="00EA7870">
        <w:rPr>
          <w:spacing w:val="-2"/>
          <w:sz w:val="20"/>
          <w:szCs w:val="20"/>
          <w:lang w:val="es-AR"/>
        </w:rPr>
        <w:t>pago</w:t>
      </w:r>
      <w:r w:rsidR="001A28B3" w:rsidRPr="00EA7870">
        <w:rPr>
          <w:spacing w:val="-2"/>
          <w:sz w:val="20"/>
          <w:szCs w:val="20"/>
          <w:lang w:val="es-AR"/>
        </w:rPr>
        <w:t xml:space="preserve"> </w:t>
      </w:r>
      <w:r w:rsidRPr="00EA7870">
        <w:rPr>
          <w:spacing w:val="-2"/>
          <w:sz w:val="20"/>
          <w:szCs w:val="20"/>
          <w:lang w:val="es-AR"/>
        </w:rPr>
        <w:t>programado</w:t>
      </w:r>
      <w:r w:rsidR="001A28B3" w:rsidRPr="00EA7870">
        <w:rPr>
          <w:spacing w:val="-2"/>
          <w:sz w:val="20"/>
          <w:szCs w:val="20"/>
          <w:lang w:val="es-AR"/>
        </w:rPr>
        <w:t xml:space="preserve"> </w:t>
      </w:r>
      <w:r w:rsidRPr="00EA7870">
        <w:rPr>
          <w:spacing w:val="-2"/>
          <w:sz w:val="20"/>
          <w:szCs w:val="20"/>
          <w:lang w:val="es-AR"/>
        </w:rPr>
        <w:t>remanente</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capital</w:t>
      </w:r>
      <w:r w:rsidR="001A28B3" w:rsidRPr="00EA7870">
        <w:rPr>
          <w:spacing w:val="-2"/>
          <w:sz w:val="20"/>
          <w:szCs w:val="20"/>
          <w:lang w:val="es-AR"/>
        </w:rPr>
        <w:t xml:space="preserve"> </w:t>
      </w:r>
      <w:r w:rsidRPr="00EA7870">
        <w:rPr>
          <w:spacing w:val="-2"/>
          <w:sz w:val="20"/>
          <w:szCs w:val="20"/>
          <w:lang w:val="es-AR"/>
        </w:rPr>
        <w:t>e</w:t>
      </w:r>
      <w:r w:rsidR="001A28B3" w:rsidRPr="00EA7870">
        <w:rPr>
          <w:spacing w:val="-2"/>
          <w:sz w:val="20"/>
          <w:szCs w:val="20"/>
          <w:lang w:val="es-AR"/>
        </w:rPr>
        <w:t xml:space="preserve"> </w:t>
      </w:r>
      <w:r w:rsidRPr="00EA7870">
        <w:rPr>
          <w:spacing w:val="-2"/>
          <w:sz w:val="20"/>
          <w:szCs w:val="20"/>
          <w:lang w:val="es-AR"/>
        </w:rPr>
        <w:t>intereses</w:t>
      </w:r>
      <w:r w:rsidR="001A28B3" w:rsidRPr="00EA7870">
        <w:rPr>
          <w:spacing w:val="-2"/>
          <w:sz w:val="20"/>
          <w:szCs w:val="20"/>
          <w:lang w:val="es-AR"/>
        </w:rPr>
        <w:t xml:space="preserve"> </w:t>
      </w:r>
      <w:r w:rsidRPr="00EA7870">
        <w:rPr>
          <w:spacing w:val="-2"/>
          <w:sz w:val="20"/>
          <w:szCs w:val="20"/>
          <w:lang w:val="es-AR"/>
        </w:rPr>
        <w:t>sobre</w:t>
      </w:r>
      <w:r w:rsidR="001A28B3" w:rsidRPr="00EA7870">
        <w:rPr>
          <w:spacing w:val="-2"/>
          <w:sz w:val="20"/>
          <w:szCs w:val="20"/>
          <w:lang w:val="es-AR"/>
        </w:rPr>
        <w:t xml:space="preserve"> </w:t>
      </w:r>
      <w:r w:rsidRPr="00EA7870">
        <w:rPr>
          <w:spacing w:val="-2"/>
          <w:sz w:val="20"/>
          <w:szCs w:val="20"/>
          <w:lang w:val="es-AR"/>
        </w:rPr>
        <w:t>las</w:t>
      </w:r>
      <w:r w:rsidR="001A28B3" w:rsidRPr="00EA7870">
        <w:rPr>
          <w:spacing w:val="-2"/>
          <w:sz w:val="20"/>
          <w:szCs w:val="20"/>
          <w:lang w:val="es-AR"/>
        </w:rPr>
        <w:t xml:space="preserve"> </w:t>
      </w:r>
      <w:r w:rsidRPr="00EA7870">
        <w:rPr>
          <w:spacing w:val="-2"/>
          <w:sz w:val="20"/>
          <w:szCs w:val="20"/>
          <w:lang w:val="es-AR"/>
        </w:rPr>
        <w:t>mismas</w:t>
      </w:r>
      <w:r w:rsidR="001A28B3" w:rsidRPr="00EA7870">
        <w:rPr>
          <w:spacing w:val="-2"/>
          <w:sz w:val="20"/>
          <w:szCs w:val="20"/>
          <w:lang w:val="es-AR"/>
        </w:rPr>
        <w:t xml:space="preserve"> </w:t>
      </w:r>
      <w:r w:rsidRPr="00EA7870">
        <w:rPr>
          <w:spacing w:val="-2"/>
          <w:sz w:val="20"/>
          <w:szCs w:val="20"/>
          <w:lang w:val="es-AR"/>
        </w:rPr>
        <w:t>(excluyendo</w:t>
      </w:r>
      <w:r w:rsidR="001A28B3" w:rsidRPr="00EA7870">
        <w:rPr>
          <w:spacing w:val="-2"/>
          <w:sz w:val="20"/>
          <w:szCs w:val="20"/>
          <w:lang w:val="es-AR"/>
        </w:rPr>
        <w:t xml:space="preserve"> </w:t>
      </w:r>
      <w:r w:rsidRPr="00EA7870">
        <w:rPr>
          <w:spacing w:val="-2"/>
          <w:sz w:val="20"/>
          <w:szCs w:val="20"/>
          <w:lang w:val="es-AR"/>
        </w:rPr>
        <w:t>los</w:t>
      </w:r>
      <w:r w:rsidR="001A28B3" w:rsidRPr="00EA7870">
        <w:rPr>
          <w:spacing w:val="-2"/>
          <w:sz w:val="20"/>
          <w:szCs w:val="20"/>
          <w:lang w:val="es-AR"/>
        </w:rPr>
        <w:t xml:space="preserve"> </w:t>
      </w:r>
      <w:r w:rsidRPr="00EA7870">
        <w:rPr>
          <w:spacing w:val="-2"/>
          <w:sz w:val="20"/>
          <w:szCs w:val="20"/>
          <w:lang w:val="es-AR"/>
        </w:rPr>
        <w:t>intereses</w:t>
      </w:r>
      <w:r w:rsidR="001A28B3" w:rsidRPr="00EA7870">
        <w:rPr>
          <w:spacing w:val="-2"/>
          <w:sz w:val="20"/>
          <w:szCs w:val="20"/>
          <w:lang w:val="es-AR"/>
        </w:rPr>
        <w:t xml:space="preserve"> </w:t>
      </w:r>
      <w:r w:rsidRPr="00EA7870">
        <w:rPr>
          <w:spacing w:val="-2"/>
          <w:sz w:val="20"/>
          <w:szCs w:val="20"/>
          <w:lang w:val="es-AR"/>
        </w:rPr>
        <w:t>devengados</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fecha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rescate)</w:t>
      </w:r>
      <w:r w:rsidR="001A28B3" w:rsidRPr="00EA7870">
        <w:rPr>
          <w:spacing w:val="-2"/>
          <w:sz w:val="20"/>
          <w:szCs w:val="20"/>
          <w:lang w:val="es-AR"/>
        </w:rPr>
        <w:t xml:space="preserve"> </w:t>
      </w:r>
      <w:r w:rsidRPr="00EA7870">
        <w:rPr>
          <w:spacing w:val="-2"/>
          <w:sz w:val="20"/>
          <w:szCs w:val="20"/>
          <w:lang w:val="es-AR"/>
        </w:rPr>
        <w:t>descontado</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fecha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rescate</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forma</w:t>
      </w:r>
      <w:r w:rsidR="001A28B3" w:rsidRPr="00EA7870">
        <w:rPr>
          <w:spacing w:val="-2"/>
          <w:sz w:val="20"/>
          <w:szCs w:val="20"/>
          <w:lang w:val="es-AR"/>
        </w:rPr>
        <w:t xml:space="preserve"> </w:t>
      </w:r>
      <w:r w:rsidR="00873D88" w:rsidRPr="00EA7870">
        <w:rPr>
          <w:spacing w:val="-2"/>
          <w:sz w:val="20"/>
          <w:szCs w:val="20"/>
          <w:lang w:val="es-AR"/>
        </w:rPr>
        <w:t xml:space="preserve">anual </w:t>
      </w:r>
      <w:r w:rsidRPr="00EA7870">
        <w:rPr>
          <w:spacing w:val="-2"/>
          <w:sz w:val="20"/>
          <w:szCs w:val="20"/>
          <w:lang w:val="es-AR"/>
        </w:rPr>
        <w:t>(suponiendo</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año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360</w:t>
      </w:r>
      <w:r w:rsidR="001A28B3" w:rsidRPr="00EA7870">
        <w:rPr>
          <w:spacing w:val="-2"/>
          <w:sz w:val="20"/>
          <w:szCs w:val="20"/>
          <w:lang w:val="es-AR"/>
        </w:rPr>
        <w:t xml:space="preserve"> </w:t>
      </w:r>
      <w:r w:rsidRPr="00EA7870">
        <w:rPr>
          <w:spacing w:val="-2"/>
          <w:sz w:val="20"/>
          <w:szCs w:val="20"/>
          <w:lang w:val="es-AR"/>
        </w:rPr>
        <w:t>días</w:t>
      </w:r>
      <w:r w:rsidR="001A28B3" w:rsidRPr="00EA7870">
        <w:rPr>
          <w:spacing w:val="-2"/>
          <w:sz w:val="20"/>
          <w:szCs w:val="20"/>
          <w:lang w:val="es-AR"/>
        </w:rPr>
        <w:t xml:space="preserve"> </w:t>
      </w:r>
      <w:r w:rsidRPr="00EA7870">
        <w:rPr>
          <w:spacing w:val="-2"/>
          <w:sz w:val="20"/>
          <w:szCs w:val="20"/>
          <w:lang w:val="es-AR"/>
        </w:rPr>
        <w:t>compuesto</w:t>
      </w:r>
      <w:r w:rsidR="001A28B3" w:rsidRPr="00EA7870">
        <w:rPr>
          <w:spacing w:val="-2"/>
          <w:sz w:val="20"/>
          <w:szCs w:val="20"/>
          <w:lang w:val="es-AR"/>
        </w:rPr>
        <w:t xml:space="preserve"> </w:t>
      </w:r>
      <w:r w:rsidRPr="00EA7870">
        <w:rPr>
          <w:spacing w:val="-2"/>
          <w:sz w:val="20"/>
          <w:szCs w:val="20"/>
          <w:lang w:val="es-AR"/>
        </w:rPr>
        <w:t>por</w:t>
      </w:r>
      <w:r w:rsidR="001A28B3" w:rsidRPr="00EA7870">
        <w:rPr>
          <w:spacing w:val="-2"/>
          <w:sz w:val="20"/>
          <w:szCs w:val="20"/>
          <w:lang w:val="es-AR"/>
        </w:rPr>
        <w:t xml:space="preserve"> </w:t>
      </w:r>
      <w:r w:rsidRPr="00EA7870">
        <w:rPr>
          <w:spacing w:val="-2"/>
          <w:sz w:val="20"/>
          <w:szCs w:val="20"/>
          <w:lang w:val="es-AR"/>
        </w:rPr>
        <w:t>doce</w:t>
      </w:r>
      <w:r w:rsidR="001A28B3" w:rsidRPr="00EA7870">
        <w:rPr>
          <w:spacing w:val="-2"/>
          <w:sz w:val="20"/>
          <w:szCs w:val="20"/>
          <w:lang w:val="es-AR"/>
        </w:rPr>
        <w:t xml:space="preserve"> </w:t>
      </w:r>
      <w:r w:rsidRPr="00EA7870">
        <w:rPr>
          <w:spacing w:val="-2"/>
          <w:sz w:val="20"/>
          <w:szCs w:val="20"/>
          <w:lang w:val="es-AR"/>
        </w:rPr>
        <w:t>meses</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30</w:t>
      </w:r>
      <w:r w:rsidR="001A28B3" w:rsidRPr="00EA7870">
        <w:rPr>
          <w:spacing w:val="-2"/>
          <w:sz w:val="20"/>
          <w:szCs w:val="20"/>
          <w:lang w:val="es-AR"/>
        </w:rPr>
        <w:t xml:space="preserve"> </w:t>
      </w:r>
      <w:r w:rsidRPr="00EA7870">
        <w:rPr>
          <w:spacing w:val="-2"/>
          <w:sz w:val="20"/>
          <w:szCs w:val="20"/>
          <w:lang w:val="es-AR"/>
        </w:rPr>
        <w:t>días)</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Tasa</w:t>
      </w:r>
      <w:r w:rsidR="001A28B3" w:rsidRPr="00EA7870">
        <w:rPr>
          <w:spacing w:val="-2"/>
          <w:sz w:val="20"/>
          <w:szCs w:val="20"/>
          <w:lang w:val="es-AR"/>
        </w:rPr>
        <w:t xml:space="preserve"> </w:t>
      </w:r>
      <w:r w:rsidRPr="00EA7870">
        <w:rPr>
          <w:spacing w:val="-2"/>
          <w:sz w:val="20"/>
          <w:szCs w:val="20"/>
          <w:lang w:val="es-AR"/>
        </w:rPr>
        <w:t>del</w:t>
      </w:r>
      <w:r w:rsidR="001A28B3" w:rsidRPr="00EA7870">
        <w:rPr>
          <w:spacing w:val="-2"/>
          <w:sz w:val="20"/>
          <w:szCs w:val="20"/>
          <w:lang w:val="es-AR"/>
        </w:rPr>
        <w:t xml:space="preserve"> </w:t>
      </w:r>
      <w:r w:rsidRPr="00EA7870">
        <w:rPr>
          <w:spacing w:val="-2"/>
          <w:sz w:val="20"/>
          <w:szCs w:val="20"/>
          <w:lang w:val="es-AR"/>
        </w:rPr>
        <w:t>Tesoro</w:t>
      </w:r>
      <w:r w:rsidR="001A28B3" w:rsidRPr="00EA7870">
        <w:rPr>
          <w:spacing w:val="-2"/>
          <w:sz w:val="20"/>
          <w:szCs w:val="20"/>
          <w:lang w:val="es-AR"/>
        </w:rPr>
        <w:t xml:space="preserve"> </w:t>
      </w:r>
      <w:r w:rsidRPr="00EA7870">
        <w:rPr>
          <w:spacing w:val="-2"/>
          <w:sz w:val="20"/>
          <w:szCs w:val="20"/>
          <w:lang w:val="es-AR"/>
        </w:rPr>
        <w:t>más</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margen</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será</w:t>
      </w:r>
      <w:r w:rsidR="001A28B3" w:rsidRPr="00EA7870">
        <w:rPr>
          <w:spacing w:val="-2"/>
          <w:sz w:val="20"/>
          <w:szCs w:val="20"/>
          <w:lang w:val="es-AR"/>
        </w:rPr>
        <w:t xml:space="preserve"> </w:t>
      </w:r>
      <w:r w:rsidRPr="00EA7870">
        <w:rPr>
          <w:spacing w:val="-2"/>
          <w:sz w:val="20"/>
          <w:szCs w:val="20"/>
          <w:lang w:val="es-AR"/>
        </w:rPr>
        <w:t>informado</w:t>
      </w:r>
      <w:r w:rsidR="001A28B3" w:rsidRPr="00EA7870">
        <w:rPr>
          <w:spacing w:val="-2"/>
          <w:sz w:val="20"/>
          <w:szCs w:val="20"/>
          <w:lang w:val="es-AR"/>
        </w:rPr>
        <w:t xml:space="preserve"> </w:t>
      </w:r>
      <w:r w:rsidRPr="00EA7870">
        <w:rPr>
          <w:spacing w:val="-2"/>
          <w:sz w:val="20"/>
          <w:szCs w:val="20"/>
          <w:lang w:val="es-AR"/>
        </w:rPr>
        <w:t>oportunamente</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Aviso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Resultados,</w:t>
      </w:r>
      <w:r w:rsidR="001A28B3" w:rsidRPr="00EA7870">
        <w:rPr>
          <w:spacing w:val="-2"/>
          <w:sz w:val="20"/>
          <w:szCs w:val="20"/>
          <w:lang w:val="es-AR"/>
        </w:rPr>
        <w:t xml:space="preserve"> </w:t>
      </w:r>
      <w:r w:rsidRPr="00EA7870">
        <w:rPr>
          <w:spacing w:val="-2"/>
          <w:sz w:val="20"/>
          <w:szCs w:val="20"/>
          <w:lang w:val="es-AR"/>
        </w:rPr>
        <w:t>más,</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cada</w:t>
      </w:r>
      <w:r w:rsidR="001A28B3" w:rsidRPr="00EA7870">
        <w:rPr>
          <w:spacing w:val="-2"/>
          <w:sz w:val="20"/>
          <w:szCs w:val="20"/>
          <w:lang w:val="es-AR"/>
        </w:rPr>
        <w:t xml:space="preserve"> </w:t>
      </w:r>
      <w:r w:rsidRPr="00EA7870">
        <w:rPr>
          <w:spacing w:val="-2"/>
          <w:sz w:val="20"/>
          <w:szCs w:val="20"/>
          <w:lang w:val="es-AR"/>
        </w:rPr>
        <w:t>caso,</w:t>
      </w:r>
      <w:r w:rsidR="001A28B3" w:rsidRPr="00EA7870">
        <w:rPr>
          <w:spacing w:val="-2"/>
          <w:sz w:val="20"/>
          <w:szCs w:val="20"/>
          <w:lang w:val="es-AR"/>
        </w:rPr>
        <w:t xml:space="preserve"> </w:t>
      </w:r>
      <w:r w:rsidRPr="00EA7870">
        <w:rPr>
          <w:spacing w:val="-2"/>
          <w:sz w:val="20"/>
          <w:szCs w:val="20"/>
          <w:lang w:val="es-AR"/>
        </w:rPr>
        <w:t>intereses</w:t>
      </w:r>
      <w:r w:rsidR="001A28B3" w:rsidRPr="00EA7870">
        <w:rPr>
          <w:spacing w:val="-2"/>
          <w:sz w:val="20"/>
          <w:szCs w:val="20"/>
          <w:lang w:val="es-AR"/>
        </w:rPr>
        <w:t xml:space="preserve"> </w:t>
      </w:r>
      <w:r w:rsidRPr="00EA7870">
        <w:rPr>
          <w:spacing w:val="-2"/>
          <w:sz w:val="20"/>
          <w:szCs w:val="20"/>
          <w:lang w:val="es-AR"/>
        </w:rPr>
        <w:t>devengados</w:t>
      </w:r>
      <w:r w:rsidR="001A28B3" w:rsidRPr="00EA7870">
        <w:rPr>
          <w:spacing w:val="-2"/>
          <w:sz w:val="20"/>
          <w:szCs w:val="20"/>
          <w:lang w:val="es-AR"/>
        </w:rPr>
        <w:t xml:space="preserve"> </w:t>
      </w:r>
      <w:r w:rsidRPr="00EA7870">
        <w:rPr>
          <w:spacing w:val="-2"/>
          <w:sz w:val="20"/>
          <w:szCs w:val="20"/>
          <w:lang w:val="es-AR"/>
        </w:rPr>
        <w:t>e</w:t>
      </w:r>
      <w:r w:rsidR="001A28B3" w:rsidRPr="00EA7870">
        <w:rPr>
          <w:spacing w:val="-2"/>
          <w:sz w:val="20"/>
          <w:szCs w:val="20"/>
          <w:lang w:val="es-AR"/>
        </w:rPr>
        <w:t xml:space="preserve"> </w:t>
      </w:r>
      <w:r w:rsidRPr="00EA7870">
        <w:rPr>
          <w:spacing w:val="-2"/>
          <w:sz w:val="20"/>
          <w:szCs w:val="20"/>
          <w:lang w:val="es-AR"/>
        </w:rPr>
        <w:t>impagos</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fecha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rescate.</w:t>
      </w:r>
      <w:r w:rsidR="001A28B3" w:rsidRPr="00EA7870">
        <w:rPr>
          <w:spacing w:val="-2"/>
          <w:sz w:val="20"/>
          <w:szCs w:val="20"/>
          <w:lang w:val="es-AR"/>
        </w:rPr>
        <w:t xml:space="preserve"> </w:t>
      </w:r>
    </w:p>
    <w:p w14:paraId="7A36276D" w14:textId="77777777" w:rsidR="00376725" w:rsidRPr="00EA7870" w:rsidRDefault="00376725" w:rsidP="00376725">
      <w:pPr>
        <w:tabs>
          <w:tab w:val="left" w:pos="0"/>
          <w:tab w:val="right" w:leader="hyphen" w:pos="8959"/>
        </w:tabs>
        <w:jc w:val="both"/>
        <w:rPr>
          <w:sz w:val="20"/>
          <w:szCs w:val="20"/>
          <w:lang w:val="es-AR"/>
        </w:rPr>
      </w:pPr>
    </w:p>
    <w:p w14:paraId="0A93891F" w14:textId="477652FB" w:rsidR="00376725" w:rsidRPr="00EA7870" w:rsidRDefault="00376725" w:rsidP="00376725">
      <w:pPr>
        <w:tabs>
          <w:tab w:val="left" w:pos="0"/>
          <w:tab w:val="right" w:leader="hyphen" w:pos="8959"/>
        </w:tabs>
        <w:jc w:val="both"/>
        <w:rPr>
          <w:sz w:val="20"/>
          <w:szCs w:val="20"/>
          <w:lang w:val="es-AR"/>
        </w:rPr>
      </w:pPr>
      <w:r w:rsidRPr="00EA7870">
        <w:rPr>
          <w:sz w:val="20"/>
          <w:szCs w:val="20"/>
          <w:lang w:val="es-AR"/>
        </w:rPr>
        <w:t>“</w:t>
      </w:r>
      <w:r w:rsidRPr="00EA7870">
        <w:rPr>
          <w:b/>
          <w:sz w:val="20"/>
          <w:szCs w:val="20"/>
          <w:lang w:val="es-AR"/>
        </w:rPr>
        <w:t>Tasa</w:t>
      </w:r>
      <w:r w:rsidR="001A28B3" w:rsidRPr="00EA7870">
        <w:rPr>
          <w:b/>
          <w:sz w:val="20"/>
          <w:szCs w:val="20"/>
          <w:lang w:val="es-AR"/>
        </w:rPr>
        <w:t xml:space="preserve"> </w:t>
      </w:r>
      <w:r w:rsidRPr="00EA7870">
        <w:rPr>
          <w:b/>
          <w:sz w:val="20"/>
          <w:szCs w:val="20"/>
          <w:lang w:val="es-AR"/>
        </w:rPr>
        <w:t>del</w:t>
      </w:r>
      <w:r w:rsidR="001A28B3" w:rsidRPr="00EA7870">
        <w:rPr>
          <w:b/>
          <w:sz w:val="20"/>
          <w:szCs w:val="20"/>
          <w:lang w:val="es-AR"/>
        </w:rPr>
        <w:t xml:space="preserve"> </w:t>
      </w:r>
      <w:r w:rsidRPr="00EA7870">
        <w:rPr>
          <w:b/>
          <w:sz w:val="20"/>
          <w:szCs w:val="20"/>
          <w:lang w:val="es-AR"/>
        </w:rPr>
        <w:t>Tesoro</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tasa</w:t>
      </w:r>
      <w:r w:rsidR="001A28B3" w:rsidRPr="00EA7870">
        <w:rPr>
          <w:sz w:val="20"/>
          <w:szCs w:val="20"/>
          <w:lang w:val="es-AR"/>
        </w:rPr>
        <w:t xml:space="preserve"> </w:t>
      </w:r>
      <w:r w:rsidRPr="00EA7870">
        <w:rPr>
          <w:sz w:val="20"/>
          <w:szCs w:val="20"/>
          <w:lang w:val="es-AR"/>
        </w:rPr>
        <w:t>anual</w:t>
      </w:r>
      <w:r w:rsidR="001A28B3" w:rsidRPr="00EA7870">
        <w:rPr>
          <w:sz w:val="20"/>
          <w:szCs w:val="20"/>
          <w:lang w:val="es-AR"/>
        </w:rPr>
        <w:t xml:space="preserve"> </w:t>
      </w:r>
      <w:r w:rsidRPr="00EA7870">
        <w:rPr>
          <w:sz w:val="20"/>
          <w:szCs w:val="20"/>
          <w:lang w:val="es-AR"/>
        </w:rPr>
        <w:t>igual</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rendimiento</w:t>
      </w:r>
      <w:r w:rsidR="001A28B3" w:rsidRPr="00EA7870">
        <w:rPr>
          <w:sz w:val="20"/>
          <w:szCs w:val="20"/>
          <w:lang w:val="es-AR"/>
        </w:rPr>
        <w:t xml:space="preserve"> </w:t>
      </w:r>
      <w:r w:rsidR="00CE59FD" w:rsidRPr="00EA7870">
        <w:rPr>
          <w:sz w:val="20"/>
          <w:szCs w:val="20"/>
          <w:lang w:val="es-AR"/>
        </w:rPr>
        <w:t xml:space="preserve">anual </w:t>
      </w:r>
      <w:r w:rsidRPr="00EA7870">
        <w:rPr>
          <w:sz w:val="20"/>
          <w:szCs w:val="20"/>
          <w:lang w:val="es-AR"/>
        </w:rPr>
        <w:t>equivalente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interpolado</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base</w:t>
      </w:r>
      <w:r w:rsidR="001A28B3" w:rsidRPr="00EA7870">
        <w:rPr>
          <w:sz w:val="20"/>
          <w:szCs w:val="20"/>
          <w:lang w:val="es-AR"/>
        </w:rPr>
        <w:t xml:space="preserve"> </w:t>
      </w:r>
      <w:r w:rsidRPr="00EA7870">
        <w:rPr>
          <w:sz w:val="20"/>
          <w:szCs w:val="20"/>
          <w:lang w:val="es-AR"/>
        </w:rPr>
        <w:t>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Comparables,</w:t>
      </w:r>
      <w:r w:rsidR="001A28B3" w:rsidRPr="00EA7870">
        <w:rPr>
          <w:sz w:val="20"/>
          <w:szCs w:val="20"/>
          <w:lang w:val="es-AR"/>
        </w:rPr>
        <w:t xml:space="preserve"> </w:t>
      </w:r>
      <w:r w:rsidRPr="00EA7870">
        <w:rPr>
          <w:sz w:val="20"/>
          <w:szCs w:val="20"/>
          <w:lang w:val="es-AR"/>
        </w:rPr>
        <w:t>asumiendo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Comparables</w:t>
      </w:r>
      <w:r w:rsidR="001A28B3" w:rsidRPr="00EA7870">
        <w:rPr>
          <w:sz w:val="20"/>
          <w:szCs w:val="20"/>
          <w:lang w:val="es-AR"/>
        </w:rPr>
        <w:t xml:space="preserve"> </w:t>
      </w:r>
      <w:r w:rsidRPr="00EA7870">
        <w:rPr>
          <w:sz w:val="20"/>
          <w:szCs w:val="20"/>
          <w:lang w:val="es-AR"/>
        </w:rPr>
        <w:t>(expresado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porcentaje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Comparables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p>
    <w:p w14:paraId="59001BF0" w14:textId="77777777" w:rsidR="00376725" w:rsidRPr="00EA7870" w:rsidRDefault="00376725" w:rsidP="00376725">
      <w:pPr>
        <w:tabs>
          <w:tab w:val="left" w:pos="0"/>
          <w:tab w:val="right" w:leader="hyphen" w:pos="8959"/>
        </w:tabs>
        <w:jc w:val="both"/>
        <w:rPr>
          <w:sz w:val="20"/>
          <w:szCs w:val="20"/>
          <w:lang w:val="es-AR"/>
        </w:rPr>
      </w:pPr>
    </w:p>
    <w:p w14:paraId="743CB06F" w14:textId="77777777" w:rsidR="00376725" w:rsidRPr="00EA7870" w:rsidRDefault="00376725" w:rsidP="00376725">
      <w:pPr>
        <w:tabs>
          <w:tab w:val="left" w:pos="0"/>
          <w:tab w:val="right" w:leader="hyphen" w:pos="8959"/>
        </w:tabs>
        <w:jc w:val="both"/>
        <w:rPr>
          <w:sz w:val="20"/>
          <w:szCs w:val="20"/>
          <w:lang w:val="es-AR"/>
        </w:rPr>
      </w:pPr>
      <w:r w:rsidRPr="00EA7870">
        <w:rPr>
          <w:sz w:val="20"/>
          <w:szCs w:val="20"/>
          <w:lang w:val="es-AR"/>
        </w:rPr>
        <w:t>“</w:t>
      </w:r>
      <w:r w:rsidRPr="00EA7870">
        <w:rPr>
          <w:b/>
          <w:iCs/>
          <w:sz w:val="20"/>
          <w:szCs w:val="20"/>
          <w:lang w:val="es-AR"/>
        </w:rPr>
        <w:t>Emisión</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Títulos</w:t>
      </w:r>
      <w:r w:rsidR="001A28B3" w:rsidRPr="00EA7870">
        <w:rPr>
          <w:b/>
          <w:iCs/>
          <w:sz w:val="20"/>
          <w:szCs w:val="20"/>
          <w:lang w:val="es-AR"/>
        </w:rPr>
        <w:t xml:space="preserve"> </w:t>
      </w:r>
      <w:r w:rsidRPr="00EA7870">
        <w:rPr>
          <w:b/>
          <w:iCs/>
          <w:sz w:val="20"/>
          <w:szCs w:val="20"/>
          <w:lang w:val="es-AR"/>
        </w:rPr>
        <w:t>del</w:t>
      </w:r>
      <w:r w:rsidR="001A28B3" w:rsidRPr="00EA7870">
        <w:rPr>
          <w:b/>
          <w:iCs/>
          <w:sz w:val="20"/>
          <w:szCs w:val="20"/>
          <w:lang w:val="es-AR"/>
        </w:rPr>
        <w:t xml:space="preserve"> </w:t>
      </w:r>
      <w:r w:rsidRPr="00EA7870">
        <w:rPr>
          <w:b/>
          <w:iCs/>
          <w:sz w:val="20"/>
          <w:szCs w:val="20"/>
          <w:lang w:val="es-AR"/>
        </w:rPr>
        <w:t>Tesoro</w:t>
      </w:r>
      <w:r w:rsidR="001A28B3" w:rsidRPr="00EA7870">
        <w:rPr>
          <w:b/>
          <w:iCs/>
          <w:sz w:val="20"/>
          <w:szCs w:val="20"/>
          <w:lang w:val="es-AR"/>
        </w:rPr>
        <w:t xml:space="preserve"> </w:t>
      </w:r>
      <w:r w:rsidRPr="00EA7870">
        <w:rPr>
          <w:b/>
          <w:iCs/>
          <w:sz w:val="20"/>
          <w:szCs w:val="20"/>
          <w:lang w:val="es-AR"/>
        </w:rPr>
        <w:t>Comparables</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el/los</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Banco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Independiente,</w:t>
      </w:r>
      <w:r w:rsidR="001A28B3" w:rsidRPr="00EA7870">
        <w:rPr>
          <w:sz w:val="20"/>
          <w:szCs w:val="20"/>
          <w:lang w:val="es-AR"/>
        </w:rPr>
        <w:t xml:space="preserve"> </w:t>
      </w:r>
      <w:r w:rsidRPr="00EA7870">
        <w:rPr>
          <w:sz w:val="20"/>
          <w:szCs w:val="20"/>
          <w:lang w:val="es-AR"/>
        </w:rPr>
        <w:t>tenga/n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efectivo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interpolado</w:t>
      </w:r>
      <w:r w:rsidR="001A28B3" w:rsidRPr="00EA7870">
        <w:rPr>
          <w:sz w:val="20"/>
          <w:szCs w:val="20"/>
          <w:lang w:val="es-AR"/>
        </w:rPr>
        <w:t xml:space="preserve"> </w:t>
      </w:r>
      <w:r w:rsidRPr="00EA7870">
        <w:rPr>
          <w:sz w:val="20"/>
          <w:szCs w:val="20"/>
          <w:lang w:val="es-AR"/>
        </w:rPr>
        <w:t>comparable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remanente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informe</w:t>
      </w:r>
      <w:r w:rsidR="001A28B3" w:rsidRPr="00EA7870">
        <w:rPr>
          <w:sz w:val="20"/>
          <w:szCs w:val="20"/>
          <w:lang w:val="es-AR"/>
        </w:rPr>
        <w:t xml:space="preserve"> </w:t>
      </w:r>
      <w:r w:rsidRPr="00EA7870">
        <w:rPr>
          <w:sz w:val="20"/>
          <w:szCs w:val="20"/>
          <w:lang w:val="es-AR"/>
        </w:rPr>
        <w:t>oportunamente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Aviso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Resultados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serían</w:t>
      </w:r>
      <w:r w:rsidR="001A28B3" w:rsidRPr="00EA7870">
        <w:rPr>
          <w:sz w:val="20"/>
          <w:szCs w:val="20"/>
          <w:lang w:val="es-AR"/>
        </w:rPr>
        <w:t xml:space="preserve"> </w:t>
      </w:r>
      <w:r w:rsidRPr="00EA7870">
        <w:rPr>
          <w:sz w:val="20"/>
          <w:szCs w:val="20"/>
          <w:lang w:val="es-AR"/>
        </w:rPr>
        <w:t>utilizados,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selección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prácticas</w:t>
      </w:r>
      <w:r w:rsidR="001A28B3" w:rsidRPr="00EA7870">
        <w:rPr>
          <w:sz w:val="20"/>
          <w:szCs w:val="20"/>
          <w:lang w:val="es-AR"/>
        </w:rPr>
        <w:t xml:space="preserve"> </w:t>
      </w:r>
      <w:r w:rsidRPr="00EA7870">
        <w:rPr>
          <w:sz w:val="20"/>
          <w:szCs w:val="20"/>
          <w:lang w:val="es-AR"/>
        </w:rPr>
        <w:t>financieras</w:t>
      </w:r>
      <w:r w:rsidR="001A28B3" w:rsidRPr="00EA7870">
        <w:rPr>
          <w:sz w:val="20"/>
          <w:szCs w:val="20"/>
          <w:lang w:val="es-AR"/>
        </w:rPr>
        <w:t xml:space="preserve"> </w:t>
      </w:r>
      <w:r w:rsidRPr="00EA7870">
        <w:rPr>
          <w:sz w:val="20"/>
          <w:szCs w:val="20"/>
          <w:lang w:val="es-AR"/>
        </w:rPr>
        <w:t>habituales,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efectos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establecer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nuevas</w:t>
      </w:r>
      <w:r w:rsidR="001A28B3" w:rsidRPr="00EA7870">
        <w:rPr>
          <w:sz w:val="20"/>
          <w:szCs w:val="20"/>
          <w:lang w:val="es-AR"/>
        </w:rPr>
        <w:t xml:space="preserve"> </w:t>
      </w:r>
      <w:r w:rsidRPr="00EA7870">
        <w:rPr>
          <w:sz w:val="20"/>
          <w:szCs w:val="20"/>
          <w:lang w:val="es-AR"/>
        </w:rPr>
        <w:t>emisiones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deuda</w:t>
      </w:r>
      <w:r w:rsidR="001A28B3" w:rsidRPr="00EA7870">
        <w:rPr>
          <w:sz w:val="20"/>
          <w:szCs w:val="20"/>
          <w:lang w:val="es-AR"/>
        </w:rPr>
        <w:t xml:space="preserve"> </w:t>
      </w:r>
      <w:r w:rsidRPr="00EA7870">
        <w:rPr>
          <w:sz w:val="20"/>
          <w:szCs w:val="20"/>
          <w:lang w:val="es-AR"/>
        </w:rPr>
        <w:t>privados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similar</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remanente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oportunamente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informe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Aviso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Resultados.</w:t>
      </w:r>
      <w:r w:rsidR="002757C5" w:rsidRPr="00EA7870">
        <w:rPr>
          <w:sz w:val="20"/>
          <w:szCs w:val="20"/>
          <w:lang w:val="es-AR"/>
        </w:rPr>
        <w:t xml:space="preserve"> </w:t>
      </w:r>
    </w:p>
    <w:p w14:paraId="574981E4" w14:textId="77777777" w:rsidR="00376725" w:rsidRPr="00EA7870" w:rsidRDefault="00376725" w:rsidP="00376725">
      <w:pPr>
        <w:tabs>
          <w:tab w:val="left" w:pos="0"/>
          <w:tab w:val="right" w:leader="hyphen" w:pos="8959"/>
        </w:tabs>
        <w:jc w:val="both"/>
        <w:rPr>
          <w:sz w:val="20"/>
          <w:szCs w:val="20"/>
          <w:lang w:val="es-AR"/>
        </w:rPr>
      </w:pPr>
    </w:p>
    <w:p w14:paraId="3A08F380" w14:textId="77777777" w:rsidR="00376725" w:rsidRPr="00EA7870" w:rsidRDefault="00376725" w:rsidP="00376725">
      <w:pPr>
        <w:tabs>
          <w:tab w:val="left" w:pos="0"/>
          <w:tab w:val="right" w:leader="hyphen" w:pos="8959"/>
        </w:tabs>
        <w:jc w:val="both"/>
        <w:rPr>
          <w:iCs/>
          <w:sz w:val="20"/>
          <w:szCs w:val="20"/>
          <w:lang w:val="es-AR"/>
        </w:rPr>
      </w:pPr>
      <w:r w:rsidRPr="00EA7870">
        <w:rPr>
          <w:sz w:val="20"/>
          <w:szCs w:val="20"/>
          <w:lang w:val="es-AR"/>
        </w:rPr>
        <w:t>“</w:t>
      </w:r>
      <w:r w:rsidRPr="00EA7870">
        <w:rPr>
          <w:b/>
          <w:sz w:val="20"/>
          <w:szCs w:val="20"/>
          <w:lang w:val="es-AR"/>
        </w:rPr>
        <w:t>Banco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Inversión</w:t>
      </w:r>
      <w:r w:rsidR="001A28B3" w:rsidRPr="00EA7870">
        <w:rPr>
          <w:b/>
          <w:sz w:val="20"/>
          <w:szCs w:val="20"/>
          <w:lang w:val="es-AR"/>
        </w:rPr>
        <w:t xml:space="preserve"> </w:t>
      </w:r>
      <w:r w:rsidRPr="00EA7870">
        <w:rPr>
          <w:b/>
          <w:sz w:val="20"/>
          <w:szCs w:val="20"/>
          <w:lang w:val="es-AR"/>
        </w:rPr>
        <w:t>Independiente</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iCs/>
          <w:sz w:val="20"/>
          <w:szCs w:val="20"/>
          <w:lang w:val="es-AR"/>
        </w:rPr>
        <w:t>Agentes</w:t>
      </w:r>
      <w:r w:rsidR="001A28B3" w:rsidRPr="00EA7870">
        <w:rPr>
          <w:iCs/>
          <w:sz w:val="20"/>
          <w:szCs w:val="20"/>
          <w:lang w:val="es-AR"/>
        </w:rPr>
        <w:t xml:space="preserve"> </w:t>
      </w:r>
      <w:r w:rsidRPr="00EA7870">
        <w:rPr>
          <w:iCs/>
          <w:sz w:val="20"/>
          <w:szCs w:val="20"/>
          <w:lang w:val="es-AR"/>
        </w:rPr>
        <w:t>de</w:t>
      </w:r>
      <w:r w:rsidR="001A28B3" w:rsidRPr="00EA7870">
        <w:rPr>
          <w:iCs/>
          <w:sz w:val="20"/>
          <w:szCs w:val="20"/>
          <w:lang w:val="es-AR"/>
        </w:rPr>
        <w:t xml:space="preserve"> </w:t>
      </w:r>
      <w:r w:rsidRPr="00EA7870">
        <w:rPr>
          <w:iCs/>
          <w:sz w:val="20"/>
          <w:szCs w:val="20"/>
          <w:lang w:val="es-AR"/>
        </w:rPr>
        <w:t>Negociación</w:t>
      </w:r>
      <w:r w:rsidR="001A28B3" w:rsidRPr="00EA7870">
        <w:rPr>
          <w:iCs/>
          <w:sz w:val="20"/>
          <w:szCs w:val="20"/>
          <w:lang w:val="es-AR"/>
        </w:rPr>
        <w:t xml:space="preserve"> </w:t>
      </w:r>
      <w:r w:rsidRPr="00EA7870">
        <w:rPr>
          <w:iCs/>
          <w:sz w:val="20"/>
          <w:szCs w:val="20"/>
          <w:lang w:val="es-AR"/>
        </w:rPr>
        <w:t>de</w:t>
      </w:r>
      <w:r w:rsidR="001A28B3" w:rsidRPr="00EA7870">
        <w:rPr>
          <w:iCs/>
          <w:sz w:val="20"/>
          <w:szCs w:val="20"/>
          <w:lang w:val="es-AR"/>
        </w:rPr>
        <w:t xml:space="preserve"> </w:t>
      </w:r>
      <w:r w:rsidRPr="00EA7870">
        <w:rPr>
          <w:iCs/>
          <w:sz w:val="20"/>
          <w:szCs w:val="20"/>
          <w:lang w:val="es-AR"/>
        </w:rPr>
        <w:t>Títulos</w:t>
      </w:r>
      <w:r w:rsidR="001A28B3" w:rsidRPr="00EA7870">
        <w:rPr>
          <w:iCs/>
          <w:sz w:val="20"/>
          <w:szCs w:val="20"/>
          <w:lang w:val="es-AR"/>
        </w:rPr>
        <w:t xml:space="preserve"> </w:t>
      </w:r>
      <w:r w:rsidRPr="00EA7870">
        <w:rPr>
          <w:iCs/>
          <w:sz w:val="20"/>
          <w:szCs w:val="20"/>
          <w:lang w:val="es-AR"/>
        </w:rPr>
        <w:t>del</w:t>
      </w:r>
      <w:r w:rsidR="001A28B3" w:rsidRPr="00EA7870">
        <w:rPr>
          <w:iCs/>
          <w:sz w:val="20"/>
          <w:szCs w:val="20"/>
          <w:lang w:val="es-AR"/>
        </w:rPr>
        <w:t xml:space="preserve"> </w:t>
      </w:r>
      <w:r w:rsidRPr="00EA7870">
        <w:rPr>
          <w:iCs/>
          <w:sz w:val="20"/>
          <w:szCs w:val="20"/>
          <w:lang w:val="es-AR"/>
        </w:rPr>
        <w:t>Tesoro</w:t>
      </w:r>
      <w:r w:rsidR="001A28B3" w:rsidRPr="00EA7870">
        <w:rPr>
          <w:iCs/>
          <w:sz w:val="20"/>
          <w:szCs w:val="20"/>
          <w:lang w:val="es-AR"/>
        </w:rPr>
        <w:t xml:space="preserve"> </w:t>
      </w:r>
      <w:r w:rsidRPr="00EA7870">
        <w:rPr>
          <w:iCs/>
          <w:sz w:val="20"/>
          <w:szCs w:val="20"/>
          <w:lang w:val="es-AR"/>
        </w:rPr>
        <w:t>de</w:t>
      </w:r>
      <w:r w:rsidR="001A28B3" w:rsidRPr="00EA7870">
        <w:rPr>
          <w:iCs/>
          <w:sz w:val="20"/>
          <w:szCs w:val="20"/>
          <w:lang w:val="es-AR"/>
        </w:rPr>
        <w:t xml:space="preserve"> </w:t>
      </w:r>
      <w:r w:rsidRPr="00EA7870">
        <w:rPr>
          <w:iCs/>
          <w:sz w:val="20"/>
          <w:szCs w:val="20"/>
          <w:lang w:val="es-AR"/>
        </w:rPr>
        <w:t>Referencia</w:t>
      </w:r>
      <w:r w:rsidR="001A28B3" w:rsidRPr="00EA7870">
        <w:rPr>
          <w:iCs/>
          <w:sz w:val="20"/>
          <w:szCs w:val="20"/>
          <w:lang w:val="es-AR"/>
        </w:rPr>
        <w:t xml:space="preserve"> </w:t>
      </w:r>
      <w:r w:rsidRPr="00EA7870">
        <w:rPr>
          <w:iCs/>
          <w:sz w:val="20"/>
          <w:szCs w:val="20"/>
          <w:lang w:val="es-AR"/>
        </w:rPr>
        <w:t>designado</w:t>
      </w:r>
      <w:r w:rsidR="001A28B3" w:rsidRPr="00EA7870">
        <w:rPr>
          <w:iCs/>
          <w:sz w:val="20"/>
          <w:szCs w:val="20"/>
          <w:lang w:val="es-AR"/>
        </w:rPr>
        <w:t xml:space="preserve"> </w:t>
      </w:r>
      <w:r w:rsidRPr="00EA7870">
        <w:rPr>
          <w:iCs/>
          <w:sz w:val="20"/>
          <w:szCs w:val="20"/>
          <w:lang w:val="es-AR"/>
        </w:rPr>
        <w:t>por</w:t>
      </w:r>
      <w:r w:rsidR="001A28B3" w:rsidRPr="00EA7870">
        <w:rPr>
          <w:iCs/>
          <w:sz w:val="20"/>
          <w:szCs w:val="20"/>
          <w:lang w:val="es-AR"/>
        </w:rPr>
        <w:t xml:space="preserve"> </w:t>
      </w:r>
      <w:r w:rsidRPr="00EA7870">
        <w:rPr>
          <w:iCs/>
          <w:sz w:val="20"/>
          <w:szCs w:val="20"/>
          <w:lang w:val="es-AR"/>
        </w:rPr>
        <w:t>la</w:t>
      </w:r>
      <w:r w:rsidR="001A28B3" w:rsidRPr="00EA7870">
        <w:rPr>
          <w:iCs/>
          <w:sz w:val="20"/>
          <w:szCs w:val="20"/>
          <w:lang w:val="es-AR"/>
        </w:rPr>
        <w:t xml:space="preserve"> </w:t>
      </w:r>
      <w:r w:rsidRPr="00EA7870">
        <w:rPr>
          <w:iCs/>
          <w:sz w:val="20"/>
          <w:szCs w:val="20"/>
          <w:lang w:val="es-AR"/>
        </w:rPr>
        <w:t>Emisora.</w:t>
      </w:r>
    </w:p>
    <w:p w14:paraId="04725004" w14:textId="77777777" w:rsidR="00376725" w:rsidRPr="00EA7870" w:rsidRDefault="00376725" w:rsidP="00376725">
      <w:pPr>
        <w:tabs>
          <w:tab w:val="left" w:pos="0"/>
          <w:tab w:val="right" w:leader="hyphen" w:pos="8959"/>
        </w:tabs>
        <w:jc w:val="both"/>
        <w:rPr>
          <w:iCs/>
          <w:sz w:val="20"/>
          <w:szCs w:val="20"/>
          <w:lang w:val="es-AR"/>
        </w:rPr>
      </w:pPr>
    </w:p>
    <w:p w14:paraId="30746D1D" w14:textId="77777777" w:rsidR="00376725" w:rsidRPr="00EA7870" w:rsidRDefault="00376725" w:rsidP="00376725">
      <w:pPr>
        <w:tabs>
          <w:tab w:val="left" w:pos="0"/>
          <w:tab w:val="right" w:leader="hyphen" w:pos="8959"/>
        </w:tabs>
        <w:jc w:val="both"/>
        <w:rPr>
          <w:sz w:val="20"/>
          <w:szCs w:val="20"/>
          <w:lang w:val="es-AR"/>
        </w:rPr>
      </w:pPr>
      <w:r w:rsidRPr="00EA7870">
        <w:rPr>
          <w:sz w:val="20"/>
          <w:szCs w:val="20"/>
          <w:lang w:val="es-AR"/>
        </w:rPr>
        <w:lastRenderedPageBreak/>
        <w:t>“</w:t>
      </w:r>
      <w:r w:rsidRPr="00EA7870">
        <w:rPr>
          <w:b/>
          <w:iCs/>
          <w:sz w:val="20"/>
          <w:szCs w:val="20"/>
          <w:lang w:val="es-AR"/>
        </w:rPr>
        <w:t>Precio</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Títulos</w:t>
      </w:r>
      <w:r w:rsidR="001A28B3" w:rsidRPr="00EA7870">
        <w:rPr>
          <w:b/>
          <w:iCs/>
          <w:sz w:val="20"/>
          <w:szCs w:val="20"/>
          <w:lang w:val="es-AR"/>
        </w:rPr>
        <w:t xml:space="preserve"> </w:t>
      </w:r>
      <w:r w:rsidRPr="00EA7870">
        <w:rPr>
          <w:b/>
          <w:iCs/>
          <w:sz w:val="20"/>
          <w:szCs w:val="20"/>
          <w:lang w:val="es-AR"/>
        </w:rPr>
        <w:t>del</w:t>
      </w:r>
      <w:r w:rsidR="001A28B3" w:rsidRPr="00EA7870">
        <w:rPr>
          <w:b/>
          <w:iCs/>
          <w:sz w:val="20"/>
          <w:szCs w:val="20"/>
          <w:lang w:val="es-AR"/>
        </w:rPr>
        <w:t xml:space="preserve"> </w:t>
      </w:r>
      <w:r w:rsidRPr="00EA7870">
        <w:rPr>
          <w:b/>
          <w:iCs/>
          <w:sz w:val="20"/>
          <w:szCs w:val="20"/>
          <w:lang w:val="es-AR"/>
        </w:rPr>
        <w:t>Tesoro</w:t>
      </w:r>
      <w:r w:rsidR="001A28B3" w:rsidRPr="00EA7870">
        <w:rPr>
          <w:b/>
          <w:iCs/>
          <w:sz w:val="20"/>
          <w:szCs w:val="20"/>
          <w:lang w:val="es-AR"/>
        </w:rPr>
        <w:t xml:space="preserve"> </w:t>
      </w:r>
      <w:r w:rsidRPr="00EA7870">
        <w:rPr>
          <w:b/>
          <w:iCs/>
          <w:sz w:val="20"/>
          <w:szCs w:val="20"/>
          <w:lang w:val="es-AR"/>
        </w:rPr>
        <w:t>Comparables</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promedio,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determinado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Intermediario</w:t>
      </w:r>
      <w:r w:rsidR="001A28B3" w:rsidRPr="00EA7870">
        <w:rPr>
          <w:sz w:val="20"/>
          <w:szCs w:val="20"/>
          <w:lang w:val="es-AR"/>
        </w:rPr>
        <w:t xml:space="preserve"> </w:t>
      </w:r>
      <w:r w:rsidRPr="00EA7870">
        <w:rPr>
          <w:sz w:val="20"/>
          <w:szCs w:val="20"/>
          <w:lang w:val="es-AR"/>
        </w:rPr>
        <w:t>Bursátil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Independiente”,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Cotizaciones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Agentes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Negociación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descartar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Cotización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Agentes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Negociación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alta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baja;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(2)</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obtienen</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Cotizaciones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Agentes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Negociación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promedio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ellas,</w:t>
      </w:r>
      <w:r w:rsidR="001A28B3" w:rsidRPr="00EA7870">
        <w:rPr>
          <w:sz w:val="20"/>
          <w:szCs w:val="20"/>
          <w:lang w:val="es-AR"/>
        </w:rPr>
        <w:t xml:space="preserve"> </w:t>
      </w:r>
      <w:r w:rsidRPr="00EA7870">
        <w:rPr>
          <w:sz w:val="20"/>
          <w:szCs w:val="20"/>
          <w:lang w:val="es-AR"/>
        </w:rPr>
        <w:t>determinado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Intermediario</w:t>
      </w:r>
      <w:r w:rsidR="001A28B3" w:rsidRPr="00EA7870">
        <w:rPr>
          <w:sz w:val="20"/>
          <w:szCs w:val="20"/>
          <w:lang w:val="es-AR"/>
        </w:rPr>
        <w:t xml:space="preserve"> </w:t>
      </w:r>
      <w:r w:rsidRPr="00EA7870">
        <w:rPr>
          <w:sz w:val="20"/>
          <w:szCs w:val="20"/>
          <w:lang w:val="es-AR"/>
        </w:rPr>
        <w:t>Bursátil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Independiente.</w:t>
      </w:r>
    </w:p>
    <w:p w14:paraId="7D8ACC32" w14:textId="77777777" w:rsidR="00376725" w:rsidRPr="00EA7870" w:rsidRDefault="00376725" w:rsidP="00376725">
      <w:pPr>
        <w:tabs>
          <w:tab w:val="left" w:pos="0"/>
          <w:tab w:val="right" w:leader="hyphen" w:pos="8959"/>
        </w:tabs>
        <w:jc w:val="both"/>
        <w:rPr>
          <w:sz w:val="20"/>
          <w:szCs w:val="20"/>
          <w:lang w:val="es-AR"/>
        </w:rPr>
      </w:pPr>
    </w:p>
    <w:p w14:paraId="50C89220" w14:textId="77777777" w:rsidR="00376725" w:rsidRPr="00EA7870" w:rsidRDefault="00376725" w:rsidP="00376725">
      <w:pPr>
        <w:tabs>
          <w:tab w:val="left" w:pos="0"/>
          <w:tab w:val="right" w:leader="hyphen" w:pos="8959"/>
        </w:tabs>
        <w:jc w:val="both"/>
        <w:rPr>
          <w:sz w:val="20"/>
          <w:szCs w:val="20"/>
          <w:lang w:val="es-AR"/>
        </w:rPr>
      </w:pPr>
      <w:r w:rsidRPr="00EA7870">
        <w:rPr>
          <w:sz w:val="20"/>
          <w:szCs w:val="20"/>
          <w:lang w:val="es-AR"/>
        </w:rPr>
        <w:t>“</w:t>
      </w:r>
      <w:r w:rsidRPr="00EA7870">
        <w:rPr>
          <w:b/>
          <w:iCs/>
          <w:sz w:val="20"/>
          <w:szCs w:val="20"/>
          <w:lang w:val="es-AR"/>
        </w:rPr>
        <w:t>Agentes</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Negociación</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Títulos</w:t>
      </w:r>
      <w:r w:rsidR="001A28B3" w:rsidRPr="00EA7870">
        <w:rPr>
          <w:b/>
          <w:iCs/>
          <w:sz w:val="20"/>
          <w:szCs w:val="20"/>
          <w:lang w:val="es-AR"/>
        </w:rPr>
        <w:t xml:space="preserve"> </w:t>
      </w:r>
      <w:r w:rsidRPr="00EA7870">
        <w:rPr>
          <w:b/>
          <w:iCs/>
          <w:sz w:val="20"/>
          <w:szCs w:val="20"/>
          <w:lang w:val="es-AR"/>
        </w:rPr>
        <w:t>del</w:t>
      </w:r>
      <w:r w:rsidR="001A28B3" w:rsidRPr="00EA7870">
        <w:rPr>
          <w:b/>
          <w:iCs/>
          <w:sz w:val="20"/>
          <w:szCs w:val="20"/>
          <w:lang w:val="es-AR"/>
        </w:rPr>
        <w:t xml:space="preserve"> </w:t>
      </w:r>
      <w:r w:rsidRPr="00EA7870">
        <w:rPr>
          <w:b/>
          <w:iCs/>
          <w:sz w:val="20"/>
          <w:szCs w:val="20"/>
          <w:lang w:val="es-AR"/>
        </w:rPr>
        <w:t>Tesoro</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Referencia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00223996" w:rsidRPr="00EA7870">
        <w:rPr>
          <w:sz w:val="20"/>
          <w:szCs w:val="20"/>
          <w:lang w:val="es-AR"/>
        </w:rPr>
        <w:t>una o más entidades a ser desi</w:t>
      </w:r>
      <w:r w:rsidR="00325103" w:rsidRPr="00EA7870">
        <w:rPr>
          <w:sz w:val="20"/>
          <w:szCs w:val="20"/>
          <w:lang w:val="es-AR"/>
        </w:rPr>
        <w:t>g</w:t>
      </w:r>
      <w:r w:rsidR="00223996" w:rsidRPr="00EA7870">
        <w:rPr>
          <w:sz w:val="20"/>
          <w:szCs w:val="20"/>
          <w:lang w:val="es-AR"/>
        </w:rPr>
        <w:t>nadas por la Emisora,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operadores</w:t>
      </w:r>
      <w:r w:rsidR="001A28B3" w:rsidRPr="00EA7870">
        <w:rPr>
          <w:sz w:val="20"/>
          <w:szCs w:val="20"/>
          <w:lang w:val="es-AR"/>
        </w:rPr>
        <w:t xml:space="preserve"> </w:t>
      </w:r>
      <w:r w:rsidRPr="00EA7870">
        <w:rPr>
          <w:sz w:val="20"/>
          <w:szCs w:val="20"/>
          <w:lang w:val="es-AR"/>
        </w:rPr>
        <w:t>primarios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gobierno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cuatro</w:t>
      </w:r>
      <w:r w:rsidR="001A28B3" w:rsidRPr="00EA7870">
        <w:rPr>
          <w:sz w:val="20"/>
          <w:szCs w:val="20"/>
          <w:lang w:val="es-AR"/>
        </w:rPr>
        <w:t xml:space="preserve"> </w:t>
      </w:r>
      <w:r w:rsidRPr="00EA7870">
        <w:rPr>
          <w:sz w:val="20"/>
          <w:szCs w:val="20"/>
          <w:lang w:val="es-AR"/>
        </w:rPr>
        <w:t>operadores</w:t>
      </w:r>
      <w:r w:rsidR="001A28B3" w:rsidRPr="00EA7870">
        <w:rPr>
          <w:sz w:val="20"/>
          <w:szCs w:val="20"/>
          <w:lang w:val="es-AR"/>
        </w:rPr>
        <w:t xml:space="preserve"> </w:t>
      </w:r>
      <w:r w:rsidRPr="00EA7870">
        <w:rPr>
          <w:sz w:val="20"/>
          <w:szCs w:val="20"/>
          <w:lang w:val="es-AR"/>
        </w:rPr>
        <w:t>primarios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gobierno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razonablemente</w:t>
      </w:r>
      <w:r w:rsidR="001A28B3" w:rsidRPr="00EA7870">
        <w:rPr>
          <w:sz w:val="20"/>
          <w:szCs w:val="20"/>
          <w:lang w:val="es-AR"/>
        </w:rPr>
        <w:t xml:space="preserve"> </w:t>
      </w:r>
      <w:r w:rsidRPr="00EA7870">
        <w:rPr>
          <w:sz w:val="20"/>
          <w:szCs w:val="20"/>
          <w:lang w:val="es-AR"/>
        </w:rPr>
        <w:t>designados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quedando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antedichos</w:t>
      </w:r>
      <w:r w:rsidR="001A28B3" w:rsidRPr="00EA7870">
        <w:rPr>
          <w:sz w:val="20"/>
          <w:szCs w:val="20"/>
          <w:lang w:val="es-AR"/>
        </w:rPr>
        <w:t xml:space="preserve"> </w:t>
      </w:r>
      <w:r w:rsidRPr="00EA7870">
        <w:rPr>
          <w:sz w:val="20"/>
          <w:szCs w:val="20"/>
          <w:lang w:val="es-AR"/>
        </w:rPr>
        <w:t>deja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operador</w:t>
      </w:r>
      <w:r w:rsidR="001A28B3" w:rsidRPr="00EA7870">
        <w:rPr>
          <w:sz w:val="20"/>
          <w:szCs w:val="20"/>
          <w:lang w:val="es-AR"/>
        </w:rPr>
        <w:t xml:space="preserve"> </w:t>
      </w:r>
      <w:r w:rsidRPr="00EA7870">
        <w:rPr>
          <w:sz w:val="20"/>
          <w:szCs w:val="20"/>
          <w:lang w:val="es-AR"/>
        </w:rPr>
        <w:t>primario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gobierno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w:t>
      </w:r>
      <w:r w:rsidRPr="00EA7870">
        <w:rPr>
          <w:b/>
          <w:sz w:val="20"/>
          <w:szCs w:val="20"/>
          <w:lang w:val="es-AR"/>
        </w:rPr>
        <w:t>Operador</w:t>
      </w:r>
      <w:r w:rsidR="001A28B3" w:rsidRPr="00EA7870">
        <w:rPr>
          <w:b/>
          <w:sz w:val="20"/>
          <w:szCs w:val="20"/>
          <w:lang w:val="es-AR"/>
        </w:rPr>
        <w:t xml:space="preserve"> </w:t>
      </w:r>
      <w:r w:rsidRPr="00EA7870">
        <w:rPr>
          <w:b/>
          <w:sz w:val="20"/>
          <w:szCs w:val="20"/>
          <w:lang w:val="es-AR"/>
        </w:rPr>
        <w:t>Primario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Títulos</w:t>
      </w:r>
      <w:r w:rsidR="001A28B3" w:rsidRPr="00EA7870">
        <w:rPr>
          <w:b/>
          <w:sz w:val="20"/>
          <w:szCs w:val="20"/>
          <w:lang w:val="es-AR"/>
        </w:rPr>
        <w:t xml:space="preserve"> </w:t>
      </w:r>
      <w:r w:rsidRPr="00EA7870">
        <w:rPr>
          <w:b/>
          <w:sz w:val="20"/>
          <w:szCs w:val="20"/>
          <w:lang w:val="es-AR"/>
        </w:rPr>
        <w:t>del</w:t>
      </w:r>
      <w:r w:rsidR="001A28B3" w:rsidRPr="00EA7870">
        <w:rPr>
          <w:b/>
          <w:sz w:val="20"/>
          <w:szCs w:val="20"/>
          <w:lang w:val="es-AR"/>
        </w:rPr>
        <w:t xml:space="preserve"> </w:t>
      </w:r>
      <w:r w:rsidRPr="00EA7870">
        <w:rPr>
          <w:b/>
          <w:sz w:val="20"/>
          <w:szCs w:val="20"/>
          <w:lang w:val="es-AR"/>
        </w:rPr>
        <w:t>Tesoro</w:t>
      </w:r>
      <w:r w:rsidRPr="00EA7870">
        <w:rPr>
          <w:sz w:val="20"/>
          <w:szCs w:val="20"/>
          <w:lang w:val="es-AR"/>
        </w:rPr>
        <w:t>”),</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reemplazará</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Operador</w:t>
      </w:r>
      <w:r w:rsidR="001A28B3" w:rsidRPr="00EA7870">
        <w:rPr>
          <w:sz w:val="20"/>
          <w:szCs w:val="20"/>
          <w:lang w:val="es-AR"/>
        </w:rPr>
        <w:t xml:space="preserve"> </w:t>
      </w:r>
      <w:r w:rsidRPr="00EA7870">
        <w:rPr>
          <w:sz w:val="20"/>
          <w:szCs w:val="20"/>
          <w:lang w:val="es-AR"/>
        </w:rPr>
        <w:t>Primario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p>
    <w:p w14:paraId="399AA81F" w14:textId="77777777" w:rsidR="00376725" w:rsidRPr="00EA7870" w:rsidRDefault="00376725" w:rsidP="00376725">
      <w:pPr>
        <w:tabs>
          <w:tab w:val="left" w:pos="0"/>
          <w:tab w:val="right" w:leader="hyphen" w:pos="8959"/>
        </w:tabs>
        <w:jc w:val="both"/>
        <w:rPr>
          <w:sz w:val="20"/>
          <w:szCs w:val="20"/>
          <w:lang w:val="es-AR"/>
        </w:rPr>
      </w:pPr>
    </w:p>
    <w:p w14:paraId="7D308693" w14:textId="037E13F6" w:rsidR="00376725" w:rsidRPr="00EA7870" w:rsidRDefault="00376725" w:rsidP="00376725">
      <w:pPr>
        <w:tabs>
          <w:tab w:val="left" w:pos="0"/>
          <w:tab w:val="right" w:leader="hyphen" w:pos="8959"/>
        </w:tabs>
        <w:jc w:val="both"/>
        <w:rPr>
          <w:sz w:val="20"/>
          <w:szCs w:val="20"/>
          <w:lang w:val="es-AR"/>
        </w:rPr>
      </w:pPr>
      <w:r w:rsidRPr="00EA7870">
        <w:rPr>
          <w:sz w:val="20"/>
          <w:szCs w:val="20"/>
          <w:lang w:val="es-AR"/>
        </w:rPr>
        <w:t>“</w:t>
      </w:r>
      <w:r w:rsidRPr="00EA7870">
        <w:rPr>
          <w:b/>
          <w:iCs/>
          <w:sz w:val="20"/>
          <w:szCs w:val="20"/>
          <w:lang w:val="es-AR"/>
        </w:rPr>
        <w:t>Cotización</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Agentes</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Negociación</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Títulos</w:t>
      </w:r>
      <w:r w:rsidR="001A28B3" w:rsidRPr="00EA7870">
        <w:rPr>
          <w:b/>
          <w:iCs/>
          <w:sz w:val="20"/>
          <w:szCs w:val="20"/>
          <w:lang w:val="es-AR"/>
        </w:rPr>
        <w:t xml:space="preserve"> </w:t>
      </w:r>
      <w:r w:rsidRPr="00EA7870">
        <w:rPr>
          <w:b/>
          <w:iCs/>
          <w:sz w:val="20"/>
          <w:szCs w:val="20"/>
          <w:lang w:val="es-AR"/>
        </w:rPr>
        <w:t>del</w:t>
      </w:r>
      <w:r w:rsidR="001A28B3" w:rsidRPr="00EA7870">
        <w:rPr>
          <w:b/>
          <w:iCs/>
          <w:sz w:val="20"/>
          <w:szCs w:val="20"/>
          <w:lang w:val="es-AR"/>
        </w:rPr>
        <w:t xml:space="preserve"> </w:t>
      </w:r>
      <w:r w:rsidRPr="00EA7870">
        <w:rPr>
          <w:b/>
          <w:iCs/>
          <w:sz w:val="20"/>
          <w:szCs w:val="20"/>
          <w:lang w:val="es-AR"/>
        </w:rPr>
        <w:t>Tesoro</w:t>
      </w:r>
      <w:r w:rsidR="001A28B3" w:rsidRPr="00EA7870">
        <w:rPr>
          <w:b/>
          <w:iCs/>
          <w:sz w:val="20"/>
          <w:szCs w:val="20"/>
          <w:lang w:val="es-AR"/>
        </w:rPr>
        <w:t xml:space="preserve"> </w:t>
      </w:r>
      <w:r w:rsidRPr="00EA7870">
        <w:rPr>
          <w:b/>
          <w:iCs/>
          <w:sz w:val="20"/>
          <w:szCs w:val="20"/>
          <w:lang w:val="es-AR"/>
        </w:rPr>
        <w:t>de</w:t>
      </w:r>
      <w:r w:rsidR="001A28B3" w:rsidRPr="00EA7870">
        <w:rPr>
          <w:b/>
          <w:iCs/>
          <w:sz w:val="20"/>
          <w:szCs w:val="20"/>
          <w:lang w:val="es-AR"/>
        </w:rPr>
        <w:t xml:space="preserve"> </w:t>
      </w:r>
      <w:r w:rsidRPr="00EA7870">
        <w:rPr>
          <w:b/>
          <w:iCs/>
          <w:sz w:val="20"/>
          <w:szCs w:val="20"/>
          <w:lang w:val="es-AR"/>
        </w:rPr>
        <w:t>Referencia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Negociación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promedio,</w:t>
      </w:r>
      <w:r w:rsidR="001A28B3" w:rsidRPr="00EA7870">
        <w:rPr>
          <w:sz w:val="20"/>
          <w:szCs w:val="20"/>
          <w:lang w:val="es-AR"/>
        </w:rPr>
        <w:t xml:space="preserve"> </w:t>
      </w:r>
      <w:r w:rsidRPr="00EA7870">
        <w:rPr>
          <w:sz w:val="20"/>
          <w:szCs w:val="20"/>
          <w:lang w:val="es-AR"/>
        </w:rPr>
        <w:t>determinado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Intermediario</w:t>
      </w:r>
      <w:r w:rsidR="001A28B3" w:rsidRPr="00EA7870">
        <w:rPr>
          <w:sz w:val="20"/>
          <w:szCs w:val="20"/>
          <w:lang w:val="es-AR"/>
        </w:rPr>
        <w:t xml:space="preserve"> </w:t>
      </w:r>
      <w:r w:rsidRPr="00EA7870">
        <w:rPr>
          <w:sz w:val="20"/>
          <w:szCs w:val="20"/>
          <w:lang w:val="es-AR"/>
        </w:rPr>
        <w:t>Bursátil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Independiente,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precios</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comprador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vendedor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Comparables</w:t>
      </w:r>
      <w:r w:rsidR="001A28B3" w:rsidRPr="00EA7870">
        <w:rPr>
          <w:sz w:val="20"/>
          <w:szCs w:val="20"/>
          <w:lang w:val="es-AR"/>
        </w:rPr>
        <w:t xml:space="preserve"> </w:t>
      </w:r>
      <w:r w:rsidRPr="00EA7870">
        <w:rPr>
          <w:sz w:val="20"/>
          <w:szCs w:val="20"/>
          <w:lang w:val="es-AR"/>
        </w:rPr>
        <w:t>(expresados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porcentaje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cotizados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escrito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Negociación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Tesoro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Intermediario</w:t>
      </w:r>
      <w:r w:rsidR="001A28B3" w:rsidRPr="00EA7870">
        <w:rPr>
          <w:sz w:val="20"/>
          <w:szCs w:val="20"/>
          <w:lang w:val="es-AR"/>
        </w:rPr>
        <w:t xml:space="preserve"> </w:t>
      </w:r>
      <w:r w:rsidRPr="00EA7870">
        <w:rPr>
          <w:sz w:val="20"/>
          <w:szCs w:val="20"/>
          <w:lang w:val="es-AR"/>
        </w:rPr>
        <w:t>Bursátil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Independiente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15:30</w:t>
      </w:r>
      <w:r w:rsidR="001A28B3" w:rsidRPr="00EA7870">
        <w:rPr>
          <w:sz w:val="20"/>
          <w:szCs w:val="20"/>
          <w:lang w:val="es-AR"/>
        </w:rPr>
        <w:t xml:space="preserve"> </w:t>
      </w:r>
      <w:r w:rsidRPr="00EA7870">
        <w:rPr>
          <w:sz w:val="20"/>
          <w:szCs w:val="20"/>
          <w:lang w:val="es-AR"/>
        </w:rPr>
        <w:t>hs.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hora</w:t>
      </w:r>
      <w:r w:rsidR="001A28B3" w:rsidRPr="00EA7870">
        <w:rPr>
          <w:sz w:val="20"/>
          <w:szCs w:val="20"/>
          <w:lang w:val="es-AR"/>
        </w:rPr>
        <w:t xml:space="preserve"> </w:t>
      </w:r>
      <w:r w:rsidRPr="00EA7870">
        <w:rPr>
          <w:sz w:val="20"/>
          <w:szCs w:val="20"/>
          <w:lang w:val="es-AR"/>
        </w:rPr>
        <w:t>aproximada</w:t>
      </w:r>
      <w:r w:rsidR="001A28B3" w:rsidRPr="00EA7870">
        <w:rPr>
          <w:sz w:val="20"/>
          <w:szCs w:val="20"/>
          <w:lang w:val="es-AR"/>
        </w:rPr>
        <w:t xml:space="preserve"> </w:t>
      </w:r>
      <w:r w:rsidRPr="00EA7870">
        <w:rPr>
          <w:sz w:val="20"/>
          <w:szCs w:val="20"/>
          <w:lang w:val="es-AR"/>
        </w:rPr>
        <w:t>(hora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tercer</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Hábil</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p>
    <w:p w14:paraId="49A7A306" w14:textId="77777777" w:rsidR="00376725" w:rsidRPr="00EA7870" w:rsidRDefault="00376725" w:rsidP="00376725">
      <w:pPr>
        <w:tabs>
          <w:tab w:val="left" w:pos="0"/>
        </w:tabs>
        <w:jc w:val="both"/>
        <w:rPr>
          <w:sz w:val="20"/>
          <w:szCs w:val="20"/>
          <w:lang w:val="es-AR"/>
        </w:rPr>
      </w:pPr>
    </w:p>
    <w:p w14:paraId="3F25ED21" w14:textId="77777777" w:rsidR="00376725" w:rsidRPr="00EA7870" w:rsidRDefault="00376725" w:rsidP="00376725">
      <w:pPr>
        <w:tabs>
          <w:tab w:val="left" w:pos="0"/>
        </w:tabs>
        <w:jc w:val="both"/>
        <w:rPr>
          <w:b/>
          <w:i/>
          <w:sz w:val="20"/>
          <w:szCs w:val="20"/>
          <w:lang w:val="es-AR"/>
        </w:rPr>
      </w:pPr>
      <w:r w:rsidRPr="00EA7870">
        <w:rPr>
          <w:b/>
          <w:i/>
          <w:sz w:val="20"/>
          <w:szCs w:val="20"/>
          <w:lang w:val="es-AR"/>
        </w:rPr>
        <w:t>Rescate</w:t>
      </w:r>
      <w:r w:rsidR="001A28B3" w:rsidRPr="00EA7870">
        <w:rPr>
          <w:b/>
          <w:i/>
          <w:sz w:val="20"/>
          <w:szCs w:val="20"/>
          <w:lang w:val="es-AR"/>
        </w:rPr>
        <w:t xml:space="preserve"> </w:t>
      </w:r>
      <w:r w:rsidRPr="00EA7870">
        <w:rPr>
          <w:b/>
          <w:i/>
          <w:sz w:val="20"/>
          <w:szCs w:val="20"/>
          <w:lang w:val="es-AR"/>
        </w:rPr>
        <w:t>Optativo</w:t>
      </w:r>
      <w:r w:rsidR="001A28B3" w:rsidRPr="00EA7870">
        <w:rPr>
          <w:b/>
          <w:i/>
          <w:sz w:val="20"/>
          <w:szCs w:val="20"/>
          <w:lang w:val="es-AR"/>
        </w:rPr>
        <w:t xml:space="preserve"> </w:t>
      </w:r>
      <w:r w:rsidRPr="00EA7870">
        <w:rPr>
          <w:b/>
          <w:i/>
          <w:sz w:val="20"/>
          <w:szCs w:val="20"/>
          <w:lang w:val="es-AR"/>
        </w:rPr>
        <w:t>Sin</w:t>
      </w:r>
      <w:r w:rsidR="001A28B3" w:rsidRPr="00EA7870">
        <w:rPr>
          <w:b/>
          <w:i/>
          <w:sz w:val="20"/>
          <w:szCs w:val="20"/>
          <w:lang w:val="es-AR"/>
        </w:rPr>
        <w:t xml:space="preserve"> </w:t>
      </w:r>
      <w:r w:rsidRPr="00EA7870">
        <w:rPr>
          <w:b/>
          <w:i/>
          <w:sz w:val="20"/>
          <w:szCs w:val="20"/>
          <w:lang w:val="es-AR"/>
        </w:rPr>
        <w:t>Prima</w:t>
      </w:r>
      <w:r w:rsidR="001A28B3" w:rsidRPr="00EA7870">
        <w:rPr>
          <w:b/>
          <w:i/>
          <w:sz w:val="20"/>
          <w:szCs w:val="20"/>
          <w:lang w:val="es-AR"/>
        </w:rPr>
        <w:t xml:space="preserve"> </w:t>
      </w:r>
      <w:r w:rsidRPr="00EA7870">
        <w:rPr>
          <w:b/>
          <w:i/>
          <w:sz w:val="20"/>
          <w:szCs w:val="20"/>
          <w:lang w:val="es-AR"/>
        </w:rPr>
        <w:t>Compensatoria</w:t>
      </w:r>
    </w:p>
    <w:p w14:paraId="2D06DD90" w14:textId="77777777" w:rsidR="00376725" w:rsidRPr="00EA7870" w:rsidRDefault="00376725" w:rsidP="00376725">
      <w:pPr>
        <w:tabs>
          <w:tab w:val="left" w:pos="0"/>
        </w:tabs>
        <w:jc w:val="both"/>
        <w:rPr>
          <w:sz w:val="20"/>
          <w:szCs w:val="20"/>
          <w:lang w:val="es-AR"/>
        </w:rPr>
      </w:pPr>
    </w:p>
    <w:p w14:paraId="7B6E973B" w14:textId="77777777" w:rsidR="00376725" w:rsidRPr="00EA7870" w:rsidRDefault="00376725" w:rsidP="00376725">
      <w:pPr>
        <w:tabs>
          <w:tab w:val="left" w:pos="0"/>
        </w:tabs>
        <w:jc w:val="both"/>
        <w:rPr>
          <w:sz w:val="20"/>
          <w:szCs w:val="20"/>
          <w:lang w:val="es-AR"/>
        </w:rPr>
      </w:pP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cualquier</w:t>
      </w:r>
      <w:r w:rsidR="001A28B3" w:rsidRPr="00EA7870">
        <w:rPr>
          <w:spacing w:val="-2"/>
          <w:sz w:val="20"/>
          <w:szCs w:val="20"/>
          <w:lang w:val="es-AR"/>
        </w:rPr>
        <w:t xml:space="preserve"> </w:t>
      </w:r>
      <w:r w:rsidRPr="00EA7870">
        <w:rPr>
          <w:spacing w:val="-2"/>
          <w:sz w:val="20"/>
          <w:szCs w:val="20"/>
          <w:lang w:val="es-AR"/>
        </w:rPr>
        <w:t>momento,</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partir</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005D134B" w:rsidRPr="00EA7870">
        <w:rPr>
          <w:spacing w:val="-2"/>
          <w:sz w:val="20"/>
          <w:szCs w:val="20"/>
          <w:lang w:val="es-AR"/>
        </w:rPr>
        <w:t>Fecha de Rescate</w:t>
      </w:r>
      <w:r w:rsidRPr="00EA7870">
        <w:rPr>
          <w:spacing w:val="-2"/>
          <w:sz w:val="20"/>
          <w:szCs w:val="20"/>
          <w:lang w:val="es-AR"/>
        </w:rPr>
        <w:t>,</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podrá,</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opción,</w:t>
      </w:r>
      <w:r w:rsidR="001A28B3" w:rsidRPr="00EA7870">
        <w:rPr>
          <w:spacing w:val="-2"/>
          <w:sz w:val="20"/>
          <w:szCs w:val="20"/>
          <w:lang w:val="es-AR"/>
        </w:rPr>
        <w:t xml:space="preserve"> </w:t>
      </w:r>
      <w:r w:rsidRPr="00EA7870">
        <w:rPr>
          <w:spacing w:val="-2"/>
          <w:sz w:val="20"/>
          <w:szCs w:val="20"/>
          <w:lang w:val="es-AR"/>
        </w:rPr>
        <w:t>rescatar</w:t>
      </w:r>
      <w:r w:rsidR="001A28B3" w:rsidRPr="00EA7870">
        <w:rPr>
          <w:spacing w:val="-2"/>
          <w:sz w:val="20"/>
          <w:szCs w:val="20"/>
          <w:lang w:val="es-AR"/>
        </w:rPr>
        <w:t xml:space="preserve"> </w:t>
      </w:r>
      <w:r w:rsidRPr="00EA7870">
        <w:rPr>
          <w:spacing w:val="-2"/>
          <w:sz w:val="20"/>
          <w:szCs w:val="20"/>
          <w:lang w:val="es-AR"/>
        </w:rPr>
        <w:t>las</w:t>
      </w:r>
      <w:r w:rsidR="001A28B3" w:rsidRPr="00EA7870">
        <w:rPr>
          <w:spacing w:val="-2"/>
          <w:sz w:val="20"/>
          <w:szCs w:val="20"/>
          <w:lang w:val="es-AR"/>
        </w:rPr>
        <w:t xml:space="preserve"> </w:t>
      </w:r>
      <w:r w:rsidRPr="00EA7870">
        <w:rPr>
          <w:spacing w:val="-2"/>
          <w:sz w:val="20"/>
          <w:szCs w:val="20"/>
          <w:lang w:val="es-AR"/>
        </w:rPr>
        <w:t>Obligaciones</w:t>
      </w:r>
      <w:r w:rsidR="001A28B3" w:rsidRPr="00EA7870">
        <w:rPr>
          <w:spacing w:val="-2"/>
          <w:sz w:val="20"/>
          <w:szCs w:val="20"/>
          <w:lang w:val="es-AR"/>
        </w:rPr>
        <w:t xml:space="preserve"> </w:t>
      </w:r>
      <w:r w:rsidRPr="00EA7870">
        <w:rPr>
          <w:spacing w:val="-2"/>
          <w:sz w:val="20"/>
          <w:szCs w:val="20"/>
          <w:lang w:val="es-AR"/>
        </w:rPr>
        <w:t>Negociables,</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totalidad</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forma</w:t>
      </w:r>
      <w:r w:rsidR="001A28B3" w:rsidRPr="00EA7870">
        <w:rPr>
          <w:spacing w:val="-2"/>
          <w:sz w:val="20"/>
          <w:szCs w:val="20"/>
          <w:lang w:val="es-AR"/>
        </w:rPr>
        <w:t xml:space="preserve"> </w:t>
      </w:r>
      <w:r w:rsidRPr="00EA7870">
        <w:rPr>
          <w:spacing w:val="-2"/>
          <w:sz w:val="20"/>
          <w:szCs w:val="20"/>
          <w:lang w:val="es-AR"/>
        </w:rPr>
        <w:t>parcial,</w:t>
      </w:r>
      <w:r w:rsidR="001A28B3" w:rsidRPr="00EA7870">
        <w:rPr>
          <w:spacing w:val="-2"/>
          <w:sz w:val="20"/>
          <w:szCs w:val="20"/>
          <w:lang w:val="es-AR"/>
        </w:rPr>
        <w:t xml:space="preserve"> </w:t>
      </w:r>
      <w:r w:rsidRPr="00EA7870">
        <w:rPr>
          <w:spacing w:val="-2"/>
          <w:sz w:val="20"/>
          <w:szCs w:val="20"/>
          <w:lang w:val="es-AR"/>
        </w:rPr>
        <w:t>a</w:t>
      </w:r>
      <w:r w:rsidR="00F112D5" w:rsidRPr="00EA7870">
        <w:rPr>
          <w:spacing w:val="-2"/>
          <w:sz w:val="20"/>
          <w:szCs w:val="20"/>
          <w:lang w:val="es-AR"/>
        </w:rPr>
        <w:t>l</w:t>
      </w:r>
      <w:r w:rsidR="001A28B3" w:rsidRPr="00EA7870">
        <w:rPr>
          <w:spacing w:val="-2"/>
          <w:sz w:val="20"/>
          <w:szCs w:val="20"/>
          <w:lang w:val="es-AR"/>
        </w:rPr>
        <w:t xml:space="preserve"> </w:t>
      </w:r>
      <w:r w:rsidR="00325103" w:rsidRPr="00EA7870">
        <w:rPr>
          <w:spacing w:val="-2"/>
          <w:sz w:val="20"/>
          <w:szCs w:val="20"/>
          <w:lang w:val="es-AR"/>
        </w:rPr>
        <w:t xml:space="preserve">100% del </w:t>
      </w:r>
      <w:r w:rsidRPr="00EA7870">
        <w:rPr>
          <w:spacing w:val="-2"/>
          <w:sz w:val="20"/>
          <w:szCs w:val="20"/>
          <w:lang w:val="es-AR"/>
        </w:rPr>
        <w:t>monto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capital</w:t>
      </w:r>
      <w:r w:rsidR="00F112D5" w:rsidRPr="00EA7870">
        <w:rPr>
          <w:spacing w:val="-2"/>
          <w:sz w:val="20"/>
          <w:szCs w:val="20"/>
          <w:lang w:val="es-AR"/>
        </w:rPr>
        <w:t xml:space="preserve"> de las Obligaciones Negociables que se rescaten</w:t>
      </w:r>
      <w:r w:rsidRPr="00EA7870">
        <w:rPr>
          <w:spacing w:val="-2"/>
          <w:sz w:val="20"/>
          <w:szCs w:val="20"/>
          <w:lang w:val="es-AR"/>
        </w:rPr>
        <w:t>,</w:t>
      </w:r>
      <w:r w:rsidR="001A28B3" w:rsidRPr="00EA7870">
        <w:rPr>
          <w:spacing w:val="-2"/>
          <w:sz w:val="20"/>
          <w:szCs w:val="20"/>
          <w:lang w:val="es-AR"/>
        </w:rPr>
        <w:t xml:space="preserve"> </w:t>
      </w:r>
      <w:r w:rsidRPr="00EA7870">
        <w:rPr>
          <w:spacing w:val="-2"/>
          <w:sz w:val="20"/>
          <w:szCs w:val="20"/>
          <w:lang w:val="es-AR"/>
        </w:rPr>
        <w:t>más</w:t>
      </w:r>
      <w:r w:rsidR="001A28B3" w:rsidRPr="00EA7870">
        <w:rPr>
          <w:spacing w:val="-2"/>
          <w:sz w:val="20"/>
          <w:szCs w:val="20"/>
          <w:lang w:val="es-AR"/>
        </w:rPr>
        <w:t xml:space="preserve"> </w:t>
      </w:r>
      <w:r w:rsidRPr="00EA7870">
        <w:rPr>
          <w:spacing w:val="-2"/>
          <w:sz w:val="20"/>
          <w:szCs w:val="20"/>
          <w:lang w:val="es-AR"/>
        </w:rPr>
        <w:t>los</w:t>
      </w:r>
      <w:r w:rsidR="001A28B3" w:rsidRPr="00EA7870">
        <w:rPr>
          <w:spacing w:val="-2"/>
          <w:sz w:val="20"/>
          <w:szCs w:val="20"/>
          <w:lang w:val="es-AR"/>
        </w:rPr>
        <w:t xml:space="preserve"> </w:t>
      </w:r>
      <w:r w:rsidRPr="00EA7870">
        <w:rPr>
          <w:spacing w:val="-2"/>
          <w:sz w:val="20"/>
          <w:szCs w:val="20"/>
          <w:lang w:val="es-AR"/>
        </w:rPr>
        <w:t>intereses</w:t>
      </w:r>
      <w:r w:rsidR="001A28B3" w:rsidRPr="00EA7870">
        <w:rPr>
          <w:spacing w:val="-2"/>
          <w:sz w:val="20"/>
          <w:szCs w:val="20"/>
          <w:lang w:val="es-AR"/>
        </w:rPr>
        <w:t xml:space="preserve"> </w:t>
      </w:r>
      <w:r w:rsidRPr="00EA7870">
        <w:rPr>
          <w:spacing w:val="-2"/>
          <w:sz w:val="20"/>
          <w:szCs w:val="20"/>
          <w:lang w:val="es-AR"/>
        </w:rPr>
        <w:t>devengados</w:t>
      </w:r>
      <w:r w:rsidR="001A28B3" w:rsidRPr="00EA7870">
        <w:rPr>
          <w:spacing w:val="-2"/>
          <w:sz w:val="20"/>
          <w:szCs w:val="20"/>
          <w:lang w:val="es-AR"/>
        </w:rPr>
        <w:t xml:space="preserve"> </w:t>
      </w:r>
      <w:r w:rsidRPr="00EA7870">
        <w:rPr>
          <w:spacing w:val="-2"/>
          <w:sz w:val="20"/>
          <w:szCs w:val="20"/>
          <w:lang w:val="es-AR"/>
        </w:rPr>
        <w:t>e</w:t>
      </w:r>
      <w:r w:rsidR="001A28B3" w:rsidRPr="00EA7870">
        <w:rPr>
          <w:spacing w:val="-2"/>
          <w:sz w:val="20"/>
          <w:szCs w:val="20"/>
          <w:lang w:val="es-AR"/>
        </w:rPr>
        <w:t xml:space="preserve"> </w:t>
      </w:r>
      <w:r w:rsidRPr="00EA7870">
        <w:rPr>
          <w:spacing w:val="-2"/>
          <w:sz w:val="20"/>
          <w:szCs w:val="20"/>
          <w:lang w:val="es-AR"/>
        </w:rPr>
        <w:t>impagos</w:t>
      </w:r>
      <w:r w:rsidR="001A28B3" w:rsidRPr="00EA7870">
        <w:rPr>
          <w:spacing w:val="-2"/>
          <w:sz w:val="20"/>
          <w:szCs w:val="20"/>
          <w:lang w:val="es-AR"/>
        </w:rPr>
        <w:t xml:space="preserve"> </w:t>
      </w:r>
      <w:r w:rsidRPr="00EA7870">
        <w:rPr>
          <w:spacing w:val="-2"/>
          <w:sz w:val="20"/>
          <w:szCs w:val="20"/>
          <w:lang w:val="es-AR"/>
        </w:rPr>
        <w:t>hasta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fecha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rescate.</w:t>
      </w:r>
      <w:r w:rsidR="001A28B3" w:rsidRPr="00EA7870">
        <w:rPr>
          <w:sz w:val="20"/>
          <w:szCs w:val="20"/>
          <w:lang w:val="es-AR"/>
        </w:rPr>
        <w:t xml:space="preserve"> </w:t>
      </w:r>
    </w:p>
    <w:p w14:paraId="5CAC9BEE" w14:textId="77777777" w:rsidR="00376725" w:rsidRPr="00EA7870" w:rsidRDefault="00376725" w:rsidP="00376725">
      <w:pPr>
        <w:tabs>
          <w:tab w:val="left" w:pos="0"/>
        </w:tabs>
        <w:jc w:val="both"/>
        <w:rPr>
          <w:sz w:val="20"/>
          <w:szCs w:val="20"/>
          <w:lang w:val="es-AR"/>
        </w:rPr>
      </w:pPr>
    </w:p>
    <w:p w14:paraId="64E6F012" w14:textId="77777777" w:rsidR="00376725" w:rsidRPr="00EA7870" w:rsidRDefault="00376725" w:rsidP="00376725">
      <w:pPr>
        <w:tabs>
          <w:tab w:val="left" w:pos="0"/>
        </w:tabs>
        <w:jc w:val="both"/>
        <w:rPr>
          <w:b/>
          <w:i/>
          <w:sz w:val="20"/>
          <w:szCs w:val="20"/>
          <w:lang w:val="es-AR"/>
        </w:rPr>
      </w:pPr>
      <w:r w:rsidRPr="00EA7870">
        <w:rPr>
          <w:b/>
          <w:i/>
          <w:sz w:val="20"/>
          <w:szCs w:val="20"/>
          <w:lang w:val="es-AR"/>
        </w:rPr>
        <w:t>Rescate</w:t>
      </w:r>
      <w:r w:rsidR="001A28B3" w:rsidRPr="00EA7870">
        <w:rPr>
          <w:b/>
          <w:i/>
          <w:sz w:val="20"/>
          <w:szCs w:val="20"/>
          <w:lang w:val="es-AR"/>
        </w:rPr>
        <w:t xml:space="preserve"> </w:t>
      </w:r>
      <w:r w:rsidRPr="00EA7870">
        <w:rPr>
          <w:b/>
          <w:i/>
          <w:sz w:val="20"/>
          <w:szCs w:val="20"/>
          <w:lang w:val="es-AR"/>
        </w:rPr>
        <w:t>Optativo</w:t>
      </w:r>
      <w:r w:rsidR="001A28B3" w:rsidRPr="00EA7870">
        <w:rPr>
          <w:b/>
          <w:i/>
          <w:sz w:val="20"/>
          <w:szCs w:val="20"/>
          <w:lang w:val="es-AR"/>
        </w:rPr>
        <w:t xml:space="preserve"> </w:t>
      </w:r>
      <w:r w:rsidRPr="00EA7870">
        <w:rPr>
          <w:b/>
          <w:i/>
          <w:sz w:val="20"/>
          <w:szCs w:val="20"/>
          <w:lang w:val="es-AR"/>
        </w:rPr>
        <w:t>por</w:t>
      </w:r>
      <w:r w:rsidR="001A28B3" w:rsidRPr="00EA7870">
        <w:rPr>
          <w:b/>
          <w:i/>
          <w:sz w:val="20"/>
          <w:szCs w:val="20"/>
          <w:lang w:val="es-AR"/>
        </w:rPr>
        <w:t xml:space="preserve"> </w:t>
      </w:r>
      <w:r w:rsidRPr="00EA7870">
        <w:rPr>
          <w:b/>
          <w:i/>
          <w:sz w:val="20"/>
          <w:szCs w:val="20"/>
          <w:lang w:val="es-AR"/>
        </w:rPr>
        <w:t>Cuestiones</w:t>
      </w:r>
      <w:r w:rsidR="001A28B3" w:rsidRPr="00EA7870">
        <w:rPr>
          <w:b/>
          <w:i/>
          <w:sz w:val="20"/>
          <w:szCs w:val="20"/>
          <w:lang w:val="es-AR"/>
        </w:rPr>
        <w:t xml:space="preserve"> </w:t>
      </w:r>
      <w:r w:rsidRPr="00EA7870">
        <w:rPr>
          <w:b/>
          <w:i/>
          <w:sz w:val="20"/>
          <w:szCs w:val="20"/>
          <w:lang w:val="es-AR"/>
        </w:rPr>
        <w:t>Impositivas</w:t>
      </w:r>
    </w:p>
    <w:p w14:paraId="0A94D0FD" w14:textId="77777777" w:rsidR="00376725" w:rsidRPr="00EA7870" w:rsidRDefault="00376725" w:rsidP="00376725">
      <w:pPr>
        <w:tabs>
          <w:tab w:val="left" w:pos="0"/>
        </w:tabs>
        <w:jc w:val="both"/>
        <w:rPr>
          <w:sz w:val="20"/>
          <w:szCs w:val="20"/>
          <w:lang w:val="es-AR"/>
        </w:rPr>
      </w:pPr>
    </w:p>
    <w:p w14:paraId="0A222359" w14:textId="7B4A255F" w:rsidR="00376725" w:rsidRPr="00EA7870" w:rsidRDefault="00376725" w:rsidP="00DB06D0">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opción,</w:t>
      </w:r>
      <w:r w:rsidR="001A28B3" w:rsidRPr="00EA7870">
        <w:rPr>
          <w:sz w:val="20"/>
          <w:szCs w:val="20"/>
          <w:lang w:val="es-AR"/>
        </w:rPr>
        <w:t xml:space="preserve"> </w:t>
      </w:r>
      <w:r w:rsidRPr="00EA7870">
        <w:rPr>
          <w:sz w:val="20"/>
          <w:szCs w:val="20"/>
          <w:lang w:val="es-AR"/>
        </w:rPr>
        <w:t>rescatar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totalidad</w:t>
      </w:r>
      <w:r w:rsidR="00771486">
        <w:rPr>
          <w:sz w:val="20"/>
          <w:szCs w:val="20"/>
          <w:lang w:val="es-AR"/>
        </w:rPr>
        <w:t>,</w:t>
      </w:r>
      <w:r w:rsidR="001A28B3" w:rsidRPr="00EA7870">
        <w:rPr>
          <w:sz w:val="20"/>
          <w:szCs w:val="20"/>
          <w:lang w:val="es-AR"/>
        </w:rPr>
        <w:t xml:space="preserve"> </w:t>
      </w:r>
      <w:r w:rsidRPr="00EA7870">
        <w:rPr>
          <w:sz w:val="20"/>
          <w:szCs w:val="20"/>
          <w:lang w:val="es-AR"/>
        </w:rPr>
        <w:t>pero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parcial,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irrevocable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w:t>
      </w:r>
      <w:r w:rsidR="0020387D" w:rsidRPr="00EA7870">
        <w:rPr>
          <w:sz w:val="20"/>
          <w:szCs w:val="20"/>
          <w:lang w:val="es-AR"/>
        </w:rPr>
        <w:t>os</w:t>
      </w:r>
      <w:r w:rsidR="001A28B3" w:rsidRPr="00EA7870">
        <w:rPr>
          <w:sz w:val="20"/>
          <w:szCs w:val="20"/>
          <w:lang w:val="es-AR"/>
        </w:rPr>
        <w:t xml:space="preserve"> </w:t>
      </w:r>
      <w:r w:rsidR="00D0155E" w:rsidRPr="00EA7870">
        <w:rPr>
          <w:sz w:val="20"/>
          <w:szCs w:val="20"/>
          <w:lang w:val="es-AR"/>
        </w:rPr>
        <w:t>tenedor</w:t>
      </w:r>
      <w:r w:rsidR="0020387D" w:rsidRPr="00EA7870">
        <w:rPr>
          <w:sz w:val="20"/>
          <w:szCs w:val="20"/>
          <w:lang w:val="es-AR"/>
        </w:rPr>
        <w: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previsto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apartado</w:t>
      </w:r>
      <w:r w:rsidR="001A28B3" w:rsidRPr="00EA7870">
        <w:rPr>
          <w:sz w:val="20"/>
          <w:szCs w:val="20"/>
          <w:lang w:val="es-AR"/>
        </w:rPr>
        <w:t xml:space="preserve"> </w:t>
      </w:r>
      <w:r w:rsidRPr="00EA7870">
        <w:rPr>
          <w:sz w:val="20"/>
          <w:szCs w:val="20"/>
          <w:lang w:val="es-AR"/>
        </w:rPr>
        <w:t>“</w:t>
      </w:r>
      <w:r w:rsidRPr="00EA7870">
        <w:rPr>
          <w:i/>
          <w:sz w:val="20"/>
          <w:szCs w:val="20"/>
          <w:lang w:val="es-AR"/>
        </w:rPr>
        <w:t>—Selección</w:t>
      </w:r>
      <w:r w:rsidR="001A28B3" w:rsidRPr="00EA7870">
        <w:rPr>
          <w:i/>
          <w:sz w:val="20"/>
          <w:szCs w:val="20"/>
          <w:lang w:val="es-AR"/>
        </w:rPr>
        <w:t xml:space="preserve"> </w:t>
      </w:r>
      <w:r w:rsidRPr="00EA7870">
        <w:rPr>
          <w:i/>
          <w:sz w:val="20"/>
          <w:szCs w:val="20"/>
          <w:lang w:val="es-AR"/>
        </w:rPr>
        <w:t>y</w:t>
      </w:r>
      <w:r w:rsidR="001A28B3" w:rsidRPr="00EA7870">
        <w:rPr>
          <w:i/>
          <w:sz w:val="20"/>
          <w:szCs w:val="20"/>
          <w:lang w:val="es-AR"/>
        </w:rPr>
        <w:t xml:space="preserve"> </w:t>
      </w:r>
      <w:r w:rsidRPr="00EA7870">
        <w:rPr>
          <w:i/>
          <w:sz w:val="20"/>
          <w:szCs w:val="20"/>
          <w:lang w:val="es-AR"/>
        </w:rPr>
        <w:t>Notificación</w:t>
      </w:r>
      <w:r w:rsidRPr="00EA7870">
        <w:rPr>
          <w:sz w:val="20"/>
          <w:szCs w:val="20"/>
          <w:lang w:val="es-AR"/>
        </w:rPr>
        <w:t>”</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abajo,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100%</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devengados</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impagos</w:t>
      </w:r>
      <w:r w:rsidR="001A28B3" w:rsidRPr="00EA7870">
        <w:rPr>
          <w:sz w:val="20"/>
          <w:szCs w:val="20"/>
          <w:lang w:val="es-AR"/>
        </w:rPr>
        <w:t xml:space="preserve"> </w:t>
      </w:r>
      <w:r w:rsidRPr="00EA7870">
        <w:rPr>
          <w:sz w:val="20"/>
          <w:szCs w:val="20"/>
          <w:lang w:val="es-AR"/>
        </w:rPr>
        <w:t>hasta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si:</w:t>
      </w:r>
    </w:p>
    <w:p w14:paraId="5AB2D1F7" w14:textId="77777777" w:rsidR="00376725" w:rsidRPr="00EA7870" w:rsidRDefault="00376725" w:rsidP="00376725">
      <w:pPr>
        <w:tabs>
          <w:tab w:val="left" w:pos="0"/>
        </w:tabs>
        <w:jc w:val="both"/>
        <w:rPr>
          <w:sz w:val="20"/>
          <w:szCs w:val="20"/>
          <w:lang w:val="es-AR"/>
        </w:rPr>
      </w:pPr>
    </w:p>
    <w:p w14:paraId="192DD942" w14:textId="578EC96B" w:rsidR="00376725" w:rsidRPr="00EA7870" w:rsidRDefault="00376725" w:rsidP="000F775A">
      <w:pPr>
        <w:tabs>
          <w:tab w:val="left" w:pos="426"/>
        </w:tabs>
        <w:ind w:firstLine="426"/>
        <w:jc w:val="both"/>
        <w:rPr>
          <w:sz w:val="20"/>
          <w:szCs w:val="20"/>
          <w:lang w:val="es-AR"/>
        </w:rPr>
      </w:pPr>
      <w:r w:rsidRPr="00EA7870">
        <w:rPr>
          <w:sz w:val="20"/>
          <w:szCs w:val="20"/>
          <w:lang w:val="es-AR"/>
        </w:rPr>
        <w:t>(i)</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ocasión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próximo</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quedado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fueran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quedar</w:t>
      </w:r>
      <w:r w:rsidR="001A28B3" w:rsidRPr="00EA7870">
        <w:rPr>
          <w:sz w:val="20"/>
          <w:szCs w:val="20"/>
          <w:lang w:val="es-AR"/>
        </w:rPr>
        <w:t xml:space="preserve"> </w:t>
      </w:r>
      <w:r w:rsidRPr="00EA7870">
        <w:rPr>
          <w:sz w:val="20"/>
          <w:szCs w:val="20"/>
          <w:lang w:val="es-AR"/>
        </w:rPr>
        <w:t>obligadas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definen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resultado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reglamentaciones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pronunciamientos</w:t>
      </w:r>
      <w:r w:rsidR="001A28B3" w:rsidRPr="00EA7870">
        <w:rPr>
          <w:sz w:val="20"/>
          <w:szCs w:val="20"/>
          <w:lang w:val="es-AR"/>
        </w:rPr>
        <w:t xml:space="preserve"> </w:t>
      </w:r>
      <w:r w:rsidRPr="00EA7870">
        <w:rPr>
          <w:sz w:val="20"/>
          <w:szCs w:val="20"/>
          <w:lang w:val="es-AR"/>
        </w:rPr>
        <w:t>promulgados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ellas)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Impositiva</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define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aplicación,</w:t>
      </w:r>
      <w:r w:rsidR="001A28B3" w:rsidRPr="00EA7870">
        <w:rPr>
          <w:sz w:val="20"/>
          <w:szCs w:val="20"/>
          <w:lang w:val="es-AR"/>
        </w:rPr>
        <w:t xml:space="preserve"> </w:t>
      </w:r>
      <w:r w:rsidRPr="00EA7870">
        <w:rPr>
          <w:sz w:val="20"/>
          <w:szCs w:val="20"/>
          <w:lang w:val="es-AR"/>
        </w:rPr>
        <w:t>administración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interpretación</w:t>
      </w:r>
      <w:r w:rsidR="001A28B3" w:rsidRPr="00EA7870">
        <w:rPr>
          <w:sz w:val="20"/>
          <w:szCs w:val="20"/>
          <w:lang w:val="es-AR"/>
        </w:rPr>
        <w:t xml:space="preserve"> </w:t>
      </w:r>
      <w:r w:rsidRPr="00EA7870">
        <w:rPr>
          <w:sz w:val="20"/>
          <w:szCs w:val="20"/>
          <w:lang w:val="es-AR"/>
        </w:rPr>
        <w:t>oficial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reglamentaciones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pronunciamientos,</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fallo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juez</w:t>
      </w:r>
      <w:r w:rsidR="001A28B3" w:rsidRPr="00EA7870">
        <w:rPr>
          <w:sz w:val="20"/>
          <w:szCs w:val="20"/>
          <w:lang w:val="es-AR"/>
        </w:rPr>
        <w:t xml:space="preserve"> </w:t>
      </w:r>
      <w:r w:rsidRPr="00EA7870">
        <w:rPr>
          <w:sz w:val="20"/>
          <w:szCs w:val="20"/>
          <w:lang w:val="es-AR"/>
        </w:rPr>
        <w:t>competente,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posición</w:t>
      </w:r>
      <w:r w:rsidR="001A28B3" w:rsidRPr="00EA7870">
        <w:rPr>
          <w:sz w:val="20"/>
          <w:szCs w:val="20"/>
          <w:lang w:val="es-AR"/>
        </w:rPr>
        <w:t xml:space="preserve"> </w:t>
      </w:r>
      <w:r w:rsidRPr="00EA7870">
        <w:rPr>
          <w:sz w:val="20"/>
          <w:szCs w:val="20"/>
          <w:lang w:val="es-AR"/>
        </w:rPr>
        <w:t>oficial</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tratado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afecte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tributación,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aplicación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mismo,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Impositiva</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entra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vigencia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partir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00EF780E" w:rsidRPr="00EA7870">
        <w:rPr>
          <w:sz w:val="20"/>
          <w:szCs w:val="20"/>
          <w:lang w:val="es-AR"/>
        </w:rPr>
        <w:t>y</w:t>
      </w:r>
      <w:r w:rsidR="001A28B3" w:rsidRPr="00EA7870">
        <w:rPr>
          <w:sz w:val="20"/>
          <w:szCs w:val="20"/>
          <w:lang w:val="es-AR"/>
        </w:rPr>
        <w:t xml:space="preserve"> </w:t>
      </w:r>
      <w:r w:rsidR="00EF780E" w:rsidRPr="00EA7870">
        <w:rPr>
          <w:sz w:val="20"/>
          <w:szCs w:val="20"/>
          <w:lang w:val="es-AR"/>
        </w:rPr>
        <w:t>Liquidación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determinados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establecidos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(distinta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00223996" w:rsidRPr="00EA7870">
        <w:rPr>
          <w:sz w:val="20"/>
          <w:szCs w:val="20"/>
          <w:lang w:val="es-AR"/>
        </w:rPr>
        <w:t>España</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w:t>
      </w:r>
      <w:r w:rsidR="001A28B3" w:rsidRPr="00EA7870">
        <w:rPr>
          <w:sz w:val="20"/>
          <w:szCs w:val="20"/>
          <w:lang w:val="es-AR"/>
        </w:rPr>
        <w:t xml:space="preserve"> </w:t>
      </w:r>
      <w:r w:rsidRPr="00EA7870">
        <w:rPr>
          <w:sz w:val="20"/>
          <w:szCs w:val="20"/>
          <w:lang w:val="es-AR"/>
        </w:rPr>
        <w:t>constituida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residen</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impositivos,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partir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constituye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adquiere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carácter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residente;</w:t>
      </w:r>
      <w:r w:rsidR="001A28B3" w:rsidRPr="00EA7870">
        <w:rPr>
          <w:sz w:val="20"/>
          <w:szCs w:val="20"/>
          <w:lang w:val="es-AR"/>
        </w:rPr>
        <w:t xml:space="preserve"> </w:t>
      </w:r>
      <w:r w:rsidRPr="00EA7870">
        <w:rPr>
          <w:sz w:val="20"/>
          <w:szCs w:val="20"/>
          <w:lang w:val="es-AR"/>
        </w:rPr>
        <w:t>y</w:t>
      </w:r>
    </w:p>
    <w:p w14:paraId="0EF47B5E" w14:textId="77777777" w:rsidR="00376725" w:rsidRPr="00EA7870" w:rsidRDefault="00376725" w:rsidP="00376725">
      <w:pPr>
        <w:tabs>
          <w:tab w:val="left" w:pos="0"/>
        </w:tabs>
        <w:jc w:val="both"/>
        <w:rPr>
          <w:sz w:val="20"/>
          <w:szCs w:val="20"/>
          <w:lang w:val="es-AR"/>
        </w:rPr>
      </w:pPr>
    </w:p>
    <w:p w14:paraId="542D7613" w14:textId="77777777" w:rsidR="00376725" w:rsidRPr="00EA7870" w:rsidRDefault="00376725" w:rsidP="00DB06D0">
      <w:pPr>
        <w:tabs>
          <w:tab w:val="left" w:pos="0"/>
        </w:tabs>
        <w:ind w:firstLine="426"/>
        <w:jc w:val="both"/>
        <w:rPr>
          <w:sz w:val="20"/>
          <w:szCs w:val="20"/>
          <w:lang w:val="es-AR"/>
        </w:rPr>
      </w:pPr>
      <w:r w:rsidRPr="00EA7870">
        <w:rPr>
          <w:sz w:val="20"/>
          <w:szCs w:val="20"/>
          <w:lang w:val="es-AR"/>
        </w:rPr>
        <w:t>(ii)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pudiera</w:t>
      </w:r>
      <w:r w:rsidR="001A28B3" w:rsidRPr="00EA7870">
        <w:rPr>
          <w:sz w:val="20"/>
          <w:szCs w:val="20"/>
          <w:lang w:val="es-AR"/>
        </w:rPr>
        <w:t xml:space="preserve"> </w:t>
      </w:r>
      <w:r w:rsidRPr="00EA7870">
        <w:rPr>
          <w:sz w:val="20"/>
          <w:szCs w:val="20"/>
          <w:lang w:val="es-AR"/>
        </w:rPr>
        <w:t>evitar</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tomando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medidas</w:t>
      </w:r>
      <w:r w:rsidR="001A28B3" w:rsidRPr="00EA7870">
        <w:rPr>
          <w:sz w:val="20"/>
          <w:szCs w:val="20"/>
          <w:lang w:val="es-AR"/>
        </w:rPr>
        <w:t xml:space="preserve"> </w:t>
      </w:r>
      <w:r w:rsidRPr="00EA7870">
        <w:rPr>
          <w:sz w:val="20"/>
          <w:szCs w:val="20"/>
          <w:lang w:val="es-AR"/>
        </w:rPr>
        <w:t>razonables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tuviera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p>
    <w:p w14:paraId="6F17A831" w14:textId="77777777" w:rsidR="00376725" w:rsidRPr="00EA7870" w:rsidRDefault="00376725" w:rsidP="00376725">
      <w:pPr>
        <w:tabs>
          <w:tab w:val="left" w:pos="0"/>
        </w:tabs>
        <w:jc w:val="both"/>
        <w:rPr>
          <w:sz w:val="20"/>
          <w:szCs w:val="20"/>
          <w:lang w:val="es-AR"/>
        </w:rPr>
      </w:pPr>
    </w:p>
    <w:p w14:paraId="799C5237" w14:textId="77777777" w:rsidR="00376725" w:rsidRPr="00EA7870" w:rsidRDefault="00376725" w:rsidP="00376725">
      <w:pPr>
        <w:tabs>
          <w:tab w:val="left" w:pos="0"/>
        </w:tabs>
        <w:jc w:val="both"/>
        <w:rPr>
          <w:sz w:val="20"/>
          <w:szCs w:val="20"/>
          <w:lang w:val="es-AR"/>
        </w:rPr>
      </w:pPr>
      <w:r w:rsidRPr="00EA7870">
        <w:rPr>
          <w:i/>
          <w:sz w:val="20"/>
          <w:szCs w:val="20"/>
          <w:lang w:val="es-AR"/>
        </w:rPr>
        <w:t>sujeto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enviada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antelación</w:t>
      </w:r>
      <w:r w:rsidR="001A28B3" w:rsidRPr="00EA7870">
        <w:rPr>
          <w:sz w:val="20"/>
          <w:szCs w:val="20"/>
          <w:lang w:val="es-AR"/>
        </w:rPr>
        <w:t xml:space="preserve"> </w:t>
      </w:r>
      <w:r w:rsidRPr="00EA7870">
        <w:rPr>
          <w:sz w:val="20"/>
          <w:szCs w:val="20"/>
          <w:lang w:val="es-AR"/>
        </w:rPr>
        <w:t>mayor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previos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primera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estuvieran</w:t>
      </w:r>
      <w:r w:rsidR="001A28B3" w:rsidRPr="00EA7870">
        <w:rPr>
          <w:sz w:val="20"/>
          <w:szCs w:val="20"/>
          <w:lang w:val="es-AR"/>
        </w:rPr>
        <w:t xml:space="preserve"> </w:t>
      </w:r>
      <w:r w:rsidRPr="00EA7870">
        <w:rPr>
          <w:sz w:val="20"/>
          <w:szCs w:val="20"/>
          <w:lang w:val="es-AR"/>
        </w:rPr>
        <w:t>obligadas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7D0AEFE7" w14:textId="77777777" w:rsidR="00376725" w:rsidRPr="00EA7870" w:rsidRDefault="00376725" w:rsidP="00376725">
      <w:pPr>
        <w:tabs>
          <w:tab w:val="left" w:pos="0"/>
        </w:tabs>
        <w:jc w:val="both"/>
        <w:rPr>
          <w:sz w:val="20"/>
          <w:szCs w:val="20"/>
          <w:lang w:val="es-AR"/>
        </w:rPr>
      </w:pPr>
    </w:p>
    <w:p w14:paraId="27A26EB9" w14:textId="77777777" w:rsidR="00376725" w:rsidRPr="00EA7870" w:rsidRDefault="00376725" w:rsidP="00376725">
      <w:pPr>
        <w:tabs>
          <w:tab w:val="left" w:pos="0"/>
        </w:tabs>
        <w:jc w:val="both"/>
        <w:rPr>
          <w:sz w:val="20"/>
          <w:szCs w:val="20"/>
          <w:lang w:val="es-AR"/>
        </w:rPr>
      </w:pPr>
      <w:r w:rsidRPr="00EA7870">
        <w:rPr>
          <w:sz w:val="20"/>
          <w:szCs w:val="20"/>
          <w:lang w:val="es-AR"/>
        </w:rPr>
        <w:lastRenderedPageBreak/>
        <w:t>Antes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envío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entregará</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certificado</w:t>
      </w:r>
      <w:r w:rsidR="001A28B3" w:rsidRPr="00EA7870">
        <w:rPr>
          <w:sz w:val="20"/>
          <w:szCs w:val="20"/>
          <w:lang w:val="es-AR"/>
        </w:rPr>
        <w:t xml:space="preserve"> </w:t>
      </w:r>
      <w:r w:rsidRPr="00EA7870">
        <w:rPr>
          <w:sz w:val="20"/>
          <w:szCs w:val="20"/>
          <w:lang w:val="es-AR"/>
        </w:rPr>
        <w:t>firmado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funcionario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donde</w:t>
      </w:r>
      <w:r w:rsidR="001A28B3" w:rsidRPr="00EA7870">
        <w:rPr>
          <w:sz w:val="20"/>
          <w:szCs w:val="20"/>
          <w:lang w:val="es-AR"/>
        </w:rPr>
        <w:t xml:space="preserve"> </w:t>
      </w:r>
      <w:r w:rsidRPr="00EA7870">
        <w:rPr>
          <w:sz w:val="20"/>
          <w:szCs w:val="20"/>
          <w:lang w:val="es-AR"/>
        </w:rPr>
        <w:t>conste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está</w:t>
      </w:r>
      <w:r w:rsidR="001A28B3" w:rsidRPr="00EA7870">
        <w:rPr>
          <w:sz w:val="20"/>
          <w:szCs w:val="20"/>
          <w:lang w:val="es-AR"/>
        </w:rPr>
        <w:t xml:space="preserve"> </w:t>
      </w:r>
      <w:r w:rsidRPr="00EA7870">
        <w:rPr>
          <w:sz w:val="20"/>
          <w:szCs w:val="20"/>
          <w:lang w:val="es-AR"/>
        </w:rPr>
        <w:t>facultada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efectuar</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donde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indique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detalle</w:t>
      </w:r>
      <w:r w:rsidR="001A28B3" w:rsidRPr="00EA7870">
        <w:rPr>
          <w:sz w:val="20"/>
          <w:szCs w:val="20"/>
          <w:lang w:val="es-AR"/>
        </w:rPr>
        <w:t xml:space="preserve"> </w:t>
      </w:r>
      <w:r w:rsidRPr="00EA7870">
        <w:rPr>
          <w:sz w:val="20"/>
          <w:szCs w:val="20"/>
          <w:lang w:val="es-AR"/>
        </w:rPr>
        <w:t>razonable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circunstancias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dieron</w:t>
      </w:r>
      <w:r w:rsidR="001A28B3" w:rsidRPr="00EA7870">
        <w:rPr>
          <w:sz w:val="20"/>
          <w:szCs w:val="20"/>
          <w:lang w:val="es-AR"/>
        </w:rPr>
        <w:t xml:space="preserve"> </w:t>
      </w:r>
      <w:r w:rsidRPr="00EA7870">
        <w:rPr>
          <w:sz w:val="20"/>
          <w:szCs w:val="20"/>
          <w:lang w:val="es-AR"/>
        </w:rPr>
        <w:t>origen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certificado</w:t>
      </w:r>
      <w:r w:rsidR="001A28B3" w:rsidRPr="00EA7870">
        <w:rPr>
          <w:sz w:val="20"/>
          <w:szCs w:val="20"/>
          <w:lang w:val="es-AR"/>
        </w:rPr>
        <w:t xml:space="preserve"> </w:t>
      </w:r>
      <w:r w:rsidRPr="00EA7870">
        <w:rPr>
          <w:sz w:val="20"/>
          <w:szCs w:val="20"/>
          <w:lang w:val="es-AR"/>
        </w:rPr>
        <w:t>estará</w:t>
      </w:r>
      <w:r w:rsidR="001A28B3" w:rsidRPr="00EA7870">
        <w:rPr>
          <w:sz w:val="20"/>
          <w:szCs w:val="20"/>
          <w:lang w:val="es-AR"/>
        </w:rPr>
        <w:t xml:space="preserve"> </w:t>
      </w:r>
      <w:r w:rsidRPr="00EA7870">
        <w:rPr>
          <w:sz w:val="20"/>
          <w:szCs w:val="20"/>
          <w:lang w:val="es-AR"/>
        </w:rPr>
        <w:t>acompañado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dictamen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asesores</w:t>
      </w:r>
      <w:r w:rsidR="001A28B3" w:rsidRPr="00EA7870">
        <w:rPr>
          <w:sz w:val="20"/>
          <w:szCs w:val="20"/>
          <w:lang w:val="es-AR"/>
        </w:rPr>
        <w:t xml:space="preserve"> </w:t>
      </w:r>
      <w:r w:rsidRPr="00EA7870">
        <w:rPr>
          <w:sz w:val="20"/>
          <w:szCs w:val="20"/>
          <w:lang w:val="es-AR"/>
        </w:rPr>
        <w:t>legales</w:t>
      </w:r>
      <w:r w:rsidR="001A28B3" w:rsidRPr="00EA7870">
        <w:rPr>
          <w:sz w:val="20"/>
          <w:szCs w:val="20"/>
          <w:lang w:val="es-AR"/>
        </w:rPr>
        <w:t xml:space="preserve"> </w:t>
      </w:r>
      <w:r w:rsidRPr="00EA7870">
        <w:rPr>
          <w:sz w:val="20"/>
          <w:szCs w:val="20"/>
          <w:lang w:val="es-AR"/>
        </w:rPr>
        <w:t>externos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reconocido</w:t>
      </w:r>
      <w:r w:rsidR="001A28B3" w:rsidRPr="00EA7870">
        <w:rPr>
          <w:sz w:val="20"/>
          <w:szCs w:val="20"/>
          <w:lang w:val="es-AR"/>
        </w:rPr>
        <w:t xml:space="preserve"> </w:t>
      </w:r>
      <w:r w:rsidRPr="00EA7870">
        <w:rPr>
          <w:sz w:val="20"/>
          <w:szCs w:val="20"/>
          <w:lang w:val="es-AR"/>
        </w:rPr>
        <w:t>prestigio</w:t>
      </w:r>
      <w:r w:rsidR="001A28B3" w:rsidRPr="00EA7870">
        <w:rPr>
          <w:sz w:val="20"/>
          <w:szCs w:val="20"/>
          <w:lang w:val="es-AR"/>
        </w:rPr>
        <w:t xml:space="preserve"> </w:t>
      </w:r>
      <w:r w:rsidRPr="00EA7870">
        <w:rPr>
          <w:sz w:val="20"/>
          <w:szCs w:val="20"/>
          <w:lang w:val="es-AR"/>
        </w:rPr>
        <w:t>expresando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están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quedarán</w:t>
      </w:r>
      <w:r w:rsidR="001A28B3" w:rsidRPr="00EA7870">
        <w:rPr>
          <w:sz w:val="20"/>
          <w:szCs w:val="20"/>
          <w:lang w:val="es-AR"/>
        </w:rPr>
        <w:t xml:space="preserve"> </w:t>
      </w:r>
      <w:r w:rsidRPr="00EA7870">
        <w:rPr>
          <w:sz w:val="20"/>
          <w:szCs w:val="20"/>
          <w:lang w:val="es-AR"/>
        </w:rPr>
        <w:t>obligadas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resultado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modificación.</w:t>
      </w:r>
    </w:p>
    <w:p w14:paraId="1D7E8826" w14:textId="77777777" w:rsidR="00376725" w:rsidRPr="00EA7870" w:rsidRDefault="00376725" w:rsidP="00376725">
      <w:pPr>
        <w:tabs>
          <w:tab w:val="left" w:pos="0"/>
        </w:tabs>
        <w:jc w:val="both"/>
        <w:rPr>
          <w:sz w:val="20"/>
          <w:szCs w:val="20"/>
          <w:lang w:val="es-AR"/>
        </w:rPr>
      </w:pPr>
    </w:p>
    <w:p w14:paraId="1A39E496" w14:textId="77777777" w:rsidR="00376725" w:rsidRPr="00EA7870" w:rsidRDefault="00376725" w:rsidP="00376725">
      <w:pPr>
        <w:tabs>
          <w:tab w:val="left" w:pos="0"/>
        </w:tabs>
        <w:jc w:val="both"/>
        <w:rPr>
          <w:i/>
          <w:sz w:val="20"/>
          <w:szCs w:val="20"/>
          <w:lang w:val="es-AR"/>
        </w:rPr>
      </w:pPr>
      <w:r w:rsidRPr="00EA7870">
        <w:rPr>
          <w:b/>
          <w:i/>
          <w:sz w:val="20"/>
          <w:szCs w:val="20"/>
          <w:lang w:val="es-AR"/>
        </w:rPr>
        <w:t>Selección</w:t>
      </w:r>
      <w:r w:rsidR="001A28B3" w:rsidRPr="00EA7870">
        <w:rPr>
          <w:b/>
          <w:i/>
          <w:sz w:val="20"/>
          <w:szCs w:val="20"/>
          <w:lang w:val="es-AR"/>
        </w:rPr>
        <w:t xml:space="preserve"> </w:t>
      </w:r>
      <w:r w:rsidRPr="00EA7870">
        <w:rPr>
          <w:b/>
          <w:i/>
          <w:sz w:val="20"/>
          <w:szCs w:val="20"/>
          <w:lang w:val="es-AR"/>
        </w:rPr>
        <w:t>y</w:t>
      </w:r>
      <w:r w:rsidR="001A28B3" w:rsidRPr="00EA7870">
        <w:rPr>
          <w:b/>
          <w:i/>
          <w:sz w:val="20"/>
          <w:szCs w:val="20"/>
          <w:lang w:val="es-AR"/>
        </w:rPr>
        <w:t xml:space="preserve"> </w:t>
      </w:r>
      <w:r w:rsidR="003A4A62" w:rsidRPr="00EA7870">
        <w:rPr>
          <w:b/>
          <w:i/>
          <w:sz w:val="20"/>
          <w:szCs w:val="20"/>
          <w:lang w:val="es-AR"/>
        </w:rPr>
        <w:t>Notificación</w:t>
      </w:r>
    </w:p>
    <w:p w14:paraId="3A030C9C" w14:textId="77777777" w:rsidR="00376725" w:rsidRPr="00EA7870" w:rsidRDefault="00376725" w:rsidP="00376725">
      <w:pPr>
        <w:tabs>
          <w:tab w:val="left" w:pos="0"/>
        </w:tabs>
        <w:jc w:val="both"/>
        <w:rPr>
          <w:sz w:val="20"/>
          <w:szCs w:val="20"/>
          <w:lang w:val="es-AR"/>
        </w:rPr>
      </w:pPr>
    </w:p>
    <w:p w14:paraId="22078667"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entregada</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10</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60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anteriores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w:t>
      </w:r>
      <w:r w:rsidRPr="00EA7870">
        <w:rPr>
          <w:i/>
          <w:sz w:val="20"/>
          <w:szCs w:val="20"/>
          <w:lang w:val="es-AR"/>
        </w:rPr>
        <w:t>—Rescate</w:t>
      </w:r>
      <w:r w:rsidR="001A28B3" w:rsidRPr="00EA7870">
        <w:rPr>
          <w:i/>
          <w:sz w:val="20"/>
          <w:szCs w:val="20"/>
          <w:lang w:val="es-AR"/>
        </w:rPr>
        <w:t xml:space="preserve"> </w:t>
      </w:r>
      <w:r w:rsidRPr="00EA7870">
        <w:rPr>
          <w:i/>
          <w:sz w:val="20"/>
          <w:szCs w:val="20"/>
          <w:lang w:val="es-AR"/>
        </w:rPr>
        <w:t>Optativo</w:t>
      </w:r>
      <w:r w:rsidR="001A28B3" w:rsidRPr="00EA7870">
        <w:rPr>
          <w:i/>
          <w:sz w:val="20"/>
          <w:szCs w:val="20"/>
          <w:lang w:val="es-AR"/>
        </w:rPr>
        <w:t xml:space="preserve"> </w:t>
      </w:r>
      <w:r w:rsidRPr="00EA7870">
        <w:rPr>
          <w:i/>
          <w:sz w:val="20"/>
          <w:szCs w:val="20"/>
          <w:lang w:val="es-AR"/>
        </w:rPr>
        <w:t>por</w:t>
      </w:r>
      <w:r w:rsidR="001A28B3" w:rsidRPr="00EA7870">
        <w:rPr>
          <w:i/>
          <w:sz w:val="20"/>
          <w:szCs w:val="20"/>
          <w:lang w:val="es-AR"/>
        </w:rPr>
        <w:t xml:space="preserve"> </w:t>
      </w:r>
      <w:r w:rsidRPr="00EA7870">
        <w:rPr>
          <w:i/>
          <w:sz w:val="20"/>
          <w:szCs w:val="20"/>
          <w:lang w:val="es-AR"/>
        </w:rPr>
        <w:t>Cuestiones</w:t>
      </w:r>
      <w:r w:rsidR="001A28B3" w:rsidRPr="00EA7870">
        <w:rPr>
          <w:i/>
          <w:sz w:val="20"/>
          <w:szCs w:val="20"/>
          <w:lang w:val="es-AR"/>
        </w:rPr>
        <w:t xml:space="preserve"> </w:t>
      </w:r>
      <w:r w:rsidRPr="00EA7870">
        <w:rPr>
          <w:i/>
          <w:sz w:val="20"/>
          <w:szCs w:val="20"/>
          <w:lang w:val="es-AR"/>
        </w:rPr>
        <w:t>Impositivas</w:t>
      </w:r>
      <w:r w:rsidRPr="00EA7870">
        <w:rPr>
          <w:sz w:val="20"/>
          <w:szCs w:val="20"/>
          <w:lang w:val="es-AR"/>
        </w:rPr>
        <w:t>”)</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copia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rescatadas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describe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w:t>
      </w:r>
      <w:r w:rsidRPr="00EA7870">
        <w:rPr>
          <w:i/>
          <w:sz w:val="20"/>
          <w:szCs w:val="20"/>
          <w:lang w:val="es-AR"/>
        </w:rPr>
        <w:t>—Notificaciones</w:t>
      </w:r>
      <w:r w:rsidRPr="00EA7870">
        <w:rPr>
          <w:sz w:val="20"/>
          <w:szCs w:val="20"/>
          <w:lang w:val="es-AR"/>
        </w:rPr>
        <w:t>”</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adelante.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enviada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cinco</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008E3D87" w:rsidRPr="00EA7870">
        <w:rPr>
          <w:sz w:val="20"/>
          <w:szCs w:val="20"/>
          <w:lang w:val="es-AR"/>
        </w:rPr>
        <w:t>hábiles</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entregada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15BBED12" w14:textId="77777777" w:rsidR="00376725" w:rsidRPr="00EA7870" w:rsidRDefault="00376725" w:rsidP="00376725">
      <w:pPr>
        <w:tabs>
          <w:tab w:val="left" w:pos="0"/>
        </w:tabs>
        <w:jc w:val="both"/>
        <w:rPr>
          <w:sz w:val="20"/>
          <w:szCs w:val="20"/>
          <w:lang w:val="es-AR"/>
        </w:rPr>
      </w:pPr>
    </w:p>
    <w:p w14:paraId="6582823C" w14:textId="77777777" w:rsidR="00376725" w:rsidRPr="00EA7870" w:rsidRDefault="00376725" w:rsidP="00376725">
      <w:pPr>
        <w:tabs>
          <w:tab w:val="left" w:pos="0"/>
        </w:tabs>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llamadas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vencerán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fijada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sujeción</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condiciones</w:t>
      </w:r>
      <w:r w:rsidR="001A28B3" w:rsidRPr="00EA7870">
        <w:rPr>
          <w:sz w:val="20"/>
          <w:szCs w:val="20"/>
          <w:lang w:val="es-AR"/>
        </w:rPr>
        <w:t xml:space="preserve"> </w:t>
      </w:r>
      <w:r w:rsidRPr="00EA7870">
        <w:rPr>
          <w:sz w:val="20"/>
          <w:szCs w:val="20"/>
          <w:lang w:val="es-AR"/>
        </w:rPr>
        <w:t>precedentes</w:t>
      </w:r>
      <w:r w:rsidR="001A28B3" w:rsidRPr="00EA7870">
        <w:rPr>
          <w:sz w:val="20"/>
          <w:szCs w:val="20"/>
          <w:lang w:val="es-AR"/>
        </w:rPr>
        <w:t xml:space="preserve"> </w:t>
      </w:r>
      <w:r w:rsidRPr="00EA7870">
        <w:rPr>
          <w:sz w:val="20"/>
          <w:szCs w:val="20"/>
          <w:lang w:val="es-AR"/>
        </w:rPr>
        <w:t>incluidas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pagará</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devengados</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impagos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ellas</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hasta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exclusive.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posteriormente,</w:t>
      </w:r>
      <w:r w:rsidR="001A28B3" w:rsidRPr="00EA7870">
        <w:rPr>
          <w:sz w:val="20"/>
          <w:szCs w:val="20"/>
          <w:lang w:val="es-AR"/>
        </w:rPr>
        <w:t xml:space="preserve"> </w:t>
      </w:r>
      <w:r w:rsidRPr="00EA7870">
        <w:rPr>
          <w:sz w:val="20"/>
          <w:szCs w:val="20"/>
          <w:lang w:val="es-AR"/>
        </w:rPr>
        <w:t>dejarán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devengarse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haya</w:t>
      </w:r>
      <w:r w:rsidR="001A28B3" w:rsidRPr="00EA7870">
        <w:rPr>
          <w:sz w:val="20"/>
          <w:szCs w:val="20"/>
          <w:lang w:val="es-AR"/>
        </w:rPr>
        <w:t xml:space="preserve"> </w:t>
      </w:r>
      <w:r w:rsidRPr="00EA7870">
        <w:rPr>
          <w:sz w:val="20"/>
          <w:szCs w:val="20"/>
          <w:lang w:val="es-AR"/>
        </w:rPr>
        <w:t>depositado</w:t>
      </w:r>
      <w:r w:rsidR="001A28B3" w:rsidRPr="00EA7870">
        <w:rPr>
          <w:sz w:val="20"/>
          <w:szCs w:val="20"/>
          <w:lang w:val="es-AR"/>
        </w:rPr>
        <w:t xml:space="preserve"> </w:t>
      </w:r>
      <w:r w:rsidRPr="00EA7870">
        <w:rPr>
          <w:sz w:val="20"/>
          <w:szCs w:val="20"/>
          <w:lang w:val="es-AR"/>
        </w:rPr>
        <w:t>fondos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cancelarán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rescatadas.</w:t>
      </w:r>
    </w:p>
    <w:p w14:paraId="5ACB2890" w14:textId="77777777" w:rsidR="00376725" w:rsidRPr="00EA7870" w:rsidRDefault="00376725" w:rsidP="00376725">
      <w:pPr>
        <w:tabs>
          <w:tab w:val="left" w:pos="0"/>
        </w:tabs>
        <w:jc w:val="both"/>
        <w:rPr>
          <w:sz w:val="20"/>
          <w:szCs w:val="20"/>
          <w:lang w:val="es-AR"/>
        </w:rPr>
      </w:pPr>
    </w:p>
    <w:p w14:paraId="3EE00450" w14:textId="77777777" w:rsidR="00376725" w:rsidRPr="00EA7870" w:rsidRDefault="00376725" w:rsidP="00376725">
      <w:pPr>
        <w:tabs>
          <w:tab w:val="left" w:pos="0"/>
        </w:tabs>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rescatarse</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totalidad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selección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efectuada,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permitido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mercados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valores,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sorteo,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manera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procedimientos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requerimientos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DTC,</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denominaciones</w:t>
      </w:r>
      <w:r w:rsidR="001A28B3" w:rsidRPr="00EA7870">
        <w:rPr>
          <w:sz w:val="20"/>
          <w:szCs w:val="20"/>
          <w:lang w:val="es-AR"/>
        </w:rPr>
        <w:t xml:space="preserve"> </w:t>
      </w:r>
      <w:r w:rsidRPr="00EA7870">
        <w:rPr>
          <w:sz w:val="20"/>
          <w:szCs w:val="20"/>
          <w:lang w:val="es-AR"/>
        </w:rPr>
        <w:t>mínimas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US$1.000</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múltiplos</w:t>
      </w:r>
      <w:r w:rsidR="001A28B3" w:rsidRPr="00EA7870">
        <w:rPr>
          <w:sz w:val="20"/>
          <w:szCs w:val="20"/>
          <w:lang w:val="es-AR"/>
        </w:rPr>
        <w:t xml:space="preserve"> </w:t>
      </w:r>
      <w:r w:rsidRPr="00EA7870">
        <w:rPr>
          <w:sz w:val="20"/>
          <w:szCs w:val="20"/>
          <w:lang w:val="es-AR"/>
        </w:rPr>
        <w:t>enteros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US$1.000</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denominaciones</w:t>
      </w:r>
      <w:r w:rsidR="001A28B3" w:rsidRPr="00EA7870">
        <w:rPr>
          <w:sz w:val="20"/>
          <w:szCs w:val="20"/>
          <w:lang w:val="es-AR"/>
        </w:rPr>
        <w:t xml:space="preserve"> </w:t>
      </w:r>
      <w:r w:rsidRPr="00EA7870">
        <w:rPr>
          <w:sz w:val="20"/>
          <w:szCs w:val="20"/>
          <w:lang w:val="es-AR"/>
        </w:rPr>
        <w:t>superiores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esa</w:t>
      </w:r>
      <w:r w:rsidR="001A28B3" w:rsidRPr="00EA7870">
        <w:rPr>
          <w:sz w:val="20"/>
          <w:szCs w:val="20"/>
          <w:lang w:val="es-AR"/>
        </w:rPr>
        <w:t xml:space="preserve"> </w:t>
      </w:r>
      <w:r w:rsidRPr="00EA7870">
        <w:rPr>
          <w:sz w:val="20"/>
          <w:szCs w:val="20"/>
          <w:lang w:val="es-AR"/>
        </w:rPr>
        <w:t>cifra.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emitidas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cartular,</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entrega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rescatada</w:t>
      </w:r>
      <w:r w:rsidR="001A28B3" w:rsidRPr="00EA7870">
        <w:rPr>
          <w:sz w:val="20"/>
          <w:szCs w:val="20"/>
          <w:lang w:val="es-AR"/>
        </w:rPr>
        <w:t xml:space="preserve"> </w:t>
      </w:r>
      <w:r w:rsidRPr="00EA7870">
        <w:rPr>
          <w:sz w:val="20"/>
          <w:szCs w:val="20"/>
          <w:lang w:val="es-AR"/>
        </w:rPr>
        <w:t>parcialmente,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recibirá</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porción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rescatada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entregada.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global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realizarán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ajustes</w:t>
      </w:r>
      <w:r w:rsidR="001A28B3" w:rsidRPr="00EA7870">
        <w:rPr>
          <w:sz w:val="20"/>
          <w:szCs w:val="20"/>
          <w:lang w:val="es-AR"/>
        </w:rPr>
        <w:t xml:space="preserve"> </w:t>
      </w:r>
      <w:r w:rsidRPr="00EA7870">
        <w:rPr>
          <w:sz w:val="20"/>
          <w:szCs w:val="20"/>
          <w:lang w:val="es-AR"/>
        </w:rPr>
        <w:t>correspondientes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participaciones</w:t>
      </w:r>
      <w:r w:rsidR="001A28B3" w:rsidRPr="00EA7870">
        <w:rPr>
          <w:sz w:val="20"/>
          <w:szCs w:val="20"/>
          <w:lang w:val="es-AR"/>
        </w:rPr>
        <w:t xml:space="preserve"> </w:t>
      </w:r>
      <w:r w:rsidRPr="00EA7870">
        <w:rPr>
          <w:sz w:val="20"/>
          <w:szCs w:val="20"/>
          <w:lang w:val="es-AR"/>
        </w:rPr>
        <w:t>beneficiarias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global,</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necesario.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criterio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estar</w:t>
      </w:r>
      <w:r w:rsidR="001A28B3" w:rsidRPr="00EA7870">
        <w:rPr>
          <w:sz w:val="20"/>
          <w:szCs w:val="20"/>
          <w:lang w:val="es-AR"/>
        </w:rPr>
        <w:t xml:space="preserve"> </w:t>
      </w:r>
      <w:r w:rsidRPr="00EA7870">
        <w:rPr>
          <w:sz w:val="20"/>
          <w:szCs w:val="20"/>
          <w:lang w:val="es-AR"/>
        </w:rPr>
        <w:t>sujeta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satisfacción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condiciones</w:t>
      </w:r>
      <w:r w:rsidR="001A28B3" w:rsidRPr="00EA7870">
        <w:rPr>
          <w:sz w:val="20"/>
          <w:szCs w:val="20"/>
          <w:lang w:val="es-AR"/>
        </w:rPr>
        <w:t xml:space="preserve"> </w:t>
      </w:r>
      <w:r w:rsidRPr="00EA7870">
        <w:rPr>
          <w:sz w:val="20"/>
          <w:szCs w:val="20"/>
          <w:lang w:val="es-AR"/>
        </w:rPr>
        <w:t>precedentes.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llamadas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vencen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son</w:t>
      </w:r>
      <w:r w:rsidR="001A28B3" w:rsidRPr="00EA7870">
        <w:rPr>
          <w:sz w:val="20"/>
          <w:szCs w:val="20"/>
          <w:lang w:val="es-AR"/>
        </w:rPr>
        <w:t xml:space="preserve"> </w:t>
      </w:r>
      <w:r w:rsidRPr="00EA7870">
        <w:rPr>
          <w:sz w:val="20"/>
          <w:szCs w:val="20"/>
          <w:lang w:val="es-AR"/>
        </w:rPr>
        <w:t>pagaderas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(sujeto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toda</w:t>
      </w:r>
      <w:r w:rsidR="001A28B3" w:rsidRPr="00EA7870">
        <w:rPr>
          <w:sz w:val="20"/>
          <w:szCs w:val="20"/>
          <w:lang w:val="es-AR"/>
        </w:rPr>
        <w:t xml:space="preserve"> </w:t>
      </w:r>
      <w:r w:rsidRPr="00EA7870">
        <w:rPr>
          <w:sz w:val="20"/>
          <w:szCs w:val="20"/>
          <w:lang w:val="es-AR"/>
        </w:rPr>
        <w:t>condición</w:t>
      </w:r>
      <w:r w:rsidR="001A28B3" w:rsidRPr="00EA7870">
        <w:rPr>
          <w:sz w:val="20"/>
          <w:szCs w:val="20"/>
          <w:lang w:val="es-AR"/>
        </w:rPr>
        <w:t xml:space="preserve"> </w:t>
      </w:r>
      <w:r w:rsidRPr="00EA7870">
        <w:rPr>
          <w:sz w:val="20"/>
          <w:szCs w:val="20"/>
          <w:lang w:val="es-AR"/>
        </w:rPr>
        <w:t>precedente</w:t>
      </w:r>
      <w:r w:rsidR="001A28B3" w:rsidRPr="00EA7870">
        <w:rPr>
          <w:sz w:val="20"/>
          <w:szCs w:val="20"/>
          <w:lang w:val="es-AR"/>
        </w:rPr>
        <w:t xml:space="preserve"> </w:t>
      </w:r>
      <w:r w:rsidRPr="00EA7870">
        <w:rPr>
          <w:sz w:val="20"/>
          <w:szCs w:val="20"/>
          <w:lang w:val="es-AR"/>
        </w:rPr>
        <w:t>incluida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partir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rescatadas</w:t>
      </w:r>
      <w:r w:rsidR="001A28B3" w:rsidRPr="00EA7870">
        <w:rPr>
          <w:sz w:val="20"/>
          <w:szCs w:val="20"/>
          <w:lang w:val="es-AR"/>
        </w:rPr>
        <w:t xml:space="preserve"> </w:t>
      </w:r>
      <w:r w:rsidRPr="00EA7870">
        <w:rPr>
          <w:sz w:val="20"/>
          <w:szCs w:val="20"/>
          <w:lang w:val="es-AR"/>
        </w:rPr>
        <w:t>dejarán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devengar</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incumpla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p>
    <w:p w14:paraId="33124F66" w14:textId="77777777" w:rsidR="00376725" w:rsidRPr="00EA7870" w:rsidRDefault="00376725" w:rsidP="00376725">
      <w:pPr>
        <w:tabs>
          <w:tab w:val="left" w:pos="0"/>
        </w:tabs>
        <w:jc w:val="both"/>
        <w:rPr>
          <w:sz w:val="20"/>
          <w:szCs w:val="20"/>
          <w:lang w:val="es-AR"/>
        </w:rPr>
      </w:pPr>
    </w:p>
    <w:p w14:paraId="607CC9D4" w14:textId="77777777" w:rsidR="00376725" w:rsidRPr="00EA7870" w:rsidRDefault="00376725" w:rsidP="00376725">
      <w:pPr>
        <w:tabs>
          <w:tab w:val="left" w:pos="0"/>
        </w:tabs>
        <w:jc w:val="both"/>
        <w:rPr>
          <w:b/>
          <w:i/>
          <w:sz w:val="20"/>
          <w:szCs w:val="20"/>
          <w:lang w:val="es-AR"/>
        </w:rPr>
      </w:pPr>
      <w:r w:rsidRPr="00EA7870">
        <w:rPr>
          <w:b/>
          <w:i/>
          <w:sz w:val="20"/>
          <w:szCs w:val="20"/>
          <w:lang w:val="es-AR"/>
        </w:rPr>
        <w:t>Mercado</w:t>
      </w:r>
      <w:r w:rsidR="001A28B3" w:rsidRPr="00EA7870">
        <w:rPr>
          <w:b/>
          <w:i/>
          <w:sz w:val="20"/>
          <w:szCs w:val="20"/>
          <w:lang w:val="es-AR"/>
        </w:rPr>
        <w:t xml:space="preserve"> </w:t>
      </w:r>
      <w:r w:rsidRPr="00EA7870">
        <w:rPr>
          <w:b/>
          <w:i/>
          <w:sz w:val="20"/>
          <w:szCs w:val="20"/>
          <w:lang w:val="es-AR"/>
        </w:rPr>
        <w:t>y</w:t>
      </w:r>
      <w:r w:rsidR="001A28B3" w:rsidRPr="00EA7870">
        <w:rPr>
          <w:b/>
          <w:i/>
          <w:sz w:val="20"/>
          <w:szCs w:val="20"/>
          <w:lang w:val="es-AR"/>
        </w:rPr>
        <w:t xml:space="preserve"> </w:t>
      </w:r>
      <w:r w:rsidRPr="00EA7870">
        <w:rPr>
          <w:b/>
          <w:i/>
          <w:sz w:val="20"/>
          <w:szCs w:val="20"/>
          <w:lang w:val="es-AR"/>
        </w:rPr>
        <w:t>otras</w:t>
      </w:r>
      <w:r w:rsidR="001A28B3" w:rsidRPr="00EA7870">
        <w:rPr>
          <w:b/>
          <w:i/>
          <w:sz w:val="20"/>
          <w:szCs w:val="20"/>
          <w:lang w:val="es-AR"/>
        </w:rPr>
        <w:t xml:space="preserve"> </w:t>
      </w:r>
      <w:r w:rsidRPr="00EA7870">
        <w:rPr>
          <w:b/>
          <w:i/>
          <w:sz w:val="20"/>
          <w:szCs w:val="20"/>
          <w:lang w:val="es-AR"/>
        </w:rPr>
        <w:t>compras</w:t>
      </w:r>
    </w:p>
    <w:p w14:paraId="2E57B8B0" w14:textId="77777777" w:rsidR="00376725" w:rsidRPr="00EA7870" w:rsidRDefault="00376725" w:rsidP="00376725">
      <w:pPr>
        <w:tabs>
          <w:tab w:val="left" w:pos="0"/>
        </w:tabs>
        <w:jc w:val="both"/>
        <w:rPr>
          <w:sz w:val="20"/>
          <w:szCs w:val="20"/>
          <w:lang w:val="es-AR"/>
        </w:rPr>
      </w:pPr>
    </w:p>
    <w:p w14:paraId="7654F646"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adquirir</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través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anteriores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medio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ya</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compras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abierto,</w:t>
      </w:r>
      <w:r w:rsidR="001A28B3" w:rsidRPr="00EA7870">
        <w:rPr>
          <w:sz w:val="20"/>
          <w:szCs w:val="20"/>
          <w:lang w:val="es-AR"/>
        </w:rPr>
        <w:t xml:space="preserve"> </w:t>
      </w:r>
      <w:r w:rsidRPr="00EA7870">
        <w:rPr>
          <w:sz w:val="20"/>
          <w:szCs w:val="20"/>
          <w:lang w:val="es-AR"/>
        </w:rPr>
        <w:t>operaciones</w:t>
      </w:r>
      <w:r w:rsidR="001A28B3" w:rsidRPr="00EA7870">
        <w:rPr>
          <w:sz w:val="20"/>
          <w:szCs w:val="20"/>
          <w:lang w:val="es-AR"/>
        </w:rPr>
        <w:t xml:space="preserve"> </w:t>
      </w:r>
      <w:r w:rsidRPr="00EA7870">
        <w:rPr>
          <w:sz w:val="20"/>
          <w:szCs w:val="20"/>
          <w:lang w:val="es-AR"/>
        </w:rPr>
        <w:t>negociadas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valores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adquisición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aparte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3478E06E" w14:textId="77777777" w:rsidR="00376725" w:rsidRPr="00EA7870" w:rsidRDefault="00376725" w:rsidP="00376725">
      <w:pPr>
        <w:tabs>
          <w:tab w:val="left" w:pos="0"/>
        </w:tabs>
        <w:jc w:val="both"/>
        <w:rPr>
          <w:sz w:val="20"/>
          <w:szCs w:val="20"/>
          <w:lang w:val="es-AR"/>
        </w:rPr>
      </w:pPr>
    </w:p>
    <w:p w14:paraId="1C469F53" w14:textId="77777777" w:rsidR="00376725" w:rsidRPr="00EA7870" w:rsidRDefault="00376725" w:rsidP="00376725">
      <w:pPr>
        <w:tabs>
          <w:tab w:val="left" w:pos="0"/>
        </w:tabs>
        <w:jc w:val="both"/>
        <w:rPr>
          <w:b/>
          <w:sz w:val="20"/>
          <w:szCs w:val="20"/>
          <w:lang w:val="es-AR"/>
        </w:rPr>
      </w:pPr>
      <w:r w:rsidRPr="00EA7870">
        <w:rPr>
          <w:b/>
          <w:sz w:val="20"/>
          <w:szCs w:val="20"/>
          <w:lang w:val="es-AR"/>
        </w:rPr>
        <w:t>Suspensión</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ciertos</w:t>
      </w:r>
      <w:r w:rsidR="001A28B3" w:rsidRPr="00EA7870">
        <w:rPr>
          <w:b/>
          <w:sz w:val="20"/>
          <w:szCs w:val="20"/>
          <w:lang w:val="es-AR"/>
        </w:rPr>
        <w:t xml:space="preserve"> </w:t>
      </w:r>
      <w:r w:rsidR="00A30D74" w:rsidRPr="00EA7870">
        <w:rPr>
          <w:b/>
          <w:sz w:val="20"/>
          <w:szCs w:val="20"/>
          <w:lang w:val="es-AR"/>
        </w:rPr>
        <w:t>Compromisos</w:t>
      </w:r>
    </w:p>
    <w:p w14:paraId="5C5AF1F1" w14:textId="77777777" w:rsidR="00376725" w:rsidRPr="00EA7870" w:rsidRDefault="00376725" w:rsidP="00376725">
      <w:pPr>
        <w:tabs>
          <w:tab w:val="left" w:pos="0"/>
        </w:tabs>
        <w:jc w:val="both"/>
        <w:rPr>
          <w:sz w:val="20"/>
          <w:szCs w:val="20"/>
          <w:lang w:val="es-AR"/>
        </w:rPr>
      </w:pPr>
    </w:p>
    <w:p w14:paraId="28008CA2" w14:textId="1E83D87C" w:rsidR="00376725" w:rsidRPr="00EA7870" w:rsidRDefault="00376725" w:rsidP="00376725">
      <w:pPr>
        <w:tabs>
          <w:tab w:val="left" w:pos="0"/>
        </w:tabs>
        <w:jc w:val="both"/>
        <w:rPr>
          <w:sz w:val="20"/>
          <w:szCs w:val="20"/>
          <w:lang w:val="es-AR"/>
        </w:rPr>
      </w:pPr>
      <w:r w:rsidRPr="00EA7870">
        <w:rPr>
          <w:sz w:val="20"/>
          <w:szCs w:val="20"/>
          <w:lang w:val="es-AR"/>
        </w:rPr>
        <w:t>Si</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posterior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00A30D74" w:rsidRPr="00EA7870">
        <w:rPr>
          <w:sz w:val="20"/>
          <w:szCs w:val="20"/>
          <w:lang w:val="es-AR"/>
        </w:rPr>
        <w:t>y</w:t>
      </w:r>
      <w:r w:rsidR="001A28B3" w:rsidRPr="00EA7870">
        <w:rPr>
          <w:sz w:val="20"/>
          <w:szCs w:val="20"/>
          <w:lang w:val="es-AR"/>
        </w:rPr>
        <w:t xml:space="preserve"> </w:t>
      </w:r>
      <w:r w:rsidR="00A30D74" w:rsidRPr="00EA7870">
        <w:rPr>
          <w:sz w:val="20"/>
          <w:szCs w:val="20"/>
          <w:lang w:val="es-AR"/>
        </w:rPr>
        <w:t>Liquidación</w:t>
      </w:r>
      <w:r w:rsidRPr="00EA7870">
        <w:rPr>
          <w:sz w:val="20"/>
          <w:szCs w:val="20"/>
          <w:lang w:val="es-AR"/>
        </w:rPr>
        <w:t>:</w:t>
      </w:r>
    </w:p>
    <w:p w14:paraId="381FF3C6" w14:textId="77777777" w:rsidR="00376725" w:rsidRPr="00EA7870" w:rsidRDefault="00376725" w:rsidP="00376725">
      <w:pPr>
        <w:tabs>
          <w:tab w:val="left" w:pos="0"/>
        </w:tabs>
        <w:jc w:val="both"/>
        <w:rPr>
          <w:sz w:val="20"/>
          <w:szCs w:val="20"/>
          <w:lang w:val="es-AR"/>
        </w:rPr>
      </w:pPr>
    </w:p>
    <w:p w14:paraId="3CD7D35D" w14:textId="77777777" w:rsidR="00376725" w:rsidRPr="00EA7870" w:rsidRDefault="00376725" w:rsidP="00376725">
      <w:pPr>
        <w:tabs>
          <w:tab w:val="left" w:pos="0"/>
        </w:tabs>
        <w:jc w:val="both"/>
        <w:rPr>
          <w:sz w:val="20"/>
          <w:szCs w:val="20"/>
          <w:lang w:val="es-AR"/>
        </w:rPr>
      </w:pPr>
      <w:r w:rsidRPr="00EA7870">
        <w:rPr>
          <w:sz w:val="20"/>
          <w:szCs w:val="20"/>
          <w:lang w:val="es-AR"/>
        </w:rPr>
        <w:t>(x)</w:t>
      </w:r>
      <w:r w:rsidR="001A28B3" w:rsidRPr="00EA7870">
        <w:rPr>
          <w:sz w:val="20"/>
          <w:szCs w:val="20"/>
          <w:lang w:val="es-AR"/>
        </w:rPr>
        <w:t xml:space="preserve"> </w:t>
      </w:r>
      <w:r w:rsidR="0054642B" w:rsidRPr="00EA7870">
        <w:rPr>
          <w:sz w:val="20"/>
          <w:szCs w:val="20"/>
          <w:lang w:val="es-AR"/>
        </w:rPr>
        <w:t>se</w:t>
      </w:r>
      <w:r w:rsidR="001A28B3" w:rsidRPr="00EA7870">
        <w:rPr>
          <w:sz w:val="20"/>
          <w:szCs w:val="20"/>
          <w:lang w:val="es-AR"/>
        </w:rPr>
        <w:t xml:space="preserve"> </w:t>
      </w:r>
      <w:r w:rsidR="0054642B" w:rsidRPr="00EA7870">
        <w:rPr>
          <w:sz w:val="20"/>
          <w:szCs w:val="20"/>
          <w:lang w:val="es-AR"/>
        </w:rPr>
        <w:t>le</w:t>
      </w:r>
      <w:r w:rsidR="001A28B3" w:rsidRPr="00EA7870">
        <w:rPr>
          <w:sz w:val="20"/>
          <w:szCs w:val="20"/>
          <w:lang w:val="es-AR"/>
        </w:rPr>
        <w:t xml:space="preserve"> </w:t>
      </w:r>
      <w:r w:rsidR="0054642B" w:rsidRPr="00EA7870">
        <w:rPr>
          <w:sz w:val="20"/>
          <w:szCs w:val="20"/>
          <w:lang w:val="es-AR"/>
        </w:rPr>
        <w:t>asignara</w:t>
      </w:r>
      <w:r w:rsidR="001A28B3" w:rsidRPr="00EA7870">
        <w:rPr>
          <w:sz w:val="20"/>
          <w:szCs w:val="20"/>
          <w:lang w:val="es-AR"/>
        </w:rPr>
        <w:t xml:space="preserve"> </w:t>
      </w:r>
      <w:r w:rsidR="0054642B"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0054642B" w:rsidRPr="00EA7870">
        <w:rPr>
          <w:sz w:val="20"/>
          <w:szCs w:val="20"/>
          <w:lang w:val="es-AR"/>
        </w:rPr>
        <w:t>C</w:t>
      </w:r>
      <w:r w:rsidRPr="00EA7870">
        <w:rPr>
          <w:sz w:val="20"/>
          <w:szCs w:val="20"/>
          <w:lang w:val="es-AR"/>
        </w:rPr>
        <w:t>alificación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54642B" w:rsidRPr="00EA7870">
        <w:rPr>
          <w:sz w:val="20"/>
          <w:szCs w:val="20"/>
          <w:lang w:val="es-AR"/>
        </w:rPr>
        <w:t>G</w:t>
      </w:r>
      <w:r w:rsidRPr="00EA7870">
        <w:rPr>
          <w:sz w:val="20"/>
          <w:szCs w:val="20"/>
          <w:lang w:val="es-AR"/>
        </w:rPr>
        <w:t>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54642B" w:rsidRPr="00EA7870">
        <w:rPr>
          <w:sz w:val="20"/>
          <w:szCs w:val="20"/>
          <w:lang w:val="es-AR"/>
        </w:rPr>
        <w:t>I</w:t>
      </w:r>
      <w:r w:rsidRPr="00EA7870">
        <w:rPr>
          <w:sz w:val="20"/>
          <w:szCs w:val="20"/>
          <w:lang w:val="es-AR"/>
        </w:rPr>
        <w:t>nversión</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decir,</w:t>
      </w:r>
      <w:r w:rsidR="001A28B3" w:rsidRPr="00EA7870">
        <w:rPr>
          <w:sz w:val="20"/>
          <w:szCs w:val="20"/>
          <w:lang w:val="es-AR"/>
        </w:rPr>
        <w:t xml:space="preserve"> </w:t>
      </w:r>
      <w:r w:rsidRPr="00EA7870">
        <w:rPr>
          <w:sz w:val="20"/>
          <w:szCs w:val="20"/>
          <w:lang w:val="es-AR"/>
        </w:rPr>
        <w:t>fueran</w:t>
      </w:r>
      <w:r w:rsidR="001A28B3" w:rsidRPr="00EA7870">
        <w:rPr>
          <w:sz w:val="20"/>
          <w:szCs w:val="20"/>
          <w:lang w:val="es-AR"/>
        </w:rPr>
        <w:t xml:space="preserve"> </w:t>
      </w:r>
      <w:r w:rsidRPr="00EA7870">
        <w:rPr>
          <w:sz w:val="20"/>
          <w:szCs w:val="20"/>
          <w:lang w:val="es-AR"/>
        </w:rPr>
        <w:t>consideradas</w:t>
      </w:r>
      <w:r w:rsidR="001A28B3" w:rsidRPr="00EA7870">
        <w:rPr>
          <w:sz w:val="20"/>
          <w:szCs w:val="20"/>
          <w:lang w:val="es-AR"/>
        </w:rPr>
        <w:t xml:space="preserve"> </w:t>
      </w:r>
      <w:r w:rsidRPr="00EA7870">
        <w:rPr>
          <w:sz w:val="20"/>
          <w:szCs w:val="20"/>
          <w:lang w:val="es-AR"/>
        </w:rPr>
        <w:t>inversiones)</w:t>
      </w:r>
      <w:r w:rsidR="001A28B3" w:rsidRPr="00EA7870">
        <w:rPr>
          <w:sz w:val="20"/>
          <w:szCs w:val="20"/>
          <w:lang w:val="es-AR"/>
        </w:rPr>
        <w:t xml:space="preserve"> </w:t>
      </w:r>
      <w:r w:rsidRPr="00EA7870">
        <w:rPr>
          <w:sz w:val="20"/>
          <w:szCs w:val="20"/>
          <w:lang w:val="es-AR"/>
        </w:rPr>
        <w:t>otorgada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dos</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Calificadoras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Riesgo;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p>
    <w:p w14:paraId="3ED467DC" w14:textId="77777777" w:rsidR="00376725" w:rsidRPr="00EA7870" w:rsidRDefault="00376725" w:rsidP="00376725">
      <w:pPr>
        <w:tabs>
          <w:tab w:val="left" w:pos="0"/>
        </w:tabs>
        <w:jc w:val="both"/>
        <w:rPr>
          <w:sz w:val="20"/>
          <w:szCs w:val="20"/>
          <w:lang w:val="es-AR"/>
        </w:rPr>
      </w:pPr>
    </w:p>
    <w:p w14:paraId="75A12AED" w14:textId="77777777" w:rsidR="00376725" w:rsidRPr="00EA7870" w:rsidRDefault="00376725" w:rsidP="00376725">
      <w:pPr>
        <w:tabs>
          <w:tab w:val="left" w:pos="0"/>
        </w:tabs>
        <w:jc w:val="both"/>
        <w:rPr>
          <w:sz w:val="20"/>
          <w:szCs w:val="20"/>
          <w:lang w:val="es-AR"/>
        </w:rPr>
      </w:pPr>
      <w:r w:rsidRPr="00EA7870">
        <w:rPr>
          <w:sz w:val="20"/>
          <w:szCs w:val="20"/>
          <w:lang w:val="es-AR"/>
        </w:rPr>
        <w:t>(y)</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ocurrido</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estuviera</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p>
    <w:p w14:paraId="42F8B54B" w14:textId="77777777" w:rsidR="00376725" w:rsidRPr="00EA7870" w:rsidRDefault="00376725" w:rsidP="00376725">
      <w:pPr>
        <w:tabs>
          <w:tab w:val="left" w:pos="0"/>
        </w:tabs>
        <w:jc w:val="both"/>
        <w:rPr>
          <w:sz w:val="20"/>
          <w:szCs w:val="20"/>
          <w:lang w:val="es-AR"/>
        </w:rPr>
      </w:pPr>
    </w:p>
    <w:p w14:paraId="5A4FC700" w14:textId="77777777" w:rsidR="00376725" w:rsidRPr="00EA7870" w:rsidRDefault="001A28B3" w:rsidP="00376725">
      <w:pPr>
        <w:tabs>
          <w:tab w:val="left" w:pos="0"/>
        </w:tabs>
        <w:jc w:val="both"/>
        <w:rPr>
          <w:sz w:val="20"/>
          <w:szCs w:val="20"/>
        </w:rPr>
      </w:pP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partir</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esa</w:t>
      </w:r>
      <w:r w:rsidRPr="00EA7870">
        <w:rPr>
          <w:sz w:val="20"/>
          <w:szCs w:val="20"/>
          <w:lang w:val="es-AR"/>
        </w:rPr>
        <w:t xml:space="preserve"> </w:t>
      </w:r>
      <w:r w:rsidR="00376725" w:rsidRPr="00EA7870">
        <w:rPr>
          <w:sz w:val="20"/>
          <w:szCs w:val="20"/>
          <w:lang w:val="es-AR"/>
        </w:rPr>
        <w:t>fecha</w:t>
      </w:r>
      <w:r w:rsidRPr="00EA7870">
        <w:rPr>
          <w:sz w:val="20"/>
          <w:szCs w:val="20"/>
          <w:lang w:val="es-AR"/>
        </w:rPr>
        <w:t xml:space="preserve"> </w:t>
      </w:r>
      <w:r w:rsidR="00376725" w:rsidRPr="00EA7870">
        <w:rPr>
          <w:sz w:val="20"/>
          <w:szCs w:val="20"/>
          <w:lang w:val="es-AR"/>
        </w:rPr>
        <w:t>y</w:t>
      </w:r>
      <w:r w:rsidRPr="00EA7870">
        <w:rPr>
          <w:sz w:val="20"/>
          <w:szCs w:val="20"/>
          <w:lang w:val="es-AR"/>
        </w:rPr>
        <w:t xml:space="preserve"> </w:t>
      </w:r>
      <w:r w:rsidR="00376725" w:rsidRPr="00EA7870">
        <w:rPr>
          <w:sz w:val="20"/>
          <w:szCs w:val="20"/>
          <w:lang w:val="es-AR"/>
        </w:rPr>
        <w:t>con</w:t>
      </w:r>
      <w:r w:rsidRPr="00EA7870">
        <w:rPr>
          <w:sz w:val="20"/>
          <w:szCs w:val="20"/>
          <w:lang w:val="es-AR"/>
        </w:rPr>
        <w:t xml:space="preserve"> </w:t>
      </w:r>
      <w:r w:rsidR="00376725" w:rsidRPr="00EA7870">
        <w:rPr>
          <w:sz w:val="20"/>
          <w:szCs w:val="20"/>
          <w:lang w:val="es-AR"/>
        </w:rPr>
        <w:t>sujeción</w:t>
      </w: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las</w:t>
      </w:r>
      <w:r w:rsidRPr="00EA7870">
        <w:rPr>
          <w:sz w:val="20"/>
          <w:szCs w:val="20"/>
          <w:lang w:val="es-AR"/>
        </w:rPr>
        <w:t xml:space="preserve"> </w:t>
      </w:r>
      <w:r w:rsidR="00376725" w:rsidRPr="00EA7870">
        <w:rPr>
          <w:sz w:val="20"/>
          <w:szCs w:val="20"/>
          <w:lang w:val="es-AR"/>
        </w:rPr>
        <w:t>disposiciones</w:t>
      </w:r>
      <w:r w:rsidRPr="00EA7870">
        <w:rPr>
          <w:sz w:val="20"/>
          <w:szCs w:val="20"/>
          <w:lang w:val="es-AR"/>
        </w:rPr>
        <w:t xml:space="preserve"> </w:t>
      </w:r>
      <w:r w:rsidR="00376725" w:rsidRPr="00EA7870">
        <w:rPr>
          <w:sz w:val="20"/>
          <w:szCs w:val="20"/>
          <w:lang w:val="es-AR"/>
        </w:rPr>
        <w:t>del</w:t>
      </w:r>
      <w:r w:rsidRPr="00EA7870">
        <w:rPr>
          <w:sz w:val="20"/>
          <w:szCs w:val="20"/>
          <w:lang w:val="es-AR"/>
        </w:rPr>
        <w:t xml:space="preserve"> </w:t>
      </w:r>
      <w:r w:rsidR="00376725" w:rsidRPr="00EA7870">
        <w:rPr>
          <w:sz w:val="20"/>
          <w:szCs w:val="20"/>
          <w:lang w:val="es-AR"/>
        </w:rPr>
        <w:t>párrafo</w:t>
      </w:r>
      <w:r w:rsidRPr="00EA7870">
        <w:rPr>
          <w:sz w:val="20"/>
          <w:szCs w:val="20"/>
          <w:lang w:val="es-AR"/>
        </w:rPr>
        <w:t xml:space="preserve"> </w:t>
      </w:r>
      <w:r w:rsidR="00376725" w:rsidRPr="00EA7870">
        <w:rPr>
          <w:sz w:val="20"/>
          <w:szCs w:val="20"/>
          <w:lang w:val="es-AR"/>
        </w:rPr>
        <w:t>siguiente,</w:t>
      </w:r>
      <w:r w:rsidRPr="00EA7870">
        <w:rPr>
          <w:sz w:val="20"/>
          <w:szCs w:val="20"/>
          <w:lang w:val="es-AR"/>
        </w:rPr>
        <w:t xml:space="preserve"> </w:t>
      </w:r>
      <w:r w:rsidR="00376725" w:rsidRPr="00EA7870">
        <w:rPr>
          <w:sz w:val="20"/>
          <w:szCs w:val="20"/>
          <w:lang w:val="es-AR"/>
        </w:rPr>
        <w:t>los</w:t>
      </w:r>
      <w:r w:rsidRPr="00EA7870">
        <w:rPr>
          <w:sz w:val="20"/>
          <w:szCs w:val="20"/>
          <w:lang w:val="es-AR"/>
        </w:rPr>
        <w:t xml:space="preserve"> </w:t>
      </w:r>
      <w:r w:rsidR="00376725" w:rsidRPr="00EA7870">
        <w:rPr>
          <w:sz w:val="20"/>
          <w:szCs w:val="20"/>
          <w:lang w:val="es-AR"/>
        </w:rPr>
        <w:t>compromisos</w:t>
      </w:r>
      <w:r w:rsidRPr="00EA7870">
        <w:rPr>
          <w:sz w:val="20"/>
          <w:szCs w:val="20"/>
          <w:lang w:val="es-AR"/>
        </w:rPr>
        <w:t xml:space="preserve"> </w:t>
      </w:r>
      <w:r w:rsidR="00376725" w:rsidRPr="00EA7870">
        <w:rPr>
          <w:sz w:val="20"/>
          <w:szCs w:val="20"/>
          <w:lang w:val="es-AR"/>
        </w:rPr>
        <w:t>detallados</w:t>
      </w:r>
      <w:r w:rsidRPr="00EA7870">
        <w:rPr>
          <w:sz w:val="20"/>
          <w:szCs w:val="20"/>
          <w:lang w:val="es-AR"/>
        </w:rPr>
        <w:t xml:space="preserve"> </w:t>
      </w:r>
      <w:r w:rsidR="00376725" w:rsidRPr="00EA7870">
        <w:rPr>
          <w:sz w:val="20"/>
          <w:szCs w:val="20"/>
          <w:lang w:val="es-AR"/>
        </w:rPr>
        <w:t>en</w:t>
      </w:r>
      <w:r w:rsidRPr="00EA7870">
        <w:rPr>
          <w:sz w:val="20"/>
          <w:szCs w:val="20"/>
          <w:lang w:val="es-AR"/>
        </w:rPr>
        <w:t xml:space="preserve"> </w:t>
      </w:r>
      <w:r w:rsidR="00376725" w:rsidRPr="00EA7870">
        <w:rPr>
          <w:sz w:val="20"/>
          <w:szCs w:val="20"/>
          <w:lang w:val="es-AR"/>
        </w:rPr>
        <w:t>la</w:t>
      </w:r>
      <w:r w:rsidRPr="00EA7870">
        <w:rPr>
          <w:sz w:val="20"/>
          <w:szCs w:val="20"/>
          <w:lang w:val="es-AR"/>
        </w:rPr>
        <w:t xml:space="preserve"> </w:t>
      </w:r>
      <w:r w:rsidR="00376725" w:rsidRPr="00EA7870">
        <w:rPr>
          <w:sz w:val="20"/>
          <w:szCs w:val="20"/>
          <w:lang w:val="es-AR"/>
        </w:rPr>
        <w:t>oración</w:t>
      </w: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continuación</w:t>
      </w:r>
      <w:r w:rsidRPr="00EA7870">
        <w:rPr>
          <w:sz w:val="20"/>
          <w:szCs w:val="20"/>
          <w:lang w:val="es-AR"/>
        </w:rPr>
        <w:t xml:space="preserve"> </w:t>
      </w:r>
      <w:r w:rsidR="00376725" w:rsidRPr="00EA7870">
        <w:rPr>
          <w:sz w:val="20"/>
          <w:szCs w:val="20"/>
          <w:lang w:val="es-AR"/>
        </w:rPr>
        <w:t>(los</w:t>
      </w:r>
      <w:r w:rsidRPr="00EA7870">
        <w:rPr>
          <w:sz w:val="20"/>
          <w:szCs w:val="20"/>
          <w:lang w:val="es-AR"/>
        </w:rPr>
        <w:t xml:space="preserve"> </w:t>
      </w:r>
      <w:r w:rsidR="00376725" w:rsidRPr="00EA7870">
        <w:rPr>
          <w:sz w:val="20"/>
          <w:szCs w:val="20"/>
          <w:lang w:val="es-AR"/>
        </w:rPr>
        <w:t>“</w:t>
      </w:r>
      <w:r w:rsidR="00376725" w:rsidRPr="00EA7870">
        <w:rPr>
          <w:b/>
          <w:sz w:val="20"/>
          <w:szCs w:val="20"/>
          <w:lang w:val="es-AR"/>
        </w:rPr>
        <w:t>Compromisos</w:t>
      </w:r>
      <w:r w:rsidRPr="00EA7870">
        <w:rPr>
          <w:b/>
          <w:sz w:val="20"/>
          <w:szCs w:val="20"/>
          <w:lang w:val="es-AR"/>
        </w:rPr>
        <w:t xml:space="preserve"> </w:t>
      </w:r>
      <w:r w:rsidR="00376725" w:rsidRPr="00EA7870">
        <w:rPr>
          <w:b/>
          <w:sz w:val="20"/>
          <w:szCs w:val="20"/>
          <w:lang w:val="es-AR"/>
        </w:rPr>
        <w:t>Suspendidos</w:t>
      </w:r>
      <w:r w:rsidR="00376725" w:rsidRPr="00EA7870">
        <w:rPr>
          <w:sz w:val="20"/>
          <w:szCs w:val="20"/>
          <w:lang w:val="es-AR"/>
        </w:rPr>
        <w:t>”)</w:t>
      </w:r>
      <w:r w:rsidRPr="00EA7870">
        <w:rPr>
          <w:sz w:val="20"/>
          <w:szCs w:val="20"/>
          <w:lang w:val="es-AR"/>
        </w:rPr>
        <w:t xml:space="preserve"> </w:t>
      </w:r>
      <w:r w:rsidR="00376725" w:rsidRPr="00EA7870">
        <w:rPr>
          <w:sz w:val="20"/>
          <w:szCs w:val="20"/>
          <w:lang w:val="es-AR"/>
        </w:rPr>
        <w:t>quedarán</w:t>
      </w:r>
      <w:r w:rsidRPr="00EA7870">
        <w:rPr>
          <w:sz w:val="20"/>
          <w:szCs w:val="20"/>
          <w:lang w:val="es-AR"/>
        </w:rPr>
        <w:t xml:space="preserve"> </w:t>
      </w:r>
      <w:r w:rsidR="00376725" w:rsidRPr="00EA7870">
        <w:rPr>
          <w:sz w:val="20"/>
          <w:szCs w:val="20"/>
          <w:lang w:val="es-AR"/>
        </w:rPr>
        <w:t>suspendidos</w:t>
      </w:r>
      <w:r w:rsidRPr="00EA7870">
        <w:rPr>
          <w:sz w:val="20"/>
          <w:szCs w:val="20"/>
          <w:lang w:val="es-AR"/>
        </w:rPr>
        <w:t xml:space="preserve"> </w:t>
      </w:r>
      <w:r w:rsidR="00376725" w:rsidRPr="00EA7870">
        <w:rPr>
          <w:sz w:val="20"/>
          <w:szCs w:val="20"/>
          <w:lang w:val="es-AR"/>
        </w:rPr>
        <w:t>automáticamente,</w:t>
      </w:r>
      <w:r w:rsidRPr="00EA7870">
        <w:rPr>
          <w:sz w:val="20"/>
          <w:szCs w:val="20"/>
          <w:lang w:val="es-AR"/>
        </w:rPr>
        <w:t xml:space="preserve"> </w:t>
      </w:r>
      <w:r w:rsidR="00376725" w:rsidRPr="00EA7870">
        <w:rPr>
          <w:sz w:val="20"/>
          <w:szCs w:val="20"/>
          <w:lang w:val="es-AR"/>
        </w:rPr>
        <w:lastRenderedPageBreak/>
        <w:t>sin</w:t>
      </w:r>
      <w:r w:rsidRPr="00EA7870">
        <w:rPr>
          <w:sz w:val="20"/>
          <w:szCs w:val="20"/>
          <w:lang w:val="es-AR"/>
        </w:rPr>
        <w:t xml:space="preserve"> </w:t>
      </w:r>
      <w:r w:rsidR="00376725" w:rsidRPr="00EA7870">
        <w:rPr>
          <w:sz w:val="20"/>
          <w:szCs w:val="20"/>
          <w:lang w:val="es-AR"/>
        </w:rPr>
        <w:t>notificación</w:t>
      </w:r>
      <w:r w:rsidRPr="00EA7870">
        <w:rPr>
          <w:sz w:val="20"/>
          <w:szCs w:val="20"/>
          <w:lang w:val="es-AR"/>
        </w:rPr>
        <w:t xml:space="preserve"> </w:t>
      </w:r>
      <w:r w:rsidR="00376725" w:rsidRPr="00EA7870">
        <w:rPr>
          <w:sz w:val="20"/>
          <w:szCs w:val="20"/>
          <w:lang w:val="es-AR"/>
        </w:rPr>
        <w:t>alguna,</w:t>
      </w:r>
      <w:r w:rsidRPr="00EA7870">
        <w:rPr>
          <w:sz w:val="20"/>
          <w:szCs w:val="20"/>
          <w:lang w:val="es-AR"/>
        </w:rPr>
        <w:t xml:space="preserve"> </w:t>
      </w:r>
      <w:r w:rsidR="00376725" w:rsidRPr="00EA7870">
        <w:rPr>
          <w:sz w:val="20"/>
          <w:szCs w:val="20"/>
          <w:lang w:val="es-AR"/>
        </w:rPr>
        <w:t>y</w:t>
      </w:r>
      <w:r w:rsidRPr="00EA7870">
        <w:rPr>
          <w:sz w:val="20"/>
          <w:szCs w:val="20"/>
          <w:lang w:val="es-AR"/>
        </w:rPr>
        <w:t xml:space="preserve"> </w:t>
      </w:r>
      <w:r w:rsidR="00376725" w:rsidRPr="00EA7870">
        <w:rPr>
          <w:sz w:val="20"/>
          <w:szCs w:val="20"/>
          <w:lang w:val="es-AR"/>
        </w:rPr>
        <w:t>la</w:t>
      </w:r>
      <w:r w:rsidRPr="00EA7870">
        <w:rPr>
          <w:sz w:val="20"/>
          <w:szCs w:val="20"/>
          <w:lang w:val="es-AR"/>
        </w:rPr>
        <w:t xml:space="preserve"> </w:t>
      </w:r>
      <w:r w:rsidR="00376725" w:rsidRPr="00EA7870">
        <w:rPr>
          <w:sz w:val="20"/>
          <w:szCs w:val="20"/>
          <w:lang w:val="es-AR"/>
        </w:rPr>
        <w:t>Emisora,</w:t>
      </w:r>
      <w:r w:rsidRPr="00EA7870">
        <w:rPr>
          <w:sz w:val="20"/>
          <w:szCs w:val="20"/>
          <w:lang w:val="es-AR"/>
        </w:rPr>
        <w:t xml:space="preserve"> </w:t>
      </w:r>
      <w:r w:rsidR="00376725" w:rsidRPr="00EA7870">
        <w:rPr>
          <w:sz w:val="20"/>
          <w:szCs w:val="20"/>
          <w:lang w:val="es-AR"/>
        </w:rPr>
        <w:t>la</w:t>
      </w:r>
      <w:r w:rsidRPr="00EA7870">
        <w:rPr>
          <w:sz w:val="20"/>
          <w:szCs w:val="20"/>
          <w:lang w:val="es-AR"/>
        </w:rPr>
        <w:t xml:space="preserve"> </w:t>
      </w:r>
      <w:r w:rsidR="00376725" w:rsidRPr="00EA7870">
        <w:rPr>
          <w:sz w:val="20"/>
          <w:szCs w:val="20"/>
          <w:lang w:val="es-AR"/>
        </w:rPr>
        <w:t>Garante</w:t>
      </w:r>
      <w:r w:rsidRPr="00EA7870">
        <w:rPr>
          <w:sz w:val="20"/>
          <w:szCs w:val="20"/>
          <w:lang w:val="es-AR"/>
        </w:rPr>
        <w:t xml:space="preserve"> </w:t>
      </w:r>
      <w:r w:rsidR="00376725" w:rsidRPr="00EA7870">
        <w:rPr>
          <w:sz w:val="20"/>
          <w:szCs w:val="20"/>
          <w:lang w:val="es-AR"/>
        </w:rPr>
        <w:t>y</w:t>
      </w:r>
      <w:r w:rsidRPr="00EA7870">
        <w:rPr>
          <w:sz w:val="20"/>
          <w:szCs w:val="20"/>
          <w:lang w:val="es-AR"/>
        </w:rPr>
        <w:t xml:space="preserve"> </w:t>
      </w:r>
      <w:r w:rsidR="00376725" w:rsidRPr="00EA7870">
        <w:rPr>
          <w:sz w:val="20"/>
          <w:szCs w:val="20"/>
          <w:lang w:val="es-AR"/>
        </w:rPr>
        <w:t>sus</w:t>
      </w:r>
      <w:r w:rsidRPr="00EA7870">
        <w:rPr>
          <w:sz w:val="20"/>
          <w:szCs w:val="20"/>
          <w:lang w:val="es-AR"/>
        </w:rPr>
        <w:t xml:space="preserve"> </w:t>
      </w:r>
      <w:r w:rsidR="00376725" w:rsidRPr="00EA7870">
        <w:rPr>
          <w:sz w:val="20"/>
          <w:szCs w:val="20"/>
          <w:lang w:val="es-AR"/>
        </w:rPr>
        <w:t>Subsidiarias,</w:t>
      </w:r>
      <w:r w:rsidRPr="00EA7870">
        <w:rPr>
          <w:sz w:val="20"/>
          <w:szCs w:val="20"/>
          <w:lang w:val="es-AR"/>
        </w:rPr>
        <w:t xml:space="preserve"> </w:t>
      </w:r>
      <w:r w:rsidR="00376725" w:rsidRPr="00EA7870">
        <w:rPr>
          <w:sz w:val="20"/>
          <w:szCs w:val="20"/>
          <w:lang w:val="es-AR"/>
        </w:rPr>
        <w:t>sujeto</w:t>
      </w:r>
      <w:r w:rsidRPr="00EA7870">
        <w:rPr>
          <w:sz w:val="20"/>
          <w:szCs w:val="20"/>
          <w:lang w:val="es-AR"/>
        </w:rPr>
        <w:t xml:space="preserve"> </w:t>
      </w:r>
      <w:r w:rsidR="00376725" w:rsidRPr="00EA7870">
        <w:rPr>
          <w:sz w:val="20"/>
          <w:szCs w:val="20"/>
          <w:lang w:val="es-AR"/>
        </w:rPr>
        <w:t>al</w:t>
      </w:r>
      <w:r w:rsidRPr="00EA7870">
        <w:rPr>
          <w:sz w:val="20"/>
          <w:szCs w:val="20"/>
          <w:lang w:val="es-AR"/>
        </w:rPr>
        <w:t xml:space="preserve"> </w:t>
      </w:r>
      <w:r w:rsidR="00376725" w:rsidRPr="00EA7870">
        <w:rPr>
          <w:sz w:val="20"/>
          <w:szCs w:val="20"/>
          <w:lang w:val="es-AR"/>
        </w:rPr>
        <w:t>párrafo</w:t>
      </w: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continuación,</w:t>
      </w:r>
      <w:r w:rsidRPr="00EA7870">
        <w:rPr>
          <w:sz w:val="20"/>
          <w:szCs w:val="20"/>
          <w:lang w:val="es-AR"/>
        </w:rPr>
        <w:t xml:space="preserve"> </w:t>
      </w:r>
      <w:r w:rsidR="00376725" w:rsidRPr="00EA7870">
        <w:rPr>
          <w:sz w:val="20"/>
          <w:szCs w:val="20"/>
          <w:lang w:val="es-AR"/>
        </w:rPr>
        <w:t>no</w:t>
      </w:r>
      <w:r w:rsidRPr="00EA7870">
        <w:rPr>
          <w:sz w:val="20"/>
          <w:szCs w:val="20"/>
          <w:lang w:val="es-AR"/>
        </w:rPr>
        <w:t xml:space="preserve"> </w:t>
      </w:r>
      <w:r w:rsidR="00376725" w:rsidRPr="00EA7870">
        <w:rPr>
          <w:sz w:val="20"/>
          <w:szCs w:val="20"/>
          <w:lang w:val="es-AR"/>
        </w:rPr>
        <w:t>tendrán</w:t>
      </w:r>
      <w:r w:rsidRPr="00EA7870">
        <w:rPr>
          <w:sz w:val="20"/>
          <w:szCs w:val="20"/>
          <w:lang w:val="es-AR"/>
        </w:rPr>
        <w:t xml:space="preserve"> </w:t>
      </w:r>
      <w:r w:rsidR="00376725" w:rsidRPr="00EA7870">
        <w:rPr>
          <w:sz w:val="20"/>
          <w:szCs w:val="20"/>
          <w:lang w:val="es-AR"/>
        </w:rPr>
        <w:t>obligación</w:t>
      </w:r>
      <w:r w:rsidRPr="00EA7870">
        <w:rPr>
          <w:sz w:val="20"/>
          <w:szCs w:val="20"/>
          <w:lang w:val="es-AR"/>
        </w:rPr>
        <w:t xml:space="preserve"> </w:t>
      </w:r>
      <w:r w:rsidR="00376725" w:rsidRPr="00EA7870">
        <w:rPr>
          <w:sz w:val="20"/>
          <w:szCs w:val="20"/>
          <w:lang w:val="es-AR"/>
        </w:rPr>
        <w:t>ni</w:t>
      </w:r>
      <w:r w:rsidRPr="00EA7870">
        <w:rPr>
          <w:sz w:val="20"/>
          <w:szCs w:val="20"/>
          <w:lang w:val="es-AR"/>
        </w:rPr>
        <w:t xml:space="preserve"> </w:t>
      </w:r>
      <w:r w:rsidR="00376725" w:rsidRPr="00EA7870">
        <w:rPr>
          <w:sz w:val="20"/>
          <w:szCs w:val="20"/>
          <w:lang w:val="es-AR"/>
        </w:rPr>
        <w:t>responsabilidad</w:t>
      </w:r>
      <w:r w:rsidRPr="00EA7870">
        <w:rPr>
          <w:sz w:val="20"/>
          <w:szCs w:val="20"/>
          <w:lang w:val="es-AR"/>
        </w:rPr>
        <w:t xml:space="preserve"> </w:t>
      </w:r>
      <w:r w:rsidR="00376725" w:rsidRPr="00EA7870">
        <w:rPr>
          <w:sz w:val="20"/>
          <w:szCs w:val="20"/>
          <w:lang w:val="es-AR"/>
        </w:rPr>
        <w:t>alguna</w:t>
      </w:r>
      <w:r w:rsidRPr="00EA7870">
        <w:rPr>
          <w:sz w:val="20"/>
          <w:szCs w:val="20"/>
          <w:lang w:val="es-AR"/>
        </w:rPr>
        <w:t xml:space="preserve"> </w:t>
      </w:r>
      <w:r w:rsidR="00376725" w:rsidRPr="00EA7870">
        <w:rPr>
          <w:sz w:val="20"/>
          <w:szCs w:val="20"/>
          <w:lang w:val="es-AR"/>
        </w:rPr>
        <w:t>con</w:t>
      </w:r>
      <w:r w:rsidRPr="00EA7870">
        <w:rPr>
          <w:sz w:val="20"/>
          <w:szCs w:val="20"/>
          <w:lang w:val="es-AR"/>
        </w:rPr>
        <w:t xml:space="preserve"> </w:t>
      </w:r>
      <w:r w:rsidR="00376725" w:rsidRPr="00EA7870">
        <w:rPr>
          <w:sz w:val="20"/>
          <w:szCs w:val="20"/>
          <w:lang w:val="es-AR"/>
        </w:rPr>
        <w:t>respecto</w:t>
      </w: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dichos</w:t>
      </w:r>
      <w:r w:rsidRPr="00EA7870">
        <w:rPr>
          <w:sz w:val="20"/>
          <w:szCs w:val="20"/>
          <w:lang w:val="es-AR"/>
        </w:rPr>
        <w:t xml:space="preserve"> </w:t>
      </w:r>
      <w:r w:rsidR="00376725" w:rsidRPr="00EA7870">
        <w:rPr>
          <w:sz w:val="20"/>
          <w:szCs w:val="20"/>
          <w:lang w:val="es-AR"/>
        </w:rPr>
        <w:t>compromisos.</w:t>
      </w:r>
      <w:r w:rsidRPr="00EA7870">
        <w:rPr>
          <w:sz w:val="20"/>
          <w:szCs w:val="20"/>
          <w:lang w:val="es-AR"/>
        </w:rPr>
        <w:t xml:space="preserve"> </w:t>
      </w:r>
      <w:r w:rsidR="00376725" w:rsidRPr="00EA7870">
        <w:rPr>
          <w:sz w:val="20"/>
          <w:szCs w:val="20"/>
          <w:lang w:val="es-AR"/>
        </w:rPr>
        <w:t>Los</w:t>
      </w:r>
      <w:r w:rsidRPr="00EA7870">
        <w:rPr>
          <w:sz w:val="20"/>
          <w:szCs w:val="20"/>
          <w:lang w:val="es-AR"/>
        </w:rPr>
        <w:t xml:space="preserve"> </w:t>
      </w:r>
      <w:r w:rsidR="00376725" w:rsidRPr="00EA7870">
        <w:rPr>
          <w:sz w:val="20"/>
          <w:szCs w:val="20"/>
          <w:lang w:val="es-AR"/>
        </w:rPr>
        <w:t>Compromisos</w:t>
      </w:r>
      <w:r w:rsidRPr="00EA7870">
        <w:rPr>
          <w:sz w:val="20"/>
          <w:szCs w:val="20"/>
          <w:lang w:val="es-AR"/>
        </w:rPr>
        <w:t xml:space="preserve"> </w:t>
      </w:r>
      <w:r w:rsidR="00376725" w:rsidRPr="00EA7870">
        <w:rPr>
          <w:sz w:val="20"/>
          <w:szCs w:val="20"/>
          <w:lang w:val="es-AR"/>
        </w:rPr>
        <w:t>Suspendidos</w:t>
      </w:r>
      <w:r w:rsidRPr="00EA7870">
        <w:rPr>
          <w:sz w:val="20"/>
          <w:szCs w:val="20"/>
          <w:lang w:val="es-AR"/>
        </w:rPr>
        <w:t xml:space="preserve"> </w:t>
      </w:r>
      <w:r w:rsidR="00376725" w:rsidRPr="00EA7870">
        <w:rPr>
          <w:sz w:val="20"/>
          <w:szCs w:val="20"/>
          <w:lang w:val="es-AR"/>
        </w:rPr>
        <w:t>son:</w:t>
      </w:r>
      <w:r w:rsidRPr="00EA7870">
        <w:rPr>
          <w:sz w:val="20"/>
          <w:szCs w:val="20"/>
          <w:lang w:val="es-AR"/>
        </w:rPr>
        <w:t xml:space="preserve"> </w:t>
      </w:r>
      <w:r w:rsidR="00376725" w:rsidRPr="00EA7870">
        <w:rPr>
          <w:sz w:val="20"/>
          <w:szCs w:val="20"/>
          <w:lang w:val="es-AR"/>
        </w:rPr>
        <w:t>(i)</w:t>
      </w:r>
      <w:r w:rsidRPr="00EA7870">
        <w:rPr>
          <w:sz w:val="20"/>
          <w:szCs w:val="20"/>
          <w:lang w:val="es-AR"/>
        </w:rPr>
        <w:t xml:space="preserve"> </w:t>
      </w:r>
      <w:r w:rsidR="00376725" w:rsidRPr="00EA7870">
        <w:rPr>
          <w:sz w:val="20"/>
          <w:szCs w:val="20"/>
          <w:lang w:val="es-AR"/>
        </w:rPr>
        <w:t>“Limitación</w:t>
      </w:r>
      <w:r w:rsidRPr="00EA7870">
        <w:rPr>
          <w:sz w:val="20"/>
          <w:szCs w:val="20"/>
          <w:lang w:val="es-AR"/>
        </w:rPr>
        <w:t xml:space="preserve"> </w:t>
      </w:r>
      <w:r w:rsidR="00376725" w:rsidRPr="00EA7870">
        <w:rPr>
          <w:sz w:val="20"/>
          <w:szCs w:val="20"/>
          <w:lang w:val="es-AR"/>
        </w:rPr>
        <w:t>al</w:t>
      </w:r>
      <w:r w:rsidRPr="00EA7870">
        <w:rPr>
          <w:sz w:val="20"/>
          <w:szCs w:val="20"/>
          <w:lang w:val="es-AR"/>
        </w:rPr>
        <w:t xml:space="preserve"> </w:t>
      </w:r>
      <w:r w:rsidR="00376725" w:rsidRPr="00EA7870">
        <w:rPr>
          <w:sz w:val="20"/>
          <w:szCs w:val="20"/>
          <w:lang w:val="es-AR"/>
        </w:rPr>
        <w:t>Endeudamiento”;</w:t>
      </w:r>
      <w:r w:rsidRPr="00EA7870">
        <w:rPr>
          <w:sz w:val="20"/>
          <w:szCs w:val="20"/>
          <w:lang w:val="es-AR"/>
        </w:rPr>
        <w:t xml:space="preserve"> </w:t>
      </w:r>
      <w:r w:rsidR="00376725" w:rsidRPr="00EA7870">
        <w:rPr>
          <w:sz w:val="20"/>
          <w:szCs w:val="20"/>
          <w:lang w:val="es-AR"/>
        </w:rPr>
        <w:t>(ii)</w:t>
      </w:r>
      <w:r w:rsidRPr="00EA7870">
        <w:rPr>
          <w:sz w:val="20"/>
          <w:szCs w:val="20"/>
          <w:lang w:val="es-AR"/>
        </w:rPr>
        <w:t xml:space="preserve"> </w:t>
      </w:r>
      <w:r w:rsidR="00376725" w:rsidRPr="00EA7870">
        <w:rPr>
          <w:sz w:val="20"/>
          <w:szCs w:val="20"/>
          <w:lang w:val="es-AR"/>
        </w:rPr>
        <w:t>“Limitación</w:t>
      </w: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los</w:t>
      </w:r>
      <w:r w:rsidRPr="00EA7870">
        <w:rPr>
          <w:sz w:val="20"/>
          <w:szCs w:val="20"/>
          <w:lang w:val="es-AR"/>
        </w:rPr>
        <w:t xml:space="preserve"> </w:t>
      </w:r>
      <w:r w:rsidR="00376725" w:rsidRPr="00EA7870">
        <w:rPr>
          <w:sz w:val="20"/>
          <w:szCs w:val="20"/>
          <w:lang w:val="es-AR"/>
        </w:rPr>
        <w:t>Pagos</w:t>
      </w:r>
      <w:r w:rsidRPr="00EA7870">
        <w:rPr>
          <w:sz w:val="20"/>
          <w:szCs w:val="20"/>
          <w:lang w:val="es-AR"/>
        </w:rPr>
        <w:t xml:space="preserve"> </w:t>
      </w:r>
      <w:r w:rsidR="00376725" w:rsidRPr="00EA7870">
        <w:rPr>
          <w:sz w:val="20"/>
          <w:szCs w:val="20"/>
          <w:lang w:val="es-AR"/>
        </w:rPr>
        <w:t>Restringidos”;</w:t>
      </w:r>
      <w:r w:rsidRPr="00EA7870">
        <w:rPr>
          <w:sz w:val="20"/>
          <w:szCs w:val="20"/>
          <w:lang w:val="es-AR"/>
        </w:rPr>
        <w:t xml:space="preserve"> </w:t>
      </w:r>
      <w:r w:rsidR="00376725" w:rsidRPr="00EA7870">
        <w:rPr>
          <w:sz w:val="20"/>
          <w:szCs w:val="20"/>
          <w:lang w:val="es-AR"/>
        </w:rPr>
        <w:t>(iii)</w:t>
      </w:r>
      <w:r w:rsidRPr="00EA7870">
        <w:rPr>
          <w:sz w:val="20"/>
          <w:szCs w:val="20"/>
          <w:lang w:val="es-AR"/>
        </w:rPr>
        <w:t xml:space="preserve"> </w:t>
      </w:r>
      <w:r w:rsidR="00376725" w:rsidRPr="00EA7870">
        <w:rPr>
          <w:sz w:val="20"/>
          <w:szCs w:val="20"/>
          <w:lang w:val="es-AR"/>
        </w:rPr>
        <w:t>“Limitación</w:t>
      </w: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las</w:t>
      </w:r>
      <w:r w:rsidRPr="00EA7870">
        <w:rPr>
          <w:sz w:val="20"/>
          <w:szCs w:val="20"/>
          <w:lang w:val="es-AR"/>
        </w:rPr>
        <w:t xml:space="preserve"> </w:t>
      </w:r>
      <w:r w:rsidR="00326C51" w:rsidRPr="00EA7870">
        <w:rPr>
          <w:sz w:val="20"/>
          <w:szCs w:val="20"/>
          <w:lang w:val="es-AR"/>
        </w:rPr>
        <w:t>Transacciones</w:t>
      </w:r>
      <w:r w:rsidRPr="00EA7870">
        <w:rPr>
          <w:sz w:val="20"/>
          <w:szCs w:val="20"/>
          <w:lang w:val="es-AR"/>
        </w:rPr>
        <w:t xml:space="preserve"> </w:t>
      </w:r>
      <w:r w:rsidR="00376725" w:rsidRPr="00EA7870">
        <w:rPr>
          <w:sz w:val="20"/>
          <w:szCs w:val="20"/>
          <w:lang w:val="es-AR"/>
        </w:rPr>
        <w:t>con</w:t>
      </w:r>
      <w:r w:rsidRPr="00EA7870">
        <w:rPr>
          <w:sz w:val="20"/>
          <w:szCs w:val="20"/>
          <w:lang w:val="es-AR"/>
        </w:rPr>
        <w:t xml:space="preserve"> </w:t>
      </w:r>
      <w:r w:rsidR="00376725" w:rsidRPr="00EA7870">
        <w:rPr>
          <w:sz w:val="20"/>
          <w:szCs w:val="20"/>
          <w:lang w:val="es-AR"/>
        </w:rPr>
        <w:t>Afiliadas”;</w:t>
      </w:r>
      <w:r w:rsidRPr="00EA7870">
        <w:rPr>
          <w:sz w:val="20"/>
          <w:szCs w:val="20"/>
          <w:lang w:val="es-AR"/>
        </w:rPr>
        <w:t xml:space="preserve"> </w:t>
      </w:r>
      <w:r w:rsidR="00376725" w:rsidRPr="00EA7870">
        <w:rPr>
          <w:sz w:val="20"/>
          <w:szCs w:val="20"/>
          <w:lang w:val="es-AR"/>
        </w:rPr>
        <w:t>y</w:t>
      </w:r>
      <w:r w:rsidRPr="00EA7870">
        <w:rPr>
          <w:sz w:val="20"/>
          <w:szCs w:val="20"/>
          <w:lang w:val="es-AR"/>
        </w:rPr>
        <w:t xml:space="preserve"> </w:t>
      </w:r>
      <w:r w:rsidR="00376725" w:rsidRPr="00EA7870">
        <w:rPr>
          <w:sz w:val="20"/>
          <w:szCs w:val="20"/>
          <w:lang w:val="es-AR"/>
        </w:rPr>
        <w:t>(iv)</w:t>
      </w:r>
      <w:r w:rsidRPr="00EA7870">
        <w:rPr>
          <w:sz w:val="20"/>
          <w:szCs w:val="20"/>
          <w:lang w:val="es-AR"/>
        </w:rPr>
        <w:t xml:space="preserve"> </w:t>
      </w:r>
      <w:r w:rsidR="00376725" w:rsidRPr="00EA7870">
        <w:rPr>
          <w:sz w:val="20"/>
          <w:szCs w:val="20"/>
          <w:lang w:val="es-AR"/>
        </w:rPr>
        <w:t>punto</w:t>
      </w:r>
      <w:r w:rsidRPr="00EA7870">
        <w:rPr>
          <w:sz w:val="20"/>
          <w:szCs w:val="20"/>
          <w:lang w:val="es-AR"/>
        </w:rPr>
        <w:t xml:space="preserve"> </w:t>
      </w:r>
      <w:r w:rsidR="00376725" w:rsidRPr="00EA7870">
        <w:rPr>
          <w:sz w:val="20"/>
          <w:szCs w:val="20"/>
          <w:lang w:val="es-AR"/>
        </w:rPr>
        <w:t>(B)</w:t>
      </w:r>
      <w:r w:rsidRPr="00EA7870">
        <w:rPr>
          <w:sz w:val="20"/>
          <w:szCs w:val="20"/>
          <w:lang w:val="es-AR"/>
        </w:rPr>
        <w:t xml:space="preserve"> </w:t>
      </w:r>
      <w:r w:rsidR="00376725" w:rsidRPr="00EA7870">
        <w:rPr>
          <w:sz w:val="20"/>
          <w:szCs w:val="20"/>
          <w:lang w:val="es-AR"/>
        </w:rPr>
        <w:t>“</w:t>
      </w:r>
      <w:r w:rsidR="00376725" w:rsidRPr="00EA7870">
        <w:rPr>
          <w:sz w:val="20"/>
          <w:szCs w:val="20"/>
        </w:rPr>
        <w:t>Limitación</w:t>
      </w:r>
      <w:r w:rsidRPr="00EA7870">
        <w:rPr>
          <w:sz w:val="20"/>
          <w:szCs w:val="20"/>
        </w:rPr>
        <w:t xml:space="preserve"> </w:t>
      </w:r>
      <w:r w:rsidR="00376725" w:rsidRPr="00EA7870">
        <w:rPr>
          <w:sz w:val="20"/>
          <w:szCs w:val="20"/>
        </w:rPr>
        <w:t>a</w:t>
      </w:r>
      <w:r w:rsidRPr="00EA7870">
        <w:rPr>
          <w:sz w:val="20"/>
          <w:szCs w:val="20"/>
        </w:rPr>
        <w:t xml:space="preserve"> </w:t>
      </w:r>
      <w:r w:rsidR="00376725" w:rsidRPr="00EA7870">
        <w:rPr>
          <w:sz w:val="20"/>
          <w:szCs w:val="20"/>
        </w:rPr>
        <w:t>la</w:t>
      </w:r>
      <w:r w:rsidRPr="00EA7870">
        <w:rPr>
          <w:sz w:val="20"/>
          <w:szCs w:val="20"/>
        </w:rPr>
        <w:t xml:space="preserve"> </w:t>
      </w:r>
      <w:r w:rsidR="00376725" w:rsidRPr="00EA7870">
        <w:rPr>
          <w:sz w:val="20"/>
          <w:szCs w:val="20"/>
        </w:rPr>
        <w:t>Fusión</w:t>
      </w:r>
      <w:r w:rsidRPr="00EA7870">
        <w:rPr>
          <w:sz w:val="20"/>
          <w:szCs w:val="20"/>
        </w:rPr>
        <w:t xml:space="preserve"> </w:t>
      </w:r>
      <w:r w:rsidR="00376725" w:rsidRPr="00EA7870">
        <w:rPr>
          <w:sz w:val="20"/>
          <w:szCs w:val="20"/>
        </w:rPr>
        <w:t>por</w:t>
      </w:r>
      <w:r w:rsidRPr="00EA7870">
        <w:rPr>
          <w:sz w:val="20"/>
          <w:szCs w:val="20"/>
        </w:rPr>
        <w:t xml:space="preserve"> </w:t>
      </w:r>
      <w:r w:rsidR="00376725" w:rsidRPr="00EA7870">
        <w:rPr>
          <w:sz w:val="20"/>
          <w:szCs w:val="20"/>
        </w:rPr>
        <w:t>Absorción,</w:t>
      </w:r>
      <w:r w:rsidRPr="00EA7870">
        <w:rPr>
          <w:sz w:val="20"/>
          <w:szCs w:val="20"/>
        </w:rPr>
        <w:t xml:space="preserve"> </w:t>
      </w:r>
      <w:r w:rsidR="00376725" w:rsidRPr="00EA7870">
        <w:rPr>
          <w:sz w:val="20"/>
          <w:szCs w:val="20"/>
        </w:rPr>
        <w:t>Consolidación</w:t>
      </w:r>
      <w:r w:rsidRPr="00EA7870">
        <w:rPr>
          <w:sz w:val="20"/>
          <w:szCs w:val="20"/>
        </w:rPr>
        <w:t xml:space="preserve"> </w:t>
      </w:r>
      <w:r w:rsidR="00376725" w:rsidRPr="00EA7870">
        <w:rPr>
          <w:sz w:val="20"/>
          <w:szCs w:val="20"/>
        </w:rPr>
        <w:t>o</w:t>
      </w:r>
      <w:r w:rsidRPr="00EA7870">
        <w:rPr>
          <w:sz w:val="20"/>
          <w:szCs w:val="20"/>
        </w:rPr>
        <w:t xml:space="preserve"> </w:t>
      </w:r>
      <w:r w:rsidR="00376725" w:rsidRPr="00EA7870">
        <w:rPr>
          <w:sz w:val="20"/>
          <w:szCs w:val="20"/>
        </w:rPr>
        <w:t>Venta</w:t>
      </w:r>
      <w:r w:rsidRPr="00EA7870">
        <w:rPr>
          <w:sz w:val="20"/>
          <w:szCs w:val="20"/>
        </w:rPr>
        <w:t xml:space="preserve"> </w:t>
      </w:r>
      <w:r w:rsidR="00376725" w:rsidRPr="00EA7870">
        <w:rPr>
          <w:sz w:val="20"/>
          <w:szCs w:val="20"/>
        </w:rPr>
        <w:t>de</w:t>
      </w:r>
      <w:r w:rsidRPr="00EA7870">
        <w:rPr>
          <w:sz w:val="20"/>
          <w:szCs w:val="20"/>
        </w:rPr>
        <w:t xml:space="preserve"> </w:t>
      </w:r>
      <w:r w:rsidR="00376725" w:rsidRPr="00EA7870">
        <w:rPr>
          <w:sz w:val="20"/>
          <w:szCs w:val="20"/>
        </w:rPr>
        <w:t>Activos”.</w:t>
      </w:r>
      <w:r w:rsidRPr="00EA7870">
        <w:rPr>
          <w:sz w:val="20"/>
          <w:szCs w:val="20"/>
          <w:lang w:val="es-AR"/>
        </w:rPr>
        <w:t xml:space="preserve"> </w:t>
      </w:r>
    </w:p>
    <w:p w14:paraId="41923327" w14:textId="77777777" w:rsidR="00376725" w:rsidRPr="00EA7870" w:rsidRDefault="00376725" w:rsidP="00376725">
      <w:pPr>
        <w:tabs>
          <w:tab w:val="left" w:pos="0"/>
        </w:tabs>
        <w:jc w:val="both"/>
        <w:rPr>
          <w:sz w:val="20"/>
          <w:szCs w:val="20"/>
        </w:rPr>
      </w:pPr>
    </w:p>
    <w:p w14:paraId="20C12514" w14:textId="77777777" w:rsidR="00376725" w:rsidRPr="00EA7870" w:rsidRDefault="00376725" w:rsidP="00376725">
      <w:pPr>
        <w:tabs>
          <w:tab w:val="left" w:pos="0"/>
        </w:tabs>
        <w:jc w:val="both"/>
        <w:rPr>
          <w:sz w:val="20"/>
          <w:szCs w:val="20"/>
        </w:rPr>
      </w:pPr>
      <w:r w:rsidRPr="00EA7870">
        <w:rPr>
          <w:sz w:val="20"/>
          <w:szCs w:val="20"/>
          <w:lang w:val="es-AR"/>
        </w:rPr>
        <w:t>Si</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encuentran</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dos</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Calificadoras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Riesgo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Calificadoras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Riesgo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54642B" w:rsidRPr="00EA7870">
        <w:rPr>
          <w:sz w:val="20"/>
          <w:szCs w:val="20"/>
          <w:lang w:val="es-AR"/>
        </w:rPr>
        <w:t>C</w:t>
      </w:r>
      <w:r w:rsidRPr="00EA7870">
        <w:rPr>
          <w:sz w:val="20"/>
          <w:szCs w:val="20"/>
          <w:lang w:val="es-AR"/>
        </w:rPr>
        <w:t>alificación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Grado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otorgada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dos</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Calificadoras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Riesgo)</w:t>
      </w:r>
      <w:r w:rsidR="001A28B3" w:rsidRPr="00EA7870">
        <w:rPr>
          <w:sz w:val="20"/>
          <w:szCs w:val="20"/>
          <w:lang w:val="es-AR"/>
        </w:rPr>
        <w:t xml:space="preserve"> </w:t>
      </w:r>
      <w:r w:rsidRPr="00EA7870">
        <w:rPr>
          <w:sz w:val="20"/>
          <w:szCs w:val="20"/>
          <w:lang w:val="es-AR"/>
        </w:rPr>
        <w:t>retirara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Calificación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Grado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bajara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calificación</w:t>
      </w:r>
      <w:r w:rsidR="001A28B3" w:rsidRPr="00EA7870">
        <w:rPr>
          <w:sz w:val="20"/>
          <w:szCs w:val="20"/>
          <w:lang w:val="es-AR"/>
        </w:rPr>
        <w:t xml:space="preserve"> </w:t>
      </w:r>
      <w:r w:rsidRPr="00EA7870">
        <w:rPr>
          <w:sz w:val="20"/>
          <w:szCs w:val="20"/>
          <w:lang w:val="es-AR"/>
        </w:rPr>
        <w:t>asignada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debajo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Calificación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Grado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entonces</w:t>
      </w:r>
      <w:r w:rsidR="001A28B3" w:rsidRPr="00EA7870">
        <w:rPr>
          <w:sz w:val="20"/>
          <w:szCs w:val="20"/>
          <w:lang w:val="es-AR"/>
        </w:rPr>
        <w:t xml:space="preserve"> </w:t>
      </w:r>
      <w:r w:rsidRPr="00EA7870">
        <w:rPr>
          <w:sz w:val="20"/>
          <w:szCs w:val="20"/>
          <w:lang w:val="es-AR"/>
        </w:rPr>
        <w:t>restablecidos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(inclusive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realización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cálculo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evaluación</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determinar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hasta</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obtengan</w:t>
      </w:r>
      <w:r w:rsidR="001A28B3" w:rsidRPr="00EA7870">
        <w:rPr>
          <w:sz w:val="20"/>
          <w:szCs w:val="20"/>
          <w:lang w:val="es-AR"/>
        </w:rPr>
        <w:t xml:space="preserve"> </w:t>
      </w:r>
      <w:r w:rsidRPr="00EA7870">
        <w:rPr>
          <w:sz w:val="20"/>
          <w:szCs w:val="20"/>
          <w:lang w:val="es-AR"/>
        </w:rPr>
        <w:t>nuevamente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Calificación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Grado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precedente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cuyo</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quedarán</w:t>
      </w:r>
      <w:r w:rsidR="001A28B3" w:rsidRPr="00EA7870">
        <w:rPr>
          <w:sz w:val="20"/>
          <w:szCs w:val="20"/>
          <w:lang w:val="es-AR"/>
        </w:rPr>
        <w:t xml:space="preserve"> </w:t>
      </w:r>
      <w:r w:rsidRPr="00EA7870">
        <w:rPr>
          <w:sz w:val="20"/>
          <w:szCs w:val="20"/>
          <w:lang w:val="es-AR"/>
        </w:rPr>
        <w:t>nuevamente</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tiempo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mantengan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Calificación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Grado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i/>
          <w:sz w:val="20"/>
          <w:szCs w:val="20"/>
          <w:u w:val="single"/>
          <w:lang w:val="es-AR"/>
        </w:rPr>
        <w:t>quedando</w:t>
      </w:r>
      <w:r w:rsidR="001A28B3" w:rsidRPr="00EA7870">
        <w:rPr>
          <w:i/>
          <w:sz w:val="20"/>
          <w:szCs w:val="20"/>
          <w:u w:val="single"/>
          <w:lang w:val="es-AR"/>
        </w:rPr>
        <w:t xml:space="preserve"> </w:t>
      </w:r>
      <w:r w:rsidRPr="00EA7870">
        <w:rPr>
          <w:i/>
          <w:sz w:val="20"/>
          <w:szCs w:val="20"/>
          <w:u w:val="single"/>
          <w:lang w:val="es-AR"/>
        </w:rPr>
        <w:t>establecido</w:t>
      </w:r>
      <w:r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producido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violación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(ya</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fueron</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posterioridad</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ello)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base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asumen</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(ya</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fueron</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posterioridad</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ello)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adoptada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hecho</w:t>
      </w:r>
      <w:r w:rsidR="001A28B3" w:rsidRPr="00EA7870">
        <w:rPr>
          <w:sz w:val="20"/>
          <w:szCs w:val="20"/>
          <w:lang w:val="es-AR"/>
        </w:rPr>
        <w:t xml:space="preserve"> </w:t>
      </w:r>
      <w:r w:rsidRPr="00EA7870">
        <w:rPr>
          <w:sz w:val="20"/>
          <w:szCs w:val="20"/>
          <w:lang w:val="es-AR"/>
        </w:rPr>
        <w:t>ocurrido</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obtengan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Calificación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Grado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restablecimiento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indicó</w:t>
      </w:r>
      <w:r w:rsidR="001A28B3" w:rsidRPr="00EA7870">
        <w:rPr>
          <w:sz w:val="20"/>
          <w:szCs w:val="20"/>
          <w:lang w:val="es-AR"/>
        </w:rPr>
        <w:t xml:space="preserve"> </w:t>
      </w:r>
      <w:r w:rsidRPr="00EA7870">
        <w:rPr>
          <w:sz w:val="20"/>
          <w:szCs w:val="20"/>
          <w:lang w:val="es-AR"/>
        </w:rPr>
        <w:t>anteriormente,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adoptada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(ya</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fueron</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posterioridad</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ello)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legal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contractual</w:t>
      </w:r>
      <w:r w:rsidR="001A28B3" w:rsidRPr="00EA7870">
        <w:rPr>
          <w:sz w:val="20"/>
          <w:szCs w:val="20"/>
          <w:lang w:val="es-AR"/>
        </w:rPr>
        <w:t xml:space="preserve"> </w:t>
      </w:r>
      <w:r w:rsidRPr="00EA7870">
        <w:rPr>
          <w:sz w:val="20"/>
          <w:szCs w:val="20"/>
          <w:lang w:val="es-AR"/>
        </w:rPr>
        <w:t>contraída</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restablecimiento,</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importar</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medidas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hechos</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estado</w:t>
      </w:r>
      <w:r w:rsidR="001A28B3" w:rsidRPr="00EA7870">
        <w:rPr>
          <w:sz w:val="20"/>
          <w:szCs w:val="20"/>
          <w:lang w:val="es-AR"/>
        </w:rPr>
        <w:t xml:space="preserve"> </w:t>
      </w:r>
      <w:r w:rsidRPr="00EA7870">
        <w:rPr>
          <w:sz w:val="20"/>
          <w:szCs w:val="20"/>
          <w:lang w:val="es-AR"/>
        </w:rPr>
        <w:t>permitidos</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Compromiso</w:t>
      </w:r>
      <w:r w:rsidR="001A28B3" w:rsidRPr="00EA7870">
        <w:rPr>
          <w:sz w:val="20"/>
          <w:szCs w:val="20"/>
          <w:lang w:val="es-AR"/>
        </w:rPr>
        <w:t xml:space="preserve"> </w:t>
      </w:r>
      <w:r w:rsidRPr="00EA7870">
        <w:rPr>
          <w:sz w:val="20"/>
          <w:szCs w:val="20"/>
          <w:lang w:val="es-AR"/>
        </w:rPr>
        <w:t>Suspendido</w:t>
      </w:r>
      <w:r w:rsidR="001A28B3" w:rsidRPr="00EA7870">
        <w:rPr>
          <w:sz w:val="20"/>
          <w:szCs w:val="20"/>
          <w:lang w:val="es-AR"/>
        </w:rPr>
        <w:t xml:space="preserve"> </w:t>
      </w:r>
      <w:r w:rsidRPr="00EA7870">
        <w:rPr>
          <w:sz w:val="20"/>
          <w:szCs w:val="20"/>
          <w:lang w:val="es-AR"/>
        </w:rPr>
        <w:t>correspondiente</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permanecido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vigencia</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restablecimiento,</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suspensión</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clasificado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hubiese</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cláusula</w:t>
      </w:r>
      <w:r w:rsidR="001A28B3" w:rsidRPr="00EA7870">
        <w:rPr>
          <w:sz w:val="20"/>
          <w:szCs w:val="20"/>
          <w:lang w:val="es-AR"/>
        </w:rPr>
        <w:t xml:space="preserve"> </w:t>
      </w:r>
      <w:r w:rsidRPr="00EA7870">
        <w:rPr>
          <w:sz w:val="20"/>
          <w:szCs w:val="20"/>
          <w:lang w:val="es-AR"/>
        </w:rPr>
        <w:t>(2)(b)(ii)</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sección</w:t>
      </w:r>
      <w:r w:rsidR="001A28B3" w:rsidRPr="00EA7870">
        <w:rPr>
          <w:sz w:val="20"/>
          <w:szCs w:val="20"/>
          <w:lang w:val="es-AR"/>
        </w:rPr>
        <w:t xml:space="preserve"> </w:t>
      </w:r>
      <w:r w:rsidRPr="00EA7870">
        <w:rPr>
          <w:sz w:val="20"/>
          <w:szCs w:val="20"/>
          <w:lang w:val="es-AR"/>
        </w:rPr>
        <w:t>“</w:t>
      </w:r>
      <w:r w:rsidRPr="00EA7870">
        <w:rPr>
          <w:i/>
          <w:sz w:val="20"/>
          <w:szCs w:val="20"/>
          <w:lang w:val="es-AR"/>
        </w:rPr>
        <w:t>—</w:t>
      </w:r>
      <w:r w:rsidRPr="00EA7870">
        <w:rPr>
          <w:i/>
          <w:sz w:val="20"/>
          <w:szCs w:val="20"/>
        </w:rPr>
        <w:t>Ciertos</w:t>
      </w:r>
      <w:r w:rsidR="001A28B3" w:rsidRPr="00EA7870">
        <w:rPr>
          <w:i/>
          <w:sz w:val="20"/>
          <w:szCs w:val="20"/>
        </w:rPr>
        <w:t xml:space="preserve"> </w:t>
      </w:r>
      <w:r w:rsidRPr="00EA7870">
        <w:rPr>
          <w:i/>
          <w:sz w:val="20"/>
          <w:szCs w:val="20"/>
        </w:rPr>
        <w:t>compromisos—Limitación</w:t>
      </w:r>
      <w:r w:rsidR="001A28B3" w:rsidRPr="00EA7870">
        <w:rPr>
          <w:i/>
          <w:sz w:val="20"/>
          <w:szCs w:val="20"/>
        </w:rPr>
        <w:t xml:space="preserve"> </w:t>
      </w:r>
      <w:r w:rsidRPr="00EA7870">
        <w:rPr>
          <w:i/>
          <w:sz w:val="20"/>
          <w:szCs w:val="20"/>
        </w:rPr>
        <w:t>al</w:t>
      </w:r>
      <w:r w:rsidR="001A28B3" w:rsidRPr="00EA7870">
        <w:rPr>
          <w:i/>
          <w:sz w:val="20"/>
          <w:szCs w:val="20"/>
        </w:rPr>
        <w:t xml:space="preserve"> </w:t>
      </w:r>
      <w:r w:rsidRPr="00EA7870">
        <w:rPr>
          <w:i/>
          <w:sz w:val="20"/>
          <w:szCs w:val="20"/>
        </w:rPr>
        <w:t>Endeudamiento</w:t>
      </w:r>
      <w:r w:rsidRPr="00EA7870">
        <w:rPr>
          <w:sz w:val="20"/>
          <w:szCs w:val="20"/>
        </w:rPr>
        <w:t>”.</w:t>
      </w:r>
    </w:p>
    <w:p w14:paraId="2CB835CD" w14:textId="77777777" w:rsidR="00376725" w:rsidRPr="00EA7870" w:rsidRDefault="00376725" w:rsidP="00376725">
      <w:pPr>
        <w:tabs>
          <w:tab w:val="left" w:pos="0"/>
        </w:tabs>
        <w:ind w:firstLine="709"/>
        <w:jc w:val="both"/>
        <w:rPr>
          <w:sz w:val="20"/>
          <w:szCs w:val="20"/>
          <w:lang w:val="es-AR"/>
        </w:rPr>
      </w:pPr>
    </w:p>
    <w:p w14:paraId="31F4C287"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deberá</w:t>
      </w:r>
      <w:r w:rsidR="001A28B3" w:rsidRPr="00EA7870">
        <w:rPr>
          <w:sz w:val="20"/>
          <w:szCs w:val="20"/>
          <w:lang w:val="es-AR"/>
        </w:rPr>
        <w:t xml:space="preserve"> </w:t>
      </w:r>
      <w:r w:rsidRPr="00EA7870">
        <w:rPr>
          <w:sz w:val="20"/>
          <w:szCs w:val="20"/>
          <w:lang w:val="es-AR"/>
        </w:rPr>
        <w:t>entregar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Certificado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Funcionarios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suspenden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restablecen.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tendrá</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ciertos</w:t>
      </w:r>
      <w:r w:rsidR="001A28B3" w:rsidRPr="00EA7870">
        <w:rPr>
          <w:sz w:val="20"/>
          <w:szCs w:val="20"/>
          <w:lang w:val="es-AR"/>
        </w:rPr>
        <w:t xml:space="preserve"> </w:t>
      </w:r>
      <w:r w:rsidRPr="00EA7870">
        <w:rPr>
          <w:sz w:val="20"/>
          <w:szCs w:val="20"/>
          <w:lang w:val="es-AR"/>
        </w:rPr>
        <w:t>sucesos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circunstancias</w:t>
      </w:r>
      <w:r w:rsidR="001A28B3" w:rsidRPr="00EA7870">
        <w:rPr>
          <w:sz w:val="20"/>
          <w:szCs w:val="20"/>
          <w:lang w:val="es-AR"/>
        </w:rPr>
        <w:t xml:space="preserve"> </w:t>
      </w:r>
      <w:r w:rsidRPr="00EA7870">
        <w:rPr>
          <w:sz w:val="20"/>
          <w:szCs w:val="20"/>
          <w:lang w:val="es-AR"/>
        </w:rPr>
        <w:t>resultan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resultarán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suspensión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restablecimiento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Suspendidos.</w:t>
      </w:r>
    </w:p>
    <w:p w14:paraId="15D792B5" w14:textId="77777777" w:rsidR="00376725" w:rsidRPr="00EA7870" w:rsidRDefault="00376725" w:rsidP="00376725">
      <w:pPr>
        <w:tabs>
          <w:tab w:val="left" w:pos="0"/>
        </w:tabs>
        <w:ind w:firstLine="709"/>
        <w:jc w:val="both"/>
        <w:rPr>
          <w:sz w:val="20"/>
          <w:szCs w:val="20"/>
          <w:lang w:val="es-AR"/>
        </w:rPr>
      </w:pPr>
    </w:p>
    <w:p w14:paraId="0A23DF2E" w14:textId="77777777" w:rsidR="00376725" w:rsidRPr="00EA7870" w:rsidRDefault="00376725" w:rsidP="00376725">
      <w:pPr>
        <w:tabs>
          <w:tab w:val="left" w:pos="0"/>
        </w:tabs>
        <w:jc w:val="both"/>
        <w:rPr>
          <w:b/>
          <w:sz w:val="20"/>
          <w:szCs w:val="20"/>
          <w:lang w:val="es-AR"/>
        </w:rPr>
      </w:pPr>
      <w:r w:rsidRPr="00EA7870">
        <w:rPr>
          <w:b/>
          <w:sz w:val="20"/>
          <w:szCs w:val="20"/>
          <w:lang w:val="es-AR"/>
        </w:rPr>
        <w:t>Ciertos</w:t>
      </w:r>
      <w:r w:rsidR="001A28B3" w:rsidRPr="00EA7870">
        <w:rPr>
          <w:b/>
          <w:sz w:val="20"/>
          <w:szCs w:val="20"/>
          <w:lang w:val="es-AR"/>
        </w:rPr>
        <w:t xml:space="preserve"> </w:t>
      </w:r>
      <w:r w:rsidRPr="00EA7870">
        <w:rPr>
          <w:b/>
          <w:sz w:val="20"/>
          <w:szCs w:val="20"/>
          <w:lang w:val="es-AR"/>
        </w:rPr>
        <w:t>compromisos</w:t>
      </w:r>
    </w:p>
    <w:p w14:paraId="1D35AEBF" w14:textId="77777777" w:rsidR="00376725" w:rsidRPr="00EA7870" w:rsidRDefault="00376725" w:rsidP="00376725">
      <w:pPr>
        <w:tabs>
          <w:tab w:val="left" w:pos="0"/>
        </w:tabs>
        <w:ind w:firstLine="709"/>
        <w:jc w:val="both"/>
        <w:rPr>
          <w:sz w:val="20"/>
          <w:szCs w:val="20"/>
          <w:lang w:val="es-AR"/>
        </w:rPr>
      </w:pPr>
    </w:p>
    <w:p w14:paraId="2F7D905B" w14:textId="77777777" w:rsidR="00376725" w:rsidRPr="00EA7870" w:rsidRDefault="00376725" w:rsidP="00376725">
      <w:pPr>
        <w:tabs>
          <w:tab w:val="left" w:pos="0"/>
        </w:tabs>
        <w:jc w:val="both"/>
        <w:rPr>
          <w:sz w:val="20"/>
          <w:szCs w:val="20"/>
          <w:lang w:val="es-AR"/>
        </w:rPr>
      </w:pP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contiene</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incluyen,</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siguientes:</w:t>
      </w:r>
    </w:p>
    <w:p w14:paraId="7F17CB05" w14:textId="77777777" w:rsidR="00376725" w:rsidRPr="00EA7870" w:rsidRDefault="00376725" w:rsidP="00376725">
      <w:pPr>
        <w:tabs>
          <w:tab w:val="left" w:pos="0"/>
        </w:tabs>
        <w:jc w:val="both"/>
        <w:rPr>
          <w:sz w:val="20"/>
          <w:szCs w:val="20"/>
          <w:lang w:val="es-AR"/>
        </w:rPr>
      </w:pPr>
    </w:p>
    <w:p w14:paraId="4ED48876" w14:textId="77777777" w:rsidR="00376725" w:rsidRPr="00EA7870" w:rsidRDefault="00376725" w:rsidP="00376725">
      <w:pPr>
        <w:tabs>
          <w:tab w:val="left" w:pos="0"/>
        </w:tabs>
        <w:jc w:val="both"/>
        <w:rPr>
          <w:b/>
          <w:i/>
          <w:sz w:val="20"/>
          <w:szCs w:val="20"/>
          <w:lang w:val="es-AR"/>
        </w:rPr>
      </w:pPr>
      <w:r w:rsidRPr="00EA7870">
        <w:rPr>
          <w:b/>
          <w:i/>
          <w:sz w:val="20"/>
          <w:szCs w:val="20"/>
          <w:lang w:val="es-AR"/>
        </w:rPr>
        <w:t>Limitación</w:t>
      </w:r>
      <w:r w:rsidR="001A28B3" w:rsidRPr="00EA7870">
        <w:rPr>
          <w:b/>
          <w:i/>
          <w:sz w:val="20"/>
          <w:szCs w:val="20"/>
          <w:lang w:val="es-AR"/>
        </w:rPr>
        <w:t xml:space="preserve"> </w:t>
      </w:r>
      <w:r w:rsidRPr="00EA7870">
        <w:rPr>
          <w:b/>
          <w:i/>
          <w:sz w:val="20"/>
          <w:szCs w:val="20"/>
          <w:lang w:val="es-AR"/>
        </w:rPr>
        <w:t>al</w:t>
      </w:r>
      <w:r w:rsidR="001A28B3" w:rsidRPr="00EA7870">
        <w:rPr>
          <w:b/>
          <w:i/>
          <w:sz w:val="20"/>
          <w:szCs w:val="20"/>
          <w:lang w:val="es-AR"/>
        </w:rPr>
        <w:t xml:space="preserve"> </w:t>
      </w:r>
      <w:r w:rsidRPr="00EA7870">
        <w:rPr>
          <w:b/>
          <w:i/>
          <w:sz w:val="20"/>
          <w:szCs w:val="20"/>
          <w:lang w:val="es-AR"/>
        </w:rPr>
        <w:t>Endeudamiento</w:t>
      </w:r>
    </w:p>
    <w:p w14:paraId="4A83E445" w14:textId="77777777" w:rsidR="00376725" w:rsidRPr="00EA7870" w:rsidRDefault="00376725" w:rsidP="00376725">
      <w:pPr>
        <w:tabs>
          <w:tab w:val="left" w:pos="0"/>
        </w:tabs>
        <w:jc w:val="both"/>
        <w:rPr>
          <w:sz w:val="20"/>
          <w:szCs w:val="20"/>
          <w:lang w:val="es-AR"/>
        </w:rPr>
      </w:pPr>
    </w:p>
    <w:p w14:paraId="40D8F6E5"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(1)</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Incurrirán,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permitirá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Incurra,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adicional</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dar</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Incurrimiento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adicional,</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Cobertura</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inferior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2,00</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1,00,</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Capitalización</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superior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0,50</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1,00.</w:t>
      </w:r>
      <w:r w:rsidR="001A28B3" w:rsidRPr="00EA7870">
        <w:rPr>
          <w:sz w:val="20"/>
          <w:szCs w:val="20"/>
          <w:lang w:val="es-AR"/>
        </w:rPr>
        <w:t xml:space="preserve"> </w:t>
      </w:r>
    </w:p>
    <w:p w14:paraId="5E848223" w14:textId="77777777" w:rsidR="00376725" w:rsidRPr="00EA7870" w:rsidRDefault="00376725" w:rsidP="00376725">
      <w:pPr>
        <w:tabs>
          <w:tab w:val="left" w:pos="0"/>
        </w:tabs>
        <w:ind w:firstLine="709"/>
        <w:jc w:val="both"/>
        <w:rPr>
          <w:sz w:val="20"/>
          <w:szCs w:val="20"/>
          <w:lang w:val="es-AR"/>
        </w:rPr>
      </w:pPr>
    </w:p>
    <w:p w14:paraId="1C81557B"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(2)</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Incurrir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siguientes</w:t>
      </w:r>
      <w:r w:rsidR="001A28B3" w:rsidRPr="00EA7870">
        <w:rPr>
          <w:sz w:val="20"/>
          <w:szCs w:val="20"/>
          <w:lang w:val="es-AR"/>
        </w:rPr>
        <w:t xml:space="preserve"> </w:t>
      </w:r>
      <w:r w:rsidRPr="00EA7870">
        <w:rPr>
          <w:sz w:val="20"/>
          <w:szCs w:val="20"/>
          <w:lang w:val="es-AR"/>
        </w:rPr>
        <w:t>Endeudamientos:</w:t>
      </w:r>
    </w:p>
    <w:p w14:paraId="28B8FE37" w14:textId="77777777" w:rsidR="00376725" w:rsidRPr="00EA7870" w:rsidRDefault="00376725" w:rsidP="00376725">
      <w:pPr>
        <w:tabs>
          <w:tab w:val="left" w:pos="0"/>
        </w:tabs>
        <w:ind w:firstLine="709"/>
        <w:jc w:val="both"/>
        <w:rPr>
          <w:sz w:val="20"/>
          <w:szCs w:val="20"/>
          <w:lang w:val="es-AR"/>
        </w:rPr>
      </w:pPr>
    </w:p>
    <w:p w14:paraId="5BFD561A"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intercompañía</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quedando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posterior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Social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hecho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resultara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detentado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distinta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constituye,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Incurrimiento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estaba</w:t>
      </w:r>
      <w:r w:rsidR="001A28B3" w:rsidRPr="00EA7870">
        <w:rPr>
          <w:sz w:val="20"/>
          <w:szCs w:val="20"/>
          <w:lang w:val="es-AR"/>
        </w:rPr>
        <w:t xml:space="preserve"> </w:t>
      </w:r>
      <w:r w:rsidRPr="00EA7870">
        <w:rPr>
          <w:sz w:val="20"/>
          <w:szCs w:val="20"/>
          <w:lang w:val="es-AR"/>
        </w:rPr>
        <w:t>permitido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esta</w:t>
      </w:r>
      <w:r w:rsidR="001A28B3" w:rsidRPr="00EA7870">
        <w:rPr>
          <w:sz w:val="20"/>
          <w:szCs w:val="20"/>
          <w:lang w:val="es-AR"/>
        </w:rPr>
        <w:t xml:space="preserve"> </w:t>
      </w:r>
      <w:r w:rsidRPr="00EA7870">
        <w:rPr>
          <w:sz w:val="20"/>
          <w:szCs w:val="20"/>
          <w:lang w:val="es-AR"/>
        </w:rPr>
        <w:t>cláusula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p>
    <w:p w14:paraId="20DD0049" w14:textId="77777777" w:rsidR="00376725" w:rsidRPr="00EA7870" w:rsidRDefault="00376725" w:rsidP="00376725">
      <w:pPr>
        <w:tabs>
          <w:tab w:val="left" w:pos="0"/>
        </w:tabs>
        <w:ind w:firstLine="709"/>
        <w:jc w:val="both"/>
        <w:rPr>
          <w:sz w:val="20"/>
          <w:szCs w:val="20"/>
          <w:lang w:val="es-AR"/>
        </w:rPr>
      </w:pPr>
    </w:p>
    <w:p w14:paraId="5960A604" w14:textId="676B4DA5" w:rsidR="00376725" w:rsidRPr="00EA7870" w:rsidRDefault="00376725" w:rsidP="00376725">
      <w:pPr>
        <w:tabs>
          <w:tab w:val="left" w:pos="0"/>
        </w:tabs>
        <w:ind w:firstLine="709"/>
        <w:jc w:val="both"/>
        <w:rPr>
          <w:sz w:val="20"/>
          <w:szCs w:val="20"/>
          <w:lang w:val="es-AR"/>
        </w:rPr>
      </w:pPr>
      <w:r w:rsidRPr="00EA7870">
        <w:rPr>
          <w:sz w:val="20"/>
          <w:szCs w:val="20"/>
          <w:lang w:val="es-AR"/>
        </w:rPr>
        <w:t>(b)</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representado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pendiente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w:t>
      </w:r>
      <w:r w:rsidR="002E396E" w:rsidRPr="00EA7870">
        <w:rPr>
          <w:sz w:val="20"/>
          <w:szCs w:val="20"/>
          <w:lang w:val="es-AR"/>
        </w:rPr>
        <w:t>n</w:t>
      </w:r>
      <w:r w:rsidR="001A28B3" w:rsidRPr="00EA7870">
        <w:rPr>
          <w:sz w:val="20"/>
          <w:szCs w:val="20"/>
          <w:lang w:val="es-AR"/>
        </w:rPr>
        <w:t xml:space="preserve"> </w:t>
      </w:r>
      <w:r w:rsidR="002E396E" w:rsidRPr="00EA7870">
        <w:rPr>
          <w:sz w:val="20"/>
          <w:szCs w:val="20"/>
          <w:lang w:val="es-AR"/>
        </w:rPr>
        <w:t>y</w:t>
      </w:r>
      <w:r w:rsidR="001A28B3" w:rsidRPr="00EA7870">
        <w:rPr>
          <w:sz w:val="20"/>
          <w:szCs w:val="20"/>
          <w:lang w:val="es-AR"/>
        </w:rPr>
        <w:t xml:space="preserve"> </w:t>
      </w:r>
      <w:r w:rsidR="002E396E" w:rsidRPr="00EA7870">
        <w:rPr>
          <w:sz w:val="20"/>
          <w:szCs w:val="20"/>
          <w:lang w:val="es-AR"/>
        </w:rPr>
        <w:t>Liquidació</w:t>
      </w:r>
      <w:r w:rsidRPr="00EA7870">
        <w:rPr>
          <w:sz w:val="20"/>
          <w:szCs w:val="20"/>
          <w:lang w:val="es-AR"/>
        </w:rPr>
        <w:t>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(iii)</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consiste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refinanciación</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descripto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precedente,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cláusula;</w:t>
      </w:r>
      <w:r w:rsidR="001A28B3" w:rsidRPr="00EA7870">
        <w:rPr>
          <w:sz w:val="20"/>
          <w:szCs w:val="20"/>
          <w:lang w:val="es-AR"/>
        </w:rPr>
        <w:t xml:space="preserve"> </w:t>
      </w:r>
      <w:r w:rsidR="002E396E" w:rsidRPr="00EA7870">
        <w:rPr>
          <w:sz w:val="20"/>
          <w:szCs w:val="20"/>
          <w:lang w:val="es-AR"/>
        </w:rPr>
        <w:t>(b)</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apartado</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continuación;</w:t>
      </w:r>
      <w:r w:rsidR="001A28B3" w:rsidRPr="00EA7870">
        <w:rPr>
          <w:sz w:val="20"/>
          <w:szCs w:val="20"/>
          <w:lang w:val="es-AR"/>
        </w:rPr>
        <w:t xml:space="preserve"> </w:t>
      </w:r>
      <w:r w:rsidRPr="00EA7870">
        <w:rPr>
          <w:i/>
          <w:sz w:val="20"/>
          <w:szCs w:val="20"/>
          <w:lang w:val="es-AR"/>
        </w:rPr>
        <w:t>quedando</w:t>
      </w:r>
      <w:r w:rsidR="001A28B3" w:rsidRPr="00EA7870">
        <w:rPr>
          <w:i/>
          <w:sz w:val="20"/>
          <w:szCs w:val="20"/>
          <w:lang w:val="es-AR"/>
        </w:rPr>
        <w:t xml:space="preserve"> </w:t>
      </w:r>
      <w:r w:rsidRPr="00EA7870">
        <w:rPr>
          <w:i/>
          <w:sz w:val="20"/>
          <w:szCs w:val="20"/>
          <w:lang w:val="es-AR"/>
        </w:rPr>
        <w:t>establecido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apartado</w:t>
      </w:r>
      <w:r w:rsidR="001A28B3" w:rsidRPr="00EA7870">
        <w:rPr>
          <w:sz w:val="20"/>
          <w:szCs w:val="20"/>
          <w:lang w:val="es-AR"/>
        </w:rPr>
        <w:t xml:space="preserve"> </w:t>
      </w:r>
      <w:r w:rsidRPr="00EA7870">
        <w:rPr>
          <w:sz w:val="20"/>
          <w:szCs w:val="20"/>
          <w:lang w:val="es-AR"/>
        </w:rPr>
        <w:t>(iii),</w:t>
      </w:r>
      <w:r w:rsidR="001A28B3" w:rsidRPr="00EA7870">
        <w:rPr>
          <w:sz w:val="20"/>
          <w:szCs w:val="20"/>
          <w:lang w:val="es-AR"/>
        </w:rPr>
        <w:t xml:space="preserve"> </w:t>
      </w:r>
      <w:r w:rsidRPr="00EA7870">
        <w:rPr>
          <w:sz w:val="20"/>
          <w:szCs w:val="20"/>
          <w:lang w:val="es-AR"/>
        </w:rPr>
        <w:t>(x)</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refinanciado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supere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está</w:t>
      </w:r>
      <w:r w:rsidR="001A28B3" w:rsidRPr="00EA7870">
        <w:rPr>
          <w:sz w:val="20"/>
          <w:szCs w:val="20"/>
          <w:lang w:val="es-AR"/>
        </w:rPr>
        <w:t xml:space="preserve"> </w:t>
      </w:r>
      <w:r w:rsidRPr="00EA7870">
        <w:rPr>
          <w:sz w:val="20"/>
          <w:szCs w:val="20"/>
          <w:lang w:val="es-AR"/>
        </w:rPr>
        <w:t>siendo</w:t>
      </w:r>
      <w:r w:rsidR="001A28B3" w:rsidRPr="00EA7870">
        <w:rPr>
          <w:sz w:val="20"/>
          <w:szCs w:val="20"/>
          <w:lang w:val="es-AR"/>
        </w:rPr>
        <w:t xml:space="preserve"> </w:t>
      </w:r>
      <w:r w:rsidRPr="00EA7870">
        <w:rPr>
          <w:sz w:val="20"/>
          <w:szCs w:val="20"/>
          <w:lang w:val="es-AR"/>
        </w:rPr>
        <w:t>refinanciado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devengados</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impagos,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primas,</w:t>
      </w:r>
      <w:r w:rsidR="001A28B3" w:rsidRPr="00EA7870">
        <w:rPr>
          <w:sz w:val="20"/>
          <w:szCs w:val="20"/>
          <w:lang w:val="es-AR"/>
        </w:rPr>
        <w:t xml:space="preserve"> </w:t>
      </w:r>
      <w:r w:rsidRPr="00EA7870">
        <w:rPr>
          <w:sz w:val="20"/>
          <w:szCs w:val="20"/>
          <w:lang w:val="es-AR"/>
        </w:rPr>
        <w:t>comisiones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relacionados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refinanciación)</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vigencia</w:t>
      </w:r>
      <w:r w:rsidR="001A28B3" w:rsidRPr="00EA7870">
        <w:rPr>
          <w:sz w:val="20"/>
          <w:szCs w:val="20"/>
          <w:lang w:val="es-AR"/>
        </w:rPr>
        <w:t xml:space="preserve"> </w:t>
      </w:r>
      <w:r w:rsidRPr="00EA7870">
        <w:rPr>
          <w:sz w:val="20"/>
          <w:szCs w:val="20"/>
          <w:lang w:val="es-AR"/>
        </w:rPr>
        <w:t>promedio</w:t>
      </w:r>
      <w:r w:rsidR="001A28B3" w:rsidRPr="00EA7870">
        <w:rPr>
          <w:sz w:val="20"/>
          <w:szCs w:val="20"/>
          <w:lang w:val="es-AR"/>
        </w:rPr>
        <w:t xml:space="preserve"> </w:t>
      </w:r>
      <w:r w:rsidRPr="00EA7870">
        <w:rPr>
          <w:sz w:val="20"/>
          <w:szCs w:val="20"/>
          <w:lang w:val="es-AR"/>
        </w:rPr>
        <w:t>ponderada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refinanciado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breve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está</w:t>
      </w:r>
      <w:r w:rsidR="001A28B3" w:rsidRPr="00EA7870">
        <w:rPr>
          <w:sz w:val="20"/>
          <w:szCs w:val="20"/>
          <w:lang w:val="es-AR"/>
        </w:rPr>
        <w:t xml:space="preserve"> </w:t>
      </w:r>
      <w:r w:rsidRPr="00EA7870">
        <w:rPr>
          <w:sz w:val="20"/>
          <w:szCs w:val="20"/>
          <w:lang w:val="es-AR"/>
        </w:rPr>
        <w:t>siendo</w:t>
      </w:r>
      <w:r w:rsidR="001A28B3" w:rsidRPr="00EA7870">
        <w:rPr>
          <w:sz w:val="20"/>
          <w:szCs w:val="20"/>
          <w:lang w:val="es-AR"/>
        </w:rPr>
        <w:t xml:space="preserve"> </w:t>
      </w:r>
      <w:r w:rsidRPr="00EA7870">
        <w:rPr>
          <w:sz w:val="20"/>
          <w:szCs w:val="20"/>
          <w:lang w:val="es-AR"/>
        </w:rPr>
        <w:t>refinanciado;</w:t>
      </w:r>
    </w:p>
    <w:p w14:paraId="6BCDDBD0" w14:textId="77777777" w:rsidR="00376725" w:rsidRPr="00EA7870" w:rsidRDefault="00376725" w:rsidP="00376725">
      <w:pPr>
        <w:tabs>
          <w:tab w:val="left" w:pos="0"/>
        </w:tabs>
        <w:ind w:firstLine="709"/>
        <w:jc w:val="both"/>
        <w:rPr>
          <w:sz w:val="20"/>
          <w:szCs w:val="20"/>
          <w:lang w:val="es-AR"/>
        </w:rPr>
      </w:pPr>
    </w:p>
    <w:p w14:paraId="5376BE23"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(c)</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autoseguro,</w:t>
      </w:r>
      <w:r w:rsidR="001A28B3" w:rsidRPr="00EA7870">
        <w:rPr>
          <w:sz w:val="20"/>
          <w:szCs w:val="20"/>
          <w:lang w:val="es-AR"/>
        </w:rPr>
        <w:t xml:space="preserve"> </w:t>
      </w:r>
      <w:r w:rsidRPr="00EA7870">
        <w:rPr>
          <w:sz w:val="20"/>
          <w:szCs w:val="20"/>
          <w:lang w:val="es-AR"/>
        </w:rPr>
        <w:t>garantías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caución,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recursos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apelación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garantías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representadas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depósitos,</w:t>
      </w:r>
      <w:r w:rsidR="001A28B3" w:rsidRPr="00EA7870">
        <w:rPr>
          <w:sz w:val="20"/>
          <w:szCs w:val="20"/>
          <w:lang w:val="es-AR"/>
        </w:rPr>
        <w:t xml:space="preserve"> </w:t>
      </w:r>
      <w:r w:rsidRPr="00EA7870">
        <w:rPr>
          <w:sz w:val="20"/>
          <w:szCs w:val="20"/>
          <w:lang w:val="es-AR"/>
        </w:rPr>
        <w:t>aceptaciones</w:t>
      </w:r>
      <w:r w:rsidR="001A28B3" w:rsidRPr="00EA7870">
        <w:rPr>
          <w:sz w:val="20"/>
          <w:szCs w:val="20"/>
          <w:lang w:val="es-AR"/>
        </w:rPr>
        <w:t xml:space="preserve"> </w:t>
      </w:r>
      <w:r w:rsidRPr="00EA7870">
        <w:rPr>
          <w:sz w:val="20"/>
          <w:szCs w:val="20"/>
          <w:lang w:val="es-AR"/>
        </w:rPr>
        <w:t>bancarias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cartas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crédito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instrumentos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antedicho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giro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negocios;</w:t>
      </w:r>
    </w:p>
    <w:p w14:paraId="0D691D0F" w14:textId="77777777" w:rsidR="00376725" w:rsidRPr="00EA7870" w:rsidRDefault="00376725" w:rsidP="00376725">
      <w:pPr>
        <w:tabs>
          <w:tab w:val="left" w:pos="0"/>
        </w:tabs>
        <w:ind w:firstLine="709"/>
        <w:jc w:val="both"/>
        <w:rPr>
          <w:b/>
          <w:bCs/>
          <w:i/>
          <w:iCs/>
          <w:sz w:val="20"/>
          <w:szCs w:val="20"/>
          <w:lang w:val="es-AR"/>
        </w:rPr>
      </w:pPr>
    </w:p>
    <w:p w14:paraId="148C81D9"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(d)</w:t>
      </w:r>
      <w:r w:rsidR="001A28B3" w:rsidRPr="00EA7870">
        <w:rPr>
          <w:sz w:val="20"/>
          <w:szCs w:val="20"/>
          <w:lang w:val="es-AR"/>
        </w:rPr>
        <w:t xml:space="preserve"> </w:t>
      </w:r>
      <w:r w:rsidRPr="00EA7870">
        <w:rPr>
          <w:sz w:val="20"/>
          <w:szCs w:val="20"/>
          <w:lang w:val="es-AR"/>
        </w:rPr>
        <w:t>Acuerdos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Cobertura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celebrados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giro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negocios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motivos</w:t>
      </w:r>
      <w:r w:rsidR="001A28B3" w:rsidRPr="00EA7870">
        <w:rPr>
          <w:sz w:val="20"/>
          <w:szCs w:val="20"/>
          <w:lang w:val="es-AR"/>
        </w:rPr>
        <w:t xml:space="preserve"> </w:t>
      </w:r>
      <w:r w:rsidRPr="00EA7870">
        <w:rPr>
          <w:sz w:val="20"/>
          <w:szCs w:val="20"/>
          <w:lang w:val="es-AR"/>
        </w:rPr>
        <w:t>especulativos;</w:t>
      </w:r>
    </w:p>
    <w:p w14:paraId="6D5E1A8D" w14:textId="77777777" w:rsidR="00376725" w:rsidRPr="00EA7870" w:rsidRDefault="00376725" w:rsidP="00376725">
      <w:pPr>
        <w:tabs>
          <w:tab w:val="left" w:pos="0"/>
        </w:tabs>
        <w:ind w:firstLine="709"/>
        <w:jc w:val="both"/>
        <w:rPr>
          <w:sz w:val="20"/>
          <w:szCs w:val="20"/>
          <w:lang w:val="es-AR"/>
        </w:rPr>
      </w:pPr>
    </w:p>
    <w:p w14:paraId="4E2D8051"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derivado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prevén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indemnización,</w:t>
      </w:r>
      <w:r w:rsidR="001A28B3" w:rsidRPr="00EA7870">
        <w:rPr>
          <w:sz w:val="20"/>
          <w:szCs w:val="20"/>
          <w:lang w:val="es-AR"/>
        </w:rPr>
        <w:t xml:space="preserve"> </w:t>
      </w:r>
      <w:r w:rsidRPr="00EA7870">
        <w:rPr>
          <w:sz w:val="20"/>
          <w:szCs w:val="20"/>
          <w:lang w:val="es-AR"/>
        </w:rPr>
        <w:t>ajuste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enajenación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negocio,</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Social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quedando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máxima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superar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fondos</w:t>
      </w:r>
      <w:r w:rsidR="001A28B3" w:rsidRPr="00EA7870">
        <w:rPr>
          <w:sz w:val="20"/>
          <w:szCs w:val="20"/>
          <w:lang w:val="es-AR"/>
        </w:rPr>
        <w:t xml:space="preserve"> </w:t>
      </w:r>
      <w:r w:rsidRPr="00EA7870">
        <w:rPr>
          <w:sz w:val="20"/>
          <w:szCs w:val="20"/>
          <w:lang w:val="es-AR"/>
        </w:rPr>
        <w:t>brutos</w:t>
      </w:r>
      <w:r w:rsidR="001A28B3" w:rsidRPr="00EA7870">
        <w:rPr>
          <w:sz w:val="20"/>
          <w:szCs w:val="20"/>
          <w:lang w:val="es-AR"/>
        </w:rPr>
        <w:t xml:space="preserve"> </w:t>
      </w:r>
      <w:r w:rsidRPr="00EA7870">
        <w:rPr>
          <w:sz w:val="20"/>
          <w:szCs w:val="20"/>
          <w:lang w:val="es-AR"/>
        </w:rPr>
        <w:t>efectivamente</w:t>
      </w:r>
      <w:r w:rsidR="001A28B3" w:rsidRPr="00EA7870">
        <w:rPr>
          <w:sz w:val="20"/>
          <w:szCs w:val="20"/>
          <w:lang w:val="es-AR"/>
        </w:rPr>
        <w:t xml:space="preserve"> </w:t>
      </w:r>
      <w:r w:rsidRPr="00EA7870">
        <w:rPr>
          <w:sz w:val="20"/>
          <w:szCs w:val="20"/>
          <w:lang w:val="es-AR"/>
        </w:rPr>
        <w:t>percibidos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enajenación;</w:t>
      </w:r>
    </w:p>
    <w:p w14:paraId="42A08F3F" w14:textId="77777777" w:rsidR="00376725" w:rsidRPr="00EA7870" w:rsidRDefault="00376725" w:rsidP="00376725">
      <w:pPr>
        <w:tabs>
          <w:tab w:val="left" w:pos="0"/>
        </w:tabs>
        <w:ind w:firstLine="709"/>
        <w:jc w:val="both"/>
        <w:rPr>
          <w:sz w:val="20"/>
          <w:szCs w:val="20"/>
          <w:lang w:val="es-AR"/>
        </w:rPr>
      </w:pPr>
    </w:p>
    <w:p w14:paraId="24A44C57"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(f)</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surja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banco</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entidad</w:t>
      </w:r>
      <w:r w:rsidR="001A28B3" w:rsidRPr="00EA7870">
        <w:rPr>
          <w:sz w:val="20"/>
          <w:szCs w:val="20"/>
          <w:lang w:val="es-AR"/>
        </w:rPr>
        <w:t xml:space="preserve"> </w:t>
      </w:r>
      <w:r w:rsidRPr="00EA7870">
        <w:rPr>
          <w:sz w:val="20"/>
          <w:szCs w:val="20"/>
          <w:lang w:val="es-AR"/>
        </w:rPr>
        <w:t>financiera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cheque,</w:t>
      </w:r>
      <w:r w:rsidR="001A28B3" w:rsidRPr="00EA7870">
        <w:rPr>
          <w:sz w:val="20"/>
          <w:szCs w:val="20"/>
          <w:lang w:val="es-AR"/>
        </w:rPr>
        <w:t xml:space="preserve"> </w:t>
      </w:r>
      <w:r w:rsidRPr="00EA7870">
        <w:rPr>
          <w:sz w:val="20"/>
          <w:szCs w:val="20"/>
          <w:lang w:val="es-AR"/>
        </w:rPr>
        <w:t>giro</w:t>
      </w:r>
      <w:r w:rsidR="001A28B3" w:rsidRPr="00EA7870">
        <w:rPr>
          <w:sz w:val="20"/>
          <w:szCs w:val="20"/>
          <w:lang w:val="es-AR"/>
        </w:rPr>
        <w:t xml:space="preserve"> </w:t>
      </w:r>
      <w:r w:rsidRPr="00EA7870">
        <w:rPr>
          <w:sz w:val="20"/>
          <w:szCs w:val="20"/>
          <w:lang w:val="es-AR"/>
        </w:rPr>
        <w:t>bancario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instrumento</w:t>
      </w:r>
      <w:r w:rsidR="001A28B3" w:rsidRPr="00EA7870">
        <w:rPr>
          <w:sz w:val="20"/>
          <w:szCs w:val="20"/>
          <w:lang w:val="es-AR"/>
        </w:rPr>
        <w:t xml:space="preserve"> </w:t>
      </w:r>
      <w:r w:rsidRPr="00EA7870">
        <w:rPr>
          <w:sz w:val="20"/>
          <w:szCs w:val="20"/>
          <w:lang w:val="es-AR"/>
        </w:rPr>
        <w:t>similar</w:t>
      </w:r>
      <w:r w:rsidR="001A28B3" w:rsidRPr="00EA7870">
        <w:rPr>
          <w:sz w:val="20"/>
          <w:szCs w:val="20"/>
          <w:lang w:val="es-AR"/>
        </w:rPr>
        <w:t xml:space="preserve"> </w:t>
      </w:r>
      <w:r w:rsidRPr="00EA7870">
        <w:rPr>
          <w:sz w:val="20"/>
          <w:szCs w:val="20"/>
          <w:lang w:val="es-AR"/>
        </w:rPr>
        <w:t>girado</w:t>
      </w:r>
      <w:r w:rsidR="001A28B3" w:rsidRPr="00EA7870">
        <w:rPr>
          <w:sz w:val="20"/>
          <w:szCs w:val="20"/>
          <w:lang w:val="es-AR"/>
        </w:rPr>
        <w:t xml:space="preserve"> </w:t>
      </w:r>
      <w:r w:rsidRPr="00EA7870">
        <w:rPr>
          <w:sz w:val="20"/>
          <w:szCs w:val="20"/>
          <w:lang w:val="es-AR"/>
        </w:rPr>
        <w:t>contra</w:t>
      </w:r>
      <w:r w:rsidR="001A28B3" w:rsidRPr="00EA7870">
        <w:rPr>
          <w:sz w:val="20"/>
          <w:szCs w:val="20"/>
          <w:lang w:val="es-AR"/>
        </w:rPr>
        <w:t xml:space="preserve"> </w:t>
      </w:r>
      <w:r w:rsidRPr="00EA7870">
        <w:rPr>
          <w:sz w:val="20"/>
          <w:szCs w:val="20"/>
          <w:lang w:val="es-AR"/>
        </w:rPr>
        <w:t>fondos</w:t>
      </w:r>
      <w:r w:rsidR="001A28B3" w:rsidRPr="00EA7870">
        <w:rPr>
          <w:sz w:val="20"/>
          <w:szCs w:val="20"/>
          <w:lang w:val="es-AR"/>
        </w:rPr>
        <w:t xml:space="preserve"> </w:t>
      </w:r>
      <w:r w:rsidRPr="00EA7870">
        <w:rPr>
          <w:sz w:val="20"/>
          <w:szCs w:val="20"/>
          <w:lang w:val="es-AR"/>
        </w:rPr>
        <w:t>insuficientes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giro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negocios;</w:t>
      </w:r>
    </w:p>
    <w:p w14:paraId="4E116106" w14:textId="77777777" w:rsidR="00376725" w:rsidRPr="00EA7870" w:rsidRDefault="00376725" w:rsidP="00376725">
      <w:pPr>
        <w:tabs>
          <w:tab w:val="left" w:pos="0"/>
        </w:tabs>
        <w:ind w:firstLine="709"/>
        <w:jc w:val="both"/>
        <w:rPr>
          <w:sz w:val="20"/>
          <w:szCs w:val="20"/>
          <w:lang w:val="es-AR"/>
        </w:rPr>
      </w:pPr>
    </w:p>
    <w:p w14:paraId="0BC3FE99"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(g)</w:t>
      </w:r>
      <w:r w:rsidR="001A28B3" w:rsidRPr="00EA7870">
        <w:rPr>
          <w:sz w:val="20"/>
          <w:szCs w:val="20"/>
          <w:lang w:val="es-AR"/>
        </w:rPr>
        <w:t xml:space="preserve"> </w:t>
      </w:r>
      <w:r w:rsidRPr="00EA7870">
        <w:rPr>
          <w:sz w:val="20"/>
          <w:szCs w:val="20"/>
          <w:lang w:val="es-AR"/>
        </w:rPr>
        <w:t>depósitos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clientes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adelantado</w:t>
      </w:r>
      <w:r w:rsidR="001A28B3" w:rsidRPr="00EA7870">
        <w:rPr>
          <w:sz w:val="20"/>
          <w:szCs w:val="20"/>
          <w:lang w:val="es-AR"/>
        </w:rPr>
        <w:t xml:space="preserve"> </w:t>
      </w:r>
      <w:r w:rsidRPr="00EA7870">
        <w:rPr>
          <w:sz w:val="20"/>
          <w:szCs w:val="20"/>
          <w:lang w:val="es-AR"/>
        </w:rPr>
        <w:t>recibidos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clientes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arrendamiento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otorgamiento</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licencia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servicios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giro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negocios;</w:t>
      </w:r>
    </w:p>
    <w:p w14:paraId="790AD7C5" w14:textId="77777777" w:rsidR="00376725" w:rsidRPr="00EA7870" w:rsidRDefault="00376725" w:rsidP="00376725">
      <w:pPr>
        <w:tabs>
          <w:tab w:val="left" w:pos="0"/>
        </w:tabs>
        <w:ind w:firstLine="709"/>
        <w:jc w:val="both"/>
        <w:rPr>
          <w:sz w:val="20"/>
          <w:szCs w:val="20"/>
          <w:lang w:val="es-AR"/>
        </w:rPr>
      </w:pPr>
    </w:p>
    <w:p w14:paraId="30049681"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(h)</w:t>
      </w:r>
      <w:r w:rsidR="001A28B3" w:rsidRPr="00EA7870">
        <w:rPr>
          <w:sz w:val="20"/>
          <w:szCs w:val="20"/>
          <w:lang w:val="es-AR"/>
        </w:rPr>
        <w:t xml:space="preserve"> </w:t>
      </w:r>
      <w:r w:rsidRPr="00EA7870">
        <w:rPr>
          <w:sz w:val="20"/>
          <w:szCs w:val="20"/>
          <w:lang w:val="es-AR"/>
        </w:rPr>
        <w:t>garantías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incurrirse</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compromiso;</w:t>
      </w:r>
    </w:p>
    <w:p w14:paraId="3B0EA91B" w14:textId="77777777" w:rsidR="00376725" w:rsidRPr="00EA7870" w:rsidRDefault="00376725" w:rsidP="00376725">
      <w:pPr>
        <w:tabs>
          <w:tab w:val="left" w:pos="0"/>
        </w:tabs>
        <w:ind w:firstLine="709"/>
        <w:jc w:val="both"/>
        <w:rPr>
          <w:sz w:val="20"/>
          <w:szCs w:val="20"/>
          <w:lang w:val="es-AR"/>
        </w:rPr>
      </w:pPr>
    </w:p>
    <w:p w14:paraId="3C7A4D45" w14:textId="77777777" w:rsidR="00376725" w:rsidRPr="00EA7870" w:rsidRDefault="00376725" w:rsidP="00E2318E">
      <w:pPr>
        <w:numPr>
          <w:ilvl w:val="0"/>
          <w:numId w:val="11"/>
        </w:numPr>
        <w:tabs>
          <w:tab w:val="left" w:pos="0"/>
        </w:tabs>
        <w:ind w:left="0" w:firstLine="709"/>
        <w:jc w:val="both"/>
        <w:rPr>
          <w:sz w:val="20"/>
          <w:szCs w:val="20"/>
          <w:lang w:val="es-AR"/>
        </w:rPr>
      </w:pPr>
      <w:r w:rsidRPr="00EA7870">
        <w:rPr>
          <w:sz w:val="20"/>
          <w:szCs w:val="20"/>
          <w:lang w:val="es-AR"/>
        </w:rPr>
        <w:t>Deuda</w:t>
      </w:r>
      <w:r w:rsidR="001A28B3" w:rsidRPr="00EA7870">
        <w:rPr>
          <w:sz w:val="20"/>
          <w:szCs w:val="20"/>
          <w:lang w:val="es-AR"/>
        </w:rPr>
        <w:t xml:space="preserve"> </w:t>
      </w:r>
      <w:r w:rsidRPr="00EA7870">
        <w:rPr>
          <w:sz w:val="20"/>
          <w:szCs w:val="20"/>
          <w:lang w:val="es-AR"/>
        </w:rPr>
        <w:t>Adquirida;</w:t>
      </w:r>
      <w:r w:rsidR="001A28B3" w:rsidRPr="00EA7870">
        <w:rPr>
          <w:sz w:val="20"/>
          <w:szCs w:val="20"/>
          <w:lang w:val="es-AR"/>
        </w:rPr>
        <w:t xml:space="preserve"> </w:t>
      </w:r>
      <w:r w:rsidRPr="00EA7870">
        <w:rPr>
          <w:sz w:val="20"/>
          <w:szCs w:val="20"/>
          <w:lang w:val="es-AR"/>
        </w:rPr>
        <w:t>quedando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dar</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Incurrimiento,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pudiera</w:t>
      </w:r>
      <w:r w:rsidR="001A28B3" w:rsidRPr="00EA7870">
        <w:rPr>
          <w:sz w:val="20"/>
          <w:szCs w:val="20"/>
          <w:lang w:val="es-AR"/>
        </w:rPr>
        <w:t xml:space="preserve"> </w:t>
      </w:r>
      <w:r w:rsidRPr="00EA7870">
        <w:rPr>
          <w:sz w:val="20"/>
          <w:szCs w:val="20"/>
          <w:lang w:val="es-AR"/>
        </w:rPr>
        <w:t>Incurrir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US$</w:t>
      </w:r>
      <w:r w:rsidR="001A28B3" w:rsidRPr="00EA7870">
        <w:rPr>
          <w:sz w:val="20"/>
          <w:szCs w:val="20"/>
          <w:lang w:val="es-AR"/>
        </w:rPr>
        <w:t xml:space="preserve"> </w:t>
      </w:r>
      <w:r w:rsidRPr="00EA7870">
        <w:rPr>
          <w:sz w:val="20"/>
          <w:szCs w:val="20"/>
          <w:lang w:val="es-AR"/>
        </w:rPr>
        <w:t>1,00</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precedente,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(x)</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Cobertura</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igual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superior</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0054642B" w:rsidRPr="00EA7870">
        <w:rPr>
          <w:sz w:val="20"/>
          <w:szCs w:val="20"/>
          <w:lang w:val="es-AR"/>
        </w:rPr>
        <w:t>antes</w:t>
      </w:r>
      <w:r w:rsidR="001A28B3" w:rsidRPr="00EA7870">
        <w:rPr>
          <w:sz w:val="20"/>
          <w:szCs w:val="20"/>
          <w:lang w:val="es-AR"/>
        </w:rPr>
        <w:t xml:space="preserve"> </w:t>
      </w:r>
      <w:r w:rsidR="0054642B" w:rsidRPr="00EA7870">
        <w:rPr>
          <w:sz w:val="20"/>
          <w:szCs w:val="20"/>
          <w:lang w:val="es-AR"/>
        </w:rPr>
        <w:t>de</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Capitalización</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igual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inferior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0054642B" w:rsidRPr="00EA7870">
        <w:rPr>
          <w:sz w:val="20"/>
          <w:szCs w:val="20"/>
          <w:lang w:val="es-AR"/>
        </w:rPr>
        <w:t>antes</w:t>
      </w:r>
      <w:r w:rsidR="001A28B3" w:rsidRPr="00EA7870">
        <w:rPr>
          <w:sz w:val="20"/>
          <w:szCs w:val="20"/>
          <w:lang w:val="es-AR"/>
        </w:rPr>
        <w:t xml:space="preserve"> </w:t>
      </w:r>
      <w:r w:rsidR="0054642B" w:rsidRPr="00EA7870">
        <w:rPr>
          <w:sz w:val="20"/>
          <w:szCs w:val="20"/>
          <w:lang w:val="es-AR"/>
        </w:rPr>
        <w:t>de</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y</w:t>
      </w:r>
    </w:p>
    <w:p w14:paraId="3AF32F73" w14:textId="77777777" w:rsidR="00376725" w:rsidRPr="00EA7870" w:rsidRDefault="00376725" w:rsidP="00376725">
      <w:pPr>
        <w:tabs>
          <w:tab w:val="left" w:pos="0"/>
        </w:tabs>
        <w:ind w:firstLine="709"/>
        <w:jc w:val="both"/>
        <w:rPr>
          <w:sz w:val="20"/>
          <w:szCs w:val="20"/>
          <w:lang w:val="es-AR"/>
        </w:rPr>
      </w:pPr>
    </w:p>
    <w:p w14:paraId="1E703163" w14:textId="1582F943" w:rsidR="00376725" w:rsidRPr="00EA7870" w:rsidRDefault="00376725" w:rsidP="00376725">
      <w:pPr>
        <w:tabs>
          <w:tab w:val="left" w:pos="0"/>
        </w:tabs>
        <w:ind w:firstLine="709"/>
        <w:jc w:val="both"/>
        <w:rPr>
          <w:sz w:val="20"/>
          <w:szCs w:val="20"/>
          <w:lang w:val="es-AR"/>
        </w:rPr>
      </w:pPr>
      <w:r w:rsidRPr="00EA7870">
        <w:rPr>
          <w:sz w:val="20"/>
          <w:szCs w:val="20"/>
          <w:lang w:val="es-AR"/>
        </w:rPr>
        <w:t>(j)</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partir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00EF780E" w:rsidRPr="00EA7870">
        <w:rPr>
          <w:sz w:val="20"/>
          <w:szCs w:val="20"/>
          <w:lang w:val="es-AR"/>
        </w:rPr>
        <w:t>y</w:t>
      </w:r>
      <w:r w:rsidR="001A28B3" w:rsidRPr="00EA7870">
        <w:rPr>
          <w:sz w:val="20"/>
          <w:szCs w:val="20"/>
          <w:lang w:val="es-AR"/>
        </w:rPr>
        <w:t xml:space="preserve"> </w:t>
      </w:r>
      <w:r w:rsidR="00EF780E" w:rsidRPr="00EA7870">
        <w:rPr>
          <w:sz w:val="20"/>
          <w:szCs w:val="20"/>
          <w:lang w:val="es-AR"/>
        </w:rPr>
        <w:t>Liquidación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permitido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pendiente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cancelación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supere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7,5%</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Totales</w:t>
      </w:r>
      <w:r w:rsidR="001A28B3" w:rsidRPr="00EA7870">
        <w:rPr>
          <w:sz w:val="20"/>
          <w:szCs w:val="20"/>
          <w:lang w:val="es-AR"/>
        </w:rPr>
        <w:t xml:space="preserve"> </w:t>
      </w:r>
      <w:r w:rsidRPr="00EA7870">
        <w:rPr>
          <w:sz w:val="20"/>
          <w:szCs w:val="20"/>
          <w:lang w:val="es-AR"/>
        </w:rPr>
        <w:t>Consolidados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p>
    <w:p w14:paraId="512357F0" w14:textId="77777777" w:rsidR="00376725" w:rsidRPr="00EA7870" w:rsidRDefault="00376725" w:rsidP="00376725">
      <w:pPr>
        <w:tabs>
          <w:tab w:val="left" w:pos="0"/>
        </w:tabs>
        <w:jc w:val="both"/>
        <w:rPr>
          <w:sz w:val="20"/>
          <w:szCs w:val="20"/>
          <w:lang w:val="es-AR"/>
        </w:rPr>
      </w:pPr>
    </w:p>
    <w:p w14:paraId="53F17C23" w14:textId="77777777" w:rsidR="00376725" w:rsidRPr="00EA7870" w:rsidRDefault="00376725" w:rsidP="00B37C3D">
      <w:pPr>
        <w:tabs>
          <w:tab w:val="left" w:pos="0"/>
        </w:tabs>
        <w:jc w:val="both"/>
        <w:rPr>
          <w:sz w:val="20"/>
          <w:szCs w:val="20"/>
          <w:lang w:val="es-AR"/>
        </w:rPr>
      </w:pPr>
      <w:r w:rsidRPr="00EA7870">
        <w:rPr>
          <w:sz w:val="20"/>
          <w:szCs w:val="20"/>
          <w:lang w:val="es-AR"/>
        </w:rPr>
        <w:t>(3)</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compromiso:</w:t>
      </w:r>
    </w:p>
    <w:p w14:paraId="72341E68" w14:textId="77777777" w:rsidR="00376725" w:rsidRPr="00EA7870" w:rsidRDefault="00376725" w:rsidP="00376725">
      <w:pPr>
        <w:tabs>
          <w:tab w:val="left" w:pos="0"/>
        </w:tabs>
        <w:ind w:firstLine="709"/>
        <w:jc w:val="both"/>
        <w:rPr>
          <w:sz w:val="20"/>
          <w:szCs w:val="20"/>
          <w:lang w:val="es-AR"/>
        </w:rPr>
      </w:pPr>
    </w:p>
    <w:p w14:paraId="547F77DD" w14:textId="77777777" w:rsidR="00376725" w:rsidRPr="00EA7870" w:rsidRDefault="00376725" w:rsidP="00376725">
      <w:pPr>
        <w:tabs>
          <w:tab w:val="left" w:pos="0"/>
        </w:tabs>
        <w:ind w:left="708" w:firstLine="709"/>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componente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cumple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criterios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tipos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descriptos</w:t>
      </w:r>
      <w:r w:rsidR="001A28B3" w:rsidRPr="00EA7870">
        <w:rPr>
          <w:sz w:val="20"/>
          <w:szCs w:val="20"/>
          <w:lang w:val="es-AR"/>
        </w:rPr>
        <w:t xml:space="preserve"> </w:t>
      </w:r>
      <w:r w:rsidRPr="00EA7870">
        <w:rPr>
          <w:sz w:val="20"/>
          <w:szCs w:val="20"/>
          <w:lang w:val="es-AR"/>
        </w:rPr>
        <w:t>anteriormente,</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exclusivo</w:t>
      </w:r>
      <w:r w:rsidR="001A28B3" w:rsidRPr="00EA7870">
        <w:rPr>
          <w:sz w:val="20"/>
          <w:szCs w:val="20"/>
          <w:lang w:val="es-AR"/>
        </w:rPr>
        <w:t xml:space="preserve"> </w:t>
      </w:r>
      <w:r w:rsidRPr="00EA7870">
        <w:rPr>
          <w:sz w:val="20"/>
          <w:szCs w:val="20"/>
          <w:lang w:val="es-AR"/>
        </w:rPr>
        <w:t>criterio,</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clasificar,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oportunamente</w:t>
      </w:r>
      <w:r w:rsidR="001A28B3" w:rsidRPr="00EA7870">
        <w:rPr>
          <w:sz w:val="20"/>
          <w:szCs w:val="20"/>
          <w:lang w:val="es-AR"/>
        </w:rPr>
        <w:t xml:space="preserve"> </w:t>
      </w:r>
      <w:r w:rsidRPr="00EA7870">
        <w:rPr>
          <w:sz w:val="20"/>
          <w:szCs w:val="20"/>
          <w:lang w:val="es-AR"/>
        </w:rPr>
        <w:t>reclasificar,</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componente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cláusulas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anteceden;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p>
    <w:p w14:paraId="39262B55" w14:textId="77777777" w:rsidR="00376725" w:rsidRPr="00EA7870" w:rsidRDefault="00376725" w:rsidP="00376725">
      <w:pPr>
        <w:tabs>
          <w:tab w:val="left" w:pos="0"/>
        </w:tabs>
        <w:ind w:left="708" w:firstLine="709"/>
        <w:jc w:val="both"/>
        <w:rPr>
          <w:sz w:val="20"/>
          <w:szCs w:val="20"/>
          <w:lang w:val="es-AR"/>
        </w:rPr>
      </w:pPr>
    </w:p>
    <w:p w14:paraId="085931C0" w14:textId="77777777" w:rsidR="00376725" w:rsidRPr="00EA7870" w:rsidRDefault="00376725" w:rsidP="00376725">
      <w:pPr>
        <w:tabs>
          <w:tab w:val="left" w:pos="0"/>
        </w:tabs>
        <w:ind w:left="708" w:firstLine="709"/>
        <w:jc w:val="both"/>
        <w:rPr>
          <w:sz w:val="20"/>
          <w:szCs w:val="20"/>
          <w:lang w:val="es-AR"/>
        </w:rPr>
      </w:pPr>
      <w:r w:rsidRPr="00EA7870">
        <w:rPr>
          <w:sz w:val="20"/>
          <w:szCs w:val="20"/>
          <w:lang w:val="es-AR"/>
        </w:rPr>
        <w:t>(b)</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estará</w:t>
      </w:r>
      <w:r w:rsidR="001A28B3" w:rsidRPr="00EA7870">
        <w:rPr>
          <w:sz w:val="20"/>
          <w:szCs w:val="20"/>
          <w:lang w:val="es-AR"/>
        </w:rPr>
        <w:t xml:space="preserve"> </w:t>
      </w:r>
      <w:r w:rsidRPr="00EA7870">
        <w:rPr>
          <w:sz w:val="20"/>
          <w:szCs w:val="20"/>
          <w:lang w:val="es-AR"/>
        </w:rPr>
        <w:t>facultada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dividir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clasificar,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oportunamente</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reclasificar,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componente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tipos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descriptos</w:t>
      </w:r>
      <w:r w:rsidR="001A28B3" w:rsidRPr="00EA7870">
        <w:rPr>
          <w:sz w:val="20"/>
          <w:szCs w:val="20"/>
          <w:lang w:val="es-AR"/>
        </w:rPr>
        <w:t xml:space="preserve"> </w:t>
      </w:r>
      <w:r w:rsidRPr="00EA7870">
        <w:rPr>
          <w:sz w:val="20"/>
          <w:szCs w:val="20"/>
          <w:lang w:val="es-AR"/>
        </w:rPr>
        <w:t>anteriormente,</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precedente.</w:t>
      </w:r>
    </w:p>
    <w:p w14:paraId="60D64C5E" w14:textId="77777777" w:rsidR="00376725" w:rsidRPr="00EA7870" w:rsidRDefault="00376725" w:rsidP="00376725">
      <w:pPr>
        <w:tabs>
          <w:tab w:val="left" w:pos="0"/>
        </w:tabs>
        <w:jc w:val="both"/>
        <w:rPr>
          <w:sz w:val="20"/>
          <w:szCs w:val="20"/>
          <w:lang w:val="es-AR"/>
        </w:rPr>
      </w:pPr>
    </w:p>
    <w:p w14:paraId="183CA624" w14:textId="77777777" w:rsidR="00376725" w:rsidRPr="00EA7870" w:rsidRDefault="00376725" w:rsidP="00376725">
      <w:pPr>
        <w:tabs>
          <w:tab w:val="left" w:pos="851"/>
        </w:tabs>
        <w:jc w:val="both"/>
        <w:rPr>
          <w:sz w:val="20"/>
          <w:szCs w:val="20"/>
          <w:lang w:val="es-AR"/>
        </w:rPr>
      </w:pPr>
      <w:r w:rsidRPr="00EA7870">
        <w:rPr>
          <w:sz w:val="20"/>
          <w:szCs w:val="20"/>
          <w:lang w:val="es-AR"/>
        </w:rPr>
        <w:t>Los</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devenguen,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acumulación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dividendos,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acumulación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amortización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acumulado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descuento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original,</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adicional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dividendos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Descalificadas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constituirán</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efectos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compromiso.</w:t>
      </w:r>
    </w:p>
    <w:p w14:paraId="69BE6D72" w14:textId="77777777" w:rsidR="00376725" w:rsidRPr="00EA7870" w:rsidRDefault="00376725" w:rsidP="00376725">
      <w:pPr>
        <w:tabs>
          <w:tab w:val="left" w:pos="851"/>
        </w:tabs>
        <w:jc w:val="both"/>
        <w:rPr>
          <w:sz w:val="20"/>
          <w:szCs w:val="20"/>
          <w:lang w:val="es-AR"/>
        </w:rPr>
      </w:pPr>
    </w:p>
    <w:p w14:paraId="49799B5C" w14:textId="77777777" w:rsidR="00376725" w:rsidRPr="00EA7870" w:rsidRDefault="00376725" w:rsidP="00376725">
      <w:pPr>
        <w:tabs>
          <w:tab w:val="left" w:pos="851"/>
        </w:tabs>
        <w:jc w:val="both"/>
        <w:rPr>
          <w:sz w:val="20"/>
          <w:szCs w:val="20"/>
          <w:lang w:val="es-AR"/>
        </w:rPr>
      </w:pP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compromiso,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00AB47D3"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pendiente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cancelación,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compromiso</w:t>
      </w:r>
      <w:r w:rsidR="001A28B3" w:rsidRPr="00EA7870">
        <w:rPr>
          <w:sz w:val="20"/>
          <w:szCs w:val="20"/>
          <w:lang w:val="es-AR"/>
        </w:rPr>
        <w:t xml:space="preserve"> </w:t>
      </w:r>
      <w:r w:rsidRPr="00EA7870">
        <w:rPr>
          <w:sz w:val="20"/>
          <w:szCs w:val="20"/>
          <w:lang w:val="es-AR"/>
        </w:rPr>
        <w:t>únicamente</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consecuencia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fluctuaciones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cambio.</w:t>
      </w:r>
    </w:p>
    <w:p w14:paraId="5949F64E" w14:textId="77777777" w:rsidR="00376725" w:rsidRPr="00EA7870" w:rsidRDefault="00376725" w:rsidP="00376725">
      <w:pPr>
        <w:tabs>
          <w:tab w:val="left" w:pos="851"/>
        </w:tabs>
        <w:jc w:val="both"/>
        <w:rPr>
          <w:sz w:val="20"/>
          <w:szCs w:val="20"/>
          <w:lang w:val="es-AR"/>
        </w:rPr>
      </w:pPr>
    </w:p>
    <w:p w14:paraId="057AFF08" w14:textId="77777777" w:rsidR="00376725" w:rsidRPr="00EA7870" w:rsidRDefault="00376725" w:rsidP="00376725">
      <w:pPr>
        <w:tabs>
          <w:tab w:val="left" w:pos="851"/>
        </w:tabs>
        <w:jc w:val="both"/>
        <w:rPr>
          <w:sz w:val="20"/>
          <w:szCs w:val="20"/>
          <w:lang w:val="es-AR"/>
        </w:rPr>
      </w:pPr>
      <w:r w:rsidRPr="00EA7870">
        <w:rPr>
          <w:sz w:val="20"/>
          <w:szCs w:val="20"/>
        </w:rPr>
        <w:t>A</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fines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determinar</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cumplimiento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cualquier</w:t>
      </w:r>
      <w:r w:rsidR="001A28B3" w:rsidRPr="00EA7870">
        <w:rPr>
          <w:sz w:val="20"/>
          <w:szCs w:val="20"/>
        </w:rPr>
        <w:t xml:space="preserve"> </w:t>
      </w:r>
      <w:r w:rsidRPr="00EA7870">
        <w:rPr>
          <w:sz w:val="20"/>
          <w:szCs w:val="20"/>
        </w:rPr>
        <w:t>restricción</w:t>
      </w:r>
      <w:r w:rsidR="001A28B3" w:rsidRPr="00EA7870">
        <w:rPr>
          <w:sz w:val="20"/>
          <w:szCs w:val="20"/>
        </w:rPr>
        <w:t xml:space="preserve"> </w:t>
      </w:r>
      <w:r w:rsidRPr="00EA7870">
        <w:rPr>
          <w:sz w:val="20"/>
          <w:szCs w:val="20"/>
        </w:rPr>
        <w:t>denominada</w:t>
      </w:r>
      <w:r w:rsidR="001A28B3" w:rsidRPr="00EA7870">
        <w:rPr>
          <w:sz w:val="20"/>
          <w:szCs w:val="20"/>
        </w:rPr>
        <w:t xml:space="preserve"> </w:t>
      </w:r>
      <w:r w:rsidRPr="00EA7870">
        <w:rPr>
          <w:sz w:val="20"/>
          <w:szCs w:val="20"/>
        </w:rPr>
        <w:t>en</w:t>
      </w:r>
      <w:r w:rsidR="001A28B3" w:rsidRPr="00EA7870">
        <w:rPr>
          <w:sz w:val="20"/>
          <w:szCs w:val="20"/>
        </w:rPr>
        <w:t xml:space="preserve"> </w:t>
      </w:r>
      <w:r w:rsidR="007E69F5" w:rsidRPr="00EA7870">
        <w:rPr>
          <w:sz w:val="20"/>
          <w:szCs w:val="20"/>
        </w:rPr>
        <w:t>Dólares</w:t>
      </w:r>
      <w:r w:rsidR="001A28B3" w:rsidRPr="00EA7870">
        <w:rPr>
          <w:sz w:val="20"/>
          <w:szCs w:val="20"/>
        </w:rPr>
        <w:t xml:space="preserve"> </w:t>
      </w:r>
      <w:r w:rsidR="007E69F5" w:rsidRPr="00EA7870">
        <w:rPr>
          <w:sz w:val="20"/>
          <w:szCs w:val="20"/>
        </w:rPr>
        <w:t>Estadounidenses</w:t>
      </w:r>
      <w:r w:rsidR="001A28B3" w:rsidRPr="00EA7870">
        <w:rPr>
          <w:sz w:val="20"/>
          <w:szCs w:val="20"/>
        </w:rPr>
        <w:t xml:space="preserve"> </w:t>
      </w:r>
      <w:r w:rsidRPr="00EA7870">
        <w:rPr>
          <w:sz w:val="20"/>
          <w:szCs w:val="20"/>
        </w:rPr>
        <w:t>respecto</w:t>
      </w:r>
      <w:r w:rsidR="001A28B3" w:rsidRPr="00EA7870">
        <w:rPr>
          <w:sz w:val="20"/>
          <w:szCs w:val="20"/>
        </w:rPr>
        <w:t xml:space="preserve"> </w:t>
      </w:r>
      <w:r w:rsidRPr="00EA7870">
        <w:rPr>
          <w:sz w:val="20"/>
          <w:szCs w:val="20"/>
        </w:rPr>
        <w:t>del</w:t>
      </w:r>
      <w:r w:rsidR="001A28B3" w:rsidRPr="00EA7870">
        <w:rPr>
          <w:sz w:val="20"/>
          <w:szCs w:val="20"/>
        </w:rPr>
        <w:t xml:space="preserve"> </w:t>
      </w:r>
      <w:r w:rsidRPr="00EA7870">
        <w:rPr>
          <w:sz w:val="20"/>
          <w:szCs w:val="20"/>
        </w:rPr>
        <w:t>Incurrimiento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Endeudamiento,</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monto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capital</w:t>
      </w:r>
      <w:r w:rsidR="001A28B3" w:rsidRPr="00EA7870">
        <w:rPr>
          <w:sz w:val="20"/>
          <w:szCs w:val="20"/>
        </w:rPr>
        <w:t xml:space="preserve"> </w:t>
      </w:r>
      <w:r w:rsidRPr="00EA7870">
        <w:rPr>
          <w:sz w:val="20"/>
          <w:szCs w:val="20"/>
        </w:rPr>
        <w:t>equivalente</w:t>
      </w:r>
      <w:r w:rsidR="001A28B3" w:rsidRPr="00EA7870">
        <w:rPr>
          <w:sz w:val="20"/>
          <w:szCs w:val="20"/>
        </w:rPr>
        <w:t xml:space="preserve"> </w:t>
      </w:r>
      <w:r w:rsidRPr="00EA7870">
        <w:rPr>
          <w:sz w:val="20"/>
          <w:szCs w:val="20"/>
        </w:rPr>
        <w:t>a</w:t>
      </w:r>
      <w:r w:rsidR="001A28B3" w:rsidRPr="00EA7870">
        <w:rPr>
          <w:sz w:val="20"/>
          <w:szCs w:val="20"/>
        </w:rPr>
        <w:t xml:space="preserve"> </w:t>
      </w:r>
      <w:r w:rsidR="007E69F5" w:rsidRPr="00EA7870">
        <w:rPr>
          <w:sz w:val="20"/>
          <w:szCs w:val="20"/>
        </w:rPr>
        <w:t>Dólares</w:t>
      </w:r>
      <w:r w:rsidR="001A28B3" w:rsidRPr="00EA7870">
        <w:rPr>
          <w:sz w:val="20"/>
          <w:szCs w:val="20"/>
        </w:rPr>
        <w:t xml:space="preserve"> </w:t>
      </w:r>
      <w:r w:rsidR="007E69F5" w:rsidRPr="00EA7870">
        <w:rPr>
          <w:sz w:val="20"/>
          <w:szCs w:val="20"/>
        </w:rPr>
        <w:t>Estadounidenses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Endeudamiento</w:t>
      </w:r>
      <w:r w:rsidR="001A28B3" w:rsidRPr="00EA7870">
        <w:rPr>
          <w:sz w:val="20"/>
          <w:szCs w:val="20"/>
        </w:rPr>
        <w:t xml:space="preserve"> </w:t>
      </w:r>
      <w:r w:rsidRPr="00EA7870">
        <w:rPr>
          <w:sz w:val="20"/>
          <w:szCs w:val="20"/>
        </w:rPr>
        <w:t>denominado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una</w:t>
      </w:r>
      <w:r w:rsidR="001A28B3" w:rsidRPr="00EA7870">
        <w:rPr>
          <w:sz w:val="20"/>
          <w:szCs w:val="20"/>
        </w:rPr>
        <w:t xml:space="preserve"> </w:t>
      </w:r>
      <w:r w:rsidRPr="00EA7870">
        <w:rPr>
          <w:sz w:val="20"/>
          <w:szCs w:val="20"/>
        </w:rPr>
        <w:t>moneda</w:t>
      </w:r>
      <w:r w:rsidR="001A28B3" w:rsidRPr="00EA7870">
        <w:rPr>
          <w:sz w:val="20"/>
          <w:szCs w:val="20"/>
        </w:rPr>
        <w:t xml:space="preserve"> </w:t>
      </w:r>
      <w:r w:rsidRPr="00EA7870">
        <w:rPr>
          <w:sz w:val="20"/>
          <w:szCs w:val="20"/>
        </w:rPr>
        <w:t>extranjera</w:t>
      </w:r>
      <w:r w:rsidR="001A28B3" w:rsidRPr="00EA7870">
        <w:rPr>
          <w:sz w:val="20"/>
          <w:szCs w:val="20"/>
        </w:rPr>
        <w:t xml:space="preserve"> </w:t>
      </w:r>
      <w:r w:rsidRPr="00EA7870">
        <w:rPr>
          <w:sz w:val="20"/>
          <w:szCs w:val="20"/>
        </w:rPr>
        <w:t>será</w:t>
      </w:r>
      <w:r w:rsidR="001A28B3" w:rsidRPr="00EA7870">
        <w:rPr>
          <w:sz w:val="20"/>
          <w:szCs w:val="20"/>
        </w:rPr>
        <w:t xml:space="preserve"> </w:t>
      </w:r>
      <w:r w:rsidRPr="00EA7870">
        <w:rPr>
          <w:sz w:val="20"/>
          <w:szCs w:val="20"/>
        </w:rPr>
        <w:t>calculado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base</w:t>
      </w:r>
      <w:r w:rsidR="001A28B3" w:rsidRPr="00EA7870">
        <w:rPr>
          <w:sz w:val="20"/>
          <w:szCs w:val="20"/>
        </w:rPr>
        <w:t xml:space="preserve"> </w:t>
      </w:r>
      <w:r w:rsidRPr="00EA7870">
        <w:rPr>
          <w:sz w:val="20"/>
          <w:szCs w:val="20"/>
        </w:rPr>
        <w:t>al</w:t>
      </w:r>
      <w:r w:rsidR="001A28B3" w:rsidRPr="00EA7870">
        <w:rPr>
          <w:sz w:val="20"/>
          <w:szCs w:val="20"/>
        </w:rPr>
        <w:t xml:space="preserve"> </w:t>
      </w:r>
      <w:r w:rsidRPr="00EA7870">
        <w:rPr>
          <w:sz w:val="20"/>
          <w:szCs w:val="20"/>
        </w:rPr>
        <w:t>tipo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cambio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moneda</w:t>
      </w:r>
      <w:r w:rsidR="001A28B3" w:rsidRPr="00EA7870">
        <w:rPr>
          <w:sz w:val="20"/>
          <w:szCs w:val="20"/>
        </w:rPr>
        <w:t xml:space="preserve"> </w:t>
      </w:r>
      <w:r w:rsidRPr="00EA7870">
        <w:rPr>
          <w:sz w:val="20"/>
          <w:szCs w:val="20"/>
        </w:rPr>
        <w:t>pertinente</w:t>
      </w:r>
      <w:r w:rsidR="001A28B3" w:rsidRPr="00EA7870">
        <w:rPr>
          <w:sz w:val="20"/>
          <w:szCs w:val="20"/>
        </w:rPr>
        <w:t xml:space="preserve"> </w:t>
      </w:r>
      <w:r w:rsidRPr="00EA7870">
        <w:rPr>
          <w:sz w:val="20"/>
          <w:szCs w:val="20"/>
        </w:rPr>
        <w:t>determinado</w:t>
      </w:r>
      <w:r w:rsidR="001A28B3" w:rsidRPr="00EA7870">
        <w:rPr>
          <w:sz w:val="20"/>
          <w:szCs w:val="20"/>
        </w:rPr>
        <w:t xml:space="preserve"> </w:t>
      </w:r>
      <w:r w:rsidRPr="00EA7870">
        <w:rPr>
          <w:sz w:val="20"/>
          <w:szCs w:val="20"/>
        </w:rPr>
        <w:t>como</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promedio</w:t>
      </w:r>
      <w:r w:rsidR="001A28B3" w:rsidRPr="00EA7870">
        <w:rPr>
          <w:sz w:val="20"/>
          <w:szCs w:val="20"/>
        </w:rPr>
        <w:t xml:space="preserve"> </w:t>
      </w:r>
      <w:r w:rsidRPr="00EA7870">
        <w:rPr>
          <w:sz w:val="20"/>
          <w:szCs w:val="20"/>
        </w:rPr>
        <w:t>diario</w:t>
      </w:r>
      <w:r w:rsidR="001A28B3" w:rsidRPr="00EA7870">
        <w:rPr>
          <w:sz w:val="20"/>
          <w:szCs w:val="20"/>
        </w:rPr>
        <w:t xml:space="preserve"> </w:t>
      </w:r>
      <w:r w:rsidRPr="00EA7870">
        <w:rPr>
          <w:sz w:val="20"/>
          <w:szCs w:val="20"/>
        </w:rPr>
        <w:t>observado</w:t>
      </w:r>
      <w:r w:rsidR="001A28B3" w:rsidRPr="00EA7870">
        <w:rPr>
          <w:sz w:val="20"/>
          <w:szCs w:val="20"/>
        </w:rPr>
        <w:t xml:space="preserve"> </w:t>
      </w:r>
      <w:r w:rsidRPr="00EA7870">
        <w:rPr>
          <w:sz w:val="20"/>
          <w:szCs w:val="20"/>
        </w:rPr>
        <w:t>para</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tipos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cambio</w:t>
      </w:r>
      <w:r w:rsidR="001A28B3" w:rsidRPr="00EA7870">
        <w:rPr>
          <w:sz w:val="20"/>
          <w:szCs w:val="20"/>
        </w:rPr>
        <w:t xml:space="preserve"> </w:t>
      </w:r>
      <w:r w:rsidRPr="00EA7870">
        <w:rPr>
          <w:sz w:val="20"/>
          <w:szCs w:val="20"/>
        </w:rPr>
        <w:t>informados</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Banco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Nación</w:t>
      </w:r>
      <w:r w:rsidR="001A28B3" w:rsidRPr="00EA7870">
        <w:rPr>
          <w:sz w:val="20"/>
          <w:szCs w:val="20"/>
        </w:rPr>
        <w:t xml:space="preserve"> </w:t>
      </w:r>
      <w:r w:rsidRPr="00EA7870">
        <w:rPr>
          <w:sz w:val="20"/>
          <w:szCs w:val="20"/>
        </w:rPr>
        <w:t>para</w:t>
      </w:r>
      <w:r w:rsidR="001A28B3" w:rsidRPr="00EA7870">
        <w:rPr>
          <w:sz w:val="20"/>
          <w:szCs w:val="20"/>
        </w:rPr>
        <w:t xml:space="preserve"> </w:t>
      </w:r>
      <w:r w:rsidRPr="00EA7870">
        <w:rPr>
          <w:sz w:val="20"/>
          <w:szCs w:val="20"/>
        </w:rPr>
        <w:t>un</w:t>
      </w:r>
      <w:r w:rsidR="001A28B3" w:rsidRPr="00EA7870">
        <w:rPr>
          <w:sz w:val="20"/>
          <w:szCs w:val="20"/>
        </w:rPr>
        <w:t xml:space="preserve"> </w:t>
      </w:r>
      <w:r w:rsidRPr="00EA7870">
        <w:rPr>
          <w:sz w:val="20"/>
          <w:szCs w:val="20"/>
        </w:rPr>
        <w:t>período</w:t>
      </w:r>
      <w:r w:rsidR="001A28B3" w:rsidRPr="00EA7870">
        <w:rPr>
          <w:sz w:val="20"/>
          <w:szCs w:val="20"/>
        </w:rPr>
        <w:t xml:space="preserve"> </w:t>
      </w:r>
      <w:r w:rsidRPr="00EA7870">
        <w:rPr>
          <w:sz w:val="20"/>
          <w:szCs w:val="20"/>
        </w:rPr>
        <w:t>de</w:t>
      </w:r>
      <w:r w:rsidR="001A28B3" w:rsidRPr="00EA7870">
        <w:rPr>
          <w:sz w:val="20"/>
          <w:szCs w:val="20"/>
        </w:rPr>
        <w:t xml:space="preserve"> </w:t>
      </w:r>
      <w:r w:rsidR="00F112D5" w:rsidRPr="00EA7870">
        <w:rPr>
          <w:sz w:val="20"/>
          <w:szCs w:val="20"/>
        </w:rPr>
        <w:t xml:space="preserve">los últimos </w:t>
      </w:r>
      <w:r w:rsidRPr="00EA7870">
        <w:rPr>
          <w:sz w:val="20"/>
          <w:szCs w:val="20"/>
        </w:rPr>
        <w:t>90</w:t>
      </w:r>
      <w:r w:rsidR="001A28B3" w:rsidRPr="00EA7870">
        <w:rPr>
          <w:sz w:val="20"/>
          <w:szCs w:val="20"/>
        </w:rPr>
        <w:t xml:space="preserve"> </w:t>
      </w:r>
      <w:r w:rsidRPr="00EA7870">
        <w:rPr>
          <w:sz w:val="20"/>
          <w:szCs w:val="20"/>
        </w:rPr>
        <w:t>días,</w:t>
      </w:r>
      <w:r w:rsidR="001A28B3" w:rsidRPr="00EA7870">
        <w:rPr>
          <w:sz w:val="20"/>
          <w:szCs w:val="20"/>
        </w:rPr>
        <w:t xml:space="preserve"> </w:t>
      </w:r>
      <w:r w:rsidRPr="00EA7870">
        <w:rPr>
          <w:sz w:val="20"/>
          <w:szCs w:val="20"/>
        </w:rPr>
        <w:t>incluyendo</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fecha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Incurrimiento,</w:t>
      </w:r>
      <w:r w:rsidR="001A28B3" w:rsidRPr="00EA7870">
        <w:rPr>
          <w:sz w:val="20"/>
          <w:szCs w:val="20"/>
        </w:rPr>
        <w:t xml:space="preserve"> </w:t>
      </w:r>
      <w:r w:rsidRPr="00EA7870">
        <w:rPr>
          <w:sz w:val="20"/>
          <w:szCs w:val="20"/>
        </w:rPr>
        <w:t>para</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caso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Endeudamiento</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término,</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primera</w:t>
      </w:r>
      <w:r w:rsidR="001A28B3" w:rsidRPr="00EA7870">
        <w:rPr>
          <w:sz w:val="20"/>
          <w:szCs w:val="20"/>
        </w:rPr>
        <w:t xml:space="preserve"> </w:t>
      </w:r>
      <w:r w:rsidRPr="00EA7870">
        <w:rPr>
          <w:sz w:val="20"/>
          <w:szCs w:val="20"/>
        </w:rPr>
        <w:t>fecha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incurrimiento,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caso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Endeudamiento</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créditos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renovación</w:t>
      </w:r>
      <w:r w:rsidR="001A28B3" w:rsidRPr="00EA7870">
        <w:rPr>
          <w:sz w:val="20"/>
          <w:szCs w:val="20"/>
        </w:rPr>
        <w:t xml:space="preserve"> </w:t>
      </w:r>
      <w:r w:rsidRPr="00EA7870">
        <w:rPr>
          <w:sz w:val="20"/>
          <w:szCs w:val="20"/>
        </w:rPr>
        <w:t>automática.</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monto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capital</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cualquier</w:t>
      </w:r>
      <w:r w:rsidR="001A28B3" w:rsidRPr="00EA7870">
        <w:rPr>
          <w:sz w:val="20"/>
          <w:szCs w:val="20"/>
        </w:rPr>
        <w:t xml:space="preserve"> </w:t>
      </w:r>
      <w:r w:rsidRPr="00EA7870">
        <w:rPr>
          <w:sz w:val="20"/>
          <w:szCs w:val="20"/>
        </w:rPr>
        <w:t>Endeudamiento</w:t>
      </w:r>
      <w:r w:rsidR="001A28B3" w:rsidRPr="00EA7870">
        <w:rPr>
          <w:sz w:val="20"/>
          <w:szCs w:val="20"/>
        </w:rPr>
        <w:t xml:space="preserve"> </w:t>
      </w:r>
      <w:r w:rsidRPr="00EA7870">
        <w:rPr>
          <w:sz w:val="20"/>
          <w:szCs w:val="20"/>
        </w:rPr>
        <w:t>Incurrido</w:t>
      </w:r>
      <w:r w:rsidR="001A28B3" w:rsidRPr="00EA7870">
        <w:rPr>
          <w:sz w:val="20"/>
          <w:szCs w:val="20"/>
        </w:rPr>
        <w:t xml:space="preserve"> </w:t>
      </w:r>
      <w:r w:rsidRPr="00EA7870">
        <w:rPr>
          <w:sz w:val="20"/>
          <w:szCs w:val="20"/>
        </w:rPr>
        <w:t>para</w:t>
      </w:r>
      <w:r w:rsidR="001A28B3" w:rsidRPr="00EA7870">
        <w:rPr>
          <w:sz w:val="20"/>
          <w:szCs w:val="20"/>
        </w:rPr>
        <w:t xml:space="preserve"> </w:t>
      </w:r>
      <w:r w:rsidRPr="00EA7870">
        <w:rPr>
          <w:sz w:val="20"/>
          <w:szCs w:val="20"/>
        </w:rPr>
        <w:t>refinanciar</w:t>
      </w:r>
      <w:r w:rsidR="001A28B3" w:rsidRPr="00EA7870">
        <w:rPr>
          <w:sz w:val="20"/>
          <w:szCs w:val="20"/>
        </w:rPr>
        <w:t xml:space="preserve"> </w:t>
      </w:r>
      <w:r w:rsidRPr="00EA7870">
        <w:rPr>
          <w:sz w:val="20"/>
          <w:szCs w:val="20"/>
        </w:rPr>
        <w:t>otro</w:t>
      </w:r>
      <w:r w:rsidR="001A28B3" w:rsidRPr="00EA7870">
        <w:rPr>
          <w:sz w:val="20"/>
          <w:szCs w:val="20"/>
        </w:rPr>
        <w:t xml:space="preserve"> </w:t>
      </w:r>
      <w:r w:rsidRPr="00EA7870">
        <w:rPr>
          <w:sz w:val="20"/>
          <w:szCs w:val="20"/>
        </w:rPr>
        <w:t>Endeudamiento,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ser</w:t>
      </w:r>
      <w:r w:rsidR="001A28B3" w:rsidRPr="00EA7870">
        <w:rPr>
          <w:sz w:val="20"/>
          <w:szCs w:val="20"/>
        </w:rPr>
        <w:t xml:space="preserve"> </w:t>
      </w:r>
      <w:r w:rsidRPr="00EA7870">
        <w:rPr>
          <w:sz w:val="20"/>
          <w:szCs w:val="20"/>
        </w:rPr>
        <w:t>Incurrido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una</w:t>
      </w:r>
      <w:r w:rsidR="001A28B3" w:rsidRPr="00EA7870">
        <w:rPr>
          <w:sz w:val="20"/>
          <w:szCs w:val="20"/>
        </w:rPr>
        <w:t xml:space="preserve"> </w:t>
      </w:r>
      <w:r w:rsidRPr="00EA7870">
        <w:rPr>
          <w:sz w:val="20"/>
          <w:szCs w:val="20"/>
        </w:rPr>
        <w:t>moneda</w:t>
      </w:r>
      <w:r w:rsidR="001A28B3" w:rsidRPr="00EA7870">
        <w:rPr>
          <w:sz w:val="20"/>
          <w:szCs w:val="20"/>
        </w:rPr>
        <w:t xml:space="preserve"> </w:t>
      </w:r>
      <w:r w:rsidRPr="00EA7870">
        <w:rPr>
          <w:sz w:val="20"/>
          <w:szCs w:val="20"/>
        </w:rPr>
        <w:t>diferente</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del</w:t>
      </w:r>
      <w:r w:rsidR="001A28B3" w:rsidRPr="00EA7870">
        <w:rPr>
          <w:sz w:val="20"/>
          <w:szCs w:val="20"/>
        </w:rPr>
        <w:t xml:space="preserve"> </w:t>
      </w:r>
      <w:r w:rsidRPr="00EA7870">
        <w:rPr>
          <w:sz w:val="20"/>
          <w:szCs w:val="20"/>
        </w:rPr>
        <w:t>Endeudamiento</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se</w:t>
      </w:r>
      <w:r w:rsidR="001A28B3" w:rsidRPr="00EA7870">
        <w:rPr>
          <w:sz w:val="20"/>
          <w:szCs w:val="20"/>
        </w:rPr>
        <w:t xml:space="preserve"> </w:t>
      </w:r>
      <w:r w:rsidRPr="00EA7870">
        <w:rPr>
          <w:sz w:val="20"/>
          <w:szCs w:val="20"/>
        </w:rPr>
        <w:t>refinancia,</w:t>
      </w:r>
      <w:r w:rsidR="001A28B3" w:rsidRPr="00EA7870">
        <w:rPr>
          <w:sz w:val="20"/>
          <w:szCs w:val="20"/>
        </w:rPr>
        <w:t xml:space="preserve"> </w:t>
      </w:r>
      <w:r w:rsidRPr="00EA7870">
        <w:rPr>
          <w:sz w:val="20"/>
          <w:szCs w:val="20"/>
        </w:rPr>
        <w:t>se</w:t>
      </w:r>
      <w:r w:rsidR="001A28B3" w:rsidRPr="00EA7870">
        <w:rPr>
          <w:sz w:val="20"/>
          <w:szCs w:val="20"/>
        </w:rPr>
        <w:t xml:space="preserve"> </w:t>
      </w:r>
      <w:r w:rsidRPr="00EA7870">
        <w:rPr>
          <w:sz w:val="20"/>
          <w:szCs w:val="20"/>
        </w:rPr>
        <w:t>calculará</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base</w:t>
      </w:r>
      <w:r w:rsidR="001A28B3" w:rsidRPr="00EA7870">
        <w:rPr>
          <w:sz w:val="20"/>
          <w:szCs w:val="20"/>
        </w:rPr>
        <w:t xml:space="preserve"> </w:t>
      </w:r>
      <w:r w:rsidRPr="00EA7870">
        <w:rPr>
          <w:sz w:val="20"/>
          <w:szCs w:val="20"/>
        </w:rPr>
        <w:t>al</w:t>
      </w:r>
      <w:r w:rsidR="001A28B3" w:rsidRPr="00EA7870">
        <w:rPr>
          <w:sz w:val="20"/>
          <w:szCs w:val="20"/>
        </w:rPr>
        <w:t xml:space="preserve"> </w:t>
      </w:r>
      <w:r w:rsidRPr="00EA7870">
        <w:rPr>
          <w:sz w:val="20"/>
          <w:szCs w:val="20"/>
        </w:rPr>
        <w:t>tipo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cambio</w:t>
      </w:r>
      <w:r w:rsidR="001A28B3" w:rsidRPr="00EA7870">
        <w:rPr>
          <w:sz w:val="20"/>
          <w:szCs w:val="20"/>
        </w:rPr>
        <w:t xml:space="preserve"> </w:t>
      </w:r>
      <w:r w:rsidRPr="00EA7870">
        <w:rPr>
          <w:sz w:val="20"/>
          <w:szCs w:val="20"/>
        </w:rPr>
        <w:t>aplicable</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monedas</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se</w:t>
      </w:r>
      <w:r w:rsidR="001A28B3" w:rsidRPr="00EA7870">
        <w:rPr>
          <w:sz w:val="20"/>
          <w:szCs w:val="20"/>
        </w:rPr>
        <w:t xml:space="preserve"> </w:t>
      </w:r>
      <w:r w:rsidRPr="00EA7870">
        <w:rPr>
          <w:sz w:val="20"/>
          <w:szCs w:val="20"/>
        </w:rPr>
        <w:t>denomina</w:t>
      </w:r>
      <w:r w:rsidR="001A28B3" w:rsidRPr="00EA7870">
        <w:rPr>
          <w:sz w:val="20"/>
          <w:szCs w:val="20"/>
        </w:rPr>
        <w:t xml:space="preserve"> </w:t>
      </w:r>
      <w:r w:rsidRPr="00EA7870">
        <w:rPr>
          <w:sz w:val="20"/>
          <w:szCs w:val="20"/>
        </w:rPr>
        <w:t>dicho</w:t>
      </w:r>
      <w:r w:rsidR="001A28B3" w:rsidRPr="00EA7870">
        <w:rPr>
          <w:sz w:val="20"/>
          <w:szCs w:val="20"/>
        </w:rPr>
        <w:t xml:space="preserve"> </w:t>
      </w:r>
      <w:r w:rsidRPr="00EA7870">
        <w:rPr>
          <w:sz w:val="20"/>
          <w:szCs w:val="20"/>
        </w:rPr>
        <w:t>Endeudamiento</w:t>
      </w:r>
      <w:r w:rsidR="001A28B3" w:rsidRPr="00EA7870">
        <w:rPr>
          <w:sz w:val="20"/>
          <w:szCs w:val="20"/>
        </w:rPr>
        <w:t xml:space="preserve"> </w:t>
      </w:r>
      <w:r w:rsidRPr="00EA7870">
        <w:rPr>
          <w:sz w:val="20"/>
          <w:szCs w:val="20"/>
        </w:rPr>
        <w:t>refinanciado</w:t>
      </w:r>
      <w:r w:rsidR="001A28B3" w:rsidRPr="00EA7870">
        <w:rPr>
          <w:sz w:val="20"/>
          <w:szCs w:val="20"/>
        </w:rPr>
        <w:t xml:space="preserve"> </w:t>
      </w:r>
      <w:r w:rsidRPr="00EA7870">
        <w:rPr>
          <w:sz w:val="20"/>
          <w:szCs w:val="20"/>
        </w:rPr>
        <w:t>calculado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base</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tipos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cambio</w:t>
      </w:r>
      <w:r w:rsidR="001A28B3" w:rsidRPr="00EA7870">
        <w:rPr>
          <w:sz w:val="20"/>
          <w:szCs w:val="20"/>
        </w:rPr>
        <w:t xml:space="preserve"> </w:t>
      </w:r>
      <w:r w:rsidRPr="00EA7870">
        <w:rPr>
          <w:sz w:val="20"/>
          <w:szCs w:val="20"/>
        </w:rPr>
        <w:t>pertinentes</w:t>
      </w:r>
      <w:r w:rsidR="001A28B3" w:rsidRPr="00EA7870">
        <w:rPr>
          <w:sz w:val="20"/>
          <w:szCs w:val="20"/>
        </w:rPr>
        <w:t xml:space="preserve"> </w:t>
      </w:r>
      <w:r w:rsidRPr="00EA7870">
        <w:rPr>
          <w:sz w:val="20"/>
          <w:szCs w:val="20"/>
        </w:rPr>
        <w:t>conforme</w:t>
      </w:r>
      <w:r w:rsidR="001A28B3" w:rsidRPr="00EA7870">
        <w:rPr>
          <w:sz w:val="20"/>
          <w:szCs w:val="20"/>
        </w:rPr>
        <w:t xml:space="preserve"> </w:t>
      </w:r>
      <w:r w:rsidRPr="00EA7870">
        <w:rPr>
          <w:sz w:val="20"/>
          <w:szCs w:val="20"/>
        </w:rPr>
        <w:t>fueran</w:t>
      </w:r>
      <w:r w:rsidR="001A28B3" w:rsidRPr="00EA7870">
        <w:rPr>
          <w:sz w:val="20"/>
          <w:szCs w:val="20"/>
        </w:rPr>
        <w:t xml:space="preserve"> </w:t>
      </w:r>
      <w:r w:rsidRPr="00EA7870">
        <w:rPr>
          <w:sz w:val="20"/>
          <w:szCs w:val="20"/>
        </w:rPr>
        <w:t>calculados</w:t>
      </w:r>
      <w:r w:rsidR="001A28B3" w:rsidRPr="00EA7870">
        <w:rPr>
          <w:sz w:val="20"/>
          <w:szCs w:val="20"/>
        </w:rPr>
        <w:t xml:space="preserve"> </w:t>
      </w:r>
      <w:r w:rsidRPr="00EA7870">
        <w:rPr>
          <w:sz w:val="20"/>
          <w:szCs w:val="20"/>
        </w:rPr>
        <w:t>según</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primera</w:t>
      </w:r>
      <w:r w:rsidR="001A28B3" w:rsidRPr="00EA7870">
        <w:rPr>
          <w:sz w:val="20"/>
          <w:szCs w:val="20"/>
        </w:rPr>
        <w:t xml:space="preserve"> </w:t>
      </w:r>
      <w:r w:rsidRPr="00EA7870">
        <w:rPr>
          <w:sz w:val="20"/>
          <w:szCs w:val="20"/>
        </w:rPr>
        <w:t>oración</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este</w:t>
      </w:r>
      <w:r w:rsidR="001A28B3" w:rsidRPr="00EA7870">
        <w:rPr>
          <w:sz w:val="20"/>
          <w:szCs w:val="20"/>
        </w:rPr>
        <w:t xml:space="preserve"> </w:t>
      </w:r>
      <w:r w:rsidRPr="00EA7870">
        <w:rPr>
          <w:sz w:val="20"/>
          <w:szCs w:val="20"/>
        </w:rPr>
        <w:t>párrafo.</w:t>
      </w:r>
    </w:p>
    <w:p w14:paraId="5A969093" w14:textId="77777777" w:rsidR="00376725" w:rsidRPr="00EA7870" w:rsidRDefault="00376725" w:rsidP="00376725">
      <w:pPr>
        <w:tabs>
          <w:tab w:val="left" w:pos="0"/>
        </w:tabs>
        <w:ind w:firstLine="709"/>
        <w:jc w:val="both"/>
        <w:rPr>
          <w:sz w:val="20"/>
          <w:szCs w:val="20"/>
          <w:lang w:val="es-AR"/>
        </w:rPr>
      </w:pPr>
    </w:p>
    <w:p w14:paraId="5D3539DB" w14:textId="77777777" w:rsidR="00376725" w:rsidRPr="00EA7870" w:rsidRDefault="00376725" w:rsidP="00376725">
      <w:pPr>
        <w:tabs>
          <w:tab w:val="left" w:pos="0"/>
        </w:tabs>
        <w:jc w:val="both"/>
        <w:rPr>
          <w:b/>
          <w:i/>
          <w:sz w:val="20"/>
          <w:szCs w:val="20"/>
          <w:lang w:val="es-AR"/>
        </w:rPr>
      </w:pPr>
      <w:r w:rsidRPr="00EA7870">
        <w:rPr>
          <w:b/>
          <w:i/>
          <w:sz w:val="20"/>
          <w:szCs w:val="20"/>
          <w:lang w:val="es-AR"/>
        </w:rPr>
        <w:t>Limitación</w:t>
      </w:r>
      <w:r w:rsidR="001A28B3" w:rsidRPr="00EA7870">
        <w:rPr>
          <w:b/>
          <w:i/>
          <w:sz w:val="20"/>
          <w:szCs w:val="20"/>
          <w:lang w:val="es-AR"/>
        </w:rPr>
        <w:t xml:space="preserve"> </w:t>
      </w:r>
      <w:r w:rsidRPr="00EA7870">
        <w:rPr>
          <w:b/>
          <w:i/>
          <w:sz w:val="20"/>
          <w:szCs w:val="20"/>
          <w:lang w:val="es-AR"/>
        </w:rPr>
        <w:t>a</w:t>
      </w:r>
      <w:r w:rsidR="001A28B3" w:rsidRPr="00EA7870">
        <w:rPr>
          <w:b/>
          <w:i/>
          <w:sz w:val="20"/>
          <w:szCs w:val="20"/>
          <w:lang w:val="es-AR"/>
        </w:rPr>
        <w:t xml:space="preserve"> </w:t>
      </w:r>
      <w:r w:rsidRPr="00EA7870">
        <w:rPr>
          <w:b/>
          <w:i/>
          <w:sz w:val="20"/>
          <w:szCs w:val="20"/>
          <w:lang w:val="es-AR"/>
        </w:rPr>
        <w:t>los</w:t>
      </w:r>
      <w:r w:rsidR="001A28B3" w:rsidRPr="00EA7870">
        <w:rPr>
          <w:b/>
          <w:i/>
          <w:sz w:val="20"/>
          <w:szCs w:val="20"/>
          <w:lang w:val="es-AR"/>
        </w:rPr>
        <w:t xml:space="preserve"> </w:t>
      </w:r>
      <w:r w:rsidRPr="00EA7870">
        <w:rPr>
          <w:b/>
          <w:i/>
          <w:sz w:val="20"/>
          <w:szCs w:val="20"/>
          <w:lang w:val="es-AR"/>
        </w:rPr>
        <w:t>Gravámenes</w:t>
      </w:r>
    </w:p>
    <w:p w14:paraId="5DF97A52" w14:textId="77777777" w:rsidR="00376725" w:rsidRPr="00EA7870" w:rsidRDefault="00376725" w:rsidP="00376725">
      <w:pPr>
        <w:tabs>
          <w:tab w:val="left" w:pos="0"/>
        </w:tabs>
        <w:ind w:firstLine="709"/>
        <w:jc w:val="both"/>
        <w:rPr>
          <w:sz w:val="20"/>
          <w:szCs w:val="20"/>
          <w:lang w:val="es-AR"/>
        </w:rPr>
      </w:pPr>
    </w:p>
    <w:p w14:paraId="46D68DFB"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crearán,</w:t>
      </w:r>
      <w:r w:rsidR="001A28B3" w:rsidRPr="00EA7870">
        <w:rPr>
          <w:sz w:val="20"/>
          <w:szCs w:val="20"/>
          <w:lang w:val="es-AR"/>
        </w:rPr>
        <w:t xml:space="preserve"> </w:t>
      </w:r>
      <w:r w:rsidRPr="00EA7870">
        <w:rPr>
          <w:sz w:val="20"/>
          <w:szCs w:val="20"/>
          <w:lang w:val="es-AR"/>
        </w:rPr>
        <w:t>asumirán</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permitirán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existan</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distintos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Permitidos,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presente</w:t>
      </w:r>
      <w:r w:rsidR="00F31BBA" w:rsidRPr="00EA7870">
        <w:rPr>
          <w:sz w:val="20"/>
          <w:szCs w:val="20"/>
          <w:lang w:val="es-AR"/>
        </w:rPr>
        <w:t>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futuros,</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garantizar,</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mismo</w:t>
      </w:r>
      <w:r w:rsidR="001A28B3" w:rsidRPr="00EA7870">
        <w:rPr>
          <w:sz w:val="20"/>
          <w:szCs w:val="20"/>
          <w:lang w:val="es-AR"/>
        </w:rPr>
        <w:t xml:space="preserve"> </w:t>
      </w:r>
      <w:r w:rsidRPr="00EA7870">
        <w:rPr>
          <w:sz w:val="20"/>
          <w:szCs w:val="20"/>
          <w:lang w:val="es-AR"/>
        </w:rPr>
        <w:t>tiempo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proporcional</w:t>
      </w:r>
      <w:r w:rsidR="001A28B3" w:rsidRPr="00EA7870">
        <w:rPr>
          <w:sz w:val="20"/>
          <w:szCs w:val="20"/>
          <w:lang w:val="es-AR"/>
        </w:rPr>
        <w:t xml:space="preserve"> </w:t>
      </w:r>
      <w:r w:rsidR="00F31BBA" w:rsidRPr="00EA7870">
        <w:rPr>
          <w:sz w:val="20"/>
          <w:szCs w:val="20"/>
          <w:lang w:val="es-AR"/>
        </w:rPr>
        <w:t>con</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dispondrán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hagan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propio.</w:t>
      </w:r>
    </w:p>
    <w:p w14:paraId="3011A921" w14:textId="77777777" w:rsidR="00376725" w:rsidRPr="00EA7870" w:rsidRDefault="00376725" w:rsidP="00376725">
      <w:pPr>
        <w:tabs>
          <w:tab w:val="left" w:pos="0"/>
        </w:tabs>
        <w:ind w:firstLine="709"/>
        <w:jc w:val="both"/>
        <w:rPr>
          <w:sz w:val="20"/>
          <w:szCs w:val="20"/>
          <w:lang w:val="es-AR"/>
        </w:rPr>
      </w:pPr>
    </w:p>
    <w:p w14:paraId="309233C0" w14:textId="77777777" w:rsidR="00376725" w:rsidRPr="00EA7870" w:rsidRDefault="00376725" w:rsidP="00376725">
      <w:pPr>
        <w:tabs>
          <w:tab w:val="left" w:pos="0"/>
        </w:tabs>
        <w:jc w:val="both"/>
        <w:rPr>
          <w:b/>
          <w:i/>
          <w:sz w:val="20"/>
          <w:szCs w:val="20"/>
          <w:lang w:val="es-AR"/>
        </w:rPr>
      </w:pPr>
      <w:r w:rsidRPr="00EA7870">
        <w:rPr>
          <w:b/>
          <w:i/>
          <w:sz w:val="20"/>
          <w:szCs w:val="20"/>
          <w:lang w:val="es-AR"/>
        </w:rPr>
        <w:t>Limitación</w:t>
      </w:r>
      <w:r w:rsidR="001A28B3" w:rsidRPr="00EA7870">
        <w:rPr>
          <w:b/>
          <w:i/>
          <w:sz w:val="20"/>
          <w:szCs w:val="20"/>
          <w:lang w:val="es-AR"/>
        </w:rPr>
        <w:t xml:space="preserve"> </w:t>
      </w:r>
      <w:r w:rsidRPr="00EA7870">
        <w:rPr>
          <w:b/>
          <w:i/>
          <w:sz w:val="20"/>
          <w:szCs w:val="20"/>
          <w:lang w:val="es-AR"/>
        </w:rPr>
        <w:t>a</w:t>
      </w:r>
      <w:r w:rsidR="001A28B3" w:rsidRPr="00EA7870">
        <w:rPr>
          <w:b/>
          <w:i/>
          <w:sz w:val="20"/>
          <w:szCs w:val="20"/>
          <w:lang w:val="es-AR"/>
        </w:rPr>
        <w:t xml:space="preserve"> </w:t>
      </w:r>
      <w:r w:rsidRPr="00EA7870">
        <w:rPr>
          <w:b/>
          <w:i/>
          <w:sz w:val="20"/>
          <w:szCs w:val="20"/>
          <w:lang w:val="es-AR"/>
        </w:rPr>
        <w:t>Pagos</w:t>
      </w:r>
      <w:r w:rsidR="001A28B3" w:rsidRPr="00EA7870">
        <w:rPr>
          <w:b/>
          <w:i/>
          <w:sz w:val="20"/>
          <w:szCs w:val="20"/>
          <w:lang w:val="es-AR"/>
        </w:rPr>
        <w:t xml:space="preserve"> </w:t>
      </w:r>
      <w:r w:rsidRPr="00EA7870">
        <w:rPr>
          <w:b/>
          <w:i/>
          <w:sz w:val="20"/>
          <w:szCs w:val="20"/>
          <w:lang w:val="es-AR"/>
        </w:rPr>
        <w:t>Restringidos</w:t>
      </w:r>
    </w:p>
    <w:p w14:paraId="73D821A4" w14:textId="77777777" w:rsidR="00376725" w:rsidRPr="00EA7870" w:rsidRDefault="00376725" w:rsidP="00376725">
      <w:pPr>
        <w:tabs>
          <w:tab w:val="left" w:pos="0"/>
        </w:tabs>
        <w:jc w:val="both"/>
        <w:rPr>
          <w:sz w:val="20"/>
          <w:szCs w:val="20"/>
          <w:lang w:val="es-AR"/>
        </w:rPr>
      </w:pPr>
    </w:p>
    <w:p w14:paraId="458F8910" w14:textId="77777777" w:rsidR="00376725" w:rsidRPr="00EA7870" w:rsidRDefault="00376725" w:rsidP="00376725">
      <w:pPr>
        <w:tabs>
          <w:tab w:val="left" w:pos="0"/>
        </w:tabs>
        <w:jc w:val="both"/>
        <w:rPr>
          <w:sz w:val="20"/>
          <w:szCs w:val="20"/>
          <w:lang w:val="es-AR"/>
        </w:rPr>
      </w:pPr>
      <w:r w:rsidRPr="00EA7870">
        <w:rPr>
          <w:sz w:val="20"/>
          <w:szCs w:val="20"/>
          <w:lang w:val="es-AR"/>
        </w:rPr>
        <w:t>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acaecimiento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comienza</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hasta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posteriores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cursada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continúe</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declarado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caducidad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caducidad</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rescindida,</w:t>
      </w:r>
      <w:r w:rsidR="001A28B3" w:rsidRPr="00EA7870">
        <w:rPr>
          <w:sz w:val="20"/>
          <w:szCs w:val="20"/>
          <w:lang w:val="es-AR"/>
        </w:rPr>
        <w:t xml:space="preserve"> </w:t>
      </w:r>
      <w:r w:rsidRPr="00EA7870">
        <w:rPr>
          <w:sz w:val="20"/>
          <w:szCs w:val="20"/>
          <w:lang w:val="es-AR"/>
        </w:rPr>
        <w:t>anulada</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subsanada</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siguientes</w:t>
      </w:r>
      <w:r w:rsidR="001A28B3" w:rsidRPr="00EA7870">
        <w:rPr>
          <w:sz w:val="20"/>
          <w:szCs w:val="20"/>
          <w:lang w:val="es-AR"/>
        </w:rPr>
        <w:t xml:space="preserve"> </w:t>
      </w:r>
      <w:r w:rsidRPr="00EA7870">
        <w:rPr>
          <w:sz w:val="20"/>
          <w:szCs w:val="20"/>
          <w:lang w:val="es-AR"/>
        </w:rPr>
        <w:t>actos:</w:t>
      </w:r>
    </w:p>
    <w:p w14:paraId="2E8A07A6" w14:textId="77777777" w:rsidR="00376725" w:rsidRPr="00EA7870" w:rsidRDefault="00376725" w:rsidP="00376725">
      <w:pPr>
        <w:tabs>
          <w:tab w:val="left" w:pos="0"/>
        </w:tabs>
        <w:jc w:val="both"/>
        <w:rPr>
          <w:sz w:val="20"/>
          <w:szCs w:val="20"/>
          <w:lang w:val="es-AR"/>
        </w:rPr>
      </w:pPr>
    </w:p>
    <w:p w14:paraId="0054472C" w14:textId="6DFE5BA7" w:rsidR="00376725" w:rsidRPr="00EA7870" w:rsidRDefault="00376725" w:rsidP="00376725">
      <w:pPr>
        <w:tabs>
          <w:tab w:val="left" w:pos="0"/>
        </w:tabs>
        <w:ind w:firstLine="709"/>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declarar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dividendo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distribución</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participaciones</w:t>
      </w:r>
      <w:r w:rsidR="001A28B3" w:rsidRPr="00EA7870">
        <w:rPr>
          <w:sz w:val="20"/>
          <w:szCs w:val="20"/>
          <w:lang w:val="es-AR"/>
        </w:rPr>
        <w:t xml:space="preserve"> </w:t>
      </w:r>
      <w:r w:rsidRPr="00EA7870">
        <w:rPr>
          <w:sz w:val="20"/>
          <w:szCs w:val="20"/>
          <w:lang w:val="es-AR"/>
        </w:rPr>
        <w:t>accionarias,</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realizados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w:t>
      </w:r>
      <w:r w:rsidR="002D75E8" w:rsidRPr="00EA7870">
        <w:rPr>
          <w:sz w:val="20"/>
          <w:szCs w:val="20"/>
          <w:lang w:val="es-AR"/>
        </w:rPr>
        <w:t>nformidad</w:t>
      </w:r>
      <w:r w:rsidR="001A28B3" w:rsidRPr="00EA7870">
        <w:rPr>
          <w:sz w:val="20"/>
          <w:szCs w:val="20"/>
          <w:lang w:val="es-AR"/>
        </w:rPr>
        <w:t xml:space="preserve"> </w:t>
      </w:r>
      <w:r w:rsidR="002D75E8" w:rsidRPr="00EA7870">
        <w:rPr>
          <w:sz w:val="20"/>
          <w:szCs w:val="20"/>
          <w:lang w:val="es-AR"/>
        </w:rPr>
        <w:t>con</w:t>
      </w:r>
      <w:r w:rsidR="001A28B3" w:rsidRPr="00EA7870">
        <w:rPr>
          <w:sz w:val="20"/>
          <w:szCs w:val="20"/>
          <w:lang w:val="es-AR"/>
        </w:rPr>
        <w:t xml:space="preserve"> </w:t>
      </w:r>
      <w:r w:rsidR="002D75E8" w:rsidRPr="00EA7870">
        <w:rPr>
          <w:sz w:val="20"/>
          <w:szCs w:val="20"/>
          <w:lang w:val="es-AR"/>
        </w:rPr>
        <w:t>los</w:t>
      </w:r>
      <w:r w:rsidR="001A28B3" w:rsidRPr="00EA7870">
        <w:rPr>
          <w:sz w:val="20"/>
          <w:szCs w:val="20"/>
          <w:lang w:val="es-AR"/>
        </w:rPr>
        <w:t xml:space="preserve"> </w:t>
      </w:r>
      <w:r w:rsidR="002D75E8" w:rsidRPr="00EA7870">
        <w:rPr>
          <w:sz w:val="20"/>
          <w:szCs w:val="20"/>
          <w:lang w:val="es-AR"/>
        </w:rPr>
        <w:t>términos</w:t>
      </w:r>
      <w:r w:rsidR="001A28B3" w:rsidRPr="00EA7870">
        <w:rPr>
          <w:sz w:val="20"/>
          <w:szCs w:val="20"/>
          <w:lang w:val="es-AR"/>
        </w:rPr>
        <w:t xml:space="preserve"> </w:t>
      </w:r>
      <w:r w:rsidR="002D75E8" w:rsidRPr="00EA7870">
        <w:rPr>
          <w:sz w:val="20"/>
          <w:szCs w:val="20"/>
          <w:lang w:val="es-AR"/>
        </w:rPr>
        <w:t>del</w:t>
      </w:r>
      <w:r w:rsidR="001A28B3" w:rsidRPr="00EA7870">
        <w:rPr>
          <w:sz w:val="20"/>
          <w:szCs w:val="20"/>
          <w:lang w:val="es-AR"/>
        </w:rPr>
        <w:t xml:space="preserve"> </w:t>
      </w:r>
      <w:r w:rsidR="002D75E8" w:rsidRPr="00EA7870">
        <w:rPr>
          <w:sz w:val="20"/>
          <w:szCs w:val="20"/>
          <w:lang w:val="es-AR"/>
        </w:rPr>
        <w:t>Acuerdo</w:t>
      </w:r>
      <w:r w:rsidR="001A28B3" w:rsidRPr="00EA7870">
        <w:rPr>
          <w:sz w:val="20"/>
          <w:szCs w:val="20"/>
          <w:lang w:val="es-AR"/>
        </w:rPr>
        <w:t xml:space="preserve"> </w:t>
      </w:r>
      <w:r w:rsidR="002D75E8" w:rsidRPr="00EA7870">
        <w:rPr>
          <w:sz w:val="20"/>
          <w:szCs w:val="20"/>
          <w:lang w:val="es-AR"/>
        </w:rPr>
        <w:t>de</w:t>
      </w:r>
      <w:r w:rsidR="001A28B3" w:rsidRPr="00EA7870">
        <w:rPr>
          <w:sz w:val="20"/>
          <w:szCs w:val="20"/>
          <w:lang w:val="es-AR"/>
        </w:rPr>
        <w:t xml:space="preserve"> </w:t>
      </w:r>
      <w:r w:rsidR="002D75E8" w:rsidRPr="00EA7870">
        <w:rPr>
          <w:sz w:val="20"/>
          <w:szCs w:val="20"/>
          <w:lang w:val="es-AR"/>
        </w:rPr>
        <w:t>IVA</w:t>
      </w:r>
      <w:r w:rsidRPr="00EA7870">
        <w:rPr>
          <w:sz w:val="20"/>
          <w:szCs w:val="20"/>
          <w:lang w:val="es-AR"/>
        </w:rPr>
        <w:t>,</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encuentre</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00EF780E" w:rsidRPr="00EA7870">
        <w:rPr>
          <w:sz w:val="20"/>
          <w:szCs w:val="20"/>
          <w:lang w:val="es-AR"/>
        </w:rPr>
        <w:t>y</w:t>
      </w:r>
      <w:r w:rsidR="001A28B3" w:rsidRPr="00EA7870">
        <w:rPr>
          <w:sz w:val="20"/>
          <w:szCs w:val="20"/>
          <w:lang w:val="es-AR"/>
        </w:rPr>
        <w:t xml:space="preserve"> </w:t>
      </w:r>
      <w:r w:rsidR="00EF780E" w:rsidRPr="00EA7870">
        <w:rPr>
          <w:sz w:val="20"/>
          <w:szCs w:val="20"/>
          <w:lang w:val="es-AR"/>
        </w:rPr>
        <w:t>Liquidación</w:t>
      </w:r>
      <w:r w:rsidRPr="00EA7870">
        <w:rPr>
          <w:sz w:val="20"/>
          <w:szCs w:val="20"/>
          <w:lang w:val="es-AR"/>
        </w:rPr>
        <w:t>;</w:t>
      </w:r>
    </w:p>
    <w:p w14:paraId="3C3B0A9F" w14:textId="77777777" w:rsidR="00376725" w:rsidRPr="00EA7870" w:rsidRDefault="00376725" w:rsidP="00376725">
      <w:pPr>
        <w:tabs>
          <w:tab w:val="left" w:pos="0"/>
        </w:tabs>
        <w:ind w:firstLine="709"/>
        <w:jc w:val="both"/>
        <w:rPr>
          <w:sz w:val="20"/>
          <w:szCs w:val="20"/>
          <w:lang w:val="es-AR"/>
        </w:rPr>
      </w:pPr>
    </w:p>
    <w:p w14:paraId="401352F9"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(B)</w:t>
      </w:r>
      <w:r w:rsidR="001A28B3" w:rsidRPr="00EA7870">
        <w:rPr>
          <w:sz w:val="20"/>
          <w:szCs w:val="20"/>
          <w:lang w:val="es-AR"/>
        </w:rPr>
        <w:t xml:space="preserve"> </w:t>
      </w:r>
      <w:r w:rsidRPr="00EA7870">
        <w:rPr>
          <w:sz w:val="20"/>
          <w:szCs w:val="20"/>
          <w:lang w:val="es-AR"/>
        </w:rPr>
        <w:t>efectuar</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adelanto,</w:t>
      </w:r>
      <w:r w:rsidR="001A28B3" w:rsidRPr="00EA7870">
        <w:rPr>
          <w:sz w:val="20"/>
          <w:szCs w:val="20"/>
          <w:lang w:val="es-AR"/>
        </w:rPr>
        <w:t xml:space="preserve"> </w:t>
      </w:r>
      <w:r w:rsidRPr="00EA7870">
        <w:rPr>
          <w:sz w:val="20"/>
          <w:szCs w:val="20"/>
          <w:lang w:val="es-AR"/>
        </w:rPr>
        <w:t>cancelación,</w:t>
      </w:r>
      <w:r w:rsidR="001A28B3" w:rsidRPr="00EA7870">
        <w:rPr>
          <w:sz w:val="20"/>
          <w:szCs w:val="20"/>
          <w:lang w:val="es-AR"/>
        </w:rPr>
        <w:t xml:space="preserve"> </w:t>
      </w:r>
      <w:r w:rsidRPr="00EA7870">
        <w:rPr>
          <w:sz w:val="20"/>
          <w:szCs w:val="20"/>
          <w:lang w:val="es-AR"/>
        </w:rPr>
        <w:t>retiro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adquisición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(x)</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participaciones</w:t>
      </w:r>
      <w:r w:rsidR="001A28B3" w:rsidRPr="00EA7870">
        <w:rPr>
          <w:sz w:val="20"/>
          <w:szCs w:val="20"/>
          <w:lang w:val="es-AR"/>
        </w:rPr>
        <w:t xml:space="preserve"> </w:t>
      </w:r>
      <w:r w:rsidRPr="00EA7870">
        <w:rPr>
          <w:sz w:val="20"/>
          <w:szCs w:val="20"/>
          <w:lang w:val="es-AR"/>
        </w:rPr>
        <w:t>accionarias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controlante</w:t>
      </w:r>
      <w:r w:rsidR="001A28B3" w:rsidRPr="00EA7870">
        <w:rPr>
          <w:sz w:val="20"/>
          <w:szCs w:val="20"/>
          <w:lang w:val="es-AR"/>
        </w:rPr>
        <w:t xml:space="preserve"> </w:t>
      </w:r>
      <w:r w:rsidRPr="00EA7870">
        <w:rPr>
          <w:sz w:val="20"/>
          <w:szCs w:val="20"/>
          <w:lang w:val="es-AR"/>
        </w:rPr>
        <w:t>directa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indirecta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warrant</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adquirir</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participaciones</w:t>
      </w:r>
      <w:r w:rsidR="001A28B3" w:rsidRPr="00EA7870">
        <w:rPr>
          <w:sz w:val="20"/>
          <w:szCs w:val="20"/>
          <w:lang w:val="es-AR"/>
        </w:rPr>
        <w:t xml:space="preserve"> </w:t>
      </w:r>
      <w:r w:rsidRPr="00EA7870">
        <w:rPr>
          <w:sz w:val="20"/>
          <w:szCs w:val="20"/>
          <w:lang w:val="es-AR"/>
        </w:rPr>
        <w:t>accionarias;</w:t>
      </w:r>
      <w:r w:rsidR="001A28B3" w:rsidRPr="00EA7870">
        <w:rPr>
          <w:sz w:val="20"/>
          <w:szCs w:val="20"/>
          <w:lang w:val="es-AR"/>
        </w:rPr>
        <w:t xml:space="preserve"> </w:t>
      </w:r>
      <w:r w:rsidRPr="00EA7870">
        <w:rPr>
          <w:sz w:val="20"/>
          <w:szCs w:val="20"/>
          <w:lang w:val="es-AR"/>
        </w:rPr>
        <w:t>o</w:t>
      </w:r>
    </w:p>
    <w:p w14:paraId="4063012F" w14:textId="77777777" w:rsidR="00376725" w:rsidRPr="00EA7870" w:rsidRDefault="00376725" w:rsidP="00376725">
      <w:pPr>
        <w:tabs>
          <w:tab w:val="left" w:pos="0"/>
        </w:tabs>
        <w:ind w:firstLine="709"/>
        <w:jc w:val="both"/>
        <w:rPr>
          <w:sz w:val="20"/>
          <w:szCs w:val="20"/>
          <w:lang w:val="es-AR"/>
        </w:rPr>
      </w:pPr>
    </w:p>
    <w:p w14:paraId="3131430A"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(C)</w:t>
      </w:r>
      <w:r w:rsidR="001A28B3" w:rsidRPr="00EA7870">
        <w:rPr>
          <w:sz w:val="20"/>
          <w:szCs w:val="20"/>
          <w:lang w:val="es-AR"/>
        </w:rPr>
        <w:t xml:space="preserve"> </w:t>
      </w:r>
      <w:r w:rsidRPr="00EA7870">
        <w:rPr>
          <w:sz w:val="20"/>
          <w:szCs w:val="20"/>
          <w:lang w:val="es-AR"/>
        </w:rPr>
        <w:t>efectuar</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002D75E8" w:rsidRPr="00EA7870">
        <w:rPr>
          <w:sz w:val="20"/>
          <w:szCs w:val="20"/>
          <w:lang w:val="es-AR"/>
        </w:rPr>
        <w:t>pagos</w:t>
      </w:r>
      <w:r w:rsidR="001A28B3" w:rsidRPr="00EA7870">
        <w:rPr>
          <w:sz w:val="20"/>
          <w:szCs w:val="20"/>
          <w:lang w:val="es-AR"/>
        </w:rPr>
        <w:t xml:space="preserve"> </w:t>
      </w:r>
      <w:r w:rsidR="002D75E8" w:rsidRPr="00EA7870">
        <w:rPr>
          <w:sz w:val="20"/>
          <w:szCs w:val="20"/>
          <w:lang w:val="es-AR"/>
        </w:rPr>
        <w:t>por</w:t>
      </w:r>
      <w:r w:rsidR="001A28B3" w:rsidRPr="00EA7870">
        <w:rPr>
          <w:sz w:val="20"/>
          <w:szCs w:val="20"/>
          <w:lang w:val="es-AR"/>
        </w:rPr>
        <w:t xml:space="preserve"> </w:t>
      </w:r>
      <w:r w:rsidR="002D75E8" w:rsidRPr="00EA7870">
        <w:rPr>
          <w:sz w:val="20"/>
          <w:szCs w:val="20"/>
          <w:lang w:val="es-AR"/>
        </w:rPr>
        <w:t>adelantado</w:t>
      </w:r>
      <w:r w:rsidR="001A28B3" w:rsidRPr="00EA7870">
        <w:rPr>
          <w:sz w:val="20"/>
          <w:szCs w:val="20"/>
          <w:lang w:val="es-AR"/>
        </w:rPr>
        <w:t xml:space="preserve"> </w:t>
      </w:r>
      <w:r w:rsidR="002D75E8" w:rsidRPr="00EA7870">
        <w:rPr>
          <w:sz w:val="20"/>
          <w:szCs w:val="20"/>
          <w:lang w:val="es-AR"/>
        </w:rPr>
        <w:t>de</w:t>
      </w:r>
      <w:r w:rsidR="001A28B3" w:rsidRPr="00EA7870">
        <w:rPr>
          <w:sz w:val="20"/>
          <w:szCs w:val="20"/>
          <w:lang w:val="es-AR"/>
        </w:rPr>
        <w:t xml:space="preserve"> </w:t>
      </w:r>
      <w:r w:rsidR="002D75E8" w:rsidRPr="00EA7870">
        <w:rPr>
          <w:sz w:val="20"/>
          <w:szCs w:val="20"/>
          <w:lang w:val="es-AR"/>
        </w:rPr>
        <w:t>capital,</w:t>
      </w:r>
      <w:r w:rsidR="001A28B3" w:rsidRPr="00EA7870">
        <w:rPr>
          <w:sz w:val="20"/>
          <w:szCs w:val="20"/>
          <w:lang w:val="es-AR"/>
        </w:rPr>
        <w:t xml:space="preserve"> </w:t>
      </w:r>
      <w:r w:rsidR="002D75E8" w:rsidRPr="00EA7870">
        <w:rPr>
          <w:sz w:val="20"/>
          <w:szCs w:val="20"/>
          <w:lang w:val="es-AR"/>
        </w:rPr>
        <w:t>o</w:t>
      </w:r>
      <w:r w:rsidR="001A28B3" w:rsidRPr="00EA7870">
        <w:rPr>
          <w:sz w:val="20"/>
          <w:szCs w:val="20"/>
          <w:lang w:val="es-AR"/>
        </w:rPr>
        <w:t xml:space="preserve"> </w:t>
      </w:r>
      <w:r w:rsidR="002D75E8" w:rsidRPr="00EA7870">
        <w:rPr>
          <w:sz w:val="20"/>
          <w:szCs w:val="20"/>
          <w:lang w:val="es-AR"/>
        </w:rPr>
        <w:t>efectuar</w:t>
      </w:r>
      <w:r w:rsidR="001A28B3" w:rsidRPr="00EA7870">
        <w:rPr>
          <w:sz w:val="20"/>
          <w:szCs w:val="20"/>
          <w:lang w:val="es-AR"/>
        </w:rPr>
        <w:t xml:space="preserve"> </w:t>
      </w:r>
      <w:r w:rsidR="002D75E8" w:rsidRPr="00EA7870">
        <w:rPr>
          <w:sz w:val="20"/>
          <w:szCs w:val="20"/>
          <w:lang w:val="es-AR"/>
        </w:rPr>
        <w:t>pagos</w:t>
      </w:r>
      <w:r w:rsidR="001A28B3" w:rsidRPr="00EA7870">
        <w:rPr>
          <w:sz w:val="20"/>
          <w:szCs w:val="20"/>
          <w:lang w:val="es-AR"/>
        </w:rPr>
        <w:t xml:space="preserve"> </w:t>
      </w:r>
      <w:r w:rsidR="002D75E8" w:rsidRPr="00EA7870">
        <w:rPr>
          <w:sz w:val="20"/>
          <w:szCs w:val="20"/>
          <w:lang w:val="es-AR"/>
        </w:rPr>
        <w:t>de</w:t>
      </w:r>
      <w:r w:rsidR="001A28B3" w:rsidRPr="00EA7870">
        <w:rPr>
          <w:sz w:val="20"/>
          <w:szCs w:val="20"/>
          <w:lang w:val="es-AR"/>
        </w:rPr>
        <w:t xml:space="preserve"> </w:t>
      </w:r>
      <w:r w:rsidR="002D75E8" w:rsidRPr="00EA7870">
        <w:rPr>
          <w:sz w:val="20"/>
          <w:szCs w:val="20"/>
          <w:lang w:val="es-AR"/>
        </w:rPr>
        <w:t>intereses,</w:t>
      </w:r>
      <w:r w:rsidR="001A28B3" w:rsidRPr="00EA7870">
        <w:rPr>
          <w:sz w:val="20"/>
          <w:szCs w:val="20"/>
          <w:lang w:val="es-AR"/>
        </w:rPr>
        <w:t xml:space="preserve"> </w:t>
      </w:r>
      <w:r w:rsidR="000E1DFC" w:rsidRPr="00EA7870">
        <w:rPr>
          <w:sz w:val="20"/>
          <w:szCs w:val="20"/>
          <w:lang w:val="es-AR"/>
        </w:rPr>
        <w:t>sobre</w:t>
      </w:r>
      <w:r w:rsidR="001A28B3" w:rsidRPr="00EA7870">
        <w:rPr>
          <w:sz w:val="20"/>
          <w:szCs w:val="20"/>
          <w:lang w:val="es-AR"/>
        </w:rPr>
        <w:t xml:space="preserve"> </w:t>
      </w:r>
      <w:r w:rsidR="000E1DFC" w:rsidRPr="00EA7870">
        <w:rPr>
          <w:sz w:val="20"/>
          <w:szCs w:val="20"/>
          <w:lang w:val="es-AR"/>
        </w:rPr>
        <w:t>cualquiera</w:t>
      </w:r>
      <w:r w:rsidR="001A28B3" w:rsidRPr="00EA7870">
        <w:rPr>
          <w:sz w:val="20"/>
          <w:szCs w:val="20"/>
          <w:lang w:val="es-AR"/>
        </w:rPr>
        <w:t xml:space="preserve"> </w:t>
      </w:r>
      <w:r w:rsidR="00EC1906" w:rsidRPr="00EA7870">
        <w:rPr>
          <w:sz w:val="20"/>
          <w:szCs w:val="20"/>
          <w:lang w:val="es-AR"/>
        </w:rPr>
        <w:t>de</w:t>
      </w:r>
      <w:r w:rsidR="001A28B3" w:rsidRPr="00EA7870">
        <w:rPr>
          <w:sz w:val="20"/>
          <w:szCs w:val="20"/>
          <w:lang w:val="es-AR"/>
        </w:rPr>
        <w:t xml:space="preserve"> </w:t>
      </w:r>
      <w:r w:rsidR="00EC1906" w:rsidRPr="00EA7870">
        <w:rPr>
          <w:sz w:val="20"/>
          <w:szCs w:val="20"/>
          <w:lang w:val="es-AR"/>
        </w:rPr>
        <w:t>o</w:t>
      </w:r>
      <w:r w:rsidR="001A28B3" w:rsidRPr="00EA7870">
        <w:rPr>
          <w:sz w:val="20"/>
          <w:szCs w:val="20"/>
          <w:lang w:val="es-AR"/>
        </w:rPr>
        <w:t xml:space="preserve"> </w:t>
      </w:r>
      <w:r w:rsidR="000E1DFC" w:rsidRPr="00EA7870">
        <w:rPr>
          <w:sz w:val="20"/>
          <w:szCs w:val="20"/>
          <w:lang w:val="es-AR"/>
        </w:rPr>
        <w:t>de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Subordinado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recomprar,</w:t>
      </w:r>
      <w:r w:rsidR="001A28B3" w:rsidRPr="00EA7870">
        <w:rPr>
          <w:sz w:val="20"/>
          <w:szCs w:val="20"/>
          <w:lang w:val="es-AR"/>
        </w:rPr>
        <w:t xml:space="preserve"> </w:t>
      </w:r>
      <w:r w:rsidRPr="00EA7870">
        <w:rPr>
          <w:sz w:val="20"/>
          <w:szCs w:val="20"/>
          <w:lang w:val="es-AR"/>
        </w:rPr>
        <w:t>rescatar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adquirir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modo.</w:t>
      </w:r>
    </w:p>
    <w:p w14:paraId="49E59DBD" w14:textId="77777777" w:rsidR="00376725" w:rsidRPr="00EA7870" w:rsidRDefault="00376725" w:rsidP="00376725">
      <w:pPr>
        <w:tabs>
          <w:tab w:val="left" w:pos="0"/>
        </w:tabs>
        <w:ind w:firstLine="709"/>
        <w:jc w:val="both"/>
        <w:rPr>
          <w:sz w:val="20"/>
          <w:szCs w:val="20"/>
          <w:lang w:val="es-AR"/>
        </w:rPr>
      </w:pPr>
    </w:p>
    <w:p w14:paraId="08E143F7" w14:textId="77777777" w:rsidR="00376725" w:rsidRPr="00EA7870" w:rsidRDefault="00376725" w:rsidP="00376725">
      <w:pPr>
        <w:tabs>
          <w:tab w:val="left" w:pos="0"/>
        </w:tabs>
        <w:jc w:val="both"/>
        <w:rPr>
          <w:sz w:val="20"/>
          <w:szCs w:val="20"/>
          <w:lang w:val="es-AR"/>
        </w:rPr>
      </w:pPr>
      <w:r w:rsidRPr="00EA7870">
        <w:rPr>
          <w:sz w:val="20"/>
          <w:szCs w:val="20"/>
          <w:lang w:val="es-AR"/>
        </w:rPr>
        <w:t>Asimismo,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(x)</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llevar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cabo</w:t>
      </w:r>
      <w:r w:rsidR="001A28B3" w:rsidRPr="00EA7870">
        <w:rPr>
          <w:sz w:val="20"/>
          <w:szCs w:val="20"/>
          <w:lang w:val="es-AR"/>
        </w:rPr>
        <w:t xml:space="preserve"> </w:t>
      </w:r>
      <w:r w:rsidRPr="00EA7870">
        <w:rPr>
          <w:sz w:val="20"/>
          <w:szCs w:val="20"/>
          <w:lang w:val="es-AR"/>
        </w:rPr>
        <w:t>ninguno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actos</w:t>
      </w:r>
      <w:r w:rsidR="001A28B3" w:rsidRPr="00EA7870">
        <w:rPr>
          <w:sz w:val="20"/>
          <w:szCs w:val="20"/>
          <w:lang w:val="es-AR"/>
        </w:rPr>
        <w:t xml:space="preserve"> </w:t>
      </w:r>
      <w:r w:rsidRPr="00EA7870">
        <w:rPr>
          <w:sz w:val="20"/>
          <w:szCs w:val="20"/>
          <w:lang w:val="es-AR"/>
        </w:rPr>
        <w:t>previstos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cláusulas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w:t>
      </w:r>
      <w:r w:rsidR="001A28B3" w:rsidRPr="00EA7870">
        <w:rPr>
          <w:sz w:val="20"/>
          <w:szCs w:val="20"/>
          <w:lang w:val="es-AR"/>
        </w:rPr>
        <w:t xml:space="preserve"> </w:t>
      </w:r>
      <w:r w:rsidRPr="00EA7870">
        <w:rPr>
          <w:sz w:val="20"/>
          <w:szCs w:val="20"/>
          <w:lang w:val="es-AR"/>
        </w:rPr>
        <w:t>precedentes</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actos</w:t>
      </w:r>
      <w:r w:rsidR="001A28B3" w:rsidRPr="00EA7870">
        <w:rPr>
          <w:sz w:val="20"/>
          <w:szCs w:val="20"/>
          <w:lang w:val="es-AR"/>
        </w:rPr>
        <w:t xml:space="preserve"> </w:t>
      </w:r>
      <w:r w:rsidRPr="00EA7870">
        <w:rPr>
          <w:sz w:val="20"/>
          <w:szCs w:val="20"/>
          <w:lang w:val="es-AR"/>
        </w:rPr>
        <w:t>resultaran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depósito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previstos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cláusulas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w:t>
      </w:r>
      <w:r w:rsidR="001A28B3" w:rsidRPr="00EA7870">
        <w:rPr>
          <w:sz w:val="20"/>
          <w:szCs w:val="20"/>
          <w:lang w:val="es-AR"/>
        </w:rPr>
        <w:t xml:space="preserve"> </w:t>
      </w:r>
      <w:r w:rsidRPr="00EA7870">
        <w:rPr>
          <w:sz w:val="20"/>
          <w:szCs w:val="20"/>
          <w:lang w:val="es-AR"/>
        </w:rPr>
        <w:t>precedentes.</w:t>
      </w:r>
    </w:p>
    <w:p w14:paraId="44F90836" w14:textId="77777777" w:rsidR="00376725" w:rsidRPr="00EA7870" w:rsidRDefault="00376725" w:rsidP="00376725">
      <w:pPr>
        <w:tabs>
          <w:tab w:val="left" w:pos="0"/>
        </w:tabs>
        <w:ind w:firstLine="709"/>
        <w:jc w:val="both"/>
        <w:rPr>
          <w:sz w:val="20"/>
          <w:szCs w:val="20"/>
          <w:lang w:val="es-AR"/>
        </w:rPr>
      </w:pPr>
    </w:p>
    <w:p w14:paraId="20BCE346" w14:textId="77777777" w:rsidR="00376725" w:rsidRPr="00EA7870" w:rsidRDefault="00376725" w:rsidP="00376725">
      <w:pPr>
        <w:tabs>
          <w:tab w:val="left" w:pos="0"/>
        </w:tabs>
        <w:jc w:val="both"/>
        <w:rPr>
          <w:b/>
          <w:i/>
          <w:spacing w:val="-2"/>
          <w:sz w:val="20"/>
          <w:szCs w:val="20"/>
          <w:lang w:val="es-AR"/>
        </w:rPr>
      </w:pPr>
      <w:r w:rsidRPr="00EA7870">
        <w:rPr>
          <w:b/>
          <w:i/>
          <w:spacing w:val="-2"/>
          <w:sz w:val="20"/>
          <w:szCs w:val="20"/>
          <w:lang w:val="es-AR"/>
        </w:rPr>
        <w:t>Limitación</w:t>
      </w:r>
      <w:r w:rsidR="001A28B3" w:rsidRPr="00EA7870">
        <w:rPr>
          <w:b/>
          <w:i/>
          <w:spacing w:val="-2"/>
          <w:sz w:val="20"/>
          <w:szCs w:val="20"/>
          <w:lang w:val="es-AR"/>
        </w:rPr>
        <w:t xml:space="preserve"> </w:t>
      </w:r>
      <w:r w:rsidRPr="00EA7870">
        <w:rPr>
          <w:b/>
          <w:i/>
          <w:spacing w:val="-2"/>
          <w:sz w:val="20"/>
          <w:szCs w:val="20"/>
          <w:lang w:val="es-AR"/>
        </w:rPr>
        <w:t>a</w:t>
      </w:r>
      <w:r w:rsidR="001A28B3" w:rsidRPr="00EA7870">
        <w:rPr>
          <w:b/>
          <w:i/>
          <w:spacing w:val="-2"/>
          <w:sz w:val="20"/>
          <w:szCs w:val="20"/>
          <w:lang w:val="es-AR"/>
        </w:rPr>
        <w:t xml:space="preserve"> </w:t>
      </w:r>
      <w:r w:rsidR="00326C51" w:rsidRPr="00EA7870">
        <w:rPr>
          <w:b/>
          <w:i/>
          <w:spacing w:val="-2"/>
          <w:sz w:val="20"/>
          <w:szCs w:val="20"/>
          <w:lang w:val="es-AR"/>
        </w:rPr>
        <w:t>Transacciones</w:t>
      </w:r>
      <w:r w:rsidR="001A28B3" w:rsidRPr="00EA7870">
        <w:rPr>
          <w:b/>
          <w:i/>
          <w:spacing w:val="-2"/>
          <w:sz w:val="20"/>
          <w:szCs w:val="20"/>
          <w:lang w:val="es-AR"/>
        </w:rPr>
        <w:t xml:space="preserve"> </w:t>
      </w:r>
      <w:r w:rsidRPr="00EA7870">
        <w:rPr>
          <w:b/>
          <w:i/>
          <w:spacing w:val="-2"/>
          <w:sz w:val="20"/>
          <w:szCs w:val="20"/>
          <w:lang w:val="es-AR"/>
        </w:rPr>
        <w:t>con</w:t>
      </w:r>
      <w:r w:rsidR="001A28B3" w:rsidRPr="00EA7870">
        <w:rPr>
          <w:b/>
          <w:i/>
          <w:spacing w:val="-2"/>
          <w:sz w:val="20"/>
          <w:szCs w:val="20"/>
          <w:lang w:val="es-AR"/>
        </w:rPr>
        <w:t xml:space="preserve"> </w:t>
      </w:r>
      <w:r w:rsidRPr="00EA7870">
        <w:rPr>
          <w:b/>
          <w:i/>
          <w:spacing w:val="-2"/>
          <w:sz w:val="20"/>
          <w:szCs w:val="20"/>
          <w:lang w:val="es-AR"/>
        </w:rPr>
        <w:t>Afiliadas</w:t>
      </w:r>
    </w:p>
    <w:p w14:paraId="0967BE3D" w14:textId="77777777" w:rsidR="00376725" w:rsidRPr="00EA7870" w:rsidRDefault="00376725" w:rsidP="00376725">
      <w:pPr>
        <w:tabs>
          <w:tab w:val="left" w:pos="0"/>
        </w:tabs>
        <w:ind w:firstLine="709"/>
        <w:jc w:val="both"/>
        <w:rPr>
          <w:spacing w:val="-2"/>
          <w:sz w:val="20"/>
          <w:szCs w:val="20"/>
          <w:lang w:val="es-AR"/>
        </w:rPr>
      </w:pPr>
    </w:p>
    <w:p w14:paraId="6BF9DA69" w14:textId="77777777" w:rsidR="00376725" w:rsidRPr="00EA7870" w:rsidRDefault="00376725" w:rsidP="000F775A">
      <w:pPr>
        <w:tabs>
          <w:tab w:val="left" w:pos="0"/>
        </w:tabs>
        <w:jc w:val="both"/>
        <w:rPr>
          <w:sz w:val="20"/>
          <w:szCs w:val="20"/>
          <w:lang w:val="es-AR"/>
        </w:rPr>
      </w:pP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celebrarán,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permitirán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celebre,</w:t>
      </w:r>
      <w:r w:rsidR="001A28B3" w:rsidRPr="00EA7870">
        <w:rPr>
          <w:sz w:val="20"/>
          <w:szCs w:val="20"/>
          <w:lang w:val="es-AR"/>
        </w:rPr>
        <w:t xml:space="preserve"> </w:t>
      </w:r>
      <w:r w:rsidRPr="00EA7870">
        <w:rPr>
          <w:sz w:val="20"/>
          <w:szCs w:val="20"/>
          <w:lang w:val="es-AR"/>
        </w:rPr>
        <w:t>directa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indirectamente,</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00135AF0" w:rsidRPr="00EA7870">
        <w:rPr>
          <w:spacing w:val="-2"/>
          <w:sz w:val="20"/>
          <w:szCs w:val="20"/>
          <w:lang w:val="es-AR"/>
        </w:rPr>
        <w:t>transacción</w:t>
      </w:r>
      <w:r w:rsidRPr="00EA7870">
        <w:rPr>
          <w:spacing w:val="-2"/>
          <w:sz w:val="20"/>
          <w:szCs w:val="20"/>
          <w:lang w:val="es-AR"/>
        </w:rPr>
        <w:t>,</w:t>
      </w:r>
      <w:r w:rsidR="001A28B3" w:rsidRPr="00EA7870">
        <w:rPr>
          <w:spacing w:val="-2"/>
          <w:sz w:val="20"/>
          <w:szCs w:val="20"/>
          <w:lang w:val="es-AR"/>
        </w:rPr>
        <w:t xml:space="preserve"> </w:t>
      </w:r>
      <w:r w:rsidRPr="00EA7870">
        <w:rPr>
          <w:spacing w:val="-2"/>
          <w:sz w:val="20"/>
          <w:szCs w:val="20"/>
          <w:lang w:val="es-AR"/>
        </w:rPr>
        <w:t>incluso</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transmisión,</w:t>
      </w:r>
      <w:r w:rsidR="001A28B3" w:rsidRPr="00EA7870">
        <w:rPr>
          <w:spacing w:val="-2"/>
          <w:sz w:val="20"/>
          <w:szCs w:val="20"/>
          <w:lang w:val="es-AR"/>
        </w:rPr>
        <w:t xml:space="preserve"> </w:t>
      </w:r>
      <w:r w:rsidRPr="00EA7870">
        <w:rPr>
          <w:spacing w:val="-2"/>
          <w:sz w:val="20"/>
          <w:szCs w:val="20"/>
          <w:lang w:val="es-AR"/>
        </w:rPr>
        <w:t>venta,</w:t>
      </w:r>
      <w:r w:rsidR="001A28B3" w:rsidRPr="00EA7870">
        <w:rPr>
          <w:spacing w:val="-2"/>
          <w:sz w:val="20"/>
          <w:szCs w:val="20"/>
          <w:lang w:val="es-AR"/>
        </w:rPr>
        <w:t xml:space="preserve"> </w:t>
      </w:r>
      <w:r w:rsidRPr="00EA7870">
        <w:rPr>
          <w:spacing w:val="-2"/>
          <w:sz w:val="20"/>
          <w:szCs w:val="20"/>
          <w:lang w:val="es-AR"/>
        </w:rPr>
        <w:t>alquiler</w:t>
      </w:r>
      <w:r w:rsidR="001A28B3" w:rsidRPr="00EA7870">
        <w:rPr>
          <w:spacing w:val="-2"/>
          <w:sz w:val="20"/>
          <w:szCs w:val="20"/>
          <w:lang w:val="es-AR"/>
        </w:rPr>
        <w:t xml:space="preserve"> </w:t>
      </w:r>
      <w:r w:rsidRPr="00EA7870">
        <w:rPr>
          <w:spacing w:val="-2"/>
          <w:sz w:val="20"/>
          <w:szCs w:val="20"/>
          <w:lang w:val="es-AR"/>
        </w:rPr>
        <w:t>u</w:t>
      </w:r>
      <w:r w:rsidR="001A28B3" w:rsidRPr="00EA7870">
        <w:rPr>
          <w:spacing w:val="-2"/>
          <w:sz w:val="20"/>
          <w:szCs w:val="20"/>
          <w:lang w:val="es-AR"/>
        </w:rPr>
        <w:t xml:space="preserve"> </w:t>
      </w:r>
      <w:r w:rsidRPr="00EA7870">
        <w:rPr>
          <w:spacing w:val="-2"/>
          <w:sz w:val="20"/>
          <w:szCs w:val="20"/>
          <w:lang w:val="es-AR"/>
        </w:rPr>
        <w:t>otra</w:t>
      </w:r>
      <w:r w:rsidR="001A28B3" w:rsidRPr="00EA7870">
        <w:rPr>
          <w:spacing w:val="-2"/>
          <w:sz w:val="20"/>
          <w:szCs w:val="20"/>
          <w:lang w:val="es-AR"/>
        </w:rPr>
        <w:t xml:space="preserve"> </w:t>
      </w:r>
      <w:r w:rsidRPr="00EA7870">
        <w:rPr>
          <w:spacing w:val="-2"/>
          <w:sz w:val="20"/>
          <w:szCs w:val="20"/>
          <w:lang w:val="es-AR"/>
        </w:rPr>
        <w:t>enajenación</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Bienes,</w:t>
      </w:r>
      <w:r w:rsidR="001A28B3" w:rsidRPr="00EA7870">
        <w:rPr>
          <w:spacing w:val="-2"/>
          <w:sz w:val="20"/>
          <w:szCs w:val="20"/>
          <w:lang w:val="es-AR"/>
        </w:rPr>
        <w:t xml:space="preserve"> </w:t>
      </w:r>
      <w:r w:rsidRPr="00EA7870">
        <w:rPr>
          <w:spacing w:val="-2"/>
          <w:sz w:val="20"/>
          <w:szCs w:val="20"/>
          <w:lang w:val="es-AR"/>
        </w:rPr>
        <w:t>con</w:t>
      </w:r>
      <w:r w:rsidR="001A28B3" w:rsidRPr="00EA7870">
        <w:rPr>
          <w:spacing w:val="-2"/>
          <w:sz w:val="20"/>
          <w:szCs w:val="20"/>
          <w:lang w:val="es-AR"/>
        </w:rPr>
        <w:t xml:space="preserve"> </w:t>
      </w:r>
      <w:r w:rsidRPr="00EA7870">
        <w:rPr>
          <w:spacing w:val="-2"/>
          <w:sz w:val="20"/>
          <w:szCs w:val="20"/>
          <w:lang w:val="es-AR"/>
        </w:rPr>
        <w:t>ninguna</w:t>
      </w:r>
      <w:r w:rsidR="001A28B3" w:rsidRPr="00EA7870">
        <w:rPr>
          <w:spacing w:val="-2"/>
          <w:sz w:val="20"/>
          <w:szCs w:val="20"/>
          <w:lang w:val="es-AR"/>
        </w:rPr>
        <w:t xml:space="preserve"> </w:t>
      </w:r>
      <w:r w:rsidRPr="00EA7870">
        <w:rPr>
          <w:spacing w:val="-2"/>
          <w:sz w:val="20"/>
          <w:szCs w:val="20"/>
          <w:lang w:val="es-AR"/>
        </w:rPr>
        <w:t>Afiliada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salvo</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términos</w:t>
      </w:r>
      <w:r w:rsidR="001A28B3" w:rsidRPr="00EA7870">
        <w:rPr>
          <w:spacing w:val="-2"/>
          <w:sz w:val="20"/>
          <w:szCs w:val="20"/>
          <w:lang w:val="es-AR"/>
        </w:rPr>
        <w:t xml:space="preserve"> </w:t>
      </w:r>
      <w:r w:rsidRPr="00EA7870">
        <w:rPr>
          <w:spacing w:val="-2"/>
          <w:sz w:val="20"/>
          <w:szCs w:val="20"/>
          <w:lang w:val="es-AR"/>
        </w:rPr>
        <w:t>comercialmente</w:t>
      </w:r>
      <w:r w:rsidR="001A28B3" w:rsidRPr="00EA7870">
        <w:rPr>
          <w:spacing w:val="-2"/>
          <w:sz w:val="20"/>
          <w:szCs w:val="20"/>
          <w:lang w:val="es-AR"/>
        </w:rPr>
        <w:t xml:space="preserve"> </w:t>
      </w:r>
      <w:r w:rsidRPr="00EA7870">
        <w:rPr>
          <w:spacing w:val="-2"/>
          <w:sz w:val="20"/>
          <w:szCs w:val="20"/>
          <w:lang w:val="es-AR"/>
        </w:rPr>
        <w:t>razonables</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menos</w:t>
      </w:r>
      <w:r w:rsidR="001A28B3" w:rsidRPr="00EA7870">
        <w:rPr>
          <w:spacing w:val="-2"/>
          <w:sz w:val="20"/>
          <w:szCs w:val="20"/>
          <w:lang w:val="es-AR"/>
        </w:rPr>
        <w:t xml:space="preserve"> </w:t>
      </w:r>
      <w:r w:rsidRPr="00EA7870">
        <w:rPr>
          <w:spacing w:val="-2"/>
          <w:sz w:val="20"/>
          <w:szCs w:val="20"/>
          <w:lang w:val="es-AR"/>
        </w:rPr>
        <w:t>favorables</w:t>
      </w:r>
      <w:r w:rsidR="001A28B3" w:rsidRPr="00EA7870">
        <w:rPr>
          <w:spacing w:val="-2"/>
          <w:sz w:val="20"/>
          <w:szCs w:val="20"/>
          <w:lang w:val="es-AR"/>
        </w:rPr>
        <w:t xml:space="preserve"> </w:t>
      </w:r>
      <w:r w:rsidRPr="00EA7870">
        <w:rPr>
          <w:spacing w:val="-2"/>
          <w:sz w:val="20"/>
          <w:szCs w:val="20"/>
          <w:lang w:val="es-AR"/>
        </w:rPr>
        <w:t>para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aquéllos</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podrían</w:t>
      </w:r>
      <w:r w:rsidR="001A28B3" w:rsidRPr="00EA7870">
        <w:rPr>
          <w:spacing w:val="-2"/>
          <w:sz w:val="20"/>
          <w:szCs w:val="20"/>
          <w:lang w:val="es-AR"/>
        </w:rPr>
        <w:t xml:space="preserve"> </w:t>
      </w:r>
      <w:r w:rsidRPr="00EA7870">
        <w:rPr>
          <w:spacing w:val="-2"/>
          <w:sz w:val="20"/>
          <w:szCs w:val="20"/>
          <w:lang w:val="es-AR"/>
        </w:rPr>
        <w:t>obtenerse</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una</w:t>
      </w:r>
      <w:r w:rsidR="001A28B3" w:rsidRPr="00EA7870">
        <w:rPr>
          <w:spacing w:val="-2"/>
          <w:sz w:val="20"/>
          <w:szCs w:val="20"/>
          <w:lang w:val="es-AR"/>
        </w:rPr>
        <w:t xml:space="preserve"> </w:t>
      </w:r>
      <w:r w:rsidRPr="00EA7870">
        <w:rPr>
          <w:spacing w:val="-2"/>
          <w:sz w:val="20"/>
          <w:szCs w:val="20"/>
          <w:lang w:val="es-AR"/>
        </w:rPr>
        <w:t>operación</w:t>
      </w:r>
      <w:r w:rsidR="001A28B3" w:rsidRPr="00EA7870">
        <w:rPr>
          <w:spacing w:val="-2"/>
          <w:sz w:val="20"/>
          <w:szCs w:val="20"/>
          <w:lang w:val="es-AR"/>
        </w:rPr>
        <w:t xml:space="preserve"> </w:t>
      </w:r>
      <w:r w:rsidRPr="00EA7870">
        <w:rPr>
          <w:spacing w:val="-2"/>
          <w:sz w:val="20"/>
          <w:szCs w:val="20"/>
          <w:lang w:val="es-AR"/>
        </w:rPr>
        <w:t>entre</w:t>
      </w:r>
      <w:r w:rsidR="001A28B3" w:rsidRPr="00EA7870">
        <w:rPr>
          <w:spacing w:val="-2"/>
          <w:sz w:val="20"/>
          <w:szCs w:val="20"/>
          <w:lang w:val="es-AR"/>
        </w:rPr>
        <w:t xml:space="preserve"> </w:t>
      </w:r>
      <w:r w:rsidRPr="00EA7870">
        <w:rPr>
          <w:spacing w:val="-2"/>
          <w:sz w:val="20"/>
          <w:szCs w:val="20"/>
          <w:lang w:val="es-AR"/>
        </w:rPr>
        <w:t>partes</w:t>
      </w:r>
      <w:r w:rsidR="001A28B3" w:rsidRPr="00EA7870">
        <w:rPr>
          <w:spacing w:val="-2"/>
          <w:sz w:val="20"/>
          <w:szCs w:val="20"/>
          <w:lang w:val="es-AR"/>
        </w:rPr>
        <w:t xml:space="preserve"> </w:t>
      </w:r>
      <w:r w:rsidRPr="00EA7870">
        <w:rPr>
          <w:spacing w:val="-2"/>
          <w:sz w:val="20"/>
          <w:szCs w:val="20"/>
          <w:lang w:val="es-AR"/>
        </w:rPr>
        <w:t>independientes</w:t>
      </w:r>
      <w:r w:rsidR="001A28B3" w:rsidRPr="00EA7870">
        <w:rPr>
          <w:spacing w:val="-2"/>
          <w:sz w:val="20"/>
          <w:szCs w:val="20"/>
          <w:lang w:val="es-AR"/>
        </w:rPr>
        <w:t xml:space="preserve"> </w:t>
      </w:r>
      <w:r w:rsidRPr="00EA7870">
        <w:rPr>
          <w:spacing w:val="-2"/>
          <w:sz w:val="20"/>
          <w:szCs w:val="20"/>
          <w:lang w:val="es-AR"/>
        </w:rPr>
        <w:t>con</w:t>
      </w:r>
      <w:r w:rsidR="001A28B3" w:rsidRPr="00EA7870">
        <w:rPr>
          <w:spacing w:val="-2"/>
          <w:sz w:val="20"/>
          <w:szCs w:val="20"/>
          <w:lang w:val="es-AR"/>
        </w:rPr>
        <w:t xml:space="preserve"> </w:t>
      </w:r>
      <w:r w:rsidRPr="00EA7870">
        <w:rPr>
          <w:spacing w:val="-2"/>
          <w:sz w:val="20"/>
          <w:szCs w:val="20"/>
          <w:lang w:val="es-AR"/>
        </w:rPr>
        <w:t>una</w:t>
      </w:r>
      <w:r w:rsidR="001A28B3" w:rsidRPr="00EA7870">
        <w:rPr>
          <w:spacing w:val="-2"/>
          <w:sz w:val="20"/>
          <w:szCs w:val="20"/>
          <w:lang w:val="es-AR"/>
        </w:rPr>
        <w:t xml:space="preserve"> </w:t>
      </w:r>
      <w:r w:rsidRPr="00EA7870">
        <w:rPr>
          <w:spacing w:val="-2"/>
          <w:sz w:val="20"/>
          <w:szCs w:val="20"/>
          <w:lang w:val="es-AR"/>
        </w:rPr>
        <w:t>Persona</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fuera</w:t>
      </w:r>
      <w:r w:rsidR="001A28B3" w:rsidRPr="00EA7870">
        <w:rPr>
          <w:spacing w:val="-2"/>
          <w:sz w:val="20"/>
          <w:szCs w:val="20"/>
          <w:lang w:val="es-AR"/>
        </w:rPr>
        <w:t xml:space="preserve"> </w:t>
      </w:r>
      <w:r w:rsidRPr="00EA7870">
        <w:rPr>
          <w:spacing w:val="-2"/>
          <w:sz w:val="20"/>
          <w:szCs w:val="20"/>
          <w:lang w:val="es-AR"/>
        </w:rPr>
        <w:t>una</w:t>
      </w:r>
      <w:r w:rsidR="001A28B3" w:rsidRPr="00EA7870">
        <w:rPr>
          <w:spacing w:val="-2"/>
          <w:sz w:val="20"/>
          <w:szCs w:val="20"/>
          <w:lang w:val="es-AR"/>
        </w:rPr>
        <w:t xml:space="preserve"> </w:t>
      </w:r>
      <w:r w:rsidRPr="00EA7870">
        <w:rPr>
          <w:spacing w:val="-2"/>
          <w:sz w:val="20"/>
          <w:szCs w:val="20"/>
          <w:lang w:val="es-AR"/>
        </w:rPr>
        <w:t>Afiliada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p>
    <w:p w14:paraId="6B3CED72" w14:textId="77777777" w:rsidR="00376725" w:rsidRPr="00EA7870" w:rsidRDefault="00376725" w:rsidP="00376725">
      <w:pPr>
        <w:tabs>
          <w:tab w:val="left" w:pos="0"/>
        </w:tabs>
        <w:jc w:val="both"/>
        <w:rPr>
          <w:sz w:val="20"/>
          <w:szCs w:val="20"/>
          <w:lang w:val="es-AR"/>
        </w:rPr>
      </w:pPr>
    </w:p>
    <w:p w14:paraId="1B6E1FA2" w14:textId="77777777" w:rsidR="00376725" w:rsidRPr="00EA7870" w:rsidRDefault="00376725" w:rsidP="00376725">
      <w:pPr>
        <w:tabs>
          <w:tab w:val="left" w:pos="0"/>
        </w:tabs>
        <w:jc w:val="both"/>
        <w:rPr>
          <w:b/>
          <w:i/>
          <w:sz w:val="20"/>
          <w:szCs w:val="20"/>
          <w:lang w:val="es-AR"/>
        </w:rPr>
      </w:pPr>
      <w:r w:rsidRPr="00EA7870">
        <w:rPr>
          <w:b/>
          <w:i/>
          <w:sz w:val="20"/>
          <w:szCs w:val="20"/>
          <w:lang w:val="es-AR"/>
        </w:rPr>
        <w:t>Limitación</w:t>
      </w:r>
      <w:r w:rsidR="001A28B3" w:rsidRPr="00EA7870">
        <w:rPr>
          <w:b/>
          <w:i/>
          <w:sz w:val="20"/>
          <w:szCs w:val="20"/>
          <w:lang w:val="es-AR"/>
        </w:rPr>
        <w:t xml:space="preserve"> </w:t>
      </w:r>
      <w:r w:rsidRPr="00EA7870">
        <w:rPr>
          <w:b/>
          <w:i/>
          <w:sz w:val="20"/>
          <w:szCs w:val="20"/>
          <w:lang w:val="es-AR"/>
        </w:rPr>
        <w:t>a</w:t>
      </w:r>
      <w:r w:rsidR="001A28B3" w:rsidRPr="00EA7870">
        <w:rPr>
          <w:b/>
          <w:i/>
          <w:sz w:val="20"/>
          <w:szCs w:val="20"/>
          <w:lang w:val="es-AR"/>
        </w:rPr>
        <w:t xml:space="preserve"> </w:t>
      </w:r>
      <w:r w:rsidRPr="00EA7870">
        <w:rPr>
          <w:b/>
          <w:i/>
          <w:sz w:val="20"/>
          <w:szCs w:val="20"/>
          <w:lang w:val="es-AR"/>
        </w:rPr>
        <w:t>la</w:t>
      </w:r>
      <w:r w:rsidR="001A28B3" w:rsidRPr="00EA7870">
        <w:rPr>
          <w:sz w:val="20"/>
          <w:szCs w:val="20"/>
          <w:lang w:val="es-AR"/>
        </w:rPr>
        <w:t xml:space="preserve"> </w:t>
      </w:r>
      <w:r w:rsidR="00F112D5" w:rsidRPr="00EA7870">
        <w:rPr>
          <w:b/>
          <w:i/>
          <w:sz w:val="20"/>
          <w:szCs w:val="20"/>
          <w:lang w:val="es-AR"/>
        </w:rPr>
        <w:t xml:space="preserve">Consolidación, </w:t>
      </w:r>
      <w:r w:rsidRPr="00EA7870">
        <w:rPr>
          <w:b/>
          <w:i/>
          <w:sz w:val="20"/>
          <w:szCs w:val="20"/>
          <w:lang w:val="es-AR"/>
        </w:rPr>
        <w:t>Fusión</w:t>
      </w:r>
      <w:r w:rsidR="001A28B3" w:rsidRPr="00EA7870">
        <w:rPr>
          <w:b/>
          <w:i/>
          <w:sz w:val="20"/>
          <w:szCs w:val="20"/>
          <w:lang w:val="es-AR"/>
        </w:rPr>
        <w:t xml:space="preserve"> </w:t>
      </w:r>
      <w:r w:rsidRPr="00EA7870">
        <w:rPr>
          <w:b/>
          <w:i/>
          <w:sz w:val="20"/>
          <w:szCs w:val="20"/>
          <w:lang w:val="es-AR"/>
        </w:rPr>
        <w:t>por</w:t>
      </w:r>
      <w:r w:rsidR="001A28B3" w:rsidRPr="00EA7870">
        <w:rPr>
          <w:b/>
          <w:i/>
          <w:sz w:val="20"/>
          <w:szCs w:val="20"/>
          <w:lang w:val="es-AR"/>
        </w:rPr>
        <w:t xml:space="preserve"> </w:t>
      </w:r>
      <w:r w:rsidRPr="00EA7870">
        <w:rPr>
          <w:b/>
          <w:i/>
          <w:sz w:val="20"/>
          <w:szCs w:val="20"/>
          <w:lang w:val="es-AR"/>
        </w:rPr>
        <w:t>Absorción</w:t>
      </w:r>
      <w:r w:rsidR="00AD11BE" w:rsidRPr="00EA7870">
        <w:rPr>
          <w:b/>
          <w:i/>
          <w:sz w:val="20"/>
          <w:szCs w:val="20"/>
          <w:lang w:val="es-AR"/>
        </w:rPr>
        <w:t xml:space="preserve"> </w:t>
      </w:r>
      <w:r w:rsidRPr="00EA7870">
        <w:rPr>
          <w:b/>
          <w:i/>
          <w:sz w:val="20"/>
          <w:szCs w:val="20"/>
          <w:lang w:val="es-AR"/>
        </w:rPr>
        <w:t>o</w:t>
      </w:r>
      <w:r w:rsidR="001A28B3" w:rsidRPr="00EA7870">
        <w:rPr>
          <w:b/>
          <w:i/>
          <w:sz w:val="20"/>
          <w:szCs w:val="20"/>
          <w:lang w:val="es-AR"/>
        </w:rPr>
        <w:t xml:space="preserve"> </w:t>
      </w:r>
      <w:r w:rsidRPr="00EA7870">
        <w:rPr>
          <w:b/>
          <w:i/>
          <w:sz w:val="20"/>
          <w:szCs w:val="20"/>
          <w:lang w:val="es-AR"/>
        </w:rPr>
        <w:t>Venta</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Activos</w:t>
      </w:r>
    </w:p>
    <w:p w14:paraId="6AC04F02" w14:textId="77777777" w:rsidR="00376725" w:rsidRPr="00EA7870" w:rsidRDefault="00376725" w:rsidP="00376725">
      <w:pPr>
        <w:tabs>
          <w:tab w:val="left" w:pos="0"/>
        </w:tabs>
        <w:ind w:firstLine="709"/>
        <w:jc w:val="both"/>
        <w:rPr>
          <w:sz w:val="20"/>
          <w:szCs w:val="20"/>
          <w:lang w:val="es-AR"/>
        </w:rPr>
      </w:pPr>
    </w:p>
    <w:p w14:paraId="6EA3F2AA" w14:textId="77777777" w:rsidR="00376725" w:rsidRPr="00EA7870" w:rsidRDefault="00376725" w:rsidP="000F775A">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única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serie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operaciones</w:t>
      </w:r>
      <w:r w:rsidR="001A28B3" w:rsidRPr="00EA7870">
        <w:rPr>
          <w:sz w:val="20"/>
          <w:szCs w:val="20"/>
          <w:lang w:val="es-AR"/>
        </w:rPr>
        <w:t xml:space="preserve"> </w:t>
      </w:r>
      <w:r w:rsidRPr="00EA7870">
        <w:rPr>
          <w:sz w:val="20"/>
          <w:szCs w:val="20"/>
          <w:lang w:val="es-AR"/>
        </w:rPr>
        <w:t>relacionadas,</w:t>
      </w:r>
      <w:r w:rsidR="001A28B3" w:rsidRPr="00EA7870">
        <w:rPr>
          <w:sz w:val="20"/>
          <w:szCs w:val="20"/>
          <w:lang w:val="es-AR"/>
        </w:rPr>
        <w:t xml:space="preserve"> </w:t>
      </w:r>
      <w:r w:rsidRPr="00EA7870">
        <w:rPr>
          <w:sz w:val="20"/>
          <w:szCs w:val="20"/>
        </w:rPr>
        <w:t>no</w:t>
      </w:r>
      <w:r w:rsidR="001A28B3" w:rsidRPr="00EA7870">
        <w:rPr>
          <w:sz w:val="20"/>
          <w:szCs w:val="20"/>
        </w:rPr>
        <w:t xml:space="preserve"> </w:t>
      </w:r>
      <w:r w:rsidRPr="00EA7870">
        <w:rPr>
          <w:sz w:val="20"/>
          <w:szCs w:val="20"/>
        </w:rPr>
        <w:t>se</w:t>
      </w:r>
      <w:r w:rsidR="001A28B3" w:rsidRPr="00EA7870">
        <w:rPr>
          <w:sz w:val="20"/>
          <w:szCs w:val="20"/>
        </w:rPr>
        <w:t xml:space="preserve"> </w:t>
      </w:r>
      <w:r w:rsidRPr="00EA7870">
        <w:rPr>
          <w:sz w:val="20"/>
          <w:szCs w:val="20"/>
        </w:rPr>
        <w:t>consolidarán</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fusión</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absorción</w:t>
      </w:r>
      <w:r w:rsidR="001A28B3" w:rsidRPr="00EA7870">
        <w:rPr>
          <w:sz w:val="20"/>
          <w:szCs w:val="20"/>
        </w:rPr>
        <w:t xml:space="preserve"> </w:t>
      </w:r>
      <w:r w:rsidRPr="00EA7870">
        <w:rPr>
          <w:sz w:val="20"/>
          <w:szCs w:val="20"/>
        </w:rPr>
        <w:t>con</w:t>
      </w:r>
      <w:r w:rsidR="001A28B3" w:rsidRPr="00EA7870">
        <w:rPr>
          <w:sz w:val="20"/>
          <w:szCs w:val="20"/>
        </w:rPr>
        <w:t xml:space="preserve"> </w:t>
      </w:r>
      <w:r w:rsidRPr="00EA7870">
        <w:rPr>
          <w:sz w:val="20"/>
          <w:szCs w:val="20"/>
        </w:rPr>
        <w:t>otra</w:t>
      </w:r>
      <w:r w:rsidR="001A28B3" w:rsidRPr="00EA7870">
        <w:rPr>
          <w:sz w:val="20"/>
          <w:szCs w:val="20"/>
        </w:rPr>
        <w:t xml:space="preserve"> </w:t>
      </w:r>
      <w:r w:rsidRPr="00EA7870">
        <w:rPr>
          <w:sz w:val="20"/>
          <w:szCs w:val="20"/>
        </w:rPr>
        <w:t>Persona;</w:t>
      </w:r>
      <w:r w:rsidR="001A28B3" w:rsidRPr="00EA7870">
        <w:rPr>
          <w:sz w:val="20"/>
          <w:szCs w:val="20"/>
        </w:rPr>
        <w:t xml:space="preserve"> </w:t>
      </w:r>
      <w:r w:rsidRPr="00EA7870">
        <w:rPr>
          <w:sz w:val="20"/>
          <w:szCs w:val="20"/>
          <w:lang w:val="es-AR"/>
        </w:rPr>
        <w:t>y</w:t>
      </w:r>
      <w:r w:rsidR="001A28B3" w:rsidRPr="00EA7870">
        <w:rPr>
          <w:sz w:val="20"/>
          <w:szCs w:val="20"/>
          <w:lang w:val="es-AR"/>
        </w:rPr>
        <w:t xml:space="preserve"> </w:t>
      </w:r>
      <w:r w:rsidRPr="00EA7870">
        <w:rPr>
          <w:sz w:val="20"/>
          <w:szCs w:val="20"/>
        </w:rPr>
        <w:t>no</w:t>
      </w:r>
      <w:r w:rsidR="001A28B3" w:rsidRPr="00EA7870">
        <w:rPr>
          <w:sz w:val="20"/>
          <w:szCs w:val="20"/>
        </w:rPr>
        <w:t xml:space="preserve"> </w:t>
      </w:r>
      <w:r w:rsidRPr="00EA7870">
        <w:rPr>
          <w:sz w:val="20"/>
          <w:szCs w:val="20"/>
        </w:rPr>
        <w:t>transferirán,</w:t>
      </w:r>
      <w:r w:rsidR="001A28B3" w:rsidRPr="00EA7870">
        <w:rPr>
          <w:sz w:val="20"/>
          <w:szCs w:val="20"/>
        </w:rPr>
        <w:t xml:space="preserve"> </w:t>
      </w:r>
      <w:r w:rsidRPr="00EA7870">
        <w:rPr>
          <w:sz w:val="20"/>
          <w:szCs w:val="20"/>
        </w:rPr>
        <w:t>traspasarán,</w:t>
      </w:r>
      <w:r w:rsidR="001A28B3" w:rsidRPr="00EA7870">
        <w:rPr>
          <w:sz w:val="20"/>
          <w:szCs w:val="20"/>
        </w:rPr>
        <w:t xml:space="preserve"> </w:t>
      </w:r>
      <w:r w:rsidRPr="00EA7870">
        <w:rPr>
          <w:sz w:val="20"/>
          <w:szCs w:val="20"/>
        </w:rPr>
        <w:t>venderán,</w:t>
      </w:r>
      <w:r w:rsidR="001A28B3" w:rsidRPr="00EA7870">
        <w:rPr>
          <w:sz w:val="20"/>
          <w:szCs w:val="20"/>
        </w:rPr>
        <w:t xml:space="preserve"> </w:t>
      </w:r>
      <w:r w:rsidRPr="00EA7870">
        <w:rPr>
          <w:sz w:val="20"/>
          <w:szCs w:val="20"/>
        </w:rPr>
        <w:t>ni</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otro</w:t>
      </w:r>
      <w:r w:rsidR="001A28B3" w:rsidRPr="00EA7870">
        <w:rPr>
          <w:sz w:val="20"/>
          <w:szCs w:val="20"/>
        </w:rPr>
        <w:t xml:space="preserve"> </w:t>
      </w:r>
      <w:r w:rsidRPr="00EA7870">
        <w:rPr>
          <w:sz w:val="20"/>
          <w:szCs w:val="20"/>
        </w:rPr>
        <w:t>modo</w:t>
      </w:r>
      <w:r w:rsidR="001A28B3" w:rsidRPr="00EA7870">
        <w:rPr>
          <w:sz w:val="20"/>
          <w:szCs w:val="20"/>
        </w:rPr>
        <w:t xml:space="preserve"> </w:t>
      </w:r>
      <w:r w:rsidRPr="00EA7870">
        <w:rPr>
          <w:sz w:val="20"/>
          <w:szCs w:val="20"/>
        </w:rPr>
        <w:t>enajenarán</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totalidad</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sustancialmente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totalidad</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activos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Garante</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ninguna</w:t>
      </w:r>
      <w:r w:rsidR="001A28B3" w:rsidRPr="00EA7870">
        <w:rPr>
          <w:sz w:val="20"/>
          <w:szCs w:val="20"/>
        </w:rPr>
        <w:t xml:space="preserve"> </w:t>
      </w:r>
      <w:r w:rsidRPr="00EA7870">
        <w:rPr>
          <w:sz w:val="20"/>
          <w:szCs w:val="20"/>
        </w:rPr>
        <w:t>Persona</w:t>
      </w:r>
      <w:r w:rsidRPr="00EA7870">
        <w:rPr>
          <w:sz w:val="20"/>
          <w:szCs w:val="20"/>
          <w:lang w:val="es-AR"/>
        </w:rPr>
        <w:t>,</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resultante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fusión</w:t>
      </w:r>
      <w:r w:rsidR="001A28B3" w:rsidRPr="00EA7870">
        <w:rPr>
          <w:sz w:val="20"/>
          <w:szCs w:val="20"/>
          <w:lang w:val="es-AR"/>
        </w:rPr>
        <w:t xml:space="preserve"> </w:t>
      </w:r>
      <w:r w:rsidRPr="00EA7870">
        <w:rPr>
          <w:sz w:val="20"/>
          <w:szCs w:val="20"/>
          <w:lang w:val="es-AR"/>
        </w:rPr>
        <w:t>propiamente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fusión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absorción,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adquirió</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transmisión,</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enajenación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Personas,</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w:t>
      </w:r>
      <w:r w:rsidRPr="00EA7870">
        <w:rPr>
          <w:b/>
          <w:sz w:val="20"/>
          <w:szCs w:val="20"/>
          <w:lang w:val="es-AR"/>
        </w:rPr>
        <w:t>Sucesor</w:t>
      </w:r>
      <w:r w:rsidRPr="00EA7870">
        <w:rPr>
          <w:sz w:val="20"/>
          <w:szCs w:val="20"/>
          <w:lang w:val="es-AR"/>
        </w:rPr>
        <w:t>”)</w:t>
      </w:r>
      <w:r w:rsidR="001A28B3" w:rsidRPr="00EA7870">
        <w:rPr>
          <w:sz w:val="20"/>
          <w:szCs w:val="20"/>
          <w:lang w:val="es-AR"/>
        </w:rPr>
        <w:t xml:space="preserve"> </w:t>
      </w:r>
      <w:r w:rsidRPr="00EA7870">
        <w:rPr>
          <w:sz w:val="20"/>
          <w:szCs w:val="20"/>
          <w:lang w:val="es-AR"/>
        </w:rPr>
        <w:t>asuma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expresa,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complementario,</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dar</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dar</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pudieran</w:t>
      </w:r>
      <w:r w:rsidR="001A28B3" w:rsidRPr="00EA7870">
        <w:rPr>
          <w:sz w:val="20"/>
          <w:szCs w:val="20"/>
          <w:lang w:val="es-AR"/>
        </w:rPr>
        <w:t xml:space="preserve"> </w:t>
      </w:r>
      <w:r w:rsidRPr="00EA7870">
        <w:rPr>
          <w:sz w:val="20"/>
          <w:szCs w:val="20"/>
          <w:lang w:val="es-AR"/>
        </w:rPr>
        <w:t>incurrir</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mínimo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US$1,00</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adicional</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compromiso</w:t>
      </w:r>
      <w:r w:rsidR="001A28B3" w:rsidRPr="00EA7870">
        <w:rPr>
          <w:sz w:val="20"/>
          <w:szCs w:val="20"/>
          <w:lang w:val="es-AR"/>
        </w:rPr>
        <w:t xml:space="preserve"> </w:t>
      </w:r>
      <w:r w:rsidRPr="00EA7870">
        <w:rPr>
          <w:sz w:val="20"/>
          <w:szCs w:val="20"/>
          <w:lang w:val="es-AR"/>
        </w:rPr>
        <w:t>descripto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apartado</w:t>
      </w:r>
      <w:r w:rsidR="001A28B3" w:rsidRPr="00EA7870">
        <w:rPr>
          <w:sz w:val="20"/>
          <w:szCs w:val="20"/>
          <w:lang w:val="es-AR"/>
        </w:rPr>
        <w:t xml:space="preserve"> </w:t>
      </w:r>
      <w:r w:rsidRPr="00EA7870">
        <w:rPr>
          <w:sz w:val="20"/>
          <w:szCs w:val="20"/>
          <w:lang w:val="es-AR"/>
        </w:rPr>
        <w:t>“</w:t>
      </w:r>
      <w:r w:rsidRPr="00EA7870">
        <w:rPr>
          <w:i/>
          <w:sz w:val="20"/>
          <w:szCs w:val="20"/>
          <w:lang w:val="es-AR"/>
        </w:rPr>
        <w:t>—Limitación</w:t>
      </w:r>
      <w:r w:rsidR="001A28B3" w:rsidRPr="00EA7870">
        <w:rPr>
          <w:i/>
          <w:sz w:val="20"/>
          <w:szCs w:val="20"/>
          <w:lang w:val="es-AR"/>
        </w:rPr>
        <w:t xml:space="preserve"> </w:t>
      </w:r>
      <w:r w:rsidRPr="00EA7870">
        <w:rPr>
          <w:i/>
          <w:sz w:val="20"/>
          <w:szCs w:val="20"/>
          <w:lang w:val="es-AR"/>
        </w:rPr>
        <w:t>al</w:t>
      </w:r>
      <w:r w:rsidR="001A28B3" w:rsidRPr="00EA7870">
        <w:rPr>
          <w:i/>
          <w:sz w:val="20"/>
          <w:szCs w:val="20"/>
          <w:lang w:val="es-AR"/>
        </w:rPr>
        <w:t xml:space="preserve"> </w:t>
      </w:r>
      <w:r w:rsidRPr="00EA7870">
        <w:rPr>
          <w:i/>
          <w:sz w:val="20"/>
          <w:szCs w:val="20"/>
          <w:lang w:val="es-AR"/>
        </w:rPr>
        <w:t>Endeudamiento</w:t>
      </w:r>
      <w:r w:rsidRPr="00EA7870">
        <w:rPr>
          <w:sz w:val="20"/>
          <w:szCs w:val="20"/>
          <w:lang w:val="es-AR"/>
        </w:rPr>
        <w:t>”;</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(x)</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Cobertura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igual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007E7E35" w:rsidRPr="00EA7870">
        <w:rPr>
          <w:sz w:val="20"/>
          <w:szCs w:val="20"/>
          <w:lang w:val="es-AR"/>
        </w:rPr>
        <w:t>e</w:t>
      </w:r>
      <w:r w:rsidR="001A28B3" w:rsidRPr="00EA7870">
        <w:rPr>
          <w:sz w:val="20"/>
          <w:szCs w:val="20"/>
          <w:lang w:val="es-AR"/>
        </w:rPr>
        <w:t xml:space="preserve"> </w:t>
      </w:r>
      <w:r w:rsidRPr="00EA7870">
        <w:rPr>
          <w:sz w:val="20"/>
          <w:szCs w:val="20"/>
          <w:lang w:val="es-AR"/>
        </w:rPr>
        <w:t>(</w:t>
      </w:r>
      <w:r w:rsidR="007E7E35" w:rsidRPr="00EA7870">
        <w:rPr>
          <w:sz w:val="20"/>
          <w:szCs w:val="20"/>
          <w:lang w:val="es-AR"/>
        </w:rPr>
        <w:t>y</w:t>
      </w:r>
      <w:r w:rsidRPr="00EA7870">
        <w:rPr>
          <w:sz w:val="20"/>
          <w:szCs w:val="20"/>
          <w:lang w:val="es-AR"/>
        </w:rPr>
        <w:t>)</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Capitalización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igual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inferior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(C)</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dar</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reemplazo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misma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007E7E35" w:rsidRPr="00EA7870">
        <w:rPr>
          <w:sz w:val="20"/>
          <w:szCs w:val="20"/>
          <w:lang w:val="es-AR"/>
        </w:rPr>
        <w:t>respecto</w:t>
      </w:r>
      <w:r w:rsidR="001A28B3" w:rsidRPr="00EA7870">
        <w:rPr>
          <w:sz w:val="20"/>
          <w:szCs w:val="20"/>
          <w:lang w:val="es-AR"/>
        </w:rPr>
        <w:t xml:space="preserve"> </w:t>
      </w:r>
      <w:r w:rsidR="007E7E35"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considerando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simultánea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producido</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continuara</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entregado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Certificado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Funcionarios</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cómputos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demostrar</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opinión</w:t>
      </w:r>
      <w:r w:rsidR="001A28B3" w:rsidRPr="00EA7870">
        <w:rPr>
          <w:sz w:val="20"/>
          <w:szCs w:val="20"/>
          <w:lang w:val="es-AR"/>
        </w:rPr>
        <w:t xml:space="preserve"> </w:t>
      </w:r>
      <w:r w:rsidRPr="00EA7870">
        <w:rPr>
          <w:sz w:val="20"/>
          <w:szCs w:val="20"/>
          <w:lang w:val="es-AR"/>
        </w:rPr>
        <w:t>legal,</w:t>
      </w:r>
      <w:r w:rsidR="001A28B3" w:rsidRPr="00EA7870">
        <w:rPr>
          <w:sz w:val="20"/>
          <w:szCs w:val="20"/>
          <w:lang w:val="es-AR"/>
        </w:rPr>
        <w:t xml:space="preserve"> </w:t>
      </w:r>
      <w:r w:rsidRPr="00EA7870">
        <w:rPr>
          <w:sz w:val="20"/>
          <w:szCs w:val="20"/>
          <w:lang w:val="es-AR"/>
        </w:rPr>
        <w:t>donde</w:t>
      </w:r>
      <w:r w:rsidR="001A28B3" w:rsidRPr="00EA7870">
        <w:rPr>
          <w:sz w:val="20"/>
          <w:szCs w:val="20"/>
          <w:lang w:val="es-AR"/>
        </w:rPr>
        <w:t xml:space="preserve"> </w:t>
      </w:r>
      <w:r w:rsidRPr="00EA7870">
        <w:rPr>
          <w:sz w:val="20"/>
          <w:szCs w:val="20"/>
          <w:lang w:val="es-AR"/>
        </w:rPr>
        <w:t>conste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fusión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absorción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consolidación,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transmisión,</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enajenación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necesario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complementario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complementario</w:t>
      </w:r>
      <w:r w:rsidR="001A28B3" w:rsidRPr="00EA7870">
        <w:rPr>
          <w:sz w:val="20"/>
          <w:szCs w:val="20"/>
          <w:lang w:val="es-AR"/>
        </w:rPr>
        <w:t xml:space="preserve"> </w:t>
      </w:r>
      <w:r w:rsidRPr="00EA7870">
        <w:rPr>
          <w:sz w:val="20"/>
          <w:szCs w:val="20"/>
          <w:lang w:val="es-AR"/>
        </w:rPr>
        <w:t>cumple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cumplieron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condiciones</w:t>
      </w:r>
      <w:r w:rsidR="001A28B3" w:rsidRPr="00EA7870">
        <w:rPr>
          <w:sz w:val="20"/>
          <w:szCs w:val="20"/>
          <w:lang w:val="es-AR"/>
        </w:rPr>
        <w:t xml:space="preserve"> </w:t>
      </w:r>
      <w:r w:rsidRPr="00EA7870">
        <w:rPr>
          <w:sz w:val="20"/>
          <w:szCs w:val="20"/>
          <w:lang w:val="es-AR"/>
        </w:rPr>
        <w:t>precedentes</w:t>
      </w:r>
      <w:r w:rsidR="001A28B3" w:rsidRPr="00EA7870">
        <w:rPr>
          <w:sz w:val="20"/>
          <w:szCs w:val="20"/>
          <w:lang w:val="es-AR"/>
        </w:rPr>
        <w:t xml:space="preserve"> </w:t>
      </w:r>
      <w:r w:rsidRPr="00EA7870">
        <w:rPr>
          <w:sz w:val="20"/>
          <w:szCs w:val="20"/>
          <w:lang w:val="es-AR"/>
        </w:rPr>
        <w:t>incluidas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operación.</w:t>
      </w:r>
    </w:p>
    <w:p w14:paraId="22A15607" w14:textId="77777777" w:rsidR="00376725" w:rsidRPr="00EA7870" w:rsidRDefault="00376725" w:rsidP="00376725">
      <w:pPr>
        <w:tabs>
          <w:tab w:val="left" w:pos="0"/>
        </w:tabs>
        <w:ind w:firstLine="709"/>
        <w:jc w:val="both"/>
        <w:rPr>
          <w:sz w:val="20"/>
          <w:szCs w:val="20"/>
          <w:lang w:val="es-AR"/>
        </w:rPr>
      </w:pPr>
    </w:p>
    <w:p w14:paraId="226DFE2C" w14:textId="77777777" w:rsidR="00376725" w:rsidRPr="00EA7870" w:rsidRDefault="00376725" w:rsidP="000F775A">
      <w:pPr>
        <w:tabs>
          <w:tab w:val="left" w:pos="0"/>
        </w:tabs>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antedicho,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cesión,</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serie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operaciones)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sustancialmente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cuyo</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Social</w:t>
      </w:r>
      <w:r w:rsidR="001A28B3" w:rsidRPr="00EA7870">
        <w:rPr>
          <w:sz w:val="20"/>
          <w:szCs w:val="20"/>
          <w:lang w:val="es-AR"/>
        </w:rPr>
        <w:t xml:space="preserve"> </w:t>
      </w:r>
      <w:r w:rsidRPr="00EA7870">
        <w:rPr>
          <w:sz w:val="20"/>
          <w:szCs w:val="20"/>
          <w:lang w:val="es-AR"/>
        </w:rPr>
        <w:t>constituye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sustancialmente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constituye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sustancialmente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p>
    <w:p w14:paraId="70BC973A" w14:textId="77777777" w:rsidR="00376725" w:rsidRPr="00EA7870" w:rsidRDefault="00376725" w:rsidP="00376725">
      <w:pPr>
        <w:tabs>
          <w:tab w:val="left" w:pos="0"/>
        </w:tabs>
        <w:jc w:val="both"/>
        <w:rPr>
          <w:sz w:val="20"/>
          <w:szCs w:val="20"/>
          <w:lang w:val="es-AR"/>
        </w:rPr>
      </w:pPr>
    </w:p>
    <w:p w14:paraId="0E028396" w14:textId="77777777" w:rsidR="00376725" w:rsidRPr="00EA7870" w:rsidRDefault="00376725" w:rsidP="000F775A">
      <w:pPr>
        <w:tabs>
          <w:tab w:val="left" w:pos="0"/>
        </w:tabs>
        <w:jc w:val="both"/>
        <w:rPr>
          <w:sz w:val="20"/>
          <w:szCs w:val="20"/>
          <w:lang w:val="es-AR"/>
        </w:rPr>
      </w:pPr>
      <w:r w:rsidRPr="00EA7870">
        <w:rPr>
          <w:sz w:val="20"/>
          <w:szCs w:val="20"/>
          <w:lang w:val="es-AR"/>
        </w:rPr>
        <w:t>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consolidación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fusión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absorción,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sustancialmente</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antedicho,</w:t>
      </w:r>
      <w:r w:rsidR="001A28B3" w:rsidRPr="00EA7870">
        <w:rPr>
          <w:sz w:val="20"/>
          <w:szCs w:val="20"/>
          <w:lang w:val="es-AR"/>
        </w:rPr>
        <w:t xml:space="preserve"> </w:t>
      </w:r>
      <w:r w:rsidRPr="00EA7870">
        <w:rPr>
          <w:sz w:val="20"/>
          <w:szCs w:val="20"/>
          <w:lang w:val="es-AR"/>
        </w:rPr>
        <w:t>donde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fueran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entidad</w:t>
      </w:r>
      <w:r w:rsidR="001A28B3" w:rsidRPr="00EA7870">
        <w:rPr>
          <w:sz w:val="20"/>
          <w:szCs w:val="20"/>
          <w:lang w:val="es-AR"/>
        </w:rPr>
        <w:t xml:space="preserve"> </w:t>
      </w:r>
      <w:r w:rsidRPr="00EA7870">
        <w:rPr>
          <w:sz w:val="20"/>
          <w:szCs w:val="20"/>
          <w:lang w:val="es-AR"/>
        </w:rPr>
        <w:t>continuadora,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cree</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consecuencia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consolidación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fusionen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quien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realice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transmisión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sucederá</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reemplazará</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ejercer</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facultades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mismo</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nombrado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p>
    <w:p w14:paraId="117EBA2E" w14:textId="77777777" w:rsidR="00376725" w:rsidRPr="00EA7870" w:rsidRDefault="00376725" w:rsidP="00376725">
      <w:pPr>
        <w:tabs>
          <w:tab w:val="left" w:pos="0"/>
        </w:tabs>
        <w:ind w:firstLine="709"/>
        <w:jc w:val="both"/>
        <w:rPr>
          <w:sz w:val="20"/>
          <w:szCs w:val="20"/>
          <w:lang w:val="es-AR"/>
        </w:rPr>
      </w:pPr>
    </w:p>
    <w:p w14:paraId="45B94263" w14:textId="77777777" w:rsidR="00DA3436" w:rsidRPr="00EA7870" w:rsidRDefault="00DA3436" w:rsidP="000F775A">
      <w:pPr>
        <w:tabs>
          <w:tab w:val="left" w:pos="0"/>
        </w:tabs>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fin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evitar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dudas,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w:t>
      </w:r>
      <w:r w:rsidR="00081F37" w:rsidRPr="00EA7870">
        <w:rPr>
          <w:sz w:val="20"/>
          <w:szCs w:val="20"/>
          <w:lang w:val="es-AR"/>
        </w:rPr>
        <w:t>domiciliación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00BB2787" w:rsidRPr="00EA7870">
        <w:rPr>
          <w:sz w:val="20"/>
          <w:szCs w:val="20"/>
          <w:lang w:val="es-AR"/>
        </w:rPr>
        <w:t>jurisdicción</w:t>
      </w:r>
      <w:r w:rsidR="008C57F2" w:rsidRPr="00EA7870">
        <w:rPr>
          <w:sz w:val="20"/>
          <w:szCs w:val="20"/>
          <w:lang w:val="es-AR"/>
        </w:rPr>
        <w:t>,</w:t>
      </w:r>
      <w:r w:rsidR="001A28B3" w:rsidRPr="00EA7870">
        <w:rPr>
          <w:sz w:val="20"/>
          <w:szCs w:val="20"/>
          <w:lang w:val="es-AR"/>
        </w:rPr>
        <w:t xml:space="preserve"> </w:t>
      </w:r>
      <w:r w:rsidR="008C57F2" w:rsidRPr="00EA7870">
        <w:rPr>
          <w:sz w:val="20"/>
          <w:szCs w:val="20"/>
          <w:lang w:val="es-AR"/>
        </w:rPr>
        <w:t>incluyendo,</w:t>
      </w:r>
      <w:r w:rsidR="001A28B3" w:rsidRPr="00EA7870">
        <w:rPr>
          <w:sz w:val="20"/>
          <w:szCs w:val="20"/>
          <w:lang w:val="es-AR"/>
        </w:rPr>
        <w:t xml:space="preserve"> </w:t>
      </w:r>
      <w:r w:rsidR="008C57F2" w:rsidRPr="00EA7870">
        <w:rPr>
          <w:sz w:val="20"/>
          <w:szCs w:val="20"/>
          <w:lang w:val="es-AR"/>
        </w:rPr>
        <w:t>sin</w:t>
      </w:r>
      <w:r w:rsidR="001A28B3" w:rsidRPr="00EA7870">
        <w:rPr>
          <w:sz w:val="20"/>
          <w:szCs w:val="20"/>
          <w:lang w:val="es-AR"/>
        </w:rPr>
        <w:t xml:space="preserve"> </w:t>
      </w:r>
      <w:r w:rsidR="008C57F2" w:rsidRPr="00EA7870">
        <w:rPr>
          <w:sz w:val="20"/>
          <w:szCs w:val="20"/>
          <w:lang w:val="es-AR"/>
        </w:rPr>
        <w:t>limitación,</w:t>
      </w:r>
      <w:r w:rsidR="001A28B3" w:rsidRPr="00EA7870">
        <w:rPr>
          <w:sz w:val="20"/>
          <w:szCs w:val="20"/>
          <w:lang w:val="es-AR"/>
        </w:rPr>
        <w:t xml:space="preserve"> </w:t>
      </w:r>
      <w:r w:rsidR="008C57F2" w:rsidRPr="00EA7870">
        <w:rPr>
          <w:sz w:val="20"/>
          <w:szCs w:val="20"/>
          <w:lang w:val="es-AR"/>
        </w:rPr>
        <w:t>la</w:t>
      </w:r>
      <w:r w:rsidR="001A28B3" w:rsidRPr="00EA7870">
        <w:rPr>
          <w:sz w:val="20"/>
          <w:szCs w:val="20"/>
          <w:lang w:val="es-AR"/>
        </w:rPr>
        <w:t xml:space="preserve"> </w:t>
      </w:r>
      <w:r w:rsidR="008C57F2" w:rsidRPr="00EA7870">
        <w:rPr>
          <w:sz w:val="20"/>
          <w:szCs w:val="20"/>
          <w:lang w:val="es-AR"/>
        </w:rPr>
        <w:t>adopción</w:t>
      </w:r>
      <w:r w:rsidR="001A28B3" w:rsidRPr="00EA7870">
        <w:rPr>
          <w:sz w:val="20"/>
          <w:szCs w:val="20"/>
          <w:lang w:val="es-AR"/>
        </w:rPr>
        <w:t xml:space="preserve"> </w:t>
      </w:r>
      <w:r w:rsidR="008C57F2" w:rsidRPr="00EA7870">
        <w:rPr>
          <w:sz w:val="20"/>
          <w:szCs w:val="20"/>
          <w:lang w:val="es-AR"/>
        </w:rPr>
        <w:t>de</w:t>
      </w:r>
      <w:r w:rsidR="001A28B3" w:rsidRPr="00EA7870">
        <w:rPr>
          <w:sz w:val="20"/>
          <w:szCs w:val="20"/>
          <w:lang w:val="es-AR"/>
        </w:rPr>
        <w:t xml:space="preserve"> </w:t>
      </w:r>
      <w:r w:rsidR="008C57F2" w:rsidRPr="00EA7870">
        <w:rPr>
          <w:sz w:val="20"/>
          <w:szCs w:val="20"/>
          <w:lang w:val="es-AR"/>
        </w:rPr>
        <w:t>un</w:t>
      </w:r>
      <w:r w:rsidR="001A28B3" w:rsidRPr="00EA7870">
        <w:rPr>
          <w:sz w:val="20"/>
          <w:szCs w:val="20"/>
          <w:lang w:val="es-AR"/>
        </w:rPr>
        <w:t xml:space="preserve"> </w:t>
      </w:r>
      <w:r w:rsidR="008C57F2" w:rsidRPr="00EA7870">
        <w:rPr>
          <w:sz w:val="20"/>
          <w:szCs w:val="20"/>
          <w:lang w:val="es-AR"/>
        </w:rPr>
        <w:t>nuevo</w:t>
      </w:r>
      <w:r w:rsidR="001A28B3" w:rsidRPr="00EA7870">
        <w:rPr>
          <w:sz w:val="20"/>
          <w:szCs w:val="20"/>
          <w:lang w:val="es-AR"/>
        </w:rPr>
        <w:t xml:space="preserve"> </w:t>
      </w:r>
      <w:r w:rsidR="008C57F2" w:rsidRPr="00EA7870">
        <w:rPr>
          <w:sz w:val="20"/>
          <w:szCs w:val="20"/>
          <w:lang w:val="es-AR"/>
        </w:rPr>
        <w:t>tipo</w:t>
      </w:r>
      <w:r w:rsidR="001A28B3" w:rsidRPr="00EA7870">
        <w:rPr>
          <w:sz w:val="20"/>
          <w:szCs w:val="20"/>
          <w:lang w:val="es-AR"/>
        </w:rPr>
        <w:t xml:space="preserve"> </w:t>
      </w:r>
      <w:r w:rsidR="008C57F2" w:rsidRPr="00EA7870">
        <w:rPr>
          <w:sz w:val="20"/>
          <w:szCs w:val="20"/>
          <w:lang w:val="es-AR"/>
        </w:rPr>
        <w:t>societario</w:t>
      </w:r>
      <w:r w:rsidR="001A28B3" w:rsidRPr="00EA7870">
        <w:rPr>
          <w:sz w:val="20"/>
          <w:szCs w:val="20"/>
          <w:lang w:val="es-AR"/>
        </w:rPr>
        <w:t xml:space="preserve"> </w:t>
      </w:r>
      <w:r w:rsidR="008C57F2" w:rsidRPr="00EA7870">
        <w:rPr>
          <w:sz w:val="20"/>
          <w:szCs w:val="20"/>
          <w:lang w:val="es-AR"/>
        </w:rPr>
        <w:t>y</w:t>
      </w:r>
      <w:r w:rsidR="001A28B3" w:rsidRPr="00EA7870">
        <w:rPr>
          <w:sz w:val="20"/>
          <w:szCs w:val="20"/>
          <w:lang w:val="es-AR"/>
        </w:rPr>
        <w:t xml:space="preserve"> </w:t>
      </w:r>
      <w:r w:rsidR="008C57F2" w:rsidRPr="00EA7870">
        <w:rPr>
          <w:sz w:val="20"/>
          <w:szCs w:val="20"/>
          <w:lang w:val="es-AR"/>
        </w:rPr>
        <w:t>de</w:t>
      </w:r>
      <w:r w:rsidR="001A28B3" w:rsidRPr="00EA7870">
        <w:rPr>
          <w:sz w:val="20"/>
          <w:szCs w:val="20"/>
          <w:lang w:val="es-AR"/>
        </w:rPr>
        <w:t xml:space="preserve"> </w:t>
      </w:r>
      <w:r w:rsidR="008C57F2" w:rsidRPr="00EA7870">
        <w:rPr>
          <w:sz w:val="20"/>
          <w:szCs w:val="20"/>
          <w:lang w:val="es-AR"/>
        </w:rPr>
        <w:t>un</w:t>
      </w:r>
      <w:r w:rsidR="001A28B3" w:rsidRPr="00EA7870">
        <w:rPr>
          <w:sz w:val="20"/>
          <w:szCs w:val="20"/>
          <w:lang w:val="es-AR"/>
        </w:rPr>
        <w:t xml:space="preserve"> </w:t>
      </w:r>
      <w:r w:rsidR="008C57F2" w:rsidRPr="00EA7870">
        <w:rPr>
          <w:sz w:val="20"/>
          <w:szCs w:val="20"/>
          <w:lang w:val="es-AR"/>
        </w:rPr>
        <w:t>nuevo</w:t>
      </w:r>
      <w:r w:rsidR="001A28B3" w:rsidRPr="00EA7870">
        <w:rPr>
          <w:sz w:val="20"/>
          <w:szCs w:val="20"/>
          <w:lang w:val="es-AR"/>
        </w:rPr>
        <w:t xml:space="preserve"> </w:t>
      </w:r>
      <w:r w:rsidR="008C57F2" w:rsidRPr="00EA7870">
        <w:rPr>
          <w:sz w:val="20"/>
          <w:szCs w:val="20"/>
          <w:lang w:val="es-AR"/>
        </w:rPr>
        <w:t>estatuto</w:t>
      </w:r>
      <w:r w:rsidR="001A28B3" w:rsidRPr="00EA7870">
        <w:rPr>
          <w:sz w:val="20"/>
          <w:szCs w:val="20"/>
          <w:lang w:val="es-AR"/>
        </w:rPr>
        <w:t xml:space="preserve"> </w:t>
      </w:r>
      <w:r w:rsidR="008C57F2" w:rsidRPr="00EA7870">
        <w:rPr>
          <w:sz w:val="20"/>
          <w:szCs w:val="20"/>
          <w:lang w:val="es-AR"/>
        </w:rPr>
        <w:t>como</w:t>
      </w:r>
      <w:r w:rsidR="001A28B3" w:rsidRPr="00EA7870">
        <w:rPr>
          <w:sz w:val="20"/>
          <w:szCs w:val="20"/>
          <w:lang w:val="es-AR"/>
        </w:rPr>
        <w:t xml:space="preserve"> </w:t>
      </w:r>
      <w:r w:rsidR="008C57F2" w:rsidRPr="00EA7870">
        <w:rPr>
          <w:sz w:val="20"/>
          <w:szCs w:val="20"/>
          <w:lang w:val="es-AR"/>
        </w:rPr>
        <w:t>resultado</w:t>
      </w:r>
      <w:r w:rsidR="001A28B3" w:rsidRPr="00EA7870">
        <w:rPr>
          <w:sz w:val="20"/>
          <w:szCs w:val="20"/>
          <w:lang w:val="es-AR"/>
        </w:rPr>
        <w:t xml:space="preserve"> </w:t>
      </w:r>
      <w:r w:rsidR="008C57F2" w:rsidRPr="00EA7870">
        <w:rPr>
          <w:sz w:val="20"/>
          <w:szCs w:val="20"/>
          <w:lang w:val="es-AR"/>
        </w:rPr>
        <w:t>de</w:t>
      </w:r>
      <w:r w:rsidR="001A28B3" w:rsidRPr="00EA7870">
        <w:rPr>
          <w:sz w:val="20"/>
          <w:szCs w:val="20"/>
          <w:lang w:val="es-AR"/>
        </w:rPr>
        <w:t xml:space="preserve"> </w:t>
      </w:r>
      <w:r w:rsidR="008C57F2" w:rsidRPr="00EA7870">
        <w:rPr>
          <w:sz w:val="20"/>
          <w:szCs w:val="20"/>
          <w:lang w:val="es-AR"/>
        </w:rPr>
        <w:t>dicha</w:t>
      </w:r>
      <w:r w:rsidR="001A28B3" w:rsidRPr="00EA7870">
        <w:rPr>
          <w:sz w:val="20"/>
          <w:szCs w:val="20"/>
          <w:lang w:val="es-AR"/>
        </w:rPr>
        <w:t xml:space="preserve"> </w:t>
      </w:r>
      <w:r w:rsidR="008C57F2" w:rsidRPr="00EA7870">
        <w:rPr>
          <w:sz w:val="20"/>
          <w:szCs w:val="20"/>
          <w:lang w:val="es-AR"/>
        </w:rPr>
        <w:t>re-domiciliación</w:t>
      </w:r>
      <w:r w:rsidRPr="00EA7870">
        <w:rPr>
          <w:sz w:val="20"/>
          <w:szCs w:val="20"/>
          <w:lang w:val="es-AR"/>
        </w:rPr>
        <w:t>,</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implicará</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004D728B" w:rsidRPr="00EA7870">
        <w:rPr>
          <w:sz w:val="20"/>
          <w:szCs w:val="20"/>
          <w:lang w:val="es-AR"/>
        </w:rPr>
        <w:t>e</w:t>
      </w:r>
      <w:r w:rsidRPr="00EA7870">
        <w:rPr>
          <w:sz w:val="20"/>
          <w:szCs w:val="20"/>
          <w:lang w:val="es-AR"/>
        </w:rPr>
        <w:t>ste</w:t>
      </w:r>
      <w:r w:rsidR="001A28B3" w:rsidRPr="00EA7870">
        <w:rPr>
          <w:sz w:val="20"/>
          <w:szCs w:val="20"/>
          <w:lang w:val="es-AR"/>
        </w:rPr>
        <w:t xml:space="preserve"> </w:t>
      </w:r>
      <w:r w:rsidRPr="00EA7870">
        <w:rPr>
          <w:sz w:val="20"/>
          <w:szCs w:val="20"/>
          <w:lang w:val="es-AR"/>
        </w:rPr>
        <w:t>compromiso.</w:t>
      </w:r>
    </w:p>
    <w:p w14:paraId="6F34BB56" w14:textId="77777777" w:rsidR="00DA3436" w:rsidRPr="00EA7870" w:rsidRDefault="00DA3436" w:rsidP="00376725">
      <w:pPr>
        <w:tabs>
          <w:tab w:val="left" w:pos="0"/>
        </w:tabs>
        <w:ind w:firstLine="709"/>
        <w:jc w:val="both"/>
        <w:rPr>
          <w:sz w:val="20"/>
          <w:szCs w:val="20"/>
          <w:lang w:val="es-AR"/>
        </w:rPr>
      </w:pPr>
    </w:p>
    <w:p w14:paraId="5503B73F" w14:textId="77777777" w:rsidR="00376725" w:rsidRPr="00EA7870" w:rsidRDefault="00376725" w:rsidP="00376725">
      <w:pPr>
        <w:tabs>
          <w:tab w:val="left" w:pos="0"/>
        </w:tabs>
        <w:jc w:val="both"/>
        <w:rPr>
          <w:b/>
          <w:i/>
          <w:sz w:val="20"/>
          <w:szCs w:val="20"/>
          <w:lang w:val="es-AR"/>
        </w:rPr>
      </w:pPr>
      <w:r w:rsidRPr="00EA7870">
        <w:rPr>
          <w:b/>
          <w:i/>
          <w:sz w:val="20"/>
          <w:szCs w:val="20"/>
          <w:lang w:val="es-AR"/>
        </w:rPr>
        <w:t>Informes</w:t>
      </w:r>
      <w:r w:rsidR="001A28B3" w:rsidRPr="00EA7870">
        <w:rPr>
          <w:b/>
          <w:i/>
          <w:sz w:val="20"/>
          <w:szCs w:val="20"/>
          <w:lang w:val="es-AR"/>
        </w:rPr>
        <w:t xml:space="preserve"> </w:t>
      </w:r>
      <w:r w:rsidRPr="00EA7870">
        <w:rPr>
          <w:b/>
          <w:i/>
          <w:sz w:val="20"/>
          <w:szCs w:val="20"/>
          <w:lang w:val="es-AR"/>
        </w:rPr>
        <w:t>al</w:t>
      </w:r>
      <w:r w:rsidR="001A28B3" w:rsidRPr="00EA7870">
        <w:rPr>
          <w:b/>
          <w:i/>
          <w:sz w:val="20"/>
          <w:szCs w:val="20"/>
          <w:lang w:val="es-AR"/>
        </w:rPr>
        <w:t xml:space="preserve"> </w:t>
      </w:r>
      <w:r w:rsidRPr="00EA7870">
        <w:rPr>
          <w:b/>
          <w:i/>
          <w:sz w:val="20"/>
          <w:szCs w:val="20"/>
          <w:lang w:val="es-AR"/>
        </w:rPr>
        <w:t>Agente</w:t>
      </w:r>
      <w:r w:rsidR="001A28B3" w:rsidRPr="00EA7870">
        <w:rPr>
          <w:b/>
          <w:i/>
          <w:sz w:val="20"/>
          <w:szCs w:val="20"/>
          <w:lang w:val="es-AR"/>
        </w:rPr>
        <w:t xml:space="preserve"> </w:t>
      </w:r>
      <w:r w:rsidRPr="00EA7870">
        <w:rPr>
          <w:b/>
          <w:i/>
          <w:sz w:val="20"/>
          <w:szCs w:val="20"/>
          <w:lang w:val="es-AR"/>
        </w:rPr>
        <w:t>Fiduciario</w:t>
      </w:r>
    </w:p>
    <w:p w14:paraId="0A99C009" w14:textId="77777777" w:rsidR="00376725" w:rsidRPr="00EA7870" w:rsidRDefault="00376725" w:rsidP="00376725">
      <w:pPr>
        <w:tabs>
          <w:tab w:val="left" w:pos="0"/>
        </w:tabs>
        <w:ind w:firstLine="709"/>
        <w:jc w:val="both"/>
        <w:rPr>
          <w:sz w:val="20"/>
          <w:szCs w:val="20"/>
          <w:lang w:val="es-AR"/>
        </w:rPr>
      </w:pPr>
    </w:p>
    <w:p w14:paraId="4768CC12" w14:textId="77777777" w:rsidR="00376725" w:rsidRPr="00EA7870" w:rsidRDefault="00376725" w:rsidP="00376725">
      <w:pPr>
        <w:tabs>
          <w:tab w:val="left" w:pos="0"/>
        </w:tabs>
        <w:jc w:val="both"/>
        <w:rPr>
          <w:sz w:val="20"/>
          <w:szCs w:val="20"/>
          <w:lang w:val="es-AR"/>
        </w:rPr>
      </w:pP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establecerá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mientras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encuentren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p>
    <w:p w14:paraId="1A69AE3A" w14:textId="77777777" w:rsidR="00376725" w:rsidRPr="00EA7870" w:rsidRDefault="00376725" w:rsidP="00376725">
      <w:pPr>
        <w:tabs>
          <w:tab w:val="left" w:pos="0"/>
        </w:tabs>
        <w:ind w:firstLine="709"/>
        <w:jc w:val="both"/>
        <w:rPr>
          <w:sz w:val="20"/>
          <w:szCs w:val="20"/>
          <w:lang w:val="es-AR"/>
        </w:rPr>
      </w:pPr>
    </w:p>
    <w:p w14:paraId="634D98D2"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cursarán</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evento,</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F0051C" w:rsidRPr="00EA7870">
        <w:rPr>
          <w:sz w:val="20"/>
          <w:szCs w:val="20"/>
          <w:lang w:val="es-AR"/>
        </w:rPr>
        <w:t>,</w:t>
      </w:r>
      <w:r w:rsidR="001A28B3" w:rsidRPr="00EA7870">
        <w:rPr>
          <w:sz w:val="20"/>
          <w:szCs w:val="20"/>
          <w:lang w:val="es-AR"/>
        </w:rPr>
        <w:t xml:space="preserve"> </w:t>
      </w:r>
      <w:r w:rsidR="00F0051C" w:rsidRPr="00EA7870">
        <w:rPr>
          <w:sz w:val="20"/>
          <w:szCs w:val="20"/>
          <w:lang w:val="es-AR"/>
        </w:rPr>
        <w:t>en</w:t>
      </w:r>
      <w:r w:rsidR="001A28B3" w:rsidRPr="00EA7870">
        <w:rPr>
          <w:sz w:val="20"/>
          <w:szCs w:val="20"/>
          <w:lang w:val="es-AR"/>
        </w:rPr>
        <w:t xml:space="preserve"> </w:t>
      </w:r>
      <w:r w:rsidR="00F0051C" w:rsidRPr="00EA7870">
        <w:rPr>
          <w:sz w:val="20"/>
          <w:szCs w:val="20"/>
          <w:lang w:val="es-AR"/>
        </w:rPr>
        <w:t>idioma</w:t>
      </w:r>
      <w:r w:rsidR="001A28B3" w:rsidRPr="00EA7870">
        <w:rPr>
          <w:sz w:val="20"/>
          <w:szCs w:val="20"/>
          <w:lang w:val="es-AR"/>
        </w:rPr>
        <w:t xml:space="preserve"> </w:t>
      </w:r>
      <w:r w:rsidR="00F0051C" w:rsidRPr="00EA7870">
        <w:rPr>
          <w:sz w:val="20"/>
          <w:szCs w:val="20"/>
          <w:lang w:val="es-AR"/>
        </w:rPr>
        <w:t>inglés,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acaecimiento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certificado</w:t>
      </w:r>
      <w:r w:rsidR="001A28B3" w:rsidRPr="00EA7870">
        <w:rPr>
          <w:sz w:val="20"/>
          <w:szCs w:val="20"/>
          <w:lang w:val="es-AR"/>
        </w:rPr>
        <w:t xml:space="preserve"> </w:t>
      </w:r>
      <w:r w:rsidRPr="00EA7870">
        <w:rPr>
          <w:sz w:val="20"/>
          <w:szCs w:val="20"/>
          <w:lang w:val="es-AR"/>
        </w:rPr>
        <w:t>donde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especifique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naturaleza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medidas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adoptado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proponen</w:t>
      </w:r>
      <w:r w:rsidR="001A28B3" w:rsidRPr="00EA7870">
        <w:rPr>
          <w:sz w:val="20"/>
          <w:szCs w:val="20"/>
          <w:lang w:val="es-AR"/>
        </w:rPr>
        <w:t xml:space="preserve"> </w:t>
      </w:r>
      <w:r w:rsidRPr="00EA7870">
        <w:rPr>
          <w:sz w:val="20"/>
          <w:szCs w:val="20"/>
          <w:lang w:val="es-AR"/>
        </w:rPr>
        <w:t>adoptar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situación;</w:t>
      </w:r>
    </w:p>
    <w:p w14:paraId="32ECA182" w14:textId="77777777" w:rsidR="00376725" w:rsidRPr="00EA7870" w:rsidRDefault="00376725" w:rsidP="00376725">
      <w:pPr>
        <w:tabs>
          <w:tab w:val="left" w:pos="0"/>
        </w:tabs>
        <w:ind w:firstLine="709"/>
        <w:jc w:val="both"/>
        <w:rPr>
          <w:sz w:val="20"/>
          <w:szCs w:val="20"/>
          <w:lang w:val="es-AR"/>
        </w:rPr>
      </w:pPr>
    </w:p>
    <w:p w14:paraId="3AFCBD50" w14:textId="611F181D" w:rsidR="00376725" w:rsidRPr="00EA7870" w:rsidRDefault="00376725" w:rsidP="00376725">
      <w:pPr>
        <w:tabs>
          <w:tab w:val="left" w:pos="0"/>
        </w:tabs>
        <w:ind w:firstLine="709"/>
        <w:jc w:val="both"/>
        <w:rPr>
          <w:sz w:val="20"/>
          <w:szCs w:val="20"/>
          <w:lang w:val="es-AR"/>
        </w:rPr>
      </w:pPr>
      <w:r w:rsidRPr="00EA7870">
        <w:rPr>
          <w:sz w:val="20"/>
          <w:szCs w:val="20"/>
          <w:lang w:val="es-AR"/>
        </w:rPr>
        <w:t>(b)</w:t>
      </w:r>
      <w:r w:rsidR="001A28B3" w:rsidRPr="00EA7870">
        <w:rPr>
          <w:sz w:val="20"/>
          <w:szCs w:val="20"/>
          <w:lang w:val="es-AR"/>
        </w:rPr>
        <w:t xml:space="preserve"> </w:t>
      </w:r>
      <w:r w:rsidRPr="00EA7870">
        <w:rPr>
          <w:sz w:val="20"/>
          <w:szCs w:val="20"/>
          <w:lang w:val="es-AR"/>
        </w:rPr>
        <w:t>tan</w:t>
      </w:r>
      <w:r w:rsidR="001A28B3" w:rsidRPr="00EA7870">
        <w:rPr>
          <w:sz w:val="20"/>
          <w:szCs w:val="20"/>
          <w:lang w:val="es-AR"/>
        </w:rPr>
        <w:t xml:space="preserve"> </w:t>
      </w:r>
      <w:r w:rsidRPr="00EA7870">
        <w:rPr>
          <w:sz w:val="20"/>
          <w:szCs w:val="20"/>
          <w:lang w:val="es-AR"/>
        </w:rPr>
        <w:t>pronto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posible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evento,</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posteriores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trimestre</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ejercicio</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(distinto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último</w:t>
      </w:r>
      <w:r w:rsidR="001A28B3" w:rsidRPr="00EA7870">
        <w:rPr>
          <w:sz w:val="20"/>
          <w:szCs w:val="20"/>
          <w:lang w:val="es-AR"/>
        </w:rPr>
        <w:t xml:space="preserve"> </w:t>
      </w:r>
      <w:r w:rsidRPr="00EA7870">
        <w:rPr>
          <w:sz w:val="20"/>
          <w:szCs w:val="20"/>
          <w:lang w:val="es-AR"/>
        </w:rPr>
        <w:t>trimestre</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ejercicio),</w:t>
      </w:r>
      <w:r w:rsidR="001A28B3" w:rsidRPr="00EA7870">
        <w:rPr>
          <w:sz w:val="20"/>
          <w:szCs w:val="20"/>
          <w:lang w:val="es-AR"/>
        </w:rPr>
        <w:t xml:space="preserve"> </w:t>
      </w:r>
      <w:r w:rsidRPr="00EA7870">
        <w:rPr>
          <w:sz w:val="20"/>
          <w:szCs w:val="20"/>
          <w:lang w:val="es-AR"/>
        </w:rPr>
        <w:t>entregarán</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copia,</w:t>
      </w:r>
      <w:r w:rsidR="001A28B3" w:rsidRPr="00EA7870">
        <w:rPr>
          <w:sz w:val="20"/>
          <w:szCs w:val="20"/>
          <w:lang w:val="es-AR"/>
        </w:rPr>
        <w:t xml:space="preserve"> </w:t>
      </w:r>
      <w:r w:rsidRPr="00EA7870">
        <w:rPr>
          <w:sz w:val="20"/>
          <w:szCs w:val="20"/>
          <w:lang w:val="es-AR"/>
        </w:rPr>
        <w:t>redacta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inglés,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Pr="00EA7870">
        <w:rPr>
          <w:sz w:val="20"/>
          <w:szCs w:val="20"/>
          <w:lang w:val="es-AR"/>
        </w:rPr>
        <w:t>consolidados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auditados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trimestre</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notas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Pr="00EA7870">
        <w:rPr>
          <w:sz w:val="20"/>
          <w:szCs w:val="20"/>
          <w:lang w:val="es-AR"/>
        </w:rPr>
        <w:t>confeccionados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adopción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p>
    <w:p w14:paraId="0CF76BAD" w14:textId="77777777" w:rsidR="00376725" w:rsidRPr="00EA7870" w:rsidRDefault="00376725" w:rsidP="00376725">
      <w:pPr>
        <w:tabs>
          <w:tab w:val="left" w:pos="0"/>
        </w:tabs>
        <w:ind w:firstLine="709"/>
        <w:jc w:val="both"/>
        <w:rPr>
          <w:sz w:val="20"/>
          <w:szCs w:val="20"/>
          <w:lang w:val="es-AR"/>
        </w:rPr>
      </w:pPr>
    </w:p>
    <w:p w14:paraId="0AEA7583" w14:textId="00ECFE3C" w:rsidR="00376725" w:rsidRPr="00EA7870" w:rsidRDefault="00376725" w:rsidP="00376725">
      <w:pPr>
        <w:tabs>
          <w:tab w:val="left" w:pos="0"/>
        </w:tabs>
        <w:ind w:firstLine="709"/>
        <w:jc w:val="both"/>
        <w:rPr>
          <w:sz w:val="20"/>
          <w:szCs w:val="20"/>
          <w:lang w:val="es-AR"/>
        </w:rPr>
      </w:pPr>
      <w:r w:rsidRPr="00EA7870">
        <w:rPr>
          <w:sz w:val="20"/>
          <w:szCs w:val="20"/>
          <w:lang w:val="es-AR"/>
        </w:rPr>
        <w:t>(c)</w:t>
      </w:r>
      <w:r w:rsidR="001A28B3" w:rsidRPr="00EA7870">
        <w:rPr>
          <w:sz w:val="20"/>
          <w:szCs w:val="20"/>
          <w:lang w:val="es-AR"/>
        </w:rPr>
        <w:t xml:space="preserve"> </w:t>
      </w:r>
      <w:r w:rsidRPr="00EA7870">
        <w:rPr>
          <w:sz w:val="20"/>
          <w:szCs w:val="20"/>
          <w:lang w:val="es-AR"/>
        </w:rPr>
        <w:t>tan</w:t>
      </w:r>
      <w:r w:rsidR="001A28B3" w:rsidRPr="00EA7870">
        <w:rPr>
          <w:sz w:val="20"/>
          <w:szCs w:val="20"/>
          <w:lang w:val="es-AR"/>
        </w:rPr>
        <w:t xml:space="preserve"> </w:t>
      </w:r>
      <w:r w:rsidRPr="00EA7870">
        <w:rPr>
          <w:sz w:val="20"/>
          <w:szCs w:val="20"/>
          <w:lang w:val="es-AR"/>
        </w:rPr>
        <w:t>pronto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posible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evento,</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120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posteriores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ejercicio</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entregarán</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copia,</w:t>
      </w:r>
      <w:r w:rsidR="001A28B3" w:rsidRPr="00EA7870">
        <w:rPr>
          <w:sz w:val="20"/>
          <w:szCs w:val="20"/>
          <w:lang w:val="es-AR"/>
        </w:rPr>
        <w:t xml:space="preserve"> </w:t>
      </w:r>
      <w:r w:rsidRPr="00EA7870">
        <w:rPr>
          <w:sz w:val="20"/>
          <w:szCs w:val="20"/>
          <w:lang w:val="es-AR"/>
        </w:rPr>
        <w:t>redactada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inglés,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Pr="00EA7870">
        <w:rPr>
          <w:sz w:val="20"/>
          <w:szCs w:val="20"/>
          <w:lang w:val="es-AR"/>
        </w:rPr>
        <w:t>consolidados</w:t>
      </w:r>
      <w:r w:rsidR="001A28B3" w:rsidRPr="00EA7870">
        <w:rPr>
          <w:sz w:val="20"/>
          <w:szCs w:val="20"/>
          <w:lang w:val="es-AR"/>
        </w:rPr>
        <w:t xml:space="preserve"> </w:t>
      </w:r>
      <w:r w:rsidRPr="00EA7870">
        <w:rPr>
          <w:sz w:val="20"/>
          <w:szCs w:val="20"/>
          <w:lang w:val="es-AR"/>
        </w:rPr>
        <w:t>auditados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informe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auditores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notas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Pr="00EA7870">
        <w:rPr>
          <w:sz w:val="20"/>
          <w:szCs w:val="20"/>
          <w:lang w:val="es-AR"/>
        </w:rPr>
        <w:t>confeccionados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adopción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D04FE3" w:rsidRPr="00EA7870">
        <w:rPr>
          <w:sz w:val="20"/>
          <w:szCs w:val="20"/>
          <w:lang w:val="es-AR"/>
        </w:rPr>
        <w:t>; y</w:t>
      </w:r>
    </w:p>
    <w:p w14:paraId="5FAAD5C4" w14:textId="7C0966FF" w:rsidR="00376725" w:rsidRPr="00EA7870" w:rsidRDefault="00376725" w:rsidP="000F775A">
      <w:pPr>
        <w:tabs>
          <w:tab w:val="left" w:pos="0"/>
        </w:tabs>
        <w:jc w:val="both"/>
        <w:rPr>
          <w:sz w:val="20"/>
          <w:szCs w:val="20"/>
          <w:lang w:val="es-AR"/>
        </w:rPr>
      </w:pPr>
    </w:p>
    <w:p w14:paraId="5F550C9F" w14:textId="38584E34" w:rsidR="00D04FE3" w:rsidRPr="00EA7870" w:rsidRDefault="00D04FE3" w:rsidP="00AC16B2">
      <w:pPr>
        <w:autoSpaceDE w:val="0"/>
        <w:autoSpaceDN w:val="0"/>
        <w:adjustRightInd w:val="0"/>
        <w:ind w:firstLine="709"/>
        <w:jc w:val="both"/>
        <w:rPr>
          <w:sz w:val="20"/>
          <w:szCs w:val="20"/>
          <w:lang w:val="es-AR"/>
        </w:rPr>
      </w:pPr>
      <w:r w:rsidRPr="00EA7870">
        <w:rPr>
          <w:sz w:val="20"/>
          <w:szCs w:val="20"/>
          <w:lang w:val="es-AR"/>
        </w:rPr>
        <w:t>(d) dentro de los 120 días posteriores al cierre de cada ejercicio económico, entregarán un Certificado de Funcionarios indicando si el firmante tiene conocimiento sobre el acaecimiento de un Incumplimiento durante el ejercicio económico anterior, especificando, en su caso, la naturaleza y el estado de dicho Incumplimiento.</w:t>
      </w:r>
    </w:p>
    <w:p w14:paraId="7B240431" w14:textId="77777777" w:rsidR="00D04FE3" w:rsidRPr="00EA7870" w:rsidRDefault="00D04FE3" w:rsidP="00AB4115">
      <w:pPr>
        <w:autoSpaceDE w:val="0"/>
        <w:autoSpaceDN w:val="0"/>
        <w:adjustRightInd w:val="0"/>
        <w:jc w:val="both"/>
        <w:rPr>
          <w:sz w:val="20"/>
          <w:szCs w:val="20"/>
          <w:lang w:val="es-AR"/>
        </w:rPr>
      </w:pPr>
    </w:p>
    <w:p w14:paraId="37D79C5E" w14:textId="77777777" w:rsidR="00376725" w:rsidRPr="00EA7870" w:rsidRDefault="00376725" w:rsidP="000F775A">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entrega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informes</w:t>
      </w:r>
      <w:r w:rsidR="001A28B3" w:rsidRPr="00EA7870">
        <w:rPr>
          <w:sz w:val="20"/>
          <w:szCs w:val="20"/>
          <w:lang w:val="es-AR"/>
        </w:rPr>
        <w:t xml:space="preserve"> </w:t>
      </w:r>
      <w:r w:rsidRPr="00EA7870">
        <w:rPr>
          <w:sz w:val="20"/>
          <w:szCs w:val="20"/>
          <w:lang w:val="es-AR"/>
        </w:rPr>
        <w:t>antedichos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tiene</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informativos</w:t>
      </w:r>
      <w:r w:rsidR="001A28B3" w:rsidRPr="00EA7870">
        <w:rPr>
          <w:sz w:val="20"/>
          <w:szCs w:val="20"/>
          <w:lang w:val="es-AR"/>
        </w:rPr>
        <w:t xml:space="preserve"> </w:t>
      </w:r>
      <w:r w:rsidRPr="00EA7870">
        <w:rPr>
          <w:sz w:val="20"/>
          <w:szCs w:val="20"/>
          <w:lang w:val="es-AR"/>
        </w:rPr>
        <w:t>únicamente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recepción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Informes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constituirá</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implícita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incluida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determinable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partir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allí</w:t>
      </w:r>
      <w:r w:rsidR="001A28B3" w:rsidRPr="00EA7870">
        <w:rPr>
          <w:sz w:val="20"/>
          <w:szCs w:val="20"/>
          <w:lang w:val="es-AR"/>
        </w:rPr>
        <w:t xml:space="preserve"> </w:t>
      </w:r>
      <w:r w:rsidRPr="00EA7870">
        <w:rPr>
          <w:sz w:val="20"/>
          <w:szCs w:val="20"/>
          <w:lang w:val="es-AR"/>
        </w:rPr>
        <w:t>contenida,</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previstos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659685A8" w14:textId="77777777" w:rsidR="00376725" w:rsidRPr="00EA7870" w:rsidRDefault="00376725" w:rsidP="00376725">
      <w:pPr>
        <w:tabs>
          <w:tab w:val="left" w:pos="0"/>
        </w:tabs>
        <w:ind w:firstLine="709"/>
        <w:jc w:val="both"/>
        <w:rPr>
          <w:sz w:val="20"/>
          <w:szCs w:val="20"/>
          <w:lang w:val="es-AR"/>
        </w:rPr>
      </w:pPr>
    </w:p>
    <w:p w14:paraId="5A92711F" w14:textId="77777777" w:rsidR="00376725" w:rsidRPr="00EA7870" w:rsidRDefault="00376725" w:rsidP="00376725">
      <w:pPr>
        <w:tabs>
          <w:tab w:val="left" w:pos="0"/>
        </w:tabs>
        <w:jc w:val="both"/>
        <w:rPr>
          <w:b/>
          <w:sz w:val="20"/>
          <w:szCs w:val="20"/>
          <w:lang w:val="es-AR"/>
        </w:rPr>
      </w:pPr>
      <w:r w:rsidRPr="00EA7870">
        <w:rPr>
          <w:b/>
          <w:sz w:val="20"/>
          <w:szCs w:val="20"/>
          <w:lang w:val="es-AR"/>
        </w:rPr>
        <w:t>Compromisos</w:t>
      </w:r>
      <w:r w:rsidR="001A28B3" w:rsidRPr="00EA7870">
        <w:rPr>
          <w:b/>
          <w:sz w:val="20"/>
          <w:szCs w:val="20"/>
          <w:lang w:val="es-AR"/>
        </w:rPr>
        <w:t xml:space="preserve"> </w:t>
      </w:r>
      <w:r w:rsidRPr="00EA7870">
        <w:rPr>
          <w:b/>
          <w:sz w:val="20"/>
          <w:szCs w:val="20"/>
          <w:lang w:val="es-AR"/>
        </w:rPr>
        <w:t>Adicionales</w:t>
      </w:r>
    </w:p>
    <w:p w14:paraId="3F0A8C1A" w14:textId="77777777" w:rsidR="00376725" w:rsidRPr="00EA7870" w:rsidRDefault="00376725" w:rsidP="00376725">
      <w:pPr>
        <w:tabs>
          <w:tab w:val="left" w:pos="0"/>
        </w:tabs>
        <w:jc w:val="both"/>
        <w:rPr>
          <w:b/>
          <w:i/>
          <w:sz w:val="20"/>
          <w:szCs w:val="20"/>
          <w:lang w:val="es-AR"/>
        </w:rPr>
      </w:pPr>
    </w:p>
    <w:p w14:paraId="12AD931F" w14:textId="77777777" w:rsidR="00376725" w:rsidRPr="00EA7870" w:rsidRDefault="00376725" w:rsidP="00376725">
      <w:pPr>
        <w:tabs>
          <w:tab w:val="left" w:pos="0"/>
        </w:tabs>
        <w:jc w:val="both"/>
        <w:rPr>
          <w:b/>
          <w:i/>
          <w:sz w:val="20"/>
          <w:szCs w:val="20"/>
          <w:lang w:val="es-AR"/>
        </w:rPr>
      </w:pPr>
      <w:r w:rsidRPr="00EA7870">
        <w:rPr>
          <w:b/>
          <w:i/>
          <w:sz w:val="20"/>
          <w:szCs w:val="20"/>
          <w:lang w:val="es-AR"/>
        </w:rPr>
        <w:t>Mantenimiento</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Existencia</w:t>
      </w:r>
      <w:r w:rsidR="001A28B3" w:rsidRPr="00EA7870">
        <w:rPr>
          <w:b/>
          <w:i/>
          <w:sz w:val="20"/>
          <w:szCs w:val="20"/>
          <w:lang w:val="es-AR"/>
        </w:rPr>
        <w:t xml:space="preserve"> </w:t>
      </w:r>
    </w:p>
    <w:p w14:paraId="27F1BF4A" w14:textId="77777777" w:rsidR="00376725" w:rsidRPr="00EA7870" w:rsidRDefault="00376725" w:rsidP="00376725">
      <w:pPr>
        <w:tabs>
          <w:tab w:val="left" w:pos="0"/>
        </w:tabs>
        <w:jc w:val="both"/>
        <w:rPr>
          <w:sz w:val="20"/>
          <w:szCs w:val="20"/>
          <w:lang w:val="es-AR"/>
        </w:rPr>
      </w:pPr>
    </w:p>
    <w:p w14:paraId="0044481D"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deberán: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mantener</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existencia</w:t>
      </w:r>
      <w:r w:rsidR="001A28B3" w:rsidRPr="00EA7870">
        <w:rPr>
          <w:sz w:val="20"/>
          <w:szCs w:val="20"/>
          <w:lang w:val="es-AR"/>
        </w:rPr>
        <w:t xml:space="preserve"> </w:t>
      </w:r>
      <w:r w:rsidRPr="00EA7870">
        <w:rPr>
          <w:sz w:val="20"/>
          <w:szCs w:val="20"/>
          <w:lang w:val="es-AR"/>
        </w:rPr>
        <w:t>societaria</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existencia</w:t>
      </w:r>
      <w:r w:rsidR="001A28B3" w:rsidRPr="00EA7870">
        <w:rPr>
          <w:sz w:val="20"/>
          <w:szCs w:val="20"/>
          <w:lang w:val="es-AR"/>
        </w:rPr>
        <w:t xml:space="preserve"> </w:t>
      </w:r>
      <w:r w:rsidRPr="00EA7870">
        <w:rPr>
          <w:sz w:val="20"/>
          <w:szCs w:val="20"/>
          <w:lang w:val="es-AR"/>
        </w:rPr>
        <w:t>legal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registros</w:t>
      </w:r>
      <w:r w:rsidR="001A28B3" w:rsidRPr="00EA7870">
        <w:rPr>
          <w:sz w:val="20"/>
          <w:szCs w:val="20"/>
          <w:lang w:val="es-AR"/>
        </w:rPr>
        <w:t xml:space="preserve"> </w:t>
      </w:r>
      <w:r w:rsidRPr="00EA7870">
        <w:rPr>
          <w:sz w:val="20"/>
          <w:szCs w:val="20"/>
          <w:lang w:val="es-AR"/>
        </w:rPr>
        <w:t>necesarios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ello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tomar</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medidas</w:t>
      </w:r>
      <w:r w:rsidR="001A28B3" w:rsidRPr="00EA7870">
        <w:rPr>
          <w:sz w:val="20"/>
          <w:szCs w:val="20"/>
          <w:lang w:val="es-AR"/>
        </w:rPr>
        <w:t xml:space="preserve"> </w:t>
      </w:r>
      <w:r w:rsidRPr="00EA7870">
        <w:rPr>
          <w:sz w:val="20"/>
          <w:szCs w:val="20"/>
          <w:lang w:val="es-AR"/>
        </w:rPr>
        <w:t>razonables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mantener</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privilegios,</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propiedad,</w:t>
      </w:r>
      <w:r w:rsidR="001A28B3" w:rsidRPr="00EA7870">
        <w:rPr>
          <w:sz w:val="20"/>
          <w:szCs w:val="20"/>
          <w:lang w:val="es-AR"/>
        </w:rPr>
        <w:t xml:space="preserve"> </w:t>
      </w:r>
      <w:r w:rsidRPr="00EA7870">
        <w:rPr>
          <w:sz w:val="20"/>
          <w:szCs w:val="20"/>
          <w:lang w:val="es-AR"/>
        </w:rPr>
        <w:t>habilitaciones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necesarios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convenientes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curso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respectivos</w:t>
      </w:r>
      <w:r w:rsidR="001A28B3" w:rsidRPr="00EA7870">
        <w:rPr>
          <w:sz w:val="20"/>
          <w:szCs w:val="20"/>
          <w:lang w:val="es-AR"/>
        </w:rPr>
        <w:t xml:space="preserve"> </w:t>
      </w:r>
      <w:r w:rsidRPr="00EA7870">
        <w:rPr>
          <w:sz w:val="20"/>
          <w:szCs w:val="20"/>
          <w:lang w:val="es-AR"/>
        </w:rPr>
        <w:t>negocios,</w:t>
      </w:r>
      <w:r w:rsidR="001A28B3" w:rsidRPr="00EA7870">
        <w:rPr>
          <w:sz w:val="20"/>
          <w:szCs w:val="20"/>
          <w:lang w:val="es-AR"/>
        </w:rPr>
        <w:t xml:space="preserve"> </w:t>
      </w:r>
      <w:r w:rsidRPr="00EA7870">
        <w:rPr>
          <w:sz w:val="20"/>
          <w:szCs w:val="20"/>
          <w:lang w:val="es-AR"/>
        </w:rPr>
        <w:t>actividades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operaciones;</w:t>
      </w:r>
      <w:r w:rsidR="001A28B3" w:rsidRPr="00EA7870">
        <w:rPr>
          <w:sz w:val="20"/>
          <w:szCs w:val="20"/>
          <w:lang w:val="es-AR"/>
        </w:rPr>
        <w:t xml:space="preserve"> </w:t>
      </w:r>
      <w:r w:rsidRPr="00EA7870">
        <w:rPr>
          <w:i/>
          <w:sz w:val="20"/>
          <w:szCs w:val="20"/>
          <w:lang w:val="es-AR"/>
        </w:rPr>
        <w:t>quedando</w:t>
      </w:r>
      <w:r w:rsidR="001A28B3" w:rsidRPr="00EA7870">
        <w:rPr>
          <w:i/>
          <w:sz w:val="20"/>
          <w:szCs w:val="20"/>
          <w:lang w:val="es-AR"/>
        </w:rPr>
        <w:t xml:space="preserve"> </w:t>
      </w:r>
      <w:r w:rsidRPr="00EA7870">
        <w:rPr>
          <w:i/>
          <w:sz w:val="20"/>
          <w:szCs w:val="20"/>
          <w:lang w:val="es-AR"/>
        </w:rPr>
        <w:t>establecido</w:t>
      </w:r>
      <w:r w:rsidR="001A28B3" w:rsidRPr="00EA7870">
        <w:rPr>
          <w:i/>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compromiso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exigirá</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mantener</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privilegio,</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propiedad,</w:t>
      </w:r>
      <w:r w:rsidR="001A28B3" w:rsidRPr="00EA7870">
        <w:rPr>
          <w:sz w:val="20"/>
          <w:szCs w:val="20"/>
          <w:lang w:val="es-AR"/>
        </w:rPr>
        <w:t xml:space="preserve"> </w:t>
      </w:r>
      <w:r w:rsidRPr="00EA7870">
        <w:rPr>
          <w:sz w:val="20"/>
          <w:szCs w:val="20"/>
          <w:lang w:val="es-AR"/>
        </w:rPr>
        <w:t>franquicia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similar,</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funcionario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determinara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buena</w:t>
      </w:r>
      <w:r w:rsidR="001A28B3" w:rsidRPr="00EA7870">
        <w:rPr>
          <w:sz w:val="20"/>
          <w:szCs w:val="20"/>
          <w:lang w:val="es-AR"/>
        </w:rPr>
        <w:t xml:space="preserve"> </w:t>
      </w:r>
      <w:r w:rsidRPr="00EA7870">
        <w:rPr>
          <w:sz w:val="20"/>
          <w:szCs w:val="20"/>
          <w:lang w:val="es-AR"/>
        </w:rPr>
        <w:t>fe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mantenimiento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preservación</w:t>
      </w:r>
      <w:r w:rsidR="001A28B3" w:rsidRPr="00EA7870">
        <w:rPr>
          <w:sz w:val="20"/>
          <w:szCs w:val="20"/>
          <w:lang w:val="es-AR"/>
        </w:rPr>
        <w:t xml:space="preserve"> </w:t>
      </w:r>
      <w:r w:rsidRPr="00EA7870">
        <w:rPr>
          <w:sz w:val="20"/>
          <w:szCs w:val="20"/>
          <w:lang w:val="es-AR"/>
        </w:rPr>
        <w:t>ya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conveniente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desarrollo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negocios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tomadas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conjunto,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pérdida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tiene</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tendrá</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adverso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aspecto</w:t>
      </w:r>
      <w:r w:rsidR="001A28B3" w:rsidRPr="00EA7870">
        <w:rPr>
          <w:sz w:val="20"/>
          <w:szCs w:val="20"/>
          <w:lang w:val="es-AR"/>
        </w:rPr>
        <w:t xml:space="preserve"> </w:t>
      </w:r>
      <w:r w:rsidRPr="00EA7870">
        <w:rPr>
          <w:sz w:val="20"/>
          <w:szCs w:val="20"/>
          <w:lang w:val="es-AR"/>
        </w:rPr>
        <w:t>significativo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568F25EC" w14:textId="77777777" w:rsidR="00376725" w:rsidRPr="00EA7870" w:rsidRDefault="00376725" w:rsidP="00376725">
      <w:pPr>
        <w:tabs>
          <w:tab w:val="left" w:pos="0"/>
        </w:tabs>
        <w:jc w:val="both"/>
        <w:rPr>
          <w:b/>
          <w:i/>
          <w:sz w:val="20"/>
          <w:szCs w:val="20"/>
          <w:lang w:val="es-AR"/>
        </w:rPr>
      </w:pPr>
    </w:p>
    <w:p w14:paraId="4CAEC113" w14:textId="77777777" w:rsidR="00376725" w:rsidRPr="00EA7870" w:rsidRDefault="00376725" w:rsidP="00376725">
      <w:pPr>
        <w:tabs>
          <w:tab w:val="left" w:pos="0"/>
        </w:tabs>
        <w:jc w:val="both"/>
        <w:rPr>
          <w:b/>
          <w:i/>
          <w:sz w:val="20"/>
          <w:szCs w:val="20"/>
          <w:lang w:val="es-AR"/>
        </w:rPr>
      </w:pPr>
      <w:r w:rsidRPr="00EA7870">
        <w:rPr>
          <w:b/>
          <w:i/>
          <w:sz w:val="20"/>
          <w:szCs w:val="20"/>
          <w:lang w:val="es-AR"/>
        </w:rPr>
        <w:t>Cumplimiento</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Leyes</w:t>
      </w:r>
      <w:r w:rsidR="001A28B3" w:rsidRPr="00EA7870">
        <w:rPr>
          <w:b/>
          <w:i/>
          <w:sz w:val="20"/>
          <w:szCs w:val="20"/>
          <w:lang w:val="es-AR"/>
        </w:rPr>
        <w:t xml:space="preserve"> </w:t>
      </w:r>
      <w:r w:rsidRPr="00EA7870">
        <w:rPr>
          <w:b/>
          <w:i/>
          <w:sz w:val="20"/>
          <w:szCs w:val="20"/>
          <w:lang w:val="es-AR"/>
        </w:rPr>
        <w:t>y</w:t>
      </w:r>
      <w:r w:rsidR="001A28B3" w:rsidRPr="00EA7870">
        <w:rPr>
          <w:b/>
          <w:i/>
          <w:sz w:val="20"/>
          <w:szCs w:val="20"/>
          <w:lang w:val="es-AR"/>
        </w:rPr>
        <w:t xml:space="preserve"> </w:t>
      </w:r>
      <w:r w:rsidRPr="00EA7870">
        <w:rPr>
          <w:b/>
          <w:i/>
          <w:sz w:val="20"/>
          <w:szCs w:val="20"/>
          <w:lang w:val="es-AR"/>
        </w:rPr>
        <w:t>Otros</w:t>
      </w:r>
      <w:r w:rsidR="001A28B3" w:rsidRPr="00EA7870">
        <w:rPr>
          <w:b/>
          <w:i/>
          <w:sz w:val="20"/>
          <w:szCs w:val="20"/>
          <w:lang w:val="es-AR"/>
        </w:rPr>
        <w:t xml:space="preserve"> </w:t>
      </w:r>
      <w:r w:rsidRPr="00EA7870">
        <w:rPr>
          <w:b/>
          <w:i/>
          <w:sz w:val="20"/>
          <w:szCs w:val="20"/>
          <w:lang w:val="es-AR"/>
        </w:rPr>
        <w:t>Acuerdos</w:t>
      </w:r>
    </w:p>
    <w:p w14:paraId="6731E52B" w14:textId="77777777" w:rsidR="00376725" w:rsidRPr="00EA7870" w:rsidRDefault="00376725" w:rsidP="00376725">
      <w:pPr>
        <w:tabs>
          <w:tab w:val="left" w:pos="0"/>
        </w:tabs>
        <w:jc w:val="both"/>
        <w:rPr>
          <w:b/>
          <w:i/>
          <w:sz w:val="20"/>
          <w:szCs w:val="20"/>
          <w:lang w:val="es-AR"/>
        </w:rPr>
      </w:pPr>
    </w:p>
    <w:p w14:paraId="003198B6"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deberán</w:t>
      </w:r>
      <w:r w:rsidR="001A28B3" w:rsidRPr="00EA7870">
        <w:rPr>
          <w:sz w:val="20"/>
          <w:szCs w:val="20"/>
          <w:lang w:val="es-AR"/>
        </w:rPr>
        <w:t xml:space="preserve"> </w:t>
      </w:r>
      <w:r w:rsidRPr="00EA7870">
        <w:rPr>
          <w:sz w:val="20"/>
          <w:szCs w:val="20"/>
          <w:lang w:val="es-AR"/>
        </w:rPr>
        <w:t>cumplir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reglamentaciones,</w:t>
      </w:r>
      <w:r w:rsidR="001A28B3" w:rsidRPr="00EA7870">
        <w:rPr>
          <w:sz w:val="20"/>
          <w:szCs w:val="20"/>
          <w:lang w:val="es-AR"/>
        </w:rPr>
        <w:t xml:space="preserve"> </w:t>
      </w:r>
      <w:r w:rsidRPr="00EA7870">
        <w:rPr>
          <w:sz w:val="20"/>
          <w:szCs w:val="20"/>
          <w:lang w:val="es-AR"/>
        </w:rPr>
        <w:t>órdenes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directivas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organismo</w:t>
      </w:r>
      <w:r w:rsidR="001A28B3" w:rsidRPr="00EA7870">
        <w:rPr>
          <w:sz w:val="20"/>
          <w:szCs w:val="20"/>
          <w:lang w:val="es-AR"/>
        </w:rPr>
        <w:t xml:space="preserve"> </w:t>
      </w:r>
      <w:r w:rsidRPr="00EA7870">
        <w:rPr>
          <w:sz w:val="20"/>
          <w:szCs w:val="20"/>
          <w:lang w:val="es-AR"/>
        </w:rPr>
        <w:t>gubernamental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tenga</w:t>
      </w:r>
      <w:r w:rsidR="001A28B3" w:rsidRPr="00EA7870">
        <w:rPr>
          <w:sz w:val="20"/>
          <w:szCs w:val="20"/>
          <w:lang w:val="es-AR"/>
        </w:rPr>
        <w:t xml:space="preserve"> </w:t>
      </w:r>
      <w:r w:rsidRPr="00EA7870">
        <w:rPr>
          <w:sz w:val="20"/>
          <w:szCs w:val="20"/>
          <w:lang w:val="es-AR"/>
        </w:rPr>
        <w:t>competencia</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ellas,</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negocios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demás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incluidos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acuerdos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conjunto,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tuviera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sustancial</w:t>
      </w:r>
      <w:r w:rsidR="001A28B3" w:rsidRPr="00EA7870">
        <w:rPr>
          <w:sz w:val="20"/>
          <w:szCs w:val="20"/>
          <w:lang w:val="es-AR"/>
        </w:rPr>
        <w:t xml:space="preserve"> </w:t>
      </w:r>
      <w:r w:rsidRPr="00EA7870">
        <w:rPr>
          <w:sz w:val="20"/>
          <w:szCs w:val="20"/>
          <w:lang w:val="es-AR"/>
        </w:rPr>
        <w:t>adverso</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negocios,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operaciones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situación</w:t>
      </w:r>
      <w:r w:rsidR="001A28B3" w:rsidRPr="00EA7870">
        <w:rPr>
          <w:sz w:val="20"/>
          <w:szCs w:val="20"/>
          <w:lang w:val="es-AR"/>
        </w:rPr>
        <w:t xml:space="preserve"> </w:t>
      </w:r>
      <w:r w:rsidRPr="00EA7870">
        <w:rPr>
          <w:sz w:val="20"/>
          <w:szCs w:val="20"/>
          <w:lang w:val="es-AR"/>
        </w:rPr>
        <w:t>patrimonial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consideradas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conjunto.</w:t>
      </w:r>
    </w:p>
    <w:p w14:paraId="09BC3BC9" w14:textId="77777777" w:rsidR="00376725" w:rsidRPr="00EA7870" w:rsidRDefault="00376725" w:rsidP="00376725">
      <w:pPr>
        <w:tabs>
          <w:tab w:val="left" w:pos="0"/>
        </w:tabs>
        <w:jc w:val="both"/>
        <w:rPr>
          <w:sz w:val="20"/>
          <w:szCs w:val="20"/>
          <w:lang w:val="es-AR"/>
        </w:rPr>
      </w:pPr>
    </w:p>
    <w:p w14:paraId="154E544F" w14:textId="77777777" w:rsidR="00376725" w:rsidRPr="00EA7870" w:rsidRDefault="00376725" w:rsidP="00376725">
      <w:pPr>
        <w:tabs>
          <w:tab w:val="left" w:pos="0"/>
        </w:tabs>
        <w:jc w:val="both"/>
        <w:rPr>
          <w:b/>
          <w:sz w:val="20"/>
          <w:szCs w:val="20"/>
          <w:lang w:val="es-AR"/>
        </w:rPr>
      </w:pPr>
      <w:r w:rsidRPr="00EA7870">
        <w:rPr>
          <w:b/>
          <w:sz w:val="20"/>
          <w:szCs w:val="20"/>
          <w:lang w:val="es-AR"/>
        </w:rPr>
        <w:t>Notificaciones</w:t>
      </w:r>
    </w:p>
    <w:p w14:paraId="790504B9" w14:textId="77777777" w:rsidR="00376725" w:rsidRPr="00EA7870" w:rsidRDefault="00376725" w:rsidP="00376725">
      <w:pPr>
        <w:tabs>
          <w:tab w:val="left" w:pos="0"/>
        </w:tabs>
        <w:jc w:val="both"/>
        <w:rPr>
          <w:sz w:val="20"/>
          <w:szCs w:val="20"/>
          <w:lang w:val="es-AR"/>
        </w:rPr>
      </w:pPr>
    </w:p>
    <w:p w14:paraId="50931A57" w14:textId="77777777" w:rsidR="00376725" w:rsidRPr="00EA7870" w:rsidRDefault="00376725" w:rsidP="00376725">
      <w:pPr>
        <w:tabs>
          <w:tab w:val="left" w:pos="0"/>
        </w:tabs>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notificaciones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globales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enviadas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DTC</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procedimientos</w:t>
      </w:r>
      <w:r w:rsidR="001A28B3" w:rsidRPr="00EA7870">
        <w:rPr>
          <w:sz w:val="20"/>
          <w:szCs w:val="20"/>
          <w:lang w:val="es-AR"/>
        </w:rPr>
        <w:t xml:space="preserve"> </w:t>
      </w:r>
      <w:r w:rsidRPr="00EA7870">
        <w:rPr>
          <w:sz w:val="20"/>
          <w:szCs w:val="20"/>
          <w:lang w:val="es-AR"/>
        </w:rPr>
        <w:t>aplicables.</w:t>
      </w:r>
    </w:p>
    <w:p w14:paraId="366657D8" w14:textId="77777777" w:rsidR="00376725" w:rsidRPr="00EA7870" w:rsidRDefault="00376725" w:rsidP="00376725">
      <w:pPr>
        <w:tabs>
          <w:tab w:val="left" w:pos="0"/>
        </w:tabs>
        <w:jc w:val="both"/>
        <w:rPr>
          <w:sz w:val="20"/>
          <w:szCs w:val="20"/>
          <w:lang w:val="es-AR"/>
        </w:rPr>
      </w:pPr>
    </w:p>
    <w:p w14:paraId="0F44C3F3" w14:textId="77777777" w:rsidR="00376725" w:rsidRPr="00EA7870" w:rsidRDefault="00376725" w:rsidP="00376725">
      <w:pPr>
        <w:tabs>
          <w:tab w:val="left" w:pos="0"/>
        </w:tabs>
        <w:jc w:val="both"/>
        <w:rPr>
          <w:sz w:val="20"/>
          <w:szCs w:val="20"/>
          <w:lang w:val="es-AR"/>
        </w:rPr>
      </w:pPr>
      <w:r w:rsidRPr="00EA7870">
        <w:rPr>
          <w:sz w:val="20"/>
          <w:szCs w:val="20"/>
          <w:lang w:val="es-AR"/>
        </w:rPr>
        <w:t>También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requerirá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disponga</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demás</w:t>
      </w:r>
      <w:r w:rsidR="001A28B3" w:rsidRPr="00EA7870">
        <w:rPr>
          <w:sz w:val="20"/>
          <w:szCs w:val="20"/>
          <w:lang w:val="es-AR"/>
        </w:rPr>
        <w:t xml:space="preserve"> </w:t>
      </w:r>
      <w:r w:rsidRPr="00EA7870">
        <w:rPr>
          <w:sz w:val="20"/>
          <w:szCs w:val="20"/>
          <w:lang w:val="es-AR"/>
        </w:rPr>
        <w:t>publicaciones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notificaciones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requerido</w:t>
      </w:r>
      <w:r w:rsidR="001A28B3" w:rsidRPr="00EA7870">
        <w:rPr>
          <w:sz w:val="20"/>
          <w:szCs w:val="20"/>
          <w:lang w:val="es-AR"/>
        </w:rPr>
        <w:t xml:space="preserve"> </w:t>
      </w:r>
      <w:r w:rsidRPr="00EA7870">
        <w:rPr>
          <w:sz w:val="20"/>
          <w:szCs w:val="20"/>
          <w:lang w:val="es-AR"/>
        </w:rPr>
        <w:t>periódicamente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reglamentación</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publicación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notificaciones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AE5672" w:rsidRPr="00EA7870">
        <w:rPr>
          <w:sz w:val="20"/>
          <w:szCs w:val="20"/>
          <w:lang w:val="es-AR"/>
        </w:rPr>
        <w:t>AIF</w:t>
      </w:r>
      <w:r w:rsidR="006239C2" w:rsidRPr="00EA7870">
        <w:rPr>
          <w:sz w:val="20"/>
          <w:szCs w:val="20"/>
          <w:lang w:val="es-AR"/>
        </w:rPr>
        <w:t>)</w:t>
      </w:r>
      <w:r w:rsidRPr="00EA7870">
        <w:rPr>
          <w:sz w:val="20"/>
          <w:szCs w:val="20"/>
          <w:lang w:val="es-AR"/>
        </w:rPr>
        <w:t>.</w:t>
      </w:r>
    </w:p>
    <w:p w14:paraId="5C1E09E2" w14:textId="77777777" w:rsidR="00376725" w:rsidRPr="00EA7870" w:rsidRDefault="00376725" w:rsidP="00376725">
      <w:pPr>
        <w:tabs>
          <w:tab w:val="left" w:pos="0"/>
        </w:tabs>
        <w:jc w:val="both"/>
        <w:rPr>
          <w:sz w:val="20"/>
          <w:szCs w:val="20"/>
          <w:lang w:val="es-AR"/>
        </w:rPr>
      </w:pPr>
    </w:p>
    <w:p w14:paraId="076DFD52" w14:textId="77777777" w:rsidR="00376725" w:rsidRPr="00EA7870" w:rsidRDefault="00376725" w:rsidP="00376725">
      <w:pPr>
        <w:tabs>
          <w:tab w:val="left" w:pos="0"/>
        </w:tabs>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liste</w:t>
      </w:r>
      <w:r w:rsidR="001A28B3" w:rsidRPr="00EA7870">
        <w:rPr>
          <w:sz w:val="20"/>
          <w:szCs w:val="20"/>
          <w:lang w:val="es-AR"/>
        </w:rPr>
        <w:t xml:space="preserve"> </w:t>
      </w:r>
      <w:r w:rsidR="006239C2" w:rsidRPr="00EA7870">
        <w:rPr>
          <w:sz w:val="20"/>
          <w:szCs w:val="20"/>
          <w:lang w:val="es-AR"/>
        </w:rPr>
        <w:t xml:space="preserve">y negocie </w:t>
      </w:r>
      <w:r w:rsidRPr="00EA7870">
        <w:rPr>
          <w:sz w:val="20"/>
          <w:szCs w:val="20"/>
          <w:lang w:val="es-AR"/>
        </w:rPr>
        <w:t>en</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negocie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publicará</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notificaciones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avisos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Boletín</w:t>
      </w:r>
      <w:r w:rsidR="001A28B3" w:rsidRPr="00EA7870">
        <w:rPr>
          <w:sz w:val="20"/>
          <w:szCs w:val="20"/>
          <w:lang w:val="es-AR"/>
        </w:rPr>
        <w:t xml:space="preserve"> </w:t>
      </w:r>
      <w:r w:rsidR="00FB2433" w:rsidRPr="00EA7870">
        <w:rPr>
          <w:sz w:val="20"/>
          <w:szCs w:val="20"/>
          <w:lang w:val="es-AR"/>
        </w:rPr>
        <w:t>Diario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BCBA,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delegación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facultades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00A91547" w:rsidRPr="00EA7870">
        <w:rPr>
          <w:sz w:val="20"/>
          <w:szCs w:val="20"/>
          <w:lang w:val="es-AR"/>
        </w:rPr>
        <w:t>en el boletín electrónico del MAE.</w:t>
      </w:r>
    </w:p>
    <w:p w14:paraId="219BDA94" w14:textId="77777777" w:rsidR="00376725" w:rsidRPr="00EA7870" w:rsidRDefault="00376725" w:rsidP="00376725">
      <w:pPr>
        <w:tabs>
          <w:tab w:val="left" w:pos="0"/>
        </w:tabs>
        <w:jc w:val="both"/>
        <w:rPr>
          <w:sz w:val="20"/>
          <w:szCs w:val="20"/>
          <w:lang w:val="es-AR"/>
        </w:rPr>
      </w:pPr>
    </w:p>
    <w:p w14:paraId="731D248C" w14:textId="0C6691DF" w:rsidR="00376725" w:rsidRPr="00EA7870" w:rsidRDefault="00376725" w:rsidP="00376725">
      <w:pPr>
        <w:tabs>
          <w:tab w:val="left" w:pos="0"/>
        </w:tabs>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notificaciones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considerarán</w:t>
      </w:r>
      <w:r w:rsidR="001A28B3" w:rsidRPr="00EA7870">
        <w:rPr>
          <w:sz w:val="20"/>
          <w:szCs w:val="20"/>
          <w:lang w:val="es-AR"/>
        </w:rPr>
        <w:t xml:space="preserve"> </w:t>
      </w:r>
      <w:r w:rsidRPr="00EA7870">
        <w:rPr>
          <w:sz w:val="20"/>
          <w:szCs w:val="20"/>
          <w:lang w:val="es-AR"/>
        </w:rPr>
        <w:t>cursadas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despacho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correo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publicación</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mencionado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publicadas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distintas</w:t>
      </w:r>
      <w:r w:rsidR="001A28B3" w:rsidRPr="00EA7870">
        <w:rPr>
          <w:sz w:val="20"/>
          <w:szCs w:val="20"/>
          <w:lang w:val="es-AR"/>
        </w:rPr>
        <w:t xml:space="preserve"> </w:t>
      </w:r>
      <w:r w:rsidRPr="00EA7870">
        <w:rPr>
          <w:sz w:val="20"/>
          <w:szCs w:val="20"/>
          <w:lang w:val="es-AR"/>
        </w:rPr>
        <w:t>fechas,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primera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publicaciones.</w:t>
      </w:r>
    </w:p>
    <w:p w14:paraId="55F6D288" w14:textId="78F77FEC" w:rsidR="00DB255F" w:rsidRPr="00EA7870" w:rsidRDefault="00DB255F" w:rsidP="00376725">
      <w:pPr>
        <w:tabs>
          <w:tab w:val="left" w:pos="0"/>
        </w:tabs>
        <w:jc w:val="both"/>
        <w:rPr>
          <w:sz w:val="20"/>
          <w:szCs w:val="20"/>
          <w:lang w:val="es-AR"/>
        </w:rPr>
      </w:pPr>
    </w:p>
    <w:p w14:paraId="41A8FB5F" w14:textId="77777777" w:rsidR="00376725" w:rsidRPr="00EA7870" w:rsidRDefault="00376725" w:rsidP="00376725">
      <w:pPr>
        <w:tabs>
          <w:tab w:val="left" w:pos="0"/>
        </w:tabs>
        <w:jc w:val="both"/>
        <w:rPr>
          <w:b/>
          <w:sz w:val="20"/>
          <w:szCs w:val="20"/>
          <w:lang w:val="es-AR"/>
        </w:rPr>
      </w:pPr>
      <w:r w:rsidRPr="00EA7870">
        <w:rPr>
          <w:b/>
          <w:sz w:val="20"/>
          <w:szCs w:val="20"/>
          <w:lang w:val="es-AR"/>
        </w:rPr>
        <w:t>Incumplimientos</w:t>
      </w:r>
      <w:r w:rsidR="001A28B3" w:rsidRPr="00EA7870">
        <w:rPr>
          <w:b/>
          <w:sz w:val="20"/>
          <w:szCs w:val="20"/>
          <w:lang w:val="es-AR"/>
        </w:rPr>
        <w:t xml:space="preserve"> </w:t>
      </w:r>
      <w:r w:rsidRPr="00EA7870">
        <w:rPr>
          <w:b/>
          <w:sz w:val="20"/>
          <w:szCs w:val="20"/>
          <w:lang w:val="es-AR"/>
        </w:rPr>
        <w:t>y</w:t>
      </w:r>
      <w:r w:rsidR="001A28B3" w:rsidRPr="00EA7870">
        <w:rPr>
          <w:b/>
          <w:sz w:val="20"/>
          <w:szCs w:val="20"/>
          <w:lang w:val="es-AR"/>
        </w:rPr>
        <w:t xml:space="preserve"> </w:t>
      </w:r>
      <w:r w:rsidR="006239C2" w:rsidRPr="00EA7870">
        <w:rPr>
          <w:b/>
          <w:sz w:val="20"/>
          <w:szCs w:val="20"/>
          <w:lang w:val="es-AR"/>
        </w:rPr>
        <w:t>R</w:t>
      </w:r>
      <w:r w:rsidRPr="00EA7870">
        <w:rPr>
          <w:b/>
          <w:sz w:val="20"/>
          <w:szCs w:val="20"/>
          <w:lang w:val="es-AR"/>
        </w:rPr>
        <w:t>ecursos</w:t>
      </w:r>
    </w:p>
    <w:p w14:paraId="0AC04A86" w14:textId="77777777" w:rsidR="00376725" w:rsidRPr="00EA7870" w:rsidRDefault="00376725" w:rsidP="00376725">
      <w:pPr>
        <w:tabs>
          <w:tab w:val="left" w:pos="0"/>
        </w:tabs>
        <w:jc w:val="both"/>
        <w:rPr>
          <w:b/>
          <w:sz w:val="20"/>
          <w:szCs w:val="20"/>
          <w:lang w:val="es-AR"/>
        </w:rPr>
      </w:pPr>
    </w:p>
    <w:p w14:paraId="0DF7B672" w14:textId="77777777" w:rsidR="00376725" w:rsidRPr="00EA7870" w:rsidRDefault="00376725" w:rsidP="00376725">
      <w:pPr>
        <w:tabs>
          <w:tab w:val="left" w:pos="0"/>
        </w:tabs>
        <w:jc w:val="both"/>
        <w:rPr>
          <w:b/>
          <w:i/>
          <w:sz w:val="20"/>
          <w:szCs w:val="20"/>
          <w:lang w:val="es-AR"/>
        </w:rPr>
      </w:pPr>
      <w:r w:rsidRPr="00EA7870">
        <w:rPr>
          <w:b/>
          <w:i/>
          <w:sz w:val="20"/>
          <w:szCs w:val="20"/>
          <w:lang w:val="es-AR"/>
        </w:rPr>
        <w:t>Supuestos</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Incumplimiento</w:t>
      </w:r>
    </w:p>
    <w:p w14:paraId="731EFCFE" w14:textId="77777777" w:rsidR="00376725" w:rsidRPr="00EA7870" w:rsidRDefault="00376725" w:rsidP="00376725">
      <w:pPr>
        <w:tabs>
          <w:tab w:val="left" w:pos="0"/>
        </w:tabs>
        <w:jc w:val="both"/>
        <w:rPr>
          <w:sz w:val="20"/>
          <w:szCs w:val="20"/>
          <w:lang w:val="es-AR"/>
        </w:rPr>
      </w:pPr>
    </w:p>
    <w:p w14:paraId="06DC845A" w14:textId="77777777" w:rsidR="00376725" w:rsidRPr="00EA7870" w:rsidRDefault="00376725" w:rsidP="00376725">
      <w:pPr>
        <w:tabs>
          <w:tab w:val="left" w:pos="0"/>
        </w:tabs>
        <w:jc w:val="both"/>
        <w:rPr>
          <w:sz w:val="20"/>
          <w:szCs w:val="20"/>
          <w:lang w:val="es-AR"/>
        </w:rPr>
      </w:pPr>
      <w:r w:rsidRPr="00EA7870">
        <w:rPr>
          <w:sz w:val="20"/>
          <w:szCs w:val="20"/>
          <w:lang w:val="es-AR"/>
        </w:rPr>
        <w:t>Cada</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siguientes</w:t>
      </w:r>
      <w:r w:rsidR="001A28B3" w:rsidRPr="00EA7870">
        <w:rPr>
          <w:sz w:val="20"/>
          <w:szCs w:val="20"/>
          <w:lang w:val="es-AR"/>
        </w:rPr>
        <w:t xml:space="preserve"> </w:t>
      </w:r>
      <w:r w:rsidRPr="00EA7870">
        <w:rPr>
          <w:sz w:val="20"/>
          <w:szCs w:val="20"/>
          <w:lang w:val="es-AR"/>
        </w:rPr>
        <w:t>hechos</w:t>
      </w:r>
      <w:r w:rsidR="001A28B3" w:rsidRPr="00EA7870">
        <w:rPr>
          <w:sz w:val="20"/>
          <w:szCs w:val="20"/>
          <w:lang w:val="es-AR"/>
        </w:rPr>
        <w:t xml:space="preserve"> </w:t>
      </w:r>
      <w:r w:rsidRPr="00EA7870">
        <w:rPr>
          <w:sz w:val="20"/>
          <w:szCs w:val="20"/>
          <w:lang w:val="es-AR"/>
        </w:rPr>
        <w:t>constituirá</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w:t>
      </w:r>
      <w:r w:rsidRPr="00EA7870">
        <w:rPr>
          <w:b/>
          <w:sz w:val="20"/>
          <w:szCs w:val="20"/>
          <w:lang w:val="es-AR"/>
        </w:rPr>
        <w:t>Supuesto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Incumplimiento</w:t>
      </w:r>
      <w:r w:rsidRPr="00EA7870">
        <w:rPr>
          <w:sz w:val="20"/>
          <w:szCs w:val="20"/>
          <w:lang w:val="es-AR"/>
        </w:rPr>
        <w:t>”):</w:t>
      </w:r>
    </w:p>
    <w:p w14:paraId="54CE2FB6" w14:textId="77777777" w:rsidR="00376725" w:rsidRPr="00EA7870" w:rsidRDefault="00376725" w:rsidP="00376725">
      <w:pPr>
        <w:tabs>
          <w:tab w:val="left" w:pos="0"/>
        </w:tabs>
        <w:jc w:val="both"/>
        <w:rPr>
          <w:sz w:val="20"/>
          <w:szCs w:val="20"/>
          <w:lang w:val="es-AR"/>
        </w:rPr>
      </w:pPr>
    </w:p>
    <w:p w14:paraId="050929BE"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(i)</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vencieran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resultaran</w:t>
      </w:r>
      <w:r w:rsidR="001A28B3" w:rsidRPr="00EA7870">
        <w:rPr>
          <w:sz w:val="20"/>
          <w:szCs w:val="20"/>
          <w:lang w:val="es-AR"/>
        </w:rPr>
        <w:t xml:space="preserve"> </w:t>
      </w:r>
      <w:r w:rsidRPr="00EA7870">
        <w:rPr>
          <w:sz w:val="20"/>
          <w:szCs w:val="20"/>
          <w:lang w:val="es-AR"/>
        </w:rPr>
        <w:t>pagaderos,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continuara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corridos;</w:t>
      </w:r>
    </w:p>
    <w:p w14:paraId="4B932295" w14:textId="77777777" w:rsidR="00376725" w:rsidRPr="00EA7870" w:rsidRDefault="00376725" w:rsidP="00376725">
      <w:pPr>
        <w:tabs>
          <w:tab w:val="left" w:pos="0"/>
        </w:tabs>
        <w:ind w:firstLine="709"/>
        <w:jc w:val="both"/>
        <w:rPr>
          <w:sz w:val="20"/>
          <w:szCs w:val="20"/>
          <w:lang w:val="es-AR"/>
        </w:rPr>
      </w:pPr>
    </w:p>
    <w:p w14:paraId="66A28FAF"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(ii)</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prima,</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007E7E35" w:rsidRPr="00EA7870">
        <w:rPr>
          <w:sz w:val="20"/>
          <w:szCs w:val="20"/>
          <w:lang w:val="es-AR"/>
        </w:rPr>
        <w:t>de</w:t>
      </w:r>
      <w:r w:rsidR="001A28B3" w:rsidRPr="00EA7870">
        <w:rPr>
          <w:sz w:val="20"/>
          <w:szCs w:val="20"/>
          <w:lang w:val="es-AR"/>
        </w:rPr>
        <w:t xml:space="preserve"> </w:t>
      </w:r>
      <w:r w:rsidRPr="00EA7870">
        <w:rPr>
          <w:sz w:val="20"/>
          <w:szCs w:val="20"/>
          <w:lang w:val="es-AR"/>
        </w:rPr>
        <w:t>declaración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caducidad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plazos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casos,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continuara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3</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Hábiles;</w:t>
      </w:r>
      <w:r w:rsidR="001A28B3" w:rsidRPr="00EA7870">
        <w:rPr>
          <w:sz w:val="20"/>
          <w:szCs w:val="20"/>
          <w:lang w:val="es-AR"/>
        </w:rPr>
        <w:t xml:space="preserve"> </w:t>
      </w:r>
    </w:p>
    <w:p w14:paraId="056F1973" w14:textId="77777777" w:rsidR="00376725" w:rsidRPr="00EA7870" w:rsidRDefault="00376725" w:rsidP="00376725">
      <w:pPr>
        <w:tabs>
          <w:tab w:val="left" w:pos="0"/>
        </w:tabs>
        <w:ind w:firstLine="709"/>
        <w:jc w:val="both"/>
        <w:rPr>
          <w:sz w:val="20"/>
          <w:szCs w:val="20"/>
          <w:lang w:val="es-AR"/>
        </w:rPr>
      </w:pPr>
    </w:p>
    <w:p w14:paraId="12300156"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(iii)</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compromiso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contenido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incumplimientos</w:t>
      </w:r>
      <w:r w:rsidR="001A28B3" w:rsidRPr="00EA7870">
        <w:rPr>
          <w:sz w:val="20"/>
          <w:szCs w:val="20"/>
          <w:lang w:val="es-AR"/>
        </w:rPr>
        <w:t xml:space="preserve"> </w:t>
      </w:r>
      <w:r w:rsidRPr="00EA7870">
        <w:rPr>
          <w:sz w:val="20"/>
          <w:szCs w:val="20"/>
          <w:lang w:val="es-AR"/>
        </w:rPr>
        <w:t>especificados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cláusulas</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precedentes)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continuara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60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corridos</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cursara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cursaran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25%</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p>
    <w:p w14:paraId="56AFE854" w14:textId="77777777" w:rsidR="00376725" w:rsidRPr="00EA7870" w:rsidRDefault="00376725" w:rsidP="00376725">
      <w:pPr>
        <w:tabs>
          <w:tab w:val="left" w:pos="0"/>
        </w:tabs>
        <w:ind w:firstLine="709"/>
        <w:jc w:val="both"/>
        <w:rPr>
          <w:sz w:val="20"/>
          <w:szCs w:val="20"/>
          <w:lang w:val="es-AR"/>
        </w:rPr>
      </w:pPr>
    </w:p>
    <w:p w14:paraId="3570BF2D"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(iv)</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superior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US$</w:t>
      </w:r>
      <w:r w:rsidR="001A28B3" w:rsidRPr="00EA7870">
        <w:rPr>
          <w:sz w:val="20"/>
          <w:szCs w:val="20"/>
          <w:lang w:val="es-AR"/>
        </w:rPr>
        <w:t xml:space="preserve"> </w:t>
      </w:r>
      <w:r w:rsidRPr="00EA7870">
        <w:rPr>
          <w:sz w:val="20"/>
          <w:szCs w:val="20"/>
          <w:lang w:val="es-AR"/>
        </w:rPr>
        <w:t>50</w:t>
      </w:r>
      <w:r w:rsidR="001A28B3" w:rsidRPr="00EA7870">
        <w:rPr>
          <w:sz w:val="20"/>
          <w:szCs w:val="20"/>
          <w:lang w:val="es-AR"/>
        </w:rPr>
        <w:t xml:space="preserve"> </w:t>
      </w:r>
      <w:r w:rsidRPr="00EA7870">
        <w:rPr>
          <w:sz w:val="20"/>
          <w:szCs w:val="20"/>
          <w:lang w:val="es-AR"/>
        </w:rPr>
        <w:t>millones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monedas),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dar</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gracia</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varias</w:t>
      </w:r>
      <w:r w:rsidR="001A28B3" w:rsidRPr="00EA7870">
        <w:rPr>
          <w:sz w:val="20"/>
          <w:szCs w:val="20"/>
          <w:lang w:val="es-AR"/>
        </w:rPr>
        <w:t xml:space="preserve"> </w:t>
      </w:r>
      <w:r w:rsidRPr="00EA7870">
        <w:rPr>
          <w:sz w:val="20"/>
          <w:szCs w:val="20"/>
          <w:lang w:val="es-AR"/>
        </w:rPr>
        <w:t>clases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emisiones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(distinta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compromiso,</w:t>
      </w:r>
      <w:r w:rsidR="001A28B3" w:rsidRPr="00EA7870">
        <w:rPr>
          <w:sz w:val="20"/>
          <w:szCs w:val="20"/>
          <w:lang w:val="es-AR"/>
        </w:rPr>
        <w:t xml:space="preserve"> </w:t>
      </w:r>
      <w:r w:rsidRPr="00EA7870">
        <w:rPr>
          <w:sz w:val="20"/>
          <w:szCs w:val="20"/>
          <w:lang w:val="es-AR"/>
        </w:rPr>
        <w:t>condición,</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Endeudamientos</w:t>
      </w:r>
      <w:r w:rsidR="001A28B3" w:rsidRPr="00EA7870">
        <w:rPr>
          <w:sz w:val="20"/>
          <w:szCs w:val="20"/>
          <w:lang w:val="es-AR"/>
        </w:rPr>
        <w:t xml:space="preserve"> </w:t>
      </w:r>
      <w:r w:rsidRPr="00EA7870">
        <w:rPr>
          <w:sz w:val="20"/>
          <w:szCs w:val="20"/>
          <w:lang w:val="es-AR"/>
        </w:rPr>
        <w:t>(distintas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éste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cláusula</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result</w:t>
      </w:r>
      <w:r w:rsidR="00050BFF" w:rsidRPr="00EA7870">
        <w:rPr>
          <w:sz w:val="20"/>
          <w:szCs w:val="20"/>
          <w:lang w:val="es-AR"/>
        </w:rPr>
        <w: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anticipado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superior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US$</w:t>
      </w:r>
      <w:r w:rsidR="001A28B3" w:rsidRPr="00EA7870">
        <w:rPr>
          <w:sz w:val="20"/>
          <w:szCs w:val="20"/>
          <w:lang w:val="es-AR"/>
        </w:rPr>
        <w:t xml:space="preserve"> </w:t>
      </w:r>
      <w:r w:rsidRPr="00EA7870">
        <w:rPr>
          <w:sz w:val="20"/>
          <w:szCs w:val="20"/>
          <w:lang w:val="es-AR"/>
        </w:rPr>
        <w:t>50</w:t>
      </w:r>
      <w:r w:rsidR="001A28B3" w:rsidRPr="00EA7870">
        <w:rPr>
          <w:sz w:val="20"/>
          <w:szCs w:val="20"/>
          <w:lang w:val="es-AR"/>
        </w:rPr>
        <w:t xml:space="preserve"> </w:t>
      </w:r>
      <w:r w:rsidRPr="00EA7870">
        <w:rPr>
          <w:sz w:val="20"/>
          <w:szCs w:val="20"/>
          <w:lang w:val="es-AR"/>
        </w:rPr>
        <w:t>millones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monedas);</w:t>
      </w:r>
    </w:p>
    <w:p w14:paraId="4162E0F6" w14:textId="77777777" w:rsidR="00376725" w:rsidRPr="00EA7870" w:rsidRDefault="00376725" w:rsidP="00376725">
      <w:pPr>
        <w:tabs>
          <w:tab w:val="left" w:pos="0"/>
        </w:tabs>
        <w:ind w:firstLine="709"/>
        <w:jc w:val="both"/>
        <w:rPr>
          <w:sz w:val="20"/>
          <w:szCs w:val="20"/>
          <w:lang w:val="es-AR"/>
        </w:rPr>
      </w:pPr>
    </w:p>
    <w:p w14:paraId="095D1F61" w14:textId="77777777" w:rsidR="00376725" w:rsidRPr="00EA7870" w:rsidRDefault="00376725" w:rsidP="00376725">
      <w:pPr>
        <w:tabs>
          <w:tab w:val="left" w:pos="0"/>
        </w:tabs>
        <w:ind w:firstLine="709"/>
        <w:jc w:val="both"/>
        <w:rPr>
          <w:spacing w:val="-2"/>
          <w:sz w:val="20"/>
          <w:szCs w:val="20"/>
          <w:lang w:val="es-AR"/>
        </w:rPr>
      </w:pPr>
      <w:r w:rsidRPr="00EA7870">
        <w:rPr>
          <w:sz w:val="20"/>
          <w:szCs w:val="20"/>
          <w:lang w:val="es-AR"/>
        </w:rPr>
        <w:t>(v)</w:t>
      </w:r>
      <w:r w:rsidR="001A28B3" w:rsidRPr="00EA7870">
        <w:rPr>
          <w:sz w:val="20"/>
          <w:szCs w:val="20"/>
          <w:lang w:val="es-AR"/>
        </w:rPr>
        <w:t xml:space="preserve"> </w:t>
      </w:r>
      <w:r w:rsidRPr="00EA7870">
        <w:rPr>
          <w:spacing w:val="-2"/>
          <w:sz w:val="20"/>
          <w:szCs w:val="20"/>
          <w:lang w:val="es-AR"/>
        </w:rPr>
        <w:t>se</w:t>
      </w:r>
      <w:r w:rsidR="001A28B3" w:rsidRPr="00EA7870">
        <w:rPr>
          <w:spacing w:val="-2"/>
          <w:sz w:val="20"/>
          <w:szCs w:val="20"/>
          <w:lang w:val="es-AR"/>
        </w:rPr>
        <w:t xml:space="preserve"> </w:t>
      </w:r>
      <w:r w:rsidRPr="00EA7870">
        <w:rPr>
          <w:spacing w:val="-2"/>
          <w:sz w:val="20"/>
          <w:szCs w:val="20"/>
          <w:lang w:val="es-AR"/>
        </w:rPr>
        <w:t>hubieran</w:t>
      </w:r>
      <w:r w:rsidR="001A28B3" w:rsidRPr="00EA7870">
        <w:rPr>
          <w:spacing w:val="-2"/>
          <w:sz w:val="20"/>
          <w:szCs w:val="20"/>
          <w:lang w:val="es-AR"/>
        </w:rPr>
        <w:t xml:space="preserve"> </w:t>
      </w:r>
      <w:r w:rsidRPr="00EA7870">
        <w:rPr>
          <w:spacing w:val="-2"/>
          <w:sz w:val="20"/>
          <w:szCs w:val="20"/>
          <w:lang w:val="es-AR"/>
        </w:rPr>
        <w:t>dictado</w:t>
      </w:r>
      <w:r w:rsidR="001A28B3" w:rsidRPr="00EA7870">
        <w:rPr>
          <w:spacing w:val="-2"/>
          <w:sz w:val="20"/>
          <w:szCs w:val="20"/>
          <w:lang w:val="es-AR"/>
        </w:rPr>
        <w:t xml:space="preserve"> </w:t>
      </w:r>
      <w:r w:rsidRPr="00EA7870">
        <w:rPr>
          <w:spacing w:val="-2"/>
          <w:sz w:val="20"/>
          <w:szCs w:val="20"/>
          <w:lang w:val="es-AR"/>
        </w:rPr>
        <w:t>contra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cualquiera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sus</w:t>
      </w:r>
      <w:r w:rsidR="001A28B3" w:rsidRPr="00EA7870">
        <w:rPr>
          <w:spacing w:val="-2"/>
          <w:sz w:val="20"/>
          <w:szCs w:val="20"/>
          <w:lang w:val="es-AR"/>
        </w:rPr>
        <w:t xml:space="preserve"> </w:t>
      </w:r>
      <w:r w:rsidRPr="00EA7870">
        <w:rPr>
          <w:spacing w:val="-2"/>
          <w:sz w:val="20"/>
          <w:szCs w:val="20"/>
          <w:lang w:val="es-AR"/>
        </w:rPr>
        <w:t>Subsidiarias</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cualquiera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sus</w:t>
      </w:r>
      <w:r w:rsidR="001A28B3" w:rsidRPr="00EA7870">
        <w:rPr>
          <w:spacing w:val="-2"/>
          <w:sz w:val="20"/>
          <w:szCs w:val="20"/>
          <w:lang w:val="es-AR"/>
        </w:rPr>
        <w:t xml:space="preserve"> </w:t>
      </w:r>
      <w:r w:rsidRPr="00EA7870">
        <w:rPr>
          <w:spacing w:val="-2"/>
          <w:sz w:val="20"/>
          <w:szCs w:val="20"/>
          <w:lang w:val="es-AR"/>
        </w:rPr>
        <w:t>bienes,</w:t>
      </w:r>
      <w:r w:rsidR="001A28B3" w:rsidRPr="00EA7870">
        <w:rPr>
          <w:spacing w:val="-2"/>
          <w:sz w:val="20"/>
          <w:szCs w:val="20"/>
          <w:lang w:val="es-AR"/>
        </w:rPr>
        <w:t xml:space="preserve"> </w:t>
      </w:r>
      <w:r w:rsidRPr="00EA7870">
        <w:rPr>
          <w:spacing w:val="-2"/>
          <w:sz w:val="20"/>
          <w:szCs w:val="20"/>
          <w:lang w:val="es-AR"/>
        </w:rPr>
        <w:t>una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más</w:t>
      </w:r>
      <w:r w:rsidR="001A28B3" w:rsidRPr="00EA7870">
        <w:rPr>
          <w:spacing w:val="-2"/>
          <w:sz w:val="20"/>
          <w:szCs w:val="20"/>
          <w:lang w:val="es-AR"/>
        </w:rPr>
        <w:t xml:space="preserve"> </w:t>
      </w:r>
      <w:r w:rsidRPr="00EA7870">
        <w:rPr>
          <w:spacing w:val="-2"/>
          <w:sz w:val="20"/>
          <w:szCs w:val="20"/>
          <w:lang w:val="es-AR"/>
        </w:rPr>
        <w:t>sentencias,</w:t>
      </w:r>
      <w:r w:rsidR="001A28B3" w:rsidRPr="00EA7870">
        <w:rPr>
          <w:spacing w:val="-2"/>
          <w:sz w:val="20"/>
          <w:szCs w:val="20"/>
          <w:lang w:val="es-AR"/>
        </w:rPr>
        <w:t xml:space="preserve"> </w:t>
      </w:r>
      <w:r w:rsidRPr="00EA7870">
        <w:rPr>
          <w:spacing w:val="-2"/>
          <w:sz w:val="20"/>
          <w:szCs w:val="20"/>
          <w:lang w:val="es-AR"/>
        </w:rPr>
        <w:t>órdenes</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decretos</w:t>
      </w:r>
      <w:r w:rsidR="001A28B3" w:rsidRPr="00EA7870">
        <w:rPr>
          <w:spacing w:val="-2"/>
          <w:sz w:val="20"/>
          <w:szCs w:val="20"/>
          <w:lang w:val="es-AR"/>
        </w:rPr>
        <w:t xml:space="preserve"> </w:t>
      </w:r>
      <w:r w:rsidRPr="00EA7870">
        <w:rPr>
          <w:spacing w:val="-2"/>
          <w:sz w:val="20"/>
          <w:szCs w:val="20"/>
          <w:lang w:val="es-AR"/>
        </w:rPr>
        <w:t>definitivos</w:t>
      </w:r>
      <w:r w:rsidR="001A28B3" w:rsidRPr="00EA7870">
        <w:rPr>
          <w:spacing w:val="-2"/>
          <w:sz w:val="20"/>
          <w:szCs w:val="20"/>
          <w:lang w:val="es-AR"/>
        </w:rPr>
        <w:t xml:space="preserve"> </w:t>
      </w:r>
      <w:r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apelables</w:t>
      </w:r>
      <w:r w:rsidR="001A28B3" w:rsidRPr="00EA7870">
        <w:rPr>
          <w:spacing w:val="-2"/>
          <w:sz w:val="20"/>
          <w:szCs w:val="20"/>
          <w:lang w:val="es-AR"/>
        </w:rPr>
        <w:t xml:space="preserve"> </w:t>
      </w:r>
      <w:r w:rsidRPr="00EA7870">
        <w:rPr>
          <w:spacing w:val="-2"/>
          <w:sz w:val="20"/>
          <w:szCs w:val="20"/>
          <w:lang w:val="es-AR"/>
        </w:rPr>
        <w:t>para</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pago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sumas</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dinero</w:t>
      </w:r>
      <w:r w:rsidR="001A28B3" w:rsidRPr="00EA7870">
        <w:rPr>
          <w:spacing w:val="-2"/>
          <w:sz w:val="20"/>
          <w:szCs w:val="20"/>
          <w:lang w:val="es-AR"/>
        </w:rPr>
        <w:t xml:space="preserve"> </w:t>
      </w:r>
      <w:r w:rsidRPr="00EA7870">
        <w:rPr>
          <w:spacing w:val="-2"/>
          <w:sz w:val="20"/>
          <w:szCs w:val="20"/>
          <w:lang w:val="es-AR"/>
        </w:rPr>
        <w:t>superiores</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US$</w:t>
      </w:r>
      <w:r w:rsidR="001A28B3" w:rsidRPr="00EA7870">
        <w:rPr>
          <w:spacing w:val="-2"/>
          <w:sz w:val="20"/>
          <w:szCs w:val="20"/>
          <w:lang w:val="es-AR"/>
        </w:rPr>
        <w:t xml:space="preserve"> </w:t>
      </w:r>
      <w:r w:rsidRPr="00EA7870">
        <w:rPr>
          <w:spacing w:val="-2"/>
          <w:sz w:val="20"/>
          <w:szCs w:val="20"/>
          <w:lang w:val="es-AR"/>
        </w:rPr>
        <w:t>50</w:t>
      </w:r>
      <w:r w:rsidR="001A28B3" w:rsidRPr="00EA7870">
        <w:rPr>
          <w:spacing w:val="-2"/>
          <w:sz w:val="20"/>
          <w:szCs w:val="20"/>
          <w:lang w:val="es-AR"/>
        </w:rPr>
        <w:t xml:space="preserve"> </w:t>
      </w:r>
      <w:r w:rsidRPr="00EA7870">
        <w:rPr>
          <w:spacing w:val="-2"/>
          <w:sz w:val="20"/>
          <w:szCs w:val="20"/>
          <w:lang w:val="es-AR"/>
        </w:rPr>
        <w:t>millones</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equivalente</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otras</w:t>
      </w:r>
      <w:r w:rsidR="001A28B3" w:rsidRPr="00EA7870">
        <w:rPr>
          <w:spacing w:val="-2"/>
          <w:sz w:val="20"/>
          <w:szCs w:val="20"/>
          <w:lang w:val="es-AR"/>
        </w:rPr>
        <w:t xml:space="preserve"> </w:t>
      </w:r>
      <w:r w:rsidRPr="00EA7870">
        <w:rPr>
          <w:spacing w:val="-2"/>
          <w:sz w:val="20"/>
          <w:szCs w:val="20"/>
          <w:lang w:val="es-AR"/>
        </w:rPr>
        <w:t>monedas)</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medida</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estén</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cubiertas</w:t>
      </w:r>
      <w:r w:rsidR="001A28B3" w:rsidRPr="00EA7870">
        <w:rPr>
          <w:spacing w:val="-2"/>
          <w:sz w:val="20"/>
          <w:szCs w:val="20"/>
          <w:lang w:val="es-AR"/>
        </w:rPr>
        <w:t xml:space="preserve"> </w:t>
      </w:r>
      <w:r w:rsidRPr="00EA7870">
        <w:rPr>
          <w:spacing w:val="-2"/>
          <w:sz w:val="20"/>
          <w:szCs w:val="20"/>
          <w:lang w:val="es-AR"/>
        </w:rPr>
        <w:t>por</w:t>
      </w:r>
      <w:r w:rsidR="001A28B3" w:rsidRPr="00EA7870">
        <w:rPr>
          <w:spacing w:val="-2"/>
          <w:sz w:val="20"/>
          <w:szCs w:val="20"/>
          <w:lang w:val="es-AR"/>
        </w:rPr>
        <w:t xml:space="preserve"> </w:t>
      </w:r>
      <w:r w:rsidRPr="00EA7870">
        <w:rPr>
          <w:spacing w:val="-2"/>
          <w:sz w:val="20"/>
          <w:szCs w:val="20"/>
          <w:lang w:val="es-AR"/>
        </w:rPr>
        <w:t>seguro),</w:t>
      </w:r>
      <w:r w:rsidR="001A28B3" w:rsidRPr="00EA7870">
        <w:rPr>
          <w:spacing w:val="-2"/>
          <w:sz w:val="20"/>
          <w:szCs w:val="20"/>
          <w:lang w:val="es-AR"/>
        </w:rPr>
        <w:t xml:space="preserve"> </w:t>
      </w:r>
      <w:r w:rsidRPr="00EA7870">
        <w:rPr>
          <w:spacing w:val="-2"/>
          <w:sz w:val="20"/>
          <w:szCs w:val="20"/>
          <w:lang w:val="es-AR"/>
        </w:rPr>
        <w:t>ya</w:t>
      </w:r>
      <w:r w:rsidR="001A28B3" w:rsidRPr="00EA7870">
        <w:rPr>
          <w:spacing w:val="-2"/>
          <w:sz w:val="20"/>
          <w:szCs w:val="20"/>
          <w:lang w:val="es-AR"/>
        </w:rPr>
        <w:t xml:space="preserve"> </w:t>
      </w:r>
      <w:r w:rsidRPr="00EA7870">
        <w:rPr>
          <w:spacing w:val="-2"/>
          <w:sz w:val="20"/>
          <w:szCs w:val="20"/>
          <w:lang w:val="es-AR"/>
        </w:rPr>
        <w:t>sea</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forma</w:t>
      </w:r>
      <w:r w:rsidR="001A28B3" w:rsidRPr="00EA7870">
        <w:rPr>
          <w:spacing w:val="-2"/>
          <w:sz w:val="20"/>
          <w:szCs w:val="20"/>
          <w:lang w:val="es-AR"/>
        </w:rPr>
        <w:t xml:space="preserve"> </w:t>
      </w:r>
      <w:r w:rsidRPr="00EA7870">
        <w:rPr>
          <w:spacing w:val="-2"/>
          <w:sz w:val="20"/>
          <w:szCs w:val="20"/>
          <w:lang w:val="es-AR"/>
        </w:rPr>
        <w:t>individual</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conjunta,</w:t>
      </w:r>
      <w:r w:rsidR="001A28B3" w:rsidRPr="00EA7870">
        <w:rPr>
          <w:spacing w:val="-2"/>
          <w:sz w:val="20"/>
          <w:szCs w:val="20"/>
          <w:lang w:val="es-AR"/>
        </w:rPr>
        <w:t xml:space="preserve"> </w:t>
      </w:r>
      <w:r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hubieran</w:t>
      </w:r>
      <w:r w:rsidR="001A28B3" w:rsidRPr="00EA7870">
        <w:rPr>
          <w:spacing w:val="-2"/>
          <w:sz w:val="20"/>
          <w:szCs w:val="20"/>
          <w:lang w:val="es-AR"/>
        </w:rPr>
        <w:t xml:space="preserve"> </w:t>
      </w:r>
      <w:r w:rsidRPr="00EA7870">
        <w:rPr>
          <w:spacing w:val="-2"/>
          <w:sz w:val="20"/>
          <w:szCs w:val="20"/>
          <w:lang w:val="es-AR"/>
        </w:rPr>
        <w:t>sido</w:t>
      </w:r>
      <w:r w:rsidR="001A28B3" w:rsidRPr="00EA7870">
        <w:rPr>
          <w:spacing w:val="-2"/>
          <w:sz w:val="20"/>
          <w:szCs w:val="20"/>
          <w:lang w:val="es-AR"/>
        </w:rPr>
        <w:t xml:space="preserve"> </w:t>
      </w:r>
      <w:r w:rsidRPr="00EA7870">
        <w:rPr>
          <w:spacing w:val="-2"/>
          <w:sz w:val="20"/>
          <w:szCs w:val="20"/>
          <w:lang w:val="es-AR"/>
        </w:rPr>
        <w:t>canceladas</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totalmente</w:t>
      </w:r>
      <w:r w:rsidR="001A28B3" w:rsidRPr="00EA7870">
        <w:rPr>
          <w:spacing w:val="-2"/>
          <w:sz w:val="20"/>
          <w:szCs w:val="20"/>
          <w:lang w:val="es-AR"/>
        </w:rPr>
        <w:t xml:space="preserve"> </w:t>
      </w:r>
      <w:r w:rsidRPr="00EA7870">
        <w:rPr>
          <w:spacing w:val="-2"/>
          <w:sz w:val="20"/>
          <w:szCs w:val="20"/>
          <w:lang w:val="es-AR"/>
        </w:rPr>
        <w:t>garantizadas</w:t>
      </w:r>
      <w:r w:rsidR="001A28B3" w:rsidRPr="00EA7870">
        <w:rPr>
          <w:spacing w:val="-2"/>
          <w:sz w:val="20"/>
          <w:szCs w:val="20"/>
          <w:lang w:val="es-AR"/>
        </w:rPr>
        <w:t xml:space="preserve"> </w:t>
      </w:r>
      <w:r w:rsidRPr="00EA7870">
        <w:rPr>
          <w:spacing w:val="-2"/>
          <w:sz w:val="20"/>
          <w:szCs w:val="20"/>
          <w:lang w:val="es-AR"/>
        </w:rPr>
        <w:t>dentro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90</w:t>
      </w:r>
      <w:r w:rsidR="001A28B3" w:rsidRPr="00EA7870">
        <w:rPr>
          <w:spacing w:val="-2"/>
          <w:sz w:val="20"/>
          <w:szCs w:val="20"/>
          <w:lang w:val="es-AR"/>
        </w:rPr>
        <w:t xml:space="preserve"> </w:t>
      </w:r>
      <w:r w:rsidRPr="00EA7870">
        <w:rPr>
          <w:spacing w:val="-2"/>
          <w:sz w:val="20"/>
          <w:szCs w:val="20"/>
          <w:lang w:val="es-AR"/>
        </w:rPr>
        <w:t>días</w:t>
      </w:r>
      <w:r w:rsidR="001A28B3" w:rsidRPr="00EA7870">
        <w:rPr>
          <w:spacing w:val="-2"/>
          <w:sz w:val="20"/>
          <w:szCs w:val="20"/>
          <w:lang w:val="es-AR"/>
        </w:rPr>
        <w:t xml:space="preserve"> </w:t>
      </w:r>
      <w:r w:rsidRPr="00EA7870">
        <w:rPr>
          <w:spacing w:val="-2"/>
          <w:sz w:val="20"/>
          <w:szCs w:val="20"/>
          <w:lang w:val="es-AR"/>
        </w:rPr>
        <w:t>corridos</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fecha</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fueron</w:t>
      </w:r>
      <w:r w:rsidR="001A28B3" w:rsidRPr="00EA7870">
        <w:rPr>
          <w:spacing w:val="-2"/>
          <w:sz w:val="20"/>
          <w:szCs w:val="20"/>
          <w:lang w:val="es-AR"/>
        </w:rPr>
        <w:t xml:space="preserve"> </w:t>
      </w:r>
      <w:r w:rsidRPr="00EA7870">
        <w:rPr>
          <w:spacing w:val="-2"/>
          <w:sz w:val="20"/>
          <w:szCs w:val="20"/>
          <w:lang w:val="es-AR"/>
        </w:rPr>
        <w:t>dictadas,</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(b)</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fuera</w:t>
      </w:r>
      <w:r w:rsidR="001A28B3" w:rsidRPr="00EA7870">
        <w:rPr>
          <w:spacing w:val="-2"/>
          <w:sz w:val="20"/>
          <w:szCs w:val="20"/>
          <w:lang w:val="es-AR"/>
        </w:rPr>
        <w:t xml:space="preserve"> </w:t>
      </w:r>
      <w:r w:rsidRPr="00EA7870">
        <w:rPr>
          <w:spacing w:val="-2"/>
          <w:sz w:val="20"/>
          <w:szCs w:val="20"/>
          <w:lang w:val="es-AR"/>
        </w:rPr>
        <w:t>aplicable</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plazo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los</w:t>
      </w:r>
      <w:r w:rsidR="001A28B3" w:rsidRPr="00EA7870">
        <w:rPr>
          <w:spacing w:val="-2"/>
          <w:sz w:val="20"/>
          <w:szCs w:val="20"/>
          <w:lang w:val="es-AR"/>
        </w:rPr>
        <w:t xml:space="preserve"> </w:t>
      </w:r>
      <w:r w:rsidRPr="00EA7870">
        <w:rPr>
          <w:spacing w:val="-2"/>
          <w:sz w:val="20"/>
          <w:szCs w:val="20"/>
          <w:lang w:val="es-AR"/>
        </w:rPr>
        <w:t>90</w:t>
      </w:r>
      <w:r w:rsidR="001A28B3" w:rsidRPr="00EA7870">
        <w:rPr>
          <w:spacing w:val="-2"/>
          <w:sz w:val="20"/>
          <w:szCs w:val="20"/>
          <w:lang w:val="es-AR"/>
        </w:rPr>
        <w:t xml:space="preserve"> </w:t>
      </w:r>
      <w:r w:rsidRPr="00EA7870">
        <w:rPr>
          <w:spacing w:val="-2"/>
          <w:sz w:val="20"/>
          <w:szCs w:val="20"/>
          <w:lang w:val="es-AR"/>
        </w:rPr>
        <w:t>días</w:t>
      </w:r>
      <w:r w:rsidR="001A28B3" w:rsidRPr="00EA7870">
        <w:rPr>
          <w:spacing w:val="-2"/>
          <w:sz w:val="20"/>
          <w:szCs w:val="20"/>
          <w:lang w:val="es-AR"/>
        </w:rPr>
        <w:t xml:space="preserve"> </w:t>
      </w:r>
      <w:r w:rsidRPr="00EA7870">
        <w:rPr>
          <w:spacing w:val="-2"/>
          <w:sz w:val="20"/>
          <w:szCs w:val="20"/>
          <w:lang w:val="es-AR"/>
        </w:rPr>
        <w:t>corridos</w:t>
      </w:r>
      <w:r w:rsidR="001A28B3" w:rsidRPr="00EA7870">
        <w:rPr>
          <w:spacing w:val="-2"/>
          <w:sz w:val="20"/>
          <w:szCs w:val="20"/>
          <w:lang w:val="es-AR"/>
        </w:rPr>
        <w:t xml:space="preserve"> </w:t>
      </w:r>
      <w:r w:rsidRPr="00EA7870">
        <w:rPr>
          <w:spacing w:val="-2"/>
          <w:sz w:val="20"/>
          <w:szCs w:val="20"/>
          <w:lang w:val="es-AR"/>
        </w:rPr>
        <w:t>durante</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cual</w:t>
      </w:r>
      <w:r w:rsidR="001A28B3" w:rsidRPr="00EA7870">
        <w:rPr>
          <w:spacing w:val="-2"/>
          <w:sz w:val="20"/>
          <w:szCs w:val="20"/>
          <w:lang w:val="es-AR"/>
        </w:rPr>
        <w:t xml:space="preserve"> </w:t>
      </w:r>
      <w:r w:rsidRPr="00EA7870">
        <w:rPr>
          <w:spacing w:val="-2"/>
          <w:sz w:val="20"/>
          <w:szCs w:val="20"/>
          <w:lang w:val="es-AR"/>
        </w:rPr>
        <w:t>estaría</w:t>
      </w:r>
      <w:r w:rsidR="001A28B3" w:rsidRPr="00EA7870">
        <w:rPr>
          <w:spacing w:val="-2"/>
          <w:sz w:val="20"/>
          <w:szCs w:val="20"/>
          <w:lang w:val="es-AR"/>
        </w:rPr>
        <w:t xml:space="preserve"> </w:t>
      </w:r>
      <w:r w:rsidRPr="00EA7870">
        <w:rPr>
          <w:spacing w:val="-2"/>
          <w:sz w:val="20"/>
          <w:szCs w:val="20"/>
          <w:lang w:val="es-AR"/>
        </w:rPr>
        <w:t>suspendida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ejecución</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dicha</w:t>
      </w:r>
      <w:r w:rsidR="001A28B3" w:rsidRPr="00EA7870">
        <w:rPr>
          <w:spacing w:val="-2"/>
          <w:sz w:val="20"/>
          <w:szCs w:val="20"/>
          <w:lang w:val="es-AR"/>
        </w:rPr>
        <w:t xml:space="preserve"> </w:t>
      </w:r>
      <w:r w:rsidRPr="00EA7870">
        <w:rPr>
          <w:spacing w:val="-2"/>
          <w:sz w:val="20"/>
          <w:szCs w:val="20"/>
          <w:lang w:val="es-AR"/>
        </w:rPr>
        <w:t>sentencia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resolución</w:t>
      </w:r>
      <w:r w:rsidR="001A28B3" w:rsidRPr="00EA7870">
        <w:rPr>
          <w:spacing w:val="-2"/>
          <w:sz w:val="20"/>
          <w:szCs w:val="20"/>
          <w:lang w:val="es-AR"/>
        </w:rPr>
        <w:t xml:space="preserve"> </w:t>
      </w:r>
      <w:r w:rsidRPr="00EA7870">
        <w:rPr>
          <w:spacing w:val="-2"/>
          <w:sz w:val="20"/>
          <w:szCs w:val="20"/>
          <w:lang w:val="es-AR"/>
        </w:rPr>
        <w:t>con</w:t>
      </w:r>
      <w:r w:rsidR="001A28B3" w:rsidRPr="00EA7870">
        <w:rPr>
          <w:spacing w:val="-2"/>
          <w:sz w:val="20"/>
          <w:szCs w:val="20"/>
          <w:lang w:val="es-AR"/>
        </w:rPr>
        <w:t xml:space="preserve"> </w:t>
      </w:r>
      <w:r w:rsidRPr="00EA7870">
        <w:rPr>
          <w:spacing w:val="-2"/>
          <w:sz w:val="20"/>
          <w:szCs w:val="20"/>
          <w:lang w:val="es-AR"/>
        </w:rPr>
        <w:t>motivo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una</w:t>
      </w:r>
      <w:r w:rsidR="001A28B3" w:rsidRPr="00EA7870">
        <w:rPr>
          <w:spacing w:val="-2"/>
          <w:sz w:val="20"/>
          <w:szCs w:val="20"/>
          <w:lang w:val="es-AR"/>
        </w:rPr>
        <w:t xml:space="preserve"> </w:t>
      </w:r>
      <w:r w:rsidRPr="00EA7870">
        <w:rPr>
          <w:spacing w:val="-2"/>
          <w:sz w:val="20"/>
          <w:szCs w:val="20"/>
          <w:lang w:val="es-AR"/>
        </w:rPr>
        <w:t>apelación</w:t>
      </w:r>
      <w:r w:rsidR="001A28B3" w:rsidRPr="00EA7870">
        <w:rPr>
          <w:spacing w:val="-2"/>
          <w:sz w:val="20"/>
          <w:szCs w:val="20"/>
          <w:lang w:val="es-AR"/>
        </w:rPr>
        <w:t xml:space="preserve"> </w:t>
      </w:r>
      <w:r w:rsidRPr="00EA7870">
        <w:rPr>
          <w:spacing w:val="-2"/>
          <w:sz w:val="20"/>
          <w:szCs w:val="20"/>
          <w:lang w:val="es-AR"/>
        </w:rPr>
        <w:t>pendiente</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resolución</w:t>
      </w:r>
      <w:r w:rsidR="001A28B3" w:rsidRPr="00EA7870">
        <w:rPr>
          <w:spacing w:val="-2"/>
          <w:sz w:val="20"/>
          <w:szCs w:val="20"/>
          <w:lang w:val="es-AR"/>
        </w:rPr>
        <w:t xml:space="preserve"> </w:t>
      </w:r>
      <w:r w:rsidRPr="00EA7870">
        <w:rPr>
          <w:spacing w:val="-2"/>
          <w:sz w:val="20"/>
          <w:szCs w:val="20"/>
          <w:lang w:val="es-AR"/>
        </w:rPr>
        <w:t>u</w:t>
      </w:r>
      <w:r w:rsidR="001A28B3" w:rsidRPr="00EA7870">
        <w:rPr>
          <w:spacing w:val="-2"/>
          <w:sz w:val="20"/>
          <w:szCs w:val="20"/>
          <w:lang w:val="es-AR"/>
        </w:rPr>
        <w:t xml:space="preserve"> </w:t>
      </w:r>
      <w:r w:rsidRPr="00EA7870">
        <w:rPr>
          <w:spacing w:val="-2"/>
          <w:sz w:val="20"/>
          <w:szCs w:val="20"/>
          <w:lang w:val="es-AR"/>
        </w:rPr>
        <w:t>otro</w:t>
      </w:r>
      <w:r w:rsidR="001A28B3" w:rsidRPr="00EA7870">
        <w:rPr>
          <w:spacing w:val="-2"/>
          <w:sz w:val="20"/>
          <w:szCs w:val="20"/>
          <w:lang w:val="es-AR"/>
        </w:rPr>
        <w:t xml:space="preserve"> </w:t>
      </w:r>
      <w:r w:rsidRPr="00EA7870">
        <w:rPr>
          <w:spacing w:val="-2"/>
          <w:sz w:val="20"/>
          <w:szCs w:val="20"/>
          <w:lang w:val="es-AR"/>
        </w:rPr>
        <w:t>motivo;</w:t>
      </w:r>
    </w:p>
    <w:p w14:paraId="54896FD4" w14:textId="77777777" w:rsidR="00376725" w:rsidRPr="00EA7870" w:rsidRDefault="00376725" w:rsidP="00376725">
      <w:pPr>
        <w:tabs>
          <w:tab w:val="left" w:pos="0"/>
        </w:tabs>
        <w:ind w:firstLine="709"/>
        <w:jc w:val="both"/>
        <w:rPr>
          <w:spacing w:val="-2"/>
          <w:sz w:val="20"/>
          <w:szCs w:val="20"/>
          <w:lang w:val="es-AR"/>
        </w:rPr>
      </w:pPr>
    </w:p>
    <w:p w14:paraId="3793FC92" w14:textId="77777777" w:rsidR="00376725" w:rsidRPr="00EA7870" w:rsidRDefault="00376725" w:rsidP="00376725">
      <w:pPr>
        <w:tabs>
          <w:tab w:val="left" w:pos="0"/>
        </w:tabs>
        <w:ind w:firstLine="709"/>
        <w:jc w:val="both"/>
        <w:rPr>
          <w:spacing w:val="-2"/>
          <w:sz w:val="20"/>
          <w:szCs w:val="20"/>
          <w:lang w:val="es-AR"/>
        </w:rPr>
      </w:pPr>
      <w:r w:rsidRPr="00EA7870">
        <w:rPr>
          <w:spacing w:val="-2"/>
          <w:sz w:val="20"/>
          <w:szCs w:val="20"/>
          <w:lang w:val="es-AR"/>
        </w:rPr>
        <w:t>(vi)</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solicitaran</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prestaran</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consentimiento</w:t>
      </w:r>
      <w:r w:rsidR="001A28B3" w:rsidRPr="00EA7870">
        <w:rPr>
          <w:spacing w:val="-2"/>
          <w:sz w:val="20"/>
          <w:szCs w:val="20"/>
          <w:lang w:val="es-AR"/>
        </w:rPr>
        <w:t xml:space="preserve"> </w:t>
      </w:r>
      <w:r w:rsidRPr="00EA7870">
        <w:rPr>
          <w:spacing w:val="-2"/>
          <w:sz w:val="20"/>
          <w:szCs w:val="20"/>
          <w:lang w:val="es-AR"/>
        </w:rPr>
        <w:t>para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designación</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depositario,</w:t>
      </w:r>
      <w:r w:rsidR="001A28B3" w:rsidRPr="00EA7870">
        <w:rPr>
          <w:spacing w:val="-2"/>
          <w:sz w:val="20"/>
          <w:szCs w:val="20"/>
          <w:lang w:val="es-AR"/>
        </w:rPr>
        <w:t xml:space="preserve"> </w:t>
      </w:r>
      <w:r w:rsidRPr="00EA7870">
        <w:rPr>
          <w:spacing w:val="-2"/>
          <w:sz w:val="20"/>
          <w:szCs w:val="20"/>
          <w:lang w:val="es-AR"/>
        </w:rPr>
        <w:t>síndico,</w:t>
      </w:r>
      <w:r w:rsidR="001A28B3" w:rsidRPr="00EA7870">
        <w:rPr>
          <w:spacing w:val="-2"/>
          <w:sz w:val="20"/>
          <w:szCs w:val="20"/>
          <w:lang w:val="es-AR"/>
        </w:rPr>
        <w:t xml:space="preserve"> </w:t>
      </w:r>
      <w:r w:rsidRPr="00EA7870">
        <w:rPr>
          <w:spacing w:val="-2"/>
          <w:sz w:val="20"/>
          <w:szCs w:val="20"/>
          <w:lang w:val="es-AR"/>
        </w:rPr>
        <w:t>liquidador</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funcionario</w:t>
      </w:r>
      <w:r w:rsidR="001A28B3" w:rsidRPr="00EA7870">
        <w:rPr>
          <w:spacing w:val="-2"/>
          <w:sz w:val="20"/>
          <w:szCs w:val="20"/>
          <w:lang w:val="es-AR"/>
        </w:rPr>
        <w:t xml:space="preserve"> </w:t>
      </w:r>
      <w:r w:rsidRPr="00EA7870">
        <w:rPr>
          <w:spacing w:val="-2"/>
          <w:sz w:val="20"/>
          <w:szCs w:val="20"/>
          <w:lang w:val="es-AR"/>
        </w:rPr>
        <w:t>similar</w:t>
      </w:r>
      <w:r w:rsidR="001A28B3" w:rsidRPr="00EA7870">
        <w:rPr>
          <w:spacing w:val="-2"/>
          <w:sz w:val="20"/>
          <w:szCs w:val="20"/>
          <w:lang w:val="es-AR"/>
        </w:rPr>
        <w:t xml:space="preserve"> </w:t>
      </w:r>
      <w:r w:rsidRPr="00EA7870">
        <w:rPr>
          <w:spacing w:val="-2"/>
          <w:sz w:val="20"/>
          <w:szCs w:val="20"/>
          <w:lang w:val="es-AR"/>
        </w:rPr>
        <w:t>para</w:t>
      </w:r>
      <w:r w:rsidR="001A28B3" w:rsidRPr="00EA7870">
        <w:rPr>
          <w:spacing w:val="-2"/>
          <w:sz w:val="20"/>
          <w:szCs w:val="20"/>
          <w:lang w:val="es-AR"/>
        </w:rPr>
        <w:t xml:space="preserve"> </w:t>
      </w:r>
      <w:r w:rsidRPr="00EA7870">
        <w:rPr>
          <w:spacing w:val="-2"/>
          <w:sz w:val="20"/>
          <w:szCs w:val="20"/>
          <w:lang w:val="es-AR"/>
        </w:rPr>
        <w:t>ellas</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sus</w:t>
      </w:r>
      <w:r w:rsidR="001A28B3" w:rsidRPr="00EA7870">
        <w:rPr>
          <w:spacing w:val="-2"/>
          <w:sz w:val="20"/>
          <w:szCs w:val="20"/>
          <w:lang w:val="es-AR"/>
        </w:rPr>
        <w:t xml:space="preserve"> </w:t>
      </w:r>
      <w:r w:rsidRPr="00EA7870">
        <w:rPr>
          <w:spacing w:val="-2"/>
          <w:sz w:val="20"/>
          <w:szCs w:val="20"/>
          <w:lang w:val="es-AR"/>
        </w:rPr>
        <w:t>bienes,</w:t>
      </w:r>
      <w:r w:rsidR="001A28B3" w:rsidRPr="00EA7870">
        <w:rPr>
          <w:spacing w:val="-2"/>
          <w:sz w:val="20"/>
          <w:szCs w:val="20"/>
          <w:lang w:val="es-AR"/>
        </w:rPr>
        <w:t xml:space="preserve"> </w:t>
      </w:r>
      <w:r w:rsidRPr="00EA7870">
        <w:rPr>
          <w:spacing w:val="-2"/>
          <w:sz w:val="20"/>
          <w:szCs w:val="20"/>
          <w:lang w:val="es-AR"/>
        </w:rPr>
        <w:t>(b)</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fueran</w:t>
      </w:r>
      <w:r w:rsidR="001A28B3" w:rsidRPr="00EA7870">
        <w:rPr>
          <w:spacing w:val="-2"/>
          <w:sz w:val="20"/>
          <w:szCs w:val="20"/>
          <w:lang w:val="es-AR"/>
        </w:rPr>
        <w:t xml:space="preserve"> </w:t>
      </w:r>
      <w:r w:rsidRPr="00EA7870">
        <w:rPr>
          <w:spacing w:val="-2"/>
          <w:sz w:val="20"/>
          <w:szCs w:val="20"/>
          <w:lang w:val="es-AR"/>
        </w:rPr>
        <w:t>capaces</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admitieran</w:t>
      </w:r>
      <w:r w:rsidR="001A28B3" w:rsidRPr="00EA7870">
        <w:rPr>
          <w:spacing w:val="-2"/>
          <w:sz w:val="20"/>
          <w:szCs w:val="20"/>
          <w:lang w:val="es-AR"/>
        </w:rPr>
        <w:t xml:space="preserve"> </w:t>
      </w:r>
      <w:r w:rsidRPr="00EA7870">
        <w:rPr>
          <w:spacing w:val="-2"/>
          <w:sz w:val="20"/>
          <w:szCs w:val="20"/>
          <w:lang w:val="es-AR"/>
        </w:rPr>
        <w:t>por</w:t>
      </w:r>
      <w:r w:rsidR="001A28B3" w:rsidRPr="00EA7870">
        <w:rPr>
          <w:spacing w:val="-2"/>
          <w:sz w:val="20"/>
          <w:szCs w:val="20"/>
          <w:lang w:val="es-AR"/>
        </w:rPr>
        <w:t xml:space="preserve"> </w:t>
      </w:r>
      <w:r w:rsidRPr="00EA7870">
        <w:rPr>
          <w:spacing w:val="-2"/>
          <w:sz w:val="20"/>
          <w:szCs w:val="20"/>
          <w:lang w:val="es-AR"/>
        </w:rPr>
        <w:t>escrito</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incapacidad</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pagar</w:t>
      </w:r>
      <w:r w:rsidR="001A28B3" w:rsidRPr="00EA7870">
        <w:rPr>
          <w:spacing w:val="-2"/>
          <w:sz w:val="20"/>
          <w:szCs w:val="20"/>
          <w:lang w:val="es-AR"/>
        </w:rPr>
        <w:t xml:space="preserve"> </w:t>
      </w:r>
      <w:r w:rsidRPr="00EA7870">
        <w:rPr>
          <w:spacing w:val="-2"/>
          <w:sz w:val="20"/>
          <w:szCs w:val="20"/>
          <w:lang w:val="es-AR"/>
        </w:rPr>
        <w:t>sus</w:t>
      </w:r>
      <w:r w:rsidR="001A28B3" w:rsidRPr="00EA7870">
        <w:rPr>
          <w:spacing w:val="-2"/>
          <w:sz w:val="20"/>
          <w:szCs w:val="20"/>
          <w:lang w:val="es-AR"/>
        </w:rPr>
        <w:t xml:space="preserve"> </w:t>
      </w:r>
      <w:r w:rsidRPr="00EA7870">
        <w:rPr>
          <w:spacing w:val="-2"/>
          <w:sz w:val="20"/>
          <w:szCs w:val="20"/>
          <w:lang w:val="es-AR"/>
        </w:rPr>
        <w:t>deudas</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vencimiento,</w:t>
      </w:r>
      <w:r w:rsidR="001A28B3" w:rsidRPr="00EA7870">
        <w:rPr>
          <w:spacing w:val="-2"/>
          <w:sz w:val="20"/>
          <w:szCs w:val="20"/>
          <w:lang w:val="es-AR"/>
        </w:rPr>
        <w:t xml:space="preserve"> </w:t>
      </w:r>
      <w:r w:rsidRPr="00EA7870">
        <w:rPr>
          <w:spacing w:val="-2"/>
          <w:sz w:val="20"/>
          <w:szCs w:val="20"/>
          <w:lang w:val="es-AR"/>
        </w:rPr>
        <w:t>(c)</w:t>
      </w:r>
      <w:r w:rsidR="001A28B3" w:rsidRPr="00EA7870">
        <w:rPr>
          <w:spacing w:val="-2"/>
          <w:sz w:val="20"/>
          <w:szCs w:val="20"/>
          <w:lang w:val="es-AR"/>
        </w:rPr>
        <w:t xml:space="preserve"> </w:t>
      </w:r>
      <w:r w:rsidRPr="00EA7870">
        <w:rPr>
          <w:spacing w:val="-2"/>
          <w:sz w:val="20"/>
          <w:szCs w:val="20"/>
          <w:lang w:val="es-AR"/>
        </w:rPr>
        <w:t>realizaran</w:t>
      </w:r>
      <w:r w:rsidR="001A28B3" w:rsidRPr="00EA7870">
        <w:rPr>
          <w:spacing w:val="-2"/>
          <w:sz w:val="20"/>
          <w:szCs w:val="20"/>
          <w:lang w:val="es-AR"/>
        </w:rPr>
        <w:t xml:space="preserve"> </w:t>
      </w:r>
      <w:r w:rsidRPr="00EA7870">
        <w:rPr>
          <w:spacing w:val="-2"/>
          <w:sz w:val="20"/>
          <w:szCs w:val="20"/>
          <w:lang w:val="es-AR"/>
        </w:rPr>
        <w:t>una</w:t>
      </w:r>
      <w:r w:rsidR="001A28B3" w:rsidRPr="00EA7870">
        <w:rPr>
          <w:spacing w:val="-2"/>
          <w:sz w:val="20"/>
          <w:szCs w:val="20"/>
          <w:lang w:val="es-AR"/>
        </w:rPr>
        <w:t xml:space="preserve"> </w:t>
      </w:r>
      <w:r w:rsidRPr="00EA7870">
        <w:rPr>
          <w:spacing w:val="-2"/>
          <w:sz w:val="20"/>
          <w:szCs w:val="20"/>
          <w:lang w:val="es-AR"/>
        </w:rPr>
        <w:t>cesión</w:t>
      </w:r>
      <w:r w:rsidR="001A28B3" w:rsidRPr="00EA7870">
        <w:rPr>
          <w:spacing w:val="-2"/>
          <w:sz w:val="20"/>
          <w:szCs w:val="20"/>
          <w:lang w:val="es-AR"/>
        </w:rPr>
        <w:t xml:space="preserve"> </w:t>
      </w:r>
      <w:r w:rsidRPr="00EA7870">
        <w:rPr>
          <w:spacing w:val="-2"/>
          <w:sz w:val="20"/>
          <w:szCs w:val="20"/>
          <w:lang w:val="es-AR"/>
        </w:rPr>
        <w:t>general</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beneficio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sus</w:t>
      </w:r>
      <w:r w:rsidR="001A28B3" w:rsidRPr="00EA7870">
        <w:rPr>
          <w:spacing w:val="-2"/>
          <w:sz w:val="20"/>
          <w:szCs w:val="20"/>
          <w:lang w:val="es-AR"/>
        </w:rPr>
        <w:t xml:space="preserve"> </w:t>
      </w:r>
      <w:r w:rsidRPr="00EA7870">
        <w:rPr>
          <w:spacing w:val="-2"/>
          <w:sz w:val="20"/>
          <w:szCs w:val="20"/>
          <w:lang w:val="es-AR"/>
        </w:rPr>
        <w:t>acreedores,</w:t>
      </w:r>
      <w:r w:rsidR="001A28B3" w:rsidRPr="00EA7870">
        <w:rPr>
          <w:spacing w:val="-2"/>
          <w:sz w:val="20"/>
          <w:szCs w:val="20"/>
          <w:lang w:val="es-AR"/>
        </w:rPr>
        <w:t xml:space="preserve"> </w:t>
      </w:r>
      <w:r w:rsidRPr="00EA7870">
        <w:rPr>
          <w:spacing w:val="-2"/>
          <w:sz w:val="20"/>
          <w:szCs w:val="20"/>
          <w:lang w:val="es-AR"/>
        </w:rPr>
        <w:t>(d)</w:t>
      </w:r>
      <w:r w:rsidR="001A28B3" w:rsidRPr="00EA7870">
        <w:rPr>
          <w:spacing w:val="-2"/>
          <w:sz w:val="20"/>
          <w:szCs w:val="20"/>
          <w:lang w:val="es-AR"/>
        </w:rPr>
        <w:t xml:space="preserve"> </w:t>
      </w:r>
      <w:r w:rsidRPr="00EA7870">
        <w:rPr>
          <w:spacing w:val="-2"/>
          <w:sz w:val="20"/>
          <w:szCs w:val="20"/>
          <w:lang w:val="es-AR"/>
        </w:rPr>
        <w:t>fueran</w:t>
      </w:r>
      <w:r w:rsidR="001A28B3" w:rsidRPr="00EA7870">
        <w:rPr>
          <w:spacing w:val="-2"/>
          <w:sz w:val="20"/>
          <w:szCs w:val="20"/>
          <w:lang w:val="es-AR"/>
        </w:rPr>
        <w:t xml:space="preserve"> </w:t>
      </w:r>
      <w:r w:rsidRPr="00EA7870">
        <w:rPr>
          <w:spacing w:val="-2"/>
          <w:sz w:val="20"/>
          <w:szCs w:val="20"/>
          <w:lang w:val="es-AR"/>
        </w:rPr>
        <w:t>declaradas</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quiebra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insolventes,</w:t>
      </w:r>
      <w:r w:rsidR="001A28B3" w:rsidRPr="00EA7870">
        <w:rPr>
          <w:spacing w:val="-2"/>
          <w:sz w:val="20"/>
          <w:szCs w:val="20"/>
          <w:lang w:val="es-AR"/>
        </w:rPr>
        <w:t xml:space="preserve"> </w:t>
      </w:r>
      <w:r w:rsidRPr="00EA7870">
        <w:rPr>
          <w:spacing w:val="-2"/>
          <w:sz w:val="20"/>
          <w:szCs w:val="20"/>
          <w:lang w:val="es-AR"/>
        </w:rPr>
        <w:t>(e)</w:t>
      </w:r>
      <w:r w:rsidR="001A28B3" w:rsidRPr="00EA7870">
        <w:rPr>
          <w:spacing w:val="-2"/>
          <w:sz w:val="20"/>
          <w:szCs w:val="20"/>
          <w:lang w:val="es-AR"/>
        </w:rPr>
        <w:t xml:space="preserve"> </w:t>
      </w:r>
      <w:r w:rsidRPr="00EA7870">
        <w:rPr>
          <w:spacing w:val="-2"/>
          <w:sz w:val="20"/>
          <w:szCs w:val="20"/>
          <w:lang w:val="es-AR"/>
        </w:rPr>
        <w:t>presentaran</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pedido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quiebra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presentaran</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pedido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reorganización</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concurso</w:t>
      </w:r>
      <w:r w:rsidR="001A28B3" w:rsidRPr="00EA7870">
        <w:rPr>
          <w:spacing w:val="-2"/>
          <w:sz w:val="20"/>
          <w:szCs w:val="20"/>
          <w:lang w:val="es-AR"/>
        </w:rPr>
        <w:t xml:space="preserve"> </w:t>
      </w:r>
      <w:r w:rsidRPr="00EA7870">
        <w:rPr>
          <w:spacing w:val="-2"/>
          <w:sz w:val="20"/>
          <w:szCs w:val="20"/>
          <w:lang w:val="es-AR"/>
        </w:rPr>
        <w:t>preventivo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acreedores</w:t>
      </w:r>
      <w:r w:rsidR="001A28B3" w:rsidRPr="00EA7870">
        <w:rPr>
          <w:spacing w:val="-2"/>
          <w:sz w:val="20"/>
          <w:szCs w:val="20"/>
          <w:lang w:val="es-AR"/>
        </w:rPr>
        <w:t xml:space="preserve"> </w:t>
      </w:r>
      <w:r w:rsidRPr="00EA7870">
        <w:rPr>
          <w:spacing w:val="-2"/>
          <w:sz w:val="20"/>
          <w:szCs w:val="20"/>
          <w:lang w:val="es-AR"/>
        </w:rPr>
        <w:t>judicial</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extrajudicial</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procuraran</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aplicación</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cualquier</w:t>
      </w:r>
      <w:r w:rsidR="001A28B3" w:rsidRPr="00EA7870">
        <w:rPr>
          <w:spacing w:val="-2"/>
          <w:sz w:val="20"/>
          <w:szCs w:val="20"/>
          <w:lang w:val="es-AR"/>
        </w:rPr>
        <w:t xml:space="preserve"> </w:t>
      </w:r>
      <w:r w:rsidRPr="00EA7870">
        <w:rPr>
          <w:spacing w:val="-2"/>
          <w:sz w:val="20"/>
          <w:szCs w:val="20"/>
          <w:lang w:val="es-AR"/>
        </w:rPr>
        <w:t>ley</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materia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insolvencia,</w:t>
      </w:r>
      <w:r w:rsidR="001A28B3" w:rsidRPr="00EA7870">
        <w:rPr>
          <w:spacing w:val="-2"/>
          <w:sz w:val="20"/>
          <w:szCs w:val="20"/>
          <w:lang w:val="es-AR"/>
        </w:rPr>
        <w:t xml:space="preserve"> </w:t>
      </w:r>
      <w:r w:rsidRPr="00EA7870">
        <w:rPr>
          <w:spacing w:val="-2"/>
          <w:sz w:val="20"/>
          <w:szCs w:val="20"/>
          <w:lang w:val="es-AR"/>
        </w:rPr>
        <w:t>(f)</w:t>
      </w:r>
      <w:r w:rsidR="001A28B3" w:rsidRPr="00EA7870">
        <w:rPr>
          <w:spacing w:val="-2"/>
          <w:sz w:val="20"/>
          <w:szCs w:val="20"/>
          <w:lang w:val="es-AR"/>
        </w:rPr>
        <w:t xml:space="preserve"> </w:t>
      </w:r>
      <w:r w:rsidRPr="00EA7870">
        <w:rPr>
          <w:spacing w:val="-2"/>
          <w:sz w:val="20"/>
          <w:szCs w:val="20"/>
          <w:lang w:val="es-AR"/>
        </w:rPr>
        <w:t>admitieran</w:t>
      </w:r>
      <w:r w:rsidR="001A28B3" w:rsidRPr="00EA7870">
        <w:rPr>
          <w:spacing w:val="-2"/>
          <w:sz w:val="20"/>
          <w:szCs w:val="20"/>
          <w:lang w:val="es-AR"/>
        </w:rPr>
        <w:t xml:space="preserve"> </w:t>
      </w:r>
      <w:r w:rsidRPr="00EA7870">
        <w:rPr>
          <w:spacing w:val="-2"/>
          <w:sz w:val="20"/>
          <w:szCs w:val="20"/>
          <w:lang w:val="es-AR"/>
        </w:rPr>
        <w:t>las</w:t>
      </w:r>
      <w:r w:rsidR="001A28B3" w:rsidRPr="00EA7870">
        <w:rPr>
          <w:spacing w:val="-2"/>
          <w:sz w:val="20"/>
          <w:szCs w:val="20"/>
          <w:lang w:val="es-AR"/>
        </w:rPr>
        <w:t xml:space="preserve"> </w:t>
      </w:r>
      <w:r w:rsidRPr="00EA7870">
        <w:rPr>
          <w:spacing w:val="-2"/>
          <w:sz w:val="20"/>
          <w:szCs w:val="20"/>
          <w:lang w:val="es-AR"/>
        </w:rPr>
        <w:t>alegaciones</w:t>
      </w:r>
      <w:r w:rsidR="001A28B3" w:rsidRPr="00EA7870">
        <w:rPr>
          <w:spacing w:val="-2"/>
          <w:sz w:val="20"/>
          <w:szCs w:val="20"/>
          <w:lang w:val="es-AR"/>
        </w:rPr>
        <w:t xml:space="preserve"> </w:t>
      </w:r>
      <w:r w:rsidRPr="00EA7870">
        <w:rPr>
          <w:spacing w:val="-2"/>
          <w:sz w:val="20"/>
          <w:szCs w:val="20"/>
          <w:lang w:val="es-AR"/>
        </w:rPr>
        <w:t>sustanciales</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pedido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quiebra,</w:t>
      </w:r>
      <w:r w:rsidR="001A28B3" w:rsidRPr="00EA7870">
        <w:rPr>
          <w:spacing w:val="-2"/>
          <w:sz w:val="20"/>
          <w:szCs w:val="20"/>
          <w:lang w:val="es-AR"/>
        </w:rPr>
        <w:t xml:space="preserve"> </w:t>
      </w:r>
      <w:r w:rsidRPr="00EA7870">
        <w:rPr>
          <w:spacing w:val="-2"/>
          <w:sz w:val="20"/>
          <w:szCs w:val="20"/>
          <w:lang w:val="es-AR"/>
        </w:rPr>
        <w:t>reorganización</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insolvencia</w:t>
      </w:r>
      <w:r w:rsidR="001A28B3" w:rsidRPr="00EA7870">
        <w:rPr>
          <w:spacing w:val="-2"/>
          <w:sz w:val="20"/>
          <w:szCs w:val="20"/>
          <w:lang w:val="es-AR"/>
        </w:rPr>
        <w:t xml:space="preserve"> </w:t>
      </w:r>
      <w:r w:rsidRPr="00EA7870">
        <w:rPr>
          <w:spacing w:val="-2"/>
          <w:sz w:val="20"/>
          <w:szCs w:val="20"/>
          <w:lang w:val="es-AR"/>
        </w:rPr>
        <w:t>presentado</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contra,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(g)</w:t>
      </w:r>
      <w:r w:rsidR="001A28B3" w:rsidRPr="00EA7870">
        <w:rPr>
          <w:spacing w:val="-2"/>
          <w:sz w:val="20"/>
          <w:szCs w:val="20"/>
          <w:lang w:val="es-AR"/>
        </w:rPr>
        <w:t xml:space="preserve"> </w:t>
      </w:r>
      <w:r w:rsidRPr="00EA7870">
        <w:rPr>
          <w:spacing w:val="-2"/>
          <w:sz w:val="20"/>
          <w:szCs w:val="20"/>
          <w:lang w:val="es-AR"/>
        </w:rPr>
        <w:t>adoptaran</w:t>
      </w:r>
      <w:r w:rsidR="001A28B3" w:rsidRPr="00EA7870">
        <w:rPr>
          <w:spacing w:val="-2"/>
          <w:sz w:val="20"/>
          <w:szCs w:val="20"/>
          <w:lang w:val="es-AR"/>
        </w:rPr>
        <w:t xml:space="preserve"> </w:t>
      </w:r>
      <w:r w:rsidRPr="00EA7870">
        <w:rPr>
          <w:spacing w:val="-2"/>
          <w:sz w:val="20"/>
          <w:szCs w:val="20"/>
          <w:lang w:val="es-AR"/>
        </w:rPr>
        <w:t>cualquier</w:t>
      </w:r>
      <w:r w:rsidR="001A28B3" w:rsidRPr="00EA7870">
        <w:rPr>
          <w:spacing w:val="-2"/>
          <w:sz w:val="20"/>
          <w:szCs w:val="20"/>
          <w:lang w:val="es-AR"/>
        </w:rPr>
        <w:t xml:space="preserve"> </w:t>
      </w:r>
      <w:r w:rsidRPr="00EA7870">
        <w:rPr>
          <w:spacing w:val="-2"/>
          <w:sz w:val="20"/>
          <w:szCs w:val="20"/>
          <w:lang w:val="es-AR"/>
        </w:rPr>
        <w:t>medida</w:t>
      </w:r>
      <w:r w:rsidR="001A28B3" w:rsidRPr="00EA7870">
        <w:rPr>
          <w:spacing w:val="-2"/>
          <w:sz w:val="20"/>
          <w:szCs w:val="20"/>
          <w:lang w:val="es-AR"/>
        </w:rPr>
        <w:t xml:space="preserve"> </w:t>
      </w:r>
      <w:r w:rsidRPr="00EA7870">
        <w:rPr>
          <w:spacing w:val="-2"/>
          <w:sz w:val="20"/>
          <w:szCs w:val="20"/>
          <w:lang w:val="es-AR"/>
        </w:rPr>
        <w:t>societaria</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los</w:t>
      </w:r>
      <w:r w:rsidR="001A28B3" w:rsidRPr="00EA7870">
        <w:rPr>
          <w:spacing w:val="-2"/>
          <w:sz w:val="20"/>
          <w:szCs w:val="20"/>
          <w:lang w:val="es-AR"/>
        </w:rPr>
        <w:t xml:space="preserve"> </w:t>
      </w:r>
      <w:r w:rsidRPr="00EA7870">
        <w:rPr>
          <w:spacing w:val="-2"/>
          <w:sz w:val="20"/>
          <w:szCs w:val="20"/>
          <w:lang w:val="es-AR"/>
        </w:rPr>
        <w:t>fines</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dar</w:t>
      </w:r>
      <w:r w:rsidR="001A28B3" w:rsidRPr="00EA7870">
        <w:rPr>
          <w:spacing w:val="-2"/>
          <w:sz w:val="20"/>
          <w:szCs w:val="20"/>
          <w:lang w:val="es-AR"/>
        </w:rPr>
        <w:t xml:space="preserve"> </w:t>
      </w:r>
      <w:r w:rsidRPr="00EA7870">
        <w:rPr>
          <w:spacing w:val="-2"/>
          <w:sz w:val="20"/>
          <w:szCs w:val="20"/>
          <w:lang w:val="es-AR"/>
        </w:rPr>
        <w:t>efecto</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cualquiera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las</w:t>
      </w:r>
      <w:r w:rsidR="001A28B3" w:rsidRPr="00EA7870">
        <w:rPr>
          <w:spacing w:val="-2"/>
          <w:sz w:val="20"/>
          <w:szCs w:val="20"/>
          <w:lang w:val="es-AR"/>
        </w:rPr>
        <w:t xml:space="preserve"> </w:t>
      </w:r>
      <w:r w:rsidRPr="00EA7870">
        <w:rPr>
          <w:spacing w:val="-2"/>
          <w:sz w:val="20"/>
          <w:szCs w:val="20"/>
          <w:lang w:val="es-AR"/>
        </w:rPr>
        <w:t>cuestiones</w:t>
      </w:r>
      <w:r w:rsidR="001A28B3" w:rsidRPr="00EA7870">
        <w:rPr>
          <w:spacing w:val="-2"/>
          <w:sz w:val="20"/>
          <w:szCs w:val="20"/>
          <w:lang w:val="es-AR"/>
        </w:rPr>
        <w:t xml:space="preserve"> </w:t>
      </w:r>
      <w:r w:rsidRPr="00EA7870">
        <w:rPr>
          <w:spacing w:val="-2"/>
          <w:sz w:val="20"/>
          <w:szCs w:val="20"/>
          <w:lang w:val="es-AR"/>
        </w:rPr>
        <w:t>antedichas</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supuestos</w:t>
      </w:r>
      <w:r w:rsidR="001A28B3" w:rsidRPr="00EA7870">
        <w:rPr>
          <w:spacing w:val="-2"/>
          <w:sz w:val="20"/>
          <w:szCs w:val="20"/>
          <w:lang w:val="es-AR"/>
        </w:rPr>
        <w:t xml:space="preserve"> </w:t>
      </w:r>
      <w:r w:rsidRPr="00EA7870">
        <w:rPr>
          <w:spacing w:val="-2"/>
          <w:sz w:val="20"/>
          <w:szCs w:val="20"/>
          <w:lang w:val="es-AR"/>
        </w:rPr>
        <w:t>equivalentes</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virtud</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las</w:t>
      </w:r>
      <w:r w:rsidR="001A28B3" w:rsidRPr="00EA7870">
        <w:rPr>
          <w:spacing w:val="-2"/>
          <w:sz w:val="20"/>
          <w:szCs w:val="20"/>
          <w:lang w:val="es-AR"/>
        </w:rPr>
        <w:t xml:space="preserve"> </w:t>
      </w:r>
      <w:r w:rsidRPr="00EA7870">
        <w:rPr>
          <w:spacing w:val="-2"/>
          <w:sz w:val="20"/>
          <w:szCs w:val="20"/>
          <w:lang w:val="es-AR"/>
        </w:rPr>
        <w:t>leyes</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Argentina;</w:t>
      </w:r>
      <w:r w:rsidR="001A28B3" w:rsidRPr="00EA7870">
        <w:rPr>
          <w:spacing w:val="-2"/>
          <w:sz w:val="20"/>
          <w:szCs w:val="20"/>
          <w:lang w:val="es-AR"/>
        </w:rPr>
        <w:t xml:space="preserve"> </w:t>
      </w:r>
    </w:p>
    <w:p w14:paraId="434D3DBD" w14:textId="77777777" w:rsidR="00376725" w:rsidRPr="00EA7870" w:rsidRDefault="00376725" w:rsidP="00376725">
      <w:pPr>
        <w:tabs>
          <w:tab w:val="left" w:pos="0"/>
        </w:tabs>
        <w:ind w:firstLine="709"/>
        <w:jc w:val="both"/>
        <w:rPr>
          <w:spacing w:val="-2"/>
          <w:sz w:val="20"/>
          <w:szCs w:val="20"/>
          <w:lang w:val="es-AR"/>
        </w:rPr>
      </w:pPr>
    </w:p>
    <w:p w14:paraId="05464731" w14:textId="77777777" w:rsidR="00376725" w:rsidRPr="00EA7870" w:rsidRDefault="00376725" w:rsidP="00376725">
      <w:pPr>
        <w:tabs>
          <w:tab w:val="left" w:pos="0"/>
        </w:tabs>
        <w:ind w:firstLine="709"/>
        <w:jc w:val="both"/>
        <w:rPr>
          <w:spacing w:val="-2"/>
          <w:sz w:val="20"/>
          <w:szCs w:val="20"/>
          <w:lang w:val="es-AR"/>
        </w:rPr>
      </w:pPr>
      <w:r w:rsidRPr="00EA7870">
        <w:rPr>
          <w:spacing w:val="-2"/>
          <w:sz w:val="20"/>
          <w:szCs w:val="20"/>
          <w:lang w:val="es-AR"/>
        </w:rPr>
        <w:t>(vii)</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juez</w:t>
      </w:r>
      <w:r w:rsidR="001A28B3" w:rsidRPr="00EA7870">
        <w:rPr>
          <w:spacing w:val="-2"/>
          <w:sz w:val="20"/>
          <w:szCs w:val="20"/>
          <w:lang w:val="es-AR"/>
        </w:rPr>
        <w:t xml:space="preserve"> </w:t>
      </w:r>
      <w:r w:rsidRPr="00EA7870">
        <w:rPr>
          <w:spacing w:val="-2"/>
          <w:sz w:val="20"/>
          <w:szCs w:val="20"/>
          <w:lang w:val="es-AR"/>
        </w:rPr>
        <w:t>competente</w:t>
      </w:r>
      <w:r w:rsidR="001A28B3" w:rsidRPr="00EA7870">
        <w:rPr>
          <w:spacing w:val="-2"/>
          <w:sz w:val="20"/>
          <w:szCs w:val="20"/>
          <w:lang w:val="es-AR"/>
        </w:rPr>
        <w:t xml:space="preserve"> </w:t>
      </w:r>
      <w:r w:rsidRPr="00EA7870">
        <w:rPr>
          <w:spacing w:val="-2"/>
          <w:sz w:val="20"/>
          <w:szCs w:val="20"/>
          <w:lang w:val="es-AR"/>
        </w:rPr>
        <w:t>dispusiera</w:t>
      </w:r>
      <w:r w:rsidR="001A28B3" w:rsidRPr="00EA7870">
        <w:rPr>
          <w:spacing w:val="-2"/>
          <w:sz w:val="20"/>
          <w:szCs w:val="20"/>
          <w:lang w:val="es-AR"/>
        </w:rPr>
        <w:t xml:space="preserve"> </w:t>
      </w:r>
      <w:r w:rsidRPr="00EA7870">
        <w:rPr>
          <w:spacing w:val="-2"/>
          <w:sz w:val="20"/>
          <w:szCs w:val="20"/>
          <w:lang w:val="es-AR"/>
        </w:rPr>
        <w:t>una</w:t>
      </w:r>
      <w:r w:rsidR="001A28B3" w:rsidRPr="00EA7870">
        <w:rPr>
          <w:spacing w:val="-2"/>
          <w:sz w:val="20"/>
          <w:szCs w:val="20"/>
          <w:lang w:val="es-AR"/>
        </w:rPr>
        <w:t xml:space="preserve"> </w:t>
      </w:r>
      <w:r w:rsidRPr="00EA7870">
        <w:rPr>
          <w:spacing w:val="-2"/>
          <w:sz w:val="20"/>
          <w:szCs w:val="20"/>
          <w:lang w:val="es-AR"/>
        </w:rPr>
        <w:t>orden,</w:t>
      </w:r>
      <w:r w:rsidR="001A28B3" w:rsidRPr="00EA7870">
        <w:rPr>
          <w:spacing w:val="-2"/>
          <w:sz w:val="20"/>
          <w:szCs w:val="20"/>
          <w:lang w:val="es-AR"/>
        </w:rPr>
        <w:t xml:space="preserve"> </w:t>
      </w:r>
      <w:r w:rsidRPr="00EA7870">
        <w:rPr>
          <w:spacing w:val="-2"/>
          <w:sz w:val="20"/>
          <w:szCs w:val="20"/>
          <w:lang w:val="es-AR"/>
        </w:rPr>
        <w:t>sentencia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fallo</w:t>
      </w:r>
      <w:r w:rsidR="001A28B3" w:rsidRPr="00EA7870">
        <w:rPr>
          <w:spacing w:val="-2"/>
          <w:sz w:val="20"/>
          <w:szCs w:val="20"/>
          <w:lang w:val="es-AR"/>
        </w:rPr>
        <w:t xml:space="preserve"> </w:t>
      </w:r>
      <w:r w:rsidRPr="00EA7870">
        <w:rPr>
          <w:spacing w:val="-2"/>
          <w:sz w:val="20"/>
          <w:szCs w:val="20"/>
          <w:lang w:val="es-AR"/>
        </w:rPr>
        <w:t>para</w:t>
      </w:r>
      <w:r w:rsidR="001A28B3" w:rsidRPr="00EA7870">
        <w:rPr>
          <w:spacing w:val="-2"/>
          <w:sz w:val="20"/>
          <w:szCs w:val="20"/>
          <w:lang w:val="es-AR"/>
        </w:rPr>
        <w:t xml:space="preserve"> </w:t>
      </w:r>
      <w:r w:rsidRPr="00EA7870">
        <w:rPr>
          <w:spacing w:val="-2"/>
          <w:sz w:val="20"/>
          <w:szCs w:val="20"/>
          <w:lang w:val="es-AR"/>
        </w:rPr>
        <w:t>declarar</w:t>
      </w:r>
      <w:r w:rsidR="001A28B3" w:rsidRPr="00EA7870">
        <w:rPr>
          <w:spacing w:val="-2"/>
          <w:sz w:val="20"/>
          <w:szCs w:val="20"/>
          <w:lang w:val="es-AR"/>
        </w:rPr>
        <w:t xml:space="preserve"> </w:t>
      </w:r>
      <w:r w:rsidRPr="00EA7870">
        <w:rPr>
          <w:spacing w:val="-2"/>
          <w:sz w:val="20"/>
          <w:szCs w:val="20"/>
          <w:lang w:val="es-AR"/>
        </w:rPr>
        <w:t>su</w:t>
      </w:r>
      <w:r w:rsidR="001A28B3" w:rsidRPr="00EA7870">
        <w:rPr>
          <w:spacing w:val="-2"/>
          <w:sz w:val="20"/>
          <w:szCs w:val="20"/>
          <w:lang w:val="es-AR"/>
        </w:rPr>
        <w:t xml:space="preserve"> </w:t>
      </w:r>
      <w:r w:rsidRPr="00EA7870">
        <w:rPr>
          <w:spacing w:val="-2"/>
          <w:sz w:val="20"/>
          <w:szCs w:val="20"/>
          <w:lang w:val="es-AR"/>
        </w:rPr>
        <w:t>quiebra,</w:t>
      </w:r>
      <w:r w:rsidR="001A28B3" w:rsidRPr="00EA7870">
        <w:rPr>
          <w:spacing w:val="-2"/>
          <w:sz w:val="20"/>
          <w:szCs w:val="20"/>
          <w:lang w:val="es-AR"/>
        </w:rPr>
        <w:t xml:space="preserve"> </w:t>
      </w:r>
      <w:r w:rsidRPr="00EA7870">
        <w:rPr>
          <w:spacing w:val="-2"/>
          <w:sz w:val="20"/>
          <w:szCs w:val="20"/>
          <w:lang w:val="es-AR"/>
        </w:rPr>
        <w:t>reestructuración,</w:t>
      </w:r>
      <w:r w:rsidR="001A28B3" w:rsidRPr="00EA7870">
        <w:rPr>
          <w:spacing w:val="-2"/>
          <w:sz w:val="20"/>
          <w:szCs w:val="20"/>
          <w:lang w:val="es-AR"/>
        </w:rPr>
        <w:t xml:space="preserve"> </w:t>
      </w:r>
      <w:r w:rsidRPr="00EA7870">
        <w:rPr>
          <w:spacing w:val="-2"/>
          <w:sz w:val="20"/>
          <w:szCs w:val="20"/>
          <w:lang w:val="es-AR"/>
        </w:rPr>
        <w:t>disolución,</w:t>
      </w:r>
      <w:r w:rsidR="001A28B3" w:rsidRPr="00EA7870">
        <w:rPr>
          <w:spacing w:val="-2"/>
          <w:sz w:val="20"/>
          <w:szCs w:val="20"/>
          <w:lang w:val="es-AR"/>
        </w:rPr>
        <w:t xml:space="preserve"> </w:t>
      </w:r>
      <w:r w:rsidRPr="00EA7870">
        <w:rPr>
          <w:spacing w:val="-2"/>
          <w:sz w:val="20"/>
          <w:szCs w:val="20"/>
          <w:lang w:val="es-AR"/>
        </w:rPr>
        <w:t>liquidación,</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designación</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síndico,</w:t>
      </w:r>
      <w:r w:rsidR="001A28B3" w:rsidRPr="00EA7870">
        <w:rPr>
          <w:spacing w:val="-2"/>
          <w:sz w:val="20"/>
          <w:szCs w:val="20"/>
          <w:lang w:val="es-AR"/>
        </w:rPr>
        <w:t xml:space="preserve"> </w:t>
      </w:r>
      <w:r w:rsidRPr="00EA7870">
        <w:rPr>
          <w:spacing w:val="-2"/>
          <w:sz w:val="20"/>
          <w:szCs w:val="20"/>
          <w:lang w:val="es-AR"/>
        </w:rPr>
        <w:t>depositario,</w:t>
      </w:r>
      <w:r w:rsidR="001A28B3" w:rsidRPr="00EA7870">
        <w:rPr>
          <w:spacing w:val="-2"/>
          <w:sz w:val="20"/>
          <w:szCs w:val="20"/>
          <w:lang w:val="es-AR"/>
        </w:rPr>
        <w:t xml:space="preserve"> </w:t>
      </w:r>
      <w:r w:rsidRPr="00EA7870">
        <w:rPr>
          <w:spacing w:val="-2"/>
          <w:sz w:val="20"/>
          <w:szCs w:val="20"/>
          <w:lang w:val="es-AR"/>
        </w:rPr>
        <w:t>liquidador</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funcionario</w:t>
      </w:r>
      <w:r w:rsidR="001A28B3" w:rsidRPr="00EA7870">
        <w:rPr>
          <w:spacing w:val="-2"/>
          <w:sz w:val="20"/>
          <w:szCs w:val="20"/>
          <w:lang w:val="es-AR"/>
        </w:rPr>
        <w:t xml:space="preserve"> </w:t>
      </w:r>
      <w:r w:rsidRPr="00EA7870">
        <w:rPr>
          <w:spacing w:val="-2"/>
          <w:sz w:val="20"/>
          <w:szCs w:val="20"/>
          <w:lang w:val="es-AR"/>
        </w:rPr>
        <w:t>similar</w:t>
      </w:r>
      <w:r w:rsidR="001A28B3" w:rsidRPr="00EA7870">
        <w:rPr>
          <w:spacing w:val="-2"/>
          <w:sz w:val="20"/>
          <w:szCs w:val="20"/>
          <w:lang w:val="es-AR"/>
        </w:rPr>
        <w:t xml:space="preserve"> </w:t>
      </w:r>
      <w:r w:rsidRPr="00EA7870">
        <w:rPr>
          <w:spacing w:val="-2"/>
          <w:sz w:val="20"/>
          <w:szCs w:val="20"/>
          <w:lang w:val="es-AR"/>
        </w:rPr>
        <w:t>para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respecto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totalidad</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sustancialmente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totalidad</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sus</w:t>
      </w:r>
      <w:r w:rsidR="001A28B3" w:rsidRPr="00EA7870">
        <w:rPr>
          <w:spacing w:val="-2"/>
          <w:sz w:val="20"/>
          <w:szCs w:val="20"/>
          <w:lang w:val="es-AR"/>
        </w:rPr>
        <w:t xml:space="preserve"> </w:t>
      </w:r>
      <w:r w:rsidRPr="00EA7870">
        <w:rPr>
          <w:spacing w:val="-2"/>
          <w:sz w:val="20"/>
          <w:szCs w:val="20"/>
          <w:lang w:val="es-AR"/>
        </w:rPr>
        <w:t>activos</w:t>
      </w:r>
      <w:r w:rsidR="001A28B3" w:rsidRPr="00EA7870">
        <w:rPr>
          <w:spacing w:val="-2"/>
          <w:sz w:val="20"/>
          <w:szCs w:val="20"/>
          <w:lang w:val="es-AR"/>
        </w:rPr>
        <w:t xml:space="preserve"> </w:t>
      </w:r>
      <w:r w:rsidRPr="00EA7870">
        <w:rPr>
          <w:spacing w:val="-2"/>
          <w:sz w:val="20"/>
          <w:szCs w:val="20"/>
          <w:lang w:val="es-AR"/>
        </w:rPr>
        <w:t>u</w:t>
      </w:r>
      <w:r w:rsidR="001A28B3" w:rsidRPr="00EA7870">
        <w:rPr>
          <w:spacing w:val="-2"/>
          <w:sz w:val="20"/>
          <w:szCs w:val="20"/>
          <w:lang w:val="es-AR"/>
        </w:rPr>
        <w:t xml:space="preserve"> </w:t>
      </w:r>
      <w:r w:rsidRPr="00EA7870">
        <w:rPr>
          <w:spacing w:val="-2"/>
          <w:sz w:val="20"/>
          <w:szCs w:val="20"/>
          <w:lang w:val="es-AR"/>
        </w:rPr>
        <w:t>otro</w:t>
      </w:r>
      <w:r w:rsidR="001A28B3" w:rsidRPr="00EA7870">
        <w:rPr>
          <w:spacing w:val="-2"/>
          <w:sz w:val="20"/>
          <w:szCs w:val="20"/>
          <w:lang w:val="es-AR"/>
        </w:rPr>
        <w:t xml:space="preserve"> </w:t>
      </w:r>
      <w:r w:rsidRPr="00EA7870">
        <w:rPr>
          <w:spacing w:val="-2"/>
          <w:sz w:val="20"/>
          <w:szCs w:val="20"/>
          <w:lang w:val="es-AR"/>
        </w:rPr>
        <w:t>recurso</w:t>
      </w:r>
      <w:r w:rsidR="001A28B3" w:rsidRPr="00EA7870">
        <w:rPr>
          <w:spacing w:val="-2"/>
          <w:sz w:val="20"/>
          <w:szCs w:val="20"/>
          <w:lang w:val="es-AR"/>
        </w:rPr>
        <w:t xml:space="preserve"> </w:t>
      </w:r>
      <w:r w:rsidRPr="00EA7870">
        <w:rPr>
          <w:spacing w:val="-2"/>
          <w:sz w:val="20"/>
          <w:szCs w:val="20"/>
          <w:lang w:val="es-AR"/>
        </w:rPr>
        <w:t>similar</w:t>
      </w:r>
      <w:r w:rsidR="001A28B3" w:rsidRPr="00EA7870">
        <w:rPr>
          <w:spacing w:val="-2"/>
          <w:sz w:val="20"/>
          <w:szCs w:val="20"/>
          <w:lang w:val="es-AR"/>
        </w:rPr>
        <w:t xml:space="preserve"> </w:t>
      </w:r>
      <w:r w:rsidRPr="00EA7870">
        <w:rPr>
          <w:spacing w:val="-2"/>
          <w:sz w:val="20"/>
          <w:szCs w:val="20"/>
          <w:lang w:val="es-AR"/>
        </w:rPr>
        <w:t>respecto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conforme</w:t>
      </w:r>
      <w:r w:rsidR="001A28B3" w:rsidRPr="00EA7870">
        <w:rPr>
          <w:spacing w:val="-2"/>
          <w:sz w:val="20"/>
          <w:szCs w:val="20"/>
          <w:lang w:val="es-AR"/>
        </w:rPr>
        <w:t xml:space="preserve"> </w:t>
      </w:r>
      <w:r w:rsidRPr="00EA7870">
        <w:rPr>
          <w:spacing w:val="-2"/>
          <w:sz w:val="20"/>
          <w:szCs w:val="20"/>
          <w:lang w:val="es-AR"/>
        </w:rPr>
        <w:t>a</w:t>
      </w:r>
      <w:r w:rsidR="001A28B3" w:rsidRPr="00EA7870">
        <w:rPr>
          <w:spacing w:val="-2"/>
          <w:sz w:val="20"/>
          <w:szCs w:val="20"/>
          <w:lang w:val="es-AR"/>
        </w:rPr>
        <w:t xml:space="preserve"> </w:t>
      </w:r>
      <w:r w:rsidRPr="00EA7870">
        <w:rPr>
          <w:spacing w:val="-2"/>
          <w:sz w:val="20"/>
          <w:szCs w:val="20"/>
          <w:lang w:val="es-AR"/>
        </w:rPr>
        <w:t>cualquier</w:t>
      </w:r>
      <w:r w:rsidR="001A28B3" w:rsidRPr="00EA7870">
        <w:rPr>
          <w:spacing w:val="-2"/>
          <w:sz w:val="20"/>
          <w:szCs w:val="20"/>
          <w:lang w:val="es-AR"/>
        </w:rPr>
        <w:t xml:space="preserve"> </w:t>
      </w:r>
      <w:r w:rsidRPr="00EA7870">
        <w:rPr>
          <w:spacing w:val="-2"/>
          <w:sz w:val="20"/>
          <w:szCs w:val="20"/>
          <w:lang w:val="es-AR"/>
        </w:rPr>
        <w:t>ley</w:t>
      </w:r>
      <w:r w:rsidR="001A28B3" w:rsidRPr="00EA7870">
        <w:rPr>
          <w:spacing w:val="-2"/>
          <w:sz w:val="20"/>
          <w:szCs w:val="20"/>
          <w:lang w:val="es-AR"/>
        </w:rPr>
        <w:t xml:space="preserve"> </w:t>
      </w:r>
      <w:r w:rsidRPr="00EA7870">
        <w:rPr>
          <w:spacing w:val="-2"/>
          <w:sz w:val="20"/>
          <w:szCs w:val="20"/>
          <w:lang w:val="es-AR"/>
        </w:rPr>
        <w:t>aplicable</w:t>
      </w:r>
      <w:r w:rsidR="001A28B3" w:rsidRPr="00EA7870">
        <w:rPr>
          <w:spacing w:val="-2"/>
          <w:sz w:val="20"/>
          <w:szCs w:val="20"/>
          <w:lang w:val="es-AR"/>
        </w:rPr>
        <w:t xml:space="preserve"> </w:t>
      </w:r>
      <w:r w:rsidRPr="00EA7870">
        <w:rPr>
          <w:spacing w:val="-2"/>
          <w:sz w:val="20"/>
          <w:szCs w:val="20"/>
          <w:lang w:val="es-AR"/>
        </w:rPr>
        <w:t>sobre</w:t>
      </w:r>
      <w:r w:rsidR="001A28B3" w:rsidRPr="00EA7870">
        <w:rPr>
          <w:spacing w:val="-2"/>
          <w:sz w:val="20"/>
          <w:szCs w:val="20"/>
          <w:lang w:val="es-AR"/>
        </w:rPr>
        <w:t xml:space="preserve"> </w:t>
      </w:r>
      <w:r w:rsidRPr="00EA7870">
        <w:rPr>
          <w:spacing w:val="-2"/>
          <w:sz w:val="20"/>
          <w:szCs w:val="20"/>
          <w:lang w:val="es-AR"/>
        </w:rPr>
        <w:t>quiebras</w:t>
      </w:r>
      <w:r w:rsidR="001A28B3" w:rsidRPr="00EA7870">
        <w:rPr>
          <w:spacing w:val="-2"/>
          <w:sz w:val="20"/>
          <w:szCs w:val="20"/>
          <w:lang w:val="es-AR"/>
        </w:rPr>
        <w:t xml:space="preserve"> </w:t>
      </w:r>
      <w:r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concursos</w:t>
      </w:r>
      <w:r w:rsidR="001A28B3" w:rsidRPr="00EA7870">
        <w:rPr>
          <w:spacing w:val="-2"/>
          <w:sz w:val="20"/>
          <w:szCs w:val="20"/>
          <w:lang w:val="es-AR"/>
        </w:rPr>
        <w:t xml:space="preserve"> </w:t>
      </w:r>
      <w:r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dicha</w:t>
      </w:r>
      <w:r w:rsidR="001A28B3" w:rsidRPr="00EA7870">
        <w:rPr>
          <w:spacing w:val="-2"/>
          <w:sz w:val="20"/>
          <w:szCs w:val="20"/>
          <w:lang w:val="es-AR"/>
        </w:rPr>
        <w:t xml:space="preserve"> </w:t>
      </w:r>
      <w:r w:rsidRPr="00EA7870">
        <w:rPr>
          <w:spacing w:val="-2"/>
          <w:sz w:val="20"/>
          <w:szCs w:val="20"/>
          <w:lang w:val="es-AR"/>
        </w:rPr>
        <w:t>orden,</w:t>
      </w:r>
      <w:r w:rsidR="001A28B3" w:rsidRPr="00EA7870">
        <w:rPr>
          <w:spacing w:val="-2"/>
          <w:sz w:val="20"/>
          <w:szCs w:val="20"/>
          <w:lang w:val="es-AR"/>
        </w:rPr>
        <w:t xml:space="preserve"> </w:t>
      </w:r>
      <w:r w:rsidRPr="00EA7870">
        <w:rPr>
          <w:spacing w:val="-2"/>
          <w:sz w:val="20"/>
          <w:szCs w:val="20"/>
          <w:lang w:val="es-AR"/>
        </w:rPr>
        <w:t>sentencia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fallo</w:t>
      </w:r>
      <w:r w:rsidR="001A28B3" w:rsidRPr="00EA7870">
        <w:rPr>
          <w:spacing w:val="-2"/>
          <w:sz w:val="20"/>
          <w:szCs w:val="20"/>
          <w:lang w:val="es-AR"/>
        </w:rPr>
        <w:t xml:space="preserve"> </w:t>
      </w:r>
      <w:r w:rsidRPr="00EA7870">
        <w:rPr>
          <w:spacing w:val="-2"/>
          <w:sz w:val="20"/>
          <w:szCs w:val="20"/>
          <w:lang w:val="es-AR"/>
        </w:rPr>
        <w:t>no</w:t>
      </w:r>
      <w:r w:rsidR="001A28B3" w:rsidRPr="00EA7870">
        <w:rPr>
          <w:spacing w:val="-2"/>
          <w:sz w:val="20"/>
          <w:szCs w:val="20"/>
          <w:lang w:val="es-AR"/>
        </w:rPr>
        <w:t xml:space="preserve"> </w:t>
      </w:r>
      <w:r w:rsidRPr="00EA7870">
        <w:rPr>
          <w:spacing w:val="-2"/>
          <w:sz w:val="20"/>
          <w:szCs w:val="20"/>
          <w:lang w:val="es-AR"/>
        </w:rPr>
        <w:t>fuera</w:t>
      </w:r>
      <w:r w:rsidR="001A28B3" w:rsidRPr="00EA7870">
        <w:rPr>
          <w:spacing w:val="-2"/>
          <w:sz w:val="20"/>
          <w:szCs w:val="20"/>
          <w:lang w:val="es-AR"/>
        </w:rPr>
        <w:t xml:space="preserve"> </w:t>
      </w:r>
      <w:r w:rsidRPr="00EA7870">
        <w:rPr>
          <w:spacing w:val="-2"/>
          <w:sz w:val="20"/>
          <w:szCs w:val="20"/>
          <w:lang w:val="es-AR"/>
        </w:rPr>
        <w:t>suspendido</w:t>
      </w:r>
      <w:r w:rsidR="001A28B3" w:rsidRPr="00EA7870">
        <w:rPr>
          <w:spacing w:val="-2"/>
          <w:sz w:val="20"/>
          <w:szCs w:val="20"/>
          <w:lang w:val="es-AR"/>
        </w:rPr>
        <w:t xml:space="preserve"> </w:t>
      </w:r>
      <w:r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continuara</w:t>
      </w:r>
      <w:r w:rsidR="001A28B3" w:rsidRPr="00EA7870">
        <w:rPr>
          <w:spacing w:val="-2"/>
          <w:sz w:val="20"/>
          <w:szCs w:val="20"/>
          <w:lang w:val="es-AR"/>
        </w:rPr>
        <w:t xml:space="preserve"> </w:t>
      </w:r>
      <w:r w:rsidRPr="00EA7870">
        <w:rPr>
          <w:spacing w:val="-2"/>
          <w:sz w:val="20"/>
          <w:szCs w:val="20"/>
          <w:lang w:val="es-AR"/>
        </w:rPr>
        <w:t>vigente</w:t>
      </w:r>
      <w:r w:rsidR="001A28B3" w:rsidRPr="00EA7870">
        <w:rPr>
          <w:spacing w:val="-2"/>
          <w:sz w:val="20"/>
          <w:szCs w:val="20"/>
          <w:lang w:val="es-AR"/>
        </w:rPr>
        <w:t xml:space="preserve"> </w:t>
      </w:r>
      <w:r w:rsidRPr="00EA7870">
        <w:rPr>
          <w:spacing w:val="-2"/>
          <w:sz w:val="20"/>
          <w:szCs w:val="20"/>
          <w:lang w:val="es-AR"/>
        </w:rPr>
        <w:t>por</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período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90</w:t>
      </w:r>
      <w:r w:rsidR="001A28B3" w:rsidRPr="00EA7870">
        <w:rPr>
          <w:spacing w:val="-2"/>
          <w:sz w:val="20"/>
          <w:szCs w:val="20"/>
          <w:lang w:val="es-AR"/>
        </w:rPr>
        <w:t xml:space="preserve"> </w:t>
      </w:r>
      <w:r w:rsidRPr="00EA7870">
        <w:rPr>
          <w:spacing w:val="-2"/>
          <w:sz w:val="20"/>
          <w:szCs w:val="20"/>
          <w:lang w:val="es-AR"/>
        </w:rPr>
        <w:t>días</w:t>
      </w:r>
      <w:r w:rsidR="001A28B3" w:rsidRPr="00EA7870">
        <w:rPr>
          <w:spacing w:val="-2"/>
          <w:sz w:val="20"/>
          <w:szCs w:val="20"/>
          <w:lang w:val="es-AR"/>
        </w:rPr>
        <w:t xml:space="preserve"> </w:t>
      </w:r>
      <w:r w:rsidRPr="00EA7870">
        <w:rPr>
          <w:spacing w:val="-2"/>
          <w:sz w:val="20"/>
          <w:szCs w:val="20"/>
          <w:lang w:val="es-AR"/>
        </w:rPr>
        <w:t>corridos;</w:t>
      </w:r>
    </w:p>
    <w:p w14:paraId="7425D9DF" w14:textId="77777777" w:rsidR="00050BFF" w:rsidRPr="00EA7870" w:rsidRDefault="00050BFF" w:rsidP="00376725">
      <w:pPr>
        <w:tabs>
          <w:tab w:val="left" w:pos="0"/>
        </w:tabs>
        <w:ind w:firstLine="709"/>
        <w:jc w:val="both"/>
        <w:rPr>
          <w:spacing w:val="-2"/>
          <w:sz w:val="20"/>
          <w:szCs w:val="20"/>
          <w:lang w:val="es-AR"/>
        </w:rPr>
      </w:pPr>
    </w:p>
    <w:p w14:paraId="6B242D41" w14:textId="77777777" w:rsidR="00376725" w:rsidRPr="00EA7870" w:rsidRDefault="00376725" w:rsidP="00376725">
      <w:pPr>
        <w:tabs>
          <w:tab w:val="left" w:pos="0"/>
        </w:tabs>
        <w:ind w:firstLine="709"/>
        <w:jc w:val="both"/>
        <w:rPr>
          <w:spacing w:val="-2"/>
          <w:sz w:val="20"/>
          <w:szCs w:val="20"/>
          <w:lang w:val="es-AR"/>
        </w:rPr>
      </w:pPr>
      <w:r w:rsidRPr="00EA7870">
        <w:rPr>
          <w:spacing w:val="-2"/>
          <w:sz w:val="20"/>
          <w:szCs w:val="20"/>
          <w:lang w:val="es-AR"/>
        </w:rPr>
        <w:t>(viii)</w:t>
      </w:r>
      <w:r w:rsidR="001A28B3" w:rsidRPr="00EA7870">
        <w:rPr>
          <w:spacing w:val="-2"/>
          <w:sz w:val="20"/>
          <w:szCs w:val="20"/>
          <w:lang w:val="es-AR"/>
        </w:rPr>
        <w:t xml:space="preserve"> </w:t>
      </w:r>
      <w:r w:rsidRPr="00EA7870">
        <w:rPr>
          <w:spacing w:val="-2"/>
          <w:sz w:val="20"/>
          <w:szCs w:val="20"/>
          <w:lang w:val="es-AR"/>
        </w:rPr>
        <w:t>se</w:t>
      </w:r>
      <w:r w:rsidR="001A28B3" w:rsidRPr="00EA7870">
        <w:rPr>
          <w:spacing w:val="-2"/>
          <w:sz w:val="20"/>
          <w:szCs w:val="20"/>
          <w:lang w:val="es-AR"/>
        </w:rPr>
        <w:t xml:space="preserve"> </w:t>
      </w:r>
      <w:r w:rsidRPr="00EA7870">
        <w:rPr>
          <w:spacing w:val="-2"/>
          <w:sz w:val="20"/>
          <w:szCs w:val="20"/>
          <w:lang w:val="es-AR"/>
        </w:rPr>
        <w:t>tornara</w:t>
      </w:r>
      <w:r w:rsidR="001A28B3" w:rsidRPr="00EA7870">
        <w:rPr>
          <w:spacing w:val="-2"/>
          <w:sz w:val="20"/>
          <w:szCs w:val="20"/>
          <w:lang w:val="es-AR"/>
        </w:rPr>
        <w:t xml:space="preserve"> </w:t>
      </w:r>
      <w:r w:rsidRPr="00EA7870">
        <w:rPr>
          <w:spacing w:val="-2"/>
          <w:sz w:val="20"/>
          <w:szCs w:val="20"/>
          <w:lang w:val="es-AR"/>
        </w:rPr>
        <w:t>ilícito</w:t>
      </w:r>
      <w:r w:rsidR="001A28B3" w:rsidRPr="00EA7870">
        <w:rPr>
          <w:spacing w:val="-2"/>
          <w:sz w:val="20"/>
          <w:szCs w:val="20"/>
          <w:lang w:val="es-AR"/>
        </w:rPr>
        <w:t xml:space="preserve"> </w:t>
      </w:r>
      <w:r w:rsidRPr="00EA7870">
        <w:rPr>
          <w:spacing w:val="-2"/>
          <w:sz w:val="20"/>
          <w:szCs w:val="20"/>
          <w:lang w:val="es-AR"/>
        </w:rPr>
        <w:t>para</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realizar</w:t>
      </w:r>
      <w:r w:rsidR="001A28B3" w:rsidRPr="00EA7870">
        <w:rPr>
          <w:spacing w:val="-2"/>
          <w:sz w:val="20"/>
          <w:szCs w:val="20"/>
          <w:lang w:val="es-AR"/>
        </w:rPr>
        <w:t xml:space="preserve"> </w:t>
      </w:r>
      <w:r w:rsidRPr="00EA7870">
        <w:rPr>
          <w:spacing w:val="-2"/>
          <w:sz w:val="20"/>
          <w:szCs w:val="20"/>
          <w:lang w:val="es-AR"/>
        </w:rPr>
        <w:t>los</w:t>
      </w:r>
      <w:r w:rsidR="001A28B3" w:rsidRPr="00EA7870">
        <w:rPr>
          <w:spacing w:val="-2"/>
          <w:sz w:val="20"/>
          <w:szCs w:val="20"/>
          <w:lang w:val="es-AR"/>
        </w:rPr>
        <w:t xml:space="preserve"> </w:t>
      </w:r>
      <w:r w:rsidRPr="00EA7870">
        <w:rPr>
          <w:spacing w:val="-2"/>
          <w:sz w:val="20"/>
          <w:szCs w:val="20"/>
          <w:lang w:val="es-AR"/>
        </w:rPr>
        <w:t>pagos</w:t>
      </w:r>
      <w:r w:rsidR="001A28B3" w:rsidRPr="00EA7870">
        <w:rPr>
          <w:spacing w:val="-2"/>
          <w:sz w:val="20"/>
          <w:szCs w:val="20"/>
          <w:lang w:val="es-AR"/>
        </w:rPr>
        <w:t xml:space="preserve"> </w:t>
      </w:r>
      <w:r w:rsidRPr="00EA7870">
        <w:rPr>
          <w:spacing w:val="-2"/>
          <w:sz w:val="20"/>
          <w:szCs w:val="20"/>
          <w:lang w:val="es-AR"/>
        </w:rPr>
        <w:t>exigidos</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virtud</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las</w:t>
      </w:r>
      <w:r w:rsidR="001A28B3" w:rsidRPr="00EA7870">
        <w:rPr>
          <w:spacing w:val="-2"/>
          <w:sz w:val="20"/>
          <w:szCs w:val="20"/>
          <w:lang w:val="es-AR"/>
        </w:rPr>
        <w:t xml:space="preserve"> </w:t>
      </w:r>
      <w:r w:rsidRPr="00EA7870">
        <w:rPr>
          <w:spacing w:val="-2"/>
          <w:sz w:val="20"/>
          <w:szCs w:val="20"/>
          <w:lang w:val="es-AR"/>
        </w:rPr>
        <w:t>Obligaciones</w:t>
      </w:r>
      <w:r w:rsidR="001A28B3" w:rsidRPr="00EA7870">
        <w:rPr>
          <w:spacing w:val="-2"/>
          <w:sz w:val="20"/>
          <w:szCs w:val="20"/>
          <w:lang w:val="es-AR"/>
        </w:rPr>
        <w:t xml:space="preserve"> </w:t>
      </w:r>
      <w:r w:rsidRPr="00EA7870">
        <w:rPr>
          <w:spacing w:val="-2"/>
          <w:sz w:val="20"/>
          <w:szCs w:val="20"/>
          <w:lang w:val="es-AR"/>
        </w:rPr>
        <w:t>Negociables,</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Garantía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Contrato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Fideicomiso;</w:t>
      </w:r>
    </w:p>
    <w:p w14:paraId="65E91085" w14:textId="77777777" w:rsidR="00376725" w:rsidRPr="00EA7870" w:rsidRDefault="00376725" w:rsidP="00376725">
      <w:pPr>
        <w:tabs>
          <w:tab w:val="left" w:pos="0"/>
        </w:tabs>
        <w:ind w:firstLine="709"/>
        <w:jc w:val="both"/>
        <w:rPr>
          <w:sz w:val="20"/>
          <w:szCs w:val="20"/>
          <w:lang w:val="es-AR"/>
        </w:rPr>
      </w:pPr>
    </w:p>
    <w:p w14:paraId="392BAC89"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(ix)</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organismo</w:t>
      </w:r>
      <w:r w:rsidR="001A28B3" w:rsidRPr="00EA7870">
        <w:rPr>
          <w:sz w:val="20"/>
          <w:szCs w:val="20"/>
          <w:lang w:val="es-AR"/>
        </w:rPr>
        <w:t xml:space="preserve"> </w:t>
      </w:r>
      <w:r w:rsidRPr="00EA7870">
        <w:rPr>
          <w:sz w:val="20"/>
          <w:szCs w:val="20"/>
          <w:lang w:val="es-AR"/>
        </w:rPr>
        <w:t>gubernamental</w:t>
      </w:r>
      <w:r w:rsidR="001A28B3" w:rsidRPr="00EA7870">
        <w:rPr>
          <w:sz w:val="20"/>
          <w:szCs w:val="20"/>
          <w:lang w:val="es-AR"/>
        </w:rPr>
        <w:t xml:space="preserve"> </w:t>
      </w:r>
      <w:r w:rsidRPr="00EA7870">
        <w:rPr>
          <w:sz w:val="20"/>
          <w:szCs w:val="20"/>
          <w:lang w:val="es-AR"/>
        </w:rPr>
        <w:t>realizara</w:t>
      </w:r>
      <w:r w:rsidR="001A28B3" w:rsidRPr="00EA7870">
        <w:rPr>
          <w:sz w:val="20"/>
          <w:szCs w:val="20"/>
          <w:lang w:val="es-AR"/>
        </w:rPr>
        <w:t xml:space="preserve"> </w:t>
      </w:r>
      <w:r w:rsidRPr="00EA7870">
        <w:rPr>
          <w:sz w:val="20"/>
          <w:szCs w:val="20"/>
          <w:lang w:val="es-AR"/>
        </w:rPr>
        <w:t>algún</w:t>
      </w:r>
      <w:r w:rsidR="001A28B3" w:rsidRPr="00EA7870">
        <w:rPr>
          <w:sz w:val="20"/>
          <w:szCs w:val="20"/>
          <w:lang w:val="es-AR"/>
        </w:rPr>
        <w:t xml:space="preserve"> </w:t>
      </w:r>
      <w:r w:rsidRPr="00EA7870">
        <w:rPr>
          <w:sz w:val="20"/>
          <w:szCs w:val="20"/>
          <w:lang w:val="es-AR"/>
        </w:rPr>
        <w:t>secuestro,</w:t>
      </w:r>
      <w:r w:rsidR="001A28B3" w:rsidRPr="00EA7870">
        <w:rPr>
          <w:sz w:val="20"/>
          <w:szCs w:val="20"/>
          <w:lang w:val="es-AR"/>
        </w:rPr>
        <w:t xml:space="preserve"> </w:t>
      </w:r>
      <w:r w:rsidRPr="00EA7870">
        <w:rPr>
          <w:sz w:val="20"/>
          <w:szCs w:val="20"/>
          <w:lang w:val="es-AR"/>
        </w:rPr>
        <w:t>incautación,</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obligatoria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expropiación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tomara</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custodia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control</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w:t>
      </w:r>
      <w:r w:rsidRPr="00EA7870">
        <w:rPr>
          <w:b/>
          <w:sz w:val="20"/>
          <w:szCs w:val="20"/>
          <w:lang w:val="es-AR"/>
        </w:rPr>
        <w:t>Expropiación</w:t>
      </w:r>
      <w:r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conjunto,</w:t>
      </w:r>
      <w:r w:rsidR="001A28B3" w:rsidRPr="00EA7870">
        <w:rPr>
          <w:sz w:val="20"/>
          <w:szCs w:val="20"/>
          <w:lang w:val="es-AR"/>
        </w:rPr>
        <w:t xml:space="preserve"> </w:t>
      </w:r>
      <w:r w:rsidRPr="00EA7870">
        <w:rPr>
          <w:sz w:val="20"/>
          <w:szCs w:val="20"/>
          <w:lang w:val="es-AR"/>
        </w:rPr>
        <w:t>sería</w:t>
      </w:r>
      <w:r w:rsidR="001A28B3" w:rsidRPr="00EA7870">
        <w:rPr>
          <w:sz w:val="20"/>
          <w:szCs w:val="20"/>
          <w:lang w:val="es-AR"/>
        </w:rPr>
        <w:t xml:space="preserve"> </w:t>
      </w:r>
      <w:r w:rsidRPr="00EA7870">
        <w:rPr>
          <w:sz w:val="20"/>
          <w:szCs w:val="20"/>
          <w:lang w:val="es-AR"/>
        </w:rPr>
        <w:t>probable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tenga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sustancial</w:t>
      </w:r>
      <w:r w:rsidR="001A28B3" w:rsidRPr="00EA7870">
        <w:rPr>
          <w:sz w:val="20"/>
          <w:szCs w:val="20"/>
          <w:lang w:val="es-AR"/>
        </w:rPr>
        <w:t xml:space="preserve"> </w:t>
      </w:r>
      <w:r w:rsidRPr="00EA7870">
        <w:rPr>
          <w:sz w:val="20"/>
          <w:szCs w:val="20"/>
          <w:lang w:val="es-AR"/>
        </w:rPr>
        <w:t>adverso</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capacidad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cumplir</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i/>
          <w:sz w:val="20"/>
          <w:szCs w:val="20"/>
          <w:lang w:val="es-AR"/>
        </w:rPr>
        <w:t>quedando</w:t>
      </w:r>
      <w:r w:rsidR="001A28B3" w:rsidRPr="00EA7870">
        <w:rPr>
          <w:i/>
          <w:sz w:val="20"/>
          <w:szCs w:val="20"/>
          <w:lang w:val="es-AR"/>
        </w:rPr>
        <w:t xml:space="preserve"> </w:t>
      </w:r>
      <w:r w:rsidRPr="00EA7870">
        <w:rPr>
          <w:i/>
          <w:sz w:val="20"/>
          <w:szCs w:val="20"/>
          <w:lang w:val="es-AR"/>
        </w:rPr>
        <w:t>establecido</w:t>
      </w:r>
      <w:r w:rsidR="001A28B3" w:rsidRPr="00EA7870">
        <w:rPr>
          <w:sz w:val="20"/>
          <w:szCs w:val="20"/>
          <w:lang w:val="es-AR"/>
        </w:rPr>
        <w:t xml:space="preserve"> </w:t>
      </w:r>
      <w:r w:rsidRPr="00EA7870">
        <w:rPr>
          <w:sz w:val="20"/>
          <w:szCs w:val="20"/>
          <w:lang w:val="es-AR"/>
        </w:rPr>
        <w:t>que:</w:t>
      </w:r>
    </w:p>
    <w:p w14:paraId="5B86E506" w14:textId="77777777" w:rsidR="00376725" w:rsidRPr="00EA7870" w:rsidRDefault="00376725" w:rsidP="00376725">
      <w:pPr>
        <w:tabs>
          <w:tab w:val="left" w:pos="0"/>
        </w:tabs>
        <w:ind w:firstLine="709"/>
        <w:jc w:val="both"/>
        <w:rPr>
          <w:sz w:val="20"/>
          <w:szCs w:val="20"/>
          <w:lang w:val="es-AR"/>
        </w:rPr>
      </w:pPr>
    </w:p>
    <w:p w14:paraId="610D0E8A"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aquellas</w:t>
      </w:r>
      <w:r w:rsidR="001A28B3" w:rsidRPr="00EA7870">
        <w:rPr>
          <w:sz w:val="20"/>
          <w:szCs w:val="20"/>
          <w:lang w:val="es-AR"/>
        </w:rPr>
        <w:t xml:space="preserve"> </w:t>
      </w:r>
      <w:r w:rsidRPr="00EA7870">
        <w:rPr>
          <w:sz w:val="20"/>
          <w:szCs w:val="20"/>
          <w:lang w:val="es-AR"/>
        </w:rPr>
        <w:t>medidas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discriminatorias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aplicación</w:t>
      </w:r>
      <w:r w:rsidR="001A28B3" w:rsidRPr="00EA7870">
        <w:rPr>
          <w:sz w:val="20"/>
          <w:szCs w:val="20"/>
          <w:lang w:val="es-AR"/>
        </w:rPr>
        <w:t xml:space="preserve"> </w:t>
      </w:r>
      <w:r w:rsidRPr="00EA7870">
        <w:rPr>
          <w:sz w:val="20"/>
          <w:szCs w:val="20"/>
          <w:lang w:val="es-AR"/>
        </w:rPr>
        <w:t>general</w:t>
      </w:r>
      <w:r w:rsidR="001A28B3" w:rsidRPr="00EA7870">
        <w:rPr>
          <w:sz w:val="20"/>
          <w:szCs w:val="20"/>
          <w:lang w:val="es-AR"/>
        </w:rPr>
        <w:t xml:space="preserve"> </w:t>
      </w:r>
      <w:r w:rsidRPr="00EA7870">
        <w:rPr>
          <w:sz w:val="20"/>
          <w:szCs w:val="20"/>
          <w:lang w:val="es-AR"/>
        </w:rPr>
        <w:t>adoptadas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buena</w:t>
      </w:r>
      <w:r w:rsidR="001A28B3" w:rsidRPr="00EA7870">
        <w:rPr>
          <w:sz w:val="20"/>
          <w:szCs w:val="20"/>
          <w:lang w:val="es-AR"/>
        </w:rPr>
        <w:t xml:space="preserve"> </w:t>
      </w:r>
      <w:r w:rsidRPr="00EA7870">
        <w:rPr>
          <w:sz w:val="20"/>
          <w:szCs w:val="20"/>
          <w:lang w:val="es-AR"/>
        </w:rPr>
        <w:t>fe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Organismo</w:t>
      </w:r>
      <w:r w:rsidR="001A28B3" w:rsidRPr="00EA7870">
        <w:rPr>
          <w:sz w:val="20"/>
          <w:szCs w:val="20"/>
          <w:lang w:val="es-AR"/>
        </w:rPr>
        <w:t xml:space="preserve"> </w:t>
      </w:r>
      <w:r w:rsidRPr="00EA7870">
        <w:rPr>
          <w:sz w:val="20"/>
          <w:szCs w:val="20"/>
          <w:lang w:val="es-AR"/>
        </w:rPr>
        <w:t>Gubernamental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autoridades</w:t>
      </w:r>
      <w:r w:rsidR="001A28B3" w:rsidRPr="00EA7870">
        <w:rPr>
          <w:sz w:val="20"/>
          <w:szCs w:val="20"/>
          <w:lang w:val="es-AR"/>
        </w:rPr>
        <w:t xml:space="preserve"> </w:t>
      </w:r>
      <w:r w:rsidRPr="00EA7870">
        <w:rPr>
          <w:sz w:val="20"/>
          <w:szCs w:val="20"/>
          <w:lang w:val="es-AR"/>
        </w:rPr>
        <w:t>gubernamentales</w:t>
      </w:r>
      <w:r w:rsidR="001A28B3" w:rsidRPr="00EA7870">
        <w:rPr>
          <w:sz w:val="20"/>
          <w:szCs w:val="20"/>
          <w:lang w:val="es-AR"/>
        </w:rPr>
        <w:t xml:space="preserve"> </w:t>
      </w:r>
      <w:r w:rsidRPr="00EA7870">
        <w:rPr>
          <w:sz w:val="20"/>
          <w:szCs w:val="20"/>
          <w:lang w:val="es-AR"/>
        </w:rPr>
        <w:t>suelen</w:t>
      </w:r>
      <w:r w:rsidR="001A28B3" w:rsidRPr="00EA7870">
        <w:rPr>
          <w:sz w:val="20"/>
          <w:szCs w:val="20"/>
          <w:lang w:val="es-AR"/>
        </w:rPr>
        <w:t xml:space="preserve"> </w:t>
      </w:r>
      <w:r w:rsidRPr="00EA7870">
        <w:rPr>
          <w:sz w:val="20"/>
          <w:szCs w:val="20"/>
          <w:lang w:val="es-AR"/>
        </w:rPr>
        <w:t>adoptar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consideración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público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cuestiones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seguridad</w:t>
      </w:r>
      <w:r w:rsidR="001A28B3" w:rsidRPr="00EA7870">
        <w:rPr>
          <w:sz w:val="20"/>
          <w:szCs w:val="20"/>
          <w:lang w:val="es-AR"/>
        </w:rPr>
        <w:t xml:space="preserve"> </w:t>
      </w:r>
      <w:r w:rsidRPr="00EA7870">
        <w:rPr>
          <w:sz w:val="20"/>
          <w:szCs w:val="20"/>
          <w:lang w:val="es-AR"/>
        </w:rPr>
        <w:t>pública,</w:t>
      </w:r>
      <w:r w:rsidR="001A28B3" w:rsidRPr="00EA7870">
        <w:rPr>
          <w:sz w:val="20"/>
          <w:szCs w:val="20"/>
          <w:lang w:val="es-AR"/>
        </w:rPr>
        <w:t xml:space="preserve"> </w:t>
      </w:r>
      <w:r w:rsidRPr="00EA7870">
        <w:rPr>
          <w:sz w:val="20"/>
          <w:szCs w:val="20"/>
          <w:lang w:val="es-AR"/>
        </w:rPr>
        <w:t>recaudación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protección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medioambiente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reglamentación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actividad</w:t>
      </w:r>
      <w:r w:rsidR="001A28B3" w:rsidRPr="00EA7870">
        <w:rPr>
          <w:sz w:val="20"/>
          <w:szCs w:val="20"/>
          <w:lang w:val="es-AR"/>
        </w:rPr>
        <w:t xml:space="preserve"> </w:t>
      </w:r>
      <w:r w:rsidRPr="00EA7870">
        <w:rPr>
          <w:sz w:val="20"/>
          <w:szCs w:val="20"/>
          <w:lang w:val="es-AR"/>
        </w:rPr>
        <w:t>económica,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estarán</w:t>
      </w:r>
      <w:r w:rsidR="001A28B3" w:rsidRPr="00EA7870">
        <w:rPr>
          <w:sz w:val="20"/>
          <w:szCs w:val="20"/>
          <w:lang w:val="es-AR"/>
        </w:rPr>
        <w:t xml:space="preserve"> </w:t>
      </w:r>
      <w:r w:rsidRPr="00EA7870">
        <w:rPr>
          <w:sz w:val="20"/>
          <w:szCs w:val="20"/>
          <w:lang w:val="es-AR"/>
        </w:rPr>
        <w:t>comprendidas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definición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Expropiación;</w:t>
      </w:r>
    </w:p>
    <w:p w14:paraId="4CF3AB89" w14:textId="77777777" w:rsidR="00376725" w:rsidRPr="00EA7870" w:rsidRDefault="00376725" w:rsidP="00376725">
      <w:pPr>
        <w:tabs>
          <w:tab w:val="left" w:pos="0"/>
        </w:tabs>
        <w:ind w:firstLine="709"/>
        <w:jc w:val="both"/>
        <w:rPr>
          <w:sz w:val="20"/>
          <w:szCs w:val="20"/>
          <w:lang w:val="es-AR"/>
        </w:rPr>
      </w:pPr>
    </w:p>
    <w:p w14:paraId="3B0873B9"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b.</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Organismos</w:t>
      </w:r>
      <w:r w:rsidR="001A28B3" w:rsidRPr="00EA7870">
        <w:rPr>
          <w:sz w:val="20"/>
          <w:szCs w:val="20"/>
          <w:lang w:val="es-AR"/>
        </w:rPr>
        <w:t xml:space="preserve"> </w:t>
      </w:r>
      <w:r w:rsidRPr="00EA7870">
        <w:rPr>
          <w:sz w:val="20"/>
          <w:szCs w:val="20"/>
          <w:lang w:val="es-AR"/>
        </w:rPr>
        <w:t>Gubernamentales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naturaleza</w:t>
      </w:r>
      <w:r w:rsidR="001A28B3" w:rsidRPr="00EA7870">
        <w:rPr>
          <w:sz w:val="20"/>
          <w:szCs w:val="20"/>
          <w:lang w:val="es-AR"/>
        </w:rPr>
        <w:t xml:space="preserve"> </w:t>
      </w:r>
      <w:r w:rsidRPr="00EA7870">
        <w:rPr>
          <w:sz w:val="20"/>
          <w:szCs w:val="20"/>
          <w:lang w:val="es-AR"/>
        </w:rPr>
        <w:t>contractual</w:t>
      </w:r>
      <w:r w:rsidR="001A28B3" w:rsidRPr="00EA7870">
        <w:rPr>
          <w:sz w:val="20"/>
          <w:szCs w:val="20"/>
          <w:lang w:val="es-AR"/>
        </w:rPr>
        <w:t xml:space="preserve"> </w:t>
      </w:r>
      <w:r w:rsidRPr="00EA7870">
        <w:rPr>
          <w:sz w:val="20"/>
          <w:szCs w:val="20"/>
          <w:lang w:val="es-AR"/>
        </w:rPr>
        <w:t>frente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constituirá,</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sí</w:t>
      </w:r>
      <w:r w:rsidR="001A28B3" w:rsidRPr="00EA7870">
        <w:rPr>
          <w:sz w:val="20"/>
          <w:szCs w:val="20"/>
          <w:lang w:val="es-AR"/>
        </w:rPr>
        <w:t xml:space="preserve"> </w:t>
      </w:r>
      <w:r w:rsidRPr="00EA7870">
        <w:rPr>
          <w:sz w:val="20"/>
          <w:szCs w:val="20"/>
          <w:lang w:val="es-AR"/>
        </w:rPr>
        <w:t>mismo,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Expropiación;</w:t>
      </w:r>
      <w:r w:rsidR="001A28B3" w:rsidRPr="00EA7870">
        <w:rPr>
          <w:sz w:val="20"/>
          <w:szCs w:val="20"/>
          <w:lang w:val="es-AR"/>
        </w:rPr>
        <w:t xml:space="preserve"> </w:t>
      </w:r>
      <w:r w:rsidRPr="00EA7870">
        <w:rPr>
          <w:sz w:val="20"/>
          <w:szCs w:val="20"/>
          <w:lang w:val="es-AR"/>
        </w:rPr>
        <w:t>y</w:t>
      </w:r>
    </w:p>
    <w:p w14:paraId="4E4C4896" w14:textId="77777777" w:rsidR="00376725" w:rsidRPr="00EA7870" w:rsidRDefault="00376725" w:rsidP="00376725">
      <w:pPr>
        <w:tabs>
          <w:tab w:val="left" w:pos="0"/>
        </w:tabs>
        <w:ind w:firstLine="709"/>
        <w:jc w:val="both"/>
        <w:rPr>
          <w:sz w:val="20"/>
          <w:szCs w:val="20"/>
          <w:lang w:val="es-AR"/>
        </w:rPr>
      </w:pPr>
    </w:p>
    <w:p w14:paraId="5F898E2A"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c.</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secuestro,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obligatoria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expropiación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bien,</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activo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ubicados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República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Bolivia,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ingresos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provenientes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operaciones</w:t>
      </w:r>
      <w:r w:rsidR="001A28B3" w:rsidRPr="00EA7870">
        <w:rPr>
          <w:sz w:val="20"/>
          <w:szCs w:val="20"/>
          <w:lang w:val="es-AR"/>
        </w:rPr>
        <w:t xml:space="preserve"> </w:t>
      </w:r>
      <w:r w:rsidRPr="00EA7870">
        <w:rPr>
          <w:sz w:val="20"/>
          <w:szCs w:val="20"/>
          <w:lang w:val="es-AR"/>
        </w:rPr>
        <w:t>desarrolladas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República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Bolivia,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estarán</w:t>
      </w:r>
      <w:r w:rsidR="001A28B3" w:rsidRPr="00EA7870">
        <w:rPr>
          <w:sz w:val="20"/>
          <w:szCs w:val="20"/>
          <w:lang w:val="es-AR"/>
        </w:rPr>
        <w:t xml:space="preserve"> </w:t>
      </w:r>
      <w:r w:rsidRPr="00EA7870">
        <w:rPr>
          <w:sz w:val="20"/>
          <w:szCs w:val="20"/>
          <w:lang w:val="es-AR"/>
        </w:rPr>
        <w:t>comprendidos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definición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Expropiación:</w:t>
      </w:r>
    </w:p>
    <w:p w14:paraId="3B1FBBC6" w14:textId="77777777" w:rsidR="00376725" w:rsidRPr="00EA7870" w:rsidRDefault="00376725" w:rsidP="00376725">
      <w:pPr>
        <w:tabs>
          <w:tab w:val="left" w:pos="0"/>
        </w:tabs>
        <w:ind w:firstLine="709"/>
        <w:jc w:val="both"/>
        <w:rPr>
          <w:sz w:val="20"/>
          <w:szCs w:val="20"/>
          <w:lang w:val="es-AR"/>
        </w:rPr>
      </w:pPr>
    </w:p>
    <w:p w14:paraId="4B735E97"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(x)</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acordara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declarara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moratoria</w:t>
      </w:r>
      <w:r w:rsidR="001A28B3" w:rsidRPr="00EA7870">
        <w:rPr>
          <w:sz w:val="20"/>
          <w:szCs w:val="20"/>
          <w:lang w:val="es-AR"/>
        </w:rPr>
        <w:t xml:space="preserve"> </w:t>
      </w:r>
      <w:r w:rsidR="00050BFF" w:rsidRPr="00EA7870">
        <w:rPr>
          <w:sz w:val="20"/>
          <w:szCs w:val="20"/>
          <w:lang w:val="es-AR"/>
        </w:rPr>
        <w:t>general</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p>
    <w:p w14:paraId="2400A185" w14:textId="77777777" w:rsidR="00376725" w:rsidRPr="00EA7870" w:rsidRDefault="00376725" w:rsidP="00376725">
      <w:pPr>
        <w:tabs>
          <w:tab w:val="left" w:pos="0"/>
        </w:tabs>
        <w:ind w:firstLine="709"/>
        <w:jc w:val="both"/>
        <w:rPr>
          <w:sz w:val="20"/>
          <w:szCs w:val="20"/>
          <w:lang w:val="es-AR"/>
        </w:rPr>
      </w:pPr>
    </w:p>
    <w:p w14:paraId="47413CEA"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(xi)</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resolviera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procedimiento</w:t>
      </w:r>
      <w:r w:rsidR="001A28B3" w:rsidRPr="00EA7870">
        <w:rPr>
          <w:sz w:val="20"/>
          <w:szCs w:val="20"/>
          <w:lang w:val="es-AR"/>
        </w:rPr>
        <w:t xml:space="preserve"> </w:t>
      </w:r>
      <w:r w:rsidRPr="00EA7870">
        <w:rPr>
          <w:sz w:val="20"/>
          <w:szCs w:val="20"/>
          <w:lang w:val="es-AR"/>
        </w:rPr>
        <w:t>judicial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inexigible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inválida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ésta</w:t>
      </w:r>
      <w:r w:rsidR="001A28B3" w:rsidRPr="00EA7870">
        <w:rPr>
          <w:sz w:val="20"/>
          <w:szCs w:val="20"/>
          <w:lang w:val="es-AR"/>
        </w:rPr>
        <w:t xml:space="preserve"> </w:t>
      </w:r>
      <w:r w:rsidRPr="00EA7870">
        <w:rPr>
          <w:sz w:val="20"/>
          <w:szCs w:val="20"/>
          <w:lang w:val="es-AR"/>
        </w:rPr>
        <w:t>dejara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tener</w:t>
      </w:r>
      <w:r w:rsidR="001A28B3" w:rsidRPr="00EA7870">
        <w:rPr>
          <w:sz w:val="20"/>
          <w:szCs w:val="20"/>
          <w:lang w:val="es-AR"/>
        </w:rPr>
        <w:t xml:space="preserve"> </w:t>
      </w:r>
      <w:r w:rsidRPr="00EA7870">
        <w:rPr>
          <w:sz w:val="20"/>
          <w:szCs w:val="20"/>
          <w:lang w:val="es-AR"/>
        </w:rPr>
        <w:t>efectos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motivo,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reemplazada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sustituta</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aprobada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66</w:t>
      </w:r>
      <w:r w:rsidR="001A28B3" w:rsidRPr="00EA7870">
        <w:rPr>
          <w:sz w:val="20"/>
          <w:szCs w:val="20"/>
          <w:lang w:val="es-AR"/>
        </w:rPr>
        <w:t xml:space="preserve"> </w:t>
      </w:r>
      <w:r w:rsidRPr="00EA7870">
        <w:rPr>
          <w:sz w:val="20"/>
          <w:szCs w:val="20"/>
          <w:lang w:val="es-AR"/>
        </w:rPr>
        <w:t>2/3%</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presentes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representadas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convocada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encuentre</w:t>
      </w:r>
      <w:r w:rsidR="001A28B3" w:rsidRPr="00EA7870">
        <w:rPr>
          <w:sz w:val="20"/>
          <w:szCs w:val="20"/>
          <w:lang w:val="es-AR"/>
        </w:rPr>
        <w:t xml:space="preserve"> </w:t>
      </w:r>
      <w:r w:rsidRPr="00EA7870">
        <w:rPr>
          <w:sz w:val="20"/>
          <w:szCs w:val="20"/>
          <w:lang w:val="es-AR"/>
        </w:rPr>
        <w:t>constituido</w:t>
      </w:r>
      <w:r w:rsidR="001A28B3" w:rsidRPr="00EA7870">
        <w:rPr>
          <w:sz w:val="20"/>
          <w:szCs w:val="20"/>
          <w:lang w:val="es-AR"/>
        </w:rPr>
        <w:t xml:space="preserve"> </w:t>
      </w:r>
      <w:r w:rsidRPr="00EA7870">
        <w:rPr>
          <w:sz w:val="20"/>
          <w:szCs w:val="20"/>
          <w:lang w:val="es-AR"/>
        </w:rPr>
        <w:t>quórum,</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45</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corridos</w:t>
      </w:r>
      <w:r w:rsidR="001A28B3" w:rsidRPr="00EA7870">
        <w:rPr>
          <w:sz w:val="20"/>
          <w:szCs w:val="20"/>
          <w:lang w:val="es-AR"/>
        </w:rPr>
        <w:t xml:space="preserve"> </w:t>
      </w:r>
      <w:r w:rsidRPr="00EA7870">
        <w:rPr>
          <w:sz w:val="20"/>
          <w:szCs w:val="20"/>
          <w:lang w:val="es-AR"/>
        </w:rPr>
        <w:t>posteriores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envío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negara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repudiara</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Garantía.</w:t>
      </w:r>
    </w:p>
    <w:p w14:paraId="2CCAAF6E" w14:textId="77777777" w:rsidR="00376725" w:rsidRPr="00EA7870" w:rsidRDefault="001A28B3" w:rsidP="00376725">
      <w:pPr>
        <w:tabs>
          <w:tab w:val="left" w:pos="0"/>
        </w:tabs>
        <w:ind w:firstLine="709"/>
        <w:jc w:val="both"/>
        <w:rPr>
          <w:sz w:val="20"/>
          <w:szCs w:val="20"/>
          <w:lang w:val="es-AR"/>
        </w:rPr>
      </w:pPr>
      <w:r w:rsidRPr="00EA7870">
        <w:rPr>
          <w:sz w:val="20"/>
          <w:szCs w:val="20"/>
          <w:lang w:val="es-AR"/>
        </w:rPr>
        <w:t xml:space="preserve"> </w:t>
      </w:r>
    </w:p>
    <w:p w14:paraId="76B8E14E" w14:textId="77777777" w:rsidR="00376725" w:rsidRPr="00EA7870" w:rsidRDefault="00376725" w:rsidP="00376725">
      <w:pPr>
        <w:tabs>
          <w:tab w:val="left" w:pos="0"/>
        </w:tabs>
        <w:jc w:val="both"/>
        <w:rPr>
          <w:b/>
          <w:i/>
          <w:sz w:val="20"/>
          <w:szCs w:val="20"/>
          <w:lang w:val="es-AR"/>
        </w:rPr>
      </w:pPr>
      <w:r w:rsidRPr="00EA7870">
        <w:rPr>
          <w:b/>
          <w:i/>
          <w:sz w:val="20"/>
          <w:szCs w:val="20"/>
          <w:lang w:val="es-AR"/>
        </w:rPr>
        <w:t>Consecuencias</w:t>
      </w:r>
      <w:r w:rsidR="001A28B3" w:rsidRPr="00EA7870">
        <w:rPr>
          <w:b/>
          <w:i/>
          <w:sz w:val="20"/>
          <w:szCs w:val="20"/>
          <w:lang w:val="es-AR"/>
        </w:rPr>
        <w:t xml:space="preserve"> </w:t>
      </w:r>
      <w:r w:rsidRPr="00EA7870">
        <w:rPr>
          <w:b/>
          <w:i/>
          <w:sz w:val="20"/>
          <w:szCs w:val="20"/>
          <w:lang w:val="es-AR"/>
        </w:rPr>
        <w:t>ante</w:t>
      </w:r>
      <w:r w:rsidR="001A28B3" w:rsidRPr="00EA7870">
        <w:rPr>
          <w:b/>
          <w:i/>
          <w:sz w:val="20"/>
          <w:szCs w:val="20"/>
          <w:lang w:val="es-AR"/>
        </w:rPr>
        <w:t xml:space="preserve"> </w:t>
      </w:r>
      <w:r w:rsidRPr="00EA7870">
        <w:rPr>
          <w:b/>
          <w:i/>
          <w:sz w:val="20"/>
          <w:szCs w:val="20"/>
          <w:lang w:val="es-AR"/>
        </w:rPr>
        <w:t>un</w:t>
      </w:r>
      <w:r w:rsidR="001A28B3" w:rsidRPr="00EA7870">
        <w:rPr>
          <w:b/>
          <w:i/>
          <w:sz w:val="20"/>
          <w:szCs w:val="20"/>
          <w:lang w:val="es-AR"/>
        </w:rPr>
        <w:t xml:space="preserve"> </w:t>
      </w:r>
      <w:r w:rsidRPr="00EA7870">
        <w:rPr>
          <w:b/>
          <w:i/>
          <w:sz w:val="20"/>
          <w:szCs w:val="20"/>
          <w:lang w:val="es-AR"/>
        </w:rPr>
        <w:t>Supuesto</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Incumplimiento</w:t>
      </w:r>
    </w:p>
    <w:p w14:paraId="2DA85F14" w14:textId="77777777" w:rsidR="00376725" w:rsidRPr="00EA7870" w:rsidRDefault="00376725" w:rsidP="00376725">
      <w:pPr>
        <w:tabs>
          <w:tab w:val="left" w:pos="0"/>
        </w:tabs>
        <w:jc w:val="both"/>
        <w:rPr>
          <w:sz w:val="20"/>
          <w:szCs w:val="20"/>
          <w:lang w:val="es-AR"/>
        </w:rPr>
      </w:pPr>
    </w:p>
    <w:p w14:paraId="2F5451EA" w14:textId="77777777" w:rsidR="00376725" w:rsidRPr="00EA7870" w:rsidRDefault="00376725" w:rsidP="00376725">
      <w:pPr>
        <w:tabs>
          <w:tab w:val="left" w:pos="0"/>
        </w:tabs>
        <w:jc w:val="both"/>
        <w:rPr>
          <w:sz w:val="20"/>
          <w:szCs w:val="20"/>
          <w:lang w:val="es-AR"/>
        </w:rPr>
      </w:pPr>
      <w:r w:rsidRPr="00EA7870">
        <w:rPr>
          <w:sz w:val="20"/>
          <w:szCs w:val="20"/>
          <w:lang w:val="es-AR"/>
        </w:rPr>
        <w:t>Si</w:t>
      </w:r>
      <w:r w:rsidR="001A28B3" w:rsidRPr="00EA7870">
        <w:rPr>
          <w:sz w:val="20"/>
          <w:szCs w:val="20"/>
          <w:lang w:val="es-AR"/>
        </w:rPr>
        <w:t xml:space="preserve"> </w:t>
      </w:r>
      <w:r w:rsidRPr="00EA7870">
        <w:rPr>
          <w:sz w:val="20"/>
          <w:szCs w:val="20"/>
          <w:lang w:val="es-AR"/>
        </w:rPr>
        <w:t>tuviera</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continuara</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descripto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puntos</w:t>
      </w:r>
      <w:r w:rsidR="001A28B3" w:rsidRPr="00EA7870">
        <w:rPr>
          <w:sz w:val="20"/>
          <w:szCs w:val="20"/>
          <w:lang w:val="es-AR"/>
        </w:rPr>
        <w:t xml:space="preserve"> </w:t>
      </w:r>
      <w:r w:rsidRPr="00EA7870">
        <w:rPr>
          <w:sz w:val="20"/>
          <w:szCs w:val="20"/>
          <w:lang w:val="es-AR"/>
        </w:rPr>
        <w:t>(vii)</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(x)</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ante</w:t>
      </w:r>
      <w:r w:rsidR="001A28B3" w:rsidRPr="00EA7870">
        <w:rPr>
          <w:sz w:val="20"/>
          <w:szCs w:val="20"/>
          <w:lang w:val="es-AR"/>
        </w:rPr>
        <w:t xml:space="preserve"> </w:t>
      </w:r>
      <w:r w:rsidRPr="00EA7870">
        <w:rPr>
          <w:sz w:val="20"/>
          <w:szCs w:val="20"/>
          <w:lang w:val="es-AR"/>
        </w:rPr>
        <w:t>instrucción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25%</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ese</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deberá</w:t>
      </w:r>
      <w:r w:rsidR="001A28B3" w:rsidRPr="00EA7870">
        <w:rPr>
          <w:sz w:val="20"/>
          <w:szCs w:val="20"/>
          <w:lang w:val="es-AR"/>
        </w:rPr>
        <w:t xml:space="preserve"> </w:t>
      </w:r>
      <w:r w:rsidRPr="00EA7870">
        <w:rPr>
          <w:sz w:val="20"/>
          <w:szCs w:val="20"/>
          <w:lang w:val="es-AR"/>
        </w:rPr>
        <w:t>declarar</w:t>
      </w:r>
      <w:r w:rsidR="001A28B3" w:rsidRPr="00EA7870">
        <w:rPr>
          <w:sz w:val="20"/>
          <w:szCs w:val="20"/>
          <w:lang w:val="es-AR"/>
        </w:rPr>
        <w:t xml:space="preserve"> </w:t>
      </w:r>
      <w:r w:rsidRPr="00EA7870">
        <w:rPr>
          <w:sz w:val="20"/>
          <w:szCs w:val="20"/>
          <w:lang w:val="es-AR"/>
        </w:rPr>
        <w:t>vencidos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exigibles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inmediato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devengados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declaración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caducidad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plazos</w:t>
      </w:r>
      <w:r w:rsidR="001A28B3" w:rsidRPr="00EA7870">
        <w:rPr>
          <w:sz w:val="20"/>
          <w:szCs w:val="20"/>
          <w:lang w:val="es-AR"/>
        </w:rPr>
        <w:t xml:space="preserve"> </w:t>
      </w:r>
      <w:r w:rsidRPr="00EA7870">
        <w:rPr>
          <w:sz w:val="20"/>
          <w:szCs w:val="20"/>
          <w:lang w:val="es-AR"/>
        </w:rPr>
        <w:t>debido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acaecimiento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subsistencia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punto</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declaración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caducidad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plazos</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automáticamente</w:t>
      </w:r>
      <w:r w:rsidR="001A28B3" w:rsidRPr="00EA7870">
        <w:rPr>
          <w:sz w:val="20"/>
          <w:szCs w:val="20"/>
          <w:lang w:val="es-AR"/>
        </w:rPr>
        <w:t xml:space="preserve"> </w:t>
      </w:r>
      <w:r w:rsidRPr="00EA7870">
        <w:rPr>
          <w:sz w:val="20"/>
          <w:szCs w:val="20"/>
          <w:lang w:val="es-AR"/>
        </w:rPr>
        <w:t>rescindida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anulada</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desencadena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punto</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subsanado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remediado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respectivas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dis</w:t>
      </w:r>
      <w:r w:rsidR="00050BFF" w:rsidRPr="00EA7870">
        <w:rPr>
          <w:sz w:val="20"/>
          <w:szCs w:val="20"/>
          <w:lang w:val="es-AR"/>
        </w:rPr>
        <w:t>pensado</w:t>
      </w:r>
      <w:r w:rsidR="001A28B3" w:rsidRPr="00EA7870">
        <w:rPr>
          <w:sz w:val="20"/>
          <w:szCs w:val="20"/>
          <w:lang w:val="es-AR"/>
        </w:rPr>
        <w:t xml:space="preserve"> </w:t>
      </w:r>
      <w:r w:rsidR="00050BFF" w:rsidRPr="00EA7870">
        <w:rPr>
          <w:sz w:val="20"/>
          <w:szCs w:val="20"/>
          <w:lang w:val="es-AR"/>
        </w:rPr>
        <w:t>por</w:t>
      </w:r>
      <w:r w:rsidR="001A28B3" w:rsidRPr="00EA7870">
        <w:rPr>
          <w:sz w:val="20"/>
          <w:szCs w:val="20"/>
          <w:lang w:val="es-AR"/>
        </w:rPr>
        <w:t xml:space="preserve"> </w:t>
      </w:r>
      <w:r w:rsidR="00050BFF" w:rsidRPr="00EA7870">
        <w:rPr>
          <w:sz w:val="20"/>
          <w:szCs w:val="20"/>
          <w:lang w:val="es-AR"/>
        </w:rPr>
        <w:t>los</w:t>
      </w:r>
      <w:r w:rsidR="001A28B3" w:rsidRPr="00EA7870">
        <w:rPr>
          <w:sz w:val="20"/>
          <w:szCs w:val="20"/>
          <w:lang w:val="es-AR"/>
        </w:rPr>
        <w:t xml:space="preserve"> </w:t>
      </w:r>
      <w:r w:rsidR="00050BFF" w:rsidRPr="00EA7870">
        <w:rPr>
          <w:sz w:val="20"/>
          <w:szCs w:val="20"/>
          <w:lang w:val="es-AR"/>
        </w:rPr>
        <w:t>tenedores</w:t>
      </w:r>
      <w:r w:rsidR="001A28B3" w:rsidRPr="00EA7870">
        <w:rPr>
          <w:sz w:val="20"/>
          <w:szCs w:val="20"/>
          <w:lang w:val="es-AR"/>
        </w:rPr>
        <w:t xml:space="preserve"> </w:t>
      </w:r>
      <w:r w:rsidR="00050BFF" w:rsidRPr="00EA7870">
        <w:rPr>
          <w:sz w:val="20"/>
          <w:szCs w:val="20"/>
          <w:lang w:val="es-AR"/>
        </w:rPr>
        <w:t>del</w:t>
      </w:r>
      <w:r w:rsidR="001A28B3" w:rsidRPr="00EA7870">
        <w:rPr>
          <w:sz w:val="20"/>
          <w:szCs w:val="20"/>
          <w:lang w:val="es-AR"/>
        </w:rPr>
        <w:t xml:space="preserve"> </w:t>
      </w:r>
      <w:r w:rsidR="00050BFF" w:rsidRPr="00EA7870">
        <w:rPr>
          <w:sz w:val="20"/>
          <w:szCs w:val="20"/>
          <w:lang w:val="es-AR"/>
        </w:rPr>
        <w:t>Endeudamiento</w:t>
      </w:r>
      <w:r w:rsidR="001A28B3" w:rsidRPr="00EA7870">
        <w:rPr>
          <w:sz w:val="20"/>
          <w:szCs w:val="20"/>
          <w:lang w:val="es-AR"/>
        </w:rPr>
        <w:t xml:space="preserve"> </w:t>
      </w:r>
      <w:r w:rsidR="00050BFF" w:rsidRPr="00EA7870">
        <w:rPr>
          <w:sz w:val="20"/>
          <w:szCs w:val="20"/>
          <w:lang w:val="es-AR"/>
        </w:rPr>
        <w:t>respectivo</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rescisión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contraria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dictada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tribunal</w:t>
      </w:r>
      <w:r w:rsidR="001A28B3" w:rsidRPr="00EA7870">
        <w:rPr>
          <w:sz w:val="20"/>
          <w:szCs w:val="20"/>
          <w:lang w:val="es-AR"/>
        </w:rPr>
        <w:t xml:space="preserve"> </w:t>
      </w:r>
      <w:r w:rsidRPr="00EA7870">
        <w:rPr>
          <w:sz w:val="20"/>
          <w:szCs w:val="20"/>
          <w:lang w:val="es-AR"/>
        </w:rPr>
        <w:t>competente.</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declaración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caducidad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plazos,</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pasarán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estar</w:t>
      </w:r>
      <w:r w:rsidR="001A28B3" w:rsidRPr="00EA7870">
        <w:rPr>
          <w:sz w:val="20"/>
          <w:szCs w:val="20"/>
          <w:lang w:val="es-AR"/>
        </w:rPr>
        <w:t xml:space="preserve"> </w:t>
      </w:r>
      <w:r w:rsidRPr="00EA7870">
        <w:rPr>
          <w:sz w:val="20"/>
          <w:szCs w:val="20"/>
          <w:lang w:val="es-AR"/>
        </w:rPr>
        <w:t>vencidos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pagaderos</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tuviera</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descripto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puntos</w:t>
      </w:r>
      <w:r w:rsidR="001A28B3" w:rsidRPr="00EA7870">
        <w:rPr>
          <w:sz w:val="20"/>
          <w:szCs w:val="20"/>
          <w:lang w:val="es-AR"/>
        </w:rPr>
        <w:t xml:space="preserve"> </w:t>
      </w:r>
      <w:r w:rsidRPr="00EA7870">
        <w:rPr>
          <w:sz w:val="20"/>
          <w:szCs w:val="20"/>
          <w:lang w:val="es-AR"/>
        </w:rPr>
        <w:t>(vii)</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w:t>
      </w:r>
      <w:r w:rsidR="00F0051C" w:rsidRPr="00EA7870">
        <w:rPr>
          <w:sz w:val="20"/>
          <w:szCs w:val="20"/>
          <w:lang w:val="es-AR"/>
        </w:rPr>
        <w:t>x</w:t>
      </w:r>
      <w:r w:rsidRPr="00EA7870">
        <w:rPr>
          <w:sz w:val="20"/>
          <w:szCs w:val="20"/>
          <w:lang w:val="es-AR"/>
        </w:rPr>
        <w:t>),</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devengados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entonces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vencerán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pagaderos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inmediato</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declaración</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acto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tenedor.</w:t>
      </w:r>
    </w:p>
    <w:p w14:paraId="50D75B11" w14:textId="77777777" w:rsidR="00376725" w:rsidRPr="00EA7870" w:rsidRDefault="00376725" w:rsidP="00376725">
      <w:pPr>
        <w:tabs>
          <w:tab w:val="left" w:pos="0"/>
        </w:tabs>
        <w:jc w:val="both"/>
        <w:rPr>
          <w:sz w:val="20"/>
          <w:szCs w:val="20"/>
          <w:lang w:val="es-AR"/>
        </w:rPr>
      </w:pPr>
    </w:p>
    <w:p w14:paraId="70CD8BF1" w14:textId="77777777" w:rsidR="00376725" w:rsidRPr="00EA7870" w:rsidRDefault="00376725" w:rsidP="00376725">
      <w:pPr>
        <w:tabs>
          <w:tab w:val="left" w:pos="0"/>
        </w:tabs>
        <w:jc w:val="both"/>
        <w:rPr>
          <w:sz w:val="20"/>
          <w:szCs w:val="20"/>
          <w:lang w:val="es-AR"/>
        </w:rPr>
      </w:pP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mayoría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dispensar</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Incumplimientos</w:t>
      </w:r>
      <w:r w:rsidR="001A28B3" w:rsidRPr="00EA7870">
        <w:rPr>
          <w:sz w:val="20"/>
          <w:szCs w:val="20"/>
          <w:lang w:val="es-AR"/>
        </w:rPr>
        <w:t xml:space="preserve"> </w:t>
      </w:r>
      <w:r w:rsidRPr="00EA7870">
        <w:rPr>
          <w:sz w:val="20"/>
          <w:szCs w:val="20"/>
          <w:lang w:val="es-AR"/>
        </w:rPr>
        <w:t>anteriores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existentes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rescindir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anular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declaración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caducidad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plazos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consecuencias</w:t>
      </w:r>
      <w:r w:rsidR="001A28B3" w:rsidRPr="00EA7870">
        <w:rPr>
          <w:sz w:val="20"/>
          <w:szCs w:val="20"/>
          <w:lang w:val="es-AR"/>
        </w:rPr>
        <w:t xml:space="preserve"> </w:t>
      </w:r>
      <w:r w:rsidRPr="00EA7870">
        <w:rPr>
          <w:sz w:val="20"/>
          <w:szCs w:val="20"/>
          <w:lang w:val="es-AR"/>
        </w:rPr>
        <w:t>si:</w:t>
      </w:r>
    </w:p>
    <w:p w14:paraId="187E848E" w14:textId="77777777" w:rsidR="00376725" w:rsidRPr="00EA7870" w:rsidRDefault="001A28B3" w:rsidP="00376725">
      <w:pPr>
        <w:tabs>
          <w:tab w:val="left" w:pos="0"/>
        </w:tabs>
        <w:ind w:firstLine="709"/>
        <w:jc w:val="both"/>
        <w:rPr>
          <w:sz w:val="20"/>
          <w:szCs w:val="20"/>
          <w:lang w:val="es-AR"/>
        </w:rPr>
      </w:pPr>
      <w:r w:rsidRPr="00EA7870">
        <w:rPr>
          <w:sz w:val="20"/>
          <w:szCs w:val="20"/>
          <w:lang w:val="es-AR"/>
        </w:rPr>
        <w:t xml:space="preserve"> </w:t>
      </w:r>
    </w:p>
    <w:p w14:paraId="48AFF38F" w14:textId="77777777" w:rsidR="00376725" w:rsidRPr="00EA7870" w:rsidRDefault="00376725" w:rsidP="00376725">
      <w:pPr>
        <w:tabs>
          <w:tab w:val="left" w:pos="0"/>
        </w:tabs>
        <w:ind w:left="567" w:firstLine="709"/>
        <w:jc w:val="both"/>
        <w:rPr>
          <w:sz w:val="20"/>
          <w:szCs w:val="20"/>
          <w:lang w:val="es-AR"/>
        </w:rPr>
      </w:pPr>
      <w:r w:rsidRPr="00EA7870">
        <w:rPr>
          <w:sz w:val="20"/>
          <w:szCs w:val="20"/>
          <w:lang w:val="es-AR"/>
        </w:rPr>
        <w:t>(1)</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Supuestos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existentes,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excepción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prima,</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vencido</w:t>
      </w:r>
      <w:r w:rsidR="001A28B3" w:rsidRPr="00EA7870">
        <w:rPr>
          <w:sz w:val="20"/>
          <w:szCs w:val="20"/>
          <w:lang w:val="es-AR"/>
        </w:rPr>
        <w:t xml:space="preserve"> </w:t>
      </w:r>
      <w:r w:rsidRPr="00EA7870">
        <w:rPr>
          <w:sz w:val="20"/>
          <w:szCs w:val="20"/>
          <w:lang w:val="es-AR"/>
        </w:rPr>
        <w:t>únicamente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declaración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caducidad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plazos,</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subsanados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dispensados;</w:t>
      </w:r>
      <w:r w:rsidR="001A28B3" w:rsidRPr="00EA7870">
        <w:rPr>
          <w:sz w:val="20"/>
          <w:szCs w:val="20"/>
          <w:lang w:val="es-AR"/>
        </w:rPr>
        <w:t xml:space="preserve"> </w:t>
      </w:r>
      <w:r w:rsidRPr="00EA7870">
        <w:rPr>
          <w:sz w:val="20"/>
          <w:szCs w:val="20"/>
          <w:lang w:val="es-AR"/>
        </w:rPr>
        <w:t>y</w:t>
      </w:r>
    </w:p>
    <w:p w14:paraId="211F82BA" w14:textId="77777777" w:rsidR="00376725" w:rsidRPr="00EA7870" w:rsidRDefault="00376725" w:rsidP="00376725">
      <w:pPr>
        <w:tabs>
          <w:tab w:val="left" w:pos="0"/>
        </w:tabs>
        <w:ind w:left="567" w:firstLine="709"/>
        <w:jc w:val="both"/>
        <w:rPr>
          <w:sz w:val="20"/>
          <w:szCs w:val="20"/>
          <w:lang w:val="es-AR"/>
        </w:rPr>
      </w:pPr>
    </w:p>
    <w:p w14:paraId="50E6E1E0" w14:textId="77777777" w:rsidR="00376725" w:rsidRPr="00EA7870" w:rsidRDefault="00376725" w:rsidP="00376725">
      <w:pPr>
        <w:tabs>
          <w:tab w:val="left" w:pos="0"/>
        </w:tabs>
        <w:ind w:left="567" w:firstLine="709"/>
        <w:jc w:val="both"/>
        <w:rPr>
          <w:sz w:val="20"/>
          <w:szCs w:val="20"/>
          <w:lang w:val="es-AR"/>
        </w:rPr>
      </w:pPr>
      <w:r w:rsidRPr="00EA7870">
        <w:rPr>
          <w:sz w:val="20"/>
          <w:szCs w:val="20"/>
          <w:lang w:val="es-AR"/>
        </w:rPr>
        <w:t>(2)</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rescisión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estuviera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conflicto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juez</w:t>
      </w:r>
      <w:r w:rsidR="001A28B3" w:rsidRPr="00EA7870">
        <w:rPr>
          <w:sz w:val="20"/>
          <w:szCs w:val="20"/>
          <w:lang w:val="es-AR"/>
        </w:rPr>
        <w:t xml:space="preserve"> </w:t>
      </w:r>
      <w:r w:rsidRPr="00EA7870">
        <w:rPr>
          <w:sz w:val="20"/>
          <w:szCs w:val="20"/>
          <w:lang w:val="es-AR"/>
        </w:rPr>
        <w:t>competente;</w:t>
      </w:r>
    </w:p>
    <w:p w14:paraId="44743314" w14:textId="77777777" w:rsidR="009C20B8" w:rsidRPr="00EA7870" w:rsidRDefault="009C20B8" w:rsidP="009C20B8">
      <w:pPr>
        <w:tabs>
          <w:tab w:val="left" w:pos="0"/>
        </w:tabs>
        <w:jc w:val="both"/>
        <w:rPr>
          <w:sz w:val="20"/>
          <w:szCs w:val="20"/>
          <w:lang w:val="es-AR"/>
        </w:rPr>
      </w:pPr>
    </w:p>
    <w:p w14:paraId="38D864E7" w14:textId="77777777" w:rsidR="00376725" w:rsidRPr="00EA7870" w:rsidRDefault="00376725" w:rsidP="00B37C3D">
      <w:pPr>
        <w:tabs>
          <w:tab w:val="left" w:pos="0"/>
        </w:tabs>
        <w:jc w:val="both"/>
        <w:rPr>
          <w:sz w:val="20"/>
          <w:szCs w:val="20"/>
          <w:lang w:val="es-AR"/>
        </w:rPr>
      </w:pPr>
      <w:r w:rsidRPr="00EA7870">
        <w:rPr>
          <w:i/>
          <w:iCs/>
          <w:sz w:val="20"/>
          <w:szCs w:val="20"/>
          <w:lang w:val="es-AR"/>
        </w:rPr>
        <w:t>teniendo</w:t>
      </w:r>
      <w:r w:rsidR="001A28B3" w:rsidRPr="00EA7870">
        <w:rPr>
          <w:i/>
          <w:iCs/>
          <w:sz w:val="20"/>
          <w:szCs w:val="20"/>
          <w:lang w:val="es-AR"/>
        </w:rPr>
        <w:t xml:space="preserve"> </w:t>
      </w:r>
      <w:r w:rsidRPr="00EA7870">
        <w:rPr>
          <w:i/>
          <w:iCs/>
          <w:sz w:val="20"/>
          <w:szCs w:val="20"/>
          <w:lang w:val="es-AR"/>
        </w:rPr>
        <w:t>en</w:t>
      </w:r>
      <w:r w:rsidR="001A28B3" w:rsidRPr="00EA7870">
        <w:rPr>
          <w:i/>
          <w:iCs/>
          <w:sz w:val="20"/>
          <w:szCs w:val="20"/>
          <w:lang w:val="es-AR"/>
        </w:rPr>
        <w:t xml:space="preserve"> </w:t>
      </w:r>
      <w:r w:rsidRPr="00EA7870">
        <w:rPr>
          <w:i/>
          <w:iCs/>
          <w:sz w:val="20"/>
          <w:szCs w:val="20"/>
          <w:lang w:val="es-AR"/>
        </w:rPr>
        <w:t>cuenta</w:t>
      </w:r>
      <w:r w:rsidR="001A28B3" w:rsidRPr="00EA7870">
        <w:rPr>
          <w:i/>
          <w:iCs/>
          <w:sz w:val="20"/>
          <w:szCs w:val="20"/>
          <w:lang w:val="es-AR"/>
        </w:rPr>
        <w:t xml:space="preserve"> </w:t>
      </w:r>
      <w:r w:rsidRPr="00EA7870">
        <w:rPr>
          <w:i/>
          <w:iCs/>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requerirá</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voto</w:t>
      </w:r>
      <w:r w:rsidR="001A28B3" w:rsidRPr="00EA7870">
        <w:rPr>
          <w:sz w:val="20"/>
          <w:szCs w:val="20"/>
          <w:lang w:val="es-AR"/>
        </w:rPr>
        <w:t xml:space="preserve"> </w:t>
      </w:r>
      <w:r w:rsidRPr="00EA7870">
        <w:rPr>
          <w:sz w:val="20"/>
          <w:szCs w:val="20"/>
          <w:lang w:val="es-AR"/>
        </w:rPr>
        <w:t>afirmativo</w:t>
      </w:r>
      <w:r w:rsidR="001A28B3" w:rsidRPr="00EA7870">
        <w:rPr>
          <w:sz w:val="20"/>
          <w:szCs w:val="20"/>
          <w:lang w:val="es-AR"/>
        </w:rPr>
        <w:t xml:space="preserve"> </w:t>
      </w:r>
      <w:r w:rsidRPr="00EA7870">
        <w:rPr>
          <w:sz w:val="20"/>
          <w:szCs w:val="20"/>
          <w:lang w:val="es-AR"/>
        </w:rPr>
        <w:t>unánime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afectados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adoptar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decisión</w:t>
      </w:r>
      <w:r w:rsidR="001A28B3" w:rsidRPr="00EA7870">
        <w:rPr>
          <w:sz w:val="20"/>
          <w:szCs w:val="20"/>
          <w:lang w:val="es-AR"/>
        </w:rPr>
        <w:t xml:space="preserve"> </w:t>
      </w:r>
      <w:r w:rsidRPr="00EA7870">
        <w:rPr>
          <w:sz w:val="20"/>
          <w:szCs w:val="20"/>
          <w:lang w:val="es-AR"/>
        </w:rPr>
        <w:t>válida</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prima,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compromiso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modificada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enmendada</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unánime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describe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w:t>
      </w:r>
      <w:r w:rsidRPr="00EA7870">
        <w:rPr>
          <w:i/>
          <w:sz w:val="20"/>
          <w:szCs w:val="20"/>
          <w:lang w:val="es-AR"/>
        </w:rPr>
        <w:t>—Modificaciones</w:t>
      </w:r>
      <w:r w:rsidR="001A28B3" w:rsidRPr="00EA7870">
        <w:rPr>
          <w:i/>
          <w:sz w:val="20"/>
          <w:szCs w:val="20"/>
          <w:lang w:val="es-AR"/>
        </w:rPr>
        <w:t xml:space="preserve"> </w:t>
      </w:r>
      <w:r w:rsidRPr="00EA7870">
        <w:rPr>
          <w:i/>
          <w:sz w:val="20"/>
          <w:szCs w:val="20"/>
          <w:lang w:val="es-AR"/>
        </w:rPr>
        <w:t>con</w:t>
      </w:r>
      <w:r w:rsidR="001A28B3" w:rsidRPr="00EA7870">
        <w:rPr>
          <w:i/>
          <w:sz w:val="20"/>
          <w:szCs w:val="20"/>
          <w:lang w:val="es-AR"/>
        </w:rPr>
        <w:t xml:space="preserve"> </w:t>
      </w:r>
      <w:r w:rsidRPr="00EA7870">
        <w:rPr>
          <w:i/>
          <w:sz w:val="20"/>
          <w:szCs w:val="20"/>
          <w:lang w:val="es-AR"/>
        </w:rPr>
        <w:t>el</w:t>
      </w:r>
      <w:r w:rsidR="001A28B3" w:rsidRPr="00EA7870">
        <w:rPr>
          <w:i/>
          <w:sz w:val="20"/>
          <w:szCs w:val="20"/>
          <w:lang w:val="es-AR"/>
        </w:rPr>
        <w:t xml:space="preserve"> </w:t>
      </w:r>
      <w:r w:rsidRPr="00EA7870">
        <w:rPr>
          <w:i/>
          <w:sz w:val="20"/>
          <w:szCs w:val="20"/>
          <w:lang w:val="es-AR"/>
        </w:rPr>
        <w:t>consentimiento</w:t>
      </w:r>
      <w:r w:rsidR="001A28B3" w:rsidRPr="00EA7870">
        <w:rPr>
          <w:i/>
          <w:sz w:val="20"/>
          <w:szCs w:val="20"/>
          <w:lang w:val="es-AR"/>
        </w:rPr>
        <w:t xml:space="preserve"> </w:t>
      </w:r>
      <w:r w:rsidRPr="00EA7870">
        <w:rPr>
          <w:i/>
          <w:sz w:val="20"/>
          <w:szCs w:val="20"/>
          <w:lang w:val="es-AR"/>
        </w:rPr>
        <w:t>de</w:t>
      </w:r>
      <w:r w:rsidR="001A28B3" w:rsidRPr="00EA7870">
        <w:rPr>
          <w:i/>
          <w:sz w:val="20"/>
          <w:szCs w:val="20"/>
          <w:lang w:val="es-AR"/>
        </w:rPr>
        <w:t xml:space="preserve"> </w:t>
      </w:r>
      <w:r w:rsidRPr="00EA7870">
        <w:rPr>
          <w:i/>
          <w:sz w:val="20"/>
          <w:szCs w:val="20"/>
          <w:lang w:val="es-AR"/>
        </w:rPr>
        <w:t>los</w:t>
      </w:r>
      <w:r w:rsidR="001A28B3" w:rsidRPr="00EA7870">
        <w:rPr>
          <w:i/>
          <w:sz w:val="20"/>
          <w:szCs w:val="20"/>
          <w:lang w:val="es-AR"/>
        </w:rPr>
        <w:t xml:space="preserve"> </w:t>
      </w:r>
      <w:r w:rsidRPr="00EA7870">
        <w:rPr>
          <w:i/>
          <w:sz w:val="20"/>
          <w:szCs w:val="20"/>
          <w:lang w:val="es-AR"/>
        </w:rPr>
        <w:t>tenedores</w:t>
      </w:r>
      <w:r w:rsidRPr="00EA7870">
        <w:rPr>
          <w:sz w:val="20"/>
          <w:szCs w:val="20"/>
          <w:lang w:val="es-AR"/>
        </w:rPr>
        <w:t>.”</w:t>
      </w:r>
    </w:p>
    <w:p w14:paraId="60A3B534" w14:textId="77777777" w:rsidR="00376725" w:rsidRPr="00EA7870" w:rsidRDefault="00376725" w:rsidP="00376725">
      <w:pPr>
        <w:tabs>
          <w:tab w:val="left" w:pos="0"/>
        </w:tabs>
        <w:jc w:val="both"/>
        <w:rPr>
          <w:sz w:val="20"/>
          <w:szCs w:val="20"/>
          <w:lang w:val="es-AR"/>
        </w:rPr>
      </w:pPr>
    </w:p>
    <w:p w14:paraId="036B6A14" w14:textId="77777777" w:rsidR="00376725" w:rsidRPr="00EA7870" w:rsidRDefault="00376725" w:rsidP="00376725">
      <w:pPr>
        <w:tabs>
          <w:tab w:val="left" w:pos="0"/>
        </w:tabs>
        <w:jc w:val="both"/>
        <w:rPr>
          <w:sz w:val="20"/>
          <w:szCs w:val="20"/>
          <w:lang w:val="es-AR"/>
        </w:rPr>
      </w:pP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presumirá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tiene</w:t>
      </w:r>
      <w:r w:rsidR="001A28B3" w:rsidRPr="00EA7870">
        <w:rPr>
          <w:sz w:val="20"/>
          <w:szCs w:val="20"/>
          <w:lang w:val="es-AR"/>
        </w:rPr>
        <w:t xml:space="preserve"> </w:t>
      </w:r>
      <w:r w:rsidRPr="00EA7870">
        <w:rPr>
          <w:sz w:val="20"/>
          <w:szCs w:val="20"/>
          <w:lang w:val="es-AR"/>
        </w:rPr>
        <w:t>conocimiento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haya</w:t>
      </w:r>
      <w:r w:rsidR="001A28B3" w:rsidRPr="00EA7870">
        <w:rPr>
          <w:sz w:val="20"/>
          <w:szCs w:val="20"/>
          <w:lang w:val="es-AR"/>
        </w:rPr>
        <w:t xml:space="preserve"> </w:t>
      </w:r>
      <w:r w:rsidRPr="00EA7870">
        <w:rPr>
          <w:sz w:val="20"/>
          <w:szCs w:val="20"/>
          <w:lang w:val="es-AR"/>
        </w:rPr>
        <w:t>cursado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funcionario</w:t>
      </w:r>
      <w:r w:rsidR="001A28B3" w:rsidRPr="00EA7870">
        <w:rPr>
          <w:sz w:val="20"/>
          <w:szCs w:val="20"/>
          <w:lang w:val="es-AR"/>
        </w:rPr>
        <w:t xml:space="preserve"> </w:t>
      </w:r>
      <w:r w:rsidRPr="00EA7870">
        <w:rPr>
          <w:sz w:val="20"/>
          <w:szCs w:val="20"/>
          <w:lang w:val="es-AR"/>
        </w:rPr>
        <w:t>responsable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directa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administración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4AD1411B" w14:textId="77777777" w:rsidR="00376725" w:rsidRPr="00EA7870" w:rsidRDefault="00376725" w:rsidP="00376725">
      <w:pPr>
        <w:tabs>
          <w:tab w:val="left" w:pos="0"/>
        </w:tabs>
        <w:ind w:firstLine="709"/>
        <w:jc w:val="both"/>
        <w:rPr>
          <w:sz w:val="20"/>
          <w:szCs w:val="20"/>
          <w:lang w:val="es-AR"/>
        </w:rPr>
      </w:pPr>
    </w:p>
    <w:p w14:paraId="58BB795B" w14:textId="77777777" w:rsidR="00376725" w:rsidRPr="00EA7870" w:rsidRDefault="00376725" w:rsidP="00376725">
      <w:pPr>
        <w:tabs>
          <w:tab w:val="left" w:pos="0"/>
        </w:tabs>
        <w:jc w:val="both"/>
        <w:rPr>
          <w:sz w:val="20"/>
          <w:szCs w:val="20"/>
          <w:lang w:val="es-AR"/>
        </w:rPr>
      </w:pP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mayoría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instruir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método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realización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procedimiento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recurso</w:t>
      </w:r>
      <w:r w:rsidR="001A28B3" w:rsidRPr="00EA7870">
        <w:rPr>
          <w:sz w:val="20"/>
          <w:szCs w:val="20"/>
          <w:lang w:val="es-AR"/>
        </w:rPr>
        <w:t xml:space="preserve"> </w:t>
      </w:r>
      <w:r w:rsidRPr="00EA7870">
        <w:rPr>
          <w:sz w:val="20"/>
          <w:szCs w:val="20"/>
          <w:lang w:val="es-AR"/>
        </w:rPr>
        <w:t>disponible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ejercicio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facultad</w:t>
      </w:r>
      <w:r w:rsidR="001A28B3" w:rsidRPr="00EA7870">
        <w:rPr>
          <w:sz w:val="20"/>
          <w:szCs w:val="20"/>
          <w:lang w:val="es-AR"/>
        </w:rPr>
        <w:t xml:space="preserve"> </w:t>
      </w:r>
      <w:r w:rsidRPr="00EA7870">
        <w:rPr>
          <w:sz w:val="20"/>
          <w:szCs w:val="20"/>
          <w:lang w:val="es-AR"/>
        </w:rPr>
        <w:t>fiduciaria</w:t>
      </w:r>
      <w:r w:rsidR="001A28B3" w:rsidRPr="00EA7870">
        <w:rPr>
          <w:sz w:val="20"/>
          <w:szCs w:val="20"/>
          <w:lang w:val="es-AR"/>
        </w:rPr>
        <w:t xml:space="preserve"> </w:t>
      </w:r>
      <w:r w:rsidRPr="00EA7870">
        <w:rPr>
          <w:sz w:val="20"/>
          <w:szCs w:val="20"/>
          <w:lang w:val="es-AR"/>
        </w:rPr>
        <w:t>conferida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obstante,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rehusarse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seguir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instrucción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contraria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implicar</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personal</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buena</w:t>
      </w:r>
      <w:r w:rsidR="001A28B3" w:rsidRPr="00EA7870">
        <w:rPr>
          <w:sz w:val="20"/>
          <w:szCs w:val="20"/>
          <w:lang w:val="es-AR"/>
        </w:rPr>
        <w:t xml:space="preserve"> </w:t>
      </w:r>
      <w:r w:rsidRPr="00EA7870">
        <w:rPr>
          <w:sz w:val="20"/>
          <w:szCs w:val="20"/>
          <w:lang w:val="es-AR"/>
        </w:rPr>
        <w:t>fe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pudiera</w:t>
      </w:r>
      <w:r w:rsidR="001A28B3" w:rsidRPr="00EA7870">
        <w:rPr>
          <w:sz w:val="20"/>
          <w:szCs w:val="20"/>
          <w:lang w:val="es-AR"/>
        </w:rPr>
        <w:t xml:space="preserve"> </w:t>
      </w:r>
      <w:r w:rsidRPr="00EA7870">
        <w:rPr>
          <w:sz w:val="20"/>
          <w:szCs w:val="20"/>
          <w:lang w:val="es-AR"/>
        </w:rPr>
        <w:t>resultar</w:t>
      </w:r>
      <w:r w:rsidR="001A28B3" w:rsidRPr="00EA7870">
        <w:rPr>
          <w:sz w:val="20"/>
          <w:szCs w:val="20"/>
          <w:lang w:val="es-AR"/>
        </w:rPr>
        <w:t xml:space="preserve"> </w:t>
      </w:r>
      <w:r w:rsidRPr="00EA7870">
        <w:rPr>
          <w:sz w:val="20"/>
          <w:szCs w:val="20"/>
          <w:lang w:val="es-AR"/>
        </w:rPr>
        <w:t>indebidamente</w:t>
      </w:r>
      <w:r w:rsidR="001A28B3" w:rsidRPr="00EA7870">
        <w:rPr>
          <w:sz w:val="20"/>
          <w:szCs w:val="20"/>
          <w:lang w:val="es-AR"/>
        </w:rPr>
        <w:t xml:space="preserve"> </w:t>
      </w:r>
      <w:r w:rsidRPr="00EA7870">
        <w:rPr>
          <w:sz w:val="20"/>
          <w:szCs w:val="20"/>
          <w:lang w:val="es-AR"/>
        </w:rPr>
        <w:t>perjudicial</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compartan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instrucción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puede</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acción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considere</w:t>
      </w:r>
      <w:r w:rsidR="001A28B3" w:rsidRPr="00EA7870">
        <w:rPr>
          <w:sz w:val="20"/>
          <w:szCs w:val="20"/>
          <w:lang w:val="es-AR"/>
        </w:rPr>
        <w:t xml:space="preserve"> </w:t>
      </w:r>
      <w:r w:rsidRPr="00EA7870">
        <w:rPr>
          <w:sz w:val="20"/>
          <w:szCs w:val="20"/>
          <w:lang w:val="es-AR"/>
        </w:rPr>
        <w:t>conveniente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contra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instrucción</w:t>
      </w:r>
      <w:r w:rsidR="001A28B3" w:rsidRPr="00EA7870">
        <w:rPr>
          <w:sz w:val="20"/>
          <w:szCs w:val="20"/>
          <w:lang w:val="es-AR"/>
        </w:rPr>
        <w:t xml:space="preserve"> </w:t>
      </w:r>
      <w:r w:rsidRPr="00EA7870">
        <w:rPr>
          <w:sz w:val="20"/>
          <w:szCs w:val="20"/>
          <w:lang w:val="es-AR"/>
        </w:rPr>
        <w:t>recibida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2B2B7C04" w14:textId="77777777" w:rsidR="00376725" w:rsidRPr="00EA7870" w:rsidRDefault="00376725" w:rsidP="00376725">
      <w:pPr>
        <w:tabs>
          <w:tab w:val="left" w:pos="0"/>
        </w:tabs>
        <w:jc w:val="both"/>
        <w:rPr>
          <w:sz w:val="20"/>
          <w:szCs w:val="20"/>
          <w:lang w:val="es-AR"/>
        </w:rPr>
      </w:pPr>
    </w:p>
    <w:p w14:paraId="3E4164C5" w14:textId="77777777" w:rsidR="00376725" w:rsidRPr="00EA7870" w:rsidRDefault="00376725" w:rsidP="00376725">
      <w:pPr>
        <w:tabs>
          <w:tab w:val="left" w:pos="0"/>
        </w:tabs>
        <w:jc w:val="both"/>
        <w:rPr>
          <w:sz w:val="20"/>
          <w:szCs w:val="20"/>
          <w:lang w:val="es-AR"/>
        </w:rPr>
      </w:pPr>
      <w:r w:rsidRPr="00EA7870">
        <w:rPr>
          <w:sz w:val="20"/>
          <w:szCs w:val="20"/>
          <w:lang w:val="es-AR"/>
        </w:rPr>
        <w:t>Ningún</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entablar</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judiciales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obtener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recurso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que:</w:t>
      </w:r>
    </w:p>
    <w:p w14:paraId="6DC39FB2" w14:textId="77777777" w:rsidR="00376725" w:rsidRPr="00EA7870" w:rsidRDefault="00376725" w:rsidP="00376725">
      <w:pPr>
        <w:tabs>
          <w:tab w:val="left" w:pos="0"/>
        </w:tabs>
        <w:ind w:firstLine="709"/>
        <w:jc w:val="both"/>
        <w:rPr>
          <w:sz w:val="20"/>
          <w:szCs w:val="20"/>
          <w:lang w:val="es-AR"/>
        </w:rPr>
      </w:pPr>
    </w:p>
    <w:p w14:paraId="04D27078" w14:textId="77777777" w:rsidR="00376725" w:rsidRPr="00EA7870" w:rsidRDefault="00376725" w:rsidP="00376725">
      <w:pPr>
        <w:tabs>
          <w:tab w:val="left" w:pos="0"/>
        </w:tabs>
        <w:ind w:left="567" w:firstLine="709"/>
        <w:jc w:val="both"/>
        <w:rPr>
          <w:sz w:val="20"/>
          <w:szCs w:val="20"/>
          <w:lang w:val="es-AR"/>
        </w:rPr>
      </w:pPr>
      <w:r w:rsidRPr="00EA7870">
        <w:rPr>
          <w:sz w:val="20"/>
          <w:szCs w:val="20"/>
          <w:lang w:val="es-AR"/>
        </w:rPr>
        <w:t>(1)</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haya</w:t>
      </w:r>
      <w:r w:rsidR="001A28B3" w:rsidRPr="00EA7870">
        <w:rPr>
          <w:sz w:val="20"/>
          <w:szCs w:val="20"/>
          <w:lang w:val="es-AR"/>
        </w:rPr>
        <w:t xml:space="preserve"> </w:t>
      </w:r>
      <w:r w:rsidRPr="00EA7870">
        <w:rPr>
          <w:sz w:val="20"/>
          <w:szCs w:val="20"/>
          <w:lang w:val="es-AR"/>
        </w:rPr>
        <w:t>previamente</w:t>
      </w:r>
      <w:r w:rsidR="001A28B3" w:rsidRPr="00EA7870">
        <w:rPr>
          <w:sz w:val="20"/>
          <w:szCs w:val="20"/>
          <w:lang w:val="es-AR"/>
        </w:rPr>
        <w:t xml:space="preserve"> </w:t>
      </w:r>
      <w:r w:rsidRPr="00EA7870">
        <w:rPr>
          <w:sz w:val="20"/>
          <w:szCs w:val="20"/>
          <w:lang w:val="es-AR"/>
        </w:rPr>
        <w:t>otorgado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vigente;</w:t>
      </w:r>
    </w:p>
    <w:p w14:paraId="1831685D" w14:textId="77777777" w:rsidR="00376725" w:rsidRPr="00EA7870" w:rsidRDefault="001A28B3" w:rsidP="00376725">
      <w:pPr>
        <w:tabs>
          <w:tab w:val="left" w:pos="0"/>
        </w:tabs>
        <w:ind w:left="567" w:firstLine="709"/>
        <w:jc w:val="both"/>
        <w:rPr>
          <w:sz w:val="20"/>
          <w:szCs w:val="20"/>
          <w:lang w:val="es-AR"/>
        </w:rPr>
      </w:pPr>
      <w:r w:rsidRPr="00EA7870">
        <w:rPr>
          <w:sz w:val="20"/>
          <w:szCs w:val="20"/>
          <w:lang w:val="es-AR"/>
        </w:rPr>
        <w:t xml:space="preserve"> </w:t>
      </w:r>
    </w:p>
    <w:p w14:paraId="3A7D772D" w14:textId="77777777" w:rsidR="00376725" w:rsidRPr="00EA7870" w:rsidRDefault="00376725" w:rsidP="00376725">
      <w:pPr>
        <w:tabs>
          <w:tab w:val="left" w:pos="0"/>
        </w:tabs>
        <w:ind w:left="567" w:firstLine="709"/>
        <w:jc w:val="both"/>
        <w:rPr>
          <w:sz w:val="20"/>
          <w:szCs w:val="20"/>
          <w:lang w:val="es-AR"/>
        </w:rPr>
      </w:pPr>
      <w:r w:rsidRPr="00EA7870">
        <w:rPr>
          <w:sz w:val="20"/>
          <w:szCs w:val="20"/>
          <w:lang w:val="es-AR"/>
        </w:rPr>
        <w:t>(2)</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25%</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presentado</w:t>
      </w:r>
      <w:r w:rsidR="001A28B3" w:rsidRPr="00EA7870">
        <w:rPr>
          <w:sz w:val="20"/>
          <w:szCs w:val="20"/>
          <w:lang w:val="es-AR"/>
        </w:rPr>
        <w:t xml:space="preserve"> </w:t>
      </w:r>
      <w:r w:rsidRPr="00EA7870">
        <w:rPr>
          <w:sz w:val="20"/>
          <w:szCs w:val="20"/>
          <w:lang w:val="es-AR"/>
        </w:rPr>
        <w:t>solicitud</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iniciar</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judiciales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p>
    <w:p w14:paraId="7A51C672" w14:textId="77777777" w:rsidR="00376725" w:rsidRPr="00EA7870" w:rsidRDefault="00376725" w:rsidP="00376725">
      <w:pPr>
        <w:tabs>
          <w:tab w:val="left" w:pos="0"/>
        </w:tabs>
        <w:ind w:left="567" w:firstLine="709"/>
        <w:jc w:val="both"/>
        <w:rPr>
          <w:sz w:val="20"/>
          <w:szCs w:val="20"/>
          <w:lang w:val="es-AR"/>
        </w:rPr>
      </w:pPr>
    </w:p>
    <w:p w14:paraId="2E370019" w14:textId="77777777" w:rsidR="00376725" w:rsidRPr="00EA7870" w:rsidRDefault="00376725" w:rsidP="00376725">
      <w:pPr>
        <w:tabs>
          <w:tab w:val="left" w:pos="0"/>
        </w:tabs>
        <w:ind w:left="567" w:firstLine="709"/>
        <w:jc w:val="both"/>
        <w:rPr>
          <w:sz w:val="20"/>
          <w:szCs w:val="20"/>
          <w:lang w:val="es-AR"/>
        </w:rPr>
      </w:pPr>
      <w:r w:rsidRPr="00EA7870">
        <w:rPr>
          <w:sz w:val="20"/>
          <w:szCs w:val="20"/>
          <w:lang w:val="es-AR"/>
        </w:rPr>
        <w:t>(3)</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ofrecido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brindado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indemnización</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razonablemente</w:t>
      </w:r>
      <w:r w:rsidR="001A28B3" w:rsidRPr="00EA7870">
        <w:rPr>
          <w:sz w:val="20"/>
          <w:szCs w:val="20"/>
          <w:lang w:val="es-AR"/>
        </w:rPr>
        <w:t xml:space="preserve"> </w:t>
      </w:r>
      <w:r w:rsidRPr="00EA7870">
        <w:rPr>
          <w:sz w:val="20"/>
          <w:szCs w:val="20"/>
          <w:lang w:val="es-AR"/>
        </w:rPr>
        <w:t>satisfactoria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contra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costos,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erogaciones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incurridas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solicitud;</w:t>
      </w:r>
    </w:p>
    <w:p w14:paraId="0F0B7C27" w14:textId="77777777" w:rsidR="00376725" w:rsidRPr="00EA7870" w:rsidRDefault="00376725" w:rsidP="00376725">
      <w:pPr>
        <w:tabs>
          <w:tab w:val="left" w:pos="0"/>
        </w:tabs>
        <w:ind w:left="567" w:firstLine="709"/>
        <w:jc w:val="both"/>
        <w:rPr>
          <w:sz w:val="20"/>
          <w:szCs w:val="20"/>
          <w:lang w:val="es-AR"/>
        </w:rPr>
      </w:pPr>
    </w:p>
    <w:p w14:paraId="46A69911" w14:textId="77777777" w:rsidR="00376725" w:rsidRPr="00EA7870" w:rsidRDefault="00376725" w:rsidP="00376725">
      <w:pPr>
        <w:tabs>
          <w:tab w:val="left" w:pos="0"/>
        </w:tabs>
        <w:ind w:left="567" w:firstLine="709"/>
        <w:jc w:val="both"/>
        <w:rPr>
          <w:sz w:val="20"/>
          <w:szCs w:val="20"/>
          <w:lang w:val="es-AR"/>
        </w:rPr>
      </w:pPr>
      <w:r w:rsidRPr="00EA7870">
        <w:rPr>
          <w:sz w:val="20"/>
          <w:szCs w:val="20"/>
          <w:lang w:val="es-AR"/>
        </w:rPr>
        <w:t>(4)</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recepción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solicitud</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indemnización</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entablado</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y</w:t>
      </w:r>
    </w:p>
    <w:p w14:paraId="004B0429" w14:textId="77777777" w:rsidR="00376725" w:rsidRPr="00EA7870" w:rsidRDefault="00376725" w:rsidP="00376725">
      <w:pPr>
        <w:tabs>
          <w:tab w:val="left" w:pos="0"/>
        </w:tabs>
        <w:ind w:left="567" w:firstLine="709"/>
        <w:jc w:val="both"/>
        <w:rPr>
          <w:sz w:val="20"/>
          <w:szCs w:val="20"/>
          <w:lang w:val="es-AR"/>
        </w:rPr>
      </w:pPr>
    </w:p>
    <w:p w14:paraId="58EB4A59" w14:textId="77777777" w:rsidR="00376725" w:rsidRPr="00EA7870" w:rsidRDefault="00376725" w:rsidP="00376725">
      <w:pPr>
        <w:tabs>
          <w:tab w:val="left" w:pos="0"/>
        </w:tabs>
        <w:ind w:left="567" w:firstLine="709"/>
        <w:jc w:val="both"/>
        <w:rPr>
          <w:sz w:val="20"/>
          <w:szCs w:val="20"/>
          <w:lang w:val="es-AR"/>
        </w:rPr>
      </w:pPr>
      <w:r w:rsidRPr="00EA7870">
        <w:rPr>
          <w:sz w:val="20"/>
          <w:szCs w:val="20"/>
          <w:lang w:val="es-AR"/>
        </w:rPr>
        <w:t>(5)</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mayoría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impartido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instrucción</w:t>
      </w:r>
      <w:r w:rsidR="001A28B3" w:rsidRPr="00EA7870">
        <w:rPr>
          <w:sz w:val="20"/>
          <w:szCs w:val="20"/>
          <w:lang w:val="es-AR"/>
        </w:rPr>
        <w:t xml:space="preserve"> </w:t>
      </w:r>
      <w:r w:rsidRPr="00EA7870">
        <w:rPr>
          <w:sz w:val="20"/>
          <w:szCs w:val="20"/>
          <w:lang w:val="es-AR"/>
        </w:rPr>
        <w:t>contraria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solicitud</w:t>
      </w:r>
      <w:r w:rsidR="001A28B3" w:rsidRPr="00EA7870">
        <w:rPr>
          <w:sz w:val="20"/>
          <w:szCs w:val="20"/>
          <w:lang w:val="es-AR"/>
        </w:rPr>
        <w:t xml:space="preserve"> </w:t>
      </w:r>
      <w:r w:rsidRPr="00EA7870">
        <w:rPr>
          <w:sz w:val="20"/>
          <w:szCs w:val="20"/>
          <w:lang w:val="es-AR"/>
        </w:rPr>
        <w:t>escrita.</w:t>
      </w:r>
    </w:p>
    <w:p w14:paraId="55900DAD" w14:textId="77777777" w:rsidR="00376725" w:rsidRPr="00EA7870" w:rsidRDefault="00376725" w:rsidP="00376725">
      <w:pPr>
        <w:tabs>
          <w:tab w:val="left" w:pos="0"/>
        </w:tabs>
        <w:ind w:left="567" w:firstLine="709"/>
        <w:jc w:val="both"/>
        <w:rPr>
          <w:sz w:val="20"/>
          <w:szCs w:val="20"/>
          <w:lang w:val="es-AR"/>
        </w:rPr>
      </w:pPr>
    </w:p>
    <w:p w14:paraId="126989CE" w14:textId="77777777" w:rsidR="00376725" w:rsidRPr="00EA7870" w:rsidRDefault="00376725" w:rsidP="00376725">
      <w:pPr>
        <w:tabs>
          <w:tab w:val="left" w:pos="0"/>
        </w:tabs>
        <w:jc w:val="both"/>
        <w:rPr>
          <w:sz w:val="20"/>
          <w:szCs w:val="20"/>
          <w:lang w:val="es-AR"/>
        </w:rPr>
      </w:pP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contrario,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recibir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Declarado,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posteriormente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iniciar</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exigibilidad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fechas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posteriormente</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acción</w:t>
      </w:r>
      <w:r w:rsidR="001A28B3" w:rsidRPr="00EA7870">
        <w:rPr>
          <w:sz w:val="20"/>
          <w:szCs w:val="20"/>
          <w:lang w:val="es-AR"/>
        </w:rPr>
        <w:t xml:space="preserve"> </w:t>
      </w:r>
      <w:r w:rsidRPr="00EA7870">
        <w:rPr>
          <w:sz w:val="20"/>
          <w:szCs w:val="20"/>
          <w:lang w:val="es-AR"/>
        </w:rPr>
        <w:t>ejecutiva</w:t>
      </w:r>
      <w:r w:rsidR="001A28B3" w:rsidRPr="00EA7870">
        <w:rPr>
          <w:sz w:val="20"/>
          <w:szCs w:val="20"/>
          <w:lang w:val="es-AR"/>
        </w:rPr>
        <w:t xml:space="preserve"> </w:t>
      </w:r>
      <w:r w:rsidRPr="00EA7870">
        <w:rPr>
          <w:sz w:val="20"/>
          <w:szCs w:val="20"/>
          <w:lang w:val="es-AR"/>
        </w:rPr>
        <w:t>individual</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Artículo</w:t>
      </w:r>
      <w:r w:rsidR="001A28B3" w:rsidRPr="00EA7870">
        <w:rPr>
          <w:sz w:val="20"/>
          <w:szCs w:val="20"/>
          <w:lang w:val="es-AR"/>
        </w:rPr>
        <w:t xml:space="preserve"> </w:t>
      </w:r>
      <w:r w:rsidRPr="00EA7870">
        <w:rPr>
          <w:sz w:val="20"/>
          <w:szCs w:val="20"/>
          <w:lang w:val="es-AR"/>
        </w:rPr>
        <w:t>29</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menoscabado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afectado</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ese</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fin,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globales</w:t>
      </w:r>
      <w:r w:rsidR="001A28B3" w:rsidRPr="00EA7870">
        <w:rPr>
          <w:sz w:val="20"/>
          <w:szCs w:val="20"/>
          <w:lang w:val="es-AR"/>
        </w:rPr>
        <w:t xml:space="preserve"> </w:t>
      </w:r>
      <w:r w:rsidRPr="00EA7870">
        <w:rPr>
          <w:sz w:val="20"/>
          <w:szCs w:val="20"/>
          <w:lang w:val="es-AR"/>
        </w:rPr>
        <w:t>tendrá</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obtener</w:t>
      </w:r>
      <w:r w:rsidR="001A28B3" w:rsidRPr="00EA7870">
        <w:rPr>
          <w:sz w:val="20"/>
          <w:szCs w:val="20"/>
          <w:lang w:val="es-AR"/>
        </w:rPr>
        <w:t xml:space="preserve"> </w:t>
      </w:r>
      <w:r w:rsidRPr="00EA7870">
        <w:rPr>
          <w:sz w:val="20"/>
          <w:szCs w:val="20"/>
          <w:lang w:val="es-AR"/>
        </w:rPr>
        <w:t>comprobante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participación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titularidad</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global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Artículo</w:t>
      </w:r>
      <w:r w:rsidR="001A28B3" w:rsidRPr="00EA7870">
        <w:rPr>
          <w:sz w:val="20"/>
          <w:szCs w:val="20"/>
          <w:lang w:val="es-AR"/>
        </w:rPr>
        <w:t xml:space="preserve"> </w:t>
      </w:r>
      <w:r w:rsidRPr="00EA7870">
        <w:rPr>
          <w:sz w:val="20"/>
          <w:szCs w:val="20"/>
          <w:lang w:val="es-AR"/>
        </w:rPr>
        <w:t>129</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Capitales</w:t>
      </w:r>
      <w:r w:rsidR="001A28B3" w:rsidRPr="00EA7870">
        <w:rPr>
          <w:sz w:val="20"/>
          <w:szCs w:val="20"/>
          <w:lang w:val="es-AR"/>
        </w:rPr>
        <w:t xml:space="preserve"> </w:t>
      </w:r>
      <w:r w:rsidRPr="00EA7870">
        <w:rPr>
          <w:sz w:val="20"/>
          <w:szCs w:val="20"/>
          <w:lang w:val="es-AR"/>
        </w:rPr>
        <w:t>(inclusive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iniciar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acción</w:t>
      </w:r>
      <w:r w:rsidR="001A28B3" w:rsidRPr="00EA7870">
        <w:rPr>
          <w:sz w:val="20"/>
          <w:szCs w:val="20"/>
          <w:lang w:val="es-AR"/>
        </w:rPr>
        <w:t xml:space="preserve"> </w:t>
      </w:r>
      <w:r w:rsidRPr="00EA7870">
        <w:rPr>
          <w:sz w:val="20"/>
          <w:szCs w:val="20"/>
          <w:lang w:val="es-AR"/>
        </w:rPr>
        <w:t>ejecutiva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establecida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considerado</w:t>
      </w:r>
      <w:r w:rsidR="001A28B3" w:rsidRPr="00EA7870">
        <w:rPr>
          <w:sz w:val="20"/>
          <w:szCs w:val="20"/>
          <w:lang w:val="es-AR"/>
        </w:rPr>
        <w:t xml:space="preserve"> </w:t>
      </w:r>
      <w:r w:rsidRPr="00EA7870">
        <w:rPr>
          <w:sz w:val="20"/>
          <w:szCs w:val="20"/>
          <w:lang w:val="es-AR"/>
        </w:rPr>
        <w:t>titular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porción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global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representa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participación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titularidad</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ella.</w:t>
      </w:r>
      <w:r w:rsidR="001A28B3" w:rsidRPr="00EA7870">
        <w:rPr>
          <w:sz w:val="20"/>
          <w:szCs w:val="20"/>
          <w:lang w:val="es-AR"/>
        </w:rPr>
        <w:t xml:space="preserve"> </w:t>
      </w:r>
    </w:p>
    <w:p w14:paraId="75D86326" w14:textId="77777777" w:rsidR="00376725" w:rsidRPr="00EA7870" w:rsidRDefault="00376725" w:rsidP="00376725">
      <w:pPr>
        <w:tabs>
          <w:tab w:val="left" w:pos="0"/>
        </w:tabs>
        <w:jc w:val="both"/>
        <w:rPr>
          <w:sz w:val="20"/>
          <w:szCs w:val="20"/>
          <w:lang w:val="es-AR"/>
        </w:rPr>
      </w:pPr>
    </w:p>
    <w:p w14:paraId="0960954E" w14:textId="77777777" w:rsidR="00376725" w:rsidRPr="00EA7870" w:rsidRDefault="00376725" w:rsidP="00376725">
      <w:pPr>
        <w:tabs>
          <w:tab w:val="left" w:pos="0"/>
        </w:tabs>
        <w:jc w:val="both"/>
        <w:rPr>
          <w:sz w:val="20"/>
          <w:szCs w:val="20"/>
          <w:lang w:val="es-AR"/>
        </w:rPr>
      </w:pPr>
      <w:r w:rsidRPr="00EA7870">
        <w:rPr>
          <w:sz w:val="20"/>
          <w:szCs w:val="20"/>
          <w:lang w:val="es-AR"/>
        </w:rPr>
        <w:t>Si</w:t>
      </w:r>
      <w:r w:rsidR="001A28B3" w:rsidRPr="00EA7870">
        <w:rPr>
          <w:sz w:val="20"/>
          <w:szCs w:val="20"/>
          <w:lang w:val="es-AR"/>
        </w:rPr>
        <w:t xml:space="preserve"> </w:t>
      </w:r>
      <w:r w:rsidRPr="00EA7870">
        <w:rPr>
          <w:sz w:val="20"/>
          <w:szCs w:val="20"/>
          <w:lang w:val="es-AR"/>
        </w:rPr>
        <w:t>tuviera</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continuara</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funcionario</w:t>
      </w:r>
      <w:r w:rsidR="001A28B3" w:rsidRPr="00EA7870">
        <w:rPr>
          <w:sz w:val="20"/>
          <w:szCs w:val="20"/>
          <w:lang w:val="es-AR"/>
        </w:rPr>
        <w:t xml:space="preserve"> </w:t>
      </w:r>
      <w:r w:rsidRPr="00EA7870">
        <w:rPr>
          <w:sz w:val="20"/>
          <w:szCs w:val="20"/>
          <w:lang w:val="es-AR"/>
        </w:rPr>
        <w:t>responsable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hubiese</w:t>
      </w:r>
      <w:r w:rsidR="001A28B3" w:rsidRPr="00EA7870">
        <w:rPr>
          <w:sz w:val="20"/>
          <w:szCs w:val="20"/>
          <w:lang w:val="es-AR"/>
        </w:rPr>
        <w:t xml:space="preserve"> </w:t>
      </w:r>
      <w:r w:rsidRPr="00EA7870">
        <w:rPr>
          <w:sz w:val="20"/>
          <w:szCs w:val="20"/>
          <w:lang w:val="es-AR"/>
        </w:rPr>
        <w:t>recibido</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enviará</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ocurra,</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haya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subsanado;</w:t>
      </w:r>
      <w:r w:rsidR="001A28B3" w:rsidRPr="00EA7870">
        <w:rPr>
          <w:sz w:val="20"/>
          <w:szCs w:val="20"/>
          <w:lang w:val="es-AR"/>
        </w:rPr>
        <w:t xml:space="preserve"> </w:t>
      </w:r>
      <w:r w:rsidRPr="00EA7870">
        <w:rPr>
          <w:sz w:val="20"/>
          <w:szCs w:val="20"/>
          <w:lang w:val="es-AR"/>
        </w:rPr>
        <w:t>teniendo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excepción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retener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directorio,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comité</w:t>
      </w:r>
      <w:r w:rsidR="001A28B3" w:rsidRPr="00EA7870">
        <w:rPr>
          <w:sz w:val="20"/>
          <w:szCs w:val="20"/>
          <w:lang w:val="es-AR"/>
        </w:rPr>
        <w:t xml:space="preserve"> </w:t>
      </w:r>
      <w:r w:rsidRPr="00EA7870">
        <w:rPr>
          <w:sz w:val="20"/>
          <w:szCs w:val="20"/>
          <w:lang w:val="es-AR"/>
        </w:rPr>
        <w:t>ejecutivo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comité</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directores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determinara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buena</w:t>
      </w:r>
      <w:r w:rsidR="001A28B3" w:rsidRPr="00EA7870">
        <w:rPr>
          <w:sz w:val="20"/>
          <w:szCs w:val="20"/>
          <w:lang w:val="es-AR"/>
        </w:rPr>
        <w:t xml:space="preserve"> </w:t>
      </w:r>
      <w:r w:rsidRPr="00EA7870">
        <w:rPr>
          <w:sz w:val="20"/>
          <w:szCs w:val="20"/>
          <w:lang w:val="es-AR"/>
        </w:rPr>
        <w:t>fe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resulta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favor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p>
    <w:p w14:paraId="594C8569" w14:textId="77777777" w:rsidR="00376725" w:rsidRPr="00EA7870" w:rsidRDefault="00376725" w:rsidP="00376725">
      <w:pPr>
        <w:tabs>
          <w:tab w:val="left" w:pos="0"/>
        </w:tabs>
        <w:jc w:val="both"/>
        <w:rPr>
          <w:sz w:val="20"/>
          <w:szCs w:val="20"/>
          <w:lang w:val="es-AR"/>
        </w:rPr>
      </w:pPr>
    </w:p>
    <w:p w14:paraId="67A6F033" w14:textId="77777777" w:rsidR="00376725" w:rsidRPr="00EA7870" w:rsidRDefault="00376725" w:rsidP="00376725">
      <w:pPr>
        <w:tabs>
          <w:tab w:val="left" w:pos="0"/>
        </w:tabs>
        <w:jc w:val="both"/>
        <w:rPr>
          <w:sz w:val="20"/>
          <w:szCs w:val="20"/>
          <w:lang w:val="es-AR"/>
        </w:rPr>
      </w:pP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subsanado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dispensado,</w:t>
      </w:r>
      <w:r w:rsidR="001A28B3" w:rsidRPr="00EA7870">
        <w:rPr>
          <w:sz w:val="20"/>
          <w:szCs w:val="20"/>
          <w:lang w:val="es-AR"/>
        </w:rPr>
        <w:t xml:space="preserve"> </w:t>
      </w:r>
      <w:r w:rsidRPr="00EA7870">
        <w:rPr>
          <w:sz w:val="20"/>
          <w:szCs w:val="20"/>
          <w:lang w:val="es-AR"/>
        </w:rPr>
        <w:t>podría</w:t>
      </w:r>
      <w:r w:rsidR="001A28B3" w:rsidRPr="00EA7870">
        <w:rPr>
          <w:sz w:val="20"/>
          <w:szCs w:val="20"/>
          <w:lang w:val="es-AR"/>
        </w:rPr>
        <w:t xml:space="preserve"> </w:t>
      </w:r>
      <w:r w:rsidRPr="00EA7870">
        <w:rPr>
          <w:sz w:val="20"/>
          <w:szCs w:val="20"/>
          <w:lang w:val="es-AR"/>
        </w:rPr>
        <w:t>desencadenar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ciertos</w:t>
      </w:r>
      <w:r w:rsidR="001A28B3" w:rsidRPr="00EA7870">
        <w:rPr>
          <w:sz w:val="20"/>
          <w:szCs w:val="20"/>
          <w:lang w:val="es-AR"/>
        </w:rPr>
        <w:t xml:space="preserve"> </w:t>
      </w:r>
      <w:r w:rsidRPr="00EA7870">
        <w:rPr>
          <w:sz w:val="20"/>
          <w:szCs w:val="20"/>
          <w:lang w:val="es-AR"/>
        </w:rPr>
        <w:t>acuerdos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deuda</w:t>
      </w:r>
      <w:r w:rsidR="001A28B3" w:rsidRPr="00EA7870">
        <w:rPr>
          <w:sz w:val="20"/>
          <w:szCs w:val="20"/>
          <w:lang w:val="es-AR"/>
        </w:rPr>
        <w:t xml:space="preserve"> </w:t>
      </w:r>
      <w:r w:rsidRPr="00EA7870">
        <w:rPr>
          <w:sz w:val="20"/>
          <w:szCs w:val="20"/>
          <w:lang w:val="es-AR"/>
        </w:rPr>
        <w:t>existentes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futuros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p>
    <w:p w14:paraId="0A59B351" w14:textId="77777777" w:rsidR="00376725" w:rsidRPr="00EA7870" w:rsidRDefault="00376725" w:rsidP="00376725">
      <w:pPr>
        <w:tabs>
          <w:tab w:val="left" w:pos="0"/>
        </w:tabs>
        <w:jc w:val="both"/>
        <w:rPr>
          <w:sz w:val="20"/>
          <w:szCs w:val="20"/>
          <w:lang w:val="es-AR"/>
        </w:rPr>
      </w:pPr>
    </w:p>
    <w:p w14:paraId="2E40D549" w14:textId="77777777" w:rsidR="00376725" w:rsidRPr="00EA7870" w:rsidRDefault="00376725" w:rsidP="00376725">
      <w:pPr>
        <w:tabs>
          <w:tab w:val="left" w:pos="0"/>
        </w:tabs>
        <w:jc w:val="both"/>
        <w:rPr>
          <w:b/>
          <w:sz w:val="20"/>
          <w:szCs w:val="20"/>
          <w:lang w:val="es-AR"/>
        </w:rPr>
      </w:pPr>
      <w:r w:rsidRPr="00EA7870">
        <w:rPr>
          <w:b/>
          <w:sz w:val="20"/>
          <w:szCs w:val="20"/>
          <w:lang w:val="es-AR"/>
        </w:rPr>
        <w:t>Ausencia</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responsabilidad</w:t>
      </w:r>
      <w:r w:rsidR="001A28B3" w:rsidRPr="00EA7870">
        <w:rPr>
          <w:b/>
          <w:sz w:val="20"/>
          <w:szCs w:val="20"/>
          <w:lang w:val="es-AR"/>
        </w:rPr>
        <w:t xml:space="preserve"> </w:t>
      </w:r>
      <w:r w:rsidRPr="00EA7870">
        <w:rPr>
          <w:b/>
          <w:sz w:val="20"/>
          <w:szCs w:val="20"/>
          <w:lang w:val="es-AR"/>
        </w:rPr>
        <w:t>personal</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directores,</w:t>
      </w:r>
      <w:r w:rsidR="001A28B3" w:rsidRPr="00EA7870">
        <w:rPr>
          <w:b/>
          <w:sz w:val="20"/>
          <w:szCs w:val="20"/>
          <w:lang w:val="es-AR"/>
        </w:rPr>
        <w:t xml:space="preserve"> </w:t>
      </w:r>
      <w:r w:rsidRPr="00EA7870">
        <w:rPr>
          <w:b/>
          <w:sz w:val="20"/>
          <w:szCs w:val="20"/>
          <w:lang w:val="es-AR"/>
        </w:rPr>
        <w:t>funcionarios,</w:t>
      </w:r>
      <w:r w:rsidR="001A28B3" w:rsidRPr="00EA7870">
        <w:rPr>
          <w:b/>
          <w:sz w:val="20"/>
          <w:szCs w:val="20"/>
          <w:lang w:val="es-AR"/>
        </w:rPr>
        <w:t xml:space="preserve"> </w:t>
      </w:r>
      <w:r w:rsidRPr="00EA7870">
        <w:rPr>
          <w:b/>
          <w:sz w:val="20"/>
          <w:szCs w:val="20"/>
          <w:lang w:val="es-AR"/>
        </w:rPr>
        <w:t>empleados,</w:t>
      </w:r>
      <w:r w:rsidR="001A28B3" w:rsidRPr="00EA7870">
        <w:rPr>
          <w:b/>
          <w:sz w:val="20"/>
          <w:szCs w:val="20"/>
          <w:lang w:val="es-AR"/>
        </w:rPr>
        <w:t xml:space="preserve"> </w:t>
      </w:r>
      <w:r w:rsidRPr="00EA7870">
        <w:rPr>
          <w:b/>
          <w:sz w:val="20"/>
          <w:szCs w:val="20"/>
          <w:lang w:val="es-AR"/>
        </w:rPr>
        <w:t>socios</w:t>
      </w:r>
      <w:r w:rsidR="001A28B3" w:rsidRPr="00EA7870">
        <w:rPr>
          <w:b/>
          <w:sz w:val="20"/>
          <w:szCs w:val="20"/>
          <w:lang w:val="es-AR"/>
        </w:rPr>
        <w:t xml:space="preserve"> </w:t>
      </w:r>
      <w:r w:rsidRPr="00EA7870">
        <w:rPr>
          <w:b/>
          <w:sz w:val="20"/>
          <w:szCs w:val="20"/>
          <w:lang w:val="es-AR"/>
        </w:rPr>
        <w:t>fundadores,</w:t>
      </w:r>
      <w:r w:rsidR="001A28B3" w:rsidRPr="00EA7870">
        <w:rPr>
          <w:b/>
          <w:sz w:val="20"/>
          <w:szCs w:val="20"/>
          <w:lang w:val="es-AR"/>
        </w:rPr>
        <w:t xml:space="preserve"> </w:t>
      </w:r>
      <w:r w:rsidRPr="00EA7870">
        <w:rPr>
          <w:b/>
          <w:sz w:val="20"/>
          <w:szCs w:val="20"/>
          <w:lang w:val="es-AR"/>
        </w:rPr>
        <w:t>socios</w:t>
      </w:r>
      <w:r w:rsidR="001A28B3" w:rsidRPr="00EA7870">
        <w:rPr>
          <w:b/>
          <w:sz w:val="20"/>
          <w:szCs w:val="20"/>
          <w:lang w:val="es-AR"/>
        </w:rPr>
        <w:t xml:space="preserve"> </w:t>
      </w:r>
      <w:r w:rsidRPr="00EA7870">
        <w:rPr>
          <w:b/>
          <w:sz w:val="20"/>
          <w:szCs w:val="20"/>
          <w:lang w:val="es-AR"/>
        </w:rPr>
        <w:t>o</w:t>
      </w:r>
      <w:r w:rsidR="001A28B3" w:rsidRPr="00EA7870">
        <w:rPr>
          <w:b/>
          <w:sz w:val="20"/>
          <w:szCs w:val="20"/>
          <w:lang w:val="es-AR"/>
        </w:rPr>
        <w:t xml:space="preserve"> </w:t>
      </w:r>
      <w:r w:rsidRPr="00EA7870">
        <w:rPr>
          <w:b/>
          <w:sz w:val="20"/>
          <w:szCs w:val="20"/>
          <w:lang w:val="es-AR"/>
        </w:rPr>
        <w:t>accionistas</w:t>
      </w:r>
    </w:p>
    <w:p w14:paraId="08432777" w14:textId="77777777" w:rsidR="00376725" w:rsidRPr="00EA7870" w:rsidRDefault="00376725" w:rsidP="00376725">
      <w:pPr>
        <w:tabs>
          <w:tab w:val="left" w:pos="0"/>
        </w:tabs>
        <w:jc w:val="both"/>
        <w:rPr>
          <w:sz w:val="20"/>
          <w:szCs w:val="20"/>
          <w:lang w:val="es-AR"/>
        </w:rPr>
      </w:pPr>
    </w:p>
    <w:p w14:paraId="134DC0D2" w14:textId="77777777" w:rsidR="00376725" w:rsidRPr="00EA7870" w:rsidRDefault="00376725" w:rsidP="00376725">
      <w:pPr>
        <w:tabs>
          <w:tab w:val="left" w:pos="0"/>
        </w:tabs>
        <w:jc w:val="both"/>
        <w:rPr>
          <w:sz w:val="20"/>
          <w:szCs w:val="20"/>
          <w:lang w:val="es-AR"/>
        </w:rPr>
      </w:pPr>
      <w:r w:rsidRPr="00EA7870">
        <w:rPr>
          <w:sz w:val="20"/>
          <w:szCs w:val="20"/>
          <w:lang w:val="es-AR"/>
        </w:rPr>
        <w:t>Exceptuando</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específicamente</w:t>
      </w:r>
      <w:r w:rsidR="001A28B3" w:rsidRPr="00EA7870">
        <w:rPr>
          <w:sz w:val="20"/>
          <w:szCs w:val="20"/>
          <w:lang w:val="es-AR"/>
        </w:rPr>
        <w:t xml:space="preserve"> </w:t>
      </w:r>
      <w:r w:rsidRPr="00EA7870">
        <w:rPr>
          <w:sz w:val="20"/>
          <w:szCs w:val="20"/>
          <w:lang w:val="es-AR"/>
        </w:rPr>
        <w:t>previsto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director,</w:t>
      </w:r>
      <w:r w:rsidR="001A28B3" w:rsidRPr="00EA7870">
        <w:rPr>
          <w:sz w:val="20"/>
          <w:szCs w:val="20"/>
          <w:lang w:val="es-AR"/>
        </w:rPr>
        <w:t xml:space="preserve"> </w:t>
      </w:r>
      <w:r w:rsidRPr="00EA7870">
        <w:rPr>
          <w:sz w:val="20"/>
          <w:szCs w:val="20"/>
          <w:lang w:val="es-AR"/>
        </w:rPr>
        <w:t>funcionario,</w:t>
      </w:r>
      <w:r w:rsidR="001A28B3" w:rsidRPr="00EA7870">
        <w:rPr>
          <w:sz w:val="20"/>
          <w:szCs w:val="20"/>
          <w:lang w:val="es-AR"/>
        </w:rPr>
        <w:t xml:space="preserve"> </w:t>
      </w:r>
      <w:r w:rsidRPr="00EA7870">
        <w:rPr>
          <w:sz w:val="20"/>
          <w:szCs w:val="20"/>
          <w:lang w:val="es-AR"/>
        </w:rPr>
        <w:t>empleado,</w:t>
      </w:r>
      <w:r w:rsidR="001A28B3" w:rsidRPr="00EA7870">
        <w:rPr>
          <w:sz w:val="20"/>
          <w:szCs w:val="20"/>
          <w:lang w:val="es-AR"/>
        </w:rPr>
        <w:t xml:space="preserve"> </w:t>
      </w:r>
      <w:r w:rsidRPr="00EA7870">
        <w:rPr>
          <w:sz w:val="20"/>
          <w:szCs w:val="20"/>
          <w:lang w:val="es-AR"/>
        </w:rPr>
        <w:t>socio</w:t>
      </w:r>
      <w:r w:rsidR="001A28B3" w:rsidRPr="00EA7870">
        <w:rPr>
          <w:sz w:val="20"/>
          <w:szCs w:val="20"/>
          <w:lang w:val="es-AR"/>
        </w:rPr>
        <w:t xml:space="preserve"> </w:t>
      </w:r>
      <w:r w:rsidRPr="00EA7870">
        <w:rPr>
          <w:sz w:val="20"/>
          <w:szCs w:val="20"/>
          <w:lang w:val="es-AR"/>
        </w:rPr>
        <w:t>fundador,</w:t>
      </w:r>
      <w:r w:rsidR="001A28B3" w:rsidRPr="00EA7870">
        <w:rPr>
          <w:sz w:val="20"/>
          <w:szCs w:val="20"/>
          <w:lang w:val="es-AR"/>
        </w:rPr>
        <w:t xml:space="preserve"> </w:t>
      </w:r>
      <w:r w:rsidRPr="00EA7870">
        <w:rPr>
          <w:sz w:val="20"/>
          <w:szCs w:val="20"/>
          <w:lang w:val="es-AR"/>
        </w:rPr>
        <w:t>socio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accionista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carácter,</w:t>
      </w:r>
      <w:r w:rsidR="001A28B3" w:rsidRPr="00EA7870">
        <w:rPr>
          <w:sz w:val="20"/>
          <w:szCs w:val="20"/>
          <w:lang w:val="es-AR"/>
        </w:rPr>
        <w:t xml:space="preserve"> </w:t>
      </w:r>
      <w:r w:rsidRPr="00EA7870">
        <w:rPr>
          <w:sz w:val="20"/>
          <w:szCs w:val="20"/>
          <w:lang w:val="es-AR"/>
        </w:rPr>
        <w:t>tendrá</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reclamo</w:t>
      </w:r>
      <w:r w:rsidR="001A28B3" w:rsidRPr="00EA7870">
        <w:rPr>
          <w:sz w:val="20"/>
          <w:szCs w:val="20"/>
          <w:lang w:val="es-AR"/>
        </w:rPr>
        <w:t xml:space="preserve"> </w:t>
      </w:r>
      <w:r w:rsidRPr="00EA7870">
        <w:rPr>
          <w:sz w:val="20"/>
          <w:szCs w:val="20"/>
          <w:lang w:val="es-AR"/>
        </w:rPr>
        <w:t>basado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ellas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motivo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ellas.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permitido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aceptación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renuncia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libera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toda</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p>
    <w:p w14:paraId="28EB01CC" w14:textId="77777777" w:rsidR="00376725" w:rsidRPr="00EA7870" w:rsidRDefault="00376725" w:rsidP="00376725">
      <w:pPr>
        <w:tabs>
          <w:tab w:val="left" w:pos="0"/>
        </w:tabs>
        <w:jc w:val="both"/>
        <w:rPr>
          <w:sz w:val="20"/>
          <w:szCs w:val="20"/>
          <w:lang w:val="es-AR"/>
        </w:rPr>
      </w:pPr>
    </w:p>
    <w:p w14:paraId="5AB0A9DA" w14:textId="77777777" w:rsidR="00376725" w:rsidRPr="00EA7870" w:rsidRDefault="006239C2" w:rsidP="00376725">
      <w:pPr>
        <w:tabs>
          <w:tab w:val="left" w:pos="0"/>
        </w:tabs>
        <w:jc w:val="both"/>
        <w:rPr>
          <w:b/>
          <w:sz w:val="20"/>
          <w:szCs w:val="20"/>
          <w:lang w:val="es-AR"/>
        </w:rPr>
      </w:pPr>
      <w:r w:rsidRPr="00EA7870">
        <w:rPr>
          <w:b/>
          <w:sz w:val="20"/>
          <w:szCs w:val="20"/>
          <w:lang w:val="es-AR"/>
        </w:rPr>
        <w:t>Indemnidad de Moneda</w:t>
      </w:r>
    </w:p>
    <w:p w14:paraId="4670F99F" w14:textId="77777777" w:rsidR="00376725" w:rsidRPr="00EA7870" w:rsidRDefault="00376725" w:rsidP="00376725">
      <w:pPr>
        <w:tabs>
          <w:tab w:val="left" w:pos="0"/>
        </w:tabs>
        <w:jc w:val="both"/>
        <w:rPr>
          <w:sz w:val="20"/>
          <w:szCs w:val="20"/>
          <w:lang w:val="es-AR"/>
        </w:rPr>
      </w:pPr>
    </w:p>
    <w:p w14:paraId="7725120A" w14:textId="77777777" w:rsidR="00376725" w:rsidRPr="00EA7870" w:rsidRDefault="00376725" w:rsidP="00376725">
      <w:pPr>
        <w:tabs>
          <w:tab w:val="left" w:pos="0"/>
        </w:tabs>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hacia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canceladas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satisfechas</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recupero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expresada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convertida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Hábil</w:t>
      </w:r>
      <w:r w:rsidR="001A28B3" w:rsidRPr="00EA7870">
        <w:rPr>
          <w:sz w:val="20"/>
          <w:szCs w:val="20"/>
          <w:lang w:val="es-AR"/>
        </w:rPr>
        <w:t xml:space="preserve"> </w:t>
      </w:r>
      <w:r w:rsidRPr="00EA7870">
        <w:rPr>
          <w:sz w:val="20"/>
          <w:szCs w:val="20"/>
          <w:lang w:val="es-AR"/>
        </w:rPr>
        <w:t>siguiente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recepción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suma</w:t>
      </w:r>
      <w:r w:rsidR="001A28B3" w:rsidRPr="00EA7870">
        <w:rPr>
          <w:sz w:val="20"/>
          <w:szCs w:val="20"/>
          <w:lang w:val="es-AR"/>
        </w:rPr>
        <w:t xml:space="preserve"> </w:t>
      </w:r>
      <w:r w:rsidRPr="00EA7870">
        <w:rPr>
          <w:sz w:val="20"/>
          <w:szCs w:val="20"/>
          <w:lang w:val="es-AR"/>
        </w:rPr>
        <w:t>decretada</w:t>
      </w:r>
      <w:r w:rsidR="001A28B3" w:rsidRPr="00EA7870">
        <w:rPr>
          <w:sz w:val="20"/>
          <w:szCs w:val="20"/>
          <w:lang w:val="es-AR"/>
        </w:rPr>
        <w:t xml:space="preserve"> </w:t>
      </w:r>
      <w:r w:rsidRPr="00EA7870">
        <w:rPr>
          <w:sz w:val="20"/>
          <w:szCs w:val="20"/>
          <w:lang w:val="es-AR"/>
        </w:rPr>
        <w:t>adeudada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procedimientos</w:t>
      </w:r>
      <w:r w:rsidR="001A28B3" w:rsidRPr="00EA7870">
        <w:rPr>
          <w:sz w:val="20"/>
          <w:szCs w:val="20"/>
          <w:lang w:val="es-AR"/>
        </w:rPr>
        <w:t xml:space="preserve"> </w:t>
      </w:r>
      <w:r w:rsidRPr="00EA7870">
        <w:rPr>
          <w:sz w:val="20"/>
          <w:szCs w:val="20"/>
          <w:lang w:val="es-AR"/>
        </w:rPr>
        <w:t>bancarios</w:t>
      </w:r>
      <w:r w:rsidR="001A28B3" w:rsidRPr="00EA7870">
        <w:rPr>
          <w:sz w:val="20"/>
          <w:szCs w:val="20"/>
          <w:lang w:val="es-AR"/>
        </w:rPr>
        <w:t xml:space="preserve"> </w:t>
      </w:r>
      <w:r w:rsidRPr="00EA7870">
        <w:rPr>
          <w:sz w:val="20"/>
          <w:szCs w:val="20"/>
          <w:lang w:val="es-AR"/>
        </w:rPr>
        <w:t>habituales,</w:t>
      </w:r>
      <w:r w:rsidR="001A28B3" w:rsidRPr="00EA7870">
        <w:rPr>
          <w:sz w:val="20"/>
          <w:szCs w:val="20"/>
          <w:lang w:val="es-AR"/>
        </w:rPr>
        <w:t xml:space="preserve"> </w:t>
      </w:r>
      <w:r w:rsidRPr="00EA7870">
        <w:rPr>
          <w:sz w:val="20"/>
          <w:szCs w:val="20"/>
          <w:lang w:val="es-AR"/>
        </w:rPr>
        <w:t>comprar</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originalmente</w:t>
      </w:r>
      <w:r w:rsidR="001A28B3" w:rsidRPr="00EA7870">
        <w:rPr>
          <w:sz w:val="20"/>
          <w:szCs w:val="20"/>
          <w:lang w:val="es-AR"/>
        </w:rPr>
        <w:t xml:space="preserve"> </w:t>
      </w:r>
      <w:r w:rsidRPr="00EA7870">
        <w:rPr>
          <w:sz w:val="20"/>
          <w:szCs w:val="20"/>
          <w:lang w:val="es-AR"/>
        </w:rPr>
        <w:t>adeudado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obtener</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algún</w:t>
      </w:r>
      <w:r w:rsidR="001A28B3" w:rsidRPr="00EA7870">
        <w:rPr>
          <w:sz w:val="20"/>
          <w:szCs w:val="20"/>
          <w:lang w:val="es-AR"/>
        </w:rPr>
        <w:t xml:space="preserve"> </w:t>
      </w:r>
      <w:r w:rsidRPr="00EA7870">
        <w:rPr>
          <w:sz w:val="20"/>
          <w:szCs w:val="20"/>
          <w:lang w:val="es-AR"/>
        </w:rPr>
        <w:t>tribunal,</w:t>
      </w:r>
      <w:r w:rsidR="001A28B3" w:rsidRPr="00EA7870">
        <w:rPr>
          <w:sz w:val="20"/>
          <w:szCs w:val="20"/>
          <w:lang w:val="es-AR"/>
        </w:rPr>
        <w:t xml:space="preserve"> </w:t>
      </w:r>
      <w:r w:rsidRPr="00EA7870">
        <w:rPr>
          <w:sz w:val="20"/>
          <w:szCs w:val="20"/>
          <w:lang w:val="es-AR"/>
        </w:rPr>
        <w:t>resulta</w:t>
      </w:r>
      <w:r w:rsidR="001A28B3" w:rsidRPr="00EA7870">
        <w:rPr>
          <w:sz w:val="20"/>
          <w:szCs w:val="20"/>
          <w:lang w:val="es-AR"/>
        </w:rPr>
        <w:t xml:space="preserve"> </w:t>
      </w:r>
      <w:r w:rsidRPr="00EA7870">
        <w:rPr>
          <w:sz w:val="20"/>
          <w:szCs w:val="20"/>
          <w:lang w:val="es-AR"/>
        </w:rPr>
        <w:t>necesario</w:t>
      </w:r>
      <w:r w:rsidR="001A28B3" w:rsidRPr="00EA7870">
        <w:rPr>
          <w:sz w:val="20"/>
          <w:szCs w:val="20"/>
          <w:lang w:val="es-AR"/>
        </w:rPr>
        <w:t xml:space="preserve"> </w:t>
      </w:r>
      <w:r w:rsidRPr="00EA7870">
        <w:rPr>
          <w:sz w:val="20"/>
          <w:szCs w:val="20"/>
          <w:lang w:val="es-AR"/>
        </w:rPr>
        <w:t>convertir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suma</w:t>
      </w:r>
      <w:r w:rsidR="001A28B3" w:rsidRPr="00EA7870">
        <w:rPr>
          <w:sz w:val="20"/>
          <w:szCs w:val="20"/>
          <w:lang w:val="es-AR"/>
        </w:rPr>
        <w:t xml:space="preserve"> </w:t>
      </w:r>
      <w:r w:rsidRPr="00EA7870">
        <w:rPr>
          <w:sz w:val="20"/>
          <w:szCs w:val="20"/>
          <w:lang w:val="es-AR"/>
        </w:rPr>
        <w:t>adeudada</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(referida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aquél</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procedimientos</w:t>
      </w:r>
      <w:r w:rsidR="001A28B3" w:rsidRPr="00EA7870">
        <w:rPr>
          <w:sz w:val="20"/>
          <w:szCs w:val="20"/>
          <w:lang w:val="es-AR"/>
        </w:rPr>
        <w:t xml:space="preserve"> </w:t>
      </w:r>
      <w:r w:rsidRPr="00EA7870">
        <w:rPr>
          <w:sz w:val="20"/>
          <w:szCs w:val="20"/>
          <w:lang w:val="es-AR"/>
        </w:rPr>
        <w:t>bancarios</w:t>
      </w:r>
      <w:r w:rsidR="001A28B3" w:rsidRPr="00EA7870">
        <w:rPr>
          <w:sz w:val="20"/>
          <w:szCs w:val="20"/>
          <w:lang w:val="es-AR"/>
        </w:rPr>
        <w:t xml:space="preserve"> </w:t>
      </w:r>
      <w:r w:rsidRPr="00EA7870">
        <w:rPr>
          <w:sz w:val="20"/>
          <w:szCs w:val="20"/>
          <w:lang w:val="es-AR"/>
        </w:rPr>
        <w:t>habituales,</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podría</w:t>
      </w:r>
      <w:r w:rsidR="001A28B3" w:rsidRPr="00EA7870">
        <w:rPr>
          <w:sz w:val="20"/>
          <w:szCs w:val="20"/>
          <w:lang w:val="es-AR"/>
        </w:rPr>
        <w:t xml:space="preserve"> </w:t>
      </w:r>
      <w:r w:rsidRPr="00EA7870">
        <w:rPr>
          <w:sz w:val="20"/>
          <w:szCs w:val="20"/>
          <w:lang w:val="es-AR"/>
        </w:rPr>
        <w:t>comprar</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Hábil</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dicte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suma</w:t>
      </w:r>
      <w:r w:rsidR="001A28B3" w:rsidRPr="00EA7870">
        <w:rPr>
          <w:sz w:val="20"/>
          <w:szCs w:val="20"/>
          <w:lang w:val="es-AR"/>
        </w:rPr>
        <w:t xml:space="preserve"> </w:t>
      </w:r>
      <w:r w:rsidRPr="00EA7870">
        <w:rPr>
          <w:sz w:val="20"/>
          <w:szCs w:val="20"/>
          <w:lang w:val="es-AR"/>
        </w:rPr>
        <w:t>adeudada</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independientemente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efectivamente</w:t>
      </w:r>
      <w:r w:rsidR="001A28B3" w:rsidRPr="00EA7870">
        <w:rPr>
          <w:sz w:val="20"/>
          <w:szCs w:val="20"/>
          <w:lang w:val="es-AR"/>
        </w:rPr>
        <w:t xml:space="preserve"> </w:t>
      </w:r>
      <w:r w:rsidRPr="00EA7870">
        <w:rPr>
          <w:sz w:val="20"/>
          <w:szCs w:val="20"/>
          <w:lang w:val="es-AR"/>
        </w:rPr>
        <w:t>aplicado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dictaminar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cancelada</w:t>
      </w:r>
      <w:r w:rsidR="001A28B3" w:rsidRPr="00EA7870">
        <w:rPr>
          <w:sz w:val="20"/>
          <w:szCs w:val="20"/>
          <w:lang w:val="es-AR"/>
        </w:rPr>
        <w:t xml:space="preserve"> </w:t>
      </w:r>
      <w:r w:rsidRPr="00EA7870">
        <w:rPr>
          <w:sz w:val="20"/>
          <w:szCs w:val="20"/>
          <w:lang w:val="es-AR"/>
        </w:rPr>
        <w:t>únicamente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Hábil</w:t>
      </w:r>
      <w:r w:rsidR="001A28B3" w:rsidRPr="00EA7870">
        <w:rPr>
          <w:sz w:val="20"/>
          <w:szCs w:val="20"/>
          <w:lang w:val="es-AR"/>
        </w:rPr>
        <w:t xml:space="preserve"> </w:t>
      </w:r>
      <w:r w:rsidRPr="00EA7870">
        <w:rPr>
          <w:sz w:val="20"/>
          <w:szCs w:val="20"/>
          <w:lang w:val="es-AR"/>
        </w:rPr>
        <w:t>siguiente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recepción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suma</w:t>
      </w:r>
      <w:r w:rsidR="001A28B3" w:rsidRPr="00EA7870">
        <w:rPr>
          <w:sz w:val="20"/>
          <w:szCs w:val="20"/>
          <w:lang w:val="es-AR"/>
        </w:rPr>
        <w:t xml:space="preserve"> </w:t>
      </w:r>
      <w:r w:rsidRPr="00EA7870">
        <w:rPr>
          <w:sz w:val="20"/>
          <w:szCs w:val="20"/>
          <w:lang w:val="es-AR"/>
        </w:rPr>
        <w:t>decretada</w:t>
      </w:r>
      <w:r w:rsidR="001A28B3" w:rsidRPr="00EA7870">
        <w:rPr>
          <w:sz w:val="20"/>
          <w:szCs w:val="20"/>
          <w:lang w:val="es-AR"/>
        </w:rPr>
        <w:t xml:space="preserve"> </w:t>
      </w:r>
      <w:r w:rsidRPr="00EA7870">
        <w:rPr>
          <w:sz w:val="20"/>
          <w:szCs w:val="20"/>
          <w:lang w:val="es-AR"/>
        </w:rPr>
        <w:t>adeudada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beneficiario</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procedimientos</w:t>
      </w:r>
      <w:r w:rsidR="001A28B3" w:rsidRPr="00EA7870">
        <w:rPr>
          <w:sz w:val="20"/>
          <w:szCs w:val="20"/>
          <w:lang w:val="es-AR"/>
        </w:rPr>
        <w:t xml:space="preserve"> </w:t>
      </w:r>
      <w:r w:rsidRPr="00EA7870">
        <w:rPr>
          <w:sz w:val="20"/>
          <w:szCs w:val="20"/>
          <w:lang w:val="es-AR"/>
        </w:rPr>
        <w:t>bancarios</w:t>
      </w:r>
      <w:r w:rsidR="001A28B3" w:rsidRPr="00EA7870">
        <w:rPr>
          <w:sz w:val="20"/>
          <w:szCs w:val="20"/>
          <w:lang w:val="es-AR"/>
        </w:rPr>
        <w:t xml:space="preserve"> </w:t>
      </w:r>
      <w:r w:rsidRPr="00EA7870">
        <w:rPr>
          <w:sz w:val="20"/>
          <w:szCs w:val="20"/>
          <w:lang w:val="es-AR"/>
        </w:rPr>
        <w:t>habituales,</w:t>
      </w:r>
      <w:r w:rsidR="001A28B3" w:rsidRPr="00EA7870">
        <w:rPr>
          <w:sz w:val="20"/>
          <w:szCs w:val="20"/>
          <w:lang w:val="es-AR"/>
        </w:rPr>
        <w:t xml:space="preserve"> </w:t>
      </w:r>
      <w:r w:rsidRPr="00EA7870">
        <w:rPr>
          <w:sz w:val="20"/>
          <w:szCs w:val="20"/>
          <w:lang w:val="es-AR"/>
        </w:rPr>
        <w:t>comprar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transferir</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así</w:t>
      </w:r>
      <w:r w:rsidR="001A28B3" w:rsidRPr="00EA7870">
        <w:rPr>
          <w:sz w:val="20"/>
          <w:szCs w:val="20"/>
          <w:lang w:val="es-AR"/>
        </w:rPr>
        <w:t xml:space="preserve"> </w:t>
      </w:r>
      <w:r w:rsidRPr="00EA7870">
        <w:rPr>
          <w:sz w:val="20"/>
          <w:szCs w:val="20"/>
          <w:lang w:val="es-AR"/>
        </w:rPr>
        <w:t>decretada</w:t>
      </w:r>
      <w:r w:rsidR="001A28B3" w:rsidRPr="00EA7870">
        <w:rPr>
          <w:sz w:val="20"/>
          <w:szCs w:val="20"/>
          <w:lang w:val="es-AR"/>
        </w:rPr>
        <w:t xml:space="preserve"> </w:t>
      </w:r>
      <w:r w:rsidRPr="00EA7870">
        <w:rPr>
          <w:sz w:val="20"/>
          <w:szCs w:val="20"/>
          <w:lang w:val="es-AR"/>
        </w:rPr>
        <w:t>adeudada</w:t>
      </w:r>
      <w:r w:rsidR="001A28B3" w:rsidRPr="00EA7870">
        <w:rPr>
          <w:sz w:val="20"/>
          <w:szCs w:val="20"/>
          <w:lang w:val="es-AR"/>
        </w:rPr>
        <w:t xml:space="preserve"> </w:t>
      </w:r>
      <w:r w:rsidRPr="00EA7870">
        <w:rPr>
          <w:sz w:val="20"/>
          <w:szCs w:val="20"/>
          <w:lang w:val="es-AR"/>
        </w:rPr>
        <w:t>(dando</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compensación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reconvención</w:t>
      </w:r>
      <w:r w:rsidR="001A28B3" w:rsidRPr="00EA7870">
        <w:rPr>
          <w:sz w:val="20"/>
          <w:szCs w:val="20"/>
          <w:lang w:val="es-AR"/>
        </w:rPr>
        <w:t xml:space="preserve"> </w:t>
      </w:r>
      <w:r w:rsidRPr="00EA7870">
        <w:rPr>
          <w:sz w:val="20"/>
          <w:szCs w:val="20"/>
          <w:lang w:val="es-AR"/>
        </w:rPr>
        <w:t>tenida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dictar</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Consecuentemente,</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independiente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acuerdan</w:t>
      </w:r>
      <w:r w:rsidR="001A28B3" w:rsidRPr="00EA7870">
        <w:rPr>
          <w:sz w:val="20"/>
          <w:szCs w:val="20"/>
          <w:lang w:val="es-AR"/>
        </w:rPr>
        <w:t xml:space="preserve"> </w:t>
      </w:r>
      <w:r w:rsidRPr="00EA7870">
        <w:rPr>
          <w:sz w:val="20"/>
          <w:szCs w:val="20"/>
          <w:lang w:val="es-AR"/>
        </w:rPr>
        <w:t>indemnizar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reclamo,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Pr="00EA7870">
        <w:rPr>
          <w:sz w:val="20"/>
          <w:szCs w:val="20"/>
          <w:lang w:val="es-AR"/>
        </w:rPr>
        <w:t>,</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suma</w:t>
      </w:r>
      <w:r w:rsidR="001A28B3" w:rsidRPr="00EA7870">
        <w:rPr>
          <w:sz w:val="20"/>
          <w:szCs w:val="20"/>
          <w:lang w:val="es-AR"/>
        </w:rPr>
        <w:t xml:space="preserve"> </w:t>
      </w:r>
      <w:r w:rsidRPr="00EA7870">
        <w:rPr>
          <w:sz w:val="20"/>
          <w:szCs w:val="20"/>
          <w:lang w:val="es-AR"/>
        </w:rPr>
        <w:t>originalmente</w:t>
      </w:r>
      <w:r w:rsidR="001A28B3" w:rsidRPr="00EA7870">
        <w:rPr>
          <w:sz w:val="20"/>
          <w:szCs w:val="20"/>
          <w:lang w:val="es-AR"/>
        </w:rPr>
        <w:t xml:space="preserve"> </w:t>
      </w:r>
      <w:r w:rsidRPr="00EA7870">
        <w:rPr>
          <w:sz w:val="20"/>
          <w:szCs w:val="20"/>
          <w:lang w:val="es-AR"/>
        </w:rPr>
        <w:t>adeudada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supere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así</w:t>
      </w:r>
      <w:r w:rsidR="001A28B3" w:rsidRPr="00EA7870">
        <w:rPr>
          <w:sz w:val="20"/>
          <w:szCs w:val="20"/>
          <w:lang w:val="es-AR"/>
        </w:rPr>
        <w:t xml:space="preserve"> </w:t>
      </w:r>
      <w:r w:rsidRPr="00EA7870">
        <w:rPr>
          <w:sz w:val="20"/>
          <w:szCs w:val="20"/>
          <w:lang w:val="es-AR"/>
        </w:rPr>
        <w:t>comprado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transferido.</w:t>
      </w:r>
    </w:p>
    <w:p w14:paraId="6431FC32" w14:textId="77777777" w:rsidR="00376725" w:rsidRPr="00EA7870" w:rsidRDefault="00376725" w:rsidP="00376725">
      <w:pPr>
        <w:tabs>
          <w:tab w:val="left" w:pos="0"/>
        </w:tabs>
        <w:jc w:val="both"/>
        <w:rPr>
          <w:sz w:val="20"/>
          <w:szCs w:val="20"/>
          <w:lang w:val="es-AR"/>
        </w:rPr>
      </w:pPr>
    </w:p>
    <w:p w14:paraId="6CA50006"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acuerdan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restricción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prohibición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acceso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cambiario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efectuados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realizados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Pr="00EA7870">
        <w:rPr>
          <w:sz w:val="20"/>
          <w:szCs w:val="20"/>
          <w:lang w:val="es-AR"/>
        </w:rPr>
        <w:t>.</w:t>
      </w:r>
      <w:r w:rsidR="001A28B3" w:rsidRPr="00EA7870">
        <w:rPr>
          <w:sz w:val="20"/>
          <w:szCs w:val="20"/>
          <w:lang w:val="es-AR"/>
        </w:rPr>
        <w:t xml:space="preserve"> </w:t>
      </w:r>
      <w:r w:rsidRPr="00EA7870">
        <w:rPr>
          <w:sz w:val="20"/>
          <w:szCs w:val="20"/>
          <w:lang w:val="es-AR"/>
        </w:rPr>
        <w:t>Ninguno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incluidos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limitará</w:t>
      </w:r>
      <w:r w:rsidR="001A28B3" w:rsidRPr="00EA7870">
        <w:rPr>
          <w:sz w:val="20"/>
          <w:szCs w:val="20"/>
          <w:lang w:val="es-AR"/>
        </w:rPr>
        <w:t xml:space="preserve"> </w:t>
      </w:r>
      <w:r w:rsidRPr="00EA7870">
        <w:rPr>
          <w:sz w:val="20"/>
          <w:szCs w:val="20"/>
          <w:lang w:val="es-AR"/>
        </w:rPr>
        <w:t>ninguno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justificará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rehúsen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motivo,</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enunciativo,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siguientes:</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medio</w:t>
      </w:r>
      <w:r w:rsidR="001A28B3" w:rsidRPr="00EA7870">
        <w:rPr>
          <w:sz w:val="20"/>
          <w:szCs w:val="20"/>
          <w:lang w:val="es-AR"/>
        </w:rPr>
        <w:t xml:space="preserve"> </w:t>
      </w:r>
      <w:r w:rsidRPr="00EA7870">
        <w:rPr>
          <w:sz w:val="20"/>
          <w:szCs w:val="20"/>
          <w:lang w:val="es-AR"/>
        </w:rPr>
        <w:t>resulte</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onerosa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gravosa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aumento</w:t>
      </w:r>
      <w:r w:rsidR="001A28B3" w:rsidRPr="00EA7870">
        <w:rPr>
          <w:sz w:val="20"/>
          <w:szCs w:val="20"/>
          <w:lang w:val="es-AR"/>
        </w:rPr>
        <w:t xml:space="preserve"> </w:t>
      </w:r>
      <w:r w:rsidRPr="00EA7870">
        <w:rPr>
          <w:sz w:val="20"/>
          <w:szCs w:val="20"/>
          <w:lang w:val="es-AR"/>
        </w:rPr>
        <w:t>significativo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renuncian</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invocar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defensa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imposibilidad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imposibilidad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(asumiendo</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fuerza</w:t>
      </w:r>
      <w:r w:rsidR="001A28B3" w:rsidRPr="00EA7870">
        <w:rPr>
          <w:sz w:val="20"/>
          <w:szCs w:val="20"/>
          <w:lang w:val="es-AR"/>
        </w:rPr>
        <w:t xml:space="preserve"> </w:t>
      </w:r>
      <w:r w:rsidRPr="00EA7870">
        <w:rPr>
          <w:sz w:val="20"/>
          <w:szCs w:val="20"/>
          <w:lang w:val="es-AR"/>
        </w:rPr>
        <w:t>mayor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fortuito)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defensas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principios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limitación,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principios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equidad</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esfuerzo</w:t>
      </w:r>
      <w:r w:rsidR="001A28B3" w:rsidRPr="00EA7870">
        <w:rPr>
          <w:sz w:val="20"/>
          <w:szCs w:val="20"/>
          <w:lang w:val="es-AR"/>
        </w:rPr>
        <w:t xml:space="preserve"> </w:t>
      </w:r>
      <w:r w:rsidRPr="00EA7870">
        <w:rPr>
          <w:sz w:val="20"/>
          <w:szCs w:val="20"/>
          <w:lang w:val="es-AR"/>
        </w:rPr>
        <w:t>compartido).</w:t>
      </w:r>
    </w:p>
    <w:p w14:paraId="10FEDBAC" w14:textId="77777777" w:rsidR="007761FA" w:rsidRPr="00EA7870" w:rsidRDefault="007761FA" w:rsidP="00376725">
      <w:pPr>
        <w:tabs>
          <w:tab w:val="left" w:pos="0"/>
        </w:tabs>
        <w:jc w:val="both"/>
        <w:rPr>
          <w:sz w:val="20"/>
          <w:szCs w:val="20"/>
          <w:lang w:val="es-AR"/>
        </w:rPr>
      </w:pPr>
    </w:p>
    <w:p w14:paraId="1C3E01C5" w14:textId="0378DF06" w:rsidR="00376725" w:rsidRPr="00EA7870" w:rsidRDefault="00376725" w:rsidP="00376725">
      <w:pPr>
        <w:tabs>
          <w:tab w:val="left" w:pos="0"/>
        </w:tabs>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existieran</w:t>
      </w:r>
      <w:r w:rsidR="001A28B3" w:rsidRPr="00EA7870">
        <w:rPr>
          <w:sz w:val="20"/>
          <w:szCs w:val="20"/>
          <w:lang w:val="es-AR"/>
        </w:rPr>
        <w:t xml:space="preserve"> </w:t>
      </w:r>
      <w:r w:rsidRPr="00EA7870">
        <w:rPr>
          <w:sz w:val="20"/>
          <w:szCs w:val="20"/>
          <w:lang w:val="es-AR"/>
        </w:rPr>
        <w:t>restricciones</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restricciones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hecho)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prohibiciones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acceder</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cambiario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procurará</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pagaderos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0F24A2" w:rsidRPr="00EA7870">
        <w:rPr>
          <w:sz w:val="20"/>
          <w:szCs w:val="20"/>
          <w:lang w:val="es-AR"/>
        </w:rPr>
        <w:t xml:space="preserve"> (i)</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valores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clase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bonos</w:t>
      </w:r>
      <w:r w:rsidR="001A28B3" w:rsidRPr="00EA7870">
        <w:rPr>
          <w:sz w:val="20"/>
          <w:szCs w:val="20"/>
          <w:lang w:val="es-AR"/>
        </w:rPr>
        <w:t xml:space="preserve"> </w:t>
      </w:r>
      <w:r w:rsidRPr="00EA7870">
        <w:rPr>
          <w:sz w:val="20"/>
          <w:szCs w:val="20"/>
          <w:lang w:val="es-AR"/>
        </w:rPr>
        <w:t>soberanos</w:t>
      </w:r>
      <w:r w:rsidR="001A28B3" w:rsidRPr="00EA7870">
        <w:rPr>
          <w:sz w:val="20"/>
          <w:szCs w:val="20"/>
          <w:lang w:val="es-AR"/>
        </w:rPr>
        <w:t xml:space="preserve"> </w:t>
      </w:r>
      <w:r w:rsidRPr="00EA7870">
        <w:rPr>
          <w:sz w:val="20"/>
          <w:szCs w:val="20"/>
          <w:lang w:val="es-AR"/>
        </w:rPr>
        <w:t>argentinos</w:t>
      </w:r>
      <w:r w:rsidR="001A28B3" w:rsidRPr="00EA7870">
        <w:rPr>
          <w:sz w:val="20"/>
          <w:szCs w:val="20"/>
          <w:lang w:val="es-AR"/>
        </w:rPr>
        <w:t xml:space="preserve"> </w:t>
      </w:r>
      <w:r w:rsidRPr="00EA7870">
        <w:rPr>
          <w:sz w:val="20"/>
          <w:szCs w:val="20"/>
          <w:lang w:val="es-AR"/>
        </w:rPr>
        <w:t>denominados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valores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bonos</w:t>
      </w:r>
      <w:r w:rsidR="001A28B3" w:rsidRPr="00EA7870">
        <w:rPr>
          <w:sz w:val="20"/>
          <w:szCs w:val="20"/>
          <w:lang w:val="es-AR"/>
        </w:rPr>
        <w:t xml:space="preserve"> </w:t>
      </w:r>
      <w:r w:rsidRPr="00EA7870">
        <w:rPr>
          <w:sz w:val="20"/>
          <w:szCs w:val="20"/>
          <w:lang w:val="es-AR"/>
        </w:rPr>
        <w:t>públicos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privados</w:t>
      </w:r>
      <w:r w:rsidR="001A28B3" w:rsidRPr="00EA7870">
        <w:rPr>
          <w:sz w:val="20"/>
          <w:szCs w:val="20"/>
          <w:lang w:val="es-AR"/>
        </w:rPr>
        <w:t xml:space="preserve"> </w:t>
      </w:r>
      <w:r w:rsidR="00E87C3B" w:rsidRPr="00EA7870">
        <w:rPr>
          <w:sz w:val="20"/>
          <w:szCs w:val="20"/>
          <w:lang w:val="es-AR"/>
        </w:rPr>
        <w:t>denominados</w:t>
      </w:r>
      <w:r w:rsidR="001A28B3" w:rsidRPr="00EA7870">
        <w:rPr>
          <w:sz w:val="20"/>
          <w:szCs w:val="20"/>
          <w:lang w:val="es-AR"/>
        </w:rPr>
        <w:t xml:space="preserve"> </w:t>
      </w:r>
      <w:r w:rsidR="00E87C3B" w:rsidRPr="00EA7870">
        <w:rPr>
          <w:sz w:val="20"/>
          <w:szCs w:val="20"/>
          <w:lang w:val="es-AR"/>
        </w:rPr>
        <w:t>en</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00E87C3B" w:rsidRPr="00EA7870">
        <w:rPr>
          <w:sz w:val="20"/>
          <w:szCs w:val="20"/>
          <w:lang w:val="es-AR"/>
        </w:rPr>
        <w:t>negociado</w:t>
      </w:r>
      <w:r w:rsidRPr="00EA7870">
        <w:rPr>
          <w:sz w:val="20"/>
          <w:szCs w:val="20"/>
          <w:lang w:val="es-AR"/>
        </w:rPr>
        <w:t>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posterior</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instrumentos</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Pr="00EA7870">
        <w:rPr>
          <w:sz w:val="20"/>
          <w:szCs w:val="20"/>
          <w:lang w:val="es-AR"/>
        </w:rPr>
        <w:t>,</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alcance</w:t>
      </w:r>
      <w:r w:rsidR="001A28B3" w:rsidRPr="00EA7870">
        <w:rPr>
          <w:sz w:val="20"/>
          <w:szCs w:val="20"/>
          <w:lang w:val="es-AR"/>
        </w:rPr>
        <w:t xml:space="preserve"> </w:t>
      </w:r>
      <w:r w:rsidRPr="00EA7870">
        <w:rPr>
          <w:sz w:val="20"/>
          <w:szCs w:val="20"/>
          <w:lang w:val="es-AR"/>
        </w:rPr>
        <w:t>permitido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w:t>
      </w:r>
      <w:r w:rsidR="000F24A2" w:rsidRPr="00EA7870">
        <w:rPr>
          <w:sz w:val="20"/>
          <w:szCs w:val="20"/>
          <w:lang w:val="es-AR"/>
        </w:rPr>
        <w:t>i</w:t>
      </w:r>
      <w:r w:rsidRPr="00EA7870">
        <w:rPr>
          <w:sz w:val="20"/>
          <w:szCs w:val="20"/>
          <w:lang w:val="es-AR"/>
        </w:rPr>
        <w:t>i)</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mecanismo</w:t>
      </w:r>
      <w:r w:rsidR="001A28B3" w:rsidRPr="00EA7870">
        <w:rPr>
          <w:sz w:val="20"/>
          <w:szCs w:val="20"/>
          <w:lang w:val="es-AR"/>
        </w:rPr>
        <w:t xml:space="preserve"> </w:t>
      </w:r>
      <w:r w:rsidRPr="00EA7870">
        <w:rPr>
          <w:sz w:val="20"/>
          <w:szCs w:val="20"/>
          <w:lang w:val="es-AR"/>
        </w:rPr>
        <w:t>razonable</w:t>
      </w:r>
      <w:r w:rsidR="001A28B3" w:rsidRPr="00EA7870">
        <w:rPr>
          <w:sz w:val="20"/>
          <w:szCs w:val="20"/>
          <w:lang w:val="es-AR"/>
        </w:rPr>
        <w:t xml:space="preserve"> </w:t>
      </w:r>
      <w:r w:rsidRPr="00EA7870">
        <w:rPr>
          <w:sz w:val="20"/>
          <w:szCs w:val="20"/>
          <w:lang w:val="es-AR"/>
        </w:rPr>
        <w:t>permitido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F112D5" w:rsidRPr="00EA7870">
        <w:rPr>
          <w:sz w:val="20"/>
          <w:szCs w:val="20"/>
          <w:lang w:val="es-AR"/>
        </w:rPr>
        <w:t xml:space="preserve"> (incluyendo, sin limitación, mediante el uso de fondos de libre disponibilidad)</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costos</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deban</w:t>
      </w:r>
      <w:r w:rsidR="001A28B3" w:rsidRPr="00EA7870">
        <w:rPr>
          <w:sz w:val="20"/>
          <w:szCs w:val="20"/>
          <w:lang w:val="es-AR"/>
        </w:rPr>
        <w:t xml:space="preserve"> </w:t>
      </w:r>
      <w:r w:rsidRPr="00EA7870">
        <w:rPr>
          <w:sz w:val="20"/>
          <w:szCs w:val="20"/>
          <w:lang w:val="es-AR"/>
        </w:rPr>
        <w:t>pagarse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procedimientos</w:t>
      </w:r>
      <w:r w:rsidR="001A28B3" w:rsidRPr="00EA7870">
        <w:rPr>
          <w:sz w:val="20"/>
          <w:szCs w:val="20"/>
          <w:lang w:val="es-AR"/>
        </w:rPr>
        <w:t xml:space="preserve"> </w:t>
      </w:r>
      <w:r w:rsidRPr="00EA7870">
        <w:rPr>
          <w:sz w:val="20"/>
          <w:szCs w:val="20"/>
          <w:lang w:val="es-AR"/>
        </w:rPr>
        <w:t>mencionados</w:t>
      </w:r>
      <w:r w:rsidR="001A28B3" w:rsidRPr="00EA7870">
        <w:rPr>
          <w:sz w:val="20"/>
          <w:szCs w:val="20"/>
          <w:lang w:val="es-AR"/>
        </w:rPr>
        <w:t xml:space="preserve"> </w:t>
      </w:r>
      <w:r w:rsidR="004E6806" w:rsidRPr="00EA7870">
        <w:rPr>
          <w:sz w:val="20"/>
          <w:szCs w:val="20"/>
          <w:lang w:val="es-AR"/>
        </w:rPr>
        <w:t>en este párrafo</w:t>
      </w:r>
      <w:r w:rsidR="001A28B3" w:rsidRPr="00EA7870">
        <w:rPr>
          <w:sz w:val="20"/>
          <w:szCs w:val="20"/>
          <w:lang w:val="es-AR"/>
        </w:rPr>
        <w:t xml:space="preserve"> </w:t>
      </w:r>
      <w:r w:rsidRPr="00EA7870">
        <w:rPr>
          <w:sz w:val="20"/>
          <w:szCs w:val="20"/>
          <w:lang w:val="es-AR"/>
        </w:rPr>
        <w:t>correrán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p>
    <w:p w14:paraId="11D6A375" w14:textId="77777777" w:rsidR="001B2758" w:rsidRPr="00EA7870" w:rsidRDefault="001B2758" w:rsidP="00376725">
      <w:pPr>
        <w:tabs>
          <w:tab w:val="left" w:pos="0"/>
        </w:tabs>
        <w:jc w:val="both"/>
        <w:rPr>
          <w:sz w:val="20"/>
          <w:szCs w:val="20"/>
          <w:lang w:val="es-AR"/>
        </w:rPr>
      </w:pPr>
    </w:p>
    <w:p w14:paraId="72497E84" w14:textId="77777777" w:rsidR="00376725" w:rsidRPr="00EA7870" w:rsidRDefault="00376725" w:rsidP="00376725">
      <w:pPr>
        <w:tabs>
          <w:tab w:val="left" w:pos="0"/>
        </w:tabs>
        <w:jc w:val="both"/>
        <w:rPr>
          <w:b/>
          <w:sz w:val="20"/>
          <w:szCs w:val="20"/>
          <w:lang w:val="es-AR"/>
        </w:rPr>
      </w:pPr>
      <w:r w:rsidRPr="00EA7870">
        <w:rPr>
          <w:b/>
          <w:sz w:val="20"/>
          <w:szCs w:val="20"/>
          <w:lang w:val="es-AR"/>
        </w:rPr>
        <w:t>Modificaciones</w:t>
      </w:r>
      <w:r w:rsidR="001A28B3" w:rsidRPr="00EA7870">
        <w:rPr>
          <w:b/>
          <w:sz w:val="20"/>
          <w:szCs w:val="20"/>
          <w:lang w:val="es-AR"/>
        </w:rPr>
        <w:t xml:space="preserve"> </w:t>
      </w:r>
      <w:r w:rsidRPr="00EA7870">
        <w:rPr>
          <w:b/>
          <w:sz w:val="20"/>
          <w:szCs w:val="20"/>
          <w:lang w:val="es-AR"/>
        </w:rPr>
        <w:t>y</w:t>
      </w:r>
      <w:r w:rsidR="001A28B3" w:rsidRPr="00EA7870">
        <w:rPr>
          <w:b/>
          <w:sz w:val="20"/>
          <w:szCs w:val="20"/>
          <w:lang w:val="es-AR"/>
        </w:rPr>
        <w:t xml:space="preserve"> </w:t>
      </w:r>
      <w:r w:rsidRPr="00EA7870">
        <w:rPr>
          <w:b/>
          <w:sz w:val="20"/>
          <w:szCs w:val="20"/>
          <w:lang w:val="es-AR"/>
        </w:rPr>
        <w:t>dispensas</w:t>
      </w:r>
    </w:p>
    <w:p w14:paraId="088784F1" w14:textId="77777777" w:rsidR="00376725" w:rsidRPr="00EA7870" w:rsidRDefault="00376725" w:rsidP="00376725">
      <w:pPr>
        <w:tabs>
          <w:tab w:val="left" w:pos="0"/>
        </w:tabs>
        <w:jc w:val="both"/>
        <w:rPr>
          <w:b/>
          <w:sz w:val="20"/>
          <w:szCs w:val="20"/>
          <w:lang w:val="es-AR"/>
        </w:rPr>
      </w:pPr>
    </w:p>
    <w:p w14:paraId="5203D61C" w14:textId="77777777" w:rsidR="00376725" w:rsidRPr="00EA7870" w:rsidRDefault="00376725" w:rsidP="00376725">
      <w:pPr>
        <w:tabs>
          <w:tab w:val="left" w:pos="0"/>
        </w:tabs>
        <w:jc w:val="both"/>
        <w:rPr>
          <w:b/>
          <w:i/>
          <w:sz w:val="20"/>
          <w:szCs w:val="20"/>
          <w:lang w:val="es-AR"/>
        </w:rPr>
      </w:pPr>
      <w:r w:rsidRPr="00EA7870">
        <w:rPr>
          <w:b/>
          <w:i/>
          <w:sz w:val="20"/>
          <w:szCs w:val="20"/>
          <w:lang w:val="es-AR"/>
        </w:rPr>
        <w:t>Modificaciones</w:t>
      </w:r>
      <w:r w:rsidR="001A28B3" w:rsidRPr="00EA7870">
        <w:rPr>
          <w:b/>
          <w:i/>
          <w:sz w:val="20"/>
          <w:szCs w:val="20"/>
          <w:lang w:val="es-AR"/>
        </w:rPr>
        <w:t xml:space="preserve"> </w:t>
      </w:r>
      <w:r w:rsidRPr="00EA7870">
        <w:rPr>
          <w:b/>
          <w:i/>
          <w:sz w:val="20"/>
          <w:szCs w:val="20"/>
          <w:lang w:val="es-AR"/>
        </w:rPr>
        <w:t>sin</w:t>
      </w:r>
      <w:r w:rsidR="001A28B3" w:rsidRPr="00EA7870">
        <w:rPr>
          <w:b/>
          <w:i/>
          <w:sz w:val="20"/>
          <w:szCs w:val="20"/>
          <w:lang w:val="es-AR"/>
        </w:rPr>
        <w:t xml:space="preserve"> </w:t>
      </w:r>
      <w:r w:rsidRPr="00EA7870">
        <w:rPr>
          <w:b/>
          <w:i/>
          <w:sz w:val="20"/>
          <w:szCs w:val="20"/>
          <w:lang w:val="es-AR"/>
        </w:rPr>
        <w:t>el</w:t>
      </w:r>
      <w:r w:rsidR="001A28B3" w:rsidRPr="00EA7870">
        <w:rPr>
          <w:b/>
          <w:i/>
          <w:sz w:val="20"/>
          <w:szCs w:val="20"/>
          <w:lang w:val="es-AR"/>
        </w:rPr>
        <w:t xml:space="preserve"> </w:t>
      </w:r>
      <w:r w:rsidRPr="00EA7870">
        <w:rPr>
          <w:b/>
          <w:i/>
          <w:sz w:val="20"/>
          <w:szCs w:val="20"/>
          <w:lang w:val="es-AR"/>
        </w:rPr>
        <w:t>consentimiento</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los</w:t>
      </w:r>
      <w:r w:rsidR="001A28B3" w:rsidRPr="00EA7870">
        <w:rPr>
          <w:b/>
          <w:i/>
          <w:sz w:val="20"/>
          <w:szCs w:val="20"/>
          <w:lang w:val="es-AR"/>
        </w:rPr>
        <w:t xml:space="preserve"> </w:t>
      </w:r>
      <w:r w:rsidRPr="00EA7870">
        <w:rPr>
          <w:b/>
          <w:i/>
          <w:sz w:val="20"/>
          <w:szCs w:val="20"/>
          <w:lang w:val="es-AR"/>
        </w:rPr>
        <w:t>tenedores</w:t>
      </w:r>
    </w:p>
    <w:p w14:paraId="7839D1BA" w14:textId="77777777" w:rsidR="00376725" w:rsidRPr="00EA7870" w:rsidRDefault="00376725" w:rsidP="00376725">
      <w:pPr>
        <w:tabs>
          <w:tab w:val="left" w:pos="0"/>
        </w:tabs>
        <w:jc w:val="both"/>
        <w:rPr>
          <w:sz w:val="20"/>
          <w:szCs w:val="20"/>
          <w:lang w:val="es-AR"/>
        </w:rPr>
      </w:pPr>
    </w:p>
    <w:p w14:paraId="5D2FB971" w14:textId="77777777" w:rsidR="00376725" w:rsidRPr="00EA7870" w:rsidRDefault="000B682A" w:rsidP="00376725">
      <w:pPr>
        <w:tabs>
          <w:tab w:val="left" w:pos="0"/>
        </w:tabs>
        <w:jc w:val="both"/>
        <w:rPr>
          <w:sz w:val="20"/>
          <w:szCs w:val="20"/>
          <w:lang w:val="es-AR"/>
        </w:rPr>
      </w:pPr>
      <w:r w:rsidRPr="00EA7870">
        <w:rPr>
          <w:sz w:val="20"/>
          <w:szCs w:val="20"/>
          <w:lang w:val="es-AR"/>
        </w:rPr>
        <w:t>L</w:t>
      </w:r>
      <w:r w:rsidR="00376725" w:rsidRPr="00EA7870">
        <w:rPr>
          <w:sz w:val="20"/>
          <w:szCs w:val="20"/>
          <w:lang w:val="es-AR"/>
        </w:rPr>
        <w:t>a</w:t>
      </w:r>
      <w:r w:rsidR="001A28B3" w:rsidRPr="00EA7870">
        <w:rPr>
          <w:sz w:val="20"/>
          <w:szCs w:val="20"/>
          <w:lang w:val="es-AR"/>
        </w:rPr>
        <w:t xml:space="preserve"> </w:t>
      </w:r>
      <w:r w:rsidR="00376725" w:rsidRPr="00EA7870">
        <w:rPr>
          <w:sz w:val="20"/>
          <w:szCs w:val="20"/>
          <w:lang w:val="es-AR"/>
        </w:rPr>
        <w:t>Emisora,</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Garante</w:t>
      </w:r>
      <w:r w:rsidR="001A28B3" w:rsidRPr="00EA7870">
        <w:rPr>
          <w:sz w:val="20"/>
          <w:szCs w:val="20"/>
          <w:lang w:val="es-AR"/>
        </w:rPr>
        <w:t xml:space="preserve"> </w:t>
      </w:r>
      <w:r w:rsidR="00376725" w:rsidRPr="00EA7870">
        <w:rPr>
          <w:sz w:val="20"/>
          <w:szCs w:val="20"/>
          <w:lang w:val="es-AR"/>
        </w:rPr>
        <w:t>y</w:t>
      </w:r>
      <w:r w:rsidR="001A28B3" w:rsidRPr="00EA7870">
        <w:rPr>
          <w:sz w:val="20"/>
          <w:szCs w:val="20"/>
          <w:lang w:val="es-AR"/>
        </w:rPr>
        <w:t xml:space="preserve"> </w:t>
      </w:r>
      <w:r w:rsidR="00376725" w:rsidRPr="00EA7870">
        <w:rPr>
          <w:sz w:val="20"/>
          <w:szCs w:val="20"/>
          <w:lang w:val="es-AR"/>
        </w:rPr>
        <w:t>el</w:t>
      </w:r>
      <w:r w:rsidR="001A28B3" w:rsidRPr="00EA7870">
        <w:rPr>
          <w:sz w:val="20"/>
          <w:szCs w:val="20"/>
          <w:lang w:val="es-AR"/>
        </w:rPr>
        <w:t xml:space="preserve"> </w:t>
      </w:r>
      <w:r w:rsidR="00376725" w:rsidRPr="00EA7870">
        <w:rPr>
          <w:sz w:val="20"/>
          <w:szCs w:val="20"/>
          <w:lang w:val="es-AR"/>
        </w:rPr>
        <w:t>Agente</w:t>
      </w:r>
      <w:r w:rsidR="001A28B3" w:rsidRPr="00EA7870">
        <w:rPr>
          <w:sz w:val="20"/>
          <w:szCs w:val="20"/>
          <w:lang w:val="es-AR"/>
        </w:rPr>
        <w:t xml:space="preserve"> </w:t>
      </w:r>
      <w:r w:rsidR="00376725" w:rsidRPr="00EA7870">
        <w:rPr>
          <w:sz w:val="20"/>
          <w:szCs w:val="20"/>
          <w:lang w:val="es-AR"/>
        </w:rPr>
        <w:t>Fiduciario</w:t>
      </w:r>
      <w:r w:rsidR="001A28B3" w:rsidRPr="00EA7870">
        <w:rPr>
          <w:sz w:val="20"/>
          <w:szCs w:val="20"/>
          <w:lang w:val="es-AR"/>
        </w:rPr>
        <w:t xml:space="preserve"> </w:t>
      </w:r>
      <w:r w:rsidR="00376725" w:rsidRPr="00EA7870">
        <w:rPr>
          <w:sz w:val="20"/>
          <w:szCs w:val="20"/>
          <w:lang w:val="es-AR"/>
        </w:rPr>
        <w:t>podrán</w:t>
      </w:r>
      <w:r w:rsidRPr="00EA7870">
        <w:rPr>
          <w:sz w:val="20"/>
          <w:szCs w:val="20"/>
          <w:lang w:val="es-AR"/>
        </w:rPr>
        <w:t xml:space="preserve">, luego de la recepción por parte del Agente Fiduciario de un Certificado de Funcionarios y Opinión Legal confirmando el cumplimiento de los requisitos del Contrato de Fideicomiso, </w:t>
      </w:r>
      <w:r w:rsidR="00376725" w:rsidRPr="00EA7870">
        <w:rPr>
          <w:sz w:val="20"/>
          <w:szCs w:val="20"/>
          <w:lang w:val="es-AR"/>
        </w:rPr>
        <w:t>modificar</w:t>
      </w:r>
      <w:r w:rsidR="001A28B3" w:rsidRPr="00EA7870">
        <w:rPr>
          <w:sz w:val="20"/>
          <w:szCs w:val="20"/>
          <w:lang w:val="es-AR"/>
        </w:rPr>
        <w:t xml:space="preserve"> </w:t>
      </w:r>
      <w:r w:rsidR="00376725" w:rsidRPr="00EA7870">
        <w:rPr>
          <w:sz w:val="20"/>
          <w:szCs w:val="20"/>
          <w:lang w:val="es-AR"/>
        </w:rPr>
        <w:t>o</w:t>
      </w:r>
      <w:r w:rsidR="001A28B3" w:rsidRPr="00EA7870">
        <w:rPr>
          <w:sz w:val="20"/>
          <w:szCs w:val="20"/>
          <w:lang w:val="es-AR"/>
        </w:rPr>
        <w:t xml:space="preserve"> </w:t>
      </w:r>
      <w:r w:rsidR="00376725" w:rsidRPr="00EA7870">
        <w:rPr>
          <w:sz w:val="20"/>
          <w:szCs w:val="20"/>
          <w:lang w:val="es-AR"/>
        </w:rPr>
        <w:t>complementar</w:t>
      </w:r>
      <w:r w:rsidR="001A28B3" w:rsidRPr="00EA7870">
        <w:rPr>
          <w:sz w:val="20"/>
          <w:szCs w:val="20"/>
          <w:lang w:val="es-AR"/>
        </w:rPr>
        <w:t xml:space="preserve"> </w:t>
      </w:r>
      <w:r w:rsidR="00376725" w:rsidRPr="00EA7870">
        <w:rPr>
          <w:sz w:val="20"/>
          <w:szCs w:val="20"/>
          <w:lang w:val="es-AR"/>
        </w:rPr>
        <w:t>el</w:t>
      </w:r>
      <w:r w:rsidR="001A28B3" w:rsidRPr="00EA7870">
        <w:rPr>
          <w:sz w:val="20"/>
          <w:szCs w:val="20"/>
          <w:lang w:val="es-AR"/>
        </w:rPr>
        <w:t xml:space="preserve"> </w:t>
      </w:r>
      <w:r w:rsidR="00376725" w:rsidRPr="00EA7870">
        <w:rPr>
          <w:sz w:val="20"/>
          <w:szCs w:val="20"/>
          <w:lang w:val="es-AR"/>
        </w:rPr>
        <w:t>Contrato</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Fideicomiso,</w:t>
      </w:r>
      <w:r w:rsidR="001A28B3" w:rsidRPr="00EA7870">
        <w:rPr>
          <w:sz w:val="20"/>
          <w:szCs w:val="20"/>
          <w:lang w:val="es-AR"/>
        </w:rPr>
        <w:t xml:space="preserve"> </w:t>
      </w:r>
      <w:r w:rsidR="00376725" w:rsidRPr="00EA7870">
        <w:rPr>
          <w:sz w:val="20"/>
          <w:szCs w:val="20"/>
          <w:lang w:val="es-AR"/>
        </w:rPr>
        <w:t>las</w:t>
      </w:r>
      <w:r w:rsidR="001A28B3" w:rsidRPr="00EA7870">
        <w:rPr>
          <w:sz w:val="20"/>
          <w:szCs w:val="20"/>
          <w:lang w:val="es-AR"/>
        </w:rPr>
        <w:t xml:space="preserve"> </w:t>
      </w:r>
      <w:r w:rsidR="00376725" w:rsidRPr="00EA7870">
        <w:rPr>
          <w:sz w:val="20"/>
          <w:szCs w:val="20"/>
          <w:lang w:val="es-AR"/>
        </w:rPr>
        <w:t>Obligaciones</w:t>
      </w:r>
      <w:r w:rsidR="001A28B3" w:rsidRPr="00EA7870">
        <w:rPr>
          <w:sz w:val="20"/>
          <w:szCs w:val="20"/>
          <w:lang w:val="es-AR"/>
        </w:rPr>
        <w:t xml:space="preserve"> </w:t>
      </w:r>
      <w:r w:rsidR="00376725" w:rsidRPr="00EA7870">
        <w:rPr>
          <w:sz w:val="20"/>
          <w:szCs w:val="20"/>
          <w:lang w:val="es-AR"/>
        </w:rPr>
        <w:t>Negociables</w:t>
      </w:r>
      <w:r w:rsidR="001A28B3" w:rsidRPr="00EA7870">
        <w:rPr>
          <w:sz w:val="20"/>
          <w:szCs w:val="20"/>
          <w:lang w:val="es-AR"/>
        </w:rPr>
        <w:t xml:space="preserve"> </w:t>
      </w:r>
      <w:r w:rsidR="00376725" w:rsidRPr="00EA7870">
        <w:rPr>
          <w:sz w:val="20"/>
          <w:szCs w:val="20"/>
          <w:lang w:val="es-AR"/>
        </w:rPr>
        <w:t>y</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Garantía</w:t>
      </w:r>
      <w:r w:rsidR="001A28B3" w:rsidRPr="00EA7870">
        <w:rPr>
          <w:sz w:val="20"/>
          <w:szCs w:val="20"/>
          <w:lang w:val="es-AR"/>
        </w:rPr>
        <w:t xml:space="preserve"> </w:t>
      </w:r>
      <w:r w:rsidR="00376725" w:rsidRPr="00EA7870">
        <w:rPr>
          <w:sz w:val="20"/>
          <w:szCs w:val="20"/>
          <w:lang w:val="es-AR"/>
        </w:rPr>
        <w:t>sin</w:t>
      </w:r>
      <w:r w:rsidR="001A28B3" w:rsidRPr="00EA7870">
        <w:rPr>
          <w:sz w:val="20"/>
          <w:szCs w:val="20"/>
          <w:lang w:val="es-AR"/>
        </w:rPr>
        <w:t xml:space="preserve"> </w:t>
      </w:r>
      <w:r w:rsidR="00376725" w:rsidRPr="00EA7870">
        <w:rPr>
          <w:sz w:val="20"/>
          <w:szCs w:val="20"/>
          <w:lang w:val="es-AR"/>
        </w:rPr>
        <w:t>notificación</w:t>
      </w:r>
      <w:r w:rsidR="001A28B3" w:rsidRPr="00EA7870">
        <w:rPr>
          <w:sz w:val="20"/>
          <w:szCs w:val="20"/>
          <w:lang w:val="es-AR"/>
        </w:rPr>
        <w:t xml:space="preserve"> </w:t>
      </w:r>
      <w:r w:rsidR="00376725" w:rsidRPr="00EA7870">
        <w:rPr>
          <w:sz w:val="20"/>
          <w:szCs w:val="20"/>
          <w:lang w:val="es-AR"/>
        </w:rPr>
        <w:t>a</w:t>
      </w:r>
      <w:r w:rsidR="001A28B3" w:rsidRPr="00EA7870">
        <w:rPr>
          <w:sz w:val="20"/>
          <w:szCs w:val="20"/>
          <w:lang w:val="es-AR"/>
        </w:rPr>
        <w:t xml:space="preserve"> </w:t>
      </w:r>
      <w:r w:rsidR="00376725" w:rsidRPr="00EA7870">
        <w:rPr>
          <w:sz w:val="20"/>
          <w:szCs w:val="20"/>
          <w:lang w:val="es-AR"/>
        </w:rPr>
        <w:t>ningún</w:t>
      </w:r>
      <w:r w:rsidR="001A28B3" w:rsidRPr="00EA7870">
        <w:rPr>
          <w:sz w:val="20"/>
          <w:szCs w:val="20"/>
          <w:lang w:val="es-AR"/>
        </w:rPr>
        <w:t xml:space="preserve"> </w:t>
      </w:r>
      <w:r w:rsidR="00376725" w:rsidRPr="00EA7870">
        <w:rPr>
          <w:sz w:val="20"/>
          <w:szCs w:val="20"/>
          <w:lang w:val="es-AR"/>
        </w:rPr>
        <w:t>tenedor</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Obligaciones</w:t>
      </w:r>
      <w:r w:rsidR="001A28B3" w:rsidRPr="00EA7870">
        <w:rPr>
          <w:sz w:val="20"/>
          <w:szCs w:val="20"/>
          <w:lang w:val="es-AR"/>
        </w:rPr>
        <w:t xml:space="preserve"> </w:t>
      </w:r>
      <w:r w:rsidR="00376725" w:rsidRPr="00EA7870">
        <w:rPr>
          <w:sz w:val="20"/>
          <w:szCs w:val="20"/>
          <w:lang w:val="es-AR"/>
        </w:rPr>
        <w:t>Negociables</w:t>
      </w:r>
      <w:r w:rsidR="001A28B3" w:rsidRPr="00EA7870">
        <w:rPr>
          <w:sz w:val="20"/>
          <w:szCs w:val="20"/>
          <w:lang w:val="es-AR"/>
        </w:rPr>
        <w:t xml:space="preserve"> </w:t>
      </w:r>
      <w:r w:rsidR="00376725" w:rsidRPr="00EA7870">
        <w:rPr>
          <w:sz w:val="20"/>
          <w:szCs w:val="20"/>
          <w:lang w:val="es-AR"/>
        </w:rPr>
        <w:t>sin</w:t>
      </w:r>
      <w:r w:rsidR="001A28B3" w:rsidRPr="00EA7870">
        <w:rPr>
          <w:sz w:val="20"/>
          <w:szCs w:val="20"/>
          <w:lang w:val="es-AR"/>
        </w:rPr>
        <w:t xml:space="preserve"> </w:t>
      </w:r>
      <w:r w:rsidR="00376725" w:rsidRPr="00EA7870">
        <w:rPr>
          <w:sz w:val="20"/>
          <w:szCs w:val="20"/>
          <w:lang w:val="es-AR"/>
        </w:rPr>
        <w:t>obtener</w:t>
      </w:r>
      <w:r w:rsidR="001A28B3" w:rsidRPr="00EA7870">
        <w:rPr>
          <w:sz w:val="20"/>
          <w:szCs w:val="20"/>
          <w:lang w:val="es-AR"/>
        </w:rPr>
        <w:t xml:space="preserve"> </w:t>
      </w:r>
      <w:r w:rsidR="00376725" w:rsidRPr="00EA7870">
        <w:rPr>
          <w:sz w:val="20"/>
          <w:szCs w:val="20"/>
          <w:lang w:val="es-AR"/>
        </w:rPr>
        <w:t>su</w:t>
      </w:r>
      <w:r w:rsidR="001A28B3" w:rsidRPr="00EA7870">
        <w:rPr>
          <w:sz w:val="20"/>
          <w:szCs w:val="20"/>
          <w:lang w:val="es-AR"/>
        </w:rPr>
        <w:t xml:space="preserve"> </w:t>
      </w:r>
      <w:r w:rsidR="00376725" w:rsidRPr="00EA7870">
        <w:rPr>
          <w:sz w:val="20"/>
          <w:szCs w:val="20"/>
          <w:lang w:val="es-AR"/>
        </w:rPr>
        <w:t>consentimiento:</w:t>
      </w:r>
    </w:p>
    <w:p w14:paraId="0AE9FB0C" w14:textId="77777777" w:rsidR="00376725" w:rsidRPr="00EA7870" w:rsidRDefault="00376725" w:rsidP="00376725">
      <w:pPr>
        <w:tabs>
          <w:tab w:val="left" w:pos="0"/>
        </w:tabs>
        <w:ind w:firstLine="709"/>
        <w:jc w:val="both"/>
        <w:rPr>
          <w:sz w:val="20"/>
          <w:szCs w:val="20"/>
          <w:lang w:val="es-AR"/>
        </w:rPr>
      </w:pPr>
    </w:p>
    <w:p w14:paraId="4D50AA6A"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(1)</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subsanar</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ambigüedad,</w:t>
      </w:r>
      <w:r w:rsidR="001A28B3" w:rsidRPr="00EA7870">
        <w:rPr>
          <w:sz w:val="20"/>
          <w:szCs w:val="20"/>
          <w:lang w:val="es-AR"/>
        </w:rPr>
        <w:t xml:space="preserve"> </w:t>
      </w:r>
      <w:r w:rsidRPr="00EA7870">
        <w:rPr>
          <w:sz w:val="20"/>
          <w:szCs w:val="20"/>
          <w:lang w:val="es-AR"/>
        </w:rPr>
        <w:t>defecto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inconsistencia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resultara</w:t>
      </w:r>
      <w:r w:rsidR="001A28B3" w:rsidRPr="00EA7870">
        <w:rPr>
          <w:sz w:val="20"/>
          <w:szCs w:val="20"/>
          <w:lang w:val="es-AR"/>
        </w:rPr>
        <w:t xml:space="preserve"> </w:t>
      </w:r>
      <w:r w:rsidRPr="00EA7870">
        <w:rPr>
          <w:sz w:val="20"/>
          <w:szCs w:val="20"/>
          <w:lang w:val="es-AR"/>
        </w:rPr>
        <w:t>sustancialmente</w:t>
      </w:r>
      <w:r w:rsidR="001A28B3" w:rsidRPr="00EA7870">
        <w:rPr>
          <w:sz w:val="20"/>
          <w:szCs w:val="20"/>
          <w:lang w:val="es-AR"/>
        </w:rPr>
        <w:t xml:space="preserve"> </w:t>
      </w:r>
      <w:r w:rsidRPr="00EA7870">
        <w:rPr>
          <w:sz w:val="20"/>
          <w:szCs w:val="20"/>
          <w:lang w:val="es-AR"/>
        </w:rPr>
        <w:t>adversa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2AA6810C" w14:textId="77777777" w:rsidR="00376725" w:rsidRPr="00EA7870" w:rsidRDefault="00376725" w:rsidP="00376725">
      <w:pPr>
        <w:tabs>
          <w:tab w:val="left" w:pos="0"/>
        </w:tabs>
        <w:ind w:firstLine="709"/>
        <w:jc w:val="both"/>
        <w:rPr>
          <w:sz w:val="20"/>
          <w:szCs w:val="20"/>
          <w:lang w:val="es-AR"/>
        </w:rPr>
      </w:pPr>
    </w:p>
    <w:p w14:paraId="50B16959"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(2)</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cumplir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w:t>
      </w:r>
      <w:r w:rsidRPr="00EA7870">
        <w:rPr>
          <w:i/>
          <w:sz w:val="20"/>
          <w:szCs w:val="20"/>
          <w:lang w:val="es-AR"/>
        </w:rPr>
        <w:t>—Ciertos</w:t>
      </w:r>
      <w:r w:rsidR="001A28B3" w:rsidRPr="00EA7870">
        <w:rPr>
          <w:i/>
          <w:sz w:val="20"/>
          <w:szCs w:val="20"/>
          <w:lang w:val="es-AR"/>
        </w:rPr>
        <w:t xml:space="preserve"> </w:t>
      </w:r>
      <w:r w:rsidRPr="00EA7870">
        <w:rPr>
          <w:i/>
          <w:sz w:val="20"/>
          <w:szCs w:val="20"/>
          <w:lang w:val="es-AR"/>
        </w:rPr>
        <w:t>compromisos—Limitación</w:t>
      </w:r>
      <w:r w:rsidR="001A28B3" w:rsidRPr="00EA7870">
        <w:rPr>
          <w:i/>
          <w:sz w:val="20"/>
          <w:szCs w:val="20"/>
          <w:lang w:val="es-AR"/>
        </w:rPr>
        <w:t xml:space="preserve"> </w:t>
      </w:r>
      <w:r w:rsidRPr="00EA7870">
        <w:rPr>
          <w:i/>
          <w:sz w:val="20"/>
          <w:szCs w:val="20"/>
          <w:lang w:val="es-AR"/>
        </w:rPr>
        <w:t>a</w:t>
      </w:r>
      <w:r w:rsidR="001A28B3" w:rsidRPr="00EA7870">
        <w:rPr>
          <w:i/>
          <w:sz w:val="20"/>
          <w:szCs w:val="20"/>
          <w:lang w:val="es-AR"/>
        </w:rPr>
        <w:t xml:space="preserve"> </w:t>
      </w:r>
      <w:r w:rsidRPr="00EA7870">
        <w:rPr>
          <w:i/>
          <w:sz w:val="20"/>
          <w:szCs w:val="20"/>
          <w:lang w:val="es-AR"/>
        </w:rPr>
        <w:t>la</w:t>
      </w:r>
      <w:r w:rsidR="001A28B3" w:rsidRPr="00EA7870">
        <w:rPr>
          <w:i/>
          <w:sz w:val="20"/>
          <w:szCs w:val="20"/>
          <w:lang w:val="es-AR"/>
        </w:rPr>
        <w:t xml:space="preserve"> </w:t>
      </w:r>
      <w:r w:rsidRPr="00EA7870">
        <w:rPr>
          <w:i/>
          <w:sz w:val="20"/>
          <w:szCs w:val="20"/>
          <w:lang w:val="es-AR"/>
        </w:rPr>
        <w:t>Fusión</w:t>
      </w:r>
      <w:r w:rsidR="001A28B3" w:rsidRPr="00EA7870">
        <w:rPr>
          <w:i/>
          <w:sz w:val="20"/>
          <w:szCs w:val="20"/>
          <w:lang w:val="es-AR"/>
        </w:rPr>
        <w:t xml:space="preserve"> </w:t>
      </w:r>
      <w:r w:rsidRPr="00EA7870">
        <w:rPr>
          <w:i/>
          <w:sz w:val="20"/>
          <w:szCs w:val="20"/>
          <w:lang w:val="es-AR"/>
        </w:rPr>
        <w:t>por</w:t>
      </w:r>
      <w:r w:rsidR="001A28B3" w:rsidRPr="00EA7870">
        <w:rPr>
          <w:i/>
          <w:sz w:val="20"/>
          <w:szCs w:val="20"/>
          <w:lang w:val="es-AR"/>
        </w:rPr>
        <w:t xml:space="preserve"> </w:t>
      </w:r>
      <w:r w:rsidRPr="00EA7870">
        <w:rPr>
          <w:i/>
          <w:sz w:val="20"/>
          <w:szCs w:val="20"/>
          <w:lang w:val="es-AR"/>
        </w:rPr>
        <w:t>Absorción,</w:t>
      </w:r>
      <w:r w:rsidR="001A28B3" w:rsidRPr="00EA7870">
        <w:rPr>
          <w:i/>
          <w:sz w:val="20"/>
          <w:szCs w:val="20"/>
          <w:lang w:val="es-AR"/>
        </w:rPr>
        <w:t xml:space="preserve"> </w:t>
      </w:r>
      <w:r w:rsidRPr="00EA7870">
        <w:rPr>
          <w:i/>
          <w:sz w:val="20"/>
          <w:szCs w:val="20"/>
          <w:lang w:val="es-AR"/>
        </w:rPr>
        <w:t>Consolidación</w:t>
      </w:r>
      <w:r w:rsidR="001A28B3" w:rsidRPr="00EA7870">
        <w:rPr>
          <w:i/>
          <w:sz w:val="20"/>
          <w:szCs w:val="20"/>
          <w:lang w:val="es-AR"/>
        </w:rPr>
        <w:t xml:space="preserve"> </w:t>
      </w:r>
      <w:r w:rsidRPr="00EA7870">
        <w:rPr>
          <w:i/>
          <w:sz w:val="20"/>
          <w:szCs w:val="20"/>
          <w:lang w:val="es-AR"/>
        </w:rPr>
        <w:t>o</w:t>
      </w:r>
      <w:r w:rsidR="001A28B3" w:rsidRPr="00EA7870">
        <w:rPr>
          <w:i/>
          <w:sz w:val="20"/>
          <w:szCs w:val="20"/>
          <w:lang w:val="es-AR"/>
        </w:rPr>
        <w:t xml:space="preserve"> </w:t>
      </w:r>
      <w:r w:rsidRPr="00EA7870">
        <w:rPr>
          <w:i/>
          <w:sz w:val="20"/>
          <w:szCs w:val="20"/>
          <w:lang w:val="es-AR"/>
        </w:rPr>
        <w:t>Venta</w:t>
      </w:r>
      <w:r w:rsidR="001A28B3" w:rsidRPr="00EA7870">
        <w:rPr>
          <w:i/>
          <w:sz w:val="20"/>
          <w:szCs w:val="20"/>
          <w:lang w:val="es-AR"/>
        </w:rPr>
        <w:t xml:space="preserve"> </w:t>
      </w:r>
      <w:r w:rsidRPr="00EA7870">
        <w:rPr>
          <w:i/>
          <w:sz w:val="20"/>
          <w:szCs w:val="20"/>
          <w:lang w:val="es-AR"/>
        </w:rPr>
        <w:t>de</w:t>
      </w:r>
      <w:r w:rsidR="001A28B3" w:rsidRPr="00EA7870">
        <w:rPr>
          <w:i/>
          <w:sz w:val="20"/>
          <w:szCs w:val="20"/>
          <w:lang w:val="es-AR"/>
        </w:rPr>
        <w:t xml:space="preserve"> </w:t>
      </w:r>
      <w:r w:rsidRPr="00EA7870">
        <w:rPr>
          <w:i/>
          <w:sz w:val="20"/>
          <w:szCs w:val="20"/>
          <w:lang w:val="es-AR"/>
        </w:rPr>
        <w:t>Activos</w:t>
      </w:r>
      <w:r w:rsidRPr="00EA7870">
        <w:rPr>
          <w:sz w:val="20"/>
          <w:szCs w:val="20"/>
          <w:lang w:val="es-AR"/>
        </w:rPr>
        <w:t>”</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disponer</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asuma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p>
    <w:p w14:paraId="412359D1" w14:textId="77777777" w:rsidR="00376725" w:rsidRPr="00EA7870" w:rsidRDefault="00376725" w:rsidP="00376725">
      <w:pPr>
        <w:tabs>
          <w:tab w:val="left" w:pos="0"/>
        </w:tabs>
        <w:ind w:firstLine="709"/>
        <w:jc w:val="both"/>
        <w:rPr>
          <w:sz w:val="20"/>
          <w:szCs w:val="20"/>
          <w:lang w:val="es-AR"/>
        </w:rPr>
      </w:pPr>
    </w:p>
    <w:p w14:paraId="043982A4"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(3)</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acreditar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disponer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aceptación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designación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sucesor</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representante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2D558DA5" w14:textId="77777777" w:rsidR="00376725" w:rsidRPr="00EA7870" w:rsidRDefault="00376725" w:rsidP="00376725">
      <w:pPr>
        <w:tabs>
          <w:tab w:val="left" w:pos="0"/>
        </w:tabs>
        <w:ind w:firstLine="709"/>
        <w:jc w:val="both"/>
        <w:rPr>
          <w:sz w:val="20"/>
          <w:szCs w:val="20"/>
          <w:lang w:val="es-AR"/>
        </w:rPr>
      </w:pPr>
    </w:p>
    <w:p w14:paraId="4627B208"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(4)</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disponer</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garantizar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confirmar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acreditar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liberación,</w:t>
      </w:r>
      <w:r w:rsidR="001A28B3" w:rsidRPr="00EA7870">
        <w:rPr>
          <w:sz w:val="20"/>
          <w:szCs w:val="20"/>
          <w:lang w:val="es-AR"/>
        </w:rPr>
        <w:t xml:space="preserve"> </w:t>
      </w:r>
      <w:r w:rsidRPr="00EA7870">
        <w:rPr>
          <w:sz w:val="20"/>
          <w:szCs w:val="20"/>
          <w:lang w:val="es-AR"/>
        </w:rPr>
        <w:t>extinción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cancelación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Gravamen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garantice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liberación,</w:t>
      </w:r>
      <w:r w:rsidR="001A28B3" w:rsidRPr="00EA7870">
        <w:rPr>
          <w:sz w:val="20"/>
          <w:szCs w:val="20"/>
          <w:lang w:val="es-AR"/>
        </w:rPr>
        <w:t xml:space="preserve"> </w:t>
      </w:r>
      <w:r w:rsidRPr="00EA7870">
        <w:rPr>
          <w:sz w:val="20"/>
          <w:szCs w:val="20"/>
          <w:lang w:val="es-AR"/>
        </w:rPr>
        <w:t>extinción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cancelación</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permitida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7BE5B47E" w14:textId="77777777" w:rsidR="00376725" w:rsidRPr="00EA7870" w:rsidRDefault="00376725" w:rsidP="00376725">
      <w:pPr>
        <w:tabs>
          <w:tab w:val="left" w:pos="0"/>
        </w:tabs>
        <w:ind w:firstLine="709"/>
        <w:jc w:val="both"/>
        <w:rPr>
          <w:sz w:val="20"/>
          <w:szCs w:val="20"/>
          <w:lang w:val="es-AR"/>
        </w:rPr>
      </w:pPr>
    </w:p>
    <w:p w14:paraId="364A52F0"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(5)</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disponer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confirmar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adicionales;</w:t>
      </w:r>
    </w:p>
    <w:p w14:paraId="5C5CA31E" w14:textId="77777777" w:rsidR="00376725" w:rsidRPr="00EA7870" w:rsidRDefault="00376725" w:rsidP="00376725">
      <w:pPr>
        <w:tabs>
          <w:tab w:val="left" w:pos="0"/>
        </w:tabs>
        <w:ind w:firstLine="709"/>
        <w:jc w:val="both"/>
        <w:rPr>
          <w:sz w:val="20"/>
          <w:szCs w:val="20"/>
          <w:lang w:val="es-AR"/>
        </w:rPr>
      </w:pPr>
    </w:p>
    <w:p w14:paraId="68EA9F3F"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(6)</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cumplir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requisito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MAE</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sujeto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excepción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estará</w:t>
      </w:r>
      <w:r w:rsidR="001A28B3" w:rsidRPr="00EA7870">
        <w:rPr>
          <w:sz w:val="20"/>
          <w:szCs w:val="20"/>
          <w:lang w:val="es-AR"/>
        </w:rPr>
        <w:t xml:space="preserve"> </w:t>
      </w:r>
      <w:r w:rsidRPr="00EA7870">
        <w:rPr>
          <w:sz w:val="20"/>
          <w:szCs w:val="20"/>
          <w:lang w:val="es-AR"/>
        </w:rPr>
        <w:t>permitido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viola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apartado</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w:t>
      </w:r>
      <w:r w:rsidRPr="00EA7870">
        <w:rPr>
          <w:i/>
          <w:sz w:val="20"/>
          <w:szCs w:val="20"/>
          <w:lang w:val="es-AR"/>
        </w:rPr>
        <w:t>Modificaciones</w:t>
      </w:r>
      <w:r w:rsidR="001A28B3" w:rsidRPr="00EA7870">
        <w:rPr>
          <w:i/>
          <w:sz w:val="20"/>
          <w:szCs w:val="20"/>
          <w:lang w:val="es-AR"/>
        </w:rPr>
        <w:t xml:space="preserve"> </w:t>
      </w:r>
      <w:r w:rsidRPr="00EA7870">
        <w:rPr>
          <w:i/>
          <w:sz w:val="20"/>
          <w:szCs w:val="20"/>
          <w:lang w:val="es-AR"/>
        </w:rPr>
        <w:t>con</w:t>
      </w:r>
      <w:r w:rsidR="001A28B3" w:rsidRPr="00EA7870">
        <w:rPr>
          <w:i/>
          <w:sz w:val="20"/>
          <w:szCs w:val="20"/>
          <w:lang w:val="es-AR"/>
        </w:rPr>
        <w:t xml:space="preserve"> </w:t>
      </w:r>
      <w:r w:rsidRPr="00EA7870">
        <w:rPr>
          <w:i/>
          <w:sz w:val="20"/>
          <w:szCs w:val="20"/>
          <w:lang w:val="es-AR"/>
        </w:rPr>
        <w:t>el</w:t>
      </w:r>
      <w:r w:rsidR="001A28B3" w:rsidRPr="00EA7870">
        <w:rPr>
          <w:i/>
          <w:sz w:val="20"/>
          <w:szCs w:val="20"/>
          <w:lang w:val="es-AR"/>
        </w:rPr>
        <w:t xml:space="preserve"> </w:t>
      </w:r>
      <w:r w:rsidRPr="00EA7870">
        <w:rPr>
          <w:i/>
          <w:sz w:val="20"/>
          <w:szCs w:val="20"/>
          <w:lang w:val="es-AR"/>
        </w:rPr>
        <w:t>consentimiento</w:t>
      </w:r>
      <w:r w:rsidR="001A28B3" w:rsidRPr="00EA7870">
        <w:rPr>
          <w:i/>
          <w:sz w:val="20"/>
          <w:szCs w:val="20"/>
          <w:lang w:val="es-AR"/>
        </w:rPr>
        <w:t xml:space="preserve"> </w:t>
      </w:r>
      <w:r w:rsidRPr="00EA7870">
        <w:rPr>
          <w:i/>
          <w:sz w:val="20"/>
          <w:szCs w:val="20"/>
          <w:lang w:val="es-AR"/>
        </w:rPr>
        <w:t>de</w:t>
      </w:r>
      <w:r w:rsidR="001A28B3" w:rsidRPr="00EA7870">
        <w:rPr>
          <w:i/>
          <w:sz w:val="20"/>
          <w:szCs w:val="20"/>
          <w:lang w:val="es-AR"/>
        </w:rPr>
        <w:t xml:space="preserve"> </w:t>
      </w:r>
      <w:r w:rsidRPr="00EA7870">
        <w:rPr>
          <w:i/>
          <w:sz w:val="20"/>
          <w:szCs w:val="20"/>
          <w:lang w:val="es-AR"/>
        </w:rPr>
        <w:t>los</w:t>
      </w:r>
      <w:r w:rsidR="001A28B3" w:rsidRPr="00EA7870">
        <w:rPr>
          <w:i/>
          <w:sz w:val="20"/>
          <w:szCs w:val="20"/>
          <w:lang w:val="es-AR"/>
        </w:rPr>
        <w:t xml:space="preserve"> </w:t>
      </w:r>
      <w:r w:rsidRPr="00EA7870">
        <w:rPr>
          <w:i/>
          <w:sz w:val="20"/>
          <w:szCs w:val="20"/>
          <w:lang w:val="es-AR"/>
        </w:rPr>
        <w:t>tenedores</w:t>
      </w:r>
      <w:r w:rsidRPr="00EA7870">
        <w:rPr>
          <w:sz w:val="20"/>
          <w:szCs w:val="20"/>
          <w:lang w:val="es-AR"/>
        </w:rPr>
        <w:t>”</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continuación;</w:t>
      </w:r>
    </w:p>
    <w:p w14:paraId="0BEC1C91" w14:textId="77777777" w:rsidR="00376725" w:rsidRPr="00EA7870" w:rsidRDefault="00376725" w:rsidP="00376725">
      <w:pPr>
        <w:tabs>
          <w:tab w:val="left" w:pos="0"/>
        </w:tabs>
        <w:ind w:firstLine="709"/>
        <w:jc w:val="both"/>
        <w:rPr>
          <w:sz w:val="20"/>
          <w:szCs w:val="20"/>
          <w:lang w:val="es-AR"/>
        </w:rPr>
      </w:pPr>
    </w:p>
    <w:p w14:paraId="7C1090A2"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(7)</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afecte</w:t>
      </w:r>
      <w:r w:rsidR="001A28B3" w:rsidRPr="00EA7870">
        <w:rPr>
          <w:sz w:val="20"/>
          <w:szCs w:val="20"/>
          <w:lang w:val="es-AR"/>
        </w:rPr>
        <w:t xml:space="preserve"> </w:t>
      </w:r>
      <w:r w:rsidRPr="00EA7870">
        <w:rPr>
          <w:sz w:val="20"/>
          <w:szCs w:val="20"/>
          <w:lang w:val="es-AR"/>
        </w:rPr>
        <w:t>sustancial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adversamente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tenedor;</w:t>
      </w:r>
    </w:p>
    <w:p w14:paraId="22898C44" w14:textId="77777777" w:rsidR="00376725" w:rsidRPr="00EA7870" w:rsidRDefault="00376725" w:rsidP="00376725">
      <w:pPr>
        <w:tabs>
          <w:tab w:val="left" w:pos="0"/>
        </w:tabs>
        <w:ind w:firstLine="709"/>
        <w:jc w:val="both"/>
        <w:rPr>
          <w:sz w:val="20"/>
          <w:szCs w:val="20"/>
          <w:lang w:val="es-AR"/>
        </w:rPr>
      </w:pPr>
    </w:p>
    <w:p w14:paraId="11D6D875"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(8)</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adaptar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esta</w:t>
      </w:r>
      <w:r w:rsidR="001A28B3" w:rsidRPr="00EA7870">
        <w:rPr>
          <w:sz w:val="20"/>
          <w:szCs w:val="20"/>
          <w:lang w:val="es-AR"/>
        </w:rPr>
        <w:t xml:space="preserve"> </w:t>
      </w:r>
      <w:r w:rsidRPr="00EA7870">
        <w:rPr>
          <w:sz w:val="20"/>
          <w:szCs w:val="20"/>
          <w:lang w:val="es-AR"/>
        </w:rPr>
        <w:t>“</w:t>
      </w:r>
      <w:r w:rsidRPr="00EA7870">
        <w:rPr>
          <w:i/>
          <w:sz w:val="20"/>
          <w:szCs w:val="20"/>
          <w:lang w:val="es-AR"/>
        </w:rPr>
        <w:t>Descripción</w:t>
      </w:r>
      <w:r w:rsidR="001A28B3" w:rsidRPr="00EA7870">
        <w:rPr>
          <w:i/>
          <w:sz w:val="20"/>
          <w:szCs w:val="20"/>
          <w:lang w:val="es-AR"/>
        </w:rPr>
        <w:t xml:space="preserve"> </w:t>
      </w:r>
      <w:r w:rsidRPr="00EA7870">
        <w:rPr>
          <w:i/>
          <w:sz w:val="20"/>
          <w:szCs w:val="20"/>
          <w:lang w:val="es-AR"/>
        </w:rPr>
        <w:t>de</w:t>
      </w:r>
      <w:r w:rsidR="001A28B3" w:rsidRPr="00EA7870">
        <w:rPr>
          <w:i/>
          <w:sz w:val="20"/>
          <w:szCs w:val="20"/>
          <w:lang w:val="es-AR"/>
        </w:rPr>
        <w:t xml:space="preserve"> </w:t>
      </w:r>
      <w:r w:rsidRPr="00EA7870">
        <w:rPr>
          <w:i/>
          <w:sz w:val="20"/>
          <w:szCs w:val="20"/>
          <w:lang w:val="es-AR"/>
        </w:rPr>
        <w:t>las</w:t>
      </w:r>
      <w:r w:rsidR="001A28B3" w:rsidRPr="00EA7870">
        <w:rPr>
          <w:i/>
          <w:sz w:val="20"/>
          <w:szCs w:val="20"/>
          <w:lang w:val="es-AR"/>
        </w:rPr>
        <w:t xml:space="preserve"> </w:t>
      </w:r>
      <w:r w:rsidRPr="00EA7870">
        <w:rPr>
          <w:i/>
          <w:sz w:val="20"/>
          <w:szCs w:val="20"/>
          <w:lang w:val="es-AR"/>
        </w:rPr>
        <w:t>Obligaciones</w:t>
      </w:r>
      <w:r w:rsidR="001A28B3" w:rsidRPr="00EA7870">
        <w:rPr>
          <w:i/>
          <w:sz w:val="20"/>
          <w:szCs w:val="20"/>
          <w:lang w:val="es-AR"/>
        </w:rPr>
        <w:t xml:space="preserve"> </w:t>
      </w:r>
      <w:r w:rsidRPr="00EA7870">
        <w:rPr>
          <w:i/>
          <w:sz w:val="20"/>
          <w:szCs w:val="20"/>
          <w:lang w:val="es-AR"/>
        </w:rPr>
        <w:t>Negociables</w:t>
      </w:r>
      <w:r w:rsidRPr="00EA7870">
        <w:rPr>
          <w:sz w:val="20"/>
          <w:szCs w:val="20"/>
          <w:lang w:val="es-AR"/>
        </w:rPr>
        <w:t>”;</w:t>
      </w:r>
    </w:p>
    <w:p w14:paraId="7A3ACC7A" w14:textId="77777777" w:rsidR="00376725" w:rsidRPr="00EA7870" w:rsidRDefault="00376725" w:rsidP="00376725">
      <w:pPr>
        <w:tabs>
          <w:tab w:val="left" w:pos="0"/>
        </w:tabs>
        <w:ind w:firstLine="709"/>
        <w:jc w:val="both"/>
        <w:rPr>
          <w:sz w:val="20"/>
          <w:szCs w:val="20"/>
          <w:lang w:val="es-AR"/>
        </w:rPr>
      </w:pPr>
    </w:p>
    <w:p w14:paraId="3CC36B91"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(9)</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agregar</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restricciones,</w:t>
      </w:r>
      <w:r w:rsidR="001A28B3" w:rsidRPr="00EA7870">
        <w:rPr>
          <w:sz w:val="20"/>
          <w:szCs w:val="20"/>
          <w:lang w:val="es-AR"/>
        </w:rPr>
        <w:t xml:space="preserve"> </w:t>
      </w:r>
      <w:r w:rsidRPr="00EA7870">
        <w:rPr>
          <w:sz w:val="20"/>
          <w:szCs w:val="20"/>
          <w:lang w:val="es-AR"/>
        </w:rPr>
        <w:t>condiciones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beneficio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o</w:t>
      </w:r>
    </w:p>
    <w:p w14:paraId="30026E45" w14:textId="77777777" w:rsidR="00376725" w:rsidRPr="00EA7870" w:rsidRDefault="00376725" w:rsidP="00376725">
      <w:pPr>
        <w:tabs>
          <w:tab w:val="left" w:pos="0"/>
        </w:tabs>
        <w:ind w:firstLine="709"/>
        <w:jc w:val="both"/>
        <w:rPr>
          <w:sz w:val="20"/>
          <w:szCs w:val="20"/>
          <w:lang w:val="es-AR"/>
        </w:rPr>
      </w:pPr>
    </w:p>
    <w:p w14:paraId="684D29AD"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(10)</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renunciar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facultad</w:t>
      </w:r>
      <w:r w:rsidR="001A28B3" w:rsidRPr="00EA7870">
        <w:rPr>
          <w:sz w:val="20"/>
          <w:szCs w:val="20"/>
          <w:lang w:val="es-AR"/>
        </w:rPr>
        <w:t xml:space="preserve"> </w:t>
      </w:r>
      <w:r w:rsidRPr="00EA7870">
        <w:rPr>
          <w:sz w:val="20"/>
          <w:szCs w:val="20"/>
          <w:lang w:val="es-AR"/>
        </w:rPr>
        <w:t>conferida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p>
    <w:p w14:paraId="7344BF2A" w14:textId="77777777" w:rsidR="00376725" w:rsidRPr="00EA7870" w:rsidRDefault="00376725" w:rsidP="00376725">
      <w:pPr>
        <w:tabs>
          <w:tab w:val="left" w:pos="0"/>
        </w:tabs>
        <w:ind w:firstLine="709"/>
        <w:jc w:val="both"/>
        <w:rPr>
          <w:sz w:val="20"/>
          <w:szCs w:val="20"/>
          <w:lang w:val="es-AR"/>
        </w:rPr>
      </w:pPr>
    </w:p>
    <w:p w14:paraId="2F66AEFC" w14:textId="77777777" w:rsidR="00376725" w:rsidRPr="00EA7870" w:rsidRDefault="00376725" w:rsidP="00376725">
      <w:pPr>
        <w:keepNext/>
        <w:spacing w:after="240"/>
        <w:textAlignment w:val="baseline"/>
        <w:rPr>
          <w:rFonts w:eastAsia="Calibri"/>
          <w:b/>
          <w:i/>
          <w:color w:val="000000"/>
          <w:sz w:val="20"/>
          <w:szCs w:val="20"/>
          <w:lang w:eastAsia="en-US"/>
        </w:rPr>
      </w:pPr>
      <w:r w:rsidRPr="00EA7870">
        <w:rPr>
          <w:b/>
          <w:i/>
          <w:sz w:val="20"/>
          <w:szCs w:val="20"/>
        </w:rPr>
        <w:t>Modificaciones</w:t>
      </w:r>
      <w:r w:rsidR="001A28B3" w:rsidRPr="00EA7870">
        <w:rPr>
          <w:b/>
          <w:i/>
          <w:sz w:val="20"/>
          <w:szCs w:val="20"/>
        </w:rPr>
        <w:t xml:space="preserve"> </w:t>
      </w:r>
      <w:r w:rsidRPr="00EA7870">
        <w:rPr>
          <w:b/>
          <w:i/>
          <w:sz w:val="20"/>
          <w:szCs w:val="20"/>
        </w:rPr>
        <w:t>con</w:t>
      </w:r>
      <w:r w:rsidR="001A28B3" w:rsidRPr="00EA7870">
        <w:rPr>
          <w:b/>
          <w:i/>
          <w:sz w:val="20"/>
          <w:szCs w:val="20"/>
        </w:rPr>
        <w:t xml:space="preserve"> </w:t>
      </w:r>
      <w:r w:rsidRPr="00EA7870">
        <w:rPr>
          <w:b/>
          <w:i/>
          <w:sz w:val="20"/>
          <w:szCs w:val="20"/>
        </w:rPr>
        <w:t>el</w:t>
      </w:r>
      <w:r w:rsidR="001A28B3" w:rsidRPr="00EA7870">
        <w:rPr>
          <w:b/>
          <w:i/>
          <w:sz w:val="20"/>
          <w:szCs w:val="20"/>
        </w:rPr>
        <w:t xml:space="preserve"> </w:t>
      </w:r>
      <w:r w:rsidRPr="00EA7870">
        <w:rPr>
          <w:b/>
          <w:i/>
          <w:sz w:val="20"/>
          <w:szCs w:val="20"/>
        </w:rPr>
        <w:t>consentimiento</w:t>
      </w:r>
      <w:r w:rsidR="001A28B3" w:rsidRPr="00EA7870">
        <w:rPr>
          <w:b/>
          <w:i/>
          <w:sz w:val="20"/>
          <w:szCs w:val="20"/>
        </w:rPr>
        <w:t xml:space="preserve"> </w:t>
      </w:r>
      <w:r w:rsidRPr="00EA7870">
        <w:rPr>
          <w:b/>
          <w:i/>
          <w:sz w:val="20"/>
          <w:szCs w:val="20"/>
        </w:rPr>
        <w:t>de</w:t>
      </w:r>
      <w:r w:rsidR="001A28B3" w:rsidRPr="00EA7870">
        <w:rPr>
          <w:b/>
          <w:i/>
          <w:sz w:val="20"/>
          <w:szCs w:val="20"/>
        </w:rPr>
        <w:t xml:space="preserve"> </w:t>
      </w:r>
      <w:r w:rsidRPr="00EA7870">
        <w:rPr>
          <w:b/>
          <w:i/>
          <w:sz w:val="20"/>
          <w:szCs w:val="20"/>
        </w:rPr>
        <w:t>los</w:t>
      </w:r>
      <w:r w:rsidR="001A28B3" w:rsidRPr="00EA7870">
        <w:rPr>
          <w:b/>
          <w:i/>
          <w:sz w:val="20"/>
          <w:szCs w:val="20"/>
        </w:rPr>
        <w:t xml:space="preserve"> </w:t>
      </w:r>
      <w:r w:rsidRPr="00EA7870">
        <w:rPr>
          <w:b/>
          <w:i/>
          <w:sz w:val="20"/>
          <w:szCs w:val="20"/>
        </w:rPr>
        <w:t>tenedores</w:t>
      </w:r>
      <w:r w:rsidRPr="00EA7870">
        <w:rPr>
          <w:i/>
          <w:sz w:val="20"/>
          <w:szCs w:val="20"/>
        </w:rPr>
        <w:t>.</w:t>
      </w:r>
    </w:p>
    <w:p w14:paraId="1153D5C9" w14:textId="77777777" w:rsidR="00376725" w:rsidRPr="00EA7870" w:rsidRDefault="00376725" w:rsidP="00392883">
      <w:pPr>
        <w:ind w:firstLine="709"/>
        <w:jc w:val="both"/>
        <w:rPr>
          <w:sz w:val="20"/>
          <w:szCs w:val="20"/>
        </w:rPr>
      </w:pPr>
      <w:bookmarkStart w:id="121" w:name="_Toc526498917"/>
      <w:r w:rsidRPr="00EA7870">
        <w:rPr>
          <w:sz w:val="20"/>
          <w:szCs w:val="20"/>
        </w:rPr>
        <w:t>(a)</w:t>
      </w:r>
      <w:r w:rsidR="001A28B3" w:rsidRPr="00EA7870">
        <w:rPr>
          <w:sz w:val="20"/>
          <w:szCs w:val="20"/>
        </w:rPr>
        <w:t xml:space="preserve"> </w:t>
      </w:r>
      <w:r w:rsidRPr="00EA7870">
        <w:rPr>
          <w:sz w:val="20"/>
          <w:szCs w:val="20"/>
        </w:rPr>
        <w:t>Excepto</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lo</w:t>
      </w:r>
      <w:r w:rsidR="001A28B3" w:rsidRPr="00EA7870">
        <w:rPr>
          <w:sz w:val="20"/>
          <w:szCs w:val="20"/>
        </w:rPr>
        <w:t xml:space="preserve"> </w:t>
      </w:r>
      <w:r w:rsidRPr="00EA7870">
        <w:rPr>
          <w:sz w:val="20"/>
          <w:szCs w:val="20"/>
        </w:rPr>
        <w:t>dispuesto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contrario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w:t>
      </w:r>
      <w:r w:rsidRPr="00EA7870">
        <w:rPr>
          <w:i/>
          <w:sz w:val="20"/>
          <w:szCs w:val="20"/>
        </w:rPr>
        <w:t>—</w:t>
      </w:r>
      <w:r w:rsidRPr="00EA7870">
        <w:rPr>
          <w:i/>
          <w:iCs/>
          <w:sz w:val="20"/>
          <w:szCs w:val="20"/>
        </w:rPr>
        <w:t>Incumplimientos</w:t>
      </w:r>
      <w:r w:rsidR="001A28B3" w:rsidRPr="00EA7870">
        <w:rPr>
          <w:i/>
          <w:iCs/>
          <w:sz w:val="20"/>
          <w:szCs w:val="20"/>
        </w:rPr>
        <w:t xml:space="preserve"> </w:t>
      </w:r>
      <w:r w:rsidRPr="00EA7870">
        <w:rPr>
          <w:i/>
          <w:iCs/>
          <w:sz w:val="20"/>
          <w:szCs w:val="20"/>
        </w:rPr>
        <w:t>y</w:t>
      </w:r>
      <w:r w:rsidR="001A28B3" w:rsidRPr="00EA7870">
        <w:rPr>
          <w:i/>
          <w:iCs/>
          <w:sz w:val="20"/>
          <w:szCs w:val="20"/>
        </w:rPr>
        <w:t xml:space="preserve"> </w:t>
      </w:r>
      <w:r w:rsidRPr="00EA7870">
        <w:rPr>
          <w:i/>
          <w:iCs/>
          <w:sz w:val="20"/>
          <w:szCs w:val="20"/>
        </w:rPr>
        <w:t>Recursos</w:t>
      </w:r>
      <w:r w:rsidRPr="00EA7870">
        <w:rPr>
          <w:i/>
          <w:sz w:val="20"/>
          <w:szCs w:val="20"/>
        </w:rPr>
        <w:t>—Consecuencias</w:t>
      </w:r>
      <w:r w:rsidR="001A28B3" w:rsidRPr="00EA7870">
        <w:rPr>
          <w:i/>
          <w:sz w:val="20"/>
          <w:szCs w:val="20"/>
        </w:rPr>
        <w:t xml:space="preserve"> </w:t>
      </w:r>
      <w:r w:rsidR="007E7E35" w:rsidRPr="00EA7870">
        <w:rPr>
          <w:i/>
          <w:sz w:val="20"/>
          <w:szCs w:val="20"/>
        </w:rPr>
        <w:t>ante</w:t>
      </w:r>
      <w:r w:rsidR="001A28B3" w:rsidRPr="00EA7870">
        <w:rPr>
          <w:i/>
          <w:sz w:val="20"/>
          <w:szCs w:val="20"/>
        </w:rPr>
        <w:t xml:space="preserve"> </w:t>
      </w:r>
      <w:r w:rsidRPr="00EA7870">
        <w:rPr>
          <w:i/>
          <w:sz w:val="20"/>
          <w:szCs w:val="20"/>
        </w:rPr>
        <w:t>un</w:t>
      </w:r>
      <w:r w:rsidR="001A28B3" w:rsidRPr="00EA7870">
        <w:rPr>
          <w:i/>
          <w:sz w:val="20"/>
          <w:szCs w:val="20"/>
        </w:rPr>
        <w:t xml:space="preserve"> </w:t>
      </w:r>
      <w:r w:rsidRPr="00EA7870">
        <w:rPr>
          <w:i/>
          <w:sz w:val="20"/>
          <w:szCs w:val="20"/>
        </w:rPr>
        <w:t>Supuesto</w:t>
      </w:r>
      <w:r w:rsidR="001A28B3" w:rsidRPr="00EA7870">
        <w:rPr>
          <w:i/>
          <w:sz w:val="20"/>
          <w:szCs w:val="20"/>
        </w:rPr>
        <w:t xml:space="preserve"> </w:t>
      </w:r>
      <w:r w:rsidRPr="00EA7870">
        <w:rPr>
          <w:i/>
          <w:sz w:val="20"/>
          <w:szCs w:val="20"/>
        </w:rPr>
        <w:t>de</w:t>
      </w:r>
      <w:r w:rsidR="001A28B3" w:rsidRPr="00EA7870">
        <w:rPr>
          <w:i/>
          <w:sz w:val="20"/>
          <w:szCs w:val="20"/>
        </w:rPr>
        <w:t xml:space="preserve"> </w:t>
      </w:r>
      <w:r w:rsidRPr="00EA7870">
        <w:rPr>
          <w:i/>
          <w:sz w:val="20"/>
          <w:szCs w:val="20"/>
        </w:rPr>
        <w:t>Incumplimiento</w:t>
      </w:r>
      <w:r w:rsidRPr="00EA7870">
        <w:rPr>
          <w:sz w:val="20"/>
          <w:szCs w:val="20"/>
        </w:rPr>
        <w:t>”</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apartado</w:t>
      </w:r>
      <w:r w:rsidR="001A28B3" w:rsidRPr="00EA7870">
        <w:rPr>
          <w:sz w:val="20"/>
          <w:szCs w:val="20"/>
        </w:rPr>
        <w:t xml:space="preserve"> </w:t>
      </w:r>
      <w:r w:rsidRPr="00EA7870">
        <w:rPr>
          <w:sz w:val="20"/>
          <w:szCs w:val="20"/>
        </w:rPr>
        <w:t>(b),</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Emisora,</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Garante</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Agente</w:t>
      </w:r>
      <w:r w:rsidR="001A28B3" w:rsidRPr="00EA7870">
        <w:rPr>
          <w:sz w:val="20"/>
          <w:szCs w:val="20"/>
        </w:rPr>
        <w:t xml:space="preserve"> </w:t>
      </w:r>
      <w:r w:rsidRPr="00EA7870">
        <w:rPr>
          <w:sz w:val="20"/>
          <w:szCs w:val="20"/>
        </w:rPr>
        <w:t>Fiduciario,</w:t>
      </w:r>
      <w:r w:rsidR="001A28B3" w:rsidRPr="00EA7870">
        <w:rPr>
          <w:sz w:val="20"/>
          <w:szCs w:val="20"/>
        </w:rPr>
        <w:t xml:space="preserve"> </w:t>
      </w:r>
      <w:r w:rsidRPr="00EA7870">
        <w:rPr>
          <w:sz w:val="20"/>
          <w:szCs w:val="20"/>
        </w:rPr>
        <w:t>una</w:t>
      </w:r>
      <w:r w:rsidR="001A28B3" w:rsidRPr="00EA7870">
        <w:rPr>
          <w:sz w:val="20"/>
          <w:szCs w:val="20"/>
        </w:rPr>
        <w:t xml:space="preserve"> </w:t>
      </w:r>
      <w:r w:rsidRPr="00EA7870">
        <w:rPr>
          <w:sz w:val="20"/>
          <w:szCs w:val="20"/>
        </w:rPr>
        <w:t>vez</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Agente</w:t>
      </w:r>
      <w:r w:rsidR="001A28B3" w:rsidRPr="00EA7870">
        <w:rPr>
          <w:sz w:val="20"/>
          <w:szCs w:val="20"/>
        </w:rPr>
        <w:t xml:space="preserve"> </w:t>
      </w:r>
      <w:r w:rsidRPr="00EA7870">
        <w:rPr>
          <w:sz w:val="20"/>
          <w:szCs w:val="20"/>
        </w:rPr>
        <w:t>Fiduciario</w:t>
      </w:r>
      <w:r w:rsidR="001A28B3" w:rsidRPr="00EA7870">
        <w:rPr>
          <w:sz w:val="20"/>
          <w:szCs w:val="20"/>
        </w:rPr>
        <w:t xml:space="preserve"> </w:t>
      </w:r>
      <w:r w:rsidRPr="00EA7870">
        <w:rPr>
          <w:sz w:val="20"/>
          <w:szCs w:val="20"/>
        </w:rPr>
        <w:t>hubiera</w:t>
      </w:r>
      <w:r w:rsidR="001A28B3" w:rsidRPr="00EA7870">
        <w:rPr>
          <w:sz w:val="20"/>
          <w:szCs w:val="20"/>
        </w:rPr>
        <w:t xml:space="preserve"> </w:t>
      </w:r>
      <w:r w:rsidRPr="00EA7870">
        <w:rPr>
          <w:sz w:val="20"/>
          <w:szCs w:val="20"/>
        </w:rPr>
        <w:t>recibido</w:t>
      </w:r>
      <w:r w:rsidR="001A28B3" w:rsidRPr="00EA7870">
        <w:rPr>
          <w:sz w:val="20"/>
          <w:szCs w:val="20"/>
        </w:rPr>
        <w:t xml:space="preserve"> </w:t>
      </w:r>
      <w:r w:rsidRPr="00EA7870">
        <w:rPr>
          <w:sz w:val="20"/>
          <w:szCs w:val="20"/>
        </w:rPr>
        <w:t>un</w:t>
      </w:r>
      <w:r w:rsidR="001A28B3" w:rsidRPr="00EA7870">
        <w:rPr>
          <w:sz w:val="20"/>
          <w:szCs w:val="20"/>
        </w:rPr>
        <w:t xml:space="preserve"> </w:t>
      </w:r>
      <w:r w:rsidRPr="00EA7870">
        <w:rPr>
          <w:sz w:val="20"/>
          <w:szCs w:val="20"/>
        </w:rPr>
        <w:t>Certificado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Funcionarios</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un</w:t>
      </w:r>
      <w:r w:rsidR="007E7E35" w:rsidRPr="00EA7870">
        <w:rPr>
          <w:sz w:val="20"/>
          <w:szCs w:val="20"/>
        </w:rPr>
        <w:t>a</w:t>
      </w:r>
      <w:r w:rsidR="001A28B3" w:rsidRPr="00EA7870">
        <w:rPr>
          <w:sz w:val="20"/>
          <w:szCs w:val="20"/>
        </w:rPr>
        <w:t xml:space="preserve"> </w:t>
      </w:r>
      <w:r w:rsidR="007E7E35" w:rsidRPr="00EA7870">
        <w:rPr>
          <w:sz w:val="20"/>
          <w:szCs w:val="20"/>
        </w:rPr>
        <w:t>Opinión</w:t>
      </w:r>
      <w:r w:rsidR="001A28B3" w:rsidRPr="00EA7870">
        <w:rPr>
          <w:sz w:val="20"/>
          <w:szCs w:val="20"/>
        </w:rPr>
        <w:t xml:space="preserve"> </w:t>
      </w:r>
      <w:r w:rsidR="007E7E35" w:rsidRPr="00EA7870">
        <w:rPr>
          <w:sz w:val="20"/>
          <w:szCs w:val="20"/>
        </w:rPr>
        <w:t>Legal</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se</w:t>
      </w:r>
      <w:r w:rsidR="001A28B3" w:rsidRPr="00EA7870">
        <w:rPr>
          <w:sz w:val="20"/>
          <w:szCs w:val="20"/>
        </w:rPr>
        <w:t xml:space="preserve"> </w:t>
      </w:r>
      <w:r w:rsidRPr="00EA7870">
        <w:rPr>
          <w:sz w:val="20"/>
          <w:szCs w:val="20"/>
        </w:rPr>
        <w:t>ratificara</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cumplimiento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exigencias</w:t>
      </w:r>
      <w:r w:rsidR="001A28B3" w:rsidRPr="00EA7870">
        <w:rPr>
          <w:sz w:val="20"/>
          <w:szCs w:val="20"/>
        </w:rPr>
        <w:t xml:space="preserve"> </w:t>
      </w:r>
      <w:r w:rsidRPr="00EA7870">
        <w:rPr>
          <w:sz w:val="20"/>
          <w:szCs w:val="20"/>
        </w:rPr>
        <w:t>del</w:t>
      </w:r>
      <w:r w:rsidR="001A28B3" w:rsidRPr="00EA7870">
        <w:rPr>
          <w:sz w:val="20"/>
          <w:szCs w:val="20"/>
        </w:rPr>
        <w:t xml:space="preserve"> </w:t>
      </w:r>
      <w:r w:rsidRPr="00EA7870">
        <w:rPr>
          <w:sz w:val="20"/>
          <w:szCs w:val="20"/>
        </w:rPr>
        <w:t>Contrato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Fideicomiso,</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Garantía,</w:t>
      </w:r>
      <w:r w:rsidR="001A28B3" w:rsidRPr="00EA7870">
        <w:rPr>
          <w:sz w:val="20"/>
          <w:szCs w:val="20"/>
        </w:rPr>
        <w:t xml:space="preserve"> </w:t>
      </w:r>
      <w:r w:rsidRPr="00EA7870">
        <w:rPr>
          <w:sz w:val="20"/>
          <w:szCs w:val="20"/>
        </w:rPr>
        <w:t>podrán</w:t>
      </w:r>
      <w:r w:rsidR="001A28B3" w:rsidRPr="00EA7870">
        <w:rPr>
          <w:sz w:val="20"/>
          <w:szCs w:val="20"/>
        </w:rPr>
        <w:t xml:space="preserve"> </w:t>
      </w:r>
      <w:r w:rsidRPr="00EA7870">
        <w:rPr>
          <w:sz w:val="20"/>
          <w:szCs w:val="20"/>
        </w:rPr>
        <w:t>modificar</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Contrato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Fideicomiso,</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Garantía,</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dispensar</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cumplimiento</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Emisora</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Garante</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cualquier</w:t>
      </w:r>
      <w:r w:rsidR="001A28B3" w:rsidRPr="00EA7870">
        <w:rPr>
          <w:sz w:val="20"/>
          <w:szCs w:val="20"/>
        </w:rPr>
        <w:t xml:space="preserve"> </w:t>
      </w:r>
      <w:r w:rsidRPr="00EA7870">
        <w:rPr>
          <w:sz w:val="20"/>
          <w:szCs w:val="20"/>
        </w:rPr>
        <w:t>disposición</w:t>
      </w:r>
      <w:r w:rsidR="001A28B3" w:rsidRPr="00EA7870">
        <w:rPr>
          <w:sz w:val="20"/>
          <w:szCs w:val="20"/>
        </w:rPr>
        <w:t xml:space="preserve"> </w:t>
      </w:r>
      <w:r w:rsidRPr="00EA7870">
        <w:rPr>
          <w:sz w:val="20"/>
          <w:szCs w:val="20"/>
        </w:rPr>
        <w:t>del</w:t>
      </w:r>
      <w:r w:rsidR="001A28B3" w:rsidRPr="00EA7870">
        <w:rPr>
          <w:sz w:val="20"/>
          <w:szCs w:val="20"/>
        </w:rPr>
        <w:t xml:space="preserve"> </w:t>
      </w:r>
      <w:r w:rsidRPr="00EA7870">
        <w:rPr>
          <w:sz w:val="20"/>
          <w:szCs w:val="20"/>
        </w:rPr>
        <w:t>Contrato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Fideicomiso,</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Garantía,</w:t>
      </w:r>
      <w:r w:rsidR="001A28B3" w:rsidRPr="00EA7870">
        <w:rPr>
          <w:sz w:val="20"/>
          <w:szCs w:val="20"/>
        </w:rPr>
        <w:t xml:space="preserve"> </w:t>
      </w:r>
      <w:r w:rsidRPr="00EA7870">
        <w:rPr>
          <w:sz w:val="20"/>
          <w:szCs w:val="20"/>
        </w:rPr>
        <w:t>con</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consentimiento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tenedores</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representen</w:t>
      </w:r>
      <w:r w:rsidR="001A28B3" w:rsidRPr="00EA7870">
        <w:rPr>
          <w:sz w:val="20"/>
          <w:szCs w:val="20"/>
        </w:rPr>
        <w:t xml:space="preserve"> </w:t>
      </w:r>
      <w:r w:rsidRPr="00EA7870">
        <w:rPr>
          <w:sz w:val="20"/>
          <w:szCs w:val="20"/>
        </w:rPr>
        <w:t>una</w:t>
      </w:r>
      <w:r w:rsidR="001A28B3" w:rsidRPr="00EA7870">
        <w:rPr>
          <w:sz w:val="20"/>
          <w:szCs w:val="20"/>
        </w:rPr>
        <w:t xml:space="preserve"> </w:t>
      </w:r>
      <w:r w:rsidRPr="00EA7870">
        <w:rPr>
          <w:sz w:val="20"/>
          <w:szCs w:val="20"/>
        </w:rPr>
        <w:t>mayoría</w:t>
      </w:r>
      <w:r w:rsidR="001A28B3" w:rsidRPr="00EA7870">
        <w:rPr>
          <w:sz w:val="20"/>
          <w:szCs w:val="20"/>
        </w:rPr>
        <w:t xml:space="preserve"> </w:t>
      </w:r>
      <w:r w:rsidRPr="00EA7870">
        <w:rPr>
          <w:sz w:val="20"/>
          <w:szCs w:val="20"/>
        </w:rPr>
        <w:t>del</w:t>
      </w:r>
      <w:r w:rsidR="001A28B3" w:rsidRPr="00EA7870">
        <w:rPr>
          <w:sz w:val="20"/>
          <w:szCs w:val="20"/>
        </w:rPr>
        <w:t xml:space="preserve"> </w:t>
      </w:r>
      <w:r w:rsidRPr="00EA7870">
        <w:rPr>
          <w:sz w:val="20"/>
          <w:szCs w:val="20"/>
        </w:rPr>
        <w:t>monto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capital</w:t>
      </w:r>
      <w:r w:rsidR="001A28B3" w:rsidRPr="00EA7870">
        <w:rPr>
          <w:sz w:val="20"/>
          <w:szCs w:val="20"/>
        </w:rPr>
        <w:t xml:space="preserve"> </w:t>
      </w:r>
      <w:r w:rsidRPr="00EA7870">
        <w:rPr>
          <w:sz w:val="20"/>
          <w:szCs w:val="20"/>
        </w:rPr>
        <w:t>total</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circulación,</w:t>
      </w:r>
      <w:r w:rsidR="001A28B3" w:rsidRPr="00EA7870">
        <w:rPr>
          <w:sz w:val="20"/>
          <w:szCs w:val="20"/>
        </w:rPr>
        <w:t xml:space="preserve"> </w:t>
      </w:r>
      <w:r w:rsidRPr="00EA7870">
        <w:rPr>
          <w:sz w:val="20"/>
          <w:szCs w:val="20"/>
        </w:rPr>
        <w:t>si</w:t>
      </w:r>
      <w:r w:rsidR="001A28B3" w:rsidRPr="00EA7870">
        <w:rPr>
          <w:sz w:val="20"/>
          <w:szCs w:val="20"/>
        </w:rPr>
        <w:t xml:space="preserve"> </w:t>
      </w:r>
      <w:r w:rsidRPr="00EA7870">
        <w:rPr>
          <w:sz w:val="20"/>
          <w:szCs w:val="20"/>
        </w:rPr>
        <w:t>así</w:t>
      </w:r>
      <w:r w:rsidR="001A28B3" w:rsidRPr="00EA7870">
        <w:rPr>
          <w:sz w:val="20"/>
          <w:szCs w:val="20"/>
        </w:rPr>
        <w:t xml:space="preserve"> </w:t>
      </w:r>
      <w:r w:rsidRPr="00EA7870">
        <w:rPr>
          <w:sz w:val="20"/>
          <w:szCs w:val="20"/>
        </w:rPr>
        <w:t>lo</w:t>
      </w:r>
      <w:r w:rsidR="001A28B3" w:rsidRPr="00EA7870">
        <w:rPr>
          <w:sz w:val="20"/>
          <w:szCs w:val="20"/>
        </w:rPr>
        <w:t xml:space="preserve"> </w:t>
      </w:r>
      <w:r w:rsidRPr="00EA7870">
        <w:rPr>
          <w:sz w:val="20"/>
          <w:szCs w:val="20"/>
        </w:rPr>
        <w:t>permiten</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leyes</w:t>
      </w:r>
      <w:r w:rsidR="001A28B3" w:rsidRPr="00EA7870">
        <w:rPr>
          <w:sz w:val="20"/>
          <w:szCs w:val="20"/>
        </w:rPr>
        <w:t xml:space="preserve"> </w:t>
      </w:r>
      <w:r w:rsidRPr="00EA7870">
        <w:rPr>
          <w:sz w:val="20"/>
          <w:szCs w:val="20"/>
        </w:rPr>
        <w:t>argentinas</w:t>
      </w:r>
      <w:r w:rsidR="001A28B3" w:rsidRPr="00EA7870">
        <w:rPr>
          <w:sz w:val="20"/>
          <w:szCs w:val="20"/>
        </w:rPr>
        <w:t xml:space="preserve"> </w:t>
      </w:r>
      <w:r w:rsidRPr="00EA7870">
        <w:rPr>
          <w:sz w:val="20"/>
          <w:szCs w:val="20"/>
        </w:rPr>
        <w:t>aplicables</w:t>
      </w:r>
      <w:r w:rsidR="001A28B3" w:rsidRPr="00EA7870">
        <w:rPr>
          <w:sz w:val="20"/>
          <w:szCs w:val="20"/>
        </w:rPr>
        <w:t xml:space="preserve"> </w:t>
      </w:r>
      <w:r w:rsidRPr="00EA7870">
        <w:rPr>
          <w:sz w:val="20"/>
          <w:szCs w:val="20"/>
        </w:rPr>
        <w:t>vigentes.</w:t>
      </w:r>
      <w:bookmarkEnd w:id="121"/>
    </w:p>
    <w:p w14:paraId="583D4A7F" w14:textId="77777777" w:rsidR="00392883" w:rsidRPr="00EA7870" w:rsidRDefault="00392883" w:rsidP="00392883">
      <w:pPr>
        <w:jc w:val="both"/>
        <w:rPr>
          <w:rFonts w:eastAsia="Calibri"/>
          <w:sz w:val="20"/>
          <w:szCs w:val="20"/>
        </w:rPr>
      </w:pPr>
    </w:p>
    <w:p w14:paraId="425FD91B" w14:textId="77777777" w:rsidR="00376725" w:rsidRPr="00EA7870" w:rsidRDefault="00376725" w:rsidP="00392883">
      <w:pPr>
        <w:ind w:firstLine="567"/>
        <w:jc w:val="both"/>
        <w:rPr>
          <w:sz w:val="20"/>
          <w:szCs w:val="20"/>
          <w:lang w:val="es-AR"/>
        </w:rPr>
      </w:pPr>
      <w:r w:rsidRPr="00EA7870">
        <w:rPr>
          <w:sz w:val="20"/>
          <w:szCs w:val="20"/>
          <w:lang w:val="es-AR"/>
        </w:rPr>
        <w:t>(b)</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apartado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unánime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afectados,</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complemento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podrá:</w:t>
      </w:r>
    </w:p>
    <w:p w14:paraId="7218BB05" w14:textId="77777777" w:rsidR="00376725" w:rsidRPr="00EA7870" w:rsidRDefault="00376725" w:rsidP="00392883">
      <w:pPr>
        <w:jc w:val="both"/>
        <w:rPr>
          <w:sz w:val="20"/>
          <w:szCs w:val="20"/>
          <w:lang w:val="es-AR"/>
        </w:rPr>
      </w:pPr>
    </w:p>
    <w:p w14:paraId="39CBA355" w14:textId="77777777" w:rsidR="00376725" w:rsidRPr="00EA7870" w:rsidRDefault="00376725" w:rsidP="00392883">
      <w:pPr>
        <w:ind w:firstLine="709"/>
        <w:jc w:val="both"/>
        <w:rPr>
          <w:sz w:val="20"/>
          <w:szCs w:val="20"/>
          <w:lang w:val="es-AR"/>
        </w:rPr>
      </w:pPr>
      <w:r w:rsidRPr="00EA7870">
        <w:rPr>
          <w:sz w:val="20"/>
          <w:szCs w:val="20"/>
          <w:lang w:val="es-AR"/>
        </w:rPr>
        <w:t>(1)</w:t>
      </w:r>
      <w:r w:rsidR="001A28B3" w:rsidRPr="00EA7870">
        <w:rPr>
          <w:sz w:val="20"/>
          <w:szCs w:val="20"/>
          <w:lang w:val="es-AR"/>
        </w:rPr>
        <w:t xml:space="preserve"> </w:t>
      </w:r>
      <w:r w:rsidRPr="00EA7870">
        <w:rPr>
          <w:sz w:val="20"/>
          <w:szCs w:val="20"/>
          <w:lang w:val="es-AR"/>
        </w:rPr>
        <w:t>reducir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modificar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Declarado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cuota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p>
    <w:p w14:paraId="5445B8BD" w14:textId="77777777" w:rsidR="00376725" w:rsidRPr="00EA7870" w:rsidRDefault="00376725" w:rsidP="00392883">
      <w:pPr>
        <w:ind w:firstLine="709"/>
        <w:jc w:val="both"/>
        <w:rPr>
          <w:sz w:val="20"/>
          <w:szCs w:val="20"/>
          <w:lang w:val="es-AR"/>
        </w:rPr>
      </w:pPr>
    </w:p>
    <w:p w14:paraId="11CD01BB" w14:textId="77777777" w:rsidR="00376725" w:rsidRPr="00EA7870" w:rsidRDefault="00376725" w:rsidP="00392883">
      <w:pPr>
        <w:ind w:firstLine="709"/>
        <w:jc w:val="both"/>
        <w:rPr>
          <w:sz w:val="20"/>
          <w:szCs w:val="20"/>
          <w:lang w:val="es-AR"/>
        </w:rPr>
      </w:pPr>
      <w:r w:rsidRPr="00EA7870">
        <w:rPr>
          <w:sz w:val="20"/>
          <w:szCs w:val="20"/>
          <w:lang w:val="es-AR"/>
        </w:rPr>
        <w:t>(2)</w:t>
      </w:r>
      <w:r w:rsidR="001A28B3" w:rsidRPr="00EA7870">
        <w:rPr>
          <w:sz w:val="20"/>
          <w:szCs w:val="20"/>
          <w:lang w:val="es-AR"/>
        </w:rPr>
        <w:t xml:space="preserve"> </w:t>
      </w:r>
      <w:r w:rsidRPr="00EA7870">
        <w:rPr>
          <w:sz w:val="20"/>
          <w:szCs w:val="20"/>
          <w:lang w:val="es-AR"/>
        </w:rPr>
        <w:t>reducir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tasa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cambiar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Declarado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p>
    <w:p w14:paraId="00C818F6" w14:textId="77777777" w:rsidR="00376725" w:rsidRPr="00EA7870" w:rsidRDefault="00376725" w:rsidP="00392883">
      <w:pPr>
        <w:ind w:firstLine="709"/>
        <w:jc w:val="both"/>
        <w:rPr>
          <w:sz w:val="20"/>
          <w:szCs w:val="20"/>
          <w:lang w:val="es-AR"/>
        </w:rPr>
      </w:pPr>
    </w:p>
    <w:p w14:paraId="1772476C" w14:textId="77777777" w:rsidR="00376725" w:rsidRPr="00EA7870" w:rsidRDefault="00392883" w:rsidP="00392883">
      <w:pPr>
        <w:ind w:firstLine="709"/>
        <w:jc w:val="both"/>
        <w:rPr>
          <w:sz w:val="20"/>
          <w:szCs w:val="20"/>
          <w:lang w:val="es-AR"/>
        </w:rPr>
      </w:pPr>
      <w:r w:rsidRPr="00EA7870">
        <w:rPr>
          <w:sz w:val="20"/>
          <w:szCs w:val="20"/>
          <w:lang w:val="es-AR"/>
        </w:rPr>
        <w:t>(3)</w:t>
      </w:r>
      <w:r w:rsidR="001A28B3" w:rsidRPr="00EA7870">
        <w:rPr>
          <w:sz w:val="20"/>
          <w:szCs w:val="20"/>
          <w:lang w:val="es-AR"/>
        </w:rPr>
        <w:t xml:space="preserve"> </w:t>
      </w:r>
      <w:r w:rsidR="00376725" w:rsidRPr="00EA7870">
        <w:rPr>
          <w:sz w:val="20"/>
          <w:szCs w:val="20"/>
          <w:lang w:val="es-AR"/>
        </w:rPr>
        <w:t>reducir</w:t>
      </w:r>
      <w:r w:rsidR="001A28B3" w:rsidRPr="00EA7870">
        <w:rPr>
          <w:sz w:val="20"/>
          <w:szCs w:val="20"/>
          <w:lang w:val="es-AR"/>
        </w:rPr>
        <w:t xml:space="preserve"> </w:t>
      </w:r>
      <w:r w:rsidR="00376725" w:rsidRPr="00EA7870">
        <w:rPr>
          <w:sz w:val="20"/>
          <w:szCs w:val="20"/>
          <w:lang w:val="es-AR"/>
        </w:rPr>
        <w:t>el</w:t>
      </w:r>
      <w:r w:rsidR="001A28B3" w:rsidRPr="00EA7870">
        <w:rPr>
          <w:sz w:val="20"/>
          <w:szCs w:val="20"/>
          <w:lang w:val="es-AR"/>
        </w:rPr>
        <w:t xml:space="preserve"> </w:t>
      </w:r>
      <w:r w:rsidR="00376725" w:rsidRPr="00EA7870">
        <w:rPr>
          <w:sz w:val="20"/>
          <w:szCs w:val="20"/>
          <w:lang w:val="es-AR"/>
        </w:rPr>
        <w:t>monto</w:t>
      </w:r>
      <w:r w:rsidR="001A28B3" w:rsidRPr="00EA7870">
        <w:rPr>
          <w:sz w:val="20"/>
          <w:szCs w:val="20"/>
          <w:lang w:val="es-AR"/>
        </w:rPr>
        <w:t xml:space="preserve"> </w:t>
      </w:r>
      <w:r w:rsidR="00376725" w:rsidRPr="00EA7870">
        <w:rPr>
          <w:sz w:val="20"/>
          <w:szCs w:val="20"/>
          <w:lang w:val="es-AR"/>
        </w:rPr>
        <w:t>a</w:t>
      </w:r>
      <w:r w:rsidR="001A28B3" w:rsidRPr="00EA7870">
        <w:rPr>
          <w:sz w:val="20"/>
          <w:szCs w:val="20"/>
          <w:lang w:val="es-AR"/>
        </w:rPr>
        <w:t xml:space="preserve"> </w:t>
      </w:r>
      <w:r w:rsidR="00376725" w:rsidRPr="00EA7870">
        <w:rPr>
          <w:sz w:val="20"/>
          <w:szCs w:val="20"/>
          <w:lang w:val="es-AR"/>
        </w:rPr>
        <w:t>pagar</w:t>
      </w:r>
      <w:r w:rsidR="001A28B3" w:rsidRPr="00EA7870">
        <w:rPr>
          <w:sz w:val="20"/>
          <w:szCs w:val="20"/>
          <w:lang w:val="es-AR"/>
        </w:rPr>
        <w:t xml:space="preserve"> </w:t>
      </w:r>
      <w:r w:rsidR="00376725" w:rsidRPr="00EA7870">
        <w:rPr>
          <w:sz w:val="20"/>
          <w:szCs w:val="20"/>
          <w:lang w:val="es-AR"/>
        </w:rPr>
        <w:t>en</w:t>
      </w:r>
      <w:r w:rsidR="001A28B3" w:rsidRPr="00EA7870">
        <w:rPr>
          <w:sz w:val="20"/>
          <w:szCs w:val="20"/>
          <w:lang w:val="es-AR"/>
        </w:rPr>
        <w:t xml:space="preserve"> </w:t>
      </w:r>
      <w:r w:rsidR="00376725" w:rsidRPr="00EA7870">
        <w:rPr>
          <w:sz w:val="20"/>
          <w:szCs w:val="20"/>
          <w:lang w:val="es-AR"/>
        </w:rPr>
        <w:t>oportunidad</w:t>
      </w:r>
      <w:r w:rsidR="001A28B3" w:rsidRPr="00EA7870">
        <w:rPr>
          <w:sz w:val="20"/>
          <w:szCs w:val="20"/>
          <w:lang w:val="es-AR"/>
        </w:rPr>
        <w:t xml:space="preserve"> </w:t>
      </w:r>
      <w:r w:rsidR="00376725" w:rsidRPr="00EA7870">
        <w:rPr>
          <w:sz w:val="20"/>
          <w:szCs w:val="20"/>
          <w:lang w:val="es-AR"/>
        </w:rPr>
        <w:t>del</w:t>
      </w:r>
      <w:r w:rsidR="001A28B3" w:rsidRPr="00EA7870">
        <w:rPr>
          <w:sz w:val="20"/>
          <w:szCs w:val="20"/>
          <w:lang w:val="es-AR"/>
        </w:rPr>
        <w:t xml:space="preserve"> </w:t>
      </w:r>
      <w:r w:rsidR="00376725" w:rsidRPr="00EA7870">
        <w:rPr>
          <w:sz w:val="20"/>
          <w:szCs w:val="20"/>
          <w:lang w:val="es-AR"/>
        </w:rPr>
        <w:t>rescate</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alguna</w:t>
      </w:r>
      <w:r w:rsidR="001A28B3" w:rsidRPr="00EA7870">
        <w:rPr>
          <w:sz w:val="20"/>
          <w:szCs w:val="20"/>
          <w:lang w:val="es-AR"/>
        </w:rPr>
        <w:t xml:space="preserve"> </w:t>
      </w:r>
      <w:r w:rsidR="00376725" w:rsidRPr="00EA7870">
        <w:rPr>
          <w:sz w:val="20"/>
          <w:szCs w:val="20"/>
          <w:lang w:val="es-AR"/>
        </w:rPr>
        <w:t>Obligación</w:t>
      </w:r>
      <w:r w:rsidR="001A28B3" w:rsidRPr="00EA7870">
        <w:rPr>
          <w:sz w:val="20"/>
          <w:szCs w:val="20"/>
          <w:lang w:val="es-AR"/>
        </w:rPr>
        <w:t xml:space="preserve"> </w:t>
      </w:r>
      <w:r w:rsidR="00376725" w:rsidRPr="00EA7870">
        <w:rPr>
          <w:sz w:val="20"/>
          <w:szCs w:val="20"/>
          <w:lang w:val="es-AR"/>
        </w:rPr>
        <w:t>Negociable</w:t>
      </w:r>
      <w:r w:rsidR="001A28B3" w:rsidRPr="00EA7870">
        <w:rPr>
          <w:sz w:val="20"/>
          <w:szCs w:val="20"/>
          <w:lang w:val="es-AR"/>
        </w:rPr>
        <w:t xml:space="preserve"> </w:t>
      </w:r>
      <w:r w:rsidR="00376725" w:rsidRPr="00EA7870">
        <w:rPr>
          <w:sz w:val="20"/>
          <w:szCs w:val="20"/>
          <w:lang w:val="es-AR"/>
        </w:rPr>
        <w:t>o,</w:t>
      </w:r>
      <w:r w:rsidR="001A28B3" w:rsidRPr="00EA7870">
        <w:rPr>
          <w:sz w:val="20"/>
          <w:szCs w:val="20"/>
          <w:lang w:val="es-AR"/>
        </w:rPr>
        <w:t xml:space="preserve"> </w:t>
      </w:r>
      <w:r w:rsidR="00376725" w:rsidRPr="00EA7870">
        <w:rPr>
          <w:sz w:val="20"/>
          <w:szCs w:val="20"/>
          <w:lang w:val="es-AR"/>
        </w:rPr>
        <w:t>respecto</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un</w:t>
      </w:r>
      <w:r w:rsidR="001A28B3" w:rsidRPr="00EA7870">
        <w:rPr>
          <w:sz w:val="20"/>
          <w:szCs w:val="20"/>
          <w:lang w:val="es-AR"/>
        </w:rPr>
        <w:t xml:space="preserve"> </w:t>
      </w:r>
      <w:r w:rsidR="00376725" w:rsidRPr="00EA7870">
        <w:rPr>
          <w:sz w:val="20"/>
          <w:szCs w:val="20"/>
          <w:lang w:val="es-AR"/>
        </w:rPr>
        <w:t>rescate</w:t>
      </w:r>
      <w:r w:rsidR="001A28B3" w:rsidRPr="00EA7870">
        <w:rPr>
          <w:sz w:val="20"/>
          <w:szCs w:val="20"/>
          <w:lang w:val="es-AR"/>
        </w:rPr>
        <w:t xml:space="preserve"> </w:t>
      </w:r>
      <w:r w:rsidR="00376725" w:rsidRPr="00EA7870">
        <w:rPr>
          <w:sz w:val="20"/>
          <w:szCs w:val="20"/>
          <w:lang w:val="es-AR"/>
        </w:rPr>
        <w:t>optativo,</w:t>
      </w:r>
      <w:r w:rsidR="001A28B3" w:rsidRPr="00EA7870">
        <w:rPr>
          <w:sz w:val="20"/>
          <w:szCs w:val="20"/>
          <w:lang w:val="es-AR"/>
        </w:rPr>
        <w:t xml:space="preserve"> </w:t>
      </w:r>
      <w:r w:rsidR="00376725" w:rsidRPr="00EA7870">
        <w:rPr>
          <w:sz w:val="20"/>
          <w:szCs w:val="20"/>
          <w:lang w:val="es-AR"/>
        </w:rPr>
        <w:t>las</w:t>
      </w:r>
      <w:r w:rsidR="001A28B3" w:rsidRPr="00EA7870">
        <w:rPr>
          <w:sz w:val="20"/>
          <w:szCs w:val="20"/>
          <w:lang w:val="es-AR"/>
        </w:rPr>
        <w:t xml:space="preserve"> </w:t>
      </w:r>
      <w:r w:rsidR="00376725" w:rsidRPr="00EA7870">
        <w:rPr>
          <w:sz w:val="20"/>
          <w:szCs w:val="20"/>
          <w:lang w:val="es-AR"/>
        </w:rPr>
        <w:t>instancias</w:t>
      </w:r>
      <w:r w:rsidR="001A28B3" w:rsidRPr="00EA7870">
        <w:rPr>
          <w:sz w:val="20"/>
          <w:szCs w:val="20"/>
          <w:lang w:val="es-AR"/>
        </w:rPr>
        <w:t xml:space="preserve"> </w:t>
      </w:r>
      <w:r w:rsidR="00376725" w:rsidRPr="00EA7870">
        <w:rPr>
          <w:sz w:val="20"/>
          <w:szCs w:val="20"/>
          <w:lang w:val="es-AR"/>
        </w:rPr>
        <w:t>en</w:t>
      </w:r>
      <w:r w:rsidR="001A28B3" w:rsidRPr="00EA7870">
        <w:rPr>
          <w:sz w:val="20"/>
          <w:szCs w:val="20"/>
          <w:lang w:val="es-AR"/>
        </w:rPr>
        <w:t xml:space="preserve"> </w:t>
      </w:r>
      <w:r w:rsidR="00376725" w:rsidRPr="00EA7870">
        <w:rPr>
          <w:sz w:val="20"/>
          <w:szCs w:val="20"/>
          <w:lang w:val="es-AR"/>
        </w:rPr>
        <w:t>las</w:t>
      </w:r>
      <w:r w:rsidR="001A28B3" w:rsidRPr="00EA7870">
        <w:rPr>
          <w:sz w:val="20"/>
          <w:szCs w:val="20"/>
          <w:lang w:val="es-AR"/>
        </w:rPr>
        <w:t xml:space="preserve"> </w:t>
      </w:r>
      <w:r w:rsidR="00376725" w:rsidRPr="00EA7870">
        <w:rPr>
          <w:sz w:val="20"/>
          <w:szCs w:val="20"/>
          <w:lang w:val="es-AR"/>
        </w:rPr>
        <w:t>que</w:t>
      </w:r>
      <w:r w:rsidR="001A28B3" w:rsidRPr="00EA7870">
        <w:rPr>
          <w:sz w:val="20"/>
          <w:szCs w:val="20"/>
          <w:lang w:val="es-AR"/>
        </w:rPr>
        <w:t xml:space="preserve"> </w:t>
      </w:r>
      <w:r w:rsidR="00376725" w:rsidRPr="00EA7870">
        <w:rPr>
          <w:sz w:val="20"/>
          <w:szCs w:val="20"/>
          <w:lang w:val="es-AR"/>
        </w:rPr>
        <w:t>cualquier</w:t>
      </w:r>
      <w:r w:rsidR="001A28B3" w:rsidRPr="00EA7870">
        <w:rPr>
          <w:sz w:val="20"/>
          <w:szCs w:val="20"/>
          <w:lang w:val="es-AR"/>
        </w:rPr>
        <w:t xml:space="preserve"> </w:t>
      </w:r>
      <w:r w:rsidR="00376725" w:rsidRPr="00EA7870">
        <w:rPr>
          <w:sz w:val="20"/>
          <w:szCs w:val="20"/>
          <w:lang w:val="es-AR"/>
        </w:rPr>
        <w:t>Obligación</w:t>
      </w:r>
      <w:r w:rsidR="001A28B3" w:rsidRPr="00EA7870">
        <w:rPr>
          <w:sz w:val="20"/>
          <w:szCs w:val="20"/>
          <w:lang w:val="es-AR"/>
        </w:rPr>
        <w:t xml:space="preserve"> </w:t>
      </w:r>
      <w:r w:rsidR="00376725" w:rsidRPr="00EA7870">
        <w:rPr>
          <w:sz w:val="20"/>
          <w:szCs w:val="20"/>
          <w:lang w:val="es-AR"/>
        </w:rPr>
        <w:t>Negociable</w:t>
      </w:r>
      <w:r w:rsidR="001A28B3" w:rsidRPr="00EA7870">
        <w:rPr>
          <w:sz w:val="20"/>
          <w:szCs w:val="20"/>
          <w:lang w:val="es-AR"/>
        </w:rPr>
        <w:t xml:space="preserve"> </w:t>
      </w:r>
      <w:r w:rsidR="00376725" w:rsidRPr="00EA7870">
        <w:rPr>
          <w:sz w:val="20"/>
          <w:szCs w:val="20"/>
          <w:lang w:val="es-AR"/>
        </w:rPr>
        <w:t>puede</w:t>
      </w:r>
      <w:r w:rsidR="001A28B3" w:rsidRPr="00EA7870">
        <w:rPr>
          <w:sz w:val="20"/>
          <w:szCs w:val="20"/>
          <w:lang w:val="es-AR"/>
        </w:rPr>
        <w:t xml:space="preserve"> </w:t>
      </w:r>
      <w:r w:rsidR="00376725" w:rsidRPr="00EA7870">
        <w:rPr>
          <w:sz w:val="20"/>
          <w:szCs w:val="20"/>
          <w:lang w:val="es-AR"/>
        </w:rPr>
        <w:t>ser</w:t>
      </w:r>
      <w:r w:rsidR="001A28B3" w:rsidRPr="00EA7870">
        <w:rPr>
          <w:sz w:val="20"/>
          <w:szCs w:val="20"/>
          <w:lang w:val="es-AR"/>
        </w:rPr>
        <w:t xml:space="preserve"> </w:t>
      </w:r>
      <w:r w:rsidR="00376725" w:rsidRPr="00EA7870">
        <w:rPr>
          <w:sz w:val="20"/>
          <w:szCs w:val="20"/>
          <w:lang w:val="es-AR"/>
        </w:rPr>
        <w:t>rescatada</w:t>
      </w:r>
      <w:r w:rsidR="001A28B3" w:rsidRPr="00EA7870">
        <w:rPr>
          <w:sz w:val="20"/>
          <w:szCs w:val="20"/>
          <w:lang w:val="es-AR"/>
        </w:rPr>
        <w:t xml:space="preserve"> </w:t>
      </w:r>
      <w:r w:rsidR="00376725" w:rsidRPr="00EA7870">
        <w:rPr>
          <w:sz w:val="20"/>
          <w:szCs w:val="20"/>
          <w:lang w:val="es-AR"/>
        </w:rPr>
        <w:t>o,</w:t>
      </w:r>
      <w:r w:rsidR="001A28B3" w:rsidRPr="00EA7870">
        <w:rPr>
          <w:sz w:val="20"/>
          <w:szCs w:val="20"/>
          <w:lang w:val="es-AR"/>
        </w:rPr>
        <w:t xml:space="preserve"> </w:t>
      </w:r>
      <w:r w:rsidR="00376725" w:rsidRPr="00EA7870">
        <w:rPr>
          <w:sz w:val="20"/>
          <w:szCs w:val="20"/>
          <w:lang w:val="es-AR"/>
        </w:rPr>
        <w:t>una</w:t>
      </w:r>
      <w:r w:rsidR="001A28B3" w:rsidRPr="00EA7870">
        <w:rPr>
          <w:sz w:val="20"/>
          <w:szCs w:val="20"/>
          <w:lang w:val="es-AR"/>
        </w:rPr>
        <w:t xml:space="preserve"> </w:t>
      </w:r>
      <w:r w:rsidR="00376725" w:rsidRPr="00EA7870">
        <w:rPr>
          <w:sz w:val="20"/>
          <w:szCs w:val="20"/>
          <w:lang w:val="es-AR"/>
        </w:rPr>
        <w:t>vez</w:t>
      </w:r>
      <w:r w:rsidR="001A28B3" w:rsidRPr="00EA7870">
        <w:rPr>
          <w:sz w:val="20"/>
          <w:szCs w:val="20"/>
          <w:lang w:val="es-AR"/>
        </w:rPr>
        <w:t xml:space="preserve"> </w:t>
      </w:r>
      <w:r w:rsidR="00376725" w:rsidRPr="00EA7870">
        <w:rPr>
          <w:sz w:val="20"/>
          <w:szCs w:val="20"/>
          <w:lang w:val="es-AR"/>
        </w:rPr>
        <w:t>cursada</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notificación</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rescate,</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instancia</w:t>
      </w:r>
      <w:r w:rsidR="001A28B3" w:rsidRPr="00EA7870">
        <w:rPr>
          <w:sz w:val="20"/>
          <w:szCs w:val="20"/>
          <w:lang w:val="es-AR"/>
        </w:rPr>
        <w:t xml:space="preserve"> </w:t>
      </w:r>
      <w:r w:rsidR="00376725" w:rsidRPr="00EA7870">
        <w:rPr>
          <w:sz w:val="20"/>
          <w:szCs w:val="20"/>
          <w:lang w:val="es-AR"/>
        </w:rPr>
        <w:t>en</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que</w:t>
      </w:r>
      <w:r w:rsidR="001A28B3" w:rsidRPr="00EA7870">
        <w:rPr>
          <w:sz w:val="20"/>
          <w:szCs w:val="20"/>
          <w:lang w:val="es-AR"/>
        </w:rPr>
        <w:t xml:space="preserve"> </w:t>
      </w:r>
      <w:r w:rsidR="00376725" w:rsidRPr="00EA7870">
        <w:rPr>
          <w:sz w:val="20"/>
          <w:szCs w:val="20"/>
          <w:lang w:val="es-AR"/>
        </w:rPr>
        <w:t>debe</w:t>
      </w:r>
      <w:r w:rsidR="001A28B3" w:rsidRPr="00EA7870">
        <w:rPr>
          <w:sz w:val="20"/>
          <w:szCs w:val="20"/>
          <w:lang w:val="es-AR"/>
        </w:rPr>
        <w:t xml:space="preserve"> </w:t>
      </w:r>
      <w:r w:rsidR="00376725" w:rsidRPr="00EA7870">
        <w:rPr>
          <w:sz w:val="20"/>
          <w:szCs w:val="20"/>
          <w:lang w:val="es-AR"/>
        </w:rPr>
        <w:t>ser</w:t>
      </w:r>
      <w:r w:rsidR="001A28B3" w:rsidRPr="00EA7870">
        <w:rPr>
          <w:sz w:val="20"/>
          <w:szCs w:val="20"/>
          <w:lang w:val="es-AR"/>
        </w:rPr>
        <w:t xml:space="preserve"> </w:t>
      </w:r>
      <w:r w:rsidR="00376725" w:rsidRPr="00EA7870">
        <w:rPr>
          <w:sz w:val="20"/>
          <w:szCs w:val="20"/>
          <w:lang w:val="es-AR"/>
        </w:rPr>
        <w:t>rescatada;</w:t>
      </w:r>
      <w:r w:rsidR="001A28B3" w:rsidRPr="00EA7870">
        <w:rPr>
          <w:sz w:val="20"/>
          <w:szCs w:val="20"/>
          <w:lang w:val="es-AR"/>
        </w:rPr>
        <w:t xml:space="preserve"> </w:t>
      </w:r>
    </w:p>
    <w:p w14:paraId="162ABA9A" w14:textId="77777777" w:rsidR="00376725" w:rsidRPr="00EA7870" w:rsidRDefault="00376725" w:rsidP="00392883">
      <w:pPr>
        <w:ind w:firstLine="709"/>
        <w:jc w:val="both"/>
        <w:rPr>
          <w:sz w:val="20"/>
          <w:szCs w:val="20"/>
          <w:lang w:val="es-AR"/>
        </w:rPr>
      </w:pPr>
    </w:p>
    <w:p w14:paraId="0045660D" w14:textId="77777777" w:rsidR="00376725" w:rsidRPr="00EA7870" w:rsidRDefault="00376725" w:rsidP="00392883">
      <w:pPr>
        <w:ind w:firstLine="709"/>
        <w:jc w:val="both"/>
        <w:rPr>
          <w:sz w:val="20"/>
          <w:szCs w:val="20"/>
          <w:lang w:val="es-AR"/>
        </w:rPr>
      </w:pPr>
      <w:r w:rsidRPr="00EA7870">
        <w:rPr>
          <w:sz w:val="20"/>
          <w:szCs w:val="20"/>
          <w:lang w:val="es-AR"/>
        </w:rPr>
        <w:t>(4)</w:t>
      </w:r>
      <w:r w:rsidR="001A28B3" w:rsidRPr="00EA7870">
        <w:rPr>
          <w:sz w:val="20"/>
          <w:szCs w:val="20"/>
          <w:lang w:val="es-AR"/>
        </w:rPr>
        <w:t xml:space="preserve"> </w:t>
      </w:r>
      <w:r w:rsidRPr="00EA7870">
        <w:rPr>
          <w:sz w:val="20"/>
          <w:szCs w:val="20"/>
          <w:lang w:val="es-AR"/>
        </w:rPr>
        <w:t>disponer</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pagadera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declarada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cambiar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pagadera,</w:t>
      </w:r>
    </w:p>
    <w:p w14:paraId="0168B01E" w14:textId="77777777" w:rsidR="00376725" w:rsidRPr="00EA7870" w:rsidRDefault="00376725" w:rsidP="00392883">
      <w:pPr>
        <w:ind w:firstLine="709"/>
        <w:jc w:val="both"/>
        <w:rPr>
          <w:sz w:val="20"/>
          <w:szCs w:val="20"/>
          <w:lang w:val="es-AR"/>
        </w:rPr>
      </w:pPr>
    </w:p>
    <w:p w14:paraId="28393140" w14:textId="77777777" w:rsidR="00376725" w:rsidRPr="00EA7870" w:rsidRDefault="00376725" w:rsidP="00392883">
      <w:pPr>
        <w:ind w:firstLine="709"/>
        <w:jc w:val="both"/>
        <w:rPr>
          <w:sz w:val="20"/>
          <w:szCs w:val="20"/>
          <w:lang w:val="es-AR"/>
        </w:rPr>
      </w:pPr>
      <w:r w:rsidRPr="00EA7870">
        <w:rPr>
          <w:sz w:val="20"/>
          <w:szCs w:val="20"/>
          <w:lang w:val="es-AR"/>
        </w:rPr>
        <w:t>(5)</w:t>
      </w:r>
      <w:r w:rsidR="001A28B3" w:rsidRPr="00EA7870">
        <w:rPr>
          <w:sz w:val="20"/>
          <w:szCs w:val="20"/>
          <w:lang w:val="es-AR"/>
        </w:rPr>
        <w:t xml:space="preserve"> </w:t>
      </w:r>
      <w:r w:rsidRPr="00EA7870">
        <w:rPr>
          <w:sz w:val="20"/>
          <w:szCs w:val="20"/>
          <w:lang w:val="es-AR"/>
        </w:rPr>
        <w:t>restringir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recibir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Declarado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posteriormente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entablar</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ejecución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pago,</w:t>
      </w:r>
    </w:p>
    <w:p w14:paraId="35233340" w14:textId="77777777" w:rsidR="00376725" w:rsidRPr="00EA7870" w:rsidRDefault="00376725" w:rsidP="00392883">
      <w:pPr>
        <w:ind w:firstLine="709"/>
        <w:jc w:val="both"/>
        <w:rPr>
          <w:sz w:val="20"/>
          <w:szCs w:val="20"/>
          <w:lang w:val="es-AR"/>
        </w:rPr>
      </w:pPr>
    </w:p>
    <w:p w14:paraId="2271EE3D" w14:textId="77777777" w:rsidR="00376725" w:rsidRPr="00EA7870" w:rsidRDefault="00376725" w:rsidP="00392883">
      <w:pPr>
        <w:ind w:firstLine="709"/>
        <w:jc w:val="both"/>
        <w:rPr>
          <w:sz w:val="20"/>
          <w:szCs w:val="20"/>
          <w:lang w:val="es-AR"/>
        </w:rPr>
      </w:pPr>
      <w:r w:rsidRPr="00EA7870">
        <w:rPr>
          <w:sz w:val="20"/>
          <w:szCs w:val="20"/>
          <w:lang w:val="es-AR"/>
        </w:rPr>
        <w:t>(6)</w:t>
      </w:r>
      <w:r w:rsidR="001A28B3" w:rsidRPr="00EA7870">
        <w:rPr>
          <w:sz w:val="20"/>
          <w:szCs w:val="20"/>
          <w:lang w:val="es-AR"/>
        </w:rPr>
        <w:t xml:space="preserve"> </w:t>
      </w:r>
      <w:r w:rsidRPr="00EA7870">
        <w:rPr>
          <w:sz w:val="20"/>
          <w:szCs w:val="20"/>
          <w:lang w:val="es-AR"/>
        </w:rPr>
        <w:t>reducir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requerido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modificaciones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(excepto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establecer</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ciertas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pueden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modificadas</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dispensadas</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adversamente</w:t>
      </w:r>
      <w:r w:rsidR="001A28B3" w:rsidRPr="00EA7870">
        <w:rPr>
          <w:sz w:val="20"/>
          <w:szCs w:val="20"/>
          <w:lang w:val="es-AR"/>
        </w:rPr>
        <w:t xml:space="preserve"> </w:t>
      </w:r>
      <w:r w:rsidRPr="00EA7870">
        <w:rPr>
          <w:sz w:val="20"/>
          <w:szCs w:val="20"/>
          <w:lang w:val="es-AR"/>
        </w:rPr>
        <w:t>afectada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w:t>
      </w:r>
    </w:p>
    <w:p w14:paraId="07CD5D0A" w14:textId="77777777" w:rsidR="00376725" w:rsidRPr="00EA7870" w:rsidRDefault="00376725" w:rsidP="00392883">
      <w:pPr>
        <w:ind w:firstLine="709"/>
        <w:jc w:val="both"/>
        <w:rPr>
          <w:sz w:val="20"/>
          <w:szCs w:val="20"/>
          <w:lang w:val="es-AR"/>
        </w:rPr>
      </w:pPr>
    </w:p>
    <w:p w14:paraId="6C76ED4F" w14:textId="77777777" w:rsidR="00376725" w:rsidRPr="00EA7870" w:rsidRDefault="00376725" w:rsidP="00392883">
      <w:pPr>
        <w:ind w:firstLine="709"/>
        <w:jc w:val="both"/>
        <w:rPr>
          <w:spacing w:val="-2"/>
          <w:sz w:val="20"/>
          <w:szCs w:val="20"/>
          <w:lang w:val="es-AR"/>
        </w:rPr>
      </w:pPr>
      <w:r w:rsidRPr="00EA7870">
        <w:rPr>
          <w:sz w:val="20"/>
          <w:szCs w:val="20"/>
          <w:lang w:val="es-AR"/>
        </w:rPr>
        <w:t>(7)</w:t>
      </w:r>
      <w:r w:rsidR="001A28B3" w:rsidRPr="00EA7870">
        <w:rPr>
          <w:sz w:val="20"/>
          <w:szCs w:val="20"/>
          <w:lang w:val="es-AR"/>
        </w:rPr>
        <w:t xml:space="preserve"> </w:t>
      </w:r>
      <w:r w:rsidR="00ED6AAC" w:rsidRPr="00EA7870">
        <w:rPr>
          <w:sz w:val="20"/>
          <w:szCs w:val="20"/>
          <w:lang w:val="es-AR"/>
        </w:rPr>
        <w:t xml:space="preserve">eliminar o </w:t>
      </w:r>
      <w:r w:rsidRPr="00EA7870">
        <w:rPr>
          <w:sz w:val="20"/>
          <w:szCs w:val="20"/>
          <w:lang w:val="es-AR"/>
        </w:rPr>
        <w:t>modificar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afecte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clasificación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adversa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salvedad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punto</w:t>
      </w:r>
      <w:r w:rsidR="001A28B3" w:rsidRPr="00EA7870">
        <w:rPr>
          <w:sz w:val="20"/>
          <w:szCs w:val="20"/>
          <w:lang w:val="es-AR"/>
        </w:rPr>
        <w:t xml:space="preserve"> </w:t>
      </w:r>
      <w:r w:rsidRPr="00EA7870">
        <w:rPr>
          <w:sz w:val="20"/>
          <w:szCs w:val="20"/>
          <w:lang w:val="es-AR"/>
        </w:rPr>
        <w:t>(7)</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impide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realicen</w:t>
      </w:r>
      <w:r w:rsidR="001A28B3" w:rsidRPr="00EA7870">
        <w:rPr>
          <w:sz w:val="20"/>
          <w:szCs w:val="20"/>
          <w:lang w:val="es-AR"/>
        </w:rPr>
        <w:t xml:space="preserve"> </w:t>
      </w:r>
      <w:r w:rsidRPr="00EA7870">
        <w:rPr>
          <w:sz w:val="20"/>
          <w:szCs w:val="20"/>
          <w:lang w:val="es-AR"/>
        </w:rPr>
        <w:t>modificaciones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cambios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w:t>
      </w:r>
      <w:r w:rsidRPr="00EA7870">
        <w:rPr>
          <w:i/>
          <w:sz w:val="20"/>
          <w:szCs w:val="20"/>
          <w:lang w:val="es-AR"/>
        </w:rPr>
        <w:t>—Ciertos</w:t>
      </w:r>
      <w:r w:rsidR="001A28B3" w:rsidRPr="00EA7870">
        <w:rPr>
          <w:i/>
          <w:sz w:val="20"/>
          <w:szCs w:val="20"/>
          <w:lang w:val="es-AR"/>
        </w:rPr>
        <w:t xml:space="preserve"> </w:t>
      </w:r>
      <w:r w:rsidRPr="00EA7870">
        <w:rPr>
          <w:i/>
          <w:sz w:val="20"/>
          <w:szCs w:val="20"/>
          <w:lang w:val="es-AR"/>
        </w:rPr>
        <w:t>compromisos—</w:t>
      </w:r>
      <w:r w:rsidRPr="00EA7870">
        <w:rPr>
          <w:i/>
          <w:spacing w:val="-2"/>
          <w:sz w:val="20"/>
          <w:szCs w:val="20"/>
          <w:lang w:val="es-AR"/>
        </w:rPr>
        <w:t>Limitación</w:t>
      </w:r>
      <w:r w:rsidR="001A28B3" w:rsidRPr="00EA7870">
        <w:rPr>
          <w:i/>
          <w:spacing w:val="-2"/>
          <w:sz w:val="20"/>
          <w:szCs w:val="20"/>
          <w:lang w:val="es-AR"/>
        </w:rPr>
        <w:t xml:space="preserve"> </w:t>
      </w:r>
      <w:r w:rsidRPr="00EA7870">
        <w:rPr>
          <w:i/>
          <w:spacing w:val="-2"/>
          <w:sz w:val="20"/>
          <w:szCs w:val="20"/>
          <w:lang w:val="es-AR"/>
        </w:rPr>
        <w:t>a</w:t>
      </w:r>
      <w:r w:rsidR="001A28B3" w:rsidRPr="00EA7870">
        <w:rPr>
          <w:i/>
          <w:spacing w:val="-2"/>
          <w:sz w:val="20"/>
          <w:szCs w:val="20"/>
          <w:lang w:val="es-AR"/>
        </w:rPr>
        <w:t xml:space="preserve"> </w:t>
      </w:r>
      <w:r w:rsidRPr="00EA7870">
        <w:rPr>
          <w:i/>
          <w:spacing w:val="-2"/>
          <w:sz w:val="20"/>
          <w:szCs w:val="20"/>
          <w:lang w:val="es-AR"/>
        </w:rPr>
        <w:t>Gravámenes</w:t>
      </w:r>
      <w:r w:rsidRPr="00EA7870">
        <w:rPr>
          <w:sz w:val="20"/>
          <w:szCs w:val="20"/>
          <w:lang w:val="es-AR"/>
        </w:rPr>
        <w:t>”;</w:t>
      </w:r>
    </w:p>
    <w:p w14:paraId="297AD963" w14:textId="77777777" w:rsidR="00376725" w:rsidRPr="00EA7870" w:rsidRDefault="00376725" w:rsidP="00392883">
      <w:pPr>
        <w:ind w:firstLine="709"/>
        <w:jc w:val="both"/>
        <w:rPr>
          <w:sz w:val="20"/>
          <w:szCs w:val="20"/>
          <w:lang w:val="es-AR"/>
        </w:rPr>
      </w:pPr>
    </w:p>
    <w:p w14:paraId="68F27990" w14:textId="77777777" w:rsidR="00376725" w:rsidRPr="00EA7870" w:rsidRDefault="00376725" w:rsidP="00392883">
      <w:pPr>
        <w:ind w:firstLine="709"/>
        <w:jc w:val="both"/>
        <w:rPr>
          <w:sz w:val="20"/>
          <w:szCs w:val="20"/>
          <w:lang w:val="es-AR"/>
        </w:rPr>
      </w:pPr>
      <w:r w:rsidRPr="00EA7870">
        <w:rPr>
          <w:sz w:val="20"/>
          <w:szCs w:val="20"/>
          <w:lang w:val="es-AR"/>
        </w:rPr>
        <w:t>(8)</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descriptas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w:t>
      </w:r>
      <w:r w:rsidRPr="00EA7870">
        <w:rPr>
          <w:i/>
          <w:sz w:val="20"/>
          <w:szCs w:val="20"/>
          <w:lang w:val="es-AR"/>
        </w:rPr>
        <w:t>—Montos</w:t>
      </w:r>
      <w:r w:rsidR="001A28B3" w:rsidRPr="00EA7870">
        <w:rPr>
          <w:i/>
          <w:sz w:val="20"/>
          <w:szCs w:val="20"/>
          <w:lang w:val="es-AR"/>
        </w:rPr>
        <w:t xml:space="preserve"> </w:t>
      </w:r>
      <w:r w:rsidRPr="00EA7870">
        <w:rPr>
          <w:i/>
          <w:sz w:val="20"/>
          <w:szCs w:val="20"/>
          <w:lang w:val="es-AR"/>
        </w:rPr>
        <w:t>Adicionales</w:t>
      </w:r>
      <w:r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afecte</w:t>
      </w:r>
      <w:r w:rsidR="001A28B3" w:rsidRPr="00EA7870">
        <w:rPr>
          <w:sz w:val="20"/>
          <w:szCs w:val="20"/>
          <w:lang w:val="es-AR"/>
        </w:rPr>
        <w:t xml:space="preserve"> </w:t>
      </w:r>
      <w:r w:rsidRPr="00EA7870">
        <w:rPr>
          <w:sz w:val="20"/>
          <w:szCs w:val="20"/>
          <w:lang w:val="es-AR"/>
        </w:rPr>
        <w:t>adversamente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algún</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resultara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pérdida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exención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impuestos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p>
    <w:p w14:paraId="392E77E8" w14:textId="77777777" w:rsidR="00376725" w:rsidRPr="00EA7870" w:rsidRDefault="00376725" w:rsidP="00392883">
      <w:pPr>
        <w:ind w:firstLine="709"/>
        <w:jc w:val="both"/>
        <w:rPr>
          <w:sz w:val="20"/>
          <w:szCs w:val="20"/>
          <w:lang w:val="es-AR"/>
        </w:rPr>
      </w:pPr>
    </w:p>
    <w:p w14:paraId="46BADD04" w14:textId="77777777" w:rsidR="00376725" w:rsidRPr="00EA7870" w:rsidRDefault="00376725" w:rsidP="00392883">
      <w:pPr>
        <w:ind w:firstLine="709"/>
        <w:jc w:val="both"/>
        <w:rPr>
          <w:sz w:val="20"/>
          <w:szCs w:val="20"/>
          <w:lang w:val="es-AR"/>
        </w:rPr>
      </w:pPr>
      <w:r w:rsidRPr="00EA7870">
        <w:rPr>
          <w:sz w:val="20"/>
          <w:szCs w:val="20"/>
          <w:lang w:val="es-AR"/>
        </w:rPr>
        <w:t>(9)</w:t>
      </w:r>
      <w:r w:rsidR="001A28B3" w:rsidRPr="00EA7870">
        <w:rPr>
          <w:sz w:val="20"/>
          <w:szCs w:val="20"/>
          <w:lang w:val="es-AR"/>
        </w:rPr>
        <w:t xml:space="preserve"> </w:t>
      </w:r>
      <w:r w:rsidRPr="00EA7870">
        <w:rPr>
          <w:sz w:val="20"/>
          <w:szCs w:val="20"/>
          <w:lang w:val="es-AR"/>
        </w:rPr>
        <w:t>eliminar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manera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afecte</w:t>
      </w:r>
      <w:r w:rsidR="001A28B3" w:rsidRPr="00EA7870">
        <w:rPr>
          <w:sz w:val="20"/>
          <w:szCs w:val="20"/>
          <w:lang w:val="es-AR"/>
        </w:rPr>
        <w:t xml:space="preserve"> </w:t>
      </w:r>
      <w:r w:rsidRPr="00EA7870">
        <w:rPr>
          <w:sz w:val="20"/>
          <w:szCs w:val="20"/>
          <w:lang w:val="es-AR"/>
        </w:rPr>
        <w:t>adversamente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aspecto</w:t>
      </w:r>
      <w:r w:rsidR="001A28B3" w:rsidRPr="00EA7870">
        <w:rPr>
          <w:sz w:val="20"/>
          <w:szCs w:val="20"/>
          <w:lang w:val="es-AR"/>
        </w:rPr>
        <w:t xml:space="preserve"> </w:t>
      </w:r>
      <w:r w:rsidRPr="00EA7870">
        <w:rPr>
          <w:sz w:val="20"/>
          <w:szCs w:val="20"/>
          <w:lang w:val="es-AR"/>
        </w:rPr>
        <w:t>sustancial,</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expresamente</w:t>
      </w:r>
      <w:r w:rsidR="001A28B3" w:rsidRPr="00EA7870">
        <w:rPr>
          <w:sz w:val="20"/>
          <w:szCs w:val="20"/>
          <w:lang w:val="es-AR"/>
        </w:rPr>
        <w:t xml:space="preserve"> </w:t>
      </w:r>
      <w:r w:rsidRPr="00EA7870">
        <w:rPr>
          <w:sz w:val="20"/>
          <w:szCs w:val="20"/>
          <w:lang w:val="es-AR"/>
        </w:rPr>
        <w:t>permitido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p>
    <w:p w14:paraId="09BDC536" w14:textId="77777777" w:rsidR="00376725" w:rsidRPr="00EA7870" w:rsidRDefault="00376725" w:rsidP="00392883">
      <w:pPr>
        <w:ind w:firstLine="709"/>
        <w:jc w:val="both"/>
        <w:rPr>
          <w:sz w:val="20"/>
          <w:szCs w:val="20"/>
          <w:lang w:val="es-AR"/>
        </w:rPr>
      </w:pPr>
    </w:p>
    <w:p w14:paraId="50436B87" w14:textId="77777777" w:rsidR="00376725" w:rsidRPr="00EA7870" w:rsidRDefault="00376725" w:rsidP="00392883">
      <w:pPr>
        <w:ind w:firstLine="709"/>
        <w:jc w:val="both"/>
        <w:rPr>
          <w:sz w:val="20"/>
          <w:szCs w:val="20"/>
          <w:lang w:val="es-AR"/>
        </w:rPr>
      </w:pPr>
      <w:r w:rsidRPr="00EA7870">
        <w:rPr>
          <w:sz w:val="20"/>
          <w:szCs w:val="20"/>
          <w:lang w:val="es-AR"/>
        </w:rPr>
        <w:t>(10)</w:t>
      </w:r>
      <w:r w:rsidR="001A28B3" w:rsidRPr="00EA7870">
        <w:rPr>
          <w:sz w:val="20"/>
          <w:szCs w:val="20"/>
          <w:lang w:val="es-AR"/>
        </w:rPr>
        <w:t xml:space="preserve"> </w:t>
      </w:r>
      <w:r w:rsidRPr="00EA7870">
        <w:rPr>
          <w:sz w:val="20"/>
          <w:szCs w:val="20"/>
          <w:lang w:val="es-AR"/>
        </w:rPr>
        <w:t>modificar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cambiar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jurisdicción</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4580FBC0" w14:textId="77777777" w:rsidR="00376725" w:rsidRPr="00EA7870" w:rsidRDefault="00376725" w:rsidP="00392883">
      <w:pPr>
        <w:jc w:val="both"/>
        <w:rPr>
          <w:sz w:val="20"/>
          <w:szCs w:val="20"/>
          <w:lang w:val="es-AR" w:eastAsia="en-US"/>
        </w:rPr>
      </w:pPr>
    </w:p>
    <w:p w14:paraId="0046C933" w14:textId="77777777" w:rsidR="00376725" w:rsidRPr="00EA7870" w:rsidRDefault="00376725" w:rsidP="00392883">
      <w:pPr>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003C2317" w:rsidRPr="00EA7870">
        <w:rPr>
          <w:sz w:val="20"/>
          <w:szCs w:val="20"/>
          <w:lang w:val="es-AR"/>
        </w:rPr>
        <w:t>Suplemento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aprobación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complemento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requiere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obtenga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5209AC" w:rsidRPr="00EA7870">
        <w:rPr>
          <w:sz w:val="20"/>
          <w:szCs w:val="20"/>
          <w:lang w:val="es-AR"/>
        </w:rPr>
        <w:t>Obligaciones</w:t>
      </w:r>
      <w:r w:rsidR="001A28B3" w:rsidRPr="00EA7870">
        <w:rPr>
          <w:sz w:val="20"/>
          <w:szCs w:val="20"/>
          <w:lang w:val="es-AR"/>
        </w:rPr>
        <w:t xml:space="preserve"> </w:t>
      </w:r>
      <w:r w:rsidR="005209AC" w:rsidRPr="00EA7870">
        <w:rPr>
          <w:sz w:val="20"/>
          <w:szCs w:val="20"/>
          <w:lang w:val="es-AR"/>
        </w:rPr>
        <w:t>Negociables</w:t>
      </w:r>
      <w:r w:rsidR="001A28B3" w:rsidRPr="00EA7870">
        <w:rPr>
          <w:sz w:val="20"/>
          <w:szCs w:val="20"/>
          <w:lang w:val="es-AR"/>
        </w:rPr>
        <w:t xml:space="preserve"> </w:t>
      </w:r>
      <w:r w:rsidRPr="00EA7870">
        <w:rPr>
          <w:sz w:val="20"/>
          <w:szCs w:val="20"/>
          <w:lang w:val="es-AR"/>
        </w:rPr>
        <w:t>celebrada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previsto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w:t>
      </w:r>
      <w:r w:rsidRPr="00EA7870">
        <w:rPr>
          <w:i/>
          <w:sz w:val="20"/>
          <w:szCs w:val="20"/>
          <w:lang w:val="es-AR"/>
        </w:rPr>
        <w:t>—Asambleas</w:t>
      </w:r>
      <w:r w:rsidR="001A28B3" w:rsidRPr="00EA7870">
        <w:rPr>
          <w:i/>
          <w:sz w:val="20"/>
          <w:szCs w:val="20"/>
          <w:lang w:val="es-AR"/>
        </w:rPr>
        <w:t xml:space="preserve"> </w:t>
      </w:r>
      <w:r w:rsidRPr="00EA7870">
        <w:rPr>
          <w:i/>
          <w:sz w:val="20"/>
          <w:szCs w:val="20"/>
          <w:lang w:val="es-AR"/>
        </w:rPr>
        <w:t>de</w:t>
      </w:r>
      <w:r w:rsidR="001A28B3" w:rsidRPr="00EA7870">
        <w:rPr>
          <w:i/>
          <w:sz w:val="20"/>
          <w:szCs w:val="20"/>
          <w:lang w:val="es-AR"/>
        </w:rPr>
        <w:t xml:space="preserve"> </w:t>
      </w:r>
      <w:r w:rsidRPr="00EA7870">
        <w:rPr>
          <w:i/>
          <w:sz w:val="20"/>
          <w:szCs w:val="20"/>
          <w:lang w:val="es-AR"/>
        </w:rPr>
        <w:t>tenedores</w:t>
      </w:r>
      <w:r w:rsidRPr="00EA7870">
        <w:rPr>
          <w:sz w:val="20"/>
          <w:szCs w:val="20"/>
          <w:lang w:val="es-AR"/>
        </w:rPr>
        <w:t>”</w:t>
      </w:r>
      <w:r w:rsidR="00ED6AAC" w:rsidRPr="00EA7870">
        <w:rPr>
          <w:sz w:val="20"/>
          <w:szCs w:val="20"/>
          <w:lang w:val="es-AR"/>
        </w:rPr>
        <w:t xml:space="preserve"> o en virtud de cualquier otro medio confiable que garantice a los tenedores de Obligaciones Negociables acceso a información y que les permita votar, de conformidad con el Artículo 14 de la Ley de Obligaciones Negociables (conforme </w:t>
      </w:r>
      <w:r w:rsidR="005B2F3C" w:rsidRPr="00EA7870">
        <w:rPr>
          <w:sz w:val="20"/>
          <w:szCs w:val="20"/>
          <w:lang w:val="es-AR"/>
        </w:rPr>
        <w:t xml:space="preserve">fuera </w:t>
      </w:r>
      <w:r w:rsidR="00ED6AAC" w:rsidRPr="00EA7870">
        <w:rPr>
          <w:sz w:val="20"/>
          <w:szCs w:val="20"/>
          <w:lang w:val="es-AR"/>
        </w:rPr>
        <w:t>modificada por el Artículo 151 de la Ley N°27.</w:t>
      </w:r>
      <w:r w:rsidR="002A5959" w:rsidRPr="00EA7870">
        <w:rPr>
          <w:sz w:val="20"/>
          <w:szCs w:val="20"/>
          <w:lang w:val="es-AR"/>
        </w:rPr>
        <w:t xml:space="preserve">440 </w:t>
      </w:r>
      <w:r w:rsidR="00ED6AAC" w:rsidRPr="00EA7870">
        <w:rPr>
          <w:sz w:val="20"/>
          <w:szCs w:val="20"/>
          <w:lang w:val="es-AR"/>
        </w:rPr>
        <w:t>de Financiamiento Productivo) y cualquier otra reglamentación aplicable</w:t>
      </w:r>
      <w:r w:rsidRPr="00EA7870">
        <w:rPr>
          <w:sz w:val="20"/>
          <w:szCs w:val="20"/>
          <w:lang w:val="es-AR"/>
        </w:rPr>
        <w:t>.</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necesario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aprueben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específica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complemento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w:t>
      </w:r>
      <w:r w:rsidR="001A28B3" w:rsidRPr="00EA7870">
        <w:rPr>
          <w:sz w:val="20"/>
          <w:szCs w:val="20"/>
          <w:lang w:val="es-AR"/>
        </w:rPr>
        <w:t xml:space="preserve"> </w:t>
      </w:r>
      <w:r w:rsidRPr="00EA7870">
        <w:rPr>
          <w:sz w:val="20"/>
          <w:szCs w:val="20"/>
          <w:lang w:val="es-AR"/>
        </w:rPr>
        <w:t>propuesta,</w:t>
      </w:r>
      <w:r w:rsidR="001A28B3" w:rsidRPr="00EA7870">
        <w:rPr>
          <w:sz w:val="20"/>
          <w:szCs w:val="20"/>
          <w:lang w:val="es-AR"/>
        </w:rPr>
        <w:t xml:space="preserve"> </w:t>
      </w:r>
      <w:r w:rsidRPr="00EA7870">
        <w:rPr>
          <w:sz w:val="20"/>
          <w:szCs w:val="20"/>
          <w:lang w:val="es-AR"/>
        </w:rPr>
        <w:t>siendo</w:t>
      </w:r>
      <w:r w:rsidR="001A28B3" w:rsidRPr="00EA7870">
        <w:rPr>
          <w:sz w:val="20"/>
          <w:szCs w:val="20"/>
          <w:lang w:val="es-AR"/>
        </w:rPr>
        <w:t xml:space="preserve"> </w:t>
      </w:r>
      <w:r w:rsidRPr="00EA7870">
        <w:rPr>
          <w:sz w:val="20"/>
          <w:szCs w:val="20"/>
          <w:lang w:val="es-AR"/>
        </w:rPr>
        <w:t>suficiente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apruebe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contenido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mismas.</w:t>
      </w:r>
    </w:p>
    <w:p w14:paraId="36A151D7" w14:textId="77777777" w:rsidR="00376725" w:rsidRPr="00EA7870" w:rsidRDefault="00376725" w:rsidP="00392883">
      <w:pPr>
        <w:jc w:val="both"/>
        <w:rPr>
          <w:sz w:val="20"/>
          <w:szCs w:val="20"/>
          <w:lang w:val="es-AR"/>
        </w:rPr>
      </w:pPr>
    </w:p>
    <w:p w14:paraId="65CD744E" w14:textId="77777777" w:rsidR="009B6410" w:rsidRPr="00EA7870" w:rsidRDefault="00FE466C" w:rsidP="00392883">
      <w:pPr>
        <w:jc w:val="both"/>
        <w:rPr>
          <w:sz w:val="20"/>
          <w:szCs w:val="20"/>
          <w:lang w:val="es-AR"/>
        </w:rPr>
      </w:pP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lista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antecede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párrafo</w:t>
      </w:r>
      <w:r w:rsidR="001A28B3" w:rsidRPr="00EA7870">
        <w:rPr>
          <w:sz w:val="20"/>
          <w:szCs w:val="20"/>
          <w:lang w:val="es-AR"/>
        </w:rPr>
        <w:t xml:space="preserve"> </w:t>
      </w:r>
      <w:r w:rsidRPr="00EA7870">
        <w:rPr>
          <w:sz w:val="20"/>
          <w:szCs w:val="20"/>
          <w:lang w:val="es-AR"/>
        </w:rPr>
        <w:t>precedente</w:t>
      </w:r>
      <w:r w:rsidR="003C2317" w:rsidRPr="00EA7870">
        <w:rPr>
          <w:sz w:val="20"/>
          <w:szCs w:val="20"/>
          <w:lang w:val="es-AR"/>
        </w:rPr>
        <w:t>,</w:t>
      </w:r>
      <w:r w:rsidR="001A28B3" w:rsidRPr="00EA7870">
        <w:rPr>
          <w:sz w:val="20"/>
          <w:szCs w:val="20"/>
          <w:lang w:val="es-AR"/>
        </w:rPr>
        <w:t xml:space="preserve"> </w:t>
      </w:r>
      <w:r w:rsidR="003C2317" w:rsidRPr="00EA7870">
        <w:rPr>
          <w:sz w:val="20"/>
          <w:szCs w:val="20"/>
          <w:lang w:val="es-AR"/>
        </w:rPr>
        <w:t>(i)</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modificaciones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condiciones</w:t>
      </w:r>
      <w:r w:rsidR="001A28B3" w:rsidRPr="00EA7870">
        <w:rPr>
          <w:sz w:val="20"/>
          <w:szCs w:val="20"/>
          <w:lang w:val="es-AR"/>
        </w:rPr>
        <w:t xml:space="preserve"> </w:t>
      </w:r>
      <w:r w:rsidRPr="00EA7870">
        <w:rPr>
          <w:sz w:val="20"/>
          <w:szCs w:val="20"/>
          <w:lang w:val="es-AR"/>
        </w:rPr>
        <w:t>esenciales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requieren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decisiones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adopten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unanimidad</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previsto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57092D" w:rsidRPr="00EA7870">
        <w:rPr>
          <w:sz w:val="20"/>
          <w:szCs w:val="20"/>
          <w:lang w:val="es-AR"/>
        </w:rPr>
        <w:t>“</w:t>
      </w:r>
      <w:r w:rsidR="0057092D" w:rsidRPr="00EA7870">
        <w:rPr>
          <w:i/>
          <w:sz w:val="20"/>
          <w:szCs w:val="20"/>
          <w:lang w:val="es-AR"/>
        </w:rPr>
        <w:t>—Asambleas</w:t>
      </w:r>
      <w:r w:rsidR="001A28B3" w:rsidRPr="00EA7870">
        <w:rPr>
          <w:i/>
          <w:sz w:val="20"/>
          <w:szCs w:val="20"/>
          <w:lang w:val="es-AR"/>
        </w:rPr>
        <w:t xml:space="preserve"> </w:t>
      </w:r>
      <w:r w:rsidR="0057092D" w:rsidRPr="00EA7870">
        <w:rPr>
          <w:i/>
          <w:sz w:val="20"/>
          <w:szCs w:val="20"/>
          <w:lang w:val="es-AR"/>
        </w:rPr>
        <w:t>de</w:t>
      </w:r>
      <w:r w:rsidR="001A28B3" w:rsidRPr="00EA7870">
        <w:rPr>
          <w:i/>
          <w:sz w:val="20"/>
          <w:szCs w:val="20"/>
          <w:lang w:val="es-AR"/>
        </w:rPr>
        <w:t xml:space="preserve"> </w:t>
      </w:r>
      <w:r w:rsidR="0057092D" w:rsidRPr="00EA7870">
        <w:rPr>
          <w:i/>
          <w:sz w:val="20"/>
          <w:szCs w:val="20"/>
          <w:lang w:val="es-AR"/>
        </w:rPr>
        <w:t>tenedores</w:t>
      </w:r>
      <w:r w:rsidR="0057092D" w:rsidRPr="00EA7870">
        <w:rPr>
          <w:sz w:val="20"/>
          <w:szCs w:val="20"/>
          <w:lang w:val="es-AR"/>
        </w:rPr>
        <w:t>”</w:t>
      </w:r>
      <w:r w:rsidR="003C2317" w:rsidRPr="00EA7870">
        <w:rPr>
          <w:sz w:val="20"/>
          <w:szCs w:val="20"/>
          <w:lang w:val="es-AR"/>
        </w:rPr>
        <w:t>,</w:t>
      </w:r>
      <w:r w:rsidR="001A28B3" w:rsidRPr="00EA7870">
        <w:rPr>
          <w:sz w:val="20"/>
          <w:szCs w:val="20"/>
          <w:lang w:val="es-AR"/>
        </w:rPr>
        <w:t xml:space="preserve"> </w:t>
      </w:r>
      <w:r w:rsidR="00ED6AAC" w:rsidRPr="00EA7870">
        <w:rPr>
          <w:sz w:val="20"/>
          <w:szCs w:val="20"/>
          <w:lang w:val="es-AR"/>
        </w:rPr>
        <w:t>y</w:t>
      </w:r>
      <w:r w:rsidR="001A28B3" w:rsidRPr="00EA7870">
        <w:rPr>
          <w:sz w:val="20"/>
          <w:szCs w:val="20"/>
          <w:lang w:val="es-AR"/>
        </w:rPr>
        <w:t xml:space="preserve"> </w:t>
      </w:r>
      <w:r w:rsidR="003C2317" w:rsidRPr="00EA7870">
        <w:rPr>
          <w:sz w:val="20"/>
          <w:szCs w:val="20"/>
          <w:lang w:val="es-AR"/>
        </w:rPr>
        <w:t>(ii)</w:t>
      </w:r>
      <w:r w:rsidR="001A28B3" w:rsidRPr="00EA7870">
        <w:rPr>
          <w:sz w:val="20"/>
          <w:szCs w:val="20"/>
          <w:lang w:val="es-AR"/>
        </w:rPr>
        <w:t xml:space="preserve"> </w:t>
      </w:r>
      <w:r w:rsidR="003C2317" w:rsidRPr="00EA7870">
        <w:rPr>
          <w:sz w:val="20"/>
          <w:szCs w:val="20"/>
          <w:lang w:val="es-AR"/>
        </w:rPr>
        <w:t>la</w:t>
      </w:r>
      <w:r w:rsidR="001A28B3" w:rsidRPr="00EA7870">
        <w:rPr>
          <w:sz w:val="20"/>
          <w:szCs w:val="20"/>
          <w:lang w:val="es-AR"/>
        </w:rPr>
        <w:t xml:space="preserve"> </w:t>
      </w:r>
      <w:r w:rsidR="003C2317" w:rsidRPr="00EA7870">
        <w:rPr>
          <w:sz w:val="20"/>
          <w:szCs w:val="20"/>
          <w:lang w:val="es-AR"/>
        </w:rPr>
        <w:t>aprobación</w:t>
      </w:r>
      <w:r w:rsidR="001A28B3" w:rsidRPr="00EA7870">
        <w:rPr>
          <w:sz w:val="20"/>
          <w:szCs w:val="20"/>
          <w:lang w:val="es-AR"/>
        </w:rPr>
        <w:t xml:space="preserve"> </w:t>
      </w:r>
      <w:r w:rsidR="003C2317" w:rsidRPr="00EA7870">
        <w:rPr>
          <w:sz w:val="20"/>
          <w:szCs w:val="20"/>
          <w:lang w:val="es-AR"/>
        </w:rPr>
        <w:t>de</w:t>
      </w:r>
      <w:r w:rsidR="001A28B3" w:rsidRPr="00EA7870">
        <w:rPr>
          <w:sz w:val="20"/>
          <w:szCs w:val="20"/>
          <w:lang w:val="es-AR"/>
        </w:rPr>
        <w:t xml:space="preserve"> </w:t>
      </w:r>
      <w:r w:rsidR="003C2317" w:rsidRPr="00EA7870">
        <w:rPr>
          <w:sz w:val="20"/>
          <w:szCs w:val="20"/>
          <w:lang w:val="es-AR"/>
        </w:rPr>
        <w:t>cualquier</w:t>
      </w:r>
      <w:r w:rsidR="001A28B3" w:rsidRPr="00EA7870">
        <w:rPr>
          <w:sz w:val="20"/>
          <w:szCs w:val="20"/>
          <w:lang w:val="es-AR"/>
        </w:rPr>
        <w:t xml:space="preserve"> </w:t>
      </w:r>
      <w:r w:rsidR="003C2317" w:rsidRPr="00EA7870">
        <w:rPr>
          <w:sz w:val="20"/>
          <w:szCs w:val="20"/>
          <w:lang w:val="es-AR"/>
        </w:rPr>
        <w:t>enmienda,</w:t>
      </w:r>
      <w:r w:rsidR="001A28B3" w:rsidRPr="00EA7870">
        <w:rPr>
          <w:sz w:val="20"/>
          <w:szCs w:val="20"/>
          <w:lang w:val="es-AR"/>
        </w:rPr>
        <w:t xml:space="preserve"> </w:t>
      </w:r>
      <w:r w:rsidR="003C2317" w:rsidRPr="00EA7870">
        <w:rPr>
          <w:sz w:val="20"/>
          <w:szCs w:val="20"/>
          <w:lang w:val="es-AR"/>
        </w:rPr>
        <w:t>suplemento</w:t>
      </w:r>
      <w:r w:rsidR="001A28B3" w:rsidRPr="00EA7870">
        <w:rPr>
          <w:sz w:val="20"/>
          <w:szCs w:val="20"/>
          <w:lang w:val="es-AR"/>
        </w:rPr>
        <w:t xml:space="preserve"> </w:t>
      </w:r>
      <w:r w:rsidR="003C2317" w:rsidRPr="00EA7870">
        <w:rPr>
          <w:sz w:val="20"/>
          <w:szCs w:val="20"/>
          <w:lang w:val="es-AR"/>
        </w:rPr>
        <w:t>o</w:t>
      </w:r>
      <w:r w:rsidR="001A28B3" w:rsidRPr="00EA7870">
        <w:rPr>
          <w:sz w:val="20"/>
          <w:szCs w:val="20"/>
          <w:lang w:val="es-AR"/>
        </w:rPr>
        <w:t xml:space="preserve"> </w:t>
      </w:r>
      <w:r w:rsidR="003C2317" w:rsidRPr="00EA7870">
        <w:rPr>
          <w:sz w:val="20"/>
          <w:szCs w:val="20"/>
          <w:lang w:val="es-AR"/>
        </w:rPr>
        <w:t>renuncia</w:t>
      </w:r>
      <w:r w:rsidR="001A28B3" w:rsidRPr="00EA7870">
        <w:rPr>
          <w:sz w:val="20"/>
          <w:szCs w:val="20"/>
          <w:lang w:val="es-AR"/>
        </w:rPr>
        <w:t xml:space="preserve"> </w:t>
      </w:r>
      <w:r w:rsidR="003C2317" w:rsidRPr="00EA7870">
        <w:rPr>
          <w:sz w:val="20"/>
          <w:szCs w:val="20"/>
          <w:lang w:val="es-AR"/>
        </w:rPr>
        <w:t>por</w:t>
      </w:r>
      <w:r w:rsidR="001A28B3" w:rsidRPr="00EA7870">
        <w:rPr>
          <w:sz w:val="20"/>
          <w:szCs w:val="20"/>
          <w:lang w:val="es-AR"/>
        </w:rPr>
        <w:t xml:space="preserve"> </w:t>
      </w:r>
      <w:r w:rsidR="003C2317" w:rsidRPr="00EA7870">
        <w:rPr>
          <w:sz w:val="20"/>
          <w:szCs w:val="20"/>
          <w:lang w:val="es-AR"/>
        </w:rPr>
        <w:t>parte</w:t>
      </w:r>
      <w:r w:rsidR="001A28B3" w:rsidRPr="00EA7870">
        <w:rPr>
          <w:sz w:val="20"/>
          <w:szCs w:val="20"/>
          <w:lang w:val="es-AR"/>
        </w:rPr>
        <w:t xml:space="preserve"> </w:t>
      </w:r>
      <w:r w:rsidR="003C2317" w:rsidRPr="00EA7870">
        <w:rPr>
          <w:sz w:val="20"/>
          <w:szCs w:val="20"/>
          <w:lang w:val="es-AR"/>
        </w:rPr>
        <w:t>de</w:t>
      </w:r>
      <w:r w:rsidR="001A28B3" w:rsidRPr="00EA7870">
        <w:rPr>
          <w:sz w:val="20"/>
          <w:szCs w:val="20"/>
          <w:lang w:val="es-AR"/>
        </w:rPr>
        <w:t xml:space="preserve"> </w:t>
      </w:r>
      <w:r w:rsidR="003C2317" w:rsidRPr="00EA7870">
        <w:rPr>
          <w:sz w:val="20"/>
          <w:szCs w:val="20"/>
          <w:lang w:val="es-AR"/>
        </w:rPr>
        <w:t>los</w:t>
      </w:r>
      <w:r w:rsidR="001A28B3" w:rsidRPr="00EA7870">
        <w:rPr>
          <w:sz w:val="20"/>
          <w:szCs w:val="20"/>
          <w:lang w:val="es-AR"/>
        </w:rPr>
        <w:t xml:space="preserve"> </w:t>
      </w:r>
      <w:r w:rsidR="003C2317" w:rsidRPr="00EA7870">
        <w:rPr>
          <w:sz w:val="20"/>
          <w:szCs w:val="20"/>
          <w:lang w:val="es-AR"/>
        </w:rPr>
        <w:t>tenedores</w:t>
      </w:r>
      <w:r w:rsidR="001A28B3" w:rsidRPr="00EA7870">
        <w:rPr>
          <w:sz w:val="20"/>
          <w:szCs w:val="20"/>
          <w:lang w:val="es-AR"/>
        </w:rPr>
        <w:t xml:space="preserve"> </w:t>
      </w:r>
      <w:r w:rsidR="0057092D" w:rsidRPr="00EA7870">
        <w:rPr>
          <w:sz w:val="20"/>
          <w:szCs w:val="20"/>
          <w:lang w:val="es-AR"/>
        </w:rPr>
        <w:t>de</w:t>
      </w:r>
      <w:r w:rsidR="001A28B3" w:rsidRPr="00EA7870">
        <w:rPr>
          <w:sz w:val="20"/>
          <w:szCs w:val="20"/>
          <w:lang w:val="es-AR"/>
        </w:rPr>
        <w:t xml:space="preserve"> </w:t>
      </w:r>
      <w:r w:rsidR="0057092D" w:rsidRPr="00EA7870">
        <w:rPr>
          <w:sz w:val="20"/>
          <w:szCs w:val="20"/>
          <w:lang w:val="es-AR"/>
        </w:rPr>
        <w:t>las</w:t>
      </w:r>
      <w:r w:rsidR="001A28B3" w:rsidRPr="00EA7870">
        <w:rPr>
          <w:sz w:val="20"/>
          <w:szCs w:val="20"/>
          <w:lang w:val="es-AR"/>
        </w:rPr>
        <w:t xml:space="preserve"> </w:t>
      </w:r>
      <w:r w:rsidR="0057092D" w:rsidRPr="00EA7870">
        <w:rPr>
          <w:sz w:val="20"/>
          <w:szCs w:val="20"/>
          <w:lang w:val="es-AR"/>
        </w:rPr>
        <w:t>Obligaciones</w:t>
      </w:r>
      <w:r w:rsidR="001A28B3" w:rsidRPr="00EA7870">
        <w:rPr>
          <w:sz w:val="20"/>
          <w:szCs w:val="20"/>
          <w:lang w:val="es-AR"/>
        </w:rPr>
        <w:t xml:space="preserve"> </w:t>
      </w:r>
      <w:r w:rsidR="0057092D" w:rsidRPr="00EA7870">
        <w:rPr>
          <w:sz w:val="20"/>
          <w:szCs w:val="20"/>
          <w:lang w:val="es-AR"/>
        </w:rPr>
        <w:t>Negociables</w:t>
      </w:r>
      <w:r w:rsidR="001A28B3" w:rsidRPr="00EA7870">
        <w:rPr>
          <w:sz w:val="20"/>
          <w:szCs w:val="20"/>
          <w:lang w:val="es-AR"/>
        </w:rPr>
        <w:t xml:space="preserve"> </w:t>
      </w:r>
      <w:r w:rsidR="0057092D" w:rsidRPr="00EA7870">
        <w:rPr>
          <w:sz w:val="20"/>
          <w:szCs w:val="20"/>
          <w:lang w:val="es-AR"/>
        </w:rPr>
        <w:t>fuera</w:t>
      </w:r>
      <w:r w:rsidR="001A28B3" w:rsidRPr="00EA7870">
        <w:rPr>
          <w:sz w:val="20"/>
          <w:szCs w:val="20"/>
          <w:lang w:val="es-AR"/>
        </w:rPr>
        <w:t xml:space="preserve"> </w:t>
      </w:r>
      <w:r w:rsidR="0057092D" w:rsidRPr="00EA7870">
        <w:rPr>
          <w:sz w:val="20"/>
          <w:szCs w:val="20"/>
          <w:lang w:val="es-AR"/>
        </w:rPr>
        <w:t>de</w:t>
      </w:r>
      <w:r w:rsidR="001A28B3" w:rsidRPr="00EA7870">
        <w:rPr>
          <w:sz w:val="20"/>
          <w:szCs w:val="20"/>
          <w:lang w:val="es-AR"/>
        </w:rPr>
        <w:t xml:space="preserve"> </w:t>
      </w:r>
      <w:r w:rsidR="0057092D" w:rsidRPr="00EA7870">
        <w:rPr>
          <w:sz w:val="20"/>
          <w:szCs w:val="20"/>
          <w:lang w:val="es-AR"/>
        </w:rPr>
        <w:t>una</w:t>
      </w:r>
      <w:r w:rsidR="001A28B3" w:rsidRPr="00EA7870">
        <w:rPr>
          <w:sz w:val="20"/>
          <w:szCs w:val="20"/>
          <w:lang w:val="es-AR"/>
        </w:rPr>
        <w:t xml:space="preserve"> </w:t>
      </w:r>
      <w:r w:rsidR="0057092D" w:rsidRPr="00EA7870">
        <w:rPr>
          <w:sz w:val="20"/>
          <w:szCs w:val="20"/>
          <w:lang w:val="es-AR"/>
        </w:rPr>
        <w:t>asamblea</w:t>
      </w:r>
      <w:r w:rsidR="001A28B3" w:rsidRPr="00EA7870">
        <w:rPr>
          <w:sz w:val="20"/>
          <w:szCs w:val="20"/>
          <w:lang w:val="es-AR"/>
        </w:rPr>
        <w:t xml:space="preserve"> </w:t>
      </w:r>
      <w:r w:rsidR="0057092D" w:rsidRPr="00EA7870">
        <w:rPr>
          <w:sz w:val="20"/>
          <w:szCs w:val="20"/>
          <w:lang w:val="es-AR"/>
        </w:rPr>
        <w:t>de</w:t>
      </w:r>
      <w:r w:rsidR="001A28B3" w:rsidRPr="00EA7870">
        <w:rPr>
          <w:sz w:val="20"/>
          <w:szCs w:val="20"/>
          <w:lang w:val="es-AR"/>
        </w:rPr>
        <w:t xml:space="preserve"> </w:t>
      </w:r>
      <w:r w:rsidR="0057092D" w:rsidRPr="00EA7870">
        <w:rPr>
          <w:sz w:val="20"/>
          <w:szCs w:val="20"/>
          <w:lang w:val="es-AR"/>
        </w:rPr>
        <w:t>tendedores</w:t>
      </w:r>
      <w:r w:rsidR="001A28B3" w:rsidRPr="00EA7870">
        <w:rPr>
          <w:sz w:val="20"/>
          <w:szCs w:val="20"/>
          <w:lang w:val="es-AR"/>
        </w:rPr>
        <w:t xml:space="preserve"> </w:t>
      </w:r>
      <w:r w:rsidR="003C2317" w:rsidRPr="00EA7870">
        <w:rPr>
          <w:sz w:val="20"/>
          <w:szCs w:val="20"/>
          <w:lang w:val="es-AR"/>
        </w:rPr>
        <w:t>requerirá</w:t>
      </w:r>
      <w:r w:rsidR="001A28B3" w:rsidRPr="00EA7870">
        <w:rPr>
          <w:sz w:val="20"/>
          <w:szCs w:val="20"/>
          <w:lang w:val="es-AR"/>
        </w:rPr>
        <w:t xml:space="preserve"> </w:t>
      </w:r>
      <w:r w:rsidR="003C2317" w:rsidRPr="00EA7870">
        <w:rPr>
          <w:sz w:val="20"/>
          <w:szCs w:val="20"/>
          <w:lang w:val="es-AR"/>
        </w:rPr>
        <w:t>el</w:t>
      </w:r>
      <w:r w:rsidR="001A28B3" w:rsidRPr="00EA7870">
        <w:rPr>
          <w:sz w:val="20"/>
          <w:szCs w:val="20"/>
          <w:lang w:val="es-AR"/>
        </w:rPr>
        <w:t xml:space="preserve"> </w:t>
      </w:r>
      <w:r w:rsidR="003C2317" w:rsidRPr="00EA7870">
        <w:rPr>
          <w:sz w:val="20"/>
          <w:szCs w:val="20"/>
          <w:lang w:val="es-AR"/>
        </w:rPr>
        <w:t>consentimiento</w:t>
      </w:r>
      <w:r w:rsidR="001A28B3" w:rsidRPr="00EA7870">
        <w:rPr>
          <w:sz w:val="20"/>
          <w:szCs w:val="20"/>
          <w:lang w:val="es-AR"/>
        </w:rPr>
        <w:t xml:space="preserve"> </w:t>
      </w:r>
      <w:r w:rsidR="003C2317" w:rsidRPr="00EA7870">
        <w:rPr>
          <w:sz w:val="20"/>
          <w:szCs w:val="20"/>
          <w:lang w:val="es-AR"/>
        </w:rPr>
        <w:t>de</w:t>
      </w:r>
      <w:r w:rsidR="001A28B3" w:rsidRPr="00EA7870">
        <w:rPr>
          <w:sz w:val="20"/>
          <w:szCs w:val="20"/>
          <w:lang w:val="es-AR"/>
        </w:rPr>
        <w:t xml:space="preserve"> </w:t>
      </w:r>
      <w:r w:rsidR="003C2317" w:rsidRPr="00EA7870">
        <w:rPr>
          <w:sz w:val="20"/>
          <w:szCs w:val="20"/>
          <w:lang w:val="es-AR"/>
        </w:rPr>
        <w:t>los</w:t>
      </w:r>
      <w:r w:rsidR="001A28B3" w:rsidRPr="00EA7870">
        <w:rPr>
          <w:sz w:val="20"/>
          <w:szCs w:val="20"/>
          <w:lang w:val="es-AR"/>
        </w:rPr>
        <w:t xml:space="preserve"> </w:t>
      </w:r>
      <w:r w:rsidR="003C2317" w:rsidRPr="00EA7870">
        <w:rPr>
          <w:sz w:val="20"/>
          <w:szCs w:val="20"/>
          <w:lang w:val="es-AR"/>
        </w:rPr>
        <w:t>tenedores</w:t>
      </w:r>
      <w:r w:rsidR="001A28B3" w:rsidRPr="00EA7870">
        <w:rPr>
          <w:sz w:val="20"/>
          <w:szCs w:val="20"/>
          <w:lang w:val="es-AR"/>
        </w:rPr>
        <w:t xml:space="preserve"> </w:t>
      </w:r>
      <w:r w:rsidR="003C2317" w:rsidRPr="00EA7870">
        <w:rPr>
          <w:sz w:val="20"/>
          <w:szCs w:val="20"/>
          <w:lang w:val="es-AR"/>
        </w:rPr>
        <w:t>que</w:t>
      </w:r>
      <w:r w:rsidR="001A28B3" w:rsidRPr="00EA7870">
        <w:rPr>
          <w:sz w:val="20"/>
          <w:szCs w:val="20"/>
          <w:lang w:val="es-AR"/>
        </w:rPr>
        <w:t xml:space="preserve"> </w:t>
      </w:r>
      <w:r w:rsidR="003C2317" w:rsidRPr="00EA7870">
        <w:rPr>
          <w:sz w:val="20"/>
          <w:szCs w:val="20"/>
          <w:lang w:val="es-AR"/>
        </w:rPr>
        <w:t>r</w:t>
      </w:r>
      <w:r w:rsidR="0057092D" w:rsidRPr="00EA7870">
        <w:rPr>
          <w:sz w:val="20"/>
          <w:szCs w:val="20"/>
          <w:lang w:val="es-AR"/>
        </w:rPr>
        <w:t>epresenten</w:t>
      </w:r>
      <w:r w:rsidR="001A28B3" w:rsidRPr="00EA7870">
        <w:rPr>
          <w:sz w:val="20"/>
          <w:szCs w:val="20"/>
          <w:lang w:val="es-AR"/>
        </w:rPr>
        <w:t xml:space="preserve"> </w:t>
      </w:r>
      <w:r w:rsidR="0057092D" w:rsidRPr="00EA7870">
        <w:rPr>
          <w:sz w:val="20"/>
          <w:szCs w:val="20"/>
          <w:lang w:val="es-AR"/>
        </w:rPr>
        <w:t>la</w:t>
      </w:r>
      <w:r w:rsidR="001A28B3" w:rsidRPr="00EA7870">
        <w:rPr>
          <w:sz w:val="20"/>
          <w:szCs w:val="20"/>
          <w:lang w:val="es-AR"/>
        </w:rPr>
        <w:t xml:space="preserve"> </w:t>
      </w:r>
      <w:r w:rsidR="0057092D" w:rsidRPr="00EA7870">
        <w:rPr>
          <w:sz w:val="20"/>
          <w:szCs w:val="20"/>
          <w:lang w:val="es-AR"/>
        </w:rPr>
        <w:t>mayoría</w:t>
      </w:r>
      <w:r w:rsidR="001A28B3" w:rsidRPr="00EA7870">
        <w:rPr>
          <w:sz w:val="20"/>
          <w:szCs w:val="20"/>
          <w:lang w:val="es-AR"/>
        </w:rPr>
        <w:t xml:space="preserve"> </w:t>
      </w:r>
      <w:r w:rsidR="0057092D" w:rsidRPr="00EA7870">
        <w:rPr>
          <w:sz w:val="20"/>
          <w:szCs w:val="20"/>
          <w:lang w:val="es-AR"/>
        </w:rPr>
        <w:t>del</w:t>
      </w:r>
      <w:r w:rsidR="001A28B3" w:rsidRPr="00EA7870">
        <w:rPr>
          <w:sz w:val="20"/>
          <w:szCs w:val="20"/>
          <w:lang w:val="es-AR"/>
        </w:rPr>
        <w:t xml:space="preserve"> </w:t>
      </w:r>
      <w:r w:rsidR="0057092D" w:rsidRPr="00EA7870">
        <w:rPr>
          <w:sz w:val="20"/>
          <w:szCs w:val="20"/>
          <w:lang w:val="es-AR"/>
        </w:rPr>
        <w:t>capital</w:t>
      </w:r>
      <w:r w:rsidR="001A28B3" w:rsidRPr="00EA7870">
        <w:rPr>
          <w:sz w:val="20"/>
          <w:szCs w:val="20"/>
          <w:lang w:val="es-AR"/>
        </w:rPr>
        <w:t xml:space="preserve"> </w:t>
      </w:r>
      <w:r w:rsidR="0057092D" w:rsidRPr="00EA7870">
        <w:rPr>
          <w:sz w:val="20"/>
          <w:szCs w:val="20"/>
          <w:lang w:val="es-AR"/>
        </w:rPr>
        <w:t>de</w:t>
      </w:r>
      <w:r w:rsidR="001A28B3" w:rsidRPr="00EA7870">
        <w:rPr>
          <w:sz w:val="20"/>
          <w:szCs w:val="20"/>
          <w:lang w:val="es-AR"/>
        </w:rPr>
        <w:t xml:space="preserve"> </w:t>
      </w:r>
      <w:r w:rsidR="0057092D" w:rsidRPr="00EA7870">
        <w:rPr>
          <w:sz w:val="20"/>
          <w:szCs w:val="20"/>
          <w:lang w:val="es-AR"/>
        </w:rPr>
        <w:t>las</w:t>
      </w:r>
      <w:r w:rsidR="001A28B3" w:rsidRPr="00EA7870">
        <w:rPr>
          <w:sz w:val="20"/>
          <w:szCs w:val="20"/>
          <w:lang w:val="es-AR"/>
        </w:rPr>
        <w:t xml:space="preserve"> </w:t>
      </w:r>
      <w:r w:rsidR="0057092D" w:rsidRPr="00EA7870">
        <w:rPr>
          <w:sz w:val="20"/>
          <w:szCs w:val="20"/>
          <w:lang w:val="es-AR"/>
        </w:rPr>
        <w:t>Obligaciones</w:t>
      </w:r>
      <w:r w:rsidR="001A28B3" w:rsidRPr="00EA7870">
        <w:rPr>
          <w:sz w:val="20"/>
          <w:szCs w:val="20"/>
          <w:lang w:val="es-AR"/>
        </w:rPr>
        <w:t xml:space="preserve"> </w:t>
      </w:r>
      <w:r w:rsidR="0057092D" w:rsidRPr="00EA7870">
        <w:rPr>
          <w:sz w:val="20"/>
          <w:szCs w:val="20"/>
          <w:lang w:val="es-AR"/>
        </w:rPr>
        <w:t>Negociables</w:t>
      </w:r>
      <w:r w:rsidR="001A28B3" w:rsidRPr="00EA7870">
        <w:rPr>
          <w:sz w:val="20"/>
          <w:szCs w:val="20"/>
          <w:lang w:val="es-AR"/>
        </w:rPr>
        <w:t xml:space="preserve"> </w:t>
      </w:r>
      <w:r w:rsidR="0057092D" w:rsidRPr="00EA7870">
        <w:rPr>
          <w:sz w:val="20"/>
          <w:szCs w:val="20"/>
          <w:lang w:val="es-AR"/>
        </w:rPr>
        <w:t>en</w:t>
      </w:r>
      <w:r w:rsidR="001A28B3" w:rsidRPr="00EA7870">
        <w:rPr>
          <w:sz w:val="20"/>
          <w:szCs w:val="20"/>
          <w:lang w:val="es-AR"/>
        </w:rPr>
        <w:t xml:space="preserve"> </w:t>
      </w:r>
      <w:r w:rsidR="0057092D" w:rsidRPr="00EA7870">
        <w:rPr>
          <w:sz w:val="20"/>
          <w:szCs w:val="20"/>
          <w:lang w:val="es-AR"/>
        </w:rPr>
        <w:t>circulación</w:t>
      </w:r>
      <w:r w:rsidR="003C2317" w:rsidRPr="00EA7870">
        <w:rPr>
          <w:sz w:val="20"/>
          <w:szCs w:val="20"/>
          <w:lang w:val="es-AR"/>
        </w:rPr>
        <w:t>.</w:t>
      </w:r>
    </w:p>
    <w:p w14:paraId="15F3BC57" w14:textId="77777777" w:rsidR="003C2317" w:rsidRPr="00EA7870" w:rsidRDefault="003C2317" w:rsidP="00392883">
      <w:pPr>
        <w:jc w:val="both"/>
        <w:rPr>
          <w:sz w:val="20"/>
          <w:szCs w:val="20"/>
        </w:rPr>
      </w:pPr>
    </w:p>
    <w:p w14:paraId="428D0D94" w14:textId="77777777" w:rsidR="00376725" w:rsidRPr="00EA7870" w:rsidRDefault="00376725" w:rsidP="00392883">
      <w:pPr>
        <w:jc w:val="both"/>
        <w:rPr>
          <w:sz w:val="20"/>
          <w:szCs w:val="20"/>
          <w:lang w:val="es-AR"/>
        </w:rPr>
      </w:pP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estará</w:t>
      </w:r>
      <w:r w:rsidR="001A28B3" w:rsidRPr="00EA7870">
        <w:rPr>
          <w:sz w:val="20"/>
          <w:szCs w:val="20"/>
          <w:lang w:val="es-AR"/>
        </w:rPr>
        <w:t xml:space="preserve"> </w:t>
      </w:r>
      <w:r w:rsidRPr="00EA7870">
        <w:rPr>
          <w:sz w:val="20"/>
          <w:szCs w:val="20"/>
          <w:lang w:val="es-AR"/>
        </w:rPr>
        <w:t>obligado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celebrar</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afecte</w:t>
      </w:r>
      <w:r w:rsidR="001A28B3" w:rsidRPr="00EA7870">
        <w:rPr>
          <w:sz w:val="20"/>
          <w:szCs w:val="20"/>
          <w:lang w:val="es-AR"/>
        </w:rPr>
        <w:t xml:space="preserve"> </w:t>
      </w:r>
      <w:r w:rsidRPr="00EA7870">
        <w:rPr>
          <w:sz w:val="20"/>
          <w:szCs w:val="20"/>
          <w:lang w:val="es-AR"/>
        </w:rPr>
        <w:t>adversamente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propios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funciones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inmunidades</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384EB48B" w14:textId="77777777" w:rsidR="00376725" w:rsidRPr="00EA7870" w:rsidRDefault="00376725" w:rsidP="00392883">
      <w:pPr>
        <w:jc w:val="both"/>
        <w:rPr>
          <w:sz w:val="20"/>
          <w:szCs w:val="20"/>
          <w:lang w:val="es-AR"/>
        </w:rPr>
      </w:pPr>
    </w:p>
    <w:p w14:paraId="3E7100CD" w14:textId="77777777" w:rsidR="00376725" w:rsidRPr="00EA7870" w:rsidRDefault="00376725" w:rsidP="00392883">
      <w:pPr>
        <w:jc w:val="both"/>
        <w:rPr>
          <w:b/>
          <w:sz w:val="20"/>
          <w:szCs w:val="20"/>
          <w:lang w:val="es-AR"/>
        </w:rPr>
      </w:pPr>
      <w:r w:rsidRPr="00EA7870">
        <w:rPr>
          <w:b/>
          <w:sz w:val="20"/>
          <w:szCs w:val="20"/>
          <w:lang w:val="es-AR"/>
        </w:rPr>
        <w:t>Asambleas</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tenedores</w:t>
      </w:r>
    </w:p>
    <w:p w14:paraId="10389D2E" w14:textId="77777777" w:rsidR="00376725" w:rsidRPr="00EA7870" w:rsidRDefault="00376725" w:rsidP="00392883">
      <w:pPr>
        <w:jc w:val="both"/>
        <w:rPr>
          <w:sz w:val="20"/>
          <w:szCs w:val="20"/>
          <w:lang w:val="es-AR"/>
        </w:rPr>
      </w:pPr>
    </w:p>
    <w:p w14:paraId="66F2A5FB" w14:textId="77777777" w:rsidR="00376725" w:rsidRPr="00EA7870" w:rsidRDefault="00376725" w:rsidP="00392883">
      <w:pPr>
        <w:jc w:val="both"/>
        <w:rPr>
          <w:sz w:val="20"/>
          <w:szCs w:val="20"/>
          <w:lang w:val="es-AR"/>
        </w:rPr>
      </w:pP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convocada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solicitud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5%</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criterio,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p>
    <w:p w14:paraId="05D677D6" w14:textId="77777777" w:rsidR="00376725" w:rsidRPr="00EA7870" w:rsidRDefault="00376725" w:rsidP="00392883">
      <w:pPr>
        <w:jc w:val="both"/>
        <w:rPr>
          <w:sz w:val="20"/>
          <w:szCs w:val="20"/>
          <w:lang w:val="es-AR"/>
        </w:rPr>
      </w:pPr>
    </w:p>
    <w:p w14:paraId="0FC00491" w14:textId="77777777" w:rsidR="00376725" w:rsidRPr="00EA7870" w:rsidRDefault="00376725" w:rsidP="00392883">
      <w:pPr>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celebrarán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Autónoma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Buenos</w:t>
      </w:r>
      <w:r w:rsidR="001A28B3" w:rsidRPr="00EA7870">
        <w:rPr>
          <w:sz w:val="20"/>
          <w:szCs w:val="20"/>
          <w:lang w:val="es-AR"/>
        </w:rPr>
        <w:t xml:space="preserve"> </w:t>
      </w:r>
      <w:r w:rsidRPr="00EA7870">
        <w:rPr>
          <w:sz w:val="20"/>
          <w:szCs w:val="20"/>
          <w:lang w:val="es-AR"/>
        </w:rPr>
        <w:t>Aires,</w:t>
      </w:r>
      <w:r w:rsidR="001A28B3" w:rsidRPr="00EA7870">
        <w:rPr>
          <w:sz w:val="20"/>
          <w:szCs w:val="20"/>
          <w:lang w:val="es-AR"/>
        </w:rPr>
        <w:t xml:space="preserve"> </w:t>
      </w:r>
      <w:r w:rsidRPr="00EA7870">
        <w:rPr>
          <w:sz w:val="20"/>
          <w:szCs w:val="20"/>
          <w:lang w:val="es-AR"/>
        </w:rPr>
        <w:t>quedando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decidir</w:t>
      </w:r>
      <w:r w:rsidR="001A28B3" w:rsidRPr="00EA7870">
        <w:rPr>
          <w:sz w:val="20"/>
          <w:szCs w:val="20"/>
          <w:lang w:val="es-AR"/>
        </w:rPr>
        <w:t xml:space="preserve"> </w:t>
      </w:r>
      <w:r w:rsidRPr="00EA7870">
        <w:rPr>
          <w:sz w:val="20"/>
          <w:szCs w:val="20"/>
          <w:lang w:val="es-AR"/>
        </w:rPr>
        <w:t>celebrar</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Londres,</w:t>
      </w:r>
      <w:r w:rsidR="001A28B3" w:rsidRPr="00EA7870">
        <w:rPr>
          <w:sz w:val="20"/>
          <w:szCs w:val="20"/>
          <w:lang w:val="es-AR"/>
        </w:rPr>
        <w:t xml:space="preserve"> </w:t>
      </w:r>
      <w:r w:rsidRPr="00EA7870">
        <w:rPr>
          <w:sz w:val="20"/>
          <w:szCs w:val="20"/>
          <w:lang w:val="es-AR"/>
        </w:rPr>
        <w:t>simultáneamente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través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medio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telecomunicaciones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permita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participantes</w:t>
      </w:r>
      <w:r w:rsidR="001A28B3" w:rsidRPr="00EA7870">
        <w:rPr>
          <w:sz w:val="20"/>
          <w:szCs w:val="20"/>
          <w:lang w:val="es-AR"/>
        </w:rPr>
        <w:t xml:space="preserve"> </w:t>
      </w:r>
      <w:r w:rsidRPr="00EA7870">
        <w:rPr>
          <w:sz w:val="20"/>
          <w:szCs w:val="20"/>
          <w:lang w:val="es-AR"/>
        </w:rPr>
        <w:t>escucharse</w:t>
      </w:r>
      <w:r w:rsidR="001A28B3" w:rsidRPr="00EA7870">
        <w:rPr>
          <w:sz w:val="20"/>
          <w:szCs w:val="20"/>
          <w:lang w:val="es-AR"/>
        </w:rPr>
        <w:t xml:space="preserve"> </w:t>
      </w:r>
      <w:r w:rsidRPr="00EA7870">
        <w:rPr>
          <w:sz w:val="20"/>
          <w:szCs w:val="20"/>
          <w:lang w:val="es-AR"/>
        </w:rPr>
        <w:t>mutuamente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hablar</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sí,</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simultánea</w:t>
      </w:r>
      <w:r w:rsidR="001A28B3" w:rsidRPr="00EA7870">
        <w:rPr>
          <w:sz w:val="20"/>
          <w:szCs w:val="20"/>
          <w:lang w:val="es-AR"/>
        </w:rPr>
        <w:t xml:space="preserve"> </w:t>
      </w:r>
      <w:r w:rsidRPr="00EA7870">
        <w:rPr>
          <w:sz w:val="20"/>
          <w:szCs w:val="20"/>
          <w:lang w:val="es-AR"/>
        </w:rPr>
        <w:t>constituye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única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quórum</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porcentajes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votos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celebrarán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horario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determinen.</w:t>
      </w:r>
      <w:r w:rsidR="001A28B3" w:rsidRPr="00EA7870">
        <w:rPr>
          <w:sz w:val="20"/>
          <w:szCs w:val="20"/>
          <w:lang w:val="es-AR"/>
        </w:rPr>
        <w:t xml:space="preserve"> </w:t>
      </w:r>
      <w:r w:rsidRPr="00EA7870">
        <w:rPr>
          <w:sz w:val="20"/>
          <w:szCs w:val="20"/>
          <w:lang w:val="es-AR"/>
        </w:rPr>
        <w:t>Toda</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adoptada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convocada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Londres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vinculante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(estén</w:t>
      </w:r>
      <w:r w:rsidR="001A28B3" w:rsidRPr="00EA7870">
        <w:rPr>
          <w:sz w:val="20"/>
          <w:szCs w:val="20"/>
          <w:lang w:val="es-AR"/>
        </w:rPr>
        <w:t xml:space="preserve"> </w:t>
      </w:r>
      <w:r w:rsidRPr="00EA7870">
        <w:rPr>
          <w:sz w:val="20"/>
          <w:szCs w:val="20"/>
          <w:lang w:val="es-AR"/>
        </w:rPr>
        <w:t>presentes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únicamente</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ratificación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través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celebrada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Autónoma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Buenos</w:t>
      </w:r>
      <w:r w:rsidR="001A28B3" w:rsidRPr="00EA7870">
        <w:rPr>
          <w:sz w:val="20"/>
          <w:szCs w:val="20"/>
          <w:lang w:val="es-AR"/>
        </w:rPr>
        <w:t xml:space="preserve"> </w:t>
      </w:r>
      <w:r w:rsidRPr="00EA7870">
        <w:rPr>
          <w:sz w:val="20"/>
          <w:szCs w:val="20"/>
          <w:lang w:val="es-AR"/>
        </w:rPr>
        <w:t>Aires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contiene</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presentes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representados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convocadas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Londres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designen</w:t>
      </w:r>
      <w:r w:rsidR="001A28B3" w:rsidRPr="00EA7870">
        <w:rPr>
          <w:sz w:val="20"/>
          <w:szCs w:val="20"/>
          <w:lang w:val="es-AR"/>
        </w:rPr>
        <w:t xml:space="preserve"> </w:t>
      </w:r>
      <w:r w:rsidRPr="00EA7870">
        <w:rPr>
          <w:sz w:val="20"/>
          <w:szCs w:val="20"/>
          <w:lang w:val="es-AR"/>
        </w:rPr>
        <w:t>representantes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Autónoma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Buenos</w:t>
      </w:r>
      <w:r w:rsidR="001A28B3" w:rsidRPr="00EA7870">
        <w:rPr>
          <w:sz w:val="20"/>
          <w:szCs w:val="20"/>
          <w:lang w:val="es-AR"/>
        </w:rPr>
        <w:t xml:space="preserve"> </w:t>
      </w:r>
      <w:r w:rsidRPr="00EA7870">
        <w:rPr>
          <w:sz w:val="20"/>
          <w:szCs w:val="20"/>
          <w:lang w:val="es-AR"/>
        </w:rPr>
        <w:t>Aires.</w:t>
      </w:r>
      <w:r w:rsidR="001A28B3" w:rsidRPr="00EA7870">
        <w:rPr>
          <w:sz w:val="20"/>
          <w:szCs w:val="20"/>
          <w:lang w:val="es-AR"/>
        </w:rPr>
        <w:t xml:space="preserve"> </w:t>
      </w:r>
      <w:r w:rsidRPr="00EA7870">
        <w:rPr>
          <w:sz w:val="20"/>
          <w:szCs w:val="20"/>
          <w:lang w:val="es-AR"/>
        </w:rPr>
        <w:t>Sujeto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toda</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adoptada</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vinculante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estado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presentes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adoptó</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cuestión).</w:t>
      </w:r>
    </w:p>
    <w:p w14:paraId="547BEE84" w14:textId="77777777" w:rsidR="00376725" w:rsidRPr="00EA7870" w:rsidRDefault="00376725" w:rsidP="00392883">
      <w:pPr>
        <w:jc w:val="both"/>
        <w:rPr>
          <w:sz w:val="20"/>
          <w:szCs w:val="20"/>
          <w:lang w:val="es-AR"/>
        </w:rPr>
      </w:pPr>
    </w:p>
    <w:p w14:paraId="317A0E81" w14:textId="77777777" w:rsidR="00376725" w:rsidRPr="00EA7870" w:rsidRDefault="00376725" w:rsidP="00392883">
      <w:pPr>
        <w:jc w:val="both"/>
        <w:rPr>
          <w:sz w:val="20"/>
          <w:szCs w:val="20"/>
          <w:lang w:val="es-AR"/>
        </w:rPr>
      </w:pP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celebrará</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celebra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solicitud</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ésta</w:t>
      </w:r>
      <w:r w:rsidR="001A28B3" w:rsidRPr="00EA7870">
        <w:rPr>
          <w:sz w:val="20"/>
          <w:szCs w:val="20"/>
          <w:lang w:val="es-AR"/>
        </w:rPr>
        <w:t xml:space="preserve"> </w:t>
      </w:r>
      <w:r w:rsidRPr="00EA7870">
        <w:rPr>
          <w:sz w:val="20"/>
          <w:szCs w:val="20"/>
          <w:lang w:val="es-AR"/>
        </w:rPr>
        <w:t>deberá</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convocada</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40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solicitud</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recibida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convocatoria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incluirá</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horario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orden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asistencia)</w:t>
      </w:r>
      <w:r w:rsidR="001A28B3" w:rsidRPr="00EA7870">
        <w:rPr>
          <w:sz w:val="20"/>
          <w:szCs w:val="20"/>
          <w:lang w:val="es-AR"/>
        </w:rPr>
        <w:t xml:space="preserve"> </w:t>
      </w:r>
      <w:r w:rsidRPr="00EA7870">
        <w:rPr>
          <w:sz w:val="20"/>
          <w:szCs w:val="20"/>
          <w:lang w:val="es-AR"/>
        </w:rPr>
        <w:t>deberá</w:t>
      </w:r>
      <w:r w:rsidR="001A28B3" w:rsidRPr="00EA7870">
        <w:rPr>
          <w:sz w:val="20"/>
          <w:szCs w:val="20"/>
          <w:lang w:val="es-AR"/>
        </w:rPr>
        <w:t xml:space="preserve"> </w:t>
      </w:r>
      <w:r w:rsidRPr="00EA7870">
        <w:rPr>
          <w:sz w:val="20"/>
          <w:szCs w:val="20"/>
          <w:lang w:val="es-AR"/>
        </w:rPr>
        <w:t>publicarse</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10</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anteriores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fijada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Boletín</w:t>
      </w:r>
      <w:r w:rsidR="001A28B3" w:rsidRPr="00EA7870">
        <w:rPr>
          <w:sz w:val="20"/>
          <w:szCs w:val="20"/>
          <w:lang w:val="es-AR"/>
        </w:rPr>
        <w:t xml:space="preserve"> </w:t>
      </w:r>
      <w:r w:rsidRPr="00EA7870">
        <w:rPr>
          <w:sz w:val="20"/>
          <w:szCs w:val="20"/>
          <w:lang w:val="es-AR"/>
        </w:rPr>
        <w:t>Oficial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diario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general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Boletín</w:t>
      </w:r>
      <w:r w:rsidR="001A28B3" w:rsidRPr="00EA7870">
        <w:rPr>
          <w:sz w:val="20"/>
          <w:szCs w:val="20"/>
          <w:lang w:val="es-AR"/>
        </w:rPr>
        <w:t xml:space="preserve"> </w:t>
      </w:r>
      <w:r w:rsidR="00FB2433" w:rsidRPr="00EA7870">
        <w:rPr>
          <w:sz w:val="20"/>
          <w:szCs w:val="20"/>
          <w:lang w:val="es-AR"/>
        </w:rPr>
        <w:t>Diario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BCBA,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delegación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facultades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estén</w:t>
      </w:r>
      <w:r w:rsidR="001A28B3" w:rsidRPr="00EA7870">
        <w:rPr>
          <w:sz w:val="20"/>
          <w:szCs w:val="20"/>
          <w:lang w:val="es-AR"/>
        </w:rPr>
        <w:t xml:space="preserve"> </w:t>
      </w:r>
      <w:r w:rsidRPr="00EA7870">
        <w:rPr>
          <w:sz w:val="20"/>
          <w:szCs w:val="20"/>
          <w:lang w:val="es-AR"/>
        </w:rPr>
        <w:t>listadas</w:t>
      </w:r>
      <w:r w:rsidR="001A28B3" w:rsidRPr="00EA7870">
        <w:rPr>
          <w:sz w:val="20"/>
          <w:szCs w:val="20"/>
          <w:lang w:val="es-AR"/>
        </w:rPr>
        <w:t xml:space="preserve"> </w:t>
      </w:r>
      <w:r w:rsidR="006239C2" w:rsidRPr="00EA7870">
        <w:rPr>
          <w:sz w:val="20"/>
          <w:szCs w:val="20"/>
          <w:lang w:val="es-AR"/>
        </w:rPr>
        <w:t xml:space="preserve">y se negocien </w:t>
      </w:r>
      <w:r w:rsidRPr="00EA7870">
        <w:rPr>
          <w:sz w:val="20"/>
          <w:szCs w:val="20"/>
          <w:lang w:val="es-AR"/>
        </w:rPr>
        <w:t>en</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00F100B1" w:rsidRPr="00EA7870">
        <w:rPr>
          <w:sz w:val="20"/>
          <w:szCs w:val="20"/>
          <w:lang w:val="es-AR"/>
        </w:rPr>
        <w:t>y</w:t>
      </w:r>
      <w:r w:rsidR="001A28B3" w:rsidRPr="00EA7870">
        <w:rPr>
          <w:sz w:val="20"/>
          <w:szCs w:val="20"/>
          <w:lang w:val="es-AR"/>
        </w:rPr>
        <w:t xml:space="preserve"> </w:t>
      </w:r>
      <w:r w:rsidR="00A91547" w:rsidRPr="00EA7870">
        <w:rPr>
          <w:sz w:val="20"/>
          <w:szCs w:val="20"/>
          <w:lang w:val="es-AR"/>
        </w:rPr>
        <w:t xml:space="preserve">en el boletín electrónico del MAE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negocien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MAE)</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sistemas</w:t>
      </w:r>
      <w:r w:rsidR="001A28B3" w:rsidRPr="00EA7870">
        <w:rPr>
          <w:sz w:val="20"/>
          <w:szCs w:val="20"/>
          <w:lang w:val="es-AR"/>
        </w:rPr>
        <w:t xml:space="preserve"> </w:t>
      </w:r>
      <w:r w:rsidRPr="00EA7870">
        <w:rPr>
          <w:sz w:val="20"/>
          <w:szCs w:val="20"/>
          <w:lang w:val="es-AR"/>
        </w:rPr>
        <w:t>informativos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mercados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estén</w:t>
      </w:r>
      <w:r w:rsidR="001A28B3" w:rsidRPr="00EA7870">
        <w:rPr>
          <w:sz w:val="20"/>
          <w:szCs w:val="20"/>
          <w:lang w:val="es-AR"/>
        </w:rPr>
        <w:t xml:space="preserve"> </w:t>
      </w:r>
      <w:r w:rsidRPr="00EA7870">
        <w:rPr>
          <w:sz w:val="20"/>
          <w:szCs w:val="20"/>
          <w:lang w:val="es-AR"/>
        </w:rPr>
        <w:t>listadas</w:t>
      </w:r>
      <w:r w:rsidR="006239C2" w:rsidRPr="00EA7870">
        <w:rPr>
          <w:sz w:val="20"/>
          <w:szCs w:val="20"/>
          <w:lang w:val="es-AR"/>
        </w:rPr>
        <w:t xml:space="preserve"> y/o se negocien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p>
    <w:p w14:paraId="328B2875" w14:textId="77777777" w:rsidR="00376725" w:rsidRPr="00EA7870" w:rsidRDefault="00376725" w:rsidP="00392883">
      <w:pPr>
        <w:jc w:val="both"/>
        <w:rPr>
          <w:sz w:val="20"/>
          <w:szCs w:val="20"/>
          <w:lang w:val="es-AR"/>
        </w:rPr>
      </w:pPr>
    </w:p>
    <w:p w14:paraId="1F9BCFD2" w14:textId="4E67C593" w:rsidR="00376725" w:rsidRPr="00EA7870" w:rsidRDefault="00376725" w:rsidP="00392883">
      <w:pPr>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convocadas</w:t>
      </w:r>
      <w:r w:rsidR="001A28B3" w:rsidRPr="00EA7870">
        <w:rPr>
          <w:sz w:val="20"/>
          <w:szCs w:val="20"/>
          <w:lang w:val="es-AR"/>
        </w:rPr>
        <w:t xml:space="preserve"> </w:t>
      </w:r>
      <w:r w:rsidRPr="00EA7870">
        <w:rPr>
          <w:sz w:val="20"/>
          <w:szCs w:val="20"/>
          <w:lang w:val="es-AR"/>
        </w:rPr>
        <w:t>simultáneamente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dos</w:t>
      </w:r>
      <w:r w:rsidR="001A28B3" w:rsidRPr="00EA7870">
        <w:rPr>
          <w:sz w:val="20"/>
          <w:szCs w:val="20"/>
          <w:lang w:val="es-AR"/>
        </w:rPr>
        <w:t xml:space="preserve"> </w:t>
      </w:r>
      <w:r w:rsidRPr="00EA7870">
        <w:rPr>
          <w:sz w:val="20"/>
          <w:szCs w:val="20"/>
          <w:lang w:val="es-AR"/>
        </w:rPr>
        <w:t>fechas,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00771486">
        <w:rPr>
          <w:sz w:val="20"/>
          <w:szCs w:val="20"/>
          <w:lang w:val="es-AR"/>
        </w:rPr>
        <w:t xml:space="preserve">de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inicial</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aplazada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falta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quórum.</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obstante,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convocatoria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segunda</w:t>
      </w:r>
      <w:r w:rsidR="001A28B3" w:rsidRPr="00EA7870">
        <w:rPr>
          <w:sz w:val="20"/>
          <w:szCs w:val="20"/>
          <w:lang w:val="es-AR"/>
        </w:rPr>
        <w:t xml:space="preserve"> </w:t>
      </w:r>
      <w:r w:rsidRPr="00EA7870">
        <w:rPr>
          <w:sz w:val="20"/>
          <w:szCs w:val="20"/>
          <w:lang w:val="es-AR"/>
        </w:rPr>
        <w:t>convocatoria,</w:t>
      </w:r>
      <w:r w:rsidR="001A28B3" w:rsidRPr="00EA7870">
        <w:rPr>
          <w:sz w:val="20"/>
          <w:szCs w:val="20"/>
          <w:lang w:val="es-AR"/>
        </w:rPr>
        <w:t xml:space="preserve"> </w:t>
      </w:r>
      <w:r w:rsidRPr="00EA7870">
        <w:rPr>
          <w:sz w:val="20"/>
          <w:szCs w:val="20"/>
          <w:lang w:val="es-AR"/>
        </w:rPr>
        <w:t>resultante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aplazamiento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inicial</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falta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quórum</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enviada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ocho</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fijada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segunda</w:t>
      </w:r>
      <w:r w:rsidR="001A28B3" w:rsidRPr="00EA7870">
        <w:rPr>
          <w:sz w:val="20"/>
          <w:szCs w:val="20"/>
          <w:lang w:val="es-AR"/>
        </w:rPr>
        <w:t xml:space="preserve"> </w:t>
      </w:r>
      <w:r w:rsidRPr="00EA7870">
        <w:rPr>
          <w:sz w:val="20"/>
          <w:szCs w:val="20"/>
          <w:lang w:val="es-AR"/>
        </w:rPr>
        <w:t>convocatoria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publicada</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tres</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Hábiles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Boletín</w:t>
      </w:r>
      <w:r w:rsidR="001A28B3" w:rsidRPr="00EA7870">
        <w:rPr>
          <w:sz w:val="20"/>
          <w:szCs w:val="20"/>
          <w:lang w:val="es-AR"/>
        </w:rPr>
        <w:t xml:space="preserve"> </w:t>
      </w:r>
      <w:r w:rsidRPr="00EA7870">
        <w:rPr>
          <w:sz w:val="20"/>
          <w:szCs w:val="20"/>
          <w:lang w:val="es-AR"/>
        </w:rPr>
        <w:t>Oficial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diario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general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Boletín</w:t>
      </w:r>
      <w:r w:rsidR="001A28B3" w:rsidRPr="00EA7870">
        <w:rPr>
          <w:sz w:val="20"/>
          <w:szCs w:val="20"/>
          <w:lang w:val="es-AR"/>
        </w:rPr>
        <w:t xml:space="preserve"> </w:t>
      </w:r>
      <w:r w:rsidR="00FB2433" w:rsidRPr="00EA7870">
        <w:rPr>
          <w:sz w:val="20"/>
          <w:szCs w:val="20"/>
          <w:lang w:val="es-AR"/>
        </w:rPr>
        <w:t>Diario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BCBA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estén</w:t>
      </w:r>
      <w:r w:rsidR="001A28B3" w:rsidRPr="00EA7870">
        <w:rPr>
          <w:sz w:val="20"/>
          <w:szCs w:val="20"/>
          <w:lang w:val="es-AR"/>
        </w:rPr>
        <w:t xml:space="preserve"> </w:t>
      </w:r>
      <w:r w:rsidRPr="00EA7870">
        <w:rPr>
          <w:sz w:val="20"/>
          <w:szCs w:val="20"/>
          <w:lang w:val="es-AR"/>
        </w:rPr>
        <w:t>listadas</w:t>
      </w:r>
      <w:r w:rsidR="001A28B3" w:rsidRPr="00EA7870">
        <w:rPr>
          <w:sz w:val="20"/>
          <w:szCs w:val="20"/>
          <w:lang w:val="es-AR"/>
        </w:rPr>
        <w:t xml:space="preserve"> </w:t>
      </w:r>
      <w:r w:rsidR="006239C2" w:rsidRPr="00EA7870">
        <w:rPr>
          <w:sz w:val="20"/>
          <w:szCs w:val="20"/>
          <w:lang w:val="es-AR"/>
        </w:rPr>
        <w:t xml:space="preserve">y negocien </w:t>
      </w:r>
      <w:r w:rsidRPr="00EA7870">
        <w:rPr>
          <w:sz w:val="20"/>
          <w:szCs w:val="20"/>
          <w:lang w:val="es-AR"/>
        </w:rPr>
        <w:t>en</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00F100B1" w:rsidRPr="00EA7870">
        <w:rPr>
          <w:sz w:val="20"/>
          <w:szCs w:val="20"/>
          <w:lang w:val="es-AR"/>
        </w:rPr>
        <w:t>y</w:t>
      </w:r>
      <w:r w:rsidR="001A28B3" w:rsidRPr="00EA7870">
        <w:rPr>
          <w:sz w:val="20"/>
          <w:szCs w:val="20"/>
          <w:lang w:val="es-AR"/>
        </w:rPr>
        <w:t xml:space="preserve"> </w:t>
      </w:r>
      <w:r w:rsidR="00A91547" w:rsidRPr="00EA7870">
        <w:rPr>
          <w:sz w:val="20"/>
          <w:szCs w:val="20"/>
          <w:lang w:val="es-AR"/>
        </w:rPr>
        <w:t xml:space="preserve">en el boletín electrónico del MAE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negocien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MAE)</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sistemas</w:t>
      </w:r>
      <w:r w:rsidR="001A28B3" w:rsidRPr="00EA7870">
        <w:rPr>
          <w:sz w:val="20"/>
          <w:szCs w:val="20"/>
          <w:lang w:val="es-AR"/>
        </w:rPr>
        <w:t xml:space="preserve"> </w:t>
      </w:r>
      <w:r w:rsidRPr="00EA7870">
        <w:rPr>
          <w:sz w:val="20"/>
          <w:szCs w:val="20"/>
          <w:lang w:val="es-AR"/>
        </w:rPr>
        <w:t>informativos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mercados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estén</w:t>
      </w:r>
      <w:r w:rsidR="001A28B3" w:rsidRPr="00EA7870">
        <w:rPr>
          <w:sz w:val="20"/>
          <w:szCs w:val="20"/>
          <w:lang w:val="es-AR"/>
        </w:rPr>
        <w:t xml:space="preserve"> </w:t>
      </w:r>
      <w:r w:rsidRPr="00EA7870">
        <w:rPr>
          <w:sz w:val="20"/>
          <w:szCs w:val="20"/>
          <w:lang w:val="es-AR"/>
        </w:rPr>
        <w:t>listadas</w:t>
      </w:r>
      <w:r w:rsidR="006239C2" w:rsidRPr="00EA7870">
        <w:rPr>
          <w:sz w:val="20"/>
          <w:szCs w:val="20"/>
          <w:lang w:val="es-AR"/>
        </w:rPr>
        <w:t xml:space="preserve"> y/o se negocien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tener</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votar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deberá</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pertinente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designada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instrumento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escrito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apoderada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deseen</w:t>
      </w:r>
      <w:r w:rsidR="001A28B3" w:rsidRPr="00EA7870">
        <w:rPr>
          <w:sz w:val="20"/>
          <w:szCs w:val="20"/>
          <w:lang w:val="es-AR"/>
        </w:rPr>
        <w:t xml:space="preserve"> </w:t>
      </w:r>
      <w:r w:rsidRPr="00EA7870">
        <w:rPr>
          <w:sz w:val="20"/>
          <w:szCs w:val="20"/>
          <w:lang w:val="es-AR"/>
        </w:rPr>
        <w:t>asistir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deberán</w:t>
      </w:r>
      <w:r w:rsidR="001A28B3" w:rsidRPr="00EA7870">
        <w:rPr>
          <w:sz w:val="20"/>
          <w:szCs w:val="20"/>
          <w:lang w:val="es-AR"/>
        </w:rPr>
        <w:t xml:space="preserve"> </w:t>
      </w:r>
      <w:r w:rsidRPr="00EA7870">
        <w:rPr>
          <w:sz w:val="20"/>
          <w:szCs w:val="20"/>
          <w:lang w:val="es-AR"/>
        </w:rPr>
        <w:t>informar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intención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hacerlo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tres</w:t>
      </w:r>
      <w:r w:rsidR="001A28B3" w:rsidRPr="00EA7870">
        <w:rPr>
          <w:sz w:val="20"/>
          <w:szCs w:val="20"/>
          <w:lang w:val="es-AR"/>
        </w:rPr>
        <w:t xml:space="preserve"> </w:t>
      </w:r>
      <w:r w:rsidR="001C0580" w:rsidRPr="00EA7870">
        <w:rPr>
          <w:sz w:val="20"/>
          <w:szCs w:val="20"/>
          <w:lang w:val="es-AR"/>
        </w:rPr>
        <w:t xml:space="preserve">Días Hábiles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p>
    <w:p w14:paraId="3780716C" w14:textId="77777777" w:rsidR="00376725" w:rsidRPr="00EA7870" w:rsidRDefault="00376725" w:rsidP="00392883">
      <w:pPr>
        <w:jc w:val="both"/>
        <w:rPr>
          <w:sz w:val="20"/>
          <w:szCs w:val="20"/>
          <w:lang w:val="es-AR"/>
        </w:rPr>
      </w:pPr>
    </w:p>
    <w:p w14:paraId="558C16AC" w14:textId="77777777" w:rsidR="00376725" w:rsidRPr="00EA7870" w:rsidRDefault="00376725" w:rsidP="00392883">
      <w:pPr>
        <w:jc w:val="both"/>
        <w:rPr>
          <w:sz w:val="20"/>
          <w:szCs w:val="20"/>
          <w:lang w:val="es-AR"/>
        </w:rPr>
      </w:pP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asistir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carta</w:t>
      </w:r>
      <w:r w:rsidR="001A28B3" w:rsidRPr="00EA7870">
        <w:rPr>
          <w:sz w:val="20"/>
          <w:szCs w:val="20"/>
          <w:lang w:val="es-AR"/>
        </w:rPr>
        <w:t xml:space="preserve"> </w:t>
      </w:r>
      <w:r w:rsidRPr="00EA7870">
        <w:rPr>
          <w:sz w:val="20"/>
          <w:szCs w:val="20"/>
          <w:lang w:val="es-AR"/>
        </w:rPr>
        <w:t>poder.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modificaciones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suplementos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dispensas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sólo</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aprobadas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extraordinaria.</w:t>
      </w:r>
    </w:p>
    <w:p w14:paraId="7A4EA789" w14:textId="77777777" w:rsidR="00376725" w:rsidRPr="00EA7870" w:rsidRDefault="00376725" w:rsidP="00392883">
      <w:pPr>
        <w:jc w:val="both"/>
        <w:rPr>
          <w:sz w:val="20"/>
          <w:szCs w:val="20"/>
          <w:lang w:val="es-AR"/>
        </w:rPr>
      </w:pPr>
    </w:p>
    <w:p w14:paraId="367E37EB" w14:textId="77777777" w:rsidR="00376725" w:rsidRPr="00EA7870" w:rsidRDefault="00376725" w:rsidP="00376725">
      <w:pPr>
        <w:tabs>
          <w:tab w:val="left" w:pos="0"/>
        </w:tabs>
        <w:jc w:val="both"/>
        <w:rPr>
          <w:sz w:val="20"/>
          <w:szCs w:val="20"/>
          <w:lang w:val="es-AR"/>
        </w:rPr>
      </w:pPr>
      <w:r w:rsidRPr="00EA7870">
        <w:rPr>
          <w:sz w:val="20"/>
          <w:szCs w:val="20"/>
          <w:lang w:val="es-AR"/>
        </w:rPr>
        <w:t>El</w:t>
      </w:r>
      <w:r w:rsidR="001A28B3" w:rsidRPr="00EA7870">
        <w:rPr>
          <w:sz w:val="20"/>
          <w:szCs w:val="20"/>
          <w:lang w:val="es-AR"/>
        </w:rPr>
        <w:t xml:space="preserve"> </w:t>
      </w:r>
      <w:r w:rsidRPr="00EA7870">
        <w:rPr>
          <w:sz w:val="20"/>
          <w:szCs w:val="20"/>
          <w:lang w:val="es-AR"/>
        </w:rPr>
        <w:t>quórum</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ordinaria</w:t>
      </w:r>
      <w:r w:rsidR="001A28B3" w:rsidRPr="00EA7870">
        <w:rPr>
          <w:sz w:val="20"/>
          <w:szCs w:val="20"/>
          <w:lang w:val="es-AR"/>
        </w:rPr>
        <w:t xml:space="preserve"> </w:t>
      </w:r>
      <w:r w:rsidRPr="00EA7870">
        <w:rPr>
          <w:sz w:val="20"/>
          <w:szCs w:val="20"/>
          <w:lang w:val="es-AR"/>
        </w:rPr>
        <w:t>convocada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adoptar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constituirán</w:t>
      </w:r>
      <w:r w:rsidR="001A28B3" w:rsidRPr="00EA7870">
        <w:rPr>
          <w:sz w:val="20"/>
          <w:szCs w:val="20"/>
          <w:lang w:val="es-AR"/>
        </w:rPr>
        <w:t xml:space="preserve"> </w:t>
      </w:r>
      <w:r w:rsidRPr="00EA7870">
        <w:rPr>
          <w:sz w:val="20"/>
          <w:szCs w:val="20"/>
          <w:lang w:val="es-AR"/>
        </w:rPr>
        <w:t>personas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posean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representen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mayoría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celebrada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segunda</w:t>
      </w:r>
      <w:r w:rsidR="001A28B3" w:rsidRPr="00EA7870">
        <w:rPr>
          <w:sz w:val="20"/>
          <w:szCs w:val="20"/>
          <w:lang w:val="es-AR"/>
        </w:rPr>
        <w:t xml:space="preserve"> </w:t>
      </w:r>
      <w:r w:rsidRPr="00EA7870">
        <w:rPr>
          <w:sz w:val="20"/>
          <w:szCs w:val="20"/>
          <w:lang w:val="es-AR"/>
        </w:rPr>
        <w:t>convocatoria</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constituirán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personas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encuentren</w:t>
      </w:r>
      <w:r w:rsidR="001A28B3" w:rsidRPr="00EA7870">
        <w:rPr>
          <w:sz w:val="20"/>
          <w:szCs w:val="20"/>
          <w:lang w:val="es-AR"/>
        </w:rPr>
        <w:t xml:space="preserve"> </w:t>
      </w:r>
      <w:r w:rsidRPr="00EA7870">
        <w:rPr>
          <w:sz w:val="20"/>
          <w:szCs w:val="20"/>
          <w:lang w:val="es-AR"/>
        </w:rPr>
        <w:t>presentes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ella.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quórum</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extraordinaria</w:t>
      </w:r>
      <w:r w:rsidR="001A28B3" w:rsidRPr="00EA7870">
        <w:rPr>
          <w:sz w:val="20"/>
          <w:szCs w:val="20"/>
          <w:lang w:val="es-AR"/>
        </w:rPr>
        <w:t xml:space="preserve"> </w:t>
      </w:r>
      <w:r w:rsidRPr="00EA7870">
        <w:rPr>
          <w:sz w:val="20"/>
          <w:szCs w:val="20"/>
          <w:lang w:val="es-AR"/>
        </w:rPr>
        <w:t>convocada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adoptar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constituirán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personas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posean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representen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60%</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extraordinarias</w:t>
      </w:r>
      <w:r w:rsidR="001A28B3" w:rsidRPr="00EA7870">
        <w:rPr>
          <w:sz w:val="20"/>
          <w:szCs w:val="20"/>
          <w:lang w:val="es-AR"/>
        </w:rPr>
        <w:t xml:space="preserve"> </w:t>
      </w:r>
      <w:r w:rsidRPr="00EA7870">
        <w:rPr>
          <w:sz w:val="20"/>
          <w:szCs w:val="20"/>
          <w:lang w:val="es-AR"/>
        </w:rPr>
        <w:t>celebradas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segunda</w:t>
      </w:r>
      <w:r w:rsidR="001A28B3" w:rsidRPr="00EA7870">
        <w:rPr>
          <w:sz w:val="20"/>
          <w:szCs w:val="20"/>
          <w:lang w:val="es-AR"/>
        </w:rPr>
        <w:t xml:space="preserve"> </w:t>
      </w:r>
      <w:r w:rsidRPr="00EA7870">
        <w:rPr>
          <w:sz w:val="20"/>
          <w:szCs w:val="20"/>
          <w:lang w:val="es-AR"/>
        </w:rPr>
        <w:t>convocatoria</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constituirán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personas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posean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representen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30%</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aplazada</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convocada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exista</w:t>
      </w:r>
      <w:r w:rsidR="001A28B3" w:rsidRPr="00EA7870">
        <w:rPr>
          <w:sz w:val="20"/>
          <w:szCs w:val="20"/>
          <w:lang w:val="es-AR"/>
        </w:rPr>
        <w:t xml:space="preserve"> </w:t>
      </w:r>
      <w:r w:rsidRPr="00EA7870">
        <w:rPr>
          <w:sz w:val="20"/>
          <w:szCs w:val="20"/>
          <w:lang w:val="es-AR"/>
        </w:rPr>
        <w:t>quórum,</w:t>
      </w:r>
      <w:r w:rsidR="001A28B3" w:rsidRPr="00EA7870">
        <w:rPr>
          <w:sz w:val="20"/>
          <w:szCs w:val="20"/>
          <w:lang w:val="es-AR"/>
        </w:rPr>
        <w:t xml:space="preserve"> </w:t>
      </w:r>
      <w:r w:rsidRPr="00EA7870">
        <w:rPr>
          <w:sz w:val="20"/>
          <w:szCs w:val="20"/>
          <w:lang w:val="es-AR"/>
        </w:rPr>
        <w:t>toda</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modificar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reformar,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dispensar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(distintas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referidas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apartado</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w:t>
      </w:r>
      <w:r w:rsidRPr="00EA7870">
        <w:rPr>
          <w:i/>
          <w:sz w:val="20"/>
          <w:szCs w:val="20"/>
          <w:lang w:val="es-AR"/>
        </w:rPr>
        <w:t>Modificaciones</w:t>
      </w:r>
      <w:r w:rsidR="001A28B3" w:rsidRPr="00EA7870">
        <w:rPr>
          <w:i/>
          <w:sz w:val="20"/>
          <w:szCs w:val="20"/>
          <w:lang w:val="es-AR"/>
        </w:rPr>
        <w:t xml:space="preserve"> </w:t>
      </w:r>
      <w:r w:rsidRPr="00EA7870">
        <w:rPr>
          <w:i/>
          <w:sz w:val="20"/>
          <w:szCs w:val="20"/>
          <w:lang w:val="es-AR"/>
        </w:rPr>
        <w:t>con</w:t>
      </w:r>
      <w:r w:rsidR="001A28B3" w:rsidRPr="00EA7870">
        <w:rPr>
          <w:i/>
          <w:sz w:val="20"/>
          <w:szCs w:val="20"/>
          <w:lang w:val="es-AR"/>
        </w:rPr>
        <w:t xml:space="preserve"> </w:t>
      </w:r>
      <w:r w:rsidRPr="00EA7870">
        <w:rPr>
          <w:i/>
          <w:sz w:val="20"/>
          <w:szCs w:val="20"/>
          <w:lang w:val="es-AR"/>
        </w:rPr>
        <w:t>el</w:t>
      </w:r>
      <w:r w:rsidR="001A28B3" w:rsidRPr="00EA7870">
        <w:rPr>
          <w:i/>
          <w:sz w:val="20"/>
          <w:szCs w:val="20"/>
          <w:lang w:val="es-AR"/>
        </w:rPr>
        <w:t xml:space="preserve"> </w:t>
      </w:r>
      <w:r w:rsidRPr="00EA7870">
        <w:rPr>
          <w:i/>
          <w:sz w:val="20"/>
          <w:szCs w:val="20"/>
          <w:lang w:val="es-AR"/>
        </w:rPr>
        <w:t>consentimiento</w:t>
      </w:r>
      <w:r w:rsidR="001A28B3" w:rsidRPr="00EA7870">
        <w:rPr>
          <w:i/>
          <w:sz w:val="20"/>
          <w:szCs w:val="20"/>
          <w:lang w:val="es-AR"/>
        </w:rPr>
        <w:t xml:space="preserve"> </w:t>
      </w:r>
      <w:r w:rsidRPr="00EA7870">
        <w:rPr>
          <w:i/>
          <w:sz w:val="20"/>
          <w:szCs w:val="20"/>
          <w:lang w:val="es-AR"/>
        </w:rPr>
        <w:t>de</w:t>
      </w:r>
      <w:r w:rsidR="001A28B3" w:rsidRPr="00EA7870">
        <w:rPr>
          <w:i/>
          <w:sz w:val="20"/>
          <w:szCs w:val="20"/>
          <w:lang w:val="es-AR"/>
        </w:rPr>
        <w:t xml:space="preserve"> </w:t>
      </w:r>
      <w:r w:rsidRPr="00EA7870">
        <w:rPr>
          <w:i/>
          <w:sz w:val="20"/>
          <w:szCs w:val="20"/>
          <w:lang w:val="es-AR"/>
        </w:rPr>
        <w:t>los</w:t>
      </w:r>
      <w:r w:rsidR="001A28B3" w:rsidRPr="00EA7870">
        <w:rPr>
          <w:i/>
          <w:sz w:val="20"/>
          <w:szCs w:val="20"/>
          <w:lang w:val="es-AR"/>
        </w:rPr>
        <w:t xml:space="preserve"> </w:t>
      </w:r>
      <w:r w:rsidRPr="00EA7870">
        <w:rPr>
          <w:i/>
          <w:sz w:val="20"/>
          <w:szCs w:val="20"/>
          <w:lang w:val="es-AR"/>
        </w:rPr>
        <w:t>tenedores</w:t>
      </w:r>
      <w:r w:rsidRPr="00EA7870">
        <w:rPr>
          <w:sz w:val="20"/>
          <w:szCs w:val="20"/>
          <w:lang w:val="es-AR"/>
        </w:rPr>
        <w:t>”</w:t>
      </w:r>
      <w:r w:rsidR="006239C2" w:rsidRPr="00EA7870">
        <w:rPr>
          <w:sz w:val="20"/>
          <w:szCs w:val="20"/>
          <w:lang w:val="es-AR"/>
        </w:rPr>
        <w:t>)</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válidamente</w:t>
      </w:r>
      <w:r w:rsidR="001A28B3" w:rsidRPr="00EA7870">
        <w:rPr>
          <w:sz w:val="20"/>
          <w:szCs w:val="20"/>
          <w:lang w:val="es-AR"/>
        </w:rPr>
        <w:t xml:space="preserve"> </w:t>
      </w:r>
      <w:r w:rsidRPr="00EA7870">
        <w:rPr>
          <w:sz w:val="20"/>
          <w:szCs w:val="20"/>
          <w:lang w:val="es-AR"/>
        </w:rPr>
        <w:t>aprobada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decidida</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aprobada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personas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votar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mayoría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ese</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representadas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votando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asamblea.</w:t>
      </w:r>
    </w:p>
    <w:p w14:paraId="233403AC" w14:textId="77777777" w:rsidR="00376725" w:rsidRPr="00EA7870" w:rsidRDefault="00376725" w:rsidP="00376725">
      <w:pPr>
        <w:tabs>
          <w:tab w:val="left" w:pos="0"/>
        </w:tabs>
        <w:ind w:firstLine="709"/>
        <w:jc w:val="both"/>
        <w:rPr>
          <w:sz w:val="20"/>
          <w:szCs w:val="20"/>
          <w:lang w:val="es-AR"/>
        </w:rPr>
      </w:pPr>
    </w:p>
    <w:p w14:paraId="1D7D9409" w14:textId="77777777" w:rsidR="00376725" w:rsidRPr="00EA7870" w:rsidRDefault="00376725" w:rsidP="00376725">
      <w:pPr>
        <w:tabs>
          <w:tab w:val="left" w:pos="0"/>
        </w:tabs>
        <w:jc w:val="both"/>
        <w:rPr>
          <w:sz w:val="20"/>
          <w:szCs w:val="20"/>
          <w:lang w:val="es-AR"/>
        </w:rPr>
      </w:pPr>
      <w:r w:rsidRPr="00EA7870">
        <w:rPr>
          <w:sz w:val="20"/>
          <w:szCs w:val="20"/>
          <w:lang w:val="es-AR"/>
        </w:rPr>
        <w:t>Todo</w:t>
      </w:r>
      <w:r w:rsidR="001A28B3" w:rsidRPr="00EA7870">
        <w:rPr>
          <w:sz w:val="20"/>
          <w:szCs w:val="20"/>
          <w:lang w:val="es-AR"/>
        </w:rPr>
        <w:t xml:space="preserve"> </w:t>
      </w:r>
      <w:r w:rsidRPr="00EA7870">
        <w:rPr>
          <w:sz w:val="20"/>
          <w:szCs w:val="20"/>
          <w:lang w:val="es-AR"/>
        </w:rPr>
        <w:t>instrumento</w:t>
      </w:r>
      <w:r w:rsidR="001A28B3" w:rsidRPr="00EA7870">
        <w:rPr>
          <w:sz w:val="20"/>
          <w:szCs w:val="20"/>
          <w:lang w:val="es-AR"/>
        </w:rPr>
        <w:t xml:space="preserve"> </w:t>
      </w:r>
      <w:r w:rsidRPr="00EA7870">
        <w:rPr>
          <w:sz w:val="20"/>
          <w:szCs w:val="20"/>
          <w:lang w:val="es-AR"/>
        </w:rPr>
        <w:t>otorgado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representación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enmienda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irrevocable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vez</w:t>
      </w:r>
      <w:r w:rsidR="001A28B3" w:rsidRPr="00EA7870">
        <w:rPr>
          <w:sz w:val="20"/>
          <w:szCs w:val="20"/>
          <w:lang w:val="es-AR"/>
        </w:rPr>
        <w:t xml:space="preserve"> </w:t>
      </w:r>
      <w:r w:rsidRPr="00EA7870">
        <w:rPr>
          <w:sz w:val="20"/>
          <w:szCs w:val="20"/>
          <w:lang w:val="es-AR"/>
        </w:rPr>
        <w:t>otorgado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concluyente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vinculante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posteriores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modificaciones,</w:t>
      </w:r>
      <w:r w:rsidR="001A28B3" w:rsidRPr="00EA7870">
        <w:rPr>
          <w:sz w:val="20"/>
          <w:szCs w:val="20"/>
          <w:lang w:val="es-AR"/>
        </w:rPr>
        <w:t xml:space="preserve"> </w:t>
      </w:r>
      <w:r w:rsidRPr="00EA7870">
        <w:rPr>
          <w:sz w:val="20"/>
          <w:szCs w:val="20"/>
          <w:lang w:val="es-AR"/>
        </w:rPr>
        <w:t>enmiendas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dispensas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concluyentes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vinculantes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otorgado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estado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presentes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clase.</w:t>
      </w:r>
    </w:p>
    <w:p w14:paraId="75A4D9BC" w14:textId="77777777" w:rsidR="00376725" w:rsidRPr="00EA7870" w:rsidRDefault="00376725" w:rsidP="00376725">
      <w:pPr>
        <w:tabs>
          <w:tab w:val="left" w:pos="0"/>
        </w:tabs>
        <w:ind w:firstLine="709"/>
        <w:jc w:val="both"/>
        <w:rPr>
          <w:sz w:val="20"/>
          <w:szCs w:val="20"/>
          <w:lang w:val="es-AR"/>
        </w:rPr>
      </w:pPr>
    </w:p>
    <w:p w14:paraId="5041F18A"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designará</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determinar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votar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enviará</w:t>
      </w:r>
      <w:r w:rsidR="001A28B3" w:rsidRPr="00EA7870">
        <w:rPr>
          <w:sz w:val="20"/>
          <w:szCs w:val="20"/>
          <w:lang w:val="es-AR"/>
        </w:rPr>
        <w:t xml:space="preserve"> </w:t>
      </w:r>
      <w:r w:rsidRPr="00EA7870">
        <w:rPr>
          <w:sz w:val="20"/>
          <w:szCs w:val="20"/>
          <w:lang w:val="es-AR"/>
        </w:rPr>
        <w:t>convocatoria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establecida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tenga</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votar,</w:t>
      </w:r>
      <w:r w:rsidR="001A28B3" w:rsidRPr="00EA7870">
        <w:rPr>
          <w:sz w:val="20"/>
          <w:szCs w:val="20"/>
          <w:lang w:val="es-AR"/>
        </w:rPr>
        <w:t xml:space="preserve"> </w:t>
      </w:r>
      <w:r w:rsidRPr="00EA7870">
        <w:rPr>
          <w:sz w:val="20"/>
          <w:szCs w:val="20"/>
          <w:lang w:val="es-AR"/>
        </w:rPr>
        <w:t>emitir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voto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001C0580" w:rsidRPr="00EA7870">
        <w:rPr>
          <w:sz w:val="20"/>
          <w:szCs w:val="20"/>
          <w:lang w:val="es-AR"/>
        </w:rPr>
        <w:t xml:space="preserve">Dólar Estadounidense </w:t>
      </w:r>
      <w:r w:rsidRPr="00EA7870">
        <w:rPr>
          <w:sz w:val="20"/>
          <w:szCs w:val="20"/>
          <w:lang w:val="es-AR"/>
        </w:rPr>
        <w:t>de</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0CDC18DF" w14:textId="77777777" w:rsidR="00376725" w:rsidRPr="00EA7870" w:rsidRDefault="00376725" w:rsidP="00376725">
      <w:pPr>
        <w:tabs>
          <w:tab w:val="left" w:pos="0"/>
        </w:tabs>
        <w:ind w:firstLine="709"/>
        <w:jc w:val="both"/>
        <w:rPr>
          <w:sz w:val="20"/>
          <w:szCs w:val="20"/>
          <w:lang w:val="es-AR"/>
        </w:rPr>
      </w:pPr>
    </w:p>
    <w:p w14:paraId="72B2DF67" w14:textId="77777777" w:rsidR="00376725" w:rsidRPr="00EA7870" w:rsidRDefault="00376725" w:rsidP="00376725">
      <w:pPr>
        <w:tabs>
          <w:tab w:val="left" w:pos="0"/>
        </w:tabs>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autenticada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entregada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considerada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excepción</w:t>
      </w:r>
      <w:r w:rsidR="001A28B3" w:rsidRPr="00EA7870">
        <w:rPr>
          <w:sz w:val="20"/>
          <w:szCs w:val="20"/>
          <w:lang w:val="es-AR"/>
        </w:rPr>
        <w:t xml:space="preserve"> </w:t>
      </w:r>
      <w:r w:rsidRPr="00EA7870">
        <w:rPr>
          <w:sz w:val="20"/>
          <w:szCs w:val="20"/>
          <w:lang w:val="es-AR"/>
        </w:rPr>
        <w:t>de:</w:t>
      </w:r>
    </w:p>
    <w:p w14:paraId="53315BB1" w14:textId="77777777" w:rsidR="00376725" w:rsidRPr="00EA7870" w:rsidRDefault="00376725" w:rsidP="00376725">
      <w:pPr>
        <w:tabs>
          <w:tab w:val="left" w:pos="0"/>
        </w:tabs>
        <w:ind w:firstLine="709"/>
        <w:jc w:val="both"/>
        <w:rPr>
          <w:sz w:val="20"/>
          <w:szCs w:val="20"/>
          <w:lang w:val="es-AR"/>
        </w:rPr>
      </w:pPr>
    </w:p>
    <w:p w14:paraId="27977716" w14:textId="77777777" w:rsidR="00376725" w:rsidRPr="00EA7870" w:rsidRDefault="00376725" w:rsidP="00E2318E">
      <w:pPr>
        <w:numPr>
          <w:ilvl w:val="0"/>
          <w:numId w:val="10"/>
        </w:numPr>
        <w:tabs>
          <w:tab w:val="left" w:pos="0"/>
        </w:tabs>
        <w:jc w:val="both"/>
        <w:rPr>
          <w:sz w:val="20"/>
          <w:szCs w:val="20"/>
          <w:lang w:val="es-AR"/>
        </w:rPr>
      </w:pP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canceladas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entregadas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cancelación;</w:t>
      </w:r>
    </w:p>
    <w:p w14:paraId="78C03C0A" w14:textId="77777777" w:rsidR="00376725" w:rsidRPr="00EA7870" w:rsidRDefault="00376725" w:rsidP="00376725">
      <w:pPr>
        <w:tabs>
          <w:tab w:val="left" w:pos="0"/>
        </w:tabs>
        <w:ind w:left="1080" w:firstLine="709"/>
        <w:jc w:val="both"/>
        <w:rPr>
          <w:sz w:val="20"/>
          <w:szCs w:val="20"/>
          <w:lang w:val="es-AR"/>
        </w:rPr>
      </w:pPr>
    </w:p>
    <w:p w14:paraId="01CC3C8E" w14:textId="77777777" w:rsidR="00376725" w:rsidRPr="00EA7870" w:rsidRDefault="00376725" w:rsidP="00E2318E">
      <w:pPr>
        <w:numPr>
          <w:ilvl w:val="0"/>
          <w:numId w:val="10"/>
        </w:numPr>
        <w:tabs>
          <w:tab w:val="left" w:pos="0"/>
        </w:tabs>
        <w:jc w:val="both"/>
        <w:rPr>
          <w:sz w:val="20"/>
          <w:szCs w:val="20"/>
          <w:lang w:val="es-AR"/>
        </w:rPr>
      </w:pP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llamadas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vencido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pagaderas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depositado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fondos</w:t>
      </w:r>
      <w:r w:rsidR="001A28B3" w:rsidRPr="00EA7870">
        <w:rPr>
          <w:sz w:val="20"/>
          <w:szCs w:val="20"/>
          <w:lang w:val="es-AR"/>
        </w:rPr>
        <w:t xml:space="preserve"> </w:t>
      </w:r>
      <w:r w:rsidRPr="00EA7870">
        <w:rPr>
          <w:sz w:val="20"/>
          <w:szCs w:val="20"/>
          <w:lang w:val="es-AR"/>
        </w:rPr>
        <w:t>suficientes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prima,</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ellas;</w:t>
      </w:r>
      <w:r w:rsidR="001A28B3" w:rsidRPr="00EA7870">
        <w:rPr>
          <w:sz w:val="20"/>
          <w:szCs w:val="20"/>
          <w:lang w:val="es-AR"/>
        </w:rPr>
        <w:t xml:space="preserve"> </w:t>
      </w:r>
      <w:r w:rsidRPr="00EA7870">
        <w:rPr>
          <w:sz w:val="20"/>
          <w:szCs w:val="20"/>
          <w:lang w:val="es-AR"/>
        </w:rPr>
        <w:t>u</w:t>
      </w:r>
    </w:p>
    <w:p w14:paraId="133BBCE0" w14:textId="77777777" w:rsidR="00376725" w:rsidRPr="00EA7870" w:rsidRDefault="00376725" w:rsidP="00376725">
      <w:pPr>
        <w:tabs>
          <w:tab w:val="left" w:pos="0"/>
        </w:tabs>
        <w:ind w:firstLine="709"/>
        <w:jc w:val="both"/>
        <w:rPr>
          <w:sz w:val="20"/>
          <w:szCs w:val="20"/>
          <w:lang w:val="es-AR"/>
        </w:rPr>
      </w:pPr>
    </w:p>
    <w:p w14:paraId="75C99412" w14:textId="77777777" w:rsidR="00376725" w:rsidRPr="00EA7870" w:rsidRDefault="00376725" w:rsidP="00E2318E">
      <w:pPr>
        <w:numPr>
          <w:ilvl w:val="0"/>
          <w:numId w:val="10"/>
        </w:numPr>
        <w:tabs>
          <w:tab w:val="left" w:pos="0"/>
        </w:tabs>
        <w:jc w:val="both"/>
        <w:rPr>
          <w:sz w:val="20"/>
          <w:szCs w:val="20"/>
          <w:lang w:val="es-AR"/>
        </w:rPr>
      </w:pP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cuyo</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reemplazo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cuales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autenticado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entregado</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51427E4F" w14:textId="77777777" w:rsidR="00376725" w:rsidRPr="00EA7870" w:rsidRDefault="00376725" w:rsidP="00376725">
      <w:pPr>
        <w:tabs>
          <w:tab w:val="left" w:pos="0"/>
        </w:tabs>
        <w:ind w:firstLine="709"/>
        <w:jc w:val="both"/>
        <w:rPr>
          <w:sz w:val="20"/>
          <w:szCs w:val="20"/>
          <w:lang w:val="es-AR"/>
        </w:rPr>
      </w:pPr>
    </w:p>
    <w:p w14:paraId="7EF47BA1" w14:textId="77777777" w:rsidR="00376725" w:rsidRPr="00EA7870" w:rsidRDefault="00376725" w:rsidP="00376725">
      <w:pPr>
        <w:tabs>
          <w:tab w:val="left" w:pos="0"/>
        </w:tabs>
        <w:jc w:val="both"/>
        <w:rPr>
          <w:sz w:val="20"/>
          <w:szCs w:val="20"/>
          <w:lang w:val="es-AR"/>
        </w:rPr>
      </w:pPr>
      <w:r w:rsidRPr="00EA7870">
        <w:rPr>
          <w:i/>
          <w:iCs/>
          <w:sz w:val="20"/>
          <w:szCs w:val="20"/>
          <w:lang w:val="es-AR"/>
        </w:rPr>
        <w:t>teniendo</w:t>
      </w:r>
      <w:r w:rsidR="001A28B3" w:rsidRPr="00EA7870">
        <w:rPr>
          <w:i/>
          <w:iCs/>
          <w:sz w:val="20"/>
          <w:szCs w:val="20"/>
          <w:lang w:val="es-AR"/>
        </w:rPr>
        <w:t xml:space="preserve"> </w:t>
      </w:r>
      <w:r w:rsidRPr="00EA7870">
        <w:rPr>
          <w:i/>
          <w:iCs/>
          <w:sz w:val="20"/>
          <w:szCs w:val="20"/>
          <w:lang w:val="es-AR"/>
        </w:rPr>
        <w:t>en</w:t>
      </w:r>
      <w:r w:rsidR="001A28B3" w:rsidRPr="00EA7870">
        <w:rPr>
          <w:i/>
          <w:iCs/>
          <w:sz w:val="20"/>
          <w:szCs w:val="20"/>
          <w:lang w:val="es-AR"/>
        </w:rPr>
        <w:t xml:space="preserve"> </w:t>
      </w:r>
      <w:r w:rsidRPr="00EA7870">
        <w:rPr>
          <w:i/>
          <w:iCs/>
          <w:sz w:val="20"/>
          <w:szCs w:val="20"/>
          <w:lang w:val="es-AR"/>
        </w:rPr>
        <w:t>cuenta</w:t>
      </w:r>
      <w:r w:rsidRPr="00EA7870">
        <w:rPr>
          <w:sz w:val="20"/>
          <w:szCs w:val="20"/>
          <w:lang w:val="es-AR"/>
        </w:rPr>
        <w:t>,</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embargo,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requerido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están</w:t>
      </w:r>
      <w:r w:rsidR="001A28B3" w:rsidRPr="00EA7870">
        <w:rPr>
          <w:sz w:val="20"/>
          <w:szCs w:val="20"/>
          <w:lang w:val="es-AR"/>
        </w:rPr>
        <w:t xml:space="preserve"> </w:t>
      </w:r>
      <w:r w:rsidRPr="00EA7870">
        <w:rPr>
          <w:sz w:val="20"/>
          <w:szCs w:val="20"/>
          <w:lang w:val="es-AR"/>
        </w:rPr>
        <w:t>presentes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asamblea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quórum</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han</w:t>
      </w:r>
      <w:r w:rsidR="001A28B3" w:rsidRPr="00EA7870">
        <w:rPr>
          <w:sz w:val="20"/>
          <w:szCs w:val="20"/>
          <w:lang w:val="es-AR"/>
        </w:rPr>
        <w:t xml:space="preserve"> </w:t>
      </w:r>
      <w:r w:rsidRPr="00EA7870">
        <w:rPr>
          <w:sz w:val="20"/>
          <w:szCs w:val="20"/>
          <w:lang w:val="es-AR"/>
        </w:rPr>
        <w:t>prestado</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votado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favor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consentimiento,</w:t>
      </w:r>
      <w:r w:rsidR="001A28B3" w:rsidRPr="00EA7870">
        <w:rPr>
          <w:sz w:val="20"/>
          <w:szCs w:val="20"/>
          <w:lang w:val="es-AR"/>
        </w:rPr>
        <w:t xml:space="preserve"> </w:t>
      </w:r>
      <w:r w:rsidRPr="00EA7870">
        <w:rPr>
          <w:sz w:val="20"/>
          <w:szCs w:val="20"/>
          <w:lang w:val="es-AR"/>
        </w:rPr>
        <w:t>dispensa,</w:t>
      </w:r>
      <w:r w:rsidR="001A28B3" w:rsidRPr="00EA7870">
        <w:rPr>
          <w:sz w:val="20"/>
          <w:szCs w:val="20"/>
          <w:lang w:val="es-AR"/>
        </w:rPr>
        <w:t xml:space="preserve"> </w:t>
      </w:r>
      <w:r w:rsidRPr="00EA7870">
        <w:rPr>
          <w:sz w:val="20"/>
          <w:szCs w:val="20"/>
          <w:lang w:val="es-AR"/>
        </w:rPr>
        <w:t>enmienda,</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complemento</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cuales</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funcionario</w:t>
      </w:r>
      <w:r w:rsidR="001A28B3" w:rsidRPr="00EA7870">
        <w:rPr>
          <w:sz w:val="20"/>
          <w:szCs w:val="20"/>
          <w:lang w:val="es-AR"/>
        </w:rPr>
        <w:t xml:space="preserve"> </w:t>
      </w:r>
      <w:r w:rsidRPr="00EA7870">
        <w:rPr>
          <w:sz w:val="20"/>
          <w:szCs w:val="20"/>
          <w:lang w:val="es-AR"/>
        </w:rPr>
        <w:t>responsable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haya</w:t>
      </w:r>
      <w:r w:rsidR="001A28B3" w:rsidRPr="00EA7870">
        <w:rPr>
          <w:sz w:val="20"/>
          <w:szCs w:val="20"/>
          <w:lang w:val="es-AR"/>
        </w:rPr>
        <w:t xml:space="preserve"> </w:t>
      </w:r>
      <w:r w:rsidRPr="00EA7870">
        <w:rPr>
          <w:sz w:val="20"/>
          <w:szCs w:val="20"/>
          <w:lang w:val="es-AR"/>
        </w:rPr>
        <w:t>recibido</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escrita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son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titularidad,</w:t>
      </w:r>
      <w:r w:rsidR="001A28B3" w:rsidRPr="00EA7870">
        <w:rPr>
          <w:sz w:val="20"/>
          <w:szCs w:val="20"/>
          <w:lang w:val="es-AR"/>
        </w:rPr>
        <w:t xml:space="preserve"> </w:t>
      </w:r>
      <w:r w:rsidRPr="00EA7870">
        <w:rPr>
          <w:sz w:val="20"/>
          <w:szCs w:val="20"/>
          <w:lang w:val="es-AR"/>
        </w:rPr>
        <w:t>directa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indirectamente,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Afiliadas</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evitar</w:t>
      </w:r>
      <w:r w:rsidR="001A28B3" w:rsidRPr="00EA7870">
        <w:rPr>
          <w:sz w:val="20"/>
          <w:szCs w:val="20"/>
          <w:lang w:val="es-AR"/>
        </w:rPr>
        <w:t xml:space="preserve"> </w:t>
      </w:r>
      <w:r w:rsidRPr="00EA7870">
        <w:rPr>
          <w:sz w:val="20"/>
          <w:szCs w:val="20"/>
          <w:lang w:val="es-AR"/>
        </w:rPr>
        <w:t>dudas,</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tenidas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p>
    <w:p w14:paraId="0437D504" w14:textId="77777777" w:rsidR="00376725" w:rsidRPr="00EA7870" w:rsidRDefault="00376725" w:rsidP="00376725">
      <w:pPr>
        <w:tabs>
          <w:tab w:val="left" w:pos="0"/>
        </w:tabs>
        <w:ind w:firstLine="709"/>
        <w:jc w:val="both"/>
        <w:rPr>
          <w:sz w:val="20"/>
          <w:szCs w:val="20"/>
          <w:lang w:val="es-AR"/>
        </w:rPr>
      </w:pPr>
    </w:p>
    <w:p w14:paraId="6CF3A1F0" w14:textId="77777777" w:rsidR="00376725" w:rsidRPr="00EA7870" w:rsidRDefault="00376725" w:rsidP="00376725">
      <w:pPr>
        <w:tabs>
          <w:tab w:val="left" w:pos="0"/>
        </w:tabs>
        <w:jc w:val="both"/>
        <w:rPr>
          <w:sz w:val="20"/>
          <w:szCs w:val="20"/>
          <w:lang w:val="es-AR"/>
        </w:rPr>
      </w:pPr>
      <w:r w:rsidRPr="00EA7870">
        <w:rPr>
          <w:sz w:val="20"/>
          <w:szCs w:val="20"/>
          <w:lang w:val="es-AR"/>
        </w:rPr>
        <w:t>Inmediatamente</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celebración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complemento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notificará</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corresponder,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constancia,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generales,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contenido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complemento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enviara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15</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posteriores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celebración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suplemento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hará</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cargo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000B62D5" w:rsidRPr="00EA7870">
        <w:rPr>
          <w:sz w:val="20"/>
          <w:szCs w:val="20"/>
          <w:lang w:val="es-AR"/>
        </w:rPr>
        <w:t xml:space="preserve">La omisión de realizar tal notificación, o el hacerla de forma defectuosa, ya sea por parte de la Emisora o el Agente Fiduciario, no afectará la validez de dicho suplemento o </w:t>
      </w:r>
      <w:r w:rsidR="00837682" w:rsidRPr="00EA7870">
        <w:rPr>
          <w:sz w:val="20"/>
          <w:szCs w:val="20"/>
          <w:lang w:val="es-AR"/>
        </w:rPr>
        <w:t xml:space="preserve">de dicha </w:t>
      </w:r>
      <w:r w:rsidR="000B62D5" w:rsidRPr="00EA7870">
        <w:rPr>
          <w:sz w:val="20"/>
          <w:szCs w:val="20"/>
          <w:lang w:val="es-AR"/>
        </w:rPr>
        <w:t>modificación</w:t>
      </w:r>
      <w:r w:rsidR="00734B2B" w:rsidRPr="00EA7870">
        <w:rPr>
          <w:sz w:val="20"/>
          <w:szCs w:val="20"/>
          <w:lang w:val="es-AR"/>
        </w:rPr>
        <w:t>.</w:t>
      </w:r>
    </w:p>
    <w:p w14:paraId="599869D3" w14:textId="77777777" w:rsidR="00376725" w:rsidRPr="00EA7870" w:rsidRDefault="00376725" w:rsidP="00376725">
      <w:pPr>
        <w:tabs>
          <w:tab w:val="left" w:pos="0"/>
        </w:tabs>
        <w:ind w:firstLine="709"/>
        <w:jc w:val="both"/>
        <w:rPr>
          <w:sz w:val="20"/>
          <w:szCs w:val="20"/>
          <w:lang w:val="es-AR"/>
        </w:rPr>
      </w:pPr>
    </w:p>
    <w:p w14:paraId="4720A462" w14:textId="77777777" w:rsidR="00376725" w:rsidRPr="00EA7870" w:rsidRDefault="00376725" w:rsidP="00376725">
      <w:pPr>
        <w:keepNext/>
        <w:tabs>
          <w:tab w:val="left" w:pos="0"/>
        </w:tabs>
        <w:jc w:val="both"/>
        <w:rPr>
          <w:b/>
          <w:sz w:val="20"/>
          <w:szCs w:val="20"/>
          <w:lang w:val="es-AR"/>
        </w:rPr>
      </w:pPr>
      <w:r w:rsidRPr="00EA7870">
        <w:rPr>
          <w:b/>
          <w:sz w:val="20"/>
          <w:szCs w:val="20"/>
          <w:lang w:val="es-AR"/>
        </w:rPr>
        <w:t>Extinción</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obligaciones</w:t>
      </w:r>
    </w:p>
    <w:p w14:paraId="4A4F308C" w14:textId="77777777" w:rsidR="00376725" w:rsidRPr="00EA7870" w:rsidRDefault="00376725" w:rsidP="00376725">
      <w:pPr>
        <w:keepNext/>
        <w:tabs>
          <w:tab w:val="left" w:pos="0"/>
        </w:tabs>
        <w:ind w:firstLine="709"/>
        <w:jc w:val="both"/>
        <w:rPr>
          <w:sz w:val="20"/>
          <w:szCs w:val="20"/>
          <w:lang w:val="es-AR"/>
        </w:rPr>
      </w:pPr>
    </w:p>
    <w:p w14:paraId="5B0648BE" w14:textId="77777777" w:rsidR="00376725" w:rsidRPr="00EA7870" w:rsidRDefault="00376725" w:rsidP="00376725">
      <w:pPr>
        <w:keepNext/>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elección,</w:t>
      </w:r>
      <w:r w:rsidR="001A28B3" w:rsidRPr="00EA7870">
        <w:rPr>
          <w:sz w:val="20"/>
          <w:szCs w:val="20"/>
          <w:lang w:val="es-AR"/>
        </w:rPr>
        <w:t xml:space="preserve"> </w:t>
      </w:r>
      <w:r w:rsidRPr="00EA7870">
        <w:rPr>
          <w:sz w:val="20"/>
          <w:szCs w:val="20"/>
          <w:lang w:val="es-AR"/>
        </w:rPr>
        <w:t>podrá:</w:t>
      </w:r>
    </w:p>
    <w:p w14:paraId="1B2191B8" w14:textId="77777777" w:rsidR="00376725" w:rsidRPr="00EA7870" w:rsidRDefault="00376725" w:rsidP="00376725">
      <w:pPr>
        <w:keepNext/>
        <w:tabs>
          <w:tab w:val="left" w:pos="0"/>
        </w:tabs>
        <w:ind w:firstLine="709"/>
        <w:jc w:val="both"/>
        <w:rPr>
          <w:sz w:val="20"/>
          <w:szCs w:val="20"/>
          <w:lang w:val="es-AR"/>
        </w:rPr>
      </w:pPr>
    </w:p>
    <w:p w14:paraId="71DFFA83" w14:textId="77777777" w:rsidR="00376725" w:rsidRPr="00EA7870" w:rsidRDefault="00376725" w:rsidP="00376725">
      <w:pPr>
        <w:keepNext/>
        <w:tabs>
          <w:tab w:val="left" w:pos="0"/>
        </w:tabs>
        <w:ind w:firstLine="709"/>
        <w:jc w:val="both"/>
        <w:rPr>
          <w:sz w:val="20"/>
          <w:szCs w:val="20"/>
          <w:lang w:val="es-AR"/>
        </w:rPr>
      </w:pPr>
      <w:r w:rsidRPr="00EA7870">
        <w:rPr>
          <w:sz w:val="20"/>
          <w:szCs w:val="20"/>
          <w:lang w:val="es-AR"/>
        </w:rPr>
        <w:t>(1)</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dispensada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(excepto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siguientes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registrar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canje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reemplazar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robadas,</w:t>
      </w:r>
      <w:r w:rsidR="001A28B3" w:rsidRPr="00EA7870">
        <w:rPr>
          <w:sz w:val="20"/>
          <w:szCs w:val="20"/>
          <w:lang w:val="es-AR"/>
        </w:rPr>
        <w:t xml:space="preserve"> </w:t>
      </w:r>
      <w:r w:rsidRPr="00EA7870">
        <w:rPr>
          <w:sz w:val="20"/>
          <w:szCs w:val="20"/>
          <w:lang w:val="es-AR"/>
        </w:rPr>
        <w:t>extraviadas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deterioradas,</w:t>
      </w:r>
      <w:r w:rsidR="001A28B3" w:rsidRPr="00EA7870">
        <w:rPr>
          <w:sz w:val="20"/>
          <w:szCs w:val="20"/>
          <w:lang w:val="es-AR"/>
        </w:rPr>
        <w:t xml:space="preserve"> </w:t>
      </w:r>
      <w:r w:rsidRPr="00EA7870">
        <w:rPr>
          <w:sz w:val="20"/>
          <w:szCs w:val="20"/>
          <w:lang w:val="es-AR"/>
        </w:rPr>
        <w:t>mantener</w:t>
      </w:r>
      <w:r w:rsidR="001A28B3" w:rsidRPr="00EA7870">
        <w:rPr>
          <w:sz w:val="20"/>
          <w:szCs w:val="20"/>
          <w:lang w:val="es-AR"/>
        </w:rPr>
        <w:t xml:space="preserve"> </w:t>
      </w:r>
      <w:r w:rsidRPr="00EA7870">
        <w:rPr>
          <w:sz w:val="20"/>
          <w:szCs w:val="20"/>
          <w:lang w:val="es-AR"/>
        </w:rPr>
        <w:t>agencias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mantener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fondos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o</w:t>
      </w:r>
    </w:p>
    <w:p w14:paraId="389A560C" w14:textId="77777777" w:rsidR="00376725" w:rsidRPr="00EA7870" w:rsidRDefault="00376725" w:rsidP="00376725">
      <w:pPr>
        <w:tabs>
          <w:tab w:val="left" w:pos="0"/>
        </w:tabs>
        <w:ind w:firstLine="709"/>
        <w:jc w:val="both"/>
        <w:rPr>
          <w:sz w:val="20"/>
          <w:szCs w:val="20"/>
          <w:lang w:val="es-AR"/>
        </w:rPr>
      </w:pPr>
    </w:p>
    <w:p w14:paraId="13E3D7EA"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(2)</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cumplir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ciertos</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deposita</w:t>
      </w:r>
      <w:r w:rsidR="001A28B3" w:rsidRPr="00EA7870">
        <w:rPr>
          <w:sz w:val="20"/>
          <w:szCs w:val="20"/>
          <w:lang w:val="es-AR"/>
        </w:rPr>
        <w:t xml:space="preserve"> </w:t>
      </w:r>
      <w:r w:rsidRPr="00EA7870">
        <w:rPr>
          <w:sz w:val="20"/>
          <w:szCs w:val="20"/>
          <w:lang w:val="es-AR"/>
        </w:rPr>
        <w:t>irrevocablemente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p>
    <w:p w14:paraId="26DEDF69" w14:textId="77777777" w:rsidR="00376725" w:rsidRPr="00EA7870" w:rsidRDefault="00376725" w:rsidP="00376725">
      <w:pPr>
        <w:tabs>
          <w:tab w:val="left" w:pos="0"/>
        </w:tabs>
        <w:ind w:firstLine="709"/>
        <w:jc w:val="both"/>
        <w:rPr>
          <w:sz w:val="20"/>
          <w:szCs w:val="20"/>
          <w:lang w:val="es-AR"/>
        </w:rPr>
      </w:pPr>
    </w:p>
    <w:p w14:paraId="4F2D89D9"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b/>
        <w:t>(a)</w:t>
      </w:r>
      <w:r w:rsidR="001A28B3" w:rsidRPr="00EA7870">
        <w:rPr>
          <w:sz w:val="20"/>
          <w:szCs w:val="20"/>
          <w:lang w:val="es-AR"/>
        </w:rPr>
        <w:t xml:space="preserve"> </w:t>
      </w:r>
      <w:r w:rsidRPr="00EA7870">
        <w:rPr>
          <w:sz w:val="20"/>
          <w:szCs w:val="20"/>
          <w:lang w:val="es-AR"/>
        </w:rPr>
        <w:t>dinero,</w:t>
      </w:r>
    </w:p>
    <w:p w14:paraId="210E2758" w14:textId="77777777" w:rsidR="00376725" w:rsidRPr="00EA7870" w:rsidRDefault="00376725" w:rsidP="00376725">
      <w:pPr>
        <w:tabs>
          <w:tab w:val="left" w:pos="0"/>
        </w:tabs>
        <w:ind w:firstLine="709"/>
        <w:jc w:val="both"/>
        <w:rPr>
          <w:sz w:val="20"/>
          <w:szCs w:val="20"/>
          <w:lang w:val="es-AR"/>
        </w:rPr>
      </w:pPr>
    </w:p>
    <w:p w14:paraId="370828D2"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b/>
        <w:t>(b)</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ciertos</w:t>
      </w:r>
      <w:r w:rsidR="001A28B3" w:rsidRPr="00EA7870">
        <w:rPr>
          <w:sz w:val="20"/>
          <w:szCs w:val="20"/>
          <w:lang w:val="es-AR"/>
        </w:rPr>
        <w:t xml:space="preserve"> </w:t>
      </w:r>
      <w:r w:rsidRPr="00EA7870">
        <w:rPr>
          <w:sz w:val="20"/>
          <w:szCs w:val="20"/>
          <w:lang w:val="es-AR"/>
        </w:rPr>
        <w:t>casos,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Gobierno</w:t>
      </w:r>
      <w:r w:rsidR="001A28B3" w:rsidRPr="00EA7870">
        <w:rPr>
          <w:sz w:val="20"/>
          <w:szCs w:val="20"/>
          <w:lang w:val="es-AR"/>
        </w:rPr>
        <w:t xml:space="preserve"> </w:t>
      </w:r>
      <w:r w:rsidRPr="00EA7870">
        <w:rPr>
          <w:sz w:val="20"/>
          <w:szCs w:val="20"/>
          <w:lang w:val="es-AR"/>
        </w:rPr>
        <w:t>Estadounidense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través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cuyo</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proveerán</w:t>
      </w:r>
      <w:r w:rsidR="001A28B3" w:rsidRPr="00EA7870">
        <w:rPr>
          <w:sz w:val="20"/>
          <w:szCs w:val="20"/>
          <w:lang w:val="es-AR"/>
        </w:rPr>
        <w:t xml:space="preserve"> </w:t>
      </w:r>
      <w:r w:rsidRPr="00EA7870">
        <w:rPr>
          <w:sz w:val="20"/>
          <w:szCs w:val="20"/>
          <w:lang w:val="es-AR"/>
        </w:rPr>
        <w:t>dinero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cierto</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p>
    <w:p w14:paraId="4F12CF90" w14:textId="77777777" w:rsidR="00376725" w:rsidRPr="00EA7870" w:rsidRDefault="00376725" w:rsidP="00376725">
      <w:pPr>
        <w:tabs>
          <w:tab w:val="left" w:pos="0"/>
        </w:tabs>
        <w:ind w:firstLine="709"/>
        <w:jc w:val="both"/>
        <w:rPr>
          <w:sz w:val="20"/>
          <w:szCs w:val="20"/>
          <w:lang w:val="es-AR"/>
        </w:rPr>
      </w:pPr>
    </w:p>
    <w:p w14:paraId="1FB1A7E6"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b/>
        <w:t>(c)</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combinación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ambos,</w:t>
      </w:r>
    </w:p>
    <w:p w14:paraId="7D82DB32" w14:textId="77777777" w:rsidR="00376725" w:rsidRPr="00EA7870" w:rsidRDefault="00376725" w:rsidP="00376725">
      <w:pPr>
        <w:tabs>
          <w:tab w:val="left" w:pos="0"/>
        </w:tabs>
        <w:ind w:firstLine="709"/>
        <w:jc w:val="both"/>
        <w:rPr>
          <w:sz w:val="20"/>
          <w:szCs w:val="20"/>
          <w:lang w:val="es-AR"/>
        </w:rPr>
      </w:pPr>
    </w:p>
    <w:p w14:paraId="202019A8"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suficiente</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reinversión),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opinión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firma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auditores</w:t>
      </w:r>
      <w:r w:rsidR="001A28B3" w:rsidRPr="00EA7870">
        <w:rPr>
          <w:sz w:val="20"/>
          <w:szCs w:val="20"/>
          <w:lang w:val="es-AR"/>
        </w:rPr>
        <w:t xml:space="preserve"> </w:t>
      </w:r>
      <w:r w:rsidRPr="00EA7870">
        <w:rPr>
          <w:sz w:val="20"/>
          <w:szCs w:val="20"/>
          <w:lang w:val="es-AR"/>
        </w:rPr>
        <w:t>externos,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cancelar</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reinversión)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fechas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hasta,</w:t>
      </w:r>
      <w:r w:rsidR="001A28B3" w:rsidRPr="00EA7870">
        <w:rPr>
          <w:sz w:val="20"/>
          <w:szCs w:val="20"/>
          <w:lang w:val="es-AR"/>
        </w:rPr>
        <w:t xml:space="preserve"> </w:t>
      </w:r>
      <w:r w:rsidRPr="00EA7870">
        <w:rPr>
          <w:sz w:val="20"/>
          <w:szCs w:val="20"/>
          <w:lang w:val="es-AR"/>
        </w:rPr>
        <w:t>pero</w:t>
      </w:r>
      <w:r w:rsidR="001A28B3" w:rsidRPr="00EA7870">
        <w:rPr>
          <w:sz w:val="20"/>
          <w:szCs w:val="20"/>
          <w:lang w:val="es-AR"/>
        </w:rPr>
        <w:t xml:space="preserve"> </w:t>
      </w:r>
      <w:r w:rsidRPr="00EA7870">
        <w:rPr>
          <w:sz w:val="20"/>
          <w:szCs w:val="20"/>
          <w:lang w:val="es-AR"/>
        </w:rPr>
        <w:t>excluyendo,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irrevocablemente</w:t>
      </w:r>
      <w:r w:rsidR="001A28B3" w:rsidRPr="00EA7870">
        <w:rPr>
          <w:sz w:val="20"/>
          <w:szCs w:val="20"/>
          <w:lang w:val="es-AR"/>
        </w:rPr>
        <w:t xml:space="preserve"> </w:t>
      </w:r>
      <w:r w:rsidRPr="00EA7870">
        <w:rPr>
          <w:sz w:val="20"/>
          <w:szCs w:val="20"/>
          <w:lang w:val="es-AR"/>
        </w:rPr>
        <w:t>designada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última</w:t>
      </w:r>
      <w:r w:rsidR="001A28B3" w:rsidRPr="00EA7870">
        <w:rPr>
          <w:sz w:val="20"/>
          <w:szCs w:val="20"/>
          <w:lang w:val="es-AR"/>
        </w:rPr>
        <w:t xml:space="preserve"> </w:t>
      </w:r>
      <w:r w:rsidRPr="00EA7870">
        <w:rPr>
          <w:sz w:val="20"/>
          <w:szCs w:val="20"/>
          <w:lang w:val="es-AR"/>
        </w:rPr>
        <w:t>frase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w:t>
      </w:r>
      <w:r w:rsidR="001A28B3" w:rsidRPr="00EA7870">
        <w:rPr>
          <w:sz w:val="20"/>
          <w:szCs w:val="20"/>
          <w:lang w:val="es-AR"/>
        </w:rPr>
        <w:t xml:space="preserve"> </w:t>
      </w:r>
      <w:r w:rsidRPr="00EA7870">
        <w:rPr>
          <w:sz w:val="20"/>
          <w:szCs w:val="20"/>
          <w:lang w:val="es-AR"/>
        </w:rPr>
        <w:t>sección,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pagos</w:t>
      </w:r>
      <w:r w:rsidR="001A28B3" w:rsidRPr="00EA7870">
        <w:rPr>
          <w:sz w:val="20"/>
          <w:szCs w:val="20"/>
          <w:lang w:val="es-AR"/>
        </w:rPr>
        <w:t xml:space="preserve"> </w:t>
      </w:r>
      <w:r w:rsidRPr="00EA7870">
        <w:rPr>
          <w:sz w:val="20"/>
          <w:szCs w:val="20"/>
          <w:lang w:val="es-AR"/>
        </w:rPr>
        <w:t>deban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realizados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haya</w:t>
      </w:r>
      <w:r w:rsidR="001A28B3" w:rsidRPr="00EA7870">
        <w:rPr>
          <w:sz w:val="20"/>
          <w:szCs w:val="20"/>
          <w:lang w:val="es-AR"/>
        </w:rPr>
        <w:t xml:space="preserve"> </w:t>
      </w:r>
      <w:r w:rsidRPr="00EA7870">
        <w:rPr>
          <w:sz w:val="20"/>
          <w:szCs w:val="20"/>
          <w:lang w:val="es-AR"/>
        </w:rPr>
        <w:t>ocurrido</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subsista</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causa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depósito)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depósito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finaliza</w:t>
      </w:r>
      <w:r w:rsidR="001A28B3" w:rsidRPr="00EA7870">
        <w:rPr>
          <w:sz w:val="20"/>
          <w:szCs w:val="20"/>
          <w:lang w:val="es-AR"/>
        </w:rPr>
        <w:t xml:space="preserve"> </w:t>
      </w:r>
      <w:r w:rsidRPr="00EA7870">
        <w:rPr>
          <w:sz w:val="20"/>
          <w:szCs w:val="20"/>
          <w:lang w:val="es-AR"/>
        </w:rPr>
        <w:t>91</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p>
    <w:p w14:paraId="0A850BB0" w14:textId="77777777" w:rsidR="00376725" w:rsidRPr="00EA7870" w:rsidRDefault="00376725" w:rsidP="00376725">
      <w:pPr>
        <w:tabs>
          <w:tab w:val="left" w:pos="0"/>
        </w:tabs>
        <w:ind w:firstLine="709"/>
        <w:jc w:val="both"/>
        <w:rPr>
          <w:sz w:val="20"/>
          <w:szCs w:val="20"/>
          <w:lang w:val="es-AR"/>
        </w:rPr>
      </w:pPr>
    </w:p>
    <w:p w14:paraId="2D1E279F" w14:textId="77777777" w:rsidR="00376725" w:rsidRPr="00EA7870" w:rsidRDefault="00376725" w:rsidP="00376725">
      <w:pPr>
        <w:tabs>
          <w:tab w:val="left" w:pos="0"/>
        </w:tabs>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efectos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ejercer</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opciones,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deberá</w:t>
      </w:r>
      <w:r w:rsidR="001A28B3" w:rsidRPr="00EA7870">
        <w:rPr>
          <w:sz w:val="20"/>
          <w:szCs w:val="20"/>
          <w:lang w:val="es-AR"/>
        </w:rPr>
        <w:t xml:space="preserve"> </w:t>
      </w:r>
      <w:r w:rsidRPr="00EA7870">
        <w:rPr>
          <w:sz w:val="20"/>
          <w:szCs w:val="20"/>
          <w:lang w:val="es-AR"/>
        </w:rPr>
        <w:t>entregar</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p>
    <w:p w14:paraId="78E2B994" w14:textId="77777777" w:rsidR="00376725" w:rsidRPr="00EA7870" w:rsidRDefault="00376725" w:rsidP="00376725">
      <w:pPr>
        <w:tabs>
          <w:tab w:val="left" w:pos="0"/>
        </w:tabs>
        <w:ind w:firstLine="709"/>
        <w:jc w:val="both"/>
        <w:rPr>
          <w:sz w:val="20"/>
          <w:szCs w:val="20"/>
          <w:lang w:val="es-AR"/>
        </w:rPr>
      </w:pPr>
    </w:p>
    <w:p w14:paraId="2CF65329"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b/>
        <w:t>(i)</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opinión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asesores</w:t>
      </w:r>
      <w:r w:rsidR="001A28B3" w:rsidRPr="00EA7870">
        <w:rPr>
          <w:sz w:val="20"/>
          <w:szCs w:val="20"/>
          <w:lang w:val="es-AR"/>
        </w:rPr>
        <w:t xml:space="preserve"> </w:t>
      </w:r>
      <w:r w:rsidRPr="00EA7870">
        <w:rPr>
          <w:sz w:val="20"/>
          <w:szCs w:val="20"/>
          <w:lang w:val="es-AR"/>
        </w:rPr>
        <w:t>legales</w:t>
      </w:r>
      <w:r w:rsidR="001A28B3" w:rsidRPr="00EA7870">
        <w:rPr>
          <w:sz w:val="20"/>
          <w:szCs w:val="20"/>
          <w:lang w:val="es-AR"/>
        </w:rPr>
        <w:t xml:space="preserve"> </w:t>
      </w:r>
      <w:r w:rsidRPr="00EA7870">
        <w:rPr>
          <w:sz w:val="20"/>
          <w:szCs w:val="20"/>
          <w:lang w:val="es-AR"/>
        </w:rPr>
        <w:t>independientes</w:t>
      </w:r>
      <w:r w:rsidR="001A28B3" w:rsidRPr="00EA7870">
        <w:rPr>
          <w:sz w:val="20"/>
          <w:szCs w:val="20"/>
          <w:lang w:val="es-AR"/>
        </w:rPr>
        <w:t xml:space="preserve"> </w:t>
      </w:r>
      <w:r w:rsidRPr="00EA7870">
        <w:rPr>
          <w:sz w:val="20"/>
          <w:szCs w:val="20"/>
          <w:lang w:val="es-AR"/>
        </w:rPr>
        <w:t>estadounidenses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reconocida</w:t>
      </w:r>
      <w:r w:rsidR="001A28B3" w:rsidRPr="00EA7870">
        <w:rPr>
          <w:sz w:val="20"/>
          <w:szCs w:val="20"/>
          <w:lang w:val="es-AR"/>
        </w:rPr>
        <w:t xml:space="preserve"> </w:t>
      </w:r>
      <w:r w:rsidRPr="00EA7870">
        <w:rPr>
          <w:sz w:val="20"/>
          <w:szCs w:val="20"/>
          <w:lang w:val="es-AR"/>
        </w:rPr>
        <w:t>trayectoria,</w:t>
      </w:r>
      <w:r w:rsidR="001A28B3" w:rsidRPr="00EA7870">
        <w:rPr>
          <w:sz w:val="20"/>
          <w:szCs w:val="20"/>
          <w:lang w:val="es-AR"/>
        </w:rPr>
        <w:t xml:space="preserve"> </w:t>
      </w:r>
      <w:r w:rsidRPr="00EA7870">
        <w:rPr>
          <w:sz w:val="20"/>
          <w:szCs w:val="20"/>
          <w:lang w:val="es-AR"/>
        </w:rPr>
        <w:t>donde</w:t>
      </w:r>
      <w:r w:rsidR="001A28B3" w:rsidRPr="00EA7870">
        <w:rPr>
          <w:sz w:val="20"/>
          <w:szCs w:val="20"/>
          <w:lang w:val="es-AR"/>
        </w:rPr>
        <w:t xml:space="preserve"> </w:t>
      </w:r>
      <w:r w:rsidRPr="00EA7870">
        <w:rPr>
          <w:sz w:val="20"/>
          <w:szCs w:val="20"/>
          <w:lang w:val="es-AR"/>
        </w:rPr>
        <w:t>conste</w:t>
      </w:r>
      <w:r w:rsidR="001A28B3" w:rsidRPr="00EA7870">
        <w:rPr>
          <w:sz w:val="20"/>
          <w:szCs w:val="20"/>
          <w:lang w:val="es-AR"/>
        </w:rPr>
        <w:t xml:space="preserve"> </w:t>
      </w:r>
      <w:r w:rsidRPr="00EA7870">
        <w:rPr>
          <w:sz w:val="20"/>
          <w:szCs w:val="20"/>
          <w:lang w:val="es-AR"/>
        </w:rPr>
        <w:t>que:</w:t>
      </w:r>
    </w:p>
    <w:p w14:paraId="00E1110F" w14:textId="77777777" w:rsidR="00376725" w:rsidRPr="00EA7870" w:rsidRDefault="00376725" w:rsidP="00376725">
      <w:pPr>
        <w:tabs>
          <w:tab w:val="left" w:pos="0"/>
        </w:tabs>
        <w:ind w:firstLine="709"/>
        <w:jc w:val="both"/>
        <w:rPr>
          <w:sz w:val="20"/>
          <w:szCs w:val="20"/>
          <w:lang w:val="es-AR"/>
        </w:rPr>
      </w:pPr>
    </w:p>
    <w:p w14:paraId="555812A9" w14:textId="77777777" w:rsidR="00376725" w:rsidRPr="00EA7870" w:rsidRDefault="00376725" w:rsidP="00376725">
      <w:pPr>
        <w:tabs>
          <w:tab w:val="left" w:pos="0"/>
        </w:tabs>
        <w:ind w:left="708" w:firstLine="709"/>
        <w:jc w:val="both"/>
        <w:rPr>
          <w:sz w:val="20"/>
          <w:szCs w:val="20"/>
          <w:lang w:val="es-AR"/>
        </w:rPr>
      </w:pPr>
      <w:r w:rsidRPr="00EA7870">
        <w:rPr>
          <w:sz w:val="20"/>
          <w:szCs w:val="20"/>
          <w:lang w:val="es-AR"/>
        </w:rPr>
        <w:tab/>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titulares</w:t>
      </w:r>
      <w:r w:rsidR="001A28B3" w:rsidRPr="00EA7870">
        <w:rPr>
          <w:sz w:val="20"/>
          <w:szCs w:val="20"/>
          <w:lang w:val="es-AR"/>
        </w:rPr>
        <w:t xml:space="preserve"> </w:t>
      </w:r>
      <w:r w:rsidRPr="00EA7870">
        <w:rPr>
          <w:sz w:val="20"/>
          <w:szCs w:val="20"/>
          <w:lang w:val="es-AR"/>
        </w:rPr>
        <w:t>beneficiarios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reconocerán</w:t>
      </w:r>
      <w:r w:rsidR="001A28B3" w:rsidRPr="00EA7870">
        <w:rPr>
          <w:sz w:val="20"/>
          <w:szCs w:val="20"/>
          <w:lang w:val="es-AR"/>
        </w:rPr>
        <w:t xml:space="preserve"> </w:t>
      </w:r>
      <w:r w:rsidRPr="00EA7870">
        <w:rPr>
          <w:sz w:val="20"/>
          <w:szCs w:val="20"/>
          <w:lang w:val="es-AR"/>
        </w:rPr>
        <w:t>ingreso,</w:t>
      </w:r>
      <w:r w:rsidR="001A28B3" w:rsidRPr="00EA7870">
        <w:rPr>
          <w:sz w:val="20"/>
          <w:szCs w:val="20"/>
          <w:lang w:val="es-AR"/>
        </w:rPr>
        <w:t xml:space="preserve"> </w:t>
      </w:r>
      <w:r w:rsidRPr="00EA7870">
        <w:rPr>
          <w:sz w:val="20"/>
          <w:szCs w:val="20"/>
          <w:lang w:val="es-AR"/>
        </w:rPr>
        <w:t>ganancia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pérdida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impuesto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ganancias</w:t>
      </w:r>
      <w:r w:rsidR="001A28B3" w:rsidRPr="00EA7870">
        <w:rPr>
          <w:sz w:val="20"/>
          <w:szCs w:val="20"/>
          <w:lang w:val="es-AR"/>
        </w:rPr>
        <w:t xml:space="preserve"> </w:t>
      </w:r>
      <w:r w:rsidRPr="00EA7870">
        <w:rPr>
          <w:sz w:val="20"/>
          <w:szCs w:val="20"/>
          <w:lang w:val="es-AR"/>
        </w:rPr>
        <w:t>federal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resultado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depósito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extinción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ciertas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quedarán</w:t>
      </w:r>
      <w:r w:rsidR="001A28B3" w:rsidRPr="00EA7870">
        <w:rPr>
          <w:sz w:val="20"/>
          <w:szCs w:val="20"/>
          <w:lang w:val="es-AR"/>
        </w:rPr>
        <w:t xml:space="preserve"> </w:t>
      </w:r>
      <w:r w:rsidRPr="00EA7870">
        <w:rPr>
          <w:sz w:val="20"/>
          <w:szCs w:val="20"/>
          <w:lang w:val="es-AR"/>
        </w:rPr>
        <w:t>sujetos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impuesto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ganancias</w:t>
      </w:r>
      <w:r w:rsidR="001A28B3" w:rsidRPr="00EA7870">
        <w:rPr>
          <w:sz w:val="20"/>
          <w:szCs w:val="20"/>
          <w:lang w:val="es-AR"/>
        </w:rPr>
        <w:t xml:space="preserve"> </w:t>
      </w:r>
      <w:r w:rsidRPr="00EA7870">
        <w:rPr>
          <w:sz w:val="20"/>
          <w:szCs w:val="20"/>
          <w:lang w:val="es-AR"/>
        </w:rPr>
        <w:t>federal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mismo</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misma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misma</w:t>
      </w:r>
      <w:r w:rsidR="001A28B3" w:rsidRPr="00EA7870">
        <w:rPr>
          <w:sz w:val="20"/>
          <w:szCs w:val="20"/>
          <w:lang w:val="es-AR"/>
        </w:rPr>
        <w:t xml:space="preserve"> </w:t>
      </w:r>
      <w:r w:rsidRPr="00EA7870">
        <w:rPr>
          <w:sz w:val="20"/>
          <w:szCs w:val="20"/>
          <w:lang w:val="es-AR"/>
        </w:rPr>
        <w:t>oportunidad</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depósito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extinción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ocurrido</w:t>
      </w:r>
      <w:r w:rsidR="001A28B3" w:rsidRPr="00EA7870">
        <w:rPr>
          <w:sz w:val="20"/>
          <w:szCs w:val="20"/>
          <w:lang w:val="es-AR"/>
        </w:rPr>
        <w:t xml:space="preserve"> </w:t>
      </w:r>
      <w:r w:rsidRPr="00EA7870">
        <w:rPr>
          <w:sz w:val="20"/>
          <w:szCs w:val="20"/>
          <w:lang w:val="es-AR"/>
        </w:rPr>
        <w:t>(opinión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apartado</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deberá</w:t>
      </w:r>
      <w:r w:rsidR="001A28B3" w:rsidRPr="00EA7870">
        <w:rPr>
          <w:sz w:val="20"/>
          <w:szCs w:val="20"/>
          <w:lang w:val="es-AR"/>
        </w:rPr>
        <w:t xml:space="preserve"> </w:t>
      </w:r>
      <w:r w:rsidRPr="00EA7870">
        <w:rPr>
          <w:sz w:val="20"/>
          <w:szCs w:val="20"/>
          <w:lang w:val="es-AR"/>
        </w:rPr>
        <w:t>estar</w:t>
      </w:r>
      <w:r w:rsidR="001A28B3" w:rsidRPr="00EA7870">
        <w:rPr>
          <w:sz w:val="20"/>
          <w:szCs w:val="20"/>
          <w:lang w:val="es-AR"/>
        </w:rPr>
        <w:t xml:space="preserve"> </w:t>
      </w:r>
      <w:r w:rsidRPr="00EA7870">
        <w:rPr>
          <w:sz w:val="20"/>
          <w:szCs w:val="20"/>
          <w:lang w:val="es-AR"/>
        </w:rPr>
        <w:t>fundada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impuesto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ganancias</w:t>
      </w:r>
      <w:r w:rsidR="001A28B3" w:rsidRPr="00EA7870">
        <w:rPr>
          <w:sz w:val="20"/>
          <w:szCs w:val="20"/>
          <w:lang w:val="es-AR"/>
        </w:rPr>
        <w:t xml:space="preserve"> </w:t>
      </w:r>
      <w:r w:rsidRPr="00EA7870">
        <w:rPr>
          <w:sz w:val="20"/>
          <w:szCs w:val="20"/>
          <w:lang w:val="es-AR"/>
        </w:rPr>
        <w:t>federal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decisión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i/>
          <w:sz w:val="20"/>
          <w:szCs w:val="20"/>
          <w:lang w:val="es-AR"/>
        </w:rPr>
        <w:t>Internal</w:t>
      </w:r>
      <w:r w:rsidR="001A28B3" w:rsidRPr="00EA7870">
        <w:rPr>
          <w:i/>
          <w:sz w:val="20"/>
          <w:szCs w:val="20"/>
          <w:lang w:val="es-AR"/>
        </w:rPr>
        <w:t xml:space="preserve"> </w:t>
      </w:r>
      <w:r w:rsidRPr="00EA7870">
        <w:rPr>
          <w:i/>
          <w:sz w:val="20"/>
          <w:szCs w:val="20"/>
          <w:lang w:val="es-AR"/>
        </w:rPr>
        <w:t>Revenue</w:t>
      </w:r>
      <w:r w:rsidR="001A28B3" w:rsidRPr="00EA7870">
        <w:rPr>
          <w:i/>
          <w:sz w:val="20"/>
          <w:szCs w:val="20"/>
          <w:lang w:val="es-AR"/>
        </w:rPr>
        <w:t xml:space="preserve"> </w:t>
      </w:r>
      <w:r w:rsidRPr="00EA7870">
        <w:rPr>
          <w:i/>
          <w:sz w:val="20"/>
          <w:szCs w:val="20"/>
          <w:lang w:val="es-AR"/>
        </w:rPr>
        <w:t>Service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y</w:t>
      </w:r>
    </w:p>
    <w:p w14:paraId="2ED0CFAA" w14:textId="77777777" w:rsidR="00376725" w:rsidRPr="00EA7870" w:rsidRDefault="00376725" w:rsidP="00376725">
      <w:pPr>
        <w:tabs>
          <w:tab w:val="left" w:pos="0"/>
        </w:tabs>
        <w:ind w:left="708" w:firstLine="709"/>
        <w:jc w:val="both"/>
        <w:rPr>
          <w:sz w:val="20"/>
          <w:szCs w:val="20"/>
          <w:lang w:val="es-AR"/>
        </w:rPr>
      </w:pPr>
    </w:p>
    <w:p w14:paraId="1BBB6BC6" w14:textId="77777777" w:rsidR="00376725" w:rsidRPr="00EA7870" w:rsidRDefault="00376725" w:rsidP="00376725">
      <w:pPr>
        <w:tabs>
          <w:tab w:val="left" w:pos="0"/>
        </w:tabs>
        <w:ind w:left="708" w:firstLine="709"/>
        <w:jc w:val="both"/>
        <w:rPr>
          <w:sz w:val="20"/>
          <w:szCs w:val="20"/>
          <w:lang w:val="es-AR"/>
        </w:rPr>
      </w:pPr>
      <w:r w:rsidRPr="00EA7870">
        <w:rPr>
          <w:sz w:val="20"/>
          <w:szCs w:val="20"/>
          <w:lang w:val="es-AR"/>
        </w:rPr>
        <w:tab/>
        <w:t>(B)</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extinción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está</w:t>
      </w:r>
      <w:r w:rsidR="001A28B3" w:rsidRPr="00EA7870">
        <w:rPr>
          <w:sz w:val="20"/>
          <w:szCs w:val="20"/>
          <w:lang w:val="es-AR"/>
        </w:rPr>
        <w:t xml:space="preserve"> </w:t>
      </w:r>
      <w:r w:rsidRPr="00EA7870">
        <w:rPr>
          <w:sz w:val="20"/>
          <w:szCs w:val="20"/>
          <w:lang w:val="es-AR"/>
        </w:rPr>
        <w:t>registrado,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debe</w:t>
      </w:r>
      <w:r w:rsidR="001A28B3" w:rsidRPr="00EA7870">
        <w:rPr>
          <w:sz w:val="20"/>
          <w:szCs w:val="20"/>
          <w:lang w:val="es-AR"/>
        </w:rPr>
        <w:t xml:space="preserve"> </w:t>
      </w:r>
      <w:r w:rsidRPr="00EA7870">
        <w:rPr>
          <w:sz w:val="20"/>
          <w:szCs w:val="20"/>
          <w:lang w:val="es-AR"/>
        </w:rPr>
        <w:t>registrarse,</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compañía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1940.</w:t>
      </w:r>
    </w:p>
    <w:p w14:paraId="00225B8F" w14:textId="77777777" w:rsidR="00376725" w:rsidRPr="00EA7870" w:rsidRDefault="00376725" w:rsidP="00376725">
      <w:pPr>
        <w:tabs>
          <w:tab w:val="left" w:pos="0"/>
        </w:tabs>
        <w:ind w:firstLine="709"/>
        <w:jc w:val="both"/>
        <w:rPr>
          <w:sz w:val="20"/>
          <w:szCs w:val="20"/>
          <w:lang w:val="es-AR"/>
        </w:rPr>
      </w:pPr>
    </w:p>
    <w:p w14:paraId="411F1B25"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b/>
        <w:t>(ii)</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Opinión</w:t>
      </w:r>
      <w:r w:rsidR="001A28B3" w:rsidRPr="00EA7870">
        <w:rPr>
          <w:sz w:val="20"/>
          <w:szCs w:val="20"/>
          <w:lang w:val="es-AR"/>
        </w:rPr>
        <w:t xml:space="preserve"> </w:t>
      </w:r>
      <w:r w:rsidRPr="00EA7870">
        <w:rPr>
          <w:sz w:val="20"/>
          <w:szCs w:val="20"/>
          <w:lang w:val="es-AR"/>
        </w:rPr>
        <w:t>Legal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Certificado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Funcionarios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acredite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condiciones</w:t>
      </w:r>
      <w:r w:rsidR="001A28B3" w:rsidRPr="00EA7870">
        <w:rPr>
          <w:sz w:val="20"/>
          <w:szCs w:val="20"/>
          <w:lang w:val="es-AR"/>
        </w:rPr>
        <w:t xml:space="preserve"> </w:t>
      </w:r>
      <w:r w:rsidRPr="00EA7870">
        <w:rPr>
          <w:sz w:val="20"/>
          <w:szCs w:val="20"/>
          <w:lang w:val="es-AR"/>
        </w:rPr>
        <w:t>precedentes</w:t>
      </w:r>
      <w:r w:rsidR="001A28B3" w:rsidRPr="00EA7870">
        <w:rPr>
          <w:sz w:val="20"/>
          <w:szCs w:val="20"/>
          <w:lang w:val="es-AR"/>
        </w:rPr>
        <w:t xml:space="preserve"> </w:t>
      </w:r>
      <w:r w:rsidRPr="00EA7870">
        <w:rPr>
          <w:sz w:val="20"/>
          <w:szCs w:val="20"/>
          <w:lang w:val="es-AR"/>
        </w:rPr>
        <w:t>previstas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extinción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61613BFF" w14:textId="77777777" w:rsidR="00376725" w:rsidRPr="00EA7870" w:rsidRDefault="00376725" w:rsidP="00376725">
      <w:pPr>
        <w:tabs>
          <w:tab w:val="left" w:pos="0"/>
        </w:tabs>
        <w:ind w:firstLine="709"/>
        <w:jc w:val="both"/>
        <w:rPr>
          <w:sz w:val="20"/>
          <w:szCs w:val="20"/>
          <w:lang w:val="es-AR"/>
        </w:rPr>
      </w:pPr>
    </w:p>
    <w:p w14:paraId="6A47A0E4" w14:textId="77777777" w:rsidR="00376725" w:rsidRPr="00EA7870" w:rsidRDefault="00376725" w:rsidP="00376725">
      <w:pPr>
        <w:widowControl w:val="0"/>
        <w:tabs>
          <w:tab w:val="left" w:pos="0"/>
        </w:tabs>
        <w:jc w:val="both"/>
        <w:rPr>
          <w:sz w:val="20"/>
          <w:szCs w:val="20"/>
          <w:lang w:val="es-AR"/>
        </w:rPr>
      </w:pPr>
      <w:r w:rsidRPr="00EA7870">
        <w:rPr>
          <w:sz w:val="20"/>
          <w:szCs w:val="20"/>
          <w:lang w:val="es-AR"/>
        </w:rPr>
        <w:t>Si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depositara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dispusiera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depósito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dinero</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Gobierno</w:t>
      </w:r>
      <w:r w:rsidR="001A28B3" w:rsidRPr="00EA7870">
        <w:rPr>
          <w:sz w:val="20"/>
          <w:szCs w:val="20"/>
          <w:lang w:val="es-AR"/>
        </w:rPr>
        <w:t xml:space="preserve"> </w:t>
      </w:r>
      <w:r w:rsidRPr="00EA7870">
        <w:rPr>
          <w:sz w:val="20"/>
          <w:szCs w:val="20"/>
          <w:lang w:val="es-AR"/>
        </w:rPr>
        <w:t>Estadounidense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cancelar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prima,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hasta,</w:t>
      </w:r>
      <w:r w:rsidR="001A28B3" w:rsidRPr="00EA7870">
        <w:rPr>
          <w:sz w:val="20"/>
          <w:szCs w:val="20"/>
          <w:lang w:val="es-AR"/>
        </w:rPr>
        <w:t xml:space="preserve"> </w:t>
      </w:r>
      <w:r w:rsidRPr="00EA7870">
        <w:rPr>
          <w:sz w:val="20"/>
          <w:szCs w:val="20"/>
          <w:lang w:val="es-AR"/>
        </w:rPr>
        <w:t>pero</w:t>
      </w:r>
      <w:r w:rsidR="001A28B3" w:rsidRPr="00EA7870">
        <w:rPr>
          <w:sz w:val="20"/>
          <w:szCs w:val="20"/>
          <w:lang w:val="es-AR"/>
        </w:rPr>
        <w:t xml:space="preserve"> </w:t>
      </w:r>
      <w:r w:rsidRPr="00EA7870">
        <w:rPr>
          <w:sz w:val="20"/>
          <w:szCs w:val="20"/>
          <w:lang w:val="es-AR"/>
        </w:rPr>
        <w:t>excluyendo,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circulación</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rescatadas,</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irrevocablemente</w:t>
      </w:r>
      <w:r w:rsidR="001A28B3" w:rsidRPr="00EA7870">
        <w:rPr>
          <w:sz w:val="20"/>
          <w:szCs w:val="20"/>
          <w:lang w:val="es-AR"/>
        </w:rPr>
        <w:t xml:space="preserve"> </w:t>
      </w:r>
      <w:r w:rsidRPr="00EA7870">
        <w:rPr>
          <w:sz w:val="20"/>
          <w:szCs w:val="20"/>
          <w:lang w:val="es-AR"/>
        </w:rPr>
        <w:t>designada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00157369" w:rsidRPr="00EA7870">
        <w:rPr>
          <w:sz w:val="20"/>
          <w:szCs w:val="20"/>
          <w:lang w:val="es-AR"/>
        </w:rPr>
        <w:t>Representante</w:t>
      </w:r>
      <w:r w:rsidR="001A28B3" w:rsidRPr="00EA7870">
        <w:rPr>
          <w:sz w:val="20"/>
          <w:szCs w:val="20"/>
          <w:lang w:val="es-AR"/>
        </w:rPr>
        <w:t xml:space="preserve"> </w:t>
      </w:r>
      <w:r w:rsidR="00157369" w:rsidRPr="00EA7870">
        <w:rPr>
          <w:sz w:val="20"/>
          <w:szCs w:val="20"/>
          <w:lang w:val="es-AR"/>
        </w:rPr>
        <w:t>L</w:t>
      </w:r>
      <w:r w:rsidRPr="00EA7870">
        <w:rPr>
          <w:sz w:val="20"/>
          <w:szCs w:val="20"/>
          <w:lang w:val="es-AR"/>
        </w:rPr>
        <w:t>egal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entregada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depósito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dinero</w:t>
      </w:r>
      <w:r w:rsidR="001A28B3" w:rsidRPr="00EA7870">
        <w:rPr>
          <w:sz w:val="20"/>
          <w:szCs w:val="20"/>
          <w:lang w:val="es-AR"/>
        </w:rPr>
        <w:t xml:space="preserve"> </w:t>
      </w:r>
      <w:r w:rsidRPr="00EA7870">
        <w:rPr>
          <w:sz w:val="20"/>
          <w:szCs w:val="20"/>
          <w:lang w:val="es-AR"/>
        </w:rPr>
        <w:t>y/u</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Gobierno</w:t>
      </w:r>
      <w:r w:rsidR="001A28B3" w:rsidRPr="00EA7870">
        <w:rPr>
          <w:sz w:val="20"/>
          <w:szCs w:val="20"/>
          <w:lang w:val="es-AR"/>
        </w:rPr>
        <w:t xml:space="preserve"> </w:t>
      </w:r>
      <w:r w:rsidRPr="00EA7870">
        <w:rPr>
          <w:sz w:val="20"/>
          <w:szCs w:val="20"/>
          <w:lang w:val="es-AR"/>
        </w:rPr>
        <w:t>Estadounidense,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resolución</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acompañada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requerimiento</w:t>
      </w:r>
      <w:r w:rsidR="001A28B3" w:rsidRPr="00EA7870">
        <w:rPr>
          <w:sz w:val="20"/>
          <w:szCs w:val="20"/>
          <w:lang w:val="es-AR"/>
        </w:rPr>
        <w:t xml:space="preserve"> </w:t>
      </w:r>
      <w:r w:rsidRPr="00EA7870">
        <w:rPr>
          <w:sz w:val="20"/>
          <w:szCs w:val="20"/>
          <w:lang w:val="es-AR"/>
        </w:rPr>
        <w:t>irrevocable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notifique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nombre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expensas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10</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60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w:t>
      </w:r>
      <w:r w:rsidRPr="00EA7870">
        <w:rPr>
          <w:i/>
          <w:sz w:val="20"/>
          <w:szCs w:val="20"/>
          <w:lang w:val="es-AR"/>
        </w:rPr>
        <w:t>Rescate</w:t>
      </w:r>
      <w:r w:rsidR="001A28B3" w:rsidRPr="00EA7870">
        <w:rPr>
          <w:i/>
          <w:sz w:val="20"/>
          <w:szCs w:val="20"/>
          <w:lang w:val="es-AR"/>
        </w:rPr>
        <w:t xml:space="preserve"> </w:t>
      </w:r>
      <w:r w:rsidRPr="00EA7870">
        <w:rPr>
          <w:i/>
          <w:sz w:val="20"/>
          <w:szCs w:val="20"/>
          <w:lang w:val="es-AR"/>
        </w:rPr>
        <w:t>Optativo</w:t>
      </w:r>
      <w:r w:rsidR="001A28B3" w:rsidRPr="00EA7870">
        <w:rPr>
          <w:i/>
          <w:sz w:val="20"/>
          <w:szCs w:val="20"/>
          <w:lang w:val="es-AR"/>
        </w:rPr>
        <w:t xml:space="preserve"> </w:t>
      </w:r>
      <w:r w:rsidRPr="00EA7870">
        <w:rPr>
          <w:i/>
          <w:sz w:val="20"/>
          <w:szCs w:val="20"/>
          <w:lang w:val="es-AR"/>
        </w:rPr>
        <w:t>–</w:t>
      </w:r>
      <w:r w:rsidR="001A28B3" w:rsidRPr="00EA7870">
        <w:rPr>
          <w:i/>
          <w:sz w:val="20"/>
          <w:szCs w:val="20"/>
          <w:lang w:val="es-AR"/>
        </w:rPr>
        <w:t xml:space="preserve"> </w:t>
      </w:r>
      <w:r w:rsidRPr="00EA7870">
        <w:rPr>
          <w:i/>
          <w:sz w:val="20"/>
          <w:szCs w:val="20"/>
          <w:lang w:val="es-AR"/>
        </w:rPr>
        <w:t>Rescate</w:t>
      </w:r>
      <w:r w:rsidR="001A28B3" w:rsidRPr="00EA7870">
        <w:rPr>
          <w:i/>
          <w:sz w:val="20"/>
          <w:szCs w:val="20"/>
          <w:lang w:val="es-AR"/>
        </w:rPr>
        <w:t xml:space="preserve"> </w:t>
      </w:r>
      <w:r w:rsidRPr="00EA7870">
        <w:rPr>
          <w:i/>
          <w:sz w:val="20"/>
          <w:szCs w:val="20"/>
          <w:lang w:val="es-AR"/>
        </w:rPr>
        <w:t>Optativo</w:t>
      </w:r>
      <w:r w:rsidR="001A28B3" w:rsidRPr="00EA7870">
        <w:rPr>
          <w:i/>
          <w:sz w:val="20"/>
          <w:szCs w:val="20"/>
          <w:lang w:val="es-AR"/>
        </w:rPr>
        <w:t xml:space="preserve"> </w:t>
      </w:r>
      <w:r w:rsidRPr="00EA7870">
        <w:rPr>
          <w:i/>
          <w:sz w:val="20"/>
          <w:szCs w:val="20"/>
          <w:lang w:val="es-AR"/>
        </w:rPr>
        <w:t>por</w:t>
      </w:r>
      <w:r w:rsidR="001A28B3" w:rsidRPr="00EA7870">
        <w:rPr>
          <w:i/>
          <w:sz w:val="20"/>
          <w:szCs w:val="20"/>
          <w:lang w:val="es-AR"/>
        </w:rPr>
        <w:t xml:space="preserve"> </w:t>
      </w:r>
      <w:r w:rsidRPr="00EA7870">
        <w:rPr>
          <w:i/>
          <w:sz w:val="20"/>
          <w:szCs w:val="20"/>
          <w:lang w:val="es-AR"/>
        </w:rPr>
        <w:t>Cuestiones</w:t>
      </w:r>
      <w:r w:rsidR="001A28B3" w:rsidRPr="00EA7870">
        <w:rPr>
          <w:i/>
          <w:sz w:val="20"/>
          <w:szCs w:val="20"/>
          <w:lang w:val="es-AR"/>
        </w:rPr>
        <w:t xml:space="preserve"> </w:t>
      </w:r>
      <w:r w:rsidRPr="00EA7870">
        <w:rPr>
          <w:i/>
          <w:sz w:val="20"/>
          <w:szCs w:val="20"/>
          <w:lang w:val="es-AR"/>
        </w:rPr>
        <w:t>Impositivas</w:t>
      </w:r>
      <w:r w:rsidRPr="00EA7870">
        <w:rPr>
          <w:sz w:val="20"/>
          <w:szCs w:val="20"/>
          <w:lang w:val="es-AR"/>
        </w:rPr>
        <w:t>”)</w:t>
      </w:r>
      <w:r w:rsidR="001A28B3" w:rsidRPr="00EA7870">
        <w:rPr>
          <w:sz w:val="20"/>
          <w:szCs w:val="20"/>
          <w:lang w:val="es-AR"/>
        </w:rPr>
        <w:t xml:space="preserve"> </w:t>
      </w:r>
      <w:r w:rsidRPr="00EA7870">
        <w:rPr>
          <w:sz w:val="20"/>
          <w:szCs w:val="20"/>
          <w:lang w:val="es-AR"/>
        </w:rPr>
        <w:t>previos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58F44350" w14:textId="77777777" w:rsidR="00376725" w:rsidRPr="00EA7870" w:rsidRDefault="00376725" w:rsidP="00376725">
      <w:pPr>
        <w:widowControl w:val="0"/>
        <w:tabs>
          <w:tab w:val="left" w:pos="0"/>
        </w:tabs>
        <w:jc w:val="both"/>
        <w:rPr>
          <w:sz w:val="20"/>
          <w:szCs w:val="20"/>
          <w:lang w:val="es-AR"/>
        </w:rPr>
      </w:pPr>
    </w:p>
    <w:p w14:paraId="2DC730E6" w14:textId="77777777" w:rsidR="00376725" w:rsidRPr="00EA7870" w:rsidRDefault="00376725" w:rsidP="00376725">
      <w:pPr>
        <w:widowControl w:val="0"/>
        <w:spacing w:after="240" w:line="0" w:lineRule="atLeast"/>
        <w:jc w:val="both"/>
        <w:rPr>
          <w:rFonts w:eastAsia="Calibri"/>
          <w:b/>
          <w:sz w:val="20"/>
          <w:szCs w:val="20"/>
          <w:lang w:val="es-AR" w:eastAsia="en-US"/>
        </w:rPr>
      </w:pPr>
      <w:r w:rsidRPr="00EA7870">
        <w:rPr>
          <w:rFonts w:eastAsia="Calibri"/>
          <w:b/>
          <w:sz w:val="20"/>
          <w:szCs w:val="20"/>
          <w:lang w:val="es-AR" w:eastAsia="en-US"/>
        </w:rPr>
        <w:t>Satisfacción</w:t>
      </w:r>
      <w:r w:rsidR="001A28B3" w:rsidRPr="00EA7870">
        <w:rPr>
          <w:rFonts w:eastAsia="Calibri"/>
          <w:b/>
          <w:sz w:val="20"/>
          <w:szCs w:val="20"/>
          <w:lang w:val="es-AR" w:eastAsia="en-US"/>
        </w:rPr>
        <w:t xml:space="preserve"> </w:t>
      </w:r>
      <w:r w:rsidRPr="00EA7870">
        <w:rPr>
          <w:rFonts w:eastAsia="Calibri"/>
          <w:b/>
          <w:sz w:val="20"/>
          <w:szCs w:val="20"/>
          <w:lang w:val="es-AR" w:eastAsia="en-US"/>
        </w:rPr>
        <w:t>y</w:t>
      </w:r>
      <w:r w:rsidR="001A28B3" w:rsidRPr="00EA7870">
        <w:rPr>
          <w:rFonts w:eastAsia="Calibri"/>
          <w:b/>
          <w:sz w:val="20"/>
          <w:szCs w:val="20"/>
          <w:lang w:val="es-AR" w:eastAsia="en-US"/>
        </w:rPr>
        <w:t xml:space="preserve"> </w:t>
      </w:r>
      <w:r w:rsidRPr="00EA7870">
        <w:rPr>
          <w:rFonts w:eastAsia="Calibri"/>
          <w:b/>
          <w:sz w:val="20"/>
          <w:szCs w:val="20"/>
          <w:lang w:val="es-AR" w:eastAsia="en-US"/>
        </w:rPr>
        <w:t>Descargo</w:t>
      </w:r>
    </w:p>
    <w:p w14:paraId="4DABC36B" w14:textId="77777777" w:rsidR="00376725" w:rsidRPr="00EA7870" w:rsidRDefault="00376725" w:rsidP="00376725">
      <w:pPr>
        <w:widowControl w:val="0"/>
        <w:tabs>
          <w:tab w:val="left" w:pos="0"/>
        </w:tabs>
        <w:jc w:val="both"/>
        <w:rPr>
          <w:sz w:val="20"/>
          <w:szCs w:val="20"/>
          <w:lang w:val="es-AR"/>
        </w:rPr>
      </w:pP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Contrato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r w:rsidR="001A28B3" w:rsidRPr="00EA7870">
        <w:rPr>
          <w:rFonts w:eastAsia="Calibri"/>
          <w:sz w:val="20"/>
          <w:szCs w:val="20"/>
          <w:lang w:val="es-AR" w:eastAsia="en-US"/>
        </w:rPr>
        <w:t xml:space="preserve"> </w:t>
      </w:r>
      <w:r w:rsidRPr="00EA7870">
        <w:rPr>
          <w:rFonts w:eastAsia="Calibri"/>
          <w:sz w:val="20"/>
          <w:szCs w:val="20"/>
          <w:lang w:val="es-AR" w:eastAsia="en-US"/>
        </w:rPr>
        <w:t>se</w:t>
      </w:r>
      <w:r w:rsidR="001A28B3" w:rsidRPr="00EA7870">
        <w:rPr>
          <w:rFonts w:eastAsia="Calibri"/>
          <w:sz w:val="20"/>
          <w:szCs w:val="20"/>
          <w:lang w:val="es-AR" w:eastAsia="en-US"/>
        </w:rPr>
        <w:t xml:space="preserve"> </w:t>
      </w:r>
      <w:r w:rsidRPr="00EA7870">
        <w:rPr>
          <w:rFonts w:eastAsia="Calibri"/>
          <w:sz w:val="20"/>
          <w:szCs w:val="20"/>
          <w:lang w:val="es-AR" w:eastAsia="en-US"/>
        </w:rPr>
        <w:t>cancelará</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dejará</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tener</w:t>
      </w:r>
      <w:r w:rsidR="001A28B3" w:rsidRPr="00EA7870">
        <w:rPr>
          <w:rFonts w:eastAsia="Calibri"/>
          <w:sz w:val="20"/>
          <w:szCs w:val="20"/>
          <w:lang w:val="es-AR" w:eastAsia="en-US"/>
        </w:rPr>
        <w:t xml:space="preserve"> </w:t>
      </w:r>
      <w:r w:rsidRPr="00EA7870">
        <w:rPr>
          <w:rFonts w:eastAsia="Calibri"/>
          <w:sz w:val="20"/>
          <w:szCs w:val="20"/>
          <w:lang w:val="es-AR" w:eastAsia="en-US"/>
        </w:rPr>
        <w:t>efectos</w:t>
      </w:r>
      <w:r w:rsidR="001A28B3" w:rsidRPr="00EA7870">
        <w:rPr>
          <w:rFonts w:eastAsia="Calibri"/>
          <w:sz w:val="20"/>
          <w:szCs w:val="20"/>
          <w:lang w:val="es-AR" w:eastAsia="en-US"/>
        </w:rPr>
        <w:t xml:space="preserve"> </w:t>
      </w:r>
      <w:r w:rsidRPr="00EA7870">
        <w:rPr>
          <w:rFonts w:eastAsia="Calibri"/>
          <w:sz w:val="20"/>
          <w:szCs w:val="20"/>
          <w:lang w:val="es-AR" w:eastAsia="en-US"/>
        </w:rPr>
        <w:t>(excepto</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relación</w:t>
      </w:r>
      <w:r w:rsidR="001A28B3" w:rsidRPr="00EA7870">
        <w:rPr>
          <w:rFonts w:eastAsia="Calibri"/>
          <w:sz w:val="20"/>
          <w:szCs w:val="20"/>
          <w:lang w:val="es-AR" w:eastAsia="en-US"/>
        </w:rPr>
        <w:t xml:space="preserve"> </w:t>
      </w:r>
      <w:r w:rsidRPr="00EA7870">
        <w:rPr>
          <w:rFonts w:eastAsia="Calibri"/>
          <w:sz w:val="20"/>
          <w:szCs w:val="20"/>
          <w:lang w:val="es-AR" w:eastAsia="en-US"/>
        </w:rPr>
        <w:t>con</w:t>
      </w:r>
      <w:r w:rsidR="001A28B3" w:rsidRPr="00EA7870">
        <w:rPr>
          <w:rFonts w:eastAsia="Calibri"/>
          <w:sz w:val="20"/>
          <w:szCs w:val="20"/>
          <w:lang w:val="es-AR" w:eastAsia="en-US"/>
        </w:rPr>
        <w:t xml:space="preserve"> </w:t>
      </w:r>
      <w:r w:rsidRPr="00EA7870">
        <w:rPr>
          <w:rFonts w:eastAsia="Calibri"/>
          <w:sz w:val="20"/>
          <w:szCs w:val="20"/>
          <w:lang w:val="es-AR" w:eastAsia="en-US"/>
        </w:rPr>
        <w:t>los</w:t>
      </w:r>
      <w:r w:rsidR="001A28B3" w:rsidRPr="00EA7870">
        <w:rPr>
          <w:rFonts w:eastAsia="Calibri"/>
          <w:sz w:val="20"/>
          <w:szCs w:val="20"/>
          <w:lang w:val="es-AR" w:eastAsia="en-US"/>
        </w:rPr>
        <w:t xml:space="preserve"> </w:t>
      </w:r>
      <w:r w:rsidRPr="00EA7870">
        <w:rPr>
          <w:rFonts w:eastAsia="Calibri"/>
          <w:sz w:val="20"/>
          <w:szCs w:val="20"/>
          <w:lang w:val="es-AR" w:eastAsia="en-US"/>
        </w:rPr>
        <w:t>derechos</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registro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transferencia</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canje</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Negociables</w:t>
      </w:r>
      <w:r w:rsidR="001A28B3" w:rsidRPr="00EA7870">
        <w:rPr>
          <w:rFonts w:eastAsia="Calibri"/>
          <w:sz w:val="20"/>
          <w:szCs w:val="20"/>
          <w:lang w:val="es-AR" w:eastAsia="en-US"/>
        </w:rPr>
        <w:t xml:space="preserve"> </w:t>
      </w:r>
      <w:r w:rsidRPr="00EA7870">
        <w:rPr>
          <w:rFonts w:eastAsia="Calibri"/>
          <w:sz w:val="20"/>
          <w:szCs w:val="20"/>
          <w:lang w:val="es-AR" w:eastAsia="en-US"/>
        </w:rPr>
        <w:t>subsistentes</w:t>
      </w:r>
      <w:r w:rsidR="001A28B3" w:rsidRPr="00EA7870">
        <w:rPr>
          <w:rFonts w:eastAsia="Calibri"/>
          <w:sz w:val="20"/>
          <w:szCs w:val="20"/>
          <w:lang w:val="es-AR" w:eastAsia="en-US"/>
        </w:rPr>
        <w:t xml:space="preserve"> </w:t>
      </w:r>
      <w:r w:rsidRPr="00EA7870">
        <w:rPr>
          <w:rFonts w:eastAsia="Calibri"/>
          <w:sz w:val="20"/>
          <w:szCs w:val="20"/>
          <w:lang w:val="es-AR" w:eastAsia="en-US"/>
        </w:rPr>
        <w:t>expresamente</w:t>
      </w:r>
      <w:r w:rsidR="001A28B3" w:rsidRPr="00EA7870">
        <w:rPr>
          <w:rFonts w:eastAsia="Calibri"/>
          <w:sz w:val="20"/>
          <w:szCs w:val="20"/>
          <w:lang w:val="es-AR" w:eastAsia="en-US"/>
        </w:rPr>
        <w:t xml:space="preserve"> </w:t>
      </w:r>
      <w:r w:rsidRPr="00EA7870">
        <w:rPr>
          <w:rFonts w:eastAsia="Calibri"/>
          <w:sz w:val="20"/>
          <w:szCs w:val="20"/>
          <w:lang w:val="es-AR" w:eastAsia="en-US"/>
        </w:rPr>
        <w:t>previstos</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los</w:t>
      </w:r>
      <w:r w:rsidR="001A28B3" w:rsidRPr="00EA7870">
        <w:rPr>
          <w:rFonts w:eastAsia="Calibri"/>
          <w:sz w:val="20"/>
          <w:szCs w:val="20"/>
          <w:lang w:val="es-AR" w:eastAsia="en-US"/>
        </w:rPr>
        <w:t xml:space="preserve"> </w:t>
      </w:r>
      <w:r w:rsidRPr="00EA7870">
        <w:rPr>
          <w:rFonts w:eastAsia="Calibri"/>
          <w:sz w:val="20"/>
          <w:szCs w:val="20"/>
          <w:lang w:val="es-AR" w:eastAsia="en-US"/>
        </w:rPr>
        <w:t>derechos,</w:t>
      </w:r>
      <w:r w:rsidR="001A28B3" w:rsidRPr="00EA7870">
        <w:rPr>
          <w:rFonts w:eastAsia="Calibri"/>
          <w:sz w:val="20"/>
          <w:szCs w:val="20"/>
          <w:lang w:val="es-AR" w:eastAsia="en-US"/>
        </w:rPr>
        <w:t xml:space="preserve"> </w:t>
      </w:r>
      <w:r w:rsidRPr="00EA7870">
        <w:rPr>
          <w:rFonts w:eastAsia="Calibri"/>
          <w:sz w:val="20"/>
          <w:szCs w:val="20"/>
          <w:lang w:val="es-AR" w:eastAsia="en-US"/>
        </w:rPr>
        <w:t>protecciones,</w:t>
      </w:r>
      <w:r w:rsidR="001A28B3" w:rsidRPr="00EA7870">
        <w:rPr>
          <w:rFonts w:eastAsia="Calibri"/>
          <w:sz w:val="20"/>
          <w:szCs w:val="20"/>
          <w:lang w:val="es-AR" w:eastAsia="en-US"/>
        </w:rPr>
        <w:t xml:space="preserve"> </w:t>
      </w:r>
      <w:r w:rsidRPr="00EA7870">
        <w:rPr>
          <w:rFonts w:eastAsia="Calibri"/>
          <w:sz w:val="20"/>
          <w:szCs w:val="20"/>
          <w:lang w:val="es-AR" w:eastAsia="en-US"/>
        </w:rPr>
        <w:t>inmunidades</w:t>
      </w:r>
      <w:r w:rsidR="001A28B3" w:rsidRPr="00EA7870">
        <w:rPr>
          <w:rFonts w:eastAsia="Calibri"/>
          <w:sz w:val="20"/>
          <w:szCs w:val="20"/>
          <w:lang w:val="es-AR" w:eastAsia="en-US"/>
        </w:rPr>
        <w:t xml:space="preserve"> </w:t>
      </w:r>
      <w:r w:rsidRPr="00EA7870">
        <w:rPr>
          <w:rFonts w:eastAsia="Calibri"/>
          <w:sz w:val="20"/>
          <w:szCs w:val="20"/>
          <w:lang w:val="es-AR" w:eastAsia="en-US"/>
        </w:rPr>
        <w:t>e</w:t>
      </w:r>
      <w:r w:rsidR="001A28B3" w:rsidRPr="00EA7870">
        <w:rPr>
          <w:rFonts w:eastAsia="Calibri"/>
          <w:sz w:val="20"/>
          <w:szCs w:val="20"/>
          <w:lang w:val="es-AR" w:eastAsia="en-US"/>
        </w:rPr>
        <w:t xml:space="preserve"> </w:t>
      </w:r>
      <w:r w:rsidRPr="00EA7870">
        <w:rPr>
          <w:rFonts w:eastAsia="Calibri"/>
          <w:sz w:val="20"/>
          <w:szCs w:val="20"/>
          <w:lang w:val="es-AR" w:eastAsia="en-US"/>
        </w:rPr>
        <w:t>indemnidades</w:t>
      </w:r>
      <w:r w:rsidR="001A28B3" w:rsidRPr="00EA7870">
        <w:rPr>
          <w:rFonts w:eastAsia="Calibri"/>
          <w:sz w:val="20"/>
          <w:szCs w:val="20"/>
          <w:lang w:val="es-AR" w:eastAsia="en-US"/>
        </w:rPr>
        <w:t xml:space="preserve"> </w:t>
      </w:r>
      <w:r w:rsidRPr="00EA7870">
        <w:rPr>
          <w:rFonts w:eastAsia="Calibri"/>
          <w:sz w:val="20"/>
          <w:szCs w:val="20"/>
          <w:lang w:val="es-AR" w:eastAsia="en-US"/>
        </w:rPr>
        <w:t>del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relación</w:t>
      </w:r>
      <w:r w:rsidR="001A28B3" w:rsidRPr="00EA7870">
        <w:rPr>
          <w:rFonts w:eastAsia="Calibri"/>
          <w:sz w:val="20"/>
          <w:szCs w:val="20"/>
          <w:lang w:val="es-AR" w:eastAsia="en-US"/>
        </w:rPr>
        <w:t xml:space="preserve"> </w:t>
      </w:r>
      <w:r w:rsidRPr="00EA7870">
        <w:rPr>
          <w:rFonts w:eastAsia="Calibri"/>
          <w:sz w:val="20"/>
          <w:szCs w:val="20"/>
          <w:lang w:val="es-AR" w:eastAsia="en-US"/>
        </w:rPr>
        <w:t>con</w:t>
      </w:r>
      <w:r w:rsidR="001A28B3" w:rsidRPr="00EA7870">
        <w:rPr>
          <w:rFonts w:eastAsia="Calibri"/>
          <w:sz w:val="20"/>
          <w:szCs w:val="20"/>
          <w:lang w:val="es-AR" w:eastAsia="en-US"/>
        </w:rPr>
        <w:t xml:space="preserve"> </w:t>
      </w:r>
      <w:r w:rsidRPr="00EA7870">
        <w:rPr>
          <w:rFonts w:eastAsia="Calibri"/>
          <w:sz w:val="20"/>
          <w:szCs w:val="20"/>
          <w:lang w:val="es-AR" w:eastAsia="en-US"/>
        </w:rPr>
        <w:t>todas</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Negociables</w:t>
      </w:r>
      <w:r w:rsidR="001A28B3" w:rsidRPr="00EA7870">
        <w:rPr>
          <w:rFonts w:eastAsia="Calibri"/>
          <w:sz w:val="20"/>
          <w:szCs w:val="20"/>
          <w:lang w:val="es-AR" w:eastAsia="en-US"/>
        </w:rPr>
        <w:t xml:space="preserve"> </w:t>
      </w:r>
      <w:r w:rsidRPr="00EA7870">
        <w:rPr>
          <w:rFonts w:eastAsia="Calibri"/>
          <w:sz w:val="20"/>
          <w:szCs w:val="20"/>
          <w:lang w:val="es-AR" w:eastAsia="en-US"/>
        </w:rPr>
        <w:t>emitidas</w:t>
      </w:r>
      <w:r w:rsidR="001A28B3" w:rsidRPr="00EA7870">
        <w:rPr>
          <w:rFonts w:eastAsia="Calibri"/>
          <w:sz w:val="20"/>
          <w:szCs w:val="20"/>
          <w:lang w:val="es-AR" w:eastAsia="en-US"/>
        </w:rPr>
        <w:t xml:space="preserve"> </w:t>
      </w:r>
      <w:r w:rsidRPr="00EA7870">
        <w:rPr>
          <w:rFonts w:eastAsia="Calibri"/>
          <w:sz w:val="20"/>
          <w:szCs w:val="20"/>
          <w:lang w:val="es-AR" w:eastAsia="en-US"/>
        </w:rPr>
        <w:t>bajo</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mismo,</w:t>
      </w:r>
      <w:r w:rsidR="001A28B3" w:rsidRPr="00EA7870">
        <w:rPr>
          <w:rFonts w:eastAsia="Calibri"/>
          <w:sz w:val="20"/>
          <w:szCs w:val="20"/>
          <w:lang w:val="es-AR" w:eastAsia="en-US"/>
        </w:rPr>
        <w:t xml:space="preserve"> </w:t>
      </w:r>
      <w:r w:rsidRPr="00EA7870">
        <w:rPr>
          <w:rFonts w:eastAsia="Calibri"/>
          <w:sz w:val="20"/>
          <w:szCs w:val="20"/>
          <w:lang w:val="es-AR" w:eastAsia="en-US"/>
        </w:rPr>
        <w:t>cuando:</w:t>
      </w:r>
      <w:r w:rsidR="001A28B3" w:rsidRPr="00EA7870">
        <w:rPr>
          <w:rFonts w:eastAsia="Calibri"/>
          <w:sz w:val="20"/>
          <w:szCs w:val="20"/>
          <w:lang w:val="es-AR" w:eastAsia="en-US"/>
        </w:rPr>
        <w:t xml:space="preserve"> </w:t>
      </w:r>
      <w:r w:rsidRPr="00EA7870">
        <w:rPr>
          <w:rFonts w:eastAsia="Calibri"/>
          <w:sz w:val="20"/>
          <w:szCs w:val="20"/>
          <w:lang w:val="es-AR" w:eastAsia="en-US"/>
        </w:rPr>
        <w:t>(i)</w:t>
      </w:r>
      <w:r w:rsidR="001A28B3" w:rsidRPr="00EA7870">
        <w:rPr>
          <w:rFonts w:eastAsia="Calibri"/>
          <w:sz w:val="20"/>
          <w:szCs w:val="20"/>
          <w:lang w:val="es-AR" w:eastAsia="en-US"/>
        </w:rPr>
        <w:t xml:space="preserve"> </w:t>
      </w:r>
      <w:r w:rsidRPr="00EA7870">
        <w:rPr>
          <w:rFonts w:eastAsia="Calibri"/>
          <w:sz w:val="20"/>
          <w:szCs w:val="20"/>
          <w:lang w:val="es-AR" w:eastAsia="en-US"/>
        </w:rPr>
        <w:t>(a)</w:t>
      </w:r>
      <w:r w:rsidR="001A28B3" w:rsidRPr="00EA7870">
        <w:rPr>
          <w:rFonts w:eastAsia="Calibri"/>
          <w:sz w:val="20"/>
          <w:szCs w:val="20"/>
          <w:lang w:val="es-AR" w:eastAsia="en-US"/>
        </w:rPr>
        <w:t xml:space="preserve"> </w:t>
      </w:r>
      <w:r w:rsidRPr="00EA7870">
        <w:rPr>
          <w:rFonts w:eastAsia="Calibri"/>
          <w:sz w:val="20"/>
          <w:szCs w:val="20"/>
          <w:lang w:val="es-AR" w:eastAsia="en-US"/>
        </w:rPr>
        <w:t>se</w:t>
      </w:r>
      <w:r w:rsidR="001A28B3" w:rsidRPr="00EA7870">
        <w:rPr>
          <w:rFonts w:eastAsia="Calibri"/>
          <w:sz w:val="20"/>
          <w:szCs w:val="20"/>
          <w:lang w:val="es-AR" w:eastAsia="en-US"/>
        </w:rPr>
        <w:t xml:space="preserve"> </w:t>
      </w:r>
      <w:r w:rsidRPr="00EA7870">
        <w:rPr>
          <w:rFonts w:eastAsia="Calibri"/>
          <w:sz w:val="20"/>
          <w:szCs w:val="20"/>
          <w:lang w:val="es-AR" w:eastAsia="en-US"/>
        </w:rPr>
        <w:t>hayan</w:t>
      </w:r>
      <w:r w:rsidR="001A28B3" w:rsidRPr="00EA7870">
        <w:rPr>
          <w:rFonts w:eastAsia="Calibri"/>
          <w:sz w:val="20"/>
          <w:szCs w:val="20"/>
          <w:lang w:val="es-AR" w:eastAsia="en-US"/>
        </w:rPr>
        <w:t xml:space="preserve"> </w:t>
      </w:r>
      <w:r w:rsidRPr="00EA7870">
        <w:rPr>
          <w:rFonts w:eastAsia="Calibri"/>
          <w:sz w:val="20"/>
          <w:szCs w:val="20"/>
          <w:lang w:val="es-AR" w:eastAsia="en-US"/>
        </w:rPr>
        <w:t>entregado</w:t>
      </w:r>
      <w:r w:rsidR="001A28B3" w:rsidRPr="00EA7870">
        <w:rPr>
          <w:rFonts w:eastAsia="Calibri"/>
          <w:sz w:val="20"/>
          <w:szCs w:val="20"/>
          <w:lang w:val="es-AR" w:eastAsia="en-US"/>
        </w:rPr>
        <w:t xml:space="preserve"> </w:t>
      </w:r>
      <w:r w:rsidRPr="00EA7870">
        <w:rPr>
          <w:rFonts w:eastAsia="Calibri"/>
          <w:sz w:val="20"/>
          <w:szCs w:val="20"/>
          <w:lang w:val="es-AR" w:eastAsia="en-US"/>
        </w:rPr>
        <w:t>al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para</w:t>
      </w:r>
      <w:r w:rsidR="001A28B3" w:rsidRPr="00EA7870">
        <w:rPr>
          <w:rFonts w:eastAsia="Calibri"/>
          <w:sz w:val="20"/>
          <w:szCs w:val="20"/>
          <w:lang w:val="es-AR" w:eastAsia="en-US"/>
        </w:rPr>
        <w:t xml:space="preserve"> </w:t>
      </w:r>
      <w:r w:rsidRPr="00EA7870">
        <w:rPr>
          <w:rFonts w:eastAsia="Calibri"/>
          <w:sz w:val="20"/>
          <w:szCs w:val="20"/>
          <w:lang w:val="es-AR" w:eastAsia="en-US"/>
        </w:rPr>
        <w:t>cancelación</w:t>
      </w:r>
      <w:r w:rsidR="001A28B3" w:rsidRPr="00EA7870">
        <w:rPr>
          <w:rFonts w:eastAsia="Calibri"/>
          <w:sz w:val="20"/>
          <w:szCs w:val="20"/>
          <w:lang w:val="es-AR" w:eastAsia="en-US"/>
        </w:rPr>
        <w:t xml:space="preserve"> </w:t>
      </w:r>
      <w:r w:rsidRPr="00EA7870">
        <w:rPr>
          <w:rFonts w:eastAsia="Calibri"/>
          <w:sz w:val="20"/>
          <w:szCs w:val="20"/>
          <w:lang w:val="es-AR" w:eastAsia="en-US"/>
        </w:rPr>
        <w:t>todas</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Negociables</w:t>
      </w:r>
      <w:r w:rsidR="001A28B3" w:rsidRPr="00EA7870">
        <w:rPr>
          <w:rFonts w:eastAsia="Calibri"/>
          <w:sz w:val="20"/>
          <w:szCs w:val="20"/>
          <w:lang w:val="es-AR" w:eastAsia="en-US"/>
        </w:rPr>
        <w:t xml:space="preserve"> </w:t>
      </w:r>
      <w:r w:rsidRPr="00EA7870">
        <w:rPr>
          <w:rFonts w:eastAsia="Calibri"/>
          <w:sz w:val="20"/>
          <w:szCs w:val="20"/>
          <w:lang w:val="es-AR" w:eastAsia="en-US"/>
        </w:rPr>
        <w:t>que</w:t>
      </w:r>
      <w:r w:rsidR="001A28B3" w:rsidRPr="00EA7870">
        <w:rPr>
          <w:rFonts w:eastAsia="Calibri"/>
          <w:sz w:val="20"/>
          <w:szCs w:val="20"/>
          <w:lang w:val="es-AR" w:eastAsia="en-US"/>
        </w:rPr>
        <w:t xml:space="preserve"> </w:t>
      </w:r>
      <w:r w:rsidRPr="00EA7870">
        <w:rPr>
          <w:rFonts w:eastAsia="Calibri"/>
          <w:sz w:val="20"/>
          <w:szCs w:val="20"/>
          <w:lang w:val="es-AR" w:eastAsia="en-US"/>
        </w:rPr>
        <w:t>hayan</w:t>
      </w:r>
      <w:r w:rsidR="001A28B3" w:rsidRPr="00EA7870">
        <w:rPr>
          <w:rFonts w:eastAsia="Calibri"/>
          <w:sz w:val="20"/>
          <w:szCs w:val="20"/>
          <w:lang w:val="es-AR" w:eastAsia="en-US"/>
        </w:rPr>
        <w:t xml:space="preserve"> </w:t>
      </w:r>
      <w:r w:rsidRPr="00EA7870">
        <w:rPr>
          <w:rFonts w:eastAsia="Calibri"/>
          <w:sz w:val="20"/>
          <w:szCs w:val="20"/>
          <w:lang w:val="es-AR" w:eastAsia="en-US"/>
        </w:rPr>
        <w:t>sido</w:t>
      </w:r>
      <w:r w:rsidR="001A28B3" w:rsidRPr="00EA7870">
        <w:rPr>
          <w:rFonts w:eastAsia="Calibri"/>
          <w:sz w:val="20"/>
          <w:szCs w:val="20"/>
          <w:lang w:val="es-AR" w:eastAsia="en-US"/>
        </w:rPr>
        <w:t xml:space="preserve"> </w:t>
      </w:r>
      <w:r w:rsidRPr="00EA7870">
        <w:rPr>
          <w:rFonts w:eastAsia="Calibri"/>
          <w:sz w:val="20"/>
          <w:szCs w:val="20"/>
          <w:lang w:val="es-AR" w:eastAsia="en-US"/>
        </w:rPr>
        <w:t>autenticadas,</w:t>
      </w:r>
      <w:r w:rsidR="001A28B3" w:rsidRPr="00EA7870">
        <w:rPr>
          <w:rFonts w:eastAsia="Calibri"/>
          <w:sz w:val="20"/>
          <w:szCs w:val="20"/>
          <w:lang w:val="es-AR" w:eastAsia="en-US"/>
        </w:rPr>
        <w:t xml:space="preserve"> </w:t>
      </w:r>
      <w:r w:rsidRPr="00EA7870">
        <w:rPr>
          <w:rFonts w:eastAsia="Calibri"/>
          <w:sz w:val="20"/>
          <w:szCs w:val="20"/>
          <w:lang w:val="es-AR" w:eastAsia="en-US"/>
        </w:rPr>
        <w:t>salvo</w:t>
      </w:r>
      <w:r w:rsidR="001A28B3" w:rsidRPr="00EA7870">
        <w:rPr>
          <w:rFonts w:eastAsia="Calibri"/>
          <w:sz w:val="20"/>
          <w:szCs w:val="20"/>
          <w:lang w:val="es-AR" w:eastAsia="en-US"/>
        </w:rPr>
        <w:t xml:space="preserve"> </w:t>
      </w:r>
      <w:r w:rsidRPr="00EA7870">
        <w:rPr>
          <w:rFonts w:eastAsia="Calibri"/>
          <w:sz w:val="20"/>
          <w:szCs w:val="20"/>
          <w:lang w:val="es-AR" w:eastAsia="en-US"/>
        </w:rPr>
        <w:t>aquellas</w:t>
      </w:r>
      <w:r w:rsidR="001A28B3" w:rsidRPr="00EA7870">
        <w:rPr>
          <w:rFonts w:eastAsia="Calibri"/>
          <w:sz w:val="20"/>
          <w:szCs w:val="20"/>
          <w:lang w:val="es-AR" w:eastAsia="en-US"/>
        </w:rPr>
        <w:t xml:space="preserve"> </w:t>
      </w:r>
      <w:r w:rsidRPr="00EA7870">
        <w:rPr>
          <w:rFonts w:eastAsia="Calibri"/>
          <w:sz w:val="20"/>
          <w:szCs w:val="20"/>
          <w:lang w:val="es-AR" w:eastAsia="en-US"/>
        </w:rPr>
        <w:t>extraviadas,</w:t>
      </w:r>
      <w:r w:rsidR="001A28B3" w:rsidRPr="00EA7870">
        <w:rPr>
          <w:rFonts w:eastAsia="Calibri"/>
          <w:sz w:val="20"/>
          <w:szCs w:val="20"/>
          <w:lang w:val="es-AR" w:eastAsia="en-US"/>
        </w:rPr>
        <w:t xml:space="preserve"> </w:t>
      </w:r>
      <w:r w:rsidRPr="00EA7870">
        <w:rPr>
          <w:rFonts w:eastAsia="Calibri"/>
          <w:sz w:val="20"/>
          <w:szCs w:val="20"/>
          <w:lang w:val="es-AR" w:eastAsia="en-US"/>
        </w:rPr>
        <w:t>robadas</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destruidas</w:t>
      </w:r>
      <w:r w:rsidR="001A28B3" w:rsidRPr="00EA7870">
        <w:rPr>
          <w:rFonts w:eastAsia="Calibri"/>
          <w:sz w:val="20"/>
          <w:szCs w:val="20"/>
          <w:lang w:val="es-AR" w:eastAsia="en-US"/>
        </w:rPr>
        <w:t xml:space="preserve"> </w:t>
      </w:r>
      <w:r w:rsidRPr="00EA7870">
        <w:rPr>
          <w:rFonts w:eastAsia="Calibri"/>
          <w:sz w:val="20"/>
          <w:szCs w:val="20"/>
          <w:lang w:val="es-AR" w:eastAsia="en-US"/>
        </w:rPr>
        <w:t>que</w:t>
      </w:r>
      <w:r w:rsidR="001A28B3" w:rsidRPr="00EA7870">
        <w:rPr>
          <w:rFonts w:eastAsia="Calibri"/>
          <w:sz w:val="20"/>
          <w:szCs w:val="20"/>
          <w:lang w:val="es-AR" w:eastAsia="en-US"/>
        </w:rPr>
        <w:t xml:space="preserve"> </w:t>
      </w:r>
      <w:r w:rsidRPr="00EA7870">
        <w:rPr>
          <w:rFonts w:eastAsia="Calibri"/>
          <w:sz w:val="20"/>
          <w:szCs w:val="20"/>
          <w:lang w:val="es-AR" w:eastAsia="en-US"/>
        </w:rPr>
        <w:t>hayan</w:t>
      </w:r>
      <w:r w:rsidR="001A28B3" w:rsidRPr="00EA7870">
        <w:rPr>
          <w:rFonts w:eastAsia="Calibri"/>
          <w:sz w:val="20"/>
          <w:szCs w:val="20"/>
          <w:lang w:val="es-AR" w:eastAsia="en-US"/>
        </w:rPr>
        <w:t xml:space="preserve"> </w:t>
      </w:r>
      <w:r w:rsidRPr="00EA7870">
        <w:rPr>
          <w:rFonts w:eastAsia="Calibri"/>
          <w:sz w:val="20"/>
          <w:szCs w:val="20"/>
          <w:lang w:val="es-AR" w:eastAsia="en-US"/>
        </w:rPr>
        <w:t>sido</w:t>
      </w:r>
      <w:r w:rsidR="001A28B3" w:rsidRPr="00EA7870">
        <w:rPr>
          <w:rFonts w:eastAsia="Calibri"/>
          <w:sz w:val="20"/>
          <w:szCs w:val="20"/>
          <w:lang w:val="es-AR" w:eastAsia="en-US"/>
        </w:rPr>
        <w:t xml:space="preserve"> </w:t>
      </w:r>
      <w:r w:rsidRPr="00EA7870">
        <w:rPr>
          <w:rFonts w:eastAsia="Calibri"/>
          <w:sz w:val="20"/>
          <w:szCs w:val="20"/>
          <w:lang w:val="es-AR" w:eastAsia="en-US"/>
        </w:rPr>
        <w:t>reemplazadas</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pagadas</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Negociables</w:t>
      </w:r>
      <w:r w:rsidR="001A28B3" w:rsidRPr="00EA7870">
        <w:rPr>
          <w:rFonts w:eastAsia="Calibri"/>
          <w:sz w:val="20"/>
          <w:szCs w:val="20"/>
          <w:lang w:val="es-AR" w:eastAsia="en-US"/>
        </w:rPr>
        <w:t xml:space="preserve"> </w:t>
      </w:r>
      <w:r w:rsidRPr="00EA7870">
        <w:rPr>
          <w:rFonts w:eastAsia="Calibri"/>
          <w:sz w:val="20"/>
          <w:szCs w:val="20"/>
          <w:lang w:val="es-AR" w:eastAsia="en-US"/>
        </w:rPr>
        <w:t>para</w:t>
      </w:r>
      <w:r w:rsidR="001A28B3" w:rsidRPr="00EA7870">
        <w:rPr>
          <w:rFonts w:eastAsia="Calibri"/>
          <w:sz w:val="20"/>
          <w:szCs w:val="20"/>
          <w:lang w:val="es-AR" w:eastAsia="en-US"/>
        </w:rPr>
        <w:t xml:space="preserve"> </w:t>
      </w:r>
      <w:r w:rsidRPr="00EA7870">
        <w:rPr>
          <w:rFonts w:eastAsia="Calibri"/>
          <w:sz w:val="20"/>
          <w:szCs w:val="20"/>
          <w:lang w:val="es-AR" w:eastAsia="en-US"/>
        </w:rPr>
        <w:t>cuyo</w:t>
      </w:r>
      <w:r w:rsidR="001A28B3" w:rsidRPr="00EA7870">
        <w:rPr>
          <w:rFonts w:eastAsia="Calibri"/>
          <w:sz w:val="20"/>
          <w:szCs w:val="20"/>
          <w:lang w:val="es-AR" w:eastAsia="en-US"/>
        </w:rPr>
        <w:t xml:space="preserve"> </w:t>
      </w:r>
      <w:r w:rsidRPr="00EA7870">
        <w:rPr>
          <w:rFonts w:eastAsia="Calibri"/>
          <w:sz w:val="20"/>
          <w:szCs w:val="20"/>
          <w:lang w:val="es-AR" w:eastAsia="en-US"/>
        </w:rPr>
        <w:t>pago</w:t>
      </w:r>
      <w:r w:rsidR="001A28B3" w:rsidRPr="00EA7870">
        <w:rPr>
          <w:rFonts w:eastAsia="Calibri"/>
          <w:sz w:val="20"/>
          <w:szCs w:val="20"/>
          <w:lang w:val="es-AR" w:eastAsia="en-US"/>
        </w:rPr>
        <w:t xml:space="preserve"> </w:t>
      </w:r>
      <w:r w:rsidRPr="00EA7870">
        <w:rPr>
          <w:rFonts w:eastAsia="Calibri"/>
          <w:sz w:val="20"/>
          <w:szCs w:val="20"/>
          <w:lang w:val="es-AR" w:eastAsia="en-US"/>
        </w:rPr>
        <w:t>se</w:t>
      </w:r>
      <w:r w:rsidR="001A28B3" w:rsidRPr="00EA7870">
        <w:rPr>
          <w:rFonts w:eastAsia="Calibri"/>
          <w:sz w:val="20"/>
          <w:szCs w:val="20"/>
          <w:lang w:val="es-AR" w:eastAsia="en-US"/>
        </w:rPr>
        <w:t xml:space="preserve"> </w:t>
      </w:r>
      <w:r w:rsidRPr="00EA7870">
        <w:rPr>
          <w:rFonts w:eastAsia="Calibri"/>
          <w:sz w:val="20"/>
          <w:szCs w:val="20"/>
          <w:lang w:val="es-AR" w:eastAsia="en-US"/>
        </w:rPr>
        <w:t>hayan</w:t>
      </w:r>
      <w:r w:rsidR="001A28B3" w:rsidRPr="00EA7870">
        <w:rPr>
          <w:rFonts w:eastAsia="Calibri"/>
          <w:sz w:val="20"/>
          <w:szCs w:val="20"/>
          <w:lang w:val="es-AR" w:eastAsia="en-US"/>
        </w:rPr>
        <w:t xml:space="preserve"> </w:t>
      </w:r>
      <w:r w:rsidRPr="00EA7870">
        <w:rPr>
          <w:rFonts w:eastAsia="Calibri"/>
          <w:sz w:val="20"/>
          <w:szCs w:val="20"/>
          <w:lang w:val="es-AR" w:eastAsia="en-US"/>
        </w:rPr>
        <w:t>depositado</w:t>
      </w:r>
      <w:r w:rsidR="001A28B3" w:rsidRPr="00EA7870">
        <w:rPr>
          <w:rFonts w:eastAsia="Calibri"/>
          <w:sz w:val="20"/>
          <w:szCs w:val="20"/>
          <w:lang w:val="es-AR" w:eastAsia="en-US"/>
        </w:rPr>
        <w:t xml:space="preserve"> </w:t>
      </w:r>
      <w:r w:rsidRPr="00EA7870">
        <w:rPr>
          <w:rFonts w:eastAsia="Calibri"/>
          <w:sz w:val="20"/>
          <w:szCs w:val="20"/>
          <w:lang w:val="es-AR" w:eastAsia="en-US"/>
        </w:rPr>
        <w:t>fondos</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éstos</w:t>
      </w:r>
      <w:r w:rsidR="001A28B3" w:rsidRPr="00EA7870">
        <w:rPr>
          <w:rFonts w:eastAsia="Calibri"/>
          <w:sz w:val="20"/>
          <w:szCs w:val="20"/>
          <w:lang w:val="es-AR" w:eastAsia="en-US"/>
        </w:rPr>
        <w:t xml:space="preserve"> </w:t>
      </w:r>
      <w:r w:rsidRPr="00EA7870">
        <w:rPr>
          <w:rFonts w:eastAsia="Calibri"/>
          <w:sz w:val="20"/>
          <w:szCs w:val="20"/>
          <w:lang w:val="es-AR" w:eastAsia="en-US"/>
        </w:rPr>
        <w:t>hayan</w:t>
      </w:r>
      <w:r w:rsidR="001A28B3" w:rsidRPr="00EA7870">
        <w:rPr>
          <w:rFonts w:eastAsia="Calibri"/>
          <w:sz w:val="20"/>
          <w:szCs w:val="20"/>
          <w:lang w:val="es-AR" w:eastAsia="en-US"/>
        </w:rPr>
        <w:t xml:space="preserve"> </w:t>
      </w:r>
      <w:r w:rsidRPr="00EA7870">
        <w:rPr>
          <w:rFonts w:eastAsia="Calibri"/>
          <w:sz w:val="20"/>
          <w:szCs w:val="20"/>
          <w:lang w:val="es-AR" w:eastAsia="en-US"/>
        </w:rPr>
        <w:t>sido</w:t>
      </w:r>
      <w:r w:rsidR="001A28B3" w:rsidRPr="00EA7870">
        <w:rPr>
          <w:rFonts w:eastAsia="Calibri"/>
          <w:sz w:val="20"/>
          <w:szCs w:val="20"/>
          <w:lang w:val="es-AR" w:eastAsia="en-US"/>
        </w:rPr>
        <w:t xml:space="preserve"> </w:t>
      </w:r>
      <w:r w:rsidRPr="00EA7870">
        <w:rPr>
          <w:rFonts w:eastAsia="Calibri"/>
          <w:sz w:val="20"/>
          <w:szCs w:val="20"/>
          <w:lang w:val="es-AR" w:eastAsia="en-US"/>
        </w:rPr>
        <w:t>posteriormente</w:t>
      </w:r>
      <w:r w:rsidR="001A28B3" w:rsidRPr="00EA7870">
        <w:rPr>
          <w:rFonts w:eastAsia="Calibri"/>
          <w:sz w:val="20"/>
          <w:szCs w:val="20"/>
          <w:lang w:val="es-AR" w:eastAsia="en-US"/>
        </w:rPr>
        <w:t xml:space="preserve"> </w:t>
      </w:r>
      <w:r w:rsidRPr="00EA7870">
        <w:rPr>
          <w:rFonts w:eastAsia="Calibri"/>
          <w:sz w:val="20"/>
          <w:szCs w:val="20"/>
          <w:lang w:val="es-AR" w:eastAsia="en-US"/>
        </w:rPr>
        <w:t>restituidos</w:t>
      </w:r>
      <w:r w:rsidR="001A28B3" w:rsidRPr="00EA7870">
        <w:rPr>
          <w:rFonts w:eastAsia="Calibri"/>
          <w:sz w:val="20"/>
          <w:szCs w:val="20"/>
          <w:lang w:val="es-AR" w:eastAsia="en-US"/>
        </w:rPr>
        <w:t xml:space="preserve"> </w:t>
      </w:r>
      <w:r w:rsidRPr="00EA7870">
        <w:rPr>
          <w:rFonts w:eastAsia="Calibri"/>
          <w:sz w:val="20"/>
          <w:szCs w:val="20"/>
          <w:lang w:val="es-AR" w:eastAsia="en-US"/>
        </w:rPr>
        <w:t>a</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Emisora</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liberados</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dicho</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bien</w:t>
      </w:r>
      <w:r w:rsidR="001A28B3" w:rsidRPr="00EA7870">
        <w:rPr>
          <w:rFonts w:eastAsia="Calibri"/>
          <w:sz w:val="20"/>
          <w:szCs w:val="20"/>
          <w:lang w:val="es-AR" w:eastAsia="en-US"/>
        </w:rPr>
        <w:t xml:space="preserve"> </w:t>
      </w:r>
      <w:r w:rsidRPr="00EA7870">
        <w:rPr>
          <w:rFonts w:eastAsia="Calibri"/>
          <w:sz w:val="20"/>
          <w:szCs w:val="20"/>
          <w:lang w:val="es-AR" w:eastAsia="en-US"/>
        </w:rPr>
        <w:t>(b)</w:t>
      </w:r>
      <w:r w:rsidR="001A28B3" w:rsidRPr="00EA7870">
        <w:rPr>
          <w:rFonts w:eastAsia="Calibri"/>
          <w:sz w:val="20"/>
          <w:szCs w:val="20"/>
          <w:lang w:val="es-AR" w:eastAsia="en-US"/>
        </w:rPr>
        <w:t xml:space="preserve"> </w:t>
      </w:r>
      <w:r w:rsidRPr="00EA7870">
        <w:rPr>
          <w:rFonts w:eastAsia="Calibri"/>
          <w:sz w:val="20"/>
          <w:szCs w:val="20"/>
          <w:lang w:val="es-AR" w:eastAsia="en-US"/>
        </w:rPr>
        <w:t>todas</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Negociables</w:t>
      </w:r>
      <w:r w:rsidR="001A28B3" w:rsidRPr="00EA7870">
        <w:rPr>
          <w:rFonts w:eastAsia="Calibri"/>
          <w:sz w:val="20"/>
          <w:szCs w:val="20"/>
          <w:lang w:val="es-AR" w:eastAsia="en-US"/>
        </w:rPr>
        <w:t xml:space="preserve"> </w:t>
      </w:r>
      <w:r w:rsidRPr="00EA7870">
        <w:rPr>
          <w:rFonts w:eastAsia="Calibri"/>
          <w:sz w:val="20"/>
          <w:szCs w:val="20"/>
          <w:lang w:val="es-AR" w:eastAsia="en-US"/>
        </w:rPr>
        <w:t>que</w:t>
      </w:r>
      <w:r w:rsidR="001A28B3" w:rsidRPr="00EA7870">
        <w:rPr>
          <w:rFonts w:eastAsia="Calibri"/>
          <w:sz w:val="20"/>
          <w:szCs w:val="20"/>
          <w:lang w:val="es-AR" w:eastAsia="en-US"/>
        </w:rPr>
        <w:t xml:space="preserve"> </w:t>
      </w:r>
      <w:r w:rsidRPr="00EA7870">
        <w:rPr>
          <w:rFonts w:eastAsia="Calibri"/>
          <w:sz w:val="20"/>
          <w:szCs w:val="20"/>
          <w:lang w:val="es-AR" w:eastAsia="en-US"/>
        </w:rPr>
        <w:t>no</w:t>
      </w:r>
      <w:r w:rsidR="001A28B3" w:rsidRPr="00EA7870">
        <w:rPr>
          <w:rFonts w:eastAsia="Calibri"/>
          <w:sz w:val="20"/>
          <w:szCs w:val="20"/>
          <w:lang w:val="es-AR" w:eastAsia="en-US"/>
        </w:rPr>
        <w:t xml:space="preserve"> </w:t>
      </w:r>
      <w:r w:rsidRPr="00EA7870">
        <w:rPr>
          <w:rFonts w:eastAsia="Calibri"/>
          <w:sz w:val="20"/>
          <w:szCs w:val="20"/>
          <w:lang w:val="es-AR" w:eastAsia="en-US"/>
        </w:rPr>
        <w:t>hayan</w:t>
      </w:r>
      <w:r w:rsidR="001A28B3" w:rsidRPr="00EA7870">
        <w:rPr>
          <w:rFonts w:eastAsia="Calibri"/>
          <w:sz w:val="20"/>
          <w:szCs w:val="20"/>
          <w:lang w:val="es-AR" w:eastAsia="en-US"/>
        </w:rPr>
        <w:t xml:space="preserve"> </w:t>
      </w:r>
      <w:r w:rsidRPr="00EA7870">
        <w:rPr>
          <w:rFonts w:eastAsia="Calibri"/>
          <w:sz w:val="20"/>
          <w:szCs w:val="20"/>
          <w:lang w:val="es-AR" w:eastAsia="en-US"/>
        </w:rPr>
        <w:t>sido</w:t>
      </w:r>
      <w:r w:rsidR="001A28B3" w:rsidRPr="00EA7870">
        <w:rPr>
          <w:rFonts w:eastAsia="Calibri"/>
          <w:sz w:val="20"/>
          <w:szCs w:val="20"/>
          <w:lang w:val="es-AR" w:eastAsia="en-US"/>
        </w:rPr>
        <w:t xml:space="preserve"> </w:t>
      </w:r>
      <w:r w:rsidRPr="00EA7870">
        <w:rPr>
          <w:rFonts w:eastAsia="Calibri"/>
          <w:sz w:val="20"/>
          <w:szCs w:val="20"/>
          <w:lang w:val="es-AR" w:eastAsia="en-US"/>
        </w:rPr>
        <w:t>entregadas</w:t>
      </w:r>
      <w:r w:rsidR="001A28B3" w:rsidRPr="00EA7870">
        <w:rPr>
          <w:rFonts w:eastAsia="Calibri"/>
          <w:sz w:val="20"/>
          <w:szCs w:val="20"/>
          <w:lang w:val="es-AR" w:eastAsia="en-US"/>
        </w:rPr>
        <w:t xml:space="preserve"> </w:t>
      </w:r>
      <w:r w:rsidRPr="00EA7870">
        <w:rPr>
          <w:rFonts w:eastAsia="Calibri"/>
          <w:sz w:val="20"/>
          <w:szCs w:val="20"/>
          <w:lang w:val="es-AR" w:eastAsia="en-US"/>
        </w:rPr>
        <w:t>al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para</w:t>
      </w:r>
      <w:r w:rsidR="001A28B3" w:rsidRPr="00EA7870">
        <w:rPr>
          <w:rFonts w:eastAsia="Calibri"/>
          <w:sz w:val="20"/>
          <w:szCs w:val="20"/>
          <w:lang w:val="es-AR" w:eastAsia="en-US"/>
        </w:rPr>
        <w:t xml:space="preserve"> </w:t>
      </w:r>
      <w:r w:rsidRPr="00EA7870">
        <w:rPr>
          <w:rFonts w:eastAsia="Calibri"/>
          <w:sz w:val="20"/>
          <w:szCs w:val="20"/>
          <w:lang w:val="es-AR" w:eastAsia="en-US"/>
        </w:rPr>
        <w:t>su</w:t>
      </w:r>
      <w:r w:rsidR="001A28B3" w:rsidRPr="00EA7870">
        <w:rPr>
          <w:rFonts w:eastAsia="Calibri"/>
          <w:sz w:val="20"/>
          <w:szCs w:val="20"/>
          <w:lang w:val="es-AR" w:eastAsia="en-US"/>
        </w:rPr>
        <w:t xml:space="preserve"> </w:t>
      </w:r>
      <w:r w:rsidRPr="00EA7870">
        <w:rPr>
          <w:rFonts w:eastAsia="Calibri"/>
          <w:sz w:val="20"/>
          <w:szCs w:val="20"/>
          <w:lang w:val="es-AR" w:eastAsia="en-US"/>
        </w:rPr>
        <w:t>cancelación</w:t>
      </w:r>
      <w:r w:rsidR="001A28B3" w:rsidRPr="00EA7870">
        <w:rPr>
          <w:rFonts w:eastAsia="Calibri"/>
          <w:sz w:val="20"/>
          <w:szCs w:val="20"/>
          <w:lang w:val="es-AR" w:eastAsia="en-US"/>
        </w:rPr>
        <w:t xml:space="preserve"> </w:t>
      </w:r>
      <w:r w:rsidRPr="00EA7870">
        <w:rPr>
          <w:rFonts w:eastAsia="Calibri"/>
          <w:sz w:val="20"/>
          <w:szCs w:val="20"/>
          <w:lang w:val="es-AR" w:eastAsia="en-US"/>
        </w:rPr>
        <w:t>se</w:t>
      </w:r>
      <w:r w:rsidR="001A28B3" w:rsidRPr="00EA7870">
        <w:rPr>
          <w:rFonts w:eastAsia="Calibri"/>
          <w:sz w:val="20"/>
          <w:szCs w:val="20"/>
          <w:lang w:val="es-AR" w:eastAsia="en-US"/>
        </w:rPr>
        <w:t xml:space="preserve"> </w:t>
      </w:r>
      <w:r w:rsidRPr="00EA7870">
        <w:rPr>
          <w:rFonts w:eastAsia="Calibri"/>
          <w:sz w:val="20"/>
          <w:szCs w:val="20"/>
          <w:lang w:val="es-AR" w:eastAsia="en-US"/>
        </w:rPr>
        <w:t>hayan</w:t>
      </w:r>
      <w:r w:rsidR="001A28B3" w:rsidRPr="00EA7870">
        <w:rPr>
          <w:rFonts w:eastAsia="Calibri"/>
          <w:sz w:val="20"/>
          <w:szCs w:val="20"/>
          <w:lang w:val="es-AR" w:eastAsia="en-US"/>
        </w:rPr>
        <w:t xml:space="preserve"> </w:t>
      </w:r>
      <w:r w:rsidRPr="00EA7870">
        <w:rPr>
          <w:rFonts w:eastAsia="Calibri"/>
          <w:sz w:val="20"/>
          <w:szCs w:val="20"/>
          <w:lang w:val="es-AR" w:eastAsia="en-US"/>
        </w:rPr>
        <w:t>tornado</w:t>
      </w:r>
      <w:r w:rsidR="001A28B3" w:rsidRPr="00EA7870">
        <w:rPr>
          <w:rFonts w:eastAsia="Calibri"/>
          <w:sz w:val="20"/>
          <w:szCs w:val="20"/>
          <w:lang w:val="es-AR" w:eastAsia="en-US"/>
        </w:rPr>
        <w:t xml:space="preserve"> </w:t>
      </w:r>
      <w:r w:rsidRPr="00EA7870">
        <w:rPr>
          <w:rFonts w:eastAsia="Calibri"/>
          <w:sz w:val="20"/>
          <w:szCs w:val="20"/>
          <w:lang w:val="es-AR" w:eastAsia="en-US"/>
        </w:rPr>
        <w:t>vencidas</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exigibles</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fueran</w:t>
      </w:r>
      <w:r w:rsidR="001A28B3" w:rsidRPr="00EA7870">
        <w:rPr>
          <w:rFonts w:eastAsia="Calibri"/>
          <w:sz w:val="20"/>
          <w:szCs w:val="20"/>
          <w:lang w:val="es-AR" w:eastAsia="en-US"/>
        </w:rPr>
        <w:t xml:space="preserve"> </w:t>
      </w:r>
      <w:r w:rsidRPr="00EA7870">
        <w:rPr>
          <w:rFonts w:eastAsia="Calibri"/>
          <w:sz w:val="20"/>
          <w:szCs w:val="20"/>
          <w:lang w:val="es-AR" w:eastAsia="en-US"/>
        </w:rPr>
        <w:t>a</w:t>
      </w:r>
      <w:r w:rsidR="001A28B3" w:rsidRPr="00EA7870">
        <w:rPr>
          <w:rFonts w:eastAsia="Calibri"/>
          <w:sz w:val="20"/>
          <w:szCs w:val="20"/>
          <w:lang w:val="es-AR" w:eastAsia="en-US"/>
        </w:rPr>
        <w:t xml:space="preserve"> </w:t>
      </w:r>
      <w:r w:rsidRPr="00EA7870">
        <w:rPr>
          <w:rFonts w:eastAsia="Calibri"/>
          <w:sz w:val="20"/>
          <w:szCs w:val="20"/>
          <w:lang w:val="es-AR" w:eastAsia="en-US"/>
        </w:rPr>
        <w:t>vencer</w:t>
      </w:r>
      <w:r w:rsidR="001A28B3" w:rsidRPr="00EA7870">
        <w:rPr>
          <w:rFonts w:eastAsia="Calibri"/>
          <w:sz w:val="20"/>
          <w:szCs w:val="20"/>
          <w:lang w:val="es-AR" w:eastAsia="en-US"/>
        </w:rPr>
        <w:t xml:space="preserve"> </w:t>
      </w:r>
      <w:r w:rsidRPr="00EA7870">
        <w:rPr>
          <w:rFonts w:eastAsia="Calibri"/>
          <w:sz w:val="20"/>
          <w:szCs w:val="20"/>
          <w:lang w:val="es-AR" w:eastAsia="en-US"/>
        </w:rPr>
        <w:t>dentro</w:t>
      </w:r>
      <w:r w:rsidR="001A28B3" w:rsidRPr="00EA7870">
        <w:rPr>
          <w:rFonts w:eastAsia="Calibri"/>
          <w:sz w:val="20"/>
          <w:szCs w:val="20"/>
          <w:lang w:val="es-AR" w:eastAsia="en-US"/>
        </w:rPr>
        <w:t xml:space="preserve"> </w:t>
      </w:r>
      <w:r w:rsidRPr="00EA7870">
        <w:rPr>
          <w:rFonts w:eastAsia="Calibri"/>
          <w:sz w:val="20"/>
          <w:szCs w:val="20"/>
          <w:lang w:val="es-AR" w:eastAsia="en-US"/>
        </w:rPr>
        <w:t>del</w:t>
      </w:r>
      <w:r w:rsidR="001A28B3" w:rsidRPr="00EA7870">
        <w:rPr>
          <w:rFonts w:eastAsia="Calibri"/>
          <w:sz w:val="20"/>
          <w:szCs w:val="20"/>
          <w:lang w:val="es-AR" w:eastAsia="en-US"/>
        </w:rPr>
        <w:t xml:space="preserve"> </w:t>
      </w:r>
      <w:r w:rsidRPr="00EA7870">
        <w:rPr>
          <w:rFonts w:eastAsia="Calibri"/>
          <w:sz w:val="20"/>
          <w:szCs w:val="20"/>
          <w:lang w:val="es-AR" w:eastAsia="en-US"/>
        </w:rPr>
        <w:t>año,</w:t>
      </w:r>
      <w:r w:rsidR="001A28B3" w:rsidRPr="00EA7870">
        <w:rPr>
          <w:rFonts w:eastAsia="Calibri"/>
          <w:sz w:val="20"/>
          <w:szCs w:val="20"/>
          <w:lang w:val="es-AR" w:eastAsia="en-US"/>
        </w:rPr>
        <w:t xml:space="preserve"> </w:t>
      </w:r>
      <w:r w:rsidRPr="00EA7870">
        <w:rPr>
          <w:rFonts w:eastAsia="Calibri"/>
          <w:sz w:val="20"/>
          <w:szCs w:val="20"/>
          <w:lang w:val="es-AR" w:eastAsia="en-US"/>
        </w:rPr>
        <w:t>ya</w:t>
      </w:r>
      <w:r w:rsidR="001A28B3" w:rsidRPr="00EA7870">
        <w:rPr>
          <w:rFonts w:eastAsia="Calibri"/>
          <w:sz w:val="20"/>
          <w:szCs w:val="20"/>
          <w:lang w:val="es-AR" w:eastAsia="en-US"/>
        </w:rPr>
        <w:t xml:space="preserve"> </w:t>
      </w:r>
      <w:r w:rsidRPr="00EA7870">
        <w:rPr>
          <w:rFonts w:eastAsia="Calibri"/>
          <w:sz w:val="20"/>
          <w:szCs w:val="20"/>
          <w:lang w:val="es-AR" w:eastAsia="en-US"/>
        </w:rPr>
        <w:t>sea</w:t>
      </w:r>
      <w:r w:rsidR="001A28B3" w:rsidRPr="00EA7870">
        <w:rPr>
          <w:rFonts w:eastAsia="Calibri"/>
          <w:sz w:val="20"/>
          <w:szCs w:val="20"/>
          <w:lang w:val="es-AR" w:eastAsia="en-US"/>
        </w:rPr>
        <w:t xml:space="preserve"> </w:t>
      </w:r>
      <w:r w:rsidRPr="00EA7870">
        <w:rPr>
          <w:rFonts w:eastAsia="Calibri"/>
          <w:sz w:val="20"/>
          <w:szCs w:val="20"/>
          <w:lang w:val="es-AR" w:eastAsia="en-US"/>
        </w:rPr>
        <w:t>a</w:t>
      </w:r>
      <w:r w:rsidR="001A28B3" w:rsidRPr="00EA7870">
        <w:rPr>
          <w:rFonts w:eastAsia="Calibri"/>
          <w:sz w:val="20"/>
          <w:szCs w:val="20"/>
          <w:lang w:val="es-AR" w:eastAsia="en-US"/>
        </w:rPr>
        <w:t xml:space="preserve"> </w:t>
      </w:r>
      <w:r w:rsidRPr="00EA7870">
        <w:rPr>
          <w:rFonts w:eastAsia="Calibri"/>
          <w:sz w:val="20"/>
          <w:szCs w:val="20"/>
          <w:lang w:val="es-AR" w:eastAsia="en-US"/>
        </w:rPr>
        <w:t>su</w:t>
      </w:r>
      <w:r w:rsidR="001A28B3" w:rsidRPr="00EA7870">
        <w:rPr>
          <w:rFonts w:eastAsia="Calibri"/>
          <w:sz w:val="20"/>
          <w:szCs w:val="20"/>
          <w:lang w:val="es-AR" w:eastAsia="en-US"/>
        </w:rPr>
        <w:t xml:space="preserve"> </w:t>
      </w:r>
      <w:r w:rsidRPr="00EA7870">
        <w:rPr>
          <w:rFonts w:eastAsia="Calibri"/>
          <w:sz w:val="20"/>
          <w:szCs w:val="20"/>
          <w:lang w:val="es-AR" w:eastAsia="en-US"/>
        </w:rPr>
        <w:t>Vencimiento</w:t>
      </w:r>
      <w:r w:rsidR="001A28B3" w:rsidRPr="00EA7870">
        <w:rPr>
          <w:rFonts w:eastAsia="Calibri"/>
          <w:sz w:val="20"/>
          <w:szCs w:val="20"/>
          <w:lang w:val="es-AR" w:eastAsia="en-US"/>
        </w:rPr>
        <w:t xml:space="preserve"> </w:t>
      </w:r>
      <w:r w:rsidRPr="00EA7870">
        <w:rPr>
          <w:rFonts w:eastAsia="Calibri"/>
          <w:sz w:val="20"/>
          <w:szCs w:val="20"/>
          <w:lang w:val="es-AR" w:eastAsia="en-US"/>
        </w:rPr>
        <w:t>Declarado</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ante</w:t>
      </w:r>
      <w:r w:rsidR="001A28B3" w:rsidRPr="00EA7870">
        <w:rPr>
          <w:rFonts w:eastAsia="Calibri"/>
          <w:sz w:val="20"/>
          <w:szCs w:val="20"/>
          <w:lang w:val="es-AR" w:eastAsia="en-US"/>
        </w:rPr>
        <w:t xml:space="preserve"> </w:t>
      </w:r>
      <w:r w:rsidRPr="00EA7870">
        <w:rPr>
          <w:rFonts w:eastAsia="Calibri"/>
          <w:sz w:val="20"/>
          <w:szCs w:val="20"/>
          <w:lang w:val="es-AR" w:eastAsia="en-US"/>
        </w:rPr>
        <w:t>un</w:t>
      </w:r>
      <w:r w:rsidR="001A28B3" w:rsidRPr="00EA7870">
        <w:rPr>
          <w:rFonts w:eastAsia="Calibri"/>
          <w:sz w:val="20"/>
          <w:szCs w:val="20"/>
          <w:lang w:val="es-AR" w:eastAsia="en-US"/>
        </w:rPr>
        <w:t xml:space="preserve"> </w:t>
      </w:r>
      <w:r w:rsidRPr="00EA7870">
        <w:rPr>
          <w:rFonts w:eastAsia="Calibri"/>
          <w:sz w:val="20"/>
          <w:szCs w:val="20"/>
          <w:lang w:val="es-AR" w:eastAsia="en-US"/>
        </w:rPr>
        <w:t>llamado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rescate,</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Emisora</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cualquier</w:t>
      </w:r>
      <w:r w:rsidR="001A28B3" w:rsidRPr="00EA7870">
        <w:rPr>
          <w:rFonts w:eastAsia="Calibri"/>
          <w:sz w:val="20"/>
          <w:szCs w:val="20"/>
          <w:lang w:val="es-AR" w:eastAsia="en-US"/>
        </w:rPr>
        <w:t xml:space="preserve"> </w:t>
      </w:r>
      <w:r w:rsidRPr="00EA7870">
        <w:rPr>
          <w:rFonts w:eastAsia="Calibri"/>
          <w:sz w:val="20"/>
          <w:szCs w:val="20"/>
          <w:lang w:val="es-AR" w:eastAsia="en-US"/>
        </w:rPr>
        <w:t>Subsidiaria</w:t>
      </w:r>
      <w:r w:rsidR="001A28B3" w:rsidRPr="00EA7870">
        <w:rPr>
          <w:rFonts w:eastAsia="Calibri"/>
          <w:sz w:val="20"/>
          <w:szCs w:val="20"/>
          <w:lang w:val="es-AR" w:eastAsia="en-US"/>
        </w:rPr>
        <w:t xml:space="preserve"> </w:t>
      </w:r>
      <w:r w:rsidRPr="00EA7870">
        <w:rPr>
          <w:rFonts w:eastAsia="Calibri"/>
          <w:sz w:val="20"/>
          <w:szCs w:val="20"/>
          <w:lang w:val="es-AR" w:eastAsia="en-US"/>
        </w:rPr>
        <w:t>hubiera</w:t>
      </w:r>
      <w:r w:rsidR="001A28B3" w:rsidRPr="00EA7870">
        <w:rPr>
          <w:rFonts w:eastAsia="Calibri"/>
          <w:sz w:val="20"/>
          <w:szCs w:val="20"/>
          <w:lang w:val="es-AR" w:eastAsia="en-US"/>
        </w:rPr>
        <w:t xml:space="preserve"> </w:t>
      </w:r>
      <w:r w:rsidRPr="00EA7870">
        <w:rPr>
          <w:rFonts w:eastAsia="Calibri"/>
          <w:sz w:val="20"/>
          <w:szCs w:val="20"/>
          <w:lang w:val="es-AR" w:eastAsia="en-US"/>
        </w:rPr>
        <w:t>depositado</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dispuesto</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depósito</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calidad</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fondos</w:t>
      </w:r>
      <w:r w:rsidR="001A28B3" w:rsidRPr="00EA7870">
        <w:rPr>
          <w:rFonts w:eastAsia="Calibri"/>
          <w:sz w:val="20"/>
          <w:szCs w:val="20"/>
          <w:lang w:val="es-AR" w:eastAsia="en-US"/>
        </w:rPr>
        <w:t xml:space="preserve"> </w:t>
      </w:r>
      <w:r w:rsidRPr="00EA7870">
        <w:rPr>
          <w:rFonts w:eastAsia="Calibri"/>
          <w:sz w:val="20"/>
          <w:szCs w:val="20"/>
          <w:lang w:val="es-AR" w:eastAsia="en-US"/>
        </w:rPr>
        <w:t>fideicomitidos</w:t>
      </w:r>
      <w:r w:rsidR="001A28B3" w:rsidRPr="00EA7870">
        <w:rPr>
          <w:rFonts w:eastAsia="Calibri"/>
          <w:sz w:val="20"/>
          <w:szCs w:val="20"/>
          <w:lang w:val="es-AR" w:eastAsia="en-US"/>
        </w:rPr>
        <w:t xml:space="preserve"> </w:t>
      </w:r>
      <w:r w:rsidRPr="00EA7870">
        <w:rPr>
          <w:rFonts w:eastAsia="Calibri"/>
          <w:sz w:val="20"/>
          <w:szCs w:val="20"/>
          <w:lang w:val="es-AR" w:eastAsia="en-US"/>
        </w:rPr>
        <w:t>exclusivamente</w:t>
      </w:r>
      <w:r w:rsidR="001A28B3" w:rsidRPr="00EA7870">
        <w:rPr>
          <w:rFonts w:eastAsia="Calibri"/>
          <w:sz w:val="20"/>
          <w:szCs w:val="20"/>
          <w:lang w:val="es-AR" w:eastAsia="en-US"/>
        </w:rPr>
        <w:t xml:space="preserve"> </w:t>
      </w:r>
      <w:r w:rsidRPr="00EA7870">
        <w:rPr>
          <w:rFonts w:eastAsia="Calibri"/>
          <w:sz w:val="20"/>
          <w:szCs w:val="20"/>
          <w:lang w:val="es-AR" w:eastAsia="en-US"/>
        </w:rPr>
        <w:t>para</w:t>
      </w:r>
      <w:r w:rsidR="001A28B3" w:rsidRPr="00EA7870">
        <w:rPr>
          <w:rFonts w:eastAsia="Calibri"/>
          <w:sz w:val="20"/>
          <w:szCs w:val="20"/>
          <w:lang w:val="es-AR" w:eastAsia="en-US"/>
        </w:rPr>
        <w:t xml:space="preserve"> </w:t>
      </w:r>
      <w:r w:rsidRPr="00EA7870">
        <w:rPr>
          <w:rFonts w:eastAsia="Calibri"/>
          <w:sz w:val="20"/>
          <w:szCs w:val="20"/>
          <w:lang w:val="es-AR" w:eastAsia="en-US"/>
        </w:rPr>
        <w:t>beneficio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los</w:t>
      </w:r>
      <w:r w:rsidR="001A28B3" w:rsidRPr="00EA7870">
        <w:rPr>
          <w:rFonts w:eastAsia="Calibri"/>
          <w:sz w:val="20"/>
          <w:szCs w:val="20"/>
          <w:lang w:val="es-AR" w:eastAsia="en-US"/>
        </w:rPr>
        <w:t xml:space="preserve"> </w:t>
      </w:r>
      <w:r w:rsidRPr="00EA7870">
        <w:rPr>
          <w:rFonts w:eastAsia="Calibri"/>
          <w:sz w:val="20"/>
          <w:szCs w:val="20"/>
          <w:lang w:val="es-AR" w:eastAsia="en-US"/>
        </w:rPr>
        <w:t>tenedores,</w:t>
      </w:r>
      <w:r w:rsidR="001A28B3" w:rsidRPr="00EA7870">
        <w:rPr>
          <w:rFonts w:eastAsia="Calibri"/>
          <w:sz w:val="20"/>
          <w:szCs w:val="20"/>
          <w:lang w:val="es-AR" w:eastAsia="en-US"/>
        </w:rPr>
        <w:t xml:space="preserve"> </w:t>
      </w:r>
      <w:r w:rsidRPr="00EA7870">
        <w:rPr>
          <w:rFonts w:eastAsia="Calibri"/>
          <w:sz w:val="20"/>
          <w:szCs w:val="20"/>
          <w:lang w:val="es-AR" w:eastAsia="en-US"/>
        </w:rPr>
        <w:t>efectivo</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007E69F5" w:rsidRPr="00EA7870">
        <w:rPr>
          <w:rFonts w:eastAsia="Calibri"/>
          <w:sz w:val="20"/>
          <w:szCs w:val="20"/>
          <w:lang w:val="es-AR" w:eastAsia="en-US"/>
        </w:rPr>
        <w:t>Dólares</w:t>
      </w:r>
      <w:r w:rsidR="001A28B3" w:rsidRPr="00EA7870">
        <w:rPr>
          <w:rFonts w:eastAsia="Calibri"/>
          <w:sz w:val="20"/>
          <w:szCs w:val="20"/>
          <w:lang w:val="es-AR" w:eastAsia="en-US"/>
        </w:rPr>
        <w:t xml:space="preserve"> </w:t>
      </w:r>
      <w:r w:rsidR="007E69F5" w:rsidRPr="00EA7870">
        <w:rPr>
          <w:rFonts w:eastAsia="Calibri"/>
          <w:sz w:val="20"/>
          <w:szCs w:val="20"/>
          <w:lang w:val="es-AR" w:eastAsia="en-US"/>
        </w:rPr>
        <w:t>Estadounidenses</w:t>
      </w:r>
      <w:r w:rsidRPr="00EA7870">
        <w:rPr>
          <w:rFonts w:eastAsia="Calibri"/>
          <w:sz w:val="20"/>
          <w:szCs w:val="20"/>
          <w:lang w:val="es-AR" w:eastAsia="en-US"/>
        </w:rPr>
        <w:t>,</w:t>
      </w:r>
      <w:r w:rsidR="001A28B3" w:rsidRPr="00EA7870">
        <w:rPr>
          <w:rFonts w:eastAsia="Calibri"/>
          <w:sz w:val="20"/>
          <w:szCs w:val="20"/>
          <w:lang w:val="es-AR" w:eastAsia="en-US"/>
        </w:rPr>
        <w:t xml:space="preserve"> </w:t>
      </w:r>
      <w:r w:rsidRPr="00EA7870">
        <w:rPr>
          <w:rFonts w:eastAsia="Calibri"/>
          <w:sz w:val="20"/>
          <w:szCs w:val="20"/>
          <w:lang w:val="es-AR" w:eastAsia="en-US"/>
        </w:rPr>
        <w:t>por</w:t>
      </w:r>
      <w:r w:rsidR="001A28B3" w:rsidRPr="00EA7870">
        <w:rPr>
          <w:rFonts w:eastAsia="Calibri"/>
          <w:sz w:val="20"/>
          <w:szCs w:val="20"/>
          <w:lang w:val="es-AR" w:eastAsia="en-US"/>
        </w:rPr>
        <w:t xml:space="preserve"> </w:t>
      </w:r>
      <w:r w:rsidRPr="00EA7870">
        <w:rPr>
          <w:rFonts w:eastAsia="Calibri"/>
          <w:sz w:val="20"/>
          <w:szCs w:val="20"/>
          <w:lang w:val="es-AR" w:eastAsia="en-US"/>
        </w:rPr>
        <w:t>montos</w:t>
      </w:r>
      <w:r w:rsidR="001A28B3" w:rsidRPr="00EA7870">
        <w:rPr>
          <w:rFonts w:eastAsia="Calibri"/>
          <w:sz w:val="20"/>
          <w:szCs w:val="20"/>
          <w:lang w:val="es-AR" w:eastAsia="en-US"/>
        </w:rPr>
        <w:t xml:space="preserve"> </w:t>
      </w:r>
      <w:r w:rsidRPr="00EA7870">
        <w:rPr>
          <w:rFonts w:eastAsia="Calibri"/>
          <w:sz w:val="20"/>
          <w:szCs w:val="20"/>
          <w:lang w:val="es-AR" w:eastAsia="en-US"/>
        </w:rPr>
        <w:t>suficientes</w:t>
      </w:r>
      <w:r w:rsidR="001A28B3" w:rsidRPr="00EA7870">
        <w:rPr>
          <w:rFonts w:eastAsia="Calibri"/>
          <w:sz w:val="20"/>
          <w:szCs w:val="20"/>
          <w:lang w:val="es-AR" w:eastAsia="en-US"/>
        </w:rPr>
        <w:t xml:space="preserve"> </w:t>
      </w:r>
      <w:r w:rsidRPr="00EA7870">
        <w:rPr>
          <w:rFonts w:eastAsia="Calibri"/>
          <w:sz w:val="20"/>
          <w:szCs w:val="20"/>
          <w:lang w:val="es-AR" w:eastAsia="en-US"/>
        </w:rPr>
        <w:t>para</w:t>
      </w:r>
      <w:r w:rsidR="001A28B3" w:rsidRPr="00EA7870">
        <w:rPr>
          <w:rFonts w:eastAsia="Calibri"/>
          <w:sz w:val="20"/>
          <w:szCs w:val="20"/>
          <w:lang w:val="es-AR" w:eastAsia="en-US"/>
        </w:rPr>
        <w:t xml:space="preserve"> </w:t>
      </w:r>
      <w:r w:rsidRPr="00EA7870">
        <w:rPr>
          <w:rFonts w:eastAsia="Calibri"/>
          <w:sz w:val="20"/>
          <w:szCs w:val="20"/>
          <w:lang w:val="es-AR" w:eastAsia="en-US"/>
        </w:rPr>
        <w:t>pagar</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cancelar</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deuda</w:t>
      </w:r>
      <w:r w:rsidR="001A28B3" w:rsidRPr="00EA7870">
        <w:rPr>
          <w:rFonts w:eastAsia="Calibri"/>
          <w:sz w:val="20"/>
          <w:szCs w:val="20"/>
          <w:lang w:val="es-AR" w:eastAsia="en-US"/>
        </w:rPr>
        <w:t xml:space="preserve"> </w:t>
      </w:r>
      <w:r w:rsidRPr="00EA7870">
        <w:rPr>
          <w:rFonts w:eastAsia="Calibri"/>
          <w:sz w:val="20"/>
          <w:szCs w:val="20"/>
          <w:lang w:val="es-AR" w:eastAsia="en-US"/>
        </w:rPr>
        <w:t>total</w:t>
      </w:r>
      <w:r w:rsidR="001A28B3" w:rsidRPr="00EA7870">
        <w:rPr>
          <w:rFonts w:eastAsia="Calibri"/>
          <w:sz w:val="20"/>
          <w:szCs w:val="20"/>
          <w:lang w:val="es-AR" w:eastAsia="en-US"/>
        </w:rPr>
        <w:t xml:space="preserve"> </w:t>
      </w:r>
      <w:r w:rsidRPr="00EA7870">
        <w:rPr>
          <w:rFonts w:eastAsia="Calibri"/>
          <w:sz w:val="20"/>
          <w:szCs w:val="20"/>
          <w:lang w:val="es-AR" w:eastAsia="en-US"/>
        </w:rPr>
        <w:t>sobre</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Negociables</w:t>
      </w:r>
      <w:r w:rsidR="001A28B3" w:rsidRPr="00EA7870">
        <w:rPr>
          <w:rFonts w:eastAsia="Calibri"/>
          <w:sz w:val="20"/>
          <w:szCs w:val="20"/>
          <w:lang w:val="es-AR" w:eastAsia="en-US"/>
        </w:rPr>
        <w:t xml:space="preserve"> </w:t>
      </w:r>
      <w:r w:rsidRPr="00EA7870">
        <w:rPr>
          <w:rFonts w:eastAsia="Calibri"/>
          <w:sz w:val="20"/>
          <w:szCs w:val="20"/>
          <w:lang w:val="es-AR" w:eastAsia="en-US"/>
        </w:rPr>
        <w:t>no</w:t>
      </w:r>
      <w:r w:rsidR="001A28B3" w:rsidRPr="00EA7870">
        <w:rPr>
          <w:rFonts w:eastAsia="Calibri"/>
          <w:sz w:val="20"/>
          <w:szCs w:val="20"/>
          <w:lang w:val="es-AR" w:eastAsia="en-US"/>
        </w:rPr>
        <w:t xml:space="preserve"> </w:t>
      </w:r>
      <w:r w:rsidRPr="00EA7870">
        <w:rPr>
          <w:rFonts w:eastAsia="Calibri"/>
          <w:sz w:val="20"/>
          <w:szCs w:val="20"/>
          <w:lang w:val="es-AR" w:eastAsia="en-US"/>
        </w:rPr>
        <w:t>entregadas</w:t>
      </w:r>
      <w:r w:rsidR="001A28B3" w:rsidRPr="00EA7870">
        <w:rPr>
          <w:rFonts w:eastAsia="Calibri"/>
          <w:sz w:val="20"/>
          <w:szCs w:val="20"/>
          <w:lang w:val="es-AR" w:eastAsia="en-US"/>
        </w:rPr>
        <w:t xml:space="preserve"> </w:t>
      </w:r>
      <w:r w:rsidRPr="00EA7870">
        <w:rPr>
          <w:rFonts w:eastAsia="Calibri"/>
          <w:sz w:val="20"/>
          <w:szCs w:val="20"/>
          <w:lang w:val="es-AR" w:eastAsia="en-US"/>
        </w:rPr>
        <w:t>al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para</w:t>
      </w:r>
      <w:r w:rsidR="001A28B3" w:rsidRPr="00EA7870">
        <w:rPr>
          <w:rFonts w:eastAsia="Calibri"/>
          <w:sz w:val="20"/>
          <w:szCs w:val="20"/>
          <w:lang w:val="es-AR" w:eastAsia="en-US"/>
        </w:rPr>
        <w:t xml:space="preserve"> </w:t>
      </w:r>
      <w:r w:rsidRPr="00EA7870">
        <w:rPr>
          <w:rFonts w:eastAsia="Calibri"/>
          <w:sz w:val="20"/>
          <w:szCs w:val="20"/>
          <w:lang w:val="es-AR" w:eastAsia="en-US"/>
        </w:rPr>
        <w:t>cancelación</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concepto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capital,</w:t>
      </w:r>
      <w:r w:rsidR="001A28B3" w:rsidRPr="00EA7870">
        <w:rPr>
          <w:rFonts w:eastAsia="Calibri"/>
          <w:sz w:val="20"/>
          <w:szCs w:val="20"/>
          <w:lang w:val="es-AR" w:eastAsia="en-US"/>
        </w:rPr>
        <w:t xml:space="preserve"> </w:t>
      </w:r>
      <w:r w:rsidRPr="00EA7870">
        <w:rPr>
          <w:rFonts w:eastAsia="Calibri"/>
          <w:sz w:val="20"/>
          <w:szCs w:val="20"/>
          <w:lang w:val="es-AR" w:eastAsia="en-US"/>
        </w:rPr>
        <w:t>prima</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Montos</w:t>
      </w:r>
      <w:r w:rsidR="001A28B3" w:rsidRPr="00EA7870">
        <w:rPr>
          <w:rFonts w:eastAsia="Calibri"/>
          <w:sz w:val="20"/>
          <w:szCs w:val="20"/>
          <w:lang w:val="es-AR" w:eastAsia="en-US"/>
        </w:rPr>
        <w:t xml:space="preserve"> </w:t>
      </w:r>
      <w:r w:rsidRPr="00EA7870">
        <w:rPr>
          <w:rFonts w:eastAsia="Calibri"/>
          <w:sz w:val="20"/>
          <w:szCs w:val="20"/>
          <w:lang w:val="es-AR" w:eastAsia="en-US"/>
        </w:rPr>
        <w:t>Adicionales,</w:t>
      </w:r>
      <w:r w:rsidR="001A28B3" w:rsidRPr="00EA7870">
        <w:rPr>
          <w:rFonts w:eastAsia="Calibri"/>
          <w:sz w:val="20"/>
          <w:szCs w:val="20"/>
          <w:lang w:val="es-AR" w:eastAsia="en-US"/>
        </w:rPr>
        <w:t xml:space="preserve"> </w:t>
      </w:r>
      <w:r w:rsidRPr="00EA7870">
        <w:rPr>
          <w:rFonts w:eastAsia="Calibri"/>
          <w:sz w:val="20"/>
          <w:szCs w:val="20"/>
          <w:lang w:val="es-AR" w:eastAsia="en-US"/>
        </w:rPr>
        <w:t>si</w:t>
      </w:r>
      <w:r w:rsidR="001A28B3" w:rsidRPr="00EA7870">
        <w:rPr>
          <w:rFonts w:eastAsia="Calibri"/>
          <w:sz w:val="20"/>
          <w:szCs w:val="20"/>
          <w:lang w:val="es-AR" w:eastAsia="en-US"/>
        </w:rPr>
        <w:t xml:space="preserve"> </w:t>
      </w:r>
      <w:r w:rsidRPr="00EA7870">
        <w:rPr>
          <w:rFonts w:eastAsia="Calibri"/>
          <w:sz w:val="20"/>
          <w:szCs w:val="20"/>
          <w:lang w:val="es-AR" w:eastAsia="en-US"/>
        </w:rPr>
        <w:t>hubiera,</w:t>
      </w:r>
      <w:r w:rsidR="001A28B3" w:rsidRPr="00EA7870">
        <w:rPr>
          <w:rFonts w:eastAsia="Calibri"/>
          <w:sz w:val="20"/>
          <w:szCs w:val="20"/>
          <w:lang w:val="es-AR" w:eastAsia="en-US"/>
        </w:rPr>
        <w:t xml:space="preserve"> </w:t>
      </w:r>
      <w:r w:rsidRPr="00EA7870">
        <w:rPr>
          <w:rFonts w:eastAsia="Calibri"/>
          <w:sz w:val="20"/>
          <w:szCs w:val="20"/>
          <w:lang w:val="es-AR" w:eastAsia="en-US"/>
        </w:rPr>
        <w:t>e</w:t>
      </w:r>
      <w:r w:rsidR="001A28B3" w:rsidRPr="00EA7870">
        <w:rPr>
          <w:rFonts w:eastAsia="Calibri"/>
          <w:sz w:val="20"/>
          <w:szCs w:val="20"/>
          <w:lang w:val="es-AR" w:eastAsia="en-US"/>
        </w:rPr>
        <w:t xml:space="preserve"> </w:t>
      </w:r>
      <w:r w:rsidRPr="00EA7870">
        <w:rPr>
          <w:rFonts w:eastAsia="Calibri"/>
          <w:sz w:val="20"/>
          <w:szCs w:val="20"/>
          <w:lang w:val="es-AR" w:eastAsia="en-US"/>
        </w:rPr>
        <w:t>intereses</w:t>
      </w:r>
      <w:r w:rsidR="001A28B3" w:rsidRPr="00EA7870">
        <w:rPr>
          <w:rFonts w:eastAsia="Calibri"/>
          <w:sz w:val="20"/>
          <w:szCs w:val="20"/>
          <w:lang w:val="es-AR" w:eastAsia="en-US"/>
        </w:rPr>
        <w:t xml:space="preserve"> </w:t>
      </w:r>
      <w:r w:rsidRPr="00EA7870">
        <w:rPr>
          <w:rFonts w:eastAsia="Calibri"/>
          <w:sz w:val="20"/>
          <w:szCs w:val="20"/>
          <w:lang w:val="es-AR" w:eastAsia="en-US"/>
        </w:rPr>
        <w:t>devengados</w:t>
      </w:r>
      <w:r w:rsidR="001A28B3" w:rsidRPr="00EA7870">
        <w:rPr>
          <w:rFonts w:eastAsia="Calibri"/>
          <w:sz w:val="20"/>
          <w:szCs w:val="20"/>
          <w:lang w:val="es-AR" w:eastAsia="en-US"/>
        </w:rPr>
        <w:t xml:space="preserve"> </w:t>
      </w:r>
      <w:r w:rsidRPr="00EA7870">
        <w:rPr>
          <w:rFonts w:eastAsia="Calibri"/>
          <w:sz w:val="20"/>
          <w:szCs w:val="20"/>
          <w:lang w:val="es-AR" w:eastAsia="en-US"/>
        </w:rPr>
        <w:t>hasta</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fecha</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dicho</w:t>
      </w:r>
      <w:r w:rsidR="001A28B3" w:rsidRPr="00EA7870">
        <w:rPr>
          <w:rFonts w:eastAsia="Calibri"/>
          <w:sz w:val="20"/>
          <w:szCs w:val="20"/>
          <w:lang w:val="es-AR" w:eastAsia="en-US"/>
        </w:rPr>
        <w:t xml:space="preserve"> </w:t>
      </w:r>
      <w:r w:rsidRPr="00EA7870">
        <w:rPr>
          <w:rFonts w:eastAsia="Calibri"/>
          <w:sz w:val="20"/>
          <w:szCs w:val="20"/>
          <w:lang w:val="es-AR" w:eastAsia="en-US"/>
        </w:rPr>
        <w:t>depósito</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caso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Negociables</w:t>
      </w:r>
      <w:r w:rsidR="001A28B3" w:rsidRPr="00EA7870">
        <w:rPr>
          <w:rFonts w:eastAsia="Calibri"/>
          <w:sz w:val="20"/>
          <w:szCs w:val="20"/>
          <w:lang w:val="es-AR" w:eastAsia="en-US"/>
        </w:rPr>
        <w:t xml:space="preserve"> </w:t>
      </w:r>
      <w:r w:rsidRPr="00EA7870">
        <w:rPr>
          <w:rFonts w:eastAsia="Calibri"/>
          <w:sz w:val="20"/>
          <w:szCs w:val="20"/>
          <w:lang w:val="es-AR" w:eastAsia="en-US"/>
        </w:rPr>
        <w:t>que</w:t>
      </w:r>
      <w:r w:rsidR="001A28B3" w:rsidRPr="00EA7870">
        <w:rPr>
          <w:rFonts w:eastAsia="Calibri"/>
          <w:sz w:val="20"/>
          <w:szCs w:val="20"/>
          <w:lang w:val="es-AR" w:eastAsia="en-US"/>
        </w:rPr>
        <w:t xml:space="preserve"> </w:t>
      </w:r>
      <w:r w:rsidRPr="00EA7870">
        <w:rPr>
          <w:rFonts w:eastAsia="Calibri"/>
          <w:sz w:val="20"/>
          <w:szCs w:val="20"/>
          <w:lang w:val="es-AR" w:eastAsia="en-US"/>
        </w:rPr>
        <w:t>se</w:t>
      </w:r>
      <w:r w:rsidR="001A28B3" w:rsidRPr="00EA7870">
        <w:rPr>
          <w:rFonts w:eastAsia="Calibri"/>
          <w:sz w:val="20"/>
          <w:szCs w:val="20"/>
          <w:lang w:val="es-AR" w:eastAsia="en-US"/>
        </w:rPr>
        <w:t xml:space="preserve"> </w:t>
      </w:r>
      <w:r w:rsidRPr="00EA7870">
        <w:rPr>
          <w:rFonts w:eastAsia="Calibri"/>
          <w:sz w:val="20"/>
          <w:szCs w:val="20"/>
          <w:lang w:val="es-AR" w:eastAsia="en-US"/>
        </w:rPr>
        <w:t>hayan</w:t>
      </w:r>
      <w:r w:rsidR="001A28B3" w:rsidRPr="00EA7870">
        <w:rPr>
          <w:rFonts w:eastAsia="Calibri"/>
          <w:sz w:val="20"/>
          <w:szCs w:val="20"/>
          <w:lang w:val="es-AR" w:eastAsia="en-US"/>
        </w:rPr>
        <w:t xml:space="preserve"> </w:t>
      </w:r>
      <w:r w:rsidRPr="00EA7870">
        <w:rPr>
          <w:rFonts w:eastAsia="Calibri"/>
          <w:sz w:val="20"/>
          <w:szCs w:val="20"/>
          <w:lang w:val="es-AR" w:eastAsia="en-US"/>
        </w:rPr>
        <w:t>tornado</w:t>
      </w:r>
      <w:r w:rsidR="001A28B3" w:rsidRPr="00EA7870">
        <w:rPr>
          <w:rFonts w:eastAsia="Calibri"/>
          <w:sz w:val="20"/>
          <w:szCs w:val="20"/>
          <w:lang w:val="es-AR" w:eastAsia="en-US"/>
        </w:rPr>
        <w:t xml:space="preserve"> </w:t>
      </w:r>
      <w:r w:rsidRPr="00EA7870">
        <w:rPr>
          <w:rFonts w:eastAsia="Calibri"/>
          <w:sz w:val="20"/>
          <w:szCs w:val="20"/>
          <w:lang w:val="es-AR" w:eastAsia="en-US"/>
        </w:rPr>
        <w:t>vencidas</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exigibles)</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hasta</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Vencimiento</w:t>
      </w:r>
      <w:r w:rsidR="001A28B3" w:rsidRPr="00EA7870">
        <w:rPr>
          <w:rFonts w:eastAsia="Calibri"/>
          <w:sz w:val="20"/>
          <w:szCs w:val="20"/>
          <w:lang w:val="es-AR" w:eastAsia="en-US"/>
        </w:rPr>
        <w:t xml:space="preserve"> </w:t>
      </w:r>
      <w:r w:rsidRPr="00EA7870">
        <w:rPr>
          <w:rFonts w:eastAsia="Calibri"/>
          <w:sz w:val="20"/>
          <w:szCs w:val="20"/>
          <w:lang w:val="es-AR" w:eastAsia="en-US"/>
        </w:rPr>
        <w:t>Declarado</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fecha</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rescate,</w:t>
      </w:r>
      <w:r w:rsidR="001A28B3" w:rsidRPr="00EA7870">
        <w:rPr>
          <w:rFonts w:eastAsia="Calibri"/>
          <w:sz w:val="20"/>
          <w:szCs w:val="20"/>
          <w:lang w:val="es-AR" w:eastAsia="en-US"/>
        </w:rPr>
        <w:t xml:space="preserve"> </w:t>
      </w:r>
      <w:r w:rsidRPr="00EA7870">
        <w:rPr>
          <w:rFonts w:eastAsia="Calibri"/>
          <w:sz w:val="20"/>
          <w:szCs w:val="20"/>
          <w:lang w:val="es-AR" w:eastAsia="en-US"/>
        </w:rPr>
        <w:t>según</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caso;</w:t>
      </w:r>
      <w:r w:rsidR="001A28B3" w:rsidRPr="00EA7870">
        <w:rPr>
          <w:rFonts w:eastAsia="Calibri"/>
          <w:sz w:val="20"/>
          <w:szCs w:val="20"/>
          <w:lang w:val="es-AR" w:eastAsia="en-US"/>
        </w:rPr>
        <w:t xml:space="preserve"> </w:t>
      </w:r>
      <w:r w:rsidRPr="00EA7870">
        <w:rPr>
          <w:rFonts w:eastAsia="Calibri"/>
          <w:sz w:val="20"/>
          <w:szCs w:val="20"/>
          <w:lang w:val="es-AR" w:eastAsia="en-US"/>
        </w:rPr>
        <w:t>(ii)</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Emisora</w:t>
      </w:r>
      <w:r w:rsidR="001A28B3" w:rsidRPr="00EA7870">
        <w:rPr>
          <w:rFonts w:eastAsia="Calibri"/>
          <w:sz w:val="20"/>
          <w:szCs w:val="20"/>
          <w:lang w:val="es-AR" w:eastAsia="en-US"/>
        </w:rPr>
        <w:t xml:space="preserve"> </w:t>
      </w:r>
      <w:r w:rsidRPr="00EA7870">
        <w:rPr>
          <w:rFonts w:eastAsia="Calibri"/>
          <w:sz w:val="20"/>
          <w:szCs w:val="20"/>
          <w:lang w:val="es-AR" w:eastAsia="en-US"/>
        </w:rPr>
        <w:t>hubiera</w:t>
      </w:r>
      <w:r w:rsidR="001A28B3" w:rsidRPr="00EA7870">
        <w:rPr>
          <w:rFonts w:eastAsia="Calibri"/>
          <w:sz w:val="20"/>
          <w:szCs w:val="20"/>
          <w:lang w:val="es-AR" w:eastAsia="en-US"/>
        </w:rPr>
        <w:t xml:space="preserve"> </w:t>
      </w:r>
      <w:r w:rsidRPr="00EA7870">
        <w:rPr>
          <w:rFonts w:eastAsia="Calibri"/>
          <w:sz w:val="20"/>
          <w:szCs w:val="20"/>
          <w:lang w:val="es-AR" w:eastAsia="en-US"/>
        </w:rPr>
        <w:t>pagado</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dispuesto</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pago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todas</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sumas</w:t>
      </w:r>
      <w:r w:rsidR="001A28B3" w:rsidRPr="00EA7870">
        <w:rPr>
          <w:rFonts w:eastAsia="Calibri"/>
          <w:sz w:val="20"/>
          <w:szCs w:val="20"/>
          <w:lang w:val="es-AR" w:eastAsia="en-US"/>
        </w:rPr>
        <w:t xml:space="preserve"> </w:t>
      </w:r>
      <w:r w:rsidRPr="00EA7870">
        <w:rPr>
          <w:rFonts w:eastAsia="Calibri"/>
          <w:sz w:val="20"/>
          <w:szCs w:val="20"/>
          <w:lang w:val="es-AR" w:eastAsia="en-US"/>
        </w:rPr>
        <w:t>pagaderas</w:t>
      </w:r>
      <w:r w:rsidR="001A28B3" w:rsidRPr="00EA7870">
        <w:rPr>
          <w:rFonts w:eastAsia="Calibri"/>
          <w:sz w:val="20"/>
          <w:szCs w:val="20"/>
          <w:lang w:val="es-AR" w:eastAsia="en-US"/>
        </w:rPr>
        <w:t xml:space="preserve"> </w:t>
      </w:r>
      <w:r w:rsidRPr="00EA7870">
        <w:rPr>
          <w:rFonts w:eastAsia="Calibri"/>
          <w:sz w:val="20"/>
          <w:szCs w:val="20"/>
          <w:lang w:val="es-AR" w:eastAsia="en-US"/>
        </w:rPr>
        <w:t>por</w:t>
      </w:r>
      <w:r w:rsidR="001A28B3" w:rsidRPr="00EA7870">
        <w:rPr>
          <w:rFonts w:eastAsia="Calibri"/>
          <w:sz w:val="20"/>
          <w:szCs w:val="20"/>
          <w:lang w:val="es-AR" w:eastAsia="en-US"/>
        </w:rPr>
        <w:t xml:space="preserve"> </w:t>
      </w:r>
      <w:r w:rsidRPr="00EA7870">
        <w:rPr>
          <w:rFonts w:eastAsia="Calibri"/>
          <w:sz w:val="20"/>
          <w:szCs w:val="20"/>
          <w:lang w:val="es-AR" w:eastAsia="en-US"/>
        </w:rPr>
        <w:t>ella</w:t>
      </w:r>
      <w:r w:rsidR="001A28B3" w:rsidRPr="00EA7870">
        <w:rPr>
          <w:rFonts w:eastAsia="Calibri"/>
          <w:sz w:val="20"/>
          <w:szCs w:val="20"/>
          <w:lang w:val="es-AR" w:eastAsia="en-US"/>
        </w:rPr>
        <w:t xml:space="preserve"> </w:t>
      </w:r>
      <w:r w:rsidRPr="00EA7870">
        <w:rPr>
          <w:rFonts w:eastAsia="Calibri"/>
          <w:sz w:val="20"/>
          <w:szCs w:val="20"/>
          <w:lang w:val="es-AR" w:eastAsia="en-US"/>
        </w:rPr>
        <w:t>bajo</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Contrato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r w:rsidR="001A28B3" w:rsidRPr="00EA7870">
        <w:rPr>
          <w:rFonts w:eastAsia="Calibri"/>
          <w:sz w:val="20"/>
          <w:szCs w:val="20"/>
          <w:lang w:val="es-AR" w:eastAsia="en-US"/>
        </w:rPr>
        <w:t xml:space="preserve"> </w:t>
      </w:r>
      <w:r w:rsidRPr="00EA7870">
        <w:rPr>
          <w:rFonts w:eastAsia="Calibri"/>
          <w:sz w:val="20"/>
          <w:szCs w:val="20"/>
          <w:lang w:val="es-AR" w:eastAsia="en-US"/>
        </w:rPr>
        <w:t>(iii)</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Emisora</w:t>
      </w:r>
      <w:r w:rsidR="001A28B3" w:rsidRPr="00EA7870">
        <w:rPr>
          <w:rFonts w:eastAsia="Calibri"/>
          <w:sz w:val="20"/>
          <w:szCs w:val="20"/>
          <w:lang w:val="es-AR" w:eastAsia="en-US"/>
        </w:rPr>
        <w:t xml:space="preserve"> </w:t>
      </w:r>
      <w:r w:rsidRPr="00EA7870">
        <w:rPr>
          <w:rFonts w:eastAsia="Calibri"/>
          <w:sz w:val="20"/>
          <w:szCs w:val="20"/>
          <w:lang w:val="es-AR" w:eastAsia="en-US"/>
        </w:rPr>
        <w:t>hubiera</w:t>
      </w:r>
      <w:r w:rsidR="001A28B3" w:rsidRPr="00EA7870">
        <w:rPr>
          <w:rFonts w:eastAsia="Calibri"/>
          <w:sz w:val="20"/>
          <w:szCs w:val="20"/>
          <w:lang w:val="es-AR" w:eastAsia="en-US"/>
        </w:rPr>
        <w:t xml:space="preserve"> </w:t>
      </w:r>
      <w:r w:rsidRPr="00EA7870">
        <w:rPr>
          <w:rFonts w:eastAsia="Calibri"/>
          <w:sz w:val="20"/>
          <w:szCs w:val="20"/>
          <w:lang w:val="es-AR" w:eastAsia="en-US"/>
        </w:rPr>
        <w:t>entregado</w:t>
      </w:r>
      <w:r w:rsidR="001A28B3" w:rsidRPr="00EA7870">
        <w:rPr>
          <w:rFonts w:eastAsia="Calibri"/>
          <w:sz w:val="20"/>
          <w:szCs w:val="20"/>
          <w:lang w:val="es-AR" w:eastAsia="en-US"/>
        </w:rPr>
        <w:t xml:space="preserve"> </w:t>
      </w:r>
      <w:r w:rsidRPr="00EA7870">
        <w:rPr>
          <w:rFonts w:eastAsia="Calibri"/>
          <w:sz w:val="20"/>
          <w:szCs w:val="20"/>
          <w:lang w:val="es-AR" w:eastAsia="en-US"/>
        </w:rPr>
        <w:t>al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un</w:t>
      </w:r>
      <w:r w:rsidR="001A28B3" w:rsidRPr="00EA7870">
        <w:rPr>
          <w:rFonts w:eastAsia="Calibri"/>
          <w:sz w:val="20"/>
          <w:szCs w:val="20"/>
          <w:lang w:val="es-AR" w:eastAsia="en-US"/>
        </w:rPr>
        <w:t xml:space="preserve"> </w:t>
      </w:r>
      <w:r w:rsidRPr="00EA7870">
        <w:rPr>
          <w:rFonts w:eastAsia="Calibri"/>
          <w:sz w:val="20"/>
          <w:szCs w:val="20"/>
          <w:lang w:val="es-AR" w:eastAsia="en-US"/>
        </w:rPr>
        <w:t>Certificado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Funcionarios</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una</w:t>
      </w:r>
      <w:r w:rsidR="001A28B3" w:rsidRPr="00EA7870">
        <w:rPr>
          <w:rFonts w:eastAsia="Calibri"/>
          <w:sz w:val="20"/>
          <w:szCs w:val="20"/>
          <w:lang w:val="es-AR" w:eastAsia="en-US"/>
        </w:rPr>
        <w:t xml:space="preserve"> </w:t>
      </w:r>
      <w:r w:rsidRPr="00EA7870">
        <w:rPr>
          <w:rFonts w:eastAsia="Calibri"/>
          <w:sz w:val="20"/>
          <w:szCs w:val="20"/>
          <w:lang w:val="es-AR" w:eastAsia="en-US"/>
        </w:rPr>
        <w:t>Opinión</w:t>
      </w:r>
      <w:r w:rsidR="001A28B3" w:rsidRPr="00EA7870">
        <w:rPr>
          <w:rFonts w:eastAsia="Calibri"/>
          <w:sz w:val="20"/>
          <w:szCs w:val="20"/>
          <w:lang w:val="es-AR" w:eastAsia="en-US"/>
        </w:rPr>
        <w:t xml:space="preserve"> </w:t>
      </w:r>
      <w:r w:rsidRPr="00EA7870">
        <w:rPr>
          <w:rFonts w:eastAsia="Calibri"/>
          <w:sz w:val="20"/>
          <w:szCs w:val="20"/>
          <w:lang w:val="es-AR" w:eastAsia="en-US"/>
        </w:rPr>
        <w:t>Legal</w:t>
      </w:r>
      <w:r w:rsidR="001A28B3" w:rsidRPr="00EA7870">
        <w:rPr>
          <w:rFonts w:eastAsia="Calibri"/>
          <w:sz w:val="20"/>
          <w:szCs w:val="20"/>
          <w:lang w:val="es-AR" w:eastAsia="en-US"/>
        </w:rPr>
        <w:t xml:space="preserve"> </w:t>
      </w:r>
      <w:r w:rsidRPr="00EA7870">
        <w:rPr>
          <w:rFonts w:eastAsia="Calibri"/>
          <w:sz w:val="20"/>
          <w:szCs w:val="20"/>
          <w:lang w:val="es-AR" w:eastAsia="en-US"/>
        </w:rPr>
        <w:t>acreditando</w:t>
      </w:r>
      <w:r w:rsidR="001A28B3" w:rsidRPr="00EA7870">
        <w:rPr>
          <w:rFonts w:eastAsia="Calibri"/>
          <w:sz w:val="20"/>
          <w:szCs w:val="20"/>
          <w:lang w:val="es-AR" w:eastAsia="en-US"/>
        </w:rPr>
        <w:t xml:space="preserve"> </w:t>
      </w:r>
      <w:r w:rsidRPr="00EA7870">
        <w:rPr>
          <w:rFonts w:eastAsia="Calibri"/>
          <w:sz w:val="20"/>
          <w:szCs w:val="20"/>
          <w:lang w:val="es-AR" w:eastAsia="en-US"/>
        </w:rPr>
        <w:t>que</w:t>
      </w:r>
      <w:r w:rsidR="001A28B3" w:rsidRPr="00EA7870">
        <w:rPr>
          <w:rFonts w:eastAsia="Calibri"/>
          <w:sz w:val="20"/>
          <w:szCs w:val="20"/>
          <w:lang w:val="es-AR" w:eastAsia="en-US"/>
        </w:rPr>
        <w:t xml:space="preserve"> </w:t>
      </w:r>
      <w:r w:rsidRPr="00EA7870">
        <w:rPr>
          <w:rFonts w:eastAsia="Calibri"/>
          <w:sz w:val="20"/>
          <w:szCs w:val="20"/>
          <w:lang w:val="es-AR" w:eastAsia="en-US"/>
        </w:rPr>
        <w:t>se</w:t>
      </w:r>
      <w:r w:rsidR="001A28B3" w:rsidRPr="00EA7870">
        <w:rPr>
          <w:rFonts w:eastAsia="Calibri"/>
          <w:sz w:val="20"/>
          <w:szCs w:val="20"/>
          <w:lang w:val="es-AR" w:eastAsia="en-US"/>
        </w:rPr>
        <w:t xml:space="preserve"> </w:t>
      </w:r>
      <w:r w:rsidRPr="00EA7870">
        <w:rPr>
          <w:rFonts w:eastAsia="Calibri"/>
          <w:sz w:val="20"/>
          <w:szCs w:val="20"/>
          <w:lang w:val="es-AR" w:eastAsia="en-US"/>
        </w:rPr>
        <w:t>han</w:t>
      </w:r>
      <w:r w:rsidR="001A28B3" w:rsidRPr="00EA7870">
        <w:rPr>
          <w:rFonts w:eastAsia="Calibri"/>
          <w:sz w:val="20"/>
          <w:szCs w:val="20"/>
          <w:lang w:val="es-AR" w:eastAsia="en-US"/>
        </w:rPr>
        <w:t xml:space="preserve"> </w:t>
      </w:r>
      <w:r w:rsidRPr="00EA7870">
        <w:rPr>
          <w:rFonts w:eastAsia="Calibri"/>
          <w:sz w:val="20"/>
          <w:szCs w:val="20"/>
          <w:lang w:val="es-AR" w:eastAsia="en-US"/>
        </w:rPr>
        <w:t>satisfecho</w:t>
      </w:r>
      <w:r w:rsidR="001A28B3" w:rsidRPr="00EA7870">
        <w:rPr>
          <w:rFonts w:eastAsia="Calibri"/>
          <w:sz w:val="20"/>
          <w:szCs w:val="20"/>
          <w:lang w:val="es-AR" w:eastAsia="en-US"/>
        </w:rPr>
        <w:t xml:space="preserve"> </w:t>
      </w:r>
      <w:r w:rsidRPr="00EA7870">
        <w:rPr>
          <w:rFonts w:eastAsia="Calibri"/>
          <w:sz w:val="20"/>
          <w:szCs w:val="20"/>
          <w:lang w:val="es-AR" w:eastAsia="en-US"/>
        </w:rPr>
        <w:t>todas</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condiciones</w:t>
      </w:r>
      <w:r w:rsidR="001A28B3" w:rsidRPr="00EA7870">
        <w:rPr>
          <w:rFonts w:eastAsia="Calibri"/>
          <w:sz w:val="20"/>
          <w:szCs w:val="20"/>
          <w:lang w:val="es-AR" w:eastAsia="en-US"/>
        </w:rPr>
        <w:t xml:space="preserve"> </w:t>
      </w:r>
      <w:r w:rsidRPr="00EA7870">
        <w:rPr>
          <w:rFonts w:eastAsia="Calibri"/>
          <w:sz w:val="20"/>
          <w:szCs w:val="20"/>
          <w:lang w:val="es-AR" w:eastAsia="en-US"/>
        </w:rPr>
        <w:t>precedentes</w:t>
      </w:r>
      <w:r w:rsidR="001A28B3" w:rsidRPr="00EA7870">
        <w:rPr>
          <w:rFonts w:eastAsia="Calibri"/>
          <w:sz w:val="20"/>
          <w:szCs w:val="20"/>
          <w:lang w:val="es-AR" w:eastAsia="en-US"/>
        </w:rPr>
        <w:t xml:space="preserve"> </w:t>
      </w:r>
      <w:r w:rsidRPr="00EA7870">
        <w:rPr>
          <w:rFonts w:eastAsia="Calibri"/>
          <w:sz w:val="20"/>
          <w:szCs w:val="20"/>
          <w:lang w:val="es-AR" w:eastAsia="en-US"/>
        </w:rPr>
        <w:t>para</w:t>
      </w:r>
      <w:r w:rsidR="001A28B3" w:rsidRPr="00EA7870">
        <w:rPr>
          <w:rFonts w:eastAsia="Calibri"/>
          <w:sz w:val="20"/>
          <w:szCs w:val="20"/>
          <w:lang w:val="es-AR" w:eastAsia="en-US"/>
        </w:rPr>
        <w:t xml:space="preserve"> </w:t>
      </w:r>
      <w:r w:rsidRPr="00EA7870">
        <w:rPr>
          <w:rFonts w:eastAsia="Calibri"/>
          <w:sz w:val="20"/>
          <w:szCs w:val="20"/>
          <w:lang w:val="es-AR" w:eastAsia="en-US"/>
        </w:rPr>
        <w:t>dicha</w:t>
      </w:r>
      <w:r w:rsidR="001A28B3" w:rsidRPr="00EA7870">
        <w:rPr>
          <w:rFonts w:eastAsia="Calibri"/>
          <w:sz w:val="20"/>
          <w:szCs w:val="20"/>
          <w:lang w:val="es-AR" w:eastAsia="en-US"/>
        </w:rPr>
        <w:t xml:space="preserve"> </w:t>
      </w:r>
      <w:r w:rsidRPr="00EA7870">
        <w:rPr>
          <w:rFonts w:eastAsia="Calibri"/>
          <w:sz w:val="20"/>
          <w:szCs w:val="20"/>
          <w:lang w:val="es-AR" w:eastAsia="en-US"/>
        </w:rPr>
        <w:t>satisfacción</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descargo,</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(iv)</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Emisora</w:t>
      </w:r>
      <w:r w:rsidR="001A28B3" w:rsidRPr="00EA7870">
        <w:rPr>
          <w:rFonts w:eastAsia="Calibri"/>
          <w:sz w:val="20"/>
          <w:szCs w:val="20"/>
          <w:lang w:val="es-AR" w:eastAsia="en-US"/>
        </w:rPr>
        <w:t xml:space="preserve"> </w:t>
      </w:r>
      <w:r w:rsidRPr="00EA7870">
        <w:rPr>
          <w:rFonts w:eastAsia="Calibri"/>
          <w:sz w:val="20"/>
          <w:szCs w:val="20"/>
          <w:lang w:val="es-AR" w:eastAsia="en-US"/>
        </w:rPr>
        <w:t>hubiera</w:t>
      </w:r>
      <w:r w:rsidR="001A28B3" w:rsidRPr="00EA7870">
        <w:rPr>
          <w:rFonts w:eastAsia="Calibri"/>
          <w:sz w:val="20"/>
          <w:szCs w:val="20"/>
          <w:lang w:val="es-AR" w:eastAsia="en-US"/>
        </w:rPr>
        <w:t xml:space="preserve"> </w:t>
      </w:r>
      <w:r w:rsidRPr="00EA7870">
        <w:rPr>
          <w:rFonts w:eastAsia="Calibri"/>
          <w:sz w:val="20"/>
          <w:szCs w:val="20"/>
          <w:lang w:val="es-AR" w:eastAsia="en-US"/>
        </w:rPr>
        <w:t>entregado</w:t>
      </w:r>
      <w:r w:rsidR="001A28B3" w:rsidRPr="00EA7870">
        <w:rPr>
          <w:rFonts w:eastAsia="Calibri"/>
          <w:sz w:val="20"/>
          <w:szCs w:val="20"/>
          <w:lang w:val="es-AR" w:eastAsia="en-US"/>
        </w:rPr>
        <w:t xml:space="preserve"> </w:t>
      </w:r>
      <w:r w:rsidRPr="00EA7870">
        <w:rPr>
          <w:rFonts w:eastAsia="Calibri"/>
          <w:sz w:val="20"/>
          <w:szCs w:val="20"/>
          <w:lang w:val="es-AR" w:eastAsia="en-US"/>
        </w:rPr>
        <w:t>instrucciones</w:t>
      </w:r>
      <w:r w:rsidR="001A28B3" w:rsidRPr="00EA7870">
        <w:rPr>
          <w:rFonts w:eastAsia="Calibri"/>
          <w:sz w:val="20"/>
          <w:szCs w:val="20"/>
          <w:lang w:val="es-AR" w:eastAsia="en-US"/>
        </w:rPr>
        <w:t xml:space="preserve"> </w:t>
      </w:r>
      <w:r w:rsidRPr="00EA7870">
        <w:rPr>
          <w:rFonts w:eastAsia="Calibri"/>
          <w:sz w:val="20"/>
          <w:szCs w:val="20"/>
          <w:lang w:val="es-AR" w:eastAsia="en-US"/>
        </w:rPr>
        <w:t>irrevocables</w:t>
      </w:r>
      <w:r w:rsidR="001A28B3" w:rsidRPr="00EA7870">
        <w:rPr>
          <w:rFonts w:eastAsia="Calibri"/>
          <w:sz w:val="20"/>
          <w:szCs w:val="20"/>
          <w:lang w:val="es-AR" w:eastAsia="en-US"/>
        </w:rPr>
        <w:t xml:space="preserve"> </w:t>
      </w:r>
      <w:r w:rsidRPr="00EA7870">
        <w:rPr>
          <w:rFonts w:eastAsia="Calibri"/>
          <w:sz w:val="20"/>
          <w:szCs w:val="20"/>
          <w:lang w:val="es-AR" w:eastAsia="en-US"/>
        </w:rPr>
        <w:t>al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bajo</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Contrato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destinar</w:t>
      </w:r>
      <w:r w:rsidR="001A28B3" w:rsidRPr="00EA7870">
        <w:rPr>
          <w:rFonts w:eastAsia="Calibri"/>
          <w:sz w:val="20"/>
          <w:szCs w:val="20"/>
          <w:lang w:val="es-AR" w:eastAsia="en-US"/>
        </w:rPr>
        <w:t xml:space="preserve"> </w:t>
      </w:r>
      <w:r w:rsidRPr="00EA7870">
        <w:rPr>
          <w:rFonts w:eastAsia="Calibri"/>
          <w:sz w:val="20"/>
          <w:szCs w:val="20"/>
          <w:lang w:val="es-AR" w:eastAsia="en-US"/>
        </w:rPr>
        <w:t>los</w:t>
      </w:r>
      <w:r w:rsidR="001A28B3" w:rsidRPr="00EA7870">
        <w:rPr>
          <w:rFonts w:eastAsia="Calibri"/>
          <w:sz w:val="20"/>
          <w:szCs w:val="20"/>
          <w:lang w:val="es-AR" w:eastAsia="en-US"/>
        </w:rPr>
        <w:t xml:space="preserve"> </w:t>
      </w:r>
      <w:r w:rsidRPr="00EA7870">
        <w:rPr>
          <w:rFonts w:eastAsia="Calibri"/>
          <w:sz w:val="20"/>
          <w:szCs w:val="20"/>
          <w:lang w:val="es-AR" w:eastAsia="en-US"/>
        </w:rPr>
        <w:t>fondos</w:t>
      </w:r>
      <w:r w:rsidR="001A28B3" w:rsidRPr="00EA7870">
        <w:rPr>
          <w:rFonts w:eastAsia="Calibri"/>
          <w:sz w:val="20"/>
          <w:szCs w:val="20"/>
          <w:lang w:val="es-AR" w:eastAsia="en-US"/>
        </w:rPr>
        <w:t xml:space="preserve"> </w:t>
      </w:r>
      <w:r w:rsidRPr="00EA7870">
        <w:rPr>
          <w:rFonts w:eastAsia="Calibri"/>
          <w:sz w:val="20"/>
          <w:szCs w:val="20"/>
          <w:lang w:val="es-AR" w:eastAsia="en-US"/>
        </w:rPr>
        <w:t>depositados</w:t>
      </w:r>
      <w:r w:rsidR="001A28B3" w:rsidRPr="00EA7870">
        <w:rPr>
          <w:rFonts w:eastAsia="Calibri"/>
          <w:sz w:val="20"/>
          <w:szCs w:val="20"/>
          <w:lang w:val="es-AR" w:eastAsia="en-US"/>
        </w:rPr>
        <w:t xml:space="preserve"> </w:t>
      </w:r>
      <w:r w:rsidRPr="00EA7870">
        <w:rPr>
          <w:rFonts w:eastAsia="Calibri"/>
          <w:sz w:val="20"/>
          <w:szCs w:val="20"/>
          <w:lang w:val="es-AR" w:eastAsia="en-US"/>
        </w:rPr>
        <w:t>al</w:t>
      </w:r>
      <w:r w:rsidR="001A28B3" w:rsidRPr="00EA7870">
        <w:rPr>
          <w:rFonts w:eastAsia="Calibri"/>
          <w:sz w:val="20"/>
          <w:szCs w:val="20"/>
          <w:lang w:val="es-AR" w:eastAsia="en-US"/>
        </w:rPr>
        <w:t xml:space="preserve"> </w:t>
      </w:r>
      <w:r w:rsidRPr="00EA7870">
        <w:rPr>
          <w:rFonts w:eastAsia="Calibri"/>
          <w:sz w:val="20"/>
          <w:szCs w:val="20"/>
          <w:lang w:val="es-AR" w:eastAsia="en-US"/>
        </w:rPr>
        <w:t>pago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Negociables</w:t>
      </w:r>
      <w:r w:rsidR="001A28B3" w:rsidRPr="00EA7870">
        <w:rPr>
          <w:rFonts w:eastAsia="Calibri"/>
          <w:sz w:val="20"/>
          <w:szCs w:val="20"/>
          <w:lang w:val="es-AR" w:eastAsia="en-US"/>
        </w:rPr>
        <w:t xml:space="preserve"> </w:t>
      </w:r>
      <w:r w:rsidRPr="00EA7870">
        <w:rPr>
          <w:rFonts w:eastAsia="Calibri"/>
          <w:sz w:val="20"/>
          <w:szCs w:val="20"/>
          <w:lang w:val="es-AR" w:eastAsia="en-US"/>
        </w:rPr>
        <w:t>a</w:t>
      </w:r>
      <w:r w:rsidR="001A28B3" w:rsidRPr="00EA7870">
        <w:rPr>
          <w:rFonts w:eastAsia="Calibri"/>
          <w:sz w:val="20"/>
          <w:szCs w:val="20"/>
          <w:lang w:val="es-AR" w:eastAsia="en-US"/>
        </w:rPr>
        <w:t xml:space="preserve"> </w:t>
      </w:r>
      <w:r w:rsidRPr="00EA7870">
        <w:rPr>
          <w:rFonts w:eastAsia="Calibri"/>
          <w:sz w:val="20"/>
          <w:szCs w:val="20"/>
          <w:lang w:val="es-AR" w:eastAsia="en-US"/>
        </w:rPr>
        <w:t>su</w:t>
      </w:r>
      <w:r w:rsidR="001A28B3" w:rsidRPr="00EA7870">
        <w:rPr>
          <w:rFonts w:eastAsia="Calibri"/>
          <w:sz w:val="20"/>
          <w:szCs w:val="20"/>
          <w:lang w:val="es-AR" w:eastAsia="en-US"/>
        </w:rPr>
        <w:t xml:space="preserve"> </w:t>
      </w:r>
      <w:r w:rsidRPr="00EA7870">
        <w:rPr>
          <w:rFonts w:eastAsia="Calibri"/>
          <w:sz w:val="20"/>
          <w:szCs w:val="20"/>
          <w:lang w:val="es-AR" w:eastAsia="en-US"/>
        </w:rPr>
        <w:t>vencimiento</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fecha</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rescate,</w:t>
      </w:r>
      <w:r w:rsidR="001A28B3" w:rsidRPr="00EA7870">
        <w:rPr>
          <w:rFonts w:eastAsia="Calibri"/>
          <w:sz w:val="20"/>
          <w:szCs w:val="20"/>
          <w:lang w:val="es-AR" w:eastAsia="en-US"/>
        </w:rPr>
        <w:t xml:space="preserve"> </w:t>
      </w:r>
      <w:r w:rsidRPr="00EA7870">
        <w:rPr>
          <w:rFonts w:eastAsia="Calibri"/>
          <w:sz w:val="20"/>
          <w:szCs w:val="20"/>
          <w:lang w:val="es-AR" w:eastAsia="en-US"/>
        </w:rPr>
        <w:t>según</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caso.</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Emisora</w:t>
      </w:r>
      <w:r w:rsidR="001A28B3" w:rsidRPr="00EA7870">
        <w:rPr>
          <w:rFonts w:eastAsia="Calibri"/>
          <w:sz w:val="20"/>
          <w:szCs w:val="20"/>
          <w:lang w:val="es-AR" w:eastAsia="en-US"/>
        </w:rPr>
        <w:t xml:space="preserve"> </w:t>
      </w:r>
      <w:r w:rsidRPr="00EA7870">
        <w:rPr>
          <w:rFonts w:eastAsia="Calibri"/>
          <w:sz w:val="20"/>
          <w:szCs w:val="20"/>
          <w:lang w:val="es-AR" w:eastAsia="en-US"/>
        </w:rPr>
        <w:t>hacia</w:t>
      </w:r>
      <w:r w:rsidR="001A28B3" w:rsidRPr="00EA7870">
        <w:rPr>
          <w:rFonts w:eastAsia="Calibri"/>
          <w:sz w:val="20"/>
          <w:szCs w:val="20"/>
          <w:lang w:val="es-AR" w:eastAsia="en-US"/>
        </w:rPr>
        <w:t xml:space="preserve"> </w:t>
      </w:r>
      <w:r w:rsidRPr="00EA7870">
        <w:rPr>
          <w:rFonts w:eastAsia="Calibri"/>
          <w:sz w:val="20"/>
          <w:szCs w:val="20"/>
          <w:lang w:val="es-AR" w:eastAsia="en-US"/>
        </w:rPr>
        <w:t>cualquier</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registro</w:t>
      </w:r>
      <w:r w:rsidR="001A28B3" w:rsidRPr="00EA7870">
        <w:rPr>
          <w:rFonts w:eastAsia="Calibri"/>
          <w:sz w:val="20"/>
          <w:szCs w:val="20"/>
          <w:lang w:val="es-AR" w:eastAsia="en-US"/>
        </w:rPr>
        <w:t xml:space="preserve"> </w:t>
      </w:r>
      <w:r w:rsidRPr="00EA7870">
        <w:rPr>
          <w:rFonts w:eastAsia="Calibri"/>
          <w:sz w:val="20"/>
          <w:szCs w:val="20"/>
          <w:lang w:val="es-AR" w:eastAsia="en-US"/>
        </w:rPr>
        <w:t>o</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pago</w:t>
      </w:r>
      <w:r w:rsidR="001A28B3" w:rsidRPr="00EA7870">
        <w:rPr>
          <w:rFonts w:eastAsia="Calibri"/>
          <w:sz w:val="20"/>
          <w:szCs w:val="20"/>
          <w:lang w:val="es-AR" w:eastAsia="en-US"/>
        </w:rPr>
        <w:t xml:space="preserve"> </w:t>
      </w:r>
      <w:r w:rsidRPr="00EA7870">
        <w:rPr>
          <w:rFonts w:eastAsia="Calibri"/>
          <w:sz w:val="20"/>
          <w:szCs w:val="20"/>
          <w:lang w:val="es-AR" w:eastAsia="en-US"/>
        </w:rPr>
        <w:t>bajo</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Contrato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si</w:t>
      </w:r>
      <w:r w:rsidR="001A28B3" w:rsidRPr="00EA7870">
        <w:rPr>
          <w:rFonts w:eastAsia="Calibri"/>
          <w:sz w:val="20"/>
          <w:szCs w:val="20"/>
          <w:lang w:val="es-AR" w:eastAsia="en-US"/>
        </w:rPr>
        <w:t xml:space="preserve"> </w:t>
      </w:r>
      <w:r w:rsidRPr="00EA7870">
        <w:rPr>
          <w:rFonts w:eastAsia="Calibri"/>
          <w:sz w:val="20"/>
          <w:szCs w:val="20"/>
          <w:lang w:val="es-AR" w:eastAsia="en-US"/>
        </w:rPr>
        <w:t>se</w:t>
      </w:r>
      <w:r w:rsidR="001A28B3" w:rsidRPr="00EA7870">
        <w:rPr>
          <w:rFonts w:eastAsia="Calibri"/>
          <w:sz w:val="20"/>
          <w:szCs w:val="20"/>
          <w:lang w:val="es-AR" w:eastAsia="en-US"/>
        </w:rPr>
        <w:t xml:space="preserve"> </w:t>
      </w:r>
      <w:r w:rsidRPr="00EA7870">
        <w:rPr>
          <w:rFonts w:eastAsia="Calibri"/>
          <w:sz w:val="20"/>
          <w:szCs w:val="20"/>
          <w:lang w:val="es-AR" w:eastAsia="en-US"/>
        </w:rPr>
        <w:t>hubieran</w:t>
      </w:r>
      <w:r w:rsidR="001A28B3" w:rsidRPr="00EA7870">
        <w:rPr>
          <w:rFonts w:eastAsia="Calibri"/>
          <w:sz w:val="20"/>
          <w:szCs w:val="20"/>
          <w:lang w:val="es-AR" w:eastAsia="en-US"/>
        </w:rPr>
        <w:t xml:space="preserve"> </w:t>
      </w:r>
      <w:r w:rsidRPr="00EA7870">
        <w:rPr>
          <w:rFonts w:eastAsia="Calibri"/>
          <w:sz w:val="20"/>
          <w:szCs w:val="20"/>
          <w:lang w:val="es-AR" w:eastAsia="en-US"/>
        </w:rPr>
        <w:t>depositado</w:t>
      </w:r>
      <w:r w:rsidR="001A28B3" w:rsidRPr="00EA7870">
        <w:rPr>
          <w:rFonts w:eastAsia="Calibri"/>
          <w:sz w:val="20"/>
          <w:szCs w:val="20"/>
          <w:lang w:val="es-AR" w:eastAsia="en-US"/>
        </w:rPr>
        <w:t xml:space="preserve"> </w:t>
      </w:r>
      <w:r w:rsidRPr="00EA7870">
        <w:rPr>
          <w:rFonts w:eastAsia="Calibri"/>
          <w:sz w:val="20"/>
          <w:szCs w:val="20"/>
          <w:lang w:val="es-AR" w:eastAsia="en-US"/>
        </w:rPr>
        <w:t>fondos</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conformidad</w:t>
      </w:r>
      <w:r w:rsidR="001A28B3" w:rsidRPr="00EA7870">
        <w:rPr>
          <w:rFonts w:eastAsia="Calibri"/>
          <w:sz w:val="20"/>
          <w:szCs w:val="20"/>
          <w:lang w:val="es-AR" w:eastAsia="en-US"/>
        </w:rPr>
        <w:t xml:space="preserve"> </w:t>
      </w:r>
      <w:r w:rsidRPr="00EA7870">
        <w:rPr>
          <w:rFonts w:eastAsia="Calibri"/>
          <w:sz w:val="20"/>
          <w:szCs w:val="20"/>
          <w:lang w:val="es-AR" w:eastAsia="en-US"/>
        </w:rPr>
        <w:t>con</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punto</w:t>
      </w:r>
      <w:r w:rsidR="001A28B3" w:rsidRPr="00EA7870">
        <w:rPr>
          <w:rFonts w:eastAsia="Calibri"/>
          <w:sz w:val="20"/>
          <w:szCs w:val="20"/>
          <w:lang w:val="es-AR" w:eastAsia="en-US"/>
        </w:rPr>
        <w:t xml:space="preserve"> </w:t>
      </w:r>
      <w:r w:rsidRPr="00EA7870">
        <w:rPr>
          <w:rFonts w:eastAsia="Calibri"/>
          <w:sz w:val="20"/>
          <w:szCs w:val="20"/>
          <w:lang w:val="es-AR" w:eastAsia="en-US"/>
        </w:rPr>
        <w:t>(i)</w:t>
      </w:r>
      <w:r w:rsidR="001A28B3" w:rsidRPr="00EA7870">
        <w:rPr>
          <w:rFonts w:eastAsia="Calibri"/>
          <w:sz w:val="20"/>
          <w:szCs w:val="20"/>
          <w:lang w:val="es-AR" w:eastAsia="en-US"/>
        </w:rPr>
        <w:t xml:space="preserve"> </w:t>
      </w:r>
      <w:r w:rsidRPr="00EA7870">
        <w:rPr>
          <w:rFonts w:eastAsia="Calibri"/>
          <w:sz w:val="20"/>
          <w:szCs w:val="20"/>
          <w:lang w:val="es-AR" w:eastAsia="en-US"/>
        </w:rPr>
        <w:t>anterior,</w:t>
      </w:r>
      <w:r w:rsidR="001A28B3" w:rsidRPr="00EA7870">
        <w:rPr>
          <w:rFonts w:eastAsia="Calibri"/>
          <w:sz w:val="20"/>
          <w:szCs w:val="20"/>
          <w:lang w:val="es-AR" w:eastAsia="en-US"/>
        </w:rPr>
        <w:t xml:space="preserve"> </w:t>
      </w:r>
      <w:r w:rsidRPr="00EA7870">
        <w:rPr>
          <w:rFonts w:eastAsia="Calibri"/>
          <w:sz w:val="20"/>
          <w:szCs w:val="20"/>
          <w:lang w:val="es-AR" w:eastAsia="en-US"/>
        </w:rPr>
        <w:t>las</w:t>
      </w:r>
      <w:r w:rsidR="001A28B3" w:rsidRPr="00EA7870">
        <w:rPr>
          <w:rFonts w:eastAsia="Calibri"/>
          <w:sz w:val="20"/>
          <w:szCs w:val="20"/>
          <w:lang w:val="es-AR" w:eastAsia="en-US"/>
        </w:rPr>
        <w:t xml:space="preserve"> </w:t>
      </w:r>
      <w:r w:rsidRPr="00EA7870">
        <w:rPr>
          <w:rFonts w:eastAsia="Calibri"/>
          <w:sz w:val="20"/>
          <w:szCs w:val="20"/>
          <w:lang w:val="es-AR" w:eastAsia="en-US"/>
        </w:rPr>
        <w:t>obligaciones</w:t>
      </w:r>
      <w:r w:rsidR="001A28B3" w:rsidRPr="00EA7870">
        <w:rPr>
          <w:rFonts w:eastAsia="Calibri"/>
          <w:sz w:val="20"/>
          <w:szCs w:val="20"/>
          <w:lang w:val="es-AR" w:eastAsia="en-US"/>
        </w:rPr>
        <w:t xml:space="preserve"> </w:t>
      </w:r>
      <w:r w:rsidRPr="00EA7870">
        <w:rPr>
          <w:rFonts w:eastAsia="Calibri"/>
          <w:sz w:val="20"/>
          <w:szCs w:val="20"/>
          <w:lang w:val="es-AR" w:eastAsia="en-US"/>
        </w:rPr>
        <w:t>del</w:t>
      </w:r>
      <w:r w:rsidR="001A28B3" w:rsidRPr="00EA7870">
        <w:rPr>
          <w:rFonts w:eastAsia="Calibri"/>
          <w:sz w:val="20"/>
          <w:szCs w:val="20"/>
          <w:lang w:val="es-AR" w:eastAsia="en-US"/>
        </w:rPr>
        <w:t xml:space="preserve"> </w:t>
      </w:r>
      <w:r w:rsidRPr="00EA7870">
        <w:rPr>
          <w:rFonts w:eastAsia="Calibri"/>
          <w:sz w:val="20"/>
          <w:szCs w:val="20"/>
          <w:lang w:val="es-AR" w:eastAsia="en-US"/>
        </w:rPr>
        <w:t>Agente</w:t>
      </w:r>
      <w:r w:rsidR="001A28B3" w:rsidRPr="00EA7870">
        <w:rPr>
          <w:rFonts w:eastAsia="Calibri"/>
          <w:sz w:val="20"/>
          <w:szCs w:val="20"/>
          <w:lang w:val="es-AR" w:eastAsia="en-US"/>
        </w:rPr>
        <w:t xml:space="preserve"> </w:t>
      </w:r>
      <w:r w:rsidRPr="00EA7870">
        <w:rPr>
          <w:rFonts w:eastAsia="Calibri"/>
          <w:sz w:val="20"/>
          <w:szCs w:val="20"/>
          <w:lang w:val="es-AR" w:eastAsia="en-US"/>
        </w:rPr>
        <w:t>Fiduciario</w:t>
      </w:r>
      <w:r w:rsidR="001A28B3" w:rsidRPr="00EA7870">
        <w:rPr>
          <w:rFonts w:eastAsia="Calibri"/>
          <w:sz w:val="20"/>
          <w:szCs w:val="20"/>
          <w:lang w:val="es-AR" w:eastAsia="en-US"/>
        </w:rPr>
        <w:t xml:space="preserve"> </w:t>
      </w:r>
      <w:r w:rsidRPr="00EA7870">
        <w:rPr>
          <w:rFonts w:eastAsia="Calibri"/>
          <w:sz w:val="20"/>
          <w:szCs w:val="20"/>
          <w:lang w:val="es-AR" w:eastAsia="en-US"/>
        </w:rPr>
        <w:t>con</w:t>
      </w:r>
      <w:r w:rsidR="001A28B3" w:rsidRPr="00EA7870">
        <w:rPr>
          <w:rFonts w:eastAsia="Calibri"/>
          <w:sz w:val="20"/>
          <w:szCs w:val="20"/>
          <w:lang w:val="es-AR" w:eastAsia="en-US"/>
        </w:rPr>
        <w:t xml:space="preserve"> </w:t>
      </w:r>
      <w:r w:rsidRPr="00EA7870">
        <w:rPr>
          <w:rFonts w:eastAsia="Calibri"/>
          <w:sz w:val="20"/>
          <w:szCs w:val="20"/>
          <w:lang w:val="es-AR" w:eastAsia="en-US"/>
        </w:rPr>
        <w:t>respecto</w:t>
      </w:r>
      <w:r w:rsidR="001A28B3" w:rsidRPr="00EA7870">
        <w:rPr>
          <w:rFonts w:eastAsia="Calibri"/>
          <w:sz w:val="20"/>
          <w:szCs w:val="20"/>
          <w:lang w:val="es-AR" w:eastAsia="en-US"/>
        </w:rPr>
        <w:t xml:space="preserve"> </w:t>
      </w:r>
      <w:r w:rsidRPr="00EA7870">
        <w:rPr>
          <w:rFonts w:eastAsia="Calibri"/>
          <w:sz w:val="20"/>
          <w:szCs w:val="20"/>
          <w:lang w:val="es-AR" w:eastAsia="en-US"/>
        </w:rPr>
        <w:t>al</w:t>
      </w:r>
      <w:r w:rsidR="001A28B3" w:rsidRPr="00EA7870">
        <w:rPr>
          <w:rFonts w:eastAsia="Calibri"/>
          <w:sz w:val="20"/>
          <w:szCs w:val="20"/>
          <w:lang w:val="es-AR" w:eastAsia="en-US"/>
        </w:rPr>
        <w:t xml:space="preserve"> </w:t>
      </w:r>
      <w:r w:rsidRPr="00EA7870">
        <w:rPr>
          <w:rFonts w:eastAsia="Calibri"/>
          <w:sz w:val="20"/>
          <w:szCs w:val="20"/>
          <w:lang w:val="es-AR" w:eastAsia="en-US"/>
        </w:rPr>
        <w:t>destino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los</w:t>
      </w:r>
      <w:r w:rsidR="001A28B3" w:rsidRPr="00EA7870">
        <w:rPr>
          <w:rFonts w:eastAsia="Calibri"/>
          <w:sz w:val="20"/>
          <w:szCs w:val="20"/>
          <w:lang w:val="es-AR" w:eastAsia="en-US"/>
        </w:rPr>
        <w:t xml:space="preserve"> </w:t>
      </w:r>
      <w:r w:rsidRPr="00EA7870">
        <w:rPr>
          <w:rFonts w:eastAsia="Calibri"/>
          <w:sz w:val="20"/>
          <w:szCs w:val="20"/>
          <w:lang w:val="es-AR" w:eastAsia="en-US"/>
        </w:rPr>
        <w:t>fondos</w:t>
      </w:r>
      <w:r w:rsidR="001A28B3" w:rsidRPr="00EA7870">
        <w:rPr>
          <w:rFonts w:eastAsia="Calibri"/>
          <w:sz w:val="20"/>
          <w:szCs w:val="20"/>
          <w:lang w:val="es-AR" w:eastAsia="en-US"/>
        </w:rPr>
        <w:t xml:space="preserve"> </w:t>
      </w:r>
      <w:r w:rsidRPr="00EA7870">
        <w:rPr>
          <w:rFonts w:eastAsia="Calibri"/>
          <w:sz w:val="20"/>
          <w:szCs w:val="20"/>
          <w:lang w:val="es-AR" w:eastAsia="en-US"/>
        </w:rPr>
        <w:t>en</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r w:rsidR="001A28B3" w:rsidRPr="00EA7870">
        <w:rPr>
          <w:rFonts w:eastAsia="Calibri"/>
          <w:sz w:val="20"/>
          <w:szCs w:val="20"/>
          <w:lang w:val="es-AR" w:eastAsia="en-US"/>
        </w:rPr>
        <w:t xml:space="preserve"> </w:t>
      </w:r>
      <w:r w:rsidRPr="00EA7870">
        <w:rPr>
          <w:rFonts w:eastAsia="Calibri"/>
          <w:sz w:val="20"/>
          <w:szCs w:val="20"/>
          <w:lang w:val="es-AR" w:eastAsia="en-US"/>
        </w:rPr>
        <w:t>bajo</w:t>
      </w:r>
      <w:r w:rsidR="001A28B3" w:rsidRPr="00EA7870">
        <w:rPr>
          <w:rFonts w:eastAsia="Calibri"/>
          <w:sz w:val="20"/>
          <w:szCs w:val="20"/>
          <w:lang w:val="es-AR" w:eastAsia="en-US"/>
        </w:rPr>
        <w:t xml:space="preserve"> </w:t>
      </w:r>
      <w:r w:rsidRPr="00EA7870">
        <w:rPr>
          <w:rFonts w:eastAsia="Calibri"/>
          <w:sz w:val="20"/>
          <w:szCs w:val="20"/>
          <w:lang w:val="es-AR" w:eastAsia="en-US"/>
        </w:rPr>
        <w:t>el</w:t>
      </w:r>
      <w:r w:rsidR="001A28B3" w:rsidRPr="00EA7870">
        <w:rPr>
          <w:rFonts w:eastAsia="Calibri"/>
          <w:sz w:val="20"/>
          <w:szCs w:val="20"/>
          <w:lang w:val="es-AR" w:eastAsia="en-US"/>
        </w:rPr>
        <w:t xml:space="preserve"> </w:t>
      </w:r>
      <w:r w:rsidRPr="00EA7870">
        <w:rPr>
          <w:rFonts w:eastAsia="Calibri"/>
          <w:sz w:val="20"/>
          <w:szCs w:val="20"/>
          <w:lang w:val="es-AR" w:eastAsia="en-US"/>
        </w:rPr>
        <w:t>Contrato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r w:rsidR="001A28B3" w:rsidRPr="00EA7870">
        <w:rPr>
          <w:rFonts w:eastAsia="Calibri"/>
          <w:sz w:val="20"/>
          <w:szCs w:val="20"/>
          <w:lang w:val="es-AR" w:eastAsia="en-US"/>
        </w:rPr>
        <w:t xml:space="preserve"> </w:t>
      </w:r>
      <w:r w:rsidRPr="00EA7870">
        <w:rPr>
          <w:rFonts w:eastAsia="Calibri"/>
          <w:sz w:val="20"/>
          <w:szCs w:val="20"/>
          <w:lang w:val="es-AR" w:eastAsia="en-US"/>
        </w:rPr>
        <w:t>continuarán</w:t>
      </w:r>
      <w:r w:rsidR="001A28B3" w:rsidRPr="00EA7870">
        <w:rPr>
          <w:rFonts w:eastAsia="Calibri"/>
          <w:sz w:val="20"/>
          <w:szCs w:val="20"/>
          <w:lang w:val="es-AR" w:eastAsia="en-US"/>
        </w:rPr>
        <w:t xml:space="preserve"> </w:t>
      </w:r>
      <w:r w:rsidRPr="00EA7870">
        <w:rPr>
          <w:rFonts w:eastAsia="Calibri"/>
          <w:sz w:val="20"/>
          <w:szCs w:val="20"/>
          <w:lang w:val="es-AR" w:eastAsia="en-US"/>
        </w:rPr>
        <w:t>vigentes</w:t>
      </w:r>
      <w:r w:rsidR="001A28B3" w:rsidRPr="00EA7870">
        <w:rPr>
          <w:rFonts w:eastAsia="Calibri"/>
          <w:sz w:val="20"/>
          <w:szCs w:val="20"/>
          <w:lang w:val="es-AR" w:eastAsia="en-US"/>
        </w:rPr>
        <w:t xml:space="preserve"> </w:t>
      </w:r>
      <w:r w:rsidRPr="00EA7870">
        <w:rPr>
          <w:rFonts w:eastAsia="Calibri"/>
          <w:sz w:val="20"/>
          <w:szCs w:val="20"/>
          <w:lang w:val="es-AR" w:eastAsia="en-US"/>
        </w:rPr>
        <w:t>sin</w:t>
      </w:r>
      <w:r w:rsidR="001A28B3" w:rsidRPr="00EA7870">
        <w:rPr>
          <w:rFonts w:eastAsia="Calibri"/>
          <w:sz w:val="20"/>
          <w:szCs w:val="20"/>
          <w:lang w:val="es-AR" w:eastAsia="en-US"/>
        </w:rPr>
        <w:t xml:space="preserve"> </w:t>
      </w:r>
      <w:r w:rsidRPr="00EA7870">
        <w:rPr>
          <w:rFonts w:eastAsia="Calibri"/>
          <w:sz w:val="20"/>
          <w:szCs w:val="20"/>
          <w:lang w:val="es-AR" w:eastAsia="en-US"/>
        </w:rPr>
        <w:t>perjuicio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la</w:t>
      </w:r>
      <w:r w:rsidR="001A28B3" w:rsidRPr="00EA7870">
        <w:rPr>
          <w:rFonts w:eastAsia="Calibri"/>
          <w:sz w:val="20"/>
          <w:szCs w:val="20"/>
          <w:lang w:val="es-AR" w:eastAsia="en-US"/>
        </w:rPr>
        <w:t xml:space="preserve"> </w:t>
      </w:r>
      <w:r w:rsidRPr="00EA7870">
        <w:rPr>
          <w:rFonts w:eastAsia="Calibri"/>
          <w:sz w:val="20"/>
          <w:szCs w:val="20"/>
          <w:lang w:val="es-AR" w:eastAsia="en-US"/>
        </w:rPr>
        <w:t>satisfacción</w:t>
      </w:r>
      <w:r w:rsidR="001A28B3" w:rsidRPr="00EA7870">
        <w:rPr>
          <w:rFonts w:eastAsia="Calibri"/>
          <w:sz w:val="20"/>
          <w:szCs w:val="20"/>
          <w:lang w:val="es-AR" w:eastAsia="en-US"/>
        </w:rPr>
        <w:t xml:space="preserve"> </w:t>
      </w:r>
      <w:r w:rsidRPr="00EA7870">
        <w:rPr>
          <w:rFonts w:eastAsia="Calibri"/>
          <w:sz w:val="20"/>
          <w:szCs w:val="20"/>
          <w:lang w:val="es-AR" w:eastAsia="en-US"/>
        </w:rPr>
        <w:t>y</w:t>
      </w:r>
      <w:r w:rsidR="001A28B3" w:rsidRPr="00EA7870">
        <w:rPr>
          <w:rFonts w:eastAsia="Calibri"/>
          <w:sz w:val="20"/>
          <w:szCs w:val="20"/>
          <w:lang w:val="es-AR" w:eastAsia="en-US"/>
        </w:rPr>
        <w:t xml:space="preserve"> </w:t>
      </w:r>
      <w:r w:rsidRPr="00EA7870">
        <w:rPr>
          <w:rFonts w:eastAsia="Calibri"/>
          <w:sz w:val="20"/>
          <w:szCs w:val="20"/>
          <w:lang w:val="es-AR" w:eastAsia="en-US"/>
        </w:rPr>
        <w:t>descargo</w:t>
      </w:r>
      <w:r w:rsidR="001A28B3" w:rsidRPr="00EA7870">
        <w:rPr>
          <w:rFonts w:eastAsia="Calibri"/>
          <w:sz w:val="20"/>
          <w:szCs w:val="20"/>
          <w:lang w:val="es-AR" w:eastAsia="en-US"/>
        </w:rPr>
        <w:t xml:space="preserve"> </w:t>
      </w:r>
      <w:r w:rsidRPr="00EA7870">
        <w:rPr>
          <w:rFonts w:eastAsia="Calibri"/>
          <w:sz w:val="20"/>
          <w:szCs w:val="20"/>
          <w:lang w:val="es-AR" w:eastAsia="en-US"/>
        </w:rPr>
        <w:t>del</w:t>
      </w:r>
      <w:r w:rsidR="001A28B3" w:rsidRPr="00EA7870">
        <w:rPr>
          <w:rFonts w:eastAsia="Calibri"/>
          <w:sz w:val="20"/>
          <w:szCs w:val="20"/>
          <w:lang w:val="es-AR" w:eastAsia="en-US"/>
        </w:rPr>
        <w:t xml:space="preserve"> </w:t>
      </w:r>
      <w:r w:rsidRPr="00EA7870">
        <w:rPr>
          <w:rFonts w:eastAsia="Calibri"/>
          <w:sz w:val="20"/>
          <w:szCs w:val="20"/>
          <w:lang w:val="es-AR" w:eastAsia="en-US"/>
        </w:rPr>
        <w:t>Contrato</w:t>
      </w:r>
      <w:r w:rsidR="001A28B3" w:rsidRPr="00EA7870">
        <w:rPr>
          <w:rFonts w:eastAsia="Calibri"/>
          <w:sz w:val="20"/>
          <w:szCs w:val="20"/>
          <w:lang w:val="es-AR" w:eastAsia="en-US"/>
        </w:rPr>
        <w:t xml:space="preserve"> </w:t>
      </w:r>
      <w:r w:rsidRPr="00EA7870">
        <w:rPr>
          <w:rFonts w:eastAsia="Calibri"/>
          <w:sz w:val="20"/>
          <w:szCs w:val="20"/>
          <w:lang w:val="es-AR" w:eastAsia="en-US"/>
        </w:rPr>
        <w:t>de</w:t>
      </w:r>
      <w:r w:rsidR="001A28B3" w:rsidRPr="00EA7870">
        <w:rPr>
          <w:rFonts w:eastAsia="Calibri"/>
          <w:sz w:val="20"/>
          <w:szCs w:val="20"/>
          <w:lang w:val="es-AR" w:eastAsia="en-US"/>
        </w:rPr>
        <w:t xml:space="preserve"> </w:t>
      </w:r>
      <w:r w:rsidRPr="00EA7870">
        <w:rPr>
          <w:rFonts w:eastAsia="Calibri"/>
          <w:sz w:val="20"/>
          <w:szCs w:val="20"/>
          <w:lang w:val="es-AR" w:eastAsia="en-US"/>
        </w:rPr>
        <w:t>Fideicomiso.</w:t>
      </w:r>
    </w:p>
    <w:p w14:paraId="5174ADDF" w14:textId="77777777" w:rsidR="00376725" w:rsidRPr="00EA7870" w:rsidRDefault="00376725" w:rsidP="00376725">
      <w:pPr>
        <w:tabs>
          <w:tab w:val="left" w:pos="0"/>
        </w:tabs>
        <w:ind w:firstLine="709"/>
        <w:jc w:val="both"/>
        <w:rPr>
          <w:rFonts w:ascii="TimesNewRoman" w:hAnsi="TimesNewRoman"/>
          <w:sz w:val="20"/>
          <w:szCs w:val="20"/>
          <w:lang w:val="es-AR"/>
        </w:rPr>
      </w:pPr>
    </w:p>
    <w:p w14:paraId="043F213A" w14:textId="77777777" w:rsidR="00376725" w:rsidRPr="00EA7870" w:rsidRDefault="00376725" w:rsidP="00376725">
      <w:pPr>
        <w:tabs>
          <w:tab w:val="left" w:pos="0"/>
        </w:tabs>
        <w:jc w:val="both"/>
        <w:rPr>
          <w:rFonts w:ascii="TimesNewRoman" w:hAnsi="TimesNewRoman"/>
          <w:b/>
          <w:sz w:val="20"/>
          <w:szCs w:val="20"/>
          <w:lang w:val="es-AR"/>
        </w:rPr>
      </w:pPr>
      <w:r w:rsidRPr="00EA7870">
        <w:rPr>
          <w:rFonts w:ascii="TimesNewRoman" w:hAnsi="TimesNewRoman"/>
          <w:b/>
          <w:sz w:val="20"/>
          <w:szCs w:val="20"/>
          <w:lang w:val="es-AR"/>
        </w:rPr>
        <w:t>Registro</w:t>
      </w:r>
      <w:r w:rsidR="001A28B3" w:rsidRPr="00EA7870">
        <w:rPr>
          <w:rFonts w:ascii="TimesNewRoman" w:hAnsi="TimesNewRoman"/>
          <w:b/>
          <w:sz w:val="20"/>
          <w:szCs w:val="20"/>
          <w:lang w:val="es-AR"/>
        </w:rPr>
        <w:t xml:space="preserve"> </w:t>
      </w:r>
      <w:r w:rsidRPr="00EA7870">
        <w:rPr>
          <w:rFonts w:ascii="TimesNewRoman" w:hAnsi="TimesNewRoman"/>
          <w:b/>
          <w:sz w:val="20"/>
          <w:szCs w:val="20"/>
          <w:lang w:val="es-AR"/>
        </w:rPr>
        <w:t>y</w:t>
      </w:r>
      <w:r w:rsidR="001A28B3" w:rsidRPr="00EA7870">
        <w:rPr>
          <w:rFonts w:ascii="TimesNewRoman" w:hAnsi="TimesNewRoman"/>
          <w:b/>
          <w:sz w:val="20"/>
          <w:szCs w:val="20"/>
          <w:lang w:val="es-AR"/>
        </w:rPr>
        <w:t xml:space="preserve"> </w:t>
      </w:r>
      <w:r w:rsidRPr="00EA7870">
        <w:rPr>
          <w:rFonts w:ascii="TimesNewRoman" w:hAnsi="TimesNewRoman"/>
          <w:b/>
          <w:sz w:val="20"/>
          <w:szCs w:val="20"/>
          <w:lang w:val="es-AR"/>
        </w:rPr>
        <w:t>Sistema</w:t>
      </w:r>
      <w:r w:rsidR="001A28B3" w:rsidRPr="00EA7870">
        <w:rPr>
          <w:rFonts w:ascii="TimesNewRoman" w:hAnsi="TimesNewRoman"/>
          <w:b/>
          <w:sz w:val="20"/>
          <w:szCs w:val="20"/>
          <w:lang w:val="es-AR"/>
        </w:rPr>
        <w:t xml:space="preserve"> </w:t>
      </w:r>
      <w:r w:rsidRPr="00EA7870">
        <w:rPr>
          <w:rFonts w:ascii="TimesNewRoman" w:hAnsi="TimesNewRoman"/>
          <w:b/>
          <w:sz w:val="20"/>
          <w:szCs w:val="20"/>
          <w:lang w:val="es-AR"/>
        </w:rPr>
        <w:t>Escritural</w:t>
      </w:r>
    </w:p>
    <w:p w14:paraId="04EA600D" w14:textId="77777777" w:rsidR="00376725" w:rsidRPr="00EA7870" w:rsidRDefault="00376725" w:rsidP="00376725">
      <w:pPr>
        <w:tabs>
          <w:tab w:val="left" w:pos="0"/>
        </w:tabs>
        <w:ind w:firstLine="709"/>
        <w:jc w:val="both"/>
        <w:rPr>
          <w:rFonts w:ascii="TimesNewRoman" w:hAnsi="TimesNewRoman"/>
          <w:b/>
          <w:sz w:val="20"/>
          <w:szCs w:val="20"/>
          <w:lang w:val="es-AR"/>
        </w:rPr>
      </w:pPr>
    </w:p>
    <w:p w14:paraId="2E738C1E" w14:textId="3D974763" w:rsidR="00376725" w:rsidRPr="00EA7870" w:rsidRDefault="00376725" w:rsidP="00A32B39">
      <w:pPr>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emitirán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forma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nominativa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cupones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intereses.</w:t>
      </w:r>
      <w:bookmarkStart w:id="122" w:name="_Hlk22140638"/>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ofrecidas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vendidas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arreglo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Regulación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Valores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Unidos</w:t>
      </w:r>
      <w:bookmarkEnd w:id="122"/>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representadas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00B85FAF" w:rsidRPr="00EA7870">
        <w:rPr>
          <w:rFonts w:ascii="TimesNewRoman" w:hAnsi="TimesNewRoman"/>
          <w:sz w:val="20"/>
          <w:szCs w:val="20"/>
          <w:lang w:val="es-AR"/>
        </w:rPr>
        <w:t>(</w:t>
      </w:r>
      <w:r w:rsidR="00091E54"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00091E54" w:rsidRPr="00EA7870">
        <w:rPr>
          <w:rFonts w:ascii="TimesNewRoman" w:hAnsi="TimesNewRoman"/>
          <w:sz w:val="20"/>
          <w:szCs w:val="20"/>
          <w:lang w:val="es-AR"/>
        </w:rPr>
        <w:t>“</w:t>
      </w:r>
      <w:r w:rsidR="00091E54" w:rsidRPr="00EA7870">
        <w:rPr>
          <w:rFonts w:ascii="TimesNewRoman" w:hAnsi="TimesNewRoman"/>
          <w:b/>
          <w:sz w:val="20"/>
          <w:szCs w:val="20"/>
          <w:lang w:val="es-AR"/>
        </w:rPr>
        <w:t>obligación</w:t>
      </w:r>
      <w:r w:rsidR="001A28B3" w:rsidRPr="00EA7870">
        <w:rPr>
          <w:rFonts w:ascii="TimesNewRoman" w:hAnsi="TimesNewRoman"/>
          <w:b/>
          <w:sz w:val="20"/>
          <w:szCs w:val="20"/>
          <w:lang w:val="es-AR"/>
        </w:rPr>
        <w:t xml:space="preserve"> </w:t>
      </w:r>
      <w:r w:rsidR="00091E54" w:rsidRPr="00EA7870">
        <w:rPr>
          <w:rFonts w:ascii="TimesNewRoman" w:hAnsi="TimesNewRoman"/>
          <w:b/>
          <w:sz w:val="20"/>
          <w:szCs w:val="20"/>
          <w:lang w:val="es-AR"/>
        </w:rPr>
        <w:t>negociable</w:t>
      </w:r>
      <w:r w:rsidR="001A28B3" w:rsidRPr="00EA7870">
        <w:rPr>
          <w:rFonts w:ascii="TimesNewRoman" w:hAnsi="TimesNewRoman"/>
          <w:b/>
          <w:sz w:val="20"/>
          <w:szCs w:val="20"/>
          <w:lang w:val="es-AR"/>
        </w:rPr>
        <w:t xml:space="preserve"> </w:t>
      </w:r>
      <w:r w:rsidR="00091E54" w:rsidRPr="00EA7870">
        <w:rPr>
          <w:rFonts w:ascii="TimesNewRoman" w:hAnsi="TimesNewRoman"/>
          <w:b/>
          <w:sz w:val="20"/>
          <w:szCs w:val="20"/>
          <w:lang w:val="es-AR"/>
        </w:rPr>
        <w:t>global</w:t>
      </w:r>
      <w:r w:rsidR="001A28B3" w:rsidRPr="00EA7870">
        <w:rPr>
          <w:rFonts w:ascii="TimesNewRoman" w:hAnsi="TimesNewRoman"/>
          <w:b/>
          <w:sz w:val="20"/>
          <w:szCs w:val="20"/>
          <w:lang w:val="es-AR"/>
        </w:rPr>
        <w:t xml:space="preserve"> </w:t>
      </w:r>
      <w:r w:rsidR="00091E54" w:rsidRPr="00EA7870">
        <w:rPr>
          <w:rFonts w:ascii="TimesNewRoman" w:hAnsi="TimesNewRoman"/>
          <w:b/>
          <w:sz w:val="20"/>
          <w:szCs w:val="20"/>
          <w:lang w:val="es-AR"/>
        </w:rPr>
        <w:t>de</w:t>
      </w:r>
      <w:r w:rsidR="001A28B3" w:rsidRPr="00EA7870">
        <w:rPr>
          <w:rFonts w:ascii="TimesNewRoman" w:hAnsi="TimesNewRoman"/>
          <w:b/>
          <w:sz w:val="20"/>
          <w:szCs w:val="20"/>
          <w:lang w:val="es-AR"/>
        </w:rPr>
        <w:t xml:space="preserve"> </w:t>
      </w:r>
      <w:r w:rsidR="00091E54" w:rsidRPr="00EA7870">
        <w:rPr>
          <w:rFonts w:ascii="TimesNewRoman" w:hAnsi="TimesNewRoman"/>
          <w:b/>
          <w:sz w:val="20"/>
          <w:szCs w:val="20"/>
          <w:lang w:val="es-AR"/>
        </w:rPr>
        <w:t>la</w:t>
      </w:r>
      <w:r w:rsidR="001A28B3" w:rsidRPr="00EA7870">
        <w:rPr>
          <w:rFonts w:ascii="TimesNewRoman" w:hAnsi="TimesNewRoman"/>
          <w:b/>
          <w:sz w:val="20"/>
          <w:szCs w:val="20"/>
          <w:lang w:val="es-AR"/>
        </w:rPr>
        <w:t xml:space="preserve"> </w:t>
      </w:r>
      <w:r w:rsidR="00091E54" w:rsidRPr="00EA7870">
        <w:rPr>
          <w:rFonts w:ascii="TimesNewRoman" w:hAnsi="TimesNewRoman"/>
          <w:b/>
          <w:sz w:val="20"/>
          <w:szCs w:val="20"/>
          <w:lang w:val="es-AR"/>
        </w:rPr>
        <w:t>Regulación</w:t>
      </w:r>
      <w:r w:rsidR="001A28B3" w:rsidRPr="00EA7870">
        <w:rPr>
          <w:rFonts w:ascii="TimesNewRoman" w:hAnsi="TimesNewRoman"/>
          <w:b/>
          <w:sz w:val="20"/>
          <w:szCs w:val="20"/>
          <w:lang w:val="es-AR"/>
        </w:rPr>
        <w:t xml:space="preserve"> </w:t>
      </w:r>
      <w:r w:rsidR="00091E54" w:rsidRPr="00EA7870">
        <w:rPr>
          <w:rFonts w:ascii="TimesNewRoman" w:hAnsi="TimesNewRoman"/>
          <w:b/>
          <w:sz w:val="20"/>
          <w:szCs w:val="20"/>
          <w:lang w:val="es-AR"/>
        </w:rPr>
        <w:t>S</w:t>
      </w:r>
      <w:r w:rsidR="00091E54"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00B85FAF" w:rsidRPr="00EA7870">
        <w:rPr>
          <w:rFonts w:ascii="TimesNewRoman" w:hAnsi="TimesNewRoman"/>
          <w:sz w:val="20"/>
          <w:szCs w:val="20"/>
          <w:lang w:val="es-AR"/>
        </w:rPr>
        <w:t>Las Obligaciones Negociables ofrecidas y vendidas a inversores acreditados (“</w:t>
      </w:r>
      <w:r w:rsidR="00B85FAF" w:rsidRPr="00EA7870">
        <w:rPr>
          <w:rFonts w:ascii="TimesNewRoman" w:hAnsi="TimesNewRoman"/>
          <w:i/>
          <w:iCs/>
          <w:sz w:val="20"/>
          <w:szCs w:val="20"/>
          <w:lang w:val="es-AR"/>
        </w:rPr>
        <w:t>accredited investors</w:t>
      </w:r>
      <w:r w:rsidR="00B85FAF" w:rsidRPr="00EA7870">
        <w:rPr>
          <w:rFonts w:ascii="TimesNewRoman" w:hAnsi="TimesNewRoman"/>
          <w:sz w:val="20"/>
          <w:szCs w:val="20"/>
          <w:lang w:val="es-AR"/>
        </w:rPr>
        <w:t xml:space="preserve">”) </w:t>
      </w:r>
      <w:r w:rsidR="00680F89" w:rsidRPr="00EA7870">
        <w:rPr>
          <w:rFonts w:ascii="TimesNewRoman" w:hAnsi="TimesNewRoman"/>
          <w:sz w:val="20"/>
          <w:szCs w:val="20"/>
          <w:lang w:val="es-AR"/>
        </w:rPr>
        <w:t xml:space="preserve">institucionales </w:t>
      </w:r>
      <w:r w:rsidR="00B85FAF" w:rsidRPr="00EA7870">
        <w:rPr>
          <w:rFonts w:ascii="TimesNewRoman" w:hAnsi="TimesNewRoman"/>
          <w:sz w:val="20"/>
          <w:szCs w:val="20"/>
          <w:lang w:val="es-AR"/>
        </w:rPr>
        <w:t>bajo las Sección 4(a)(2) de la Ley de Títulos Valores de los Estados Unidos estarán representadas por una obligación negociable global separada (la “</w:t>
      </w:r>
      <w:r w:rsidR="00B85FAF" w:rsidRPr="00EA7870">
        <w:rPr>
          <w:rFonts w:ascii="TimesNewRoman" w:hAnsi="TimesNewRoman"/>
          <w:b/>
          <w:bCs/>
          <w:sz w:val="20"/>
          <w:szCs w:val="20"/>
          <w:lang w:val="es-AR"/>
        </w:rPr>
        <w:t>obligación negociable IAI</w:t>
      </w:r>
      <w:r w:rsidR="00B85FAF" w:rsidRPr="00EA7870">
        <w:rPr>
          <w:rFonts w:ascii="TimesNewRoman" w:hAnsi="TimesNewRoman"/>
          <w:sz w:val="20"/>
          <w:szCs w:val="20"/>
          <w:lang w:val="es-AR"/>
        </w:rPr>
        <w:t xml:space="preserve">” y, junto con la </w:t>
      </w:r>
      <w:r w:rsidR="00B85FAF" w:rsidRPr="00EA7870">
        <w:rPr>
          <w:rFonts w:ascii="TimesNewRoman" w:hAnsi="TimesNewRoman"/>
          <w:bCs/>
          <w:sz w:val="20"/>
          <w:szCs w:val="20"/>
          <w:lang w:val="es-AR"/>
        </w:rPr>
        <w:t>obligación negociable global de la Regulación S</w:t>
      </w:r>
      <w:r w:rsidR="008870E4" w:rsidRPr="00EA7870">
        <w:rPr>
          <w:rFonts w:ascii="TimesNewRoman" w:hAnsi="TimesNewRoman"/>
          <w:sz w:val="20"/>
          <w:szCs w:val="20"/>
          <w:lang w:val="es-AR"/>
        </w:rPr>
        <w:t>, las “</w:t>
      </w:r>
      <w:r w:rsidR="008870E4" w:rsidRPr="00EA7870">
        <w:rPr>
          <w:rFonts w:ascii="TimesNewRoman" w:hAnsi="TimesNewRoman"/>
          <w:b/>
          <w:sz w:val="20"/>
          <w:szCs w:val="20"/>
          <w:lang w:val="es-AR"/>
        </w:rPr>
        <w:t>obligaciones negociables globales</w:t>
      </w:r>
      <w:r w:rsidR="008870E4" w:rsidRPr="00EA7870">
        <w:rPr>
          <w:rFonts w:ascii="TimesNewRoman" w:hAnsi="TimesNewRoman"/>
          <w:sz w:val="20"/>
          <w:szCs w:val="20"/>
          <w:lang w:val="es-AR"/>
        </w:rPr>
        <w:t>”</w:t>
      </w:r>
      <w:r w:rsidR="00B85FAF" w:rsidRPr="00EA7870">
        <w:rPr>
          <w:rFonts w:ascii="TimesNewRoman" w:hAnsi="TimesNewRoman"/>
          <w:bCs/>
          <w:sz w:val="20"/>
          <w:szCs w:val="20"/>
          <w:lang w:val="es-AR"/>
        </w:rPr>
        <w:t>)</w:t>
      </w:r>
      <w:r w:rsidR="008870E4" w:rsidRPr="00EA7870">
        <w:rPr>
          <w:rFonts w:ascii="TimesNewRoman" w:hAnsi="TimesNewRoman"/>
          <w:bCs/>
          <w:sz w:val="20"/>
          <w:szCs w:val="20"/>
          <w:lang w:val="es-AR"/>
        </w:rPr>
        <w:t xml:space="preserve">. </w:t>
      </w:r>
      <w:r w:rsidR="004A37F2"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vez</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emitidas</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cada</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004A37F2" w:rsidRPr="00EA7870">
        <w:rPr>
          <w:rFonts w:ascii="TimesNewRoman" w:hAnsi="TimesNewRoman"/>
          <w:sz w:val="20"/>
          <w:szCs w:val="20"/>
          <w:lang w:val="es-AR"/>
        </w:rPr>
        <w:t>globales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Agente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Fiduciario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carácter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institución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depositaria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registradas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nombre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designada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acreditación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cuenta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directo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indirecto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incluyendo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según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describe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más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adelante.</w:t>
      </w:r>
    </w:p>
    <w:p w14:paraId="21D339FC"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p>
    <w:p w14:paraId="3F643F48"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Cada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está</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sujeta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ciertas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restricciones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transferencia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allí</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previstas</w:t>
      </w:r>
      <w:r w:rsidR="001A28B3" w:rsidRPr="00EA7870">
        <w:rPr>
          <w:rFonts w:ascii="TimesNewRoman" w:hAnsi="TimesNewRoman"/>
          <w:sz w:val="20"/>
          <w:szCs w:val="20"/>
          <w:lang w:val="es-AR"/>
        </w:rPr>
        <w:t xml:space="preserve"> </w:t>
      </w:r>
      <w:r w:rsidR="00AD0AC5" w:rsidRPr="00EA7870">
        <w:rPr>
          <w:sz w:val="20"/>
          <w:szCs w:val="20"/>
          <w:lang w:val="es-AR"/>
        </w:rPr>
        <w:t>aplicable</w:t>
      </w:r>
      <w:r w:rsidR="00D24B23" w:rsidRPr="00EA7870">
        <w:rPr>
          <w:sz w:val="20"/>
          <w:szCs w:val="20"/>
          <w:lang w:val="es-AR"/>
        </w:rPr>
        <w:t xml:space="preserve">s </w:t>
      </w:r>
      <w:r w:rsidR="00AD0AC5" w:rsidRPr="00EA7870">
        <w:rPr>
          <w:sz w:val="20"/>
          <w:szCs w:val="20"/>
          <w:lang w:val="es-AR"/>
        </w:rPr>
        <w:t xml:space="preserve">a inversores </w:t>
      </w:r>
      <w:r w:rsidR="00DF638A" w:rsidRPr="00EA7870">
        <w:rPr>
          <w:sz w:val="20"/>
          <w:szCs w:val="20"/>
          <w:lang w:val="es-AR"/>
        </w:rPr>
        <w:t>que participen de la Oferta Internacional</w:t>
      </w:r>
      <w:r w:rsidRPr="00EA7870">
        <w:rPr>
          <w:rFonts w:ascii="TimesNewRoman" w:hAnsi="TimesNewRoman"/>
          <w:sz w:val="20"/>
          <w:szCs w:val="20"/>
          <w:lang w:val="es-AR"/>
        </w:rPr>
        <w:t>.</w:t>
      </w:r>
    </w:p>
    <w:p w14:paraId="03DC729E"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p>
    <w:p w14:paraId="3B25D97C"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titularidad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beneficiarias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estará</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limitada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tengan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cuentas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w:t>
      </w:r>
      <w:r w:rsidRPr="00EA7870">
        <w:rPr>
          <w:rFonts w:ascii="TimesNewRoman" w:hAnsi="TimesNewRoman"/>
          <w:b/>
          <w:sz w:val="20"/>
          <w:szCs w:val="20"/>
          <w:lang w:val="es-AR"/>
        </w:rPr>
        <w:t>participantes</w:t>
      </w:r>
      <w:r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ostenten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titularidad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beneficiarias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constará</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transferencias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titularidad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efectuarán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únicamente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registros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mantenidos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ésta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designe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registros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p>
    <w:p w14:paraId="36154BD4" w14:textId="77777777" w:rsidR="00376725" w:rsidRPr="00EA7870"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6A0ADF6D" w14:textId="77777777" w:rsidR="00376725" w:rsidRPr="00EA7870" w:rsidDel="00ED56A4" w:rsidRDefault="00376725" w:rsidP="00376725">
      <w:pPr>
        <w:tabs>
          <w:tab w:val="left" w:pos="0"/>
        </w:tabs>
        <w:autoSpaceDE w:val="0"/>
        <w:autoSpaceDN w:val="0"/>
        <w:adjustRightInd w:val="0"/>
        <w:jc w:val="both"/>
        <w:rPr>
          <w:rFonts w:ascii="TimesNewRoman" w:hAnsi="TimesNewRoman"/>
          <w:sz w:val="20"/>
          <w:szCs w:val="20"/>
          <w:lang w:val="es-AR"/>
        </w:rPr>
      </w:pP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tanto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DTC</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persona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que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ésta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designe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sea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titular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registral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tenedor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una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global,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considerará</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que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DTC</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persona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que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ésta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designe,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según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corresponda,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único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titular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tenedor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Obligaciones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representadas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dicha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global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todos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efectos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virtud</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Contrato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Fideicomiso.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Ningún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tenedor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una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una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global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podrá</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transferir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esa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salvo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arreglo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dispuesto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normas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y</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procedimientos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aplicables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DTC</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y</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sus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directos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indirectos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(incluidos,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corresponder,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Euroclear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y</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Clearstream)</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además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establecidos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Contrato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Fideicomiso.</w:t>
      </w:r>
    </w:p>
    <w:p w14:paraId="3E2A4984" w14:textId="77777777" w:rsidR="00376725" w:rsidRPr="00EA7870" w:rsidDel="00ED56A4"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77531C86" w14:textId="77777777" w:rsidR="00376725" w:rsidRPr="00EA7870" w:rsidDel="00ED56A4" w:rsidRDefault="00376725" w:rsidP="00376725">
      <w:pPr>
        <w:tabs>
          <w:tab w:val="left" w:pos="0"/>
        </w:tabs>
        <w:autoSpaceDE w:val="0"/>
        <w:autoSpaceDN w:val="0"/>
        <w:adjustRightInd w:val="0"/>
        <w:jc w:val="both"/>
        <w:rPr>
          <w:rFonts w:ascii="TimesNewRoman" w:hAnsi="TimesNewRoman"/>
          <w:sz w:val="20"/>
          <w:szCs w:val="20"/>
          <w:lang w:val="es-AR"/>
        </w:rPr>
      </w:pP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pagos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efectuados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respecto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una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global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realizarán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favor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DTC,</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Euroclear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y/o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Clearstream,</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según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corresponda,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personas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que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éstas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designen,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como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titular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registral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misma.</w:t>
      </w:r>
    </w:p>
    <w:p w14:paraId="4A7A3D23" w14:textId="77777777" w:rsidR="00376725" w:rsidRPr="00EA7870" w:rsidDel="00ED56A4"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4E883650" w14:textId="77777777" w:rsidR="00376725" w:rsidRPr="00EA7870" w:rsidDel="00ED56A4" w:rsidRDefault="00376725" w:rsidP="00376725">
      <w:pPr>
        <w:tabs>
          <w:tab w:val="left" w:pos="0"/>
        </w:tabs>
        <w:autoSpaceDE w:val="0"/>
        <w:autoSpaceDN w:val="0"/>
        <w:adjustRightInd w:val="0"/>
        <w:jc w:val="both"/>
        <w:rPr>
          <w:rFonts w:ascii="TimesNewRoman" w:hAnsi="TimesNewRoman"/>
          <w:sz w:val="20"/>
          <w:szCs w:val="20"/>
          <w:lang w:val="es-AR"/>
        </w:rPr>
      </w:pPr>
      <w:r w:rsidRPr="00EA7870" w:rsidDel="00ED56A4">
        <w:rPr>
          <w:rFonts w:ascii="TimesNewRoman" w:hAnsi="TimesNewRoman"/>
          <w:sz w:val="20"/>
          <w:szCs w:val="20"/>
          <w:lang w:val="es-AR"/>
        </w:rPr>
        <w:t>Ni</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Emisora,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ni</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Agente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Fiduciario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ni</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agentes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pago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son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responsables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ningún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aspecto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registros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relacionados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pagos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efectuados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nombre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participaciones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beneficiarias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una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global,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ni</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mantenimiento,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supervisión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revisión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registros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relacionados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dichas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participaciones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beneficiarias.</w:t>
      </w:r>
    </w:p>
    <w:p w14:paraId="5A9889A8" w14:textId="77777777" w:rsidR="00376725" w:rsidRPr="00EA7870" w:rsidDel="001A482B"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28E5CFC5" w14:textId="77777777" w:rsidR="00376725" w:rsidRPr="00EA7870" w:rsidDel="00ED56A4" w:rsidRDefault="00376725" w:rsidP="00376725">
      <w:pPr>
        <w:tabs>
          <w:tab w:val="left" w:pos="0"/>
        </w:tabs>
        <w:autoSpaceDE w:val="0"/>
        <w:autoSpaceDN w:val="0"/>
        <w:adjustRightInd w:val="0"/>
        <w:jc w:val="both"/>
        <w:rPr>
          <w:rFonts w:ascii="TimesNewRoman" w:hAnsi="TimesNewRoman"/>
          <w:sz w:val="20"/>
          <w:szCs w:val="20"/>
          <w:lang w:val="es-AR"/>
        </w:rPr>
      </w:pP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Emisora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espera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que,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oportunidad</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recibir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algún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pago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relacionado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obligaciones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globales,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DTC</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persona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que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ésta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designe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procederá</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acreditar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cuentas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sumas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dinero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proporcionales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sus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respectivas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participaciones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beneficiarias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capital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global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cuestión,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según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consta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registros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DTC</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persona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que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ésta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designe.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pagos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efectuados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y</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indirectos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titulares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participaciones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beneficiarias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dicha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obligación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negociable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global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mantenida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través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esos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rijan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instrucciones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permanentes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y</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usos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y</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costumbres,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como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actualmente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caso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títulos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valores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mantenidos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cuenta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clientes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registrados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nombre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personas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designadas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por</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dichos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clientes.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Dichos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pagos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son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responsabilidad</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dichos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participantes,</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siendo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responsabilidad</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la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Emisora,</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DTC,</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del</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Agente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Fiduciario</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ni</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ningún</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agente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de</w:t>
      </w:r>
      <w:r w:rsidR="001A28B3" w:rsidRPr="00EA7870" w:rsidDel="00ED56A4">
        <w:rPr>
          <w:rFonts w:ascii="TimesNewRoman" w:hAnsi="TimesNewRoman"/>
          <w:sz w:val="20"/>
          <w:szCs w:val="20"/>
          <w:lang w:val="es-AR"/>
        </w:rPr>
        <w:t xml:space="preserve"> </w:t>
      </w:r>
      <w:r w:rsidRPr="00EA7870" w:rsidDel="00ED56A4">
        <w:rPr>
          <w:rFonts w:ascii="TimesNewRoman" w:hAnsi="TimesNewRoman"/>
          <w:sz w:val="20"/>
          <w:szCs w:val="20"/>
          <w:lang w:val="es-AR"/>
        </w:rPr>
        <w:t>pago.</w:t>
      </w:r>
    </w:p>
    <w:p w14:paraId="136074F6" w14:textId="77777777" w:rsidR="00D47EDB" w:rsidRPr="00EA7870" w:rsidRDefault="00D47EDB" w:rsidP="00376725">
      <w:pPr>
        <w:tabs>
          <w:tab w:val="left" w:pos="0"/>
        </w:tabs>
        <w:autoSpaceDE w:val="0"/>
        <w:autoSpaceDN w:val="0"/>
        <w:adjustRightInd w:val="0"/>
        <w:jc w:val="both"/>
        <w:rPr>
          <w:rFonts w:ascii="TimesNewRoman" w:hAnsi="TimesNewRoman"/>
          <w:sz w:val="20"/>
          <w:szCs w:val="20"/>
          <w:lang w:val="es-AR"/>
        </w:rPr>
      </w:pPr>
    </w:p>
    <w:p w14:paraId="7673C446" w14:textId="77777777" w:rsidR="00D47EDB" w:rsidRPr="00EA7870" w:rsidRDefault="00D47EDB" w:rsidP="00A32B39">
      <w:pPr>
        <w:tabs>
          <w:tab w:val="left" w:pos="0"/>
        </w:tabs>
        <w:autoSpaceDE w:val="0"/>
        <w:autoSpaceDN w:val="0"/>
        <w:adjustRightInd w:val="0"/>
        <w:jc w:val="both"/>
        <w:rPr>
          <w:rFonts w:ascii="TimesNewRoman" w:hAnsi="TimesNewRoman"/>
          <w:color w:val="000000" w:themeColor="text1"/>
          <w:sz w:val="20"/>
          <w:szCs w:val="20"/>
          <w:lang w:val="es-AR"/>
        </w:rPr>
      </w:pP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Regulación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temporaria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acreditarán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inicialmente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dentro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Bank</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S.A./N.V.</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Banking,</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société</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anonyme,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color w:val="000000" w:themeColor="text1"/>
          <w:sz w:val="20"/>
          <w:szCs w:val="20"/>
          <w:lang w:val="es-AR"/>
        </w:rPr>
        <w:t>nombre</w:t>
      </w:r>
      <w:r w:rsidR="001A28B3" w:rsidRPr="00EA7870">
        <w:rPr>
          <w:rFonts w:ascii="TimesNewRoman" w:hAnsi="TimesNewRoman"/>
          <w:color w:val="000000" w:themeColor="text1"/>
          <w:sz w:val="20"/>
          <w:szCs w:val="20"/>
          <w:lang w:val="es-AR"/>
        </w:rPr>
        <w:t xml:space="preserve"> </w:t>
      </w:r>
      <w:r w:rsidRPr="00EA7870">
        <w:rPr>
          <w:rFonts w:ascii="TimesNewRoman" w:hAnsi="TimesNewRoman"/>
          <w:color w:val="000000" w:themeColor="text1"/>
          <w:sz w:val="20"/>
          <w:szCs w:val="20"/>
          <w:lang w:val="es-AR"/>
        </w:rPr>
        <w:t>de</w:t>
      </w:r>
      <w:r w:rsidR="001A28B3" w:rsidRPr="00EA7870">
        <w:rPr>
          <w:rFonts w:ascii="TimesNewRoman" w:hAnsi="TimesNewRoman"/>
          <w:color w:val="000000" w:themeColor="text1"/>
          <w:sz w:val="20"/>
          <w:szCs w:val="20"/>
          <w:lang w:val="es-AR"/>
        </w:rPr>
        <w:t xml:space="preserve"> </w:t>
      </w:r>
      <w:r w:rsidRPr="00EA7870">
        <w:rPr>
          <w:rFonts w:ascii="TimesNewRoman" w:hAnsi="TimesNewRoman"/>
          <w:color w:val="000000" w:themeColor="text1"/>
          <w:sz w:val="20"/>
          <w:szCs w:val="20"/>
          <w:lang w:val="es-AR"/>
        </w:rPr>
        <w:t>los</w:t>
      </w:r>
      <w:r w:rsidR="001A28B3" w:rsidRPr="00EA7870">
        <w:rPr>
          <w:rFonts w:ascii="TimesNewRoman" w:hAnsi="TimesNewRoman"/>
          <w:color w:val="000000" w:themeColor="text1"/>
          <w:sz w:val="20"/>
          <w:szCs w:val="20"/>
          <w:lang w:val="es-AR"/>
        </w:rPr>
        <w:t xml:space="preserve"> </w:t>
      </w:r>
      <w:r w:rsidRPr="00EA7870">
        <w:rPr>
          <w:rFonts w:ascii="TimesNewRoman" w:hAnsi="TimesNewRoman"/>
          <w:color w:val="000000" w:themeColor="text1"/>
          <w:sz w:val="20"/>
          <w:szCs w:val="20"/>
          <w:lang w:val="es-AR"/>
        </w:rPr>
        <w:t>titulares</w:t>
      </w:r>
      <w:r w:rsidR="001A28B3" w:rsidRPr="00EA7870">
        <w:rPr>
          <w:rFonts w:ascii="TimesNewRoman" w:hAnsi="TimesNewRoman"/>
          <w:color w:val="000000" w:themeColor="text1"/>
          <w:sz w:val="20"/>
          <w:szCs w:val="20"/>
          <w:lang w:val="es-AR"/>
        </w:rPr>
        <w:t xml:space="preserve"> </w:t>
      </w:r>
      <w:r w:rsidRPr="00EA7870">
        <w:rPr>
          <w:rFonts w:ascii="TimesNewRoman" w:hAnsi="TimesNewRoman"/>
          <w:color w:val="000000" w:themeColor="text1"/>
          <w:sz w:val="20"/>
          <w:szCs w:val="20"/>
          <w:lang w:val="es-AR"/>
        </w:rPr>
        <w:t>de</w:t>
      </w:r>
      <w:r w:rsidR="001A28B3" w:rsidRPr="00EA7870">
        <w:rPr>
          <w:rFonts w:ascii="TimesNewRoman" w:hAnsi="TimesNewRoman"/>
          <w:color w:val="000000" w:themeColor="text1"/>
          <w:sz w:val="20"/>
          <w:szCs w:val="20"/>
          <w:lang w:val="es-AR"/>
        </w:rPr>
        <w:t xml:space="preserve"> </w:t>
      </w:r>
      <w:r w:rsidRPr="00EA7870">
        <w:rPr>
          <w:rFonts w:ascii="TimesNewRoman" w:hAnsi="TimesNewRoman"/>
          <w:color w:val="000000" w:themeColor="text1"/>
          <w:sz w:val="20"/>
          <w:szCs w:val="20"/>
          <w:lang w:val="es-AR"/>
        </w:rPr>
        <w:t>las</w:t>
      </w:r>
      <w:r w:rsidR="001A28B3" w:rsidRPr="00EA7870">
        <w:rPr>
          <w:rFonts w:ascii="TimesNewRoman" w:hAnsi="TimesNewRoman"/>
          <w:color w:val="000000" w:themeColor="text1"/>
          <w:sz w:val="20"/>
          <w:szCs w:val="20"/>
          <w:lang w:val="es-AR"/>
        </w:rPr>
        <w:t xml:space="preserve"> </w:t>
      </w:r>
      <w:r w:rsidRPr="00EA7870">
        <w:rPr>
          <w:rFonts w:ascii="TimesNewRoman" w:hAnsi="TimesNewRoman"/>
          <w:color w:val="000000" w:themeColor="text1"/>
          <w:sz w:val="20"/>
          <w:szCs w:val="20"/>
          <w:lang w:val="es-AR"/>
        </w:rPr>
        <w:t>mismas.</w:t>
      </w:r>
    </w:p>
    <w:p w14:paraId="523DB980" w14:textId="77777777" w:rsidR="00D47EDB" w:rsidRPr="00EA7870" w:rsidRDefault="00D47EDB" w:rsidP="00D47EDB">
      <w:pPr>
        <w:autoSpaceDE w:val="0"/>
        <w:autoSpaceDN w:val="0"/>
        <w:adjustRightInd w:val="0"/>
        <w:rPr>
          <w:rFonts w:ascii="TimesNewRoman" w:hAnsi="TimesNewRoman"/>
          <w:color w:val="000000" w:themeColor="text1"/>
          <w:sz w:val="20"/>
          <w:szCs w:val="20"/>
          <w:lang w:eastAsia="en-GB"/>
        </w:rPr>
      </w:pPr>
    </w:p>
    <w:p w14:paraId="250237F2" w14:textId="77777777" w:rsidR="00376725" w:rsidRPr="00EA7870" w:rsidRDefault="000F308B" w:rsidP="00D64D83">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color w:val="000000" w:themeColor="text1"/>
          <w:sz w:val="20"/>
          <w:szCs w:val="20"/>
          <w:lang w:val="es-AR"/>
        </w:rPr>
        <w:t>Dura</w:t>
      </w:r>
      <w:r w:rsidRPr="00EA7870">
        <w:rPr>
          <w:rFonts w:ascii="TimesNewRoman" w:hAnsi="TimesNewRoman"/>
          <w:sz w:val="20"/>
          <w:szCs w:val="20"/>
          <w:lang w:val="es-AR"/>
        </w:rPr>
        <w:t>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período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comprendido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40°</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día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posterior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fecha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inicio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oferta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cierre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oferta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período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hasta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40</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días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inclusive,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003F3591" w:rsidRPr="00EA7870">
        <w:rPr>
          <w:rFonts w:ascii="TimesNewRoman" w:hAnsi="TimesNewRoman"/>
          <w:sz w:val="20"/>
          <w:szCs w:val="20"/>
          <w:lang w:val="es-AR"/>
        </w:rPr>
        <w:t>“</w:t>
      </w:r>
      <w:r w:rsidRPr="00EA7870">
        <w:rPr>
          <w:rFonts w:ascii="TimesNewRoman" w:hAnsi="TimesNewRoman"/>
          <w:b/>
          <w:sz w:val="20"/>
          <w:szCs w:val="20"/>
          <w:lang w:val="es-AR"/>
        </w:rPr>
        <w:t>Período</w:t>
      </w:r>
      <w:r w:rsidR="001A28B3" w:rsidRPr="00EA7870">
        <w:rPr>
          <w:rFonts w:ascii="TimesNewRoman" w:hAnsi="TimesNewRoman"/>
          <w:b/>
          <w:sz w:val="20"/>
          <w:szCs w:val="20"/>
          <w:lang w:val="es-AR"/>
        </w:rPr>
        <w:t xml:space="preserve"> </w:t>
      </w:r>
      <w:r w:rsidRPr="00EA7870">
        <w:rPr>
          <w:rFonts w:ascii="TimesNewRoman" w:hAnsi="TimesNewRoman"/>
          <w:b/>
          <w:sz w:val="20"/>
          <w:szCs w:val="20"/>
          <w:lang w:val="es-AR"/>
        </w:rPr>
        <w:t>de</w:t>
      </w:r>
      <w:r w:rsidR="001A28B3" w:rsidRPr="00EA7870">
        <w:rPr>
          <w:rFonts w:ascii="TimesNewRoman" w:hAnsi="TimesNewRoman"/>
          <w:b/>
          <w:sz w:val="20"/>
          <w:szCs w:val="20"/>
          <w:lang w:val="es-AR"/>
        </w:rPr>
        <w:t xml:space="preserve"> </w:t>
      </w:r>
      <w:r w:rsidRPr="00EA7870">
        <w:rPr>
          <w:rFonts w:ascii="TimesNewRoman" w:hAnsi="TimesNewRoman"/>
          <w:b/>
          <w:sz w:val="20"/>
          <w:szCs w:val="20"/>
          <w:lang w:val="es-AR"/>
        </w:rPr>
        <w:t>cumplimiento</w:t>
      </w:r>
      <w:r w:rsidR="001A28B3" w:rsidRPr="00EA7870">
        <w:rPr>
          <w:rFonts w:ascii="TimesNewRoman" w:hAnsi="TimesNewRoman"/>
          <w:b/>
          <w:sz w:val="20"/>
          <w:szCs w:val="20"/>
          <w:lang w:val="es-AR"/>
        </w:rPr>
        <w:t xml:space="preserve"> </w:t>
      </w:r>
      <w:r w:rsidRPr="00EA7870">
        <w:rPr>
          <w:rFonts w:ascii="TimesNewRoman" w:hAnsi="TimesNewRoman"/>
          <w:b/>
          <w:sz w:val="20"/>
          <w:szCs w:val="20"/>
          <w:lang w:val="es-AR"/>
        </w:rPr>
        <w:t>de</w:t>
      </w:r>
      <w:r w:rsidR="001A28B3" w:rsidRPr="00EA7870">
        <w:rPr>
          <w:rFonts w:ascii="TimesNewRoman" w:hAnsi="TimesNewRoman"/>
          <w:b/>
          <w:sz w:val="20"/>
          <w:szCs w:val="20"/>
          <w:lang w:val="es-AR"/>
        </w:rPr>
        <w:t xml:space="preserve"> </w:t>
      </w:r>
      <w:r w:rsidRPr="00EA7870">
        <w:rPr>
          <w:rFonts w:ascii="TimesNewRoman" w:hAnsi="TimesNewRoman"/>
          <w:b/>
          <w:sz w:val="20"/>
          <w:szCs w:val="20"/>
          <w:lang w:val="es-AR"/>
        </w:rPr>
        <w:t>la</w:t>
      </w:r>
      <w:r w:rsidR="001A28B3" w:rsidRPr="00EA7870">
        <w:rPr>
          <w:rFonts w:ascii="TimesNewRoman" w:hAnsi="TimesNewRoman"/>
          <w:b/>
          <w:sz w:val="20"/>
          <w:szCs w:val="20"/>
          <w:lang w:val="es-AR"/>
        </w:rPr>
        <w:t xml:space="preserve"> </w:t>
      </w:r>
      <w:r w:rsidRPr="00EA7870">
        <w:rPr>
          <w:rFonts w:ascii="TimesNewRoman" w:hAnsi="TimesNewRoman"/>
          <w:b/>
          <w:sz w:val="20"/>
          <w:szCs w:val="20"/>
          <w:lang w:val="es-AR"/>
        </w:rPr>
        <w:t>distribución</w:t>
      </w:r>
      <w:r w:rsidR="003F3591" w:rsidRPr="00EA7870">
        <w:rPr>
          <w:rFonts w:ascii="TimesNewRoman" w:hAnsi="TimesNewRoman"/>
          <w:sz w:val="20"/>
          <w:szCs w:val="20"/>
          <w:lang w:val="es-AR"/>
        </w:rPr>
        <w:t>”</w:t>
      </w:r>
      <w:r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00D25E69"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00ED5304"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00ED5304"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Regulación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temporaria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solo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podrán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transferidas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estadounidenses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bajo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Regulación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00B351D3" w:rsidRPr="00EA7870">
        <w:rPr>
          <w:rFonts w:ascii="TimesNewRoman" w:hAnsi="TimesNewRoman"/>
          <w:sz w:val="20"/>
          <w:szCs w:val="20"/>
          <w:lang w:val="es-AR"/>
        </w:rPr>
        <w:t>compradores</w:t>
      </w:r>
      <w:r w:rsidR="001A28B3" w:rsidRPr="00EA7870">
        <w:rPr>
          <w:rFonts w:ascii="TimesNewRoman" w:hAnsi="TimesNewRoman"/>
          <w:sz w:val="20"/>
          <w:szCs w:val="20"/>
          <w:lang w:val="es-AR"/>
        </w:rPr>
        <w:t xml:space="preserve"> </w:t>
      </w:r>
      <w:r w:rsidR="00B351D3" w:rsidRPr="00EA7870">
        <w:rPr>
          <w:rFonts w:ascii="TimesNewRoman" w:hAnsi="TimesNewRoman"/>
          <w:sz w:val="20"/>
          <w:szCs w:val="20"/>
          <w:lang w:val="es-AR"/>
        </w:rPr>
        <w:t>institucionales</w:t>
      </w:r>
      <w:r w:rsidR="008F40DA" w:rsidRPr="00EA7870">
        <w:rPr>
          <w:rFonts w:ascii="TimesNewRoman" w:hAnsi="TimesNewRoman"/>
          <w:sz w:val="20"/>
          <w:szCs w:val="20"/>
          <w:lang w:val="es-AR"/>
        </w:rPr>
        <w:t xml:space="preserve"> </w:t>
      </w:r>
      <w:r w:rsidR="00B351D3" w:rsidRPr="00EA7870">
        <w:rPr>
          <w:rFonts w:ascii="TimesNewRoman" w:hAnsi="TimesNewRoman"/>
          <w:sz w:val="20"/>
          <w:szCs w:val="20"/>
          <w:lang w:val="es-AR"/>
        </w:rPr>
        <w:t>calificados</w:t>
      </w:r>
      <w:r w:rsidR="001A28B3" w:rsidRPr="00EA7870">
        <w:rPr>
          <w:rFonts w:ascii="TimesNewRoman" w:hAnsi="TimesNewRoman"/>
          <w:sz w:val="20"/>
          <w:szCs w:val="20"/>
          <w:lang w:val="es-AR"/>
        </w:rPr>
        <w:t xml:space="preserve"> </w:t>
      </w:r>
      <w:r w:rsidR="00837682" w:rsidRPr="00EA7870">
        <w:rPr>
          <w:rFonts w:ascii="TimesNewRoman" w:hAnsi="TimesNewRoman"/>
          <w:sz w:val="20"/>
          <w:szCs w:val="20"/>
          <w:lang w:val="es-AR"/>
        </w:rPr>
        <w:t>(</w:t>
      </w:r>
      <w:r w:rsidR="00837682" w:rsidRPr="00EA7870">
        <w:rPr>
          <w:rFonts w:ascii="TimesNewRoman" w:hAnsi="TimesNewRoman"/>
          <w:i/>
          <w:iCs/>
          <w:sz w:val="20"/>
          <w:szCs w:val="20"/>
          <w:lang w:val="es-AR"/>
        </w:rPr>
        <w:t>qualified institutional buyers</w:t>
      </w:r>
      <w:r w:rsidR="00837682" w:rsidRPr="00EA7870">
        <w:rPr>
          <w:rFonts w:ascii="TimesNewRoman" w:hAnsi="TimesNewRoman"/>
          <w:sz w:val="20"/>
          <w:szCs w:val="20"/>
          <w:lang w:val="es-AR"/>
        </w:rPr>
        <w:t xml:space="preserve">) </w:t>
      </w:r>
      <w:r w:rsidRPr="00EA7870">
        <w:rPr>
          <w:rFonts w:ascii="TimesNewRoman" w:hAnsi="TimesNewRoman"/>
          <w:sz w:val="20"/>
          <w:szCs w:val="20"/>
          <w:lang w:val="es-AR"/>
        </w:rPr>
        <w:t>bajo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Norma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144A</w:t>
      </w:r>
      <w:r w:rsidR="00837682" w:rsidRPr="00EA7870">
        <w:rPr>
          <w:rFonts w:ascii="TimesNewRoman" w:hAnsi="TimesNewRoman"/>
          <w:sz w:val="20"/>
          <w:szCs w:val="20"/>
          <w:lang w:val="es-AR"/>
        </w:rPr>
        <w:t xml:space="preserve"> de la Ley de Títulos Valores Estadounidense</w:t>
      </w:r>
      <w:r w:rsidR="00D25E69"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Sujeto</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al</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cumplimiento</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restricciones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efectuar</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transferencias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aplicables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globales,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transferencias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efectuarán</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arreglo</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liquidarán</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fondos</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mismo</w:t>
      </w:r>
      <w:r w:rsidR="001A28B3" w:rsidRPr="00EA7870">
        <w:rPr>
          <w:rFonts w:ascii="TimesNewRoman" w:hAnsi="TimesNewRoman"/>
          <w:sz w:val="20"/>
          <w:szCs w:val="20"/>
          <w:lang w:val="es-AR"/>
        </w:rPr>
        <w:t xml:space="preserve"> </w:t>
      </w:r>
      <w:r w:rsidR="00376725" w:rsidRPr="00EA7870">
        <w:rPr>
          <w:rFonts w:ascii="TimesNewRoman" w:hAnsi="TimesNewRoman"/>
          <w:sz w:val="20"/>
          <w:szCs w:val="20"/>
          <w:lang w:val="es-AR"/>
        </w:rPr>
        <w:t>día.</w:t>
      </w:r>
    </w:p>
    <w:p w14:paraId="61290D96" w14:textId="77777777" w:rsidR="00376725" w:rsidRPr="00EA7870" w:rsidRDefault="00376725" w:rsidP="00376725">
      <w:pPr>
        <w:tabs>
          <w:tab w:val="left" w:pos="0"/>
        </w:tabs>
        <w:spacing w:before="241" w:line="230" w:lineRule="exact"/>
        <w:ind w:right="504"/>
        <w:jc w:val="both"/>
        <w:textAlignment w:val="baseline"/>
        <w:rPr>
          <w:rFonts w:ascii="TimesNewRoman" w:hAnsi="TimesNewRoman"/>
          <w:sz w:val="20"/>
          <w:szCs w:val="20"/>
          <w:lang w:val="es-AR"/>
        </w:rPr>
      </w:pP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transferencias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efectuarán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acuerdo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operativos.</w:t>
      </w:r>
    </w:p>
    <w:p w14:paraId="7EFB290D" w14:textId="77777777" w:rsidR="00376725" w:rsidRPr="00EA7870"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0462D7B4"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Emisora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prevé</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según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caso,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realizarán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todos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permitidos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tenedor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únicamente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siguiendo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instrucciones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más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cuyo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nombre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esté</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acreditada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únicamente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valor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nominal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total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han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impartido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instrucción.</w:t>
      </w:r>
    </w:p>
    <w:p w14:paraId="5EF9D128" w14:textId="77777777" w:rsidR="00376725" w:rsidRPr="00EA7870"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30D9D149"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Emisora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entiende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compañía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fiduciaria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objeto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limitado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w:t>
      </w:r>
      <w:r w:rsidRPr="00EA7870">
        <w:rPr>
          <w:rFonts w:ascii="TimesNewRoman" w:hAnsi="TimesNewRoman"/>
          <w:i/>
          <w:sz w:val="20"/>
          <w:szCs w:val="20"/>
          <w:lang w:val="es-AR"/>
        </w:rPr>
        <w:t>limited</w:t>
      </w:r>
      <w:r w:rsidR="001A28B3" w:rsidRPr="00EA7870">
        <w:rPr>
          <w:rFonts w:ascii="TimesNewRoman" w:hAnsi="TimesNewRoman"/>
          <w:i/>
          <w:sz w:val="20"/>
          <w:szCs w:val="20"/>
          <w:lang w:val="es-AR"/>
        </w:rPr>
        <w:t xml:space="preserve"> </w:t>
      </w:r>
      <w:r w:rsidRPr="00EA7870">
        <w:rPr>
          <w:rFonts w:ascii="TimesNewRoman" w:hAnsi="TimesNewRoman"/>
          <w:i/>
          <w:sz w:val="20"/>
          <w:szCs w:val="20"/>
          <w:lang w:val="es-AR"/>
        </w:rPr>
        <w:t>purpose</w:t>
      </w:r>
      <w:r w:rsidR="001A28B3" w:rsidRPr="00EA7870">
        <w:rPr>
          <w:rFonts w:ascii="TimesNewRoman" w:hAnsi="TimesNewRoman"/>
          <w:i/>
          <w:sz w:val="20"/>
          <w:szCs w:val="20"/>
          <w:lang w:val="es-AR"/>
        </w:rPr>
        <w:t xml:space="preserve"> </w:t>
      </w:r>
      <w:r w:rsidRPr="00EA7870">
        <w:rPr>
          <w:rFonts w:ascii="TimesNewRoman" w:hAnsi="TimesNewRoman"/>
          <w:i/>
          <w:sz w:val="20"/>
          <w:szCs w:val="20"/>
          <w:lang w:val="es-AR"/>
        </w:rPr>
        <w:t>trust</w:t>
      </w:r>
      <w:r w:rsidR="001A28B3" w:rsidRPr="00EA7870">
        <w:rPr>
          <w:rFonts w:ascii="TimesNewRoman" w:hAnsi="TimesNewRoman"/>
          <w:i/>
          <w:sz w:val="20"/>
          <w:szCs w:val="20"/>
          <w:lang w:val="es-AR"/>
        </w:rPr>
        <w:t xml:space="preserve"> </w:t>
      </w:r>
      <w:r w:rsidRPr="00EA7870">
        <w:rPr>
          <w:rFonts w:ascii="TimesNewRoman" w:hAnsi="TimesNewRoman"/>
          <w:i/>
          <w:sz w:val="20"/>
          <w:szCs w:val="20"/>
          <w:lang w:val="es-AR"/>
        </w:rPr>
        <w:t>company</w:t>
      </w:r>
      <w:r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constituida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arreglo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leyes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Nueva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York;</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“institución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bancaria”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acuerdo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significado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asigna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término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Industria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Bancaria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Nueva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York,</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compañía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miembro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Reserva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Federal,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“sociedad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compensadora”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según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significado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asigna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término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Código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Comercial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Uniforme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“cámara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compensación”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registrada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conformidad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disposiciones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Artículo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17A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Mercado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Valores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Estadounidense.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creada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funcionar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institución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depositaria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valores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facilitar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compensación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liquidación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transacciones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valores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cambios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cuentas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mediante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escritural,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eliminando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así</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necesidad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efectuar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traslado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físico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certificados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otras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organizaciones.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También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tienen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acceso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indirecto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otras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bancos,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corredores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operadores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bursátiles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compañías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fiduciarias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realizan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operaciones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compensación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tienen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relación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custodia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directamente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intermediario.</w:t>
      </w:r>
    </w:p>
    <w:p w14:paraId="2F3EAA9F" w14:textId="77777777" w:rsidR="00376725" w:rsidRPr="00EA7870"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12246C15"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Emisora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entiende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quienes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inviertan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pueden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conservar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directamente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indirectamente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otras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organizaciones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indirectos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conservarán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nombre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cuentas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clientes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figuren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nombres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libros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instituciones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vez,</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instituciones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conservarán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cuentas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clientes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nombre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instituciones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libros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facilitarán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compensación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liquidación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transacciones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valores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cambios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cuentas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mediante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escritural.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instituciones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financieras,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suscriptores,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corredores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operadores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bursátiles,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bancos,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compañías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fiduciarias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ciertas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otras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organizaciones.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También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tienen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acceso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indirecto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otras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bancos,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corredores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operadores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bursátiles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compañías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fiduciarias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realizan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operaciones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compensación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tienen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relación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custodia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directamente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intermediario.</w:t>
      </w:r>
    </w:p>
    <w:p w14:paraId="1A531EB3" w14:textId="77777777" w:rsidR="00376725" w:rsidRPr="00EA7870"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01CD6DEE"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Sujeto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cumplimiento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restricciones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efectuar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transferencias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aplicables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transferencias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mercados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directa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indirectamente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otro,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efectuadas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depositarios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conformidad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última,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nombre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según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corresponda;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obstante,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efectuar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transferencias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mercados,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según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caso,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deberán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recibir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instrucciones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contraparte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acuerdo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dentro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plazos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establecidos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mismo.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transacción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cumple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requisitos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proceder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liquidación,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según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caso,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deberán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impartir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instrucciones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depositarios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indicándoles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efectuar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liquidación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final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nombre,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entregando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recibiendo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librando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recibiendo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pago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conformidad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normales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aplicables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liquidación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operaciones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valores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acreditables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mismo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día.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podrán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impartir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instrucciones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directamente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depositarios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p>
    <w:p w14:paraId="40FF0014" w14:textId="77777777" w:rsidR="00376725" w:rsidRPr="00EA7870"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11B2D716" w14:textId="11A0BB26"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Debido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diferencias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husos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horarios,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cuenta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esté</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adquiriendo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será</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acreditada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acreditación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será</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informada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relevante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día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liquidación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deberá</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día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hábil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inmediatamente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posterior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00A94F08" w:rsidRPr="00EA7870">
        <w:rPr>
          <w:rFonts w:ascii="TimesNewRoman" w:hAnsi="TimesNewRoman"/>
          <w:sz w:val="20"/>
          <w:szCs w:val="20"/>
          <w:lang w:val="es-AR"/>
        </w:rPr>
        <w:t>Fecha de Emisión y Liquidación</w:t>
      </w:r>
      <w:r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fondos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recibidos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producto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venta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recibirán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con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valor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00A94F08" w:rsidRPr="00EA7870">
        <w:rPr>
          <w:rFonts w:ascii="TimesNewRoman" w:hAnsi="TimesNewRoman"/>
          <w:sz w:val="20"/>
          <w:szCs w:val="20"/>
          <w:lang w:val="es-AR"/>
        </w:rPr>
        <w:t>Fecha de Emisión y Liquidación</w:t>
      </w:r>
      <w:r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disponibles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cuenta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efectivo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relevante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día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hábil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siguiente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00A94F08" w:rsidRPr="00EA7870">
        <w:rPr>
          <w:rFonts w:ascii="TimesNewRoman" w:hAnsi="TimesNewRoman"/>
          <w:sz w:val="20"/>
          <w:szCs w:val="20"/>
          <w:lang w:val="es-AR"/>
        </w:rPr>
        <w:t>Fecha de Emisión y Liquidación</w:t>
      </w:r>
      <w:r w:rsidRPr="00EA7870">
        <w:rPr>
          <w:rFonts w:ascii="TimesNewRoman" w:hAnsi="TimesNewRoman"/>
          <w:sz w:val="20"/>
          <w:szCs w:val="20"/>
          <w:lang w:val="es-AR"/>
        </w:rPr>
        <w:t>.</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transferencias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beneficiarias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liquidarán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libres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pagos.</w:t>
      </w:r>
    </w:p>
    <w:p w14:paraId="14F22CFA" w14:textId="77777777" w:rsidR="00376725" w:rsidRPr="00EA7870"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29B43F53"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Si</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bien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supone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seguirán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descriptos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más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arriba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facilitar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transferencia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entre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según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caso,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instituciones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llevar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cabo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seguir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llevando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cabo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tales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pudiendo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discontinuarlos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cualquier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momento.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Emisora,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Agente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Fiduciario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agentes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pago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hacen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responsables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cumplimiento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participantes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indirectos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virtud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reglas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rigen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respectivas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operaciones.</w:t>
      </w:r>
      <w:r w:rsidR="001A28B3" w:rsidRPr="00EA7870">
        <w:rPr>
          <w:rFonts w:ascii="TimesNewRoman" w:hAnsi="TimesNewRoman"/>
          <w:sz w:val="20"/>
          <w:szCs w:val="20"/>
          <w:lang w:val="es-AR"/>
        </w:rPr>
        <w:t xml:space="preserve"> </w:t>
      </w:r>
    </w:p>
    <w:p w14:paraId="02EE1817" w14:textId="77777777" w:rsidR="00376725" w:rsidRPr="00EA7870" w:rsidRDefault="00376725" w:rsidP="00376725">
      <w:pPr>
        <w:tabs>
          <w:tab w:val="left" w:pos="0"/>
        </w:tabs>
        <w:autoSpaceDE w:val="0"/>
        <w:autoSpaceDN w:val="0"/>
        <w:adjustRightInd w:val="0"/>
        <w:ind w:firstLine="709"/>
        <w:jc w:val="both"/>
        <w:rPr>
          <w:rFonts w:ascii="TimesNewRoman" w:hAnsi="TimesNewRoman"/>
          <w:sz w:val="20"/>
          <w:szCs w:val="20"/>
          <w:lang w:val="es-AR"/>
        </w:rPr>
      </w:pPr>
    </w:p>
    <w:p w14:paraId="031EE208" w14:textId="77777777" w:rsidR="00376725" w:rsidRPr="00EA7870" w:rsidRDefault="00376725" w:rsidP="00376725">
      <w:pPr>
        <w:tabs>
          <w:tab w:val="left" w:pos="0"/>
        </w:tabs>
        <w:autoSpaceDE w:val="0"/>
        <w:autoSpaceDN w:val="0"/>
        <w:adjustRightInd w:val="0"/>
        <w:jc w:val="both"/>
        <w:rPr>
          <w:rFonts w:ascii="TimesNewRoman" w:hAnsi="TimesNewRoman"/>
          <w:sz w:val="20"/>
          <w:szCs w:val="20"/>
          <w:lang w:val="es-AR"/>
        </w:rPr>
      </w:pPr>
      <w:r w:rsidRPr="00EA7870">
        <w:rPr>
          <w:rFonts w:ascii="TimesNewRoman" w:hAnsi="TimesNewRoman"/>
          <w:sz w:val="20"/>
          <w:szCs w:val="20"/>
          <w:lang w:val="es-AR"/>
        </w:rPr>
        <w:t>Todas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una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global,</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incluidas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aquellas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posean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sujetas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requisitos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DTC.</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posean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través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Euroclear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Clearstream</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también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estarán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sujetas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procedimientos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y</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requisitos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estos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sistemas.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leyes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algunas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jurisdicciones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exigen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que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ciertas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tomen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posesión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física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títulos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forma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definitiva.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leyes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podrían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dificultar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posibilidad</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de</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transferir</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participaciones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beneficiarias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en</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las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Obligaciones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Negociables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a</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dichas</w:t>
      </w:r>
      <w:r w:rsidR="001A28B3" w:rsidRPr="00EA7870">
        <w:rPr>
          <w:rFonts w:ascii="TimesNewRoman" w:hAnsi="TimesNewRoman"/>
          <w:sz w:val="20"/>
          <w:szCs w:val="20"/>
          <w:lang w:val="es-AR"/>
        </w:rPr>
        <w:t xml:space="preserve"> </w:t>
      </w:r>
      <w:r w:rsidRPr="00EA7870">
        <w:rPr>
          <w:rFonts w:ascii="TimesNewRoman" w:hAnsi="TimesNewRoman"/>
          <w:sz w:val="20"/>
          <w:szCs w:val="20"/>
          <w:lang w:val="es-AR"/>
        </w:rPr>
        <w:t>personas.</w:t>
      </w:r>
      <w:r w:rsidR="001A28B3" w:rsidRPr="00EA7870">
        <w:rPr>
          <w:rFonts w:ascii="TimesNewRoman" w:hAnsi="TimesNewRoman"/>
          <w:sz w:val="20"/>
          <w:szCs w:val="20"/>
          <w:lang w:val="es-AR"/>
        </w:rPr>
        <w:t xml:space="preserve"> </w:t>
      </w:r>
    </w:p>
    <w:p w14:paraId="52D1FECF" w14:textId="77777777" w:rsidR="007761FA" w:rsidRPr="00EA7870" w:rsidRDefault="007761FA" w:rsidP="00376725">
      <w:pPr>
        <w:tabs>
          <w:tab w:val="left" w:pos="0"/>
        </w:tabs>
        <w:autoSpaceDE w:val="0"/>
        <w:autoSpaceDN w:val="0"/>
        <w:adjustRightInd w:val="0"/>
        <w:jc w:val="both"/>
        <w:rPr>
          <w:rFonts w:ascii="TimesNewRoman" w:hAnsi="TimesNewRoman"/>
          <w:sz w:val="20"/>
          <w:szCs w:val="20"/>
          <w:lang w:val="es-AR"/>
        </w:rPr>
      </w:pPr>
    </w:p>
    <w:p w14:paraId="5D293AFC" w14:textId="77777777" w:rsidR="00376725" w:rsidRPr="00EA7870" w:rsidRDefault="00376725" w:rsidP="00376725">
      <w:pPr>
        <w:tabs>
          <w:tab w:val="left" w:pos="0"/>
        </w:tabs>
        <w:jc w:val="both"/>
        <w:rPr>
          <w:sz w:val="20"/>
          <w:szCs w:val="20"/>
          <w:lang w:val="es-AR"/>
        </w:rPr>
      </w:pPr>
      <w:r w:rsidRPr="00EA7870">
        <w:rPr>
          <w:b/>
          <w:sz w:val="20"/>
          <w:szCs w:val="20"/>
          <w:lang w:val="es-AR"/>
        </w:rPr>
        <w:t>Agente</w:t>
      </w:r>
      <w:r w:rsidR="001A28B3" w:rsidRPr="00EA7870">
        <w:rPr>
          <w:b/>
          <w:sz w:val="20"/>
          <w:szCs w:val="20"/>
          <w:lang w:val="es-AR"/>
        </w:rPr>
        <w:t xml:space="preserve"> </w:t>
      </w:r>
      <w:r w:rsidRPr="00EA7870">
        <w:rPr>
          <w:b/>
          <w:sz w:val="20"/>
          <w:szCs w:val="20"/>
          <w:lang w:val="es-AR"/>
        </w:rPr>
        <w:t>Fiduciario,</w:t>
      </w:r>
      <w:r w:rsidR="001A28B3" w:rsidRPr="00EA7870">
        <w:rPr>
          <w:b/>
          <w:sz w:val="20"/>
          <w:szCs w:val="20"/>
          <w:lang w:val="es-AR"/>
        </w:rPr>
        <w:t xml:space="preserve"> </w:t>
      </w:r>
      <w:r w:rsidRPr="00EA7870">
        <w:rPr>
          <w:b/>
          <w:sz w:val="20"/>
          <w:szCs w:val="20"/>
          <w:lang w:val="es-AR"/>
        </w:rPr>
        <w:t>Agente</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Registro,</w:t>
      </w:r>
      <w:r w:rsidR="001A28B3" w:rsidRPr="00EA7870">
        <w:rPr>
          <w:b/>
          <w:sz w:val="20"/>
          <w:szCs w:val="20"/>
          <w:lang w:val="es-AR"/>
        </w:rPr>
        <w:t xml:space="preserve"> </w:t>
      </w:r>
      <w:r w:rsidRPr="00EA7870">
        <w:rPr>
          <w:b/>
          <w:sz w:val="20"/>
          <w:szCs w:val="20"/>
          <w:lang w:val="es-AR"/>
        </w:rPr>
        <w:t>Agente</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Pago</w:t>
      </w:r>
      <w:r w:rsidR="001A28B3" w:rsidRPr="00EA7870">
        <w:rPr>
          <w:b/>
          <w:sz w:val="20"/>
          <w:szCs w:val="20"/>
          <w:lang w:val="es-AR"/>
        </w:rPr>
        <w:t xml:space="preserve"> </w:t>
      </w:r>
      <w:r w:rsidRPr="00EA7870">
        <w:rPr>
          <w:b/>
          <w:sz w:val="20"/>
          <w:szCs w:val="20"/>
          <w:lang w:val="es-AR"/>
        </w:rPr>
        <w:t>y</w:t>
      </w:r>
      <w:r w:rsidR="001A28B3" w:rsidRPr="00EA7870">
        <w:rPr>
          <w:b/>
          <w:sz w:val="20"/>
          <w:szCs w:val="20"/>
          <w:lang w:val="es-AR"/>
        </w:rPr>
        <w:t xml:space="preserve"> </w:t>
      </w:r>
      <w:r w:rsidRPr="00EA7870">
        <w:rPr>
          <w:b/>
          <w:sz w:val="20"/>
          <w:szCs w:val="20"/>
          <w:lang w:val="es-AR"/>
        </w:rPr>
        <w:t>Agente</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Transferencia</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las</w:t>
      </w:r>
      <w:r w:rsidR="001A28B3" w:rsidRPr="00EA7870">
        <w:rPr>
          <w:b/>
          <w:sz w:val="20"/>
          <w:szCs w:val="20"/>
          <w:lang w:val="es-AR"/>
        </w:rPr>
        <w:t xml:space="preserve"> </w:t>
      </w:r>
      <w:r w:rsidRPr="00EA7870">
        <w:rPr>
          <w:b/>
          <w:sz w:val="20"/>
          <w:szCs w:val="20"/>
          <w:lang w:val="es-AR"/>
        </w:rPr>
        <w:t>Obligaciones</w:t>
      </w:r>
      <w:r w:rsidR="001A28B3" w:rsidRPr="00EA7870">
        <w:rPr>
          <w:b/>
          <w:sz w:val="20"/>
          <w:szCs w:val="20"/>
          <w:lang w:val="es-AR"/>
        </w:rPr>
        <w:t xml:space="preserve"> </w:t>
      </w:r>
      <w:r w:rsidRPr="00EA7870">
        <w:rPr>
          <w:b/>
          <w:sz w:val="20"/>
          <w:szCs w:val="20"/>
          <w:lang w:val="es-AR"/>
        </w:rPr>
        <w:t>Negociables</w:t>
      </w:r>
      <w:r w:rsidRPr="00EA7870">
        <w:rPr>
          <w:sz w:val="20"/>
          <w:szCs w:val="20"/>
          <w:lang w:val="es-AR"/>
        </w:rPr>
        <w:t>.</w:t>
      </w:r>
    </w:p>
    <w:p w14:paraId="11C8CE69" w14:textId="77777777" w:rsidR="00376725" w:rsidRPr="00EA7870" w:rsidRDefault="00376725" w:rsidP="00376725">
      <w:pPr>
        <w:tabs>
          <w:tab w:val="left" w:pos="0"/>
        </w:tabs>
        <w:jc w:val="both"/>
        <w:rPr>
          <w:sz w:val="20"/>
          <w:szCs w:val="20"/>
          <w:lang w:val="es-AR"/>
        </w:rPr>
      </w:pPr>
    </w:p>
    <w:p w14:paraId="5FA34518" w14:textId="3419E7E7" w:rsidR="00376725" w:rsidRPr="00EA7870" w:rsidRDefault="00376725" w:rsidP="00376725">
      <w:pPr>
        <w:tabs>
          <w:tab w:val="left" w:pos="0"/>
        </w:tabs>
        <w:jc w:val="both"/>
        <w:rPr>
          <w:sz w:val="20"/>
          <w:szCs w:val="20"/>
          <w:lang w:val="es-AR"/>
        </w:rPr>
      </w:pPr>
      <w:r w:rsidRPr="00EA7870">
        <w:rPr>
          <w:sz w:val="20"/>
          <w:szCs w:val="20"/>
          <w:lang w:val="es-AR"/>
        </w:rPr>
        <w:t>The</w:t>
      </w:r>
      <w:r w:rsidR="001A28B3" w:rsidRPr="00EA7870">
        <w:rPr>
          <w:sz w:val="20"/>
          <w:szCs w:val="20"/>
          <w:lang w:val="es-AR"/>
        </w:rPr>
        <w:t xml:space="preserve"> </w:t>
      </w:r>
      <w:r w:rsidRPr="00EA7870">
        <w:rPr>
          <w:sz w:val="20"/>
          <w:szCs w:val="20"/>
          <w:lang w:val="es-AR"/>
        </w:rPr>
        <w:t>Bank</w:t>
      </w:r>
      <w:r w:rsidR="001A28B3" w:rsidRPr="00EA7870">
        <w:rPr>
          <w:sz w:val="20"/>
          <w:szCs w:val="20"/>
          <w:lang w:val="es-AR"/>
        </w:rPr>
        <w:t xml:space="preserve"> </w:t>
      </w:r>
      <w:r w:rsidRPr="00EA7870">
        <w:rPr>
          <w:sz w:val="20"/>
          <w:szCs w:val="20"/>
          <w:lang w:val="es-AR"/>
        </w:rPr>
        <w:t>of</w:t>
      </w:r>
      <w:r w:rsidR="001A28B3" w:rsidRPr="00EA7870">
        <w:rPr>
          <w:sz w:val="20"/>
          <w:szCs w:val="20"/>
          <w:lang w:val="es-AR"/>
        </w:rPr>
        <w:t xml:space="preserve"> </w:t>
      </w:r>
      <w:r w:rsidRPr="00EA7870">
        <w:rPr>
          <w:sz w:val="20"/>
          <w:szCs w:val="20"/>
          <w:lang w:val="es-AR"/>
        </w:rPr>
        <w:t>New</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Mellon</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sede</w:t>
      </w:r>
      <w:r w:rsidR="001A28B3" w:rsidRPr="00EA7870">
        <w:rPr>
          <w:sz w:val="20"/>
          <w:szCs w:val="20"/>
          <w:lang w:val="es-AR"/>
        </w:rPr>
        <w:t xml:space="preserve"> </w:t>
      </w:r>
      <w:r w:rsidRPr="00EA7870">
        <w:rPr>
          <w:sz w:val="20"/>
          <w:szCs w:val="20"/>
          <w:lang w:val="es-AR"/>
        </w:rPr>
        <w:t>social</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w:t>
      </w:r>
      <w:r w:rsidR="001A28B3" w:rsidRPr="00EA7870">
        <w:rPr>
          <w:sz w:val="20"/>
          <w:szCs w:val="20"/>
          <w:lang w:val="es-AR"/>
        </w:rPr>
        <w:t xml:space="preserve"> </w:t>
      </w:r>
      <w:r w:rsidRPr="00EA7870">
        <w:rPr>
          <w:sz w:val="20"/>
          <w:szCs w:val="20"/>
          <w:lang w:val="es-AR"/>
        </w:rPr>
        <w:t>ubicada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D43E65" w:rsidRPr="00EA7870">
        <w:rPr>
          <w:sz w:val="20"/>
          <w:szCs w:val="20"/>
          <w:lang w:val="es-AR"/>
        </w:rPr>
        <w:t>240</w:t>
      </w:r>
      <w:r w:rsidR="001A28B3" w:rsidRPr="00EA7870">
        <w:rPr>
          <w:sz w:val="20"/>
          <w:szCs w:val="20"/>
          <w:lang w:val="es-AR"/>
        </w:rPr>
        <w:t xml:space="preserve"> </w:t>
      </w:r>
      <w:r w:rsidR="00D43E65" w:rsidRPr="00EA7870">
        <w:rPr>
          <w:sz w:val="20"/>
          <w:szCs w:val="20"/>
          <w:lang w:val="es-AR"/>
        </w:rPr>
        <w:t>Greenwich</w:t>
      </w:r>
      <w:r w:rsidRPr="00EA7870">
        <w:rPr>
          <w:sz w:val="20"/>
          <w:szCs w:val="20"/>
          <w:lang w:val="es-AR"/>
        </w:rPr>
        <w:t>,</w:t>
      </w:r>
      <w:r w:rsidR="001A28B3" w:rsidRPr="00EA7870">
        <w:rPr>
          <w:sz w:val="20"/>
          <w:szCs w:val="20"/>
          <w:lang w:val="es-AR"/>
        </w:rPr>
        <w:t xml:space="preserve"> </w:t>
      </w:r>
      <w:r w:rsidRPr="00EA7870">
        <w:rPr>
          <w:sz w:val="20"/>
          <w:szCs w:val="20"/>
          <w:lang w:val="es-AR"/>
        </w:rPr>
        <w:t>Floor</w:t>
      </w:r>
      <w:r w:rsidR="001A28B3" w:rsidRPr="00EA7870">
        <w:rPr>
          <w:sz w:val="20"/>
          <w:szCs w:val="20"/>
          <w:lang w:val="es-AR"/>
        </w:rPr>
        <w:t xml:space="preserve"> </w:t>
      </w:r>
      <w:r w:rsidRPr="00EA7870">
        <w:rPr>
          <w:sz w:val="20"/>
          <w:szCs w:val="20"/>
          <w:lang w:val="es-AR"/>
        </w:rPr>
        <w:t>7</w:t>
      </w:r>
      <w:r w:rsidR="001A28B3" w:rsidRPr="00EA7870">
        <w:rPr>
          <w:sz w:val="20"/>
          <w:szCs w:val="20"/>
          <w:lang w:val="es-AR"/>
        </w:rPr>
        <w:t xml:space="preserve"> </w:t>
      </w:r>
      <w:r w:rsidRPr="00EA7870">
        <w:rPr>
          <w:sz w:val="20"/>
          <w:szCs w:val="20"/>
          <w:lang w:val="es-AR"/>
        </w:rPr>
        <w:t>East,</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inicialmente</w:t>
      </w:r>
      <w:r w:rsidR="001A28B3" w:rsidRPr="00EA7870">
        <w:rPr>
          <w:sz w:val="20"/>
          <w:szCs w:val="20"/>
          <w:lang w:val="es-AR"/>
        </w:rPr>
        <w:t xml:space="preserve"> </w:t>
      </w:r>
      <w:r w:rsidRPr="00EA7870">
        <w:rPr>
          <w:sz w:val="20"/>
          <w:szCs w:val="20"/>
          <w:lang w:val="es-AR"/>
        </w:rPr>
        <w:t>actuará</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tanto</w:t>
      </w:r>
      <w:r w:rsidR="00ED480B" w:rsidRPr="00EA7870">
        <w:rPr>
          <w:sz w:val="20"/>
          <w:szCs w:val="20"/>
          <w:lang w:val="es-AR"/>
        </w:rPr>
        <w:t>:</w:t>
      </w:r>
      <w:r w:rsidR="001A28B3" w:rsidRPr="00EA7870">
        <w:rPr>
          <w:sz w:val="20"/>
          <w:szCs w:val="20"/>
          <w:lang w:val="es-AR"/>
        </w:rPr>
        <w:t xml:space="preserve"> </w:t>
      </w:r>
      <w:r w:rsidR="00ED480B" w:rsidRPr="00EA7870">
        <w:rPr>
          <w:sz w:val="20"/>
          <w:szCs w:val="20"/>
          <w:lang w:val="es-AR"/>
        </w:rPr>
        <w:t>(i) las Obligaciones Negociables teng</w:t>
      </w:r>
      <w:r w:rsidR="00D56DD0" w:rsidRPr="00EA7870">
        <w:rPr>
          <w:sz w:val="20"/>
          <w:szCs w:val="20"/>
          <w:lang w:val="es-AR"/>
        </w:rPr>
        <w:t>an</w:t>
      </w:r>
      <w:r w:rsidR="00ED480B" w:rsidRPr="00EA7870">
        <w:rPr>
          <w:sz w:val="20"/>
          <w:szCs w:val="20"/>
          <w:lang w:val="es-AR"/>
        </w:rPr>
        <w:t xml:space="preserve"> oferta pública en Argent</w:t>
      </w:r>
      <w:r w:rsidR="00D56DD0" w:rsidRPr="00EA7870">
        <w:rPr>
          <w:sz w:val="20"/>
          <w:szCs w:val="20"/>
          <w:lang w:val="es-AR"/>
        </w:rPr>
        <w:t>i</w:t>
      </w:r>
      <w:r w:rsidR="00ED480B" w:rsidRPr="00EA7870">
        <w:rPr>
          <w:sz w:val="20"/>
          <w:szCs w:val="20"/>
          <w:lang w:val="es-AR"/>
        </w:rPr>
        <w:t xml:space="preserve">na, se encuentren listadas y negocien en BYMA, y negocien en MAE; (ii) </w:t>
      </w:r>
      <w:r w:rsidRPr="00EA7870">
        <w:rPr>
          <w:sz w:val="20"/>
          <w:szCs w:val="20"/>
          <w:lang w:val="es-AR"/>
        </w:rPr>
        <w:t>así</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requiera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ED480B" w:rsidRPr="00EA7870">
        <w:rPr>
          <w:sz w:val="20"/>
          <w:szCs w:val="20"/>
          <w:lang w:val="es-AR"/>
        </w:rPr>
        <w:t xml:space="preserve"> u otra normativa aplicable</w:t>
      </w:r>
      <w:r w:rsidRPr="00EA7870">
        <w:rPr>
          <w:sz w:val="20"/>
          <w:szCs w:val="20"/>
          <w:lang w:val="es-AR"/>
        </w:rPr>
        <w:t>,</w:t>
      </w:r>
      <w:r w:rsidR="007761FA" w:rsidRPr="00EA7870">
        <w:rPr>
          <w:sz w:val="20"/>
          <w:szCs w:val="20"/>
          <w:lang w:val="es-AR"/>
        </w:rPr>
        <w:t xml:space="preserve"> y </w:t>
      </w:r>
      <w:r w:rsidR="00ED480B" w:rsidRPr="00EA7870">
        <w:rPr>
          <w:sz w:val="20"/>
          <w:szCs w:val="20"/>
          <w:lang w:val="es-AR"/>
        </w:rPr>
        <w:t xml:space="preserve">(iii) </w:t>
      </w:r>
      <w:r w:rsidR="00F112D5" w:rsidRPr="00EA7870">
        <w:rPr>
          <w:sz w:val="20"/>
          <w:szCs w:val="20"/>
          <w:lang w:val="es-AR"/>
        </w:rPr>
        <w:t xml:space="preserve">se </w:t>
      </w:r>
      <w:r w:rsidR="00ED480B" w:rsidRPr="00EA7870">
        <w:rPr>
          <w:sz w:val="20"/>
          <w:szCs w:val="20"/>
          <w:lang w:val="es-AR"/>
        </w:rPr>
        <w:t xml:space="preserve">hubiese </w:t>
      </w:r>
      <w:r w:rsidR="00F112D5" w:rsidRPr="00EA7870">
        <w:rPr>
          <w:sz w:val="20"/>
          <w:szCs w:val="20"/>
          <w:lang w:val="es-AR"/>
        </w:rPr>
        <w:t>adjudica</w:t>
      </w:r>
      <w:r w:rsidR="00ED480B" w:rsidRPr="00EA7870">
        <w:rPr>
          <w:sz w:val="20"/>
          <w:szCs w:val="20"/>
          <w:lang w:val="es-AR"/>
        </w:rPr>
        <w:t>do</w:t>
      </w:r>
      <w:r w:rsidR="00F112D5" w:rsidRPr="00EA7870">
        <w:rPr>
          <w:sz w:val="20"/>
          <w:szCs w:val="20"/>
          <w:lang w:val="es-AR"/>
        </w:rPr>
        <w:t xml:space="preserve"> Obligaciones Negociables a inversores residentes en la Argentina</w:t>
      </w:r>
      <w:r w:rsidR="007761FA" w:rsidRPr="00EA7870">
        <w:rPr>
          <w:sz w:val="20"/>
          <w:szCs w:val="20"/>
          <w:lang w:val="es-AR"/>
        </w:rPr>
        <w:t>,</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00972295" w:rsidRPr="00EA7870">
        <w:rPr>
          <w:sz w:val="20"/>
          <w:szCs w:val="20"/>
          <w:lang w:val="es-AR"/>
        </w:rPr>
        <w:t>designará</w:t>
      </w:r>
      <w:r w:rsidR="00ED480B" w:rsidRPr="00EA7870">
        <w:rPr>
          <w:sz w:val="20"/>
          <w:szCs w:val="20"/>
          <w:lang w:val="es-AR"/>
        </w:rPr>
        <w:t>,</w:t>
      </w:r>
      <w:r w:rsidR="00972295" w:rsidRPr="00EA7870">
        <w:rPr>
          <w:sz w:val="20"/>
          <w:szCs w:val="20"/>
          <w:lang w:val="es-AR"/>
        </w:rPr>
        <w:t xml:space="preserve"> </w:t>
      </w:r>
      <w:r w:rsidR="00387592" w:rsidRPr="00EA7870">
        <w:rPr>
          <w:sz w:val="20"/>
          <w:szCs w:val="20"/>
          <w:lang w:val="es-AR"/>
        </w:rPr>
        <w:t>tan pronto sea posible</w:t>
      </w:r>
      <w:r w:rsidR="00972295" w:rsidRPr="00EA7870">
        <w:rPr>
          <w:sz w:val="20"/>
          <w:szCs w:val="20"/>
          <w:lang w:val="es-AR"/>
        </w:rPr>
        <w:t xml:space="preserve">, y </w:t>
      </w:r>
      <w:r w:rsidRPr="00EA7870">
        <w:rPr>
          <w:sz w:val="20"/>
          <w:szCs w:val="20"/>
          <w:lang w:val="es-AR"/>
        </w:rPr>
        <w:t>mantendrá</w:t>
      </w:r>
      <w:r w:rsidR="001A28B3" w:rsidRPr="00EA7870">
        <w:rPr>
          <w:sz w:val="20"/>
          <w:szCs w:val="20"/>
          <w:lang w:val="es-AR"/>
        </w:rPr>
        <w:t xml:space="preserve"> </w:t>
      </w:r>
      <w:r w:rsidR="00972295" w:rsidRPr="00EA7870">
        <w:rPr>
          <w:sz w:val="20"/>
          <w:szCs w:val="20"/>
          <w:lang w:val="es-AR"/>
        </w:rPr>
        <w:t>mientras que las Obligaciones Negociables se encuentren en circulación</w:t>
      </w:r>
      <w:r w:rsidR="00ED480B" w:rsidRPr="00EA7870">
        <w:rPr>
          <w:sz w:val="20"/>
          <w:szCs w:val="20"/>
          <w:lang w:val="es-AR"/>
        </w:rPr>
        <w:t xml:space="preserve"> y los requisitos antes mencionados sigan siendo aplicables</w:t>
      </w:r>
      <w:r w:rsidR="00972295"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representante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p>
    <w:p w14:paraId="5B2D2A39" w14:textId="77777777" w:rsidR="00B20DB5" w:rsidRPr="00EA7870" w:rsidRDefault="00B20DB5" w:rsidP="00AB4115">
      <w:pPr>
        <w:tabs>
          <w:tab w:val="left" w:pos="0"/>
        </w:tabs>
        <w:jc w:val="both"/>
        <w:rPr>
          <w:sz w:val="20"/>
          <w:szCs w:val="20"/>
          <w:lang w:val="es-AR"/>
        </w:rPr>
      </w:pPr>
    </w:p>
    <w:p w14:paraId="0020B47C"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cambiar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agentes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Representante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agentes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agentes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previa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desempeñarse</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agentes</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publicado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w:t>
      </w:r>
      <w:r w:rsidRPr="00EA7870">
        <w:rPr>
          <w:i/>
          <w:sz w:val="20"/>
          <w:szCs w:val="20"/>
          <w:lang w:val="es-AR"/>
        </w:rPr>
        <w:t>—Notificaciones</w:t>
      </w:r>
      <w:r w:rsidRPr="00EA7870">
        <w:rPr>
          <w:sz w:val="20"/>
          <w:szCs w:val="20"/>
          <w:lang w:val="es-AR"/>
        </w:rPr>
        <w:t>”</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notificado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MAE.</w:t>
      </w:r>
    </w:p>
    <w:p w14:paraId="01B89E4A" w14:textId="77777777" w:rsidR="00376725" w:rsidRPr="00EA7870" w:rsidRDefault="00376725" w:rsidP="00376725">
      <w:pPr>
        <w:tabs>
          <w:tab w:val="left" w:pos="0"/>
        </w:tabs>
        <w:ind w:firstLine="709"/>
        <w:jc w:val="both"/>
        <w:rPr>
          <w:sz w:val="20"/>
          <w:szCs w:val="20"/>
          <w:lang w:val="es-AR"/>
        </w:rPr>
      </w:pPr>
    </w:p>
    <w:p w14:paraId="229D3AED" w14:textId="77777777" w:rsidR="00376725" w:rsidRPr="00EA7870" w:rsidRDefault="00376725" w:rsidP="00376725">
      <w:pPr>
        <w:tabs>
          <w:tab w:val="left" w:pos="0"/>
        </w:tabs>
        <w:jc w:val="both"/>
        <w:rPr>
          <w:sz w:val="20"/>
          <w:szCs w:val="20"/>
          <w:lang w:val="es-AR"/>
        </w:rPr>
      </w:pPr>
      <w:r w:rsidRPr="00EA7870">
        <w:rPr>
          <w:sz w:val="20"/>
          <w:szCs w:val="20"/>
          <w:lang w:val="es-AR"/>
        </w:rPr>
        <w:t>Salvo</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continuidad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necesario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cumpla</w:t>
      </w:r>
      <w:r w:rsidR="001A28B3" w:rsidRPr="00EA7870">
        <w:rPr>
          <w:sz w:val="20"/>
          <w:szCs w:val="20"/>
          <w:lang w:val="es-AR"/>
        </w:rPr>
        <w:t xml:space="preserve"> </w:t>
      </w:r>
      <w:r w:rsidRPr="00EA7870">
        <w:rPr>
          <w:sz w:val="20"/>
          <w:szCs w:val="20"/>
          <w:lang w:val="es-AR"/>
        </w:rPr>
        <w:t>únicamente</w:t>
      </w:r>
      <w:r w:rsidR="001A28B3" w:rsidRPr="00EA7870">
        <w:rPr>
          <w:sz w:val="20"/>
          <w:szCs w:val="20"/>
          <w:lang w:val="es-AR"/>
        </w:rPr>
        <w:t xml:space="preserve"> </w:t>
      </w:r>
      <w:r w:rsidRPr="00EA7870">
        <w:rPr>
          <w:sz w:val="20"/>
          <w:szCs w:val="20"/>
          <w:lang w:val="es-AR"/>
        </w:rPr>
        <w:t>aquellas</w:t>
      </w:r>
      <w:r w:rsidR="001A28B3" w:rsidRPr="00EA7870">
        <w:rPr>
          <w:sz w:val="20"/>
          <w:szCs w:val="20"/>
          <w:lang w:val="es-AR"/>
        </w:rPr>
        <w:t xml:space="preserve"> </w:t>
      </w:r>
      <w:r w:rsidRPr="00EA7870">
        <w:rPr>
          <w:sz w:val="20"/>
          <w:szCs w:val="20"/>
          <w:lang w:val="es-AR"/>
        </w:rPr>
        <w:t>funciones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estén</w:t>
      </w:r>
      <w:r w:rsidR="001A28B3" w:rsidRPr="00EA7870">
        <w:rPr>
          <w:sz w:val="20"/>
          <w:szCs w:val="20"/>
          <w:lang w:val="es-AR"/>
        </w:rPr>
        <w:t xml:space="preserve"> </w:t>
      </w:r>
      <w:r w:rsidRPr="00EA7870">
        <w:rPr>
          <w:sz w:val="20"/>
          <w:szCs w:val="20"/>
          <w:lang w:val="es-AR"/>
        </w:rPr>
        <w:t>específicamente</w:t>
      </w:r>
      <w:r w:rsidR="001A28B3" w:rsidRPr="00EA7870">
        <w:rPr>
          <w:sz w:val="20"/>
          <w:szCs w:val="20"/>
          <w:lang w:val="es-AR"/>
        </w:rPr>
        <w:t xml:space="preserve"> </w:t>
      </w:r>
      <w:r w:rsidRPr="00EA7870">
        <w:rPr>
          <w:sz w:val="20"/>
          <w:szCs w:val="20"/>
          <w:lang w:val="es-AR"/>
        </w:rPr>
        <w:t>establecidas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interpretarán</w:t>
      </w:r>
      <w:r w:rsidR="001A28B3" w:rsidRPr="00EA7870">
        <w:rPr>
          <w:sz w:val="20"/>
          <w:szCs w:val="20"/>
          <w:lang w:val="es-AR"/>
        </w:rPr>
        <w:t xml:space="preserve"> </w:t>
      </w:r>
      <w:r w:rsidRPr="00EA7870">
        <w:rPr>
          <w:sz w:val="20"/>
          <w:szCs w:val="20"/>
          <w:lang w:val="es-AR"/>
        </w:rPr>
        <w:t>compromisos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implícitas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contra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w:t>
      </w:r>
      <w:r w:rsidR="001A28B3" w:rsidRPr="00EA7870">
        <w:rPr>
          <w:sz w:val="20"/>
          <w:szCs w:val="20"/>
          <w:lang w:val="es-AR"/>
        </w:rPr>
        <w:t xml:space="preserve"> </w:t>
      </w:r>
      <w:r w:rsidRPr="00EA7870">
        <w:rPr>
          <w:sz w:val="20"/>
          <w:szCs w:val="20"/>
          <w:lang w:val="es-AR"/>
        </w:rPr>
        <w:t>ocurrido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Supuesto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continuara</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deberá</w:t>
      </w:r>
      <w:r w:rsidR="001A28B3" w:rsidRPr="00EA7870">
        <w:rPr>
          <w:sz w:val="20"/>
          <w:szCs w:val="20"/>
          <w:lang w:val="es-AR"/>
        </w:rPr>
        <w:t xml:space="preserve"> </w:t>
      </w:r>
      <w:r w:rsidRPr="00EA7870">
        <w:rPr>
          <w:sz w:val="20"/>
          <w:szCs w:val="20"/>
          <w:lang w:val="es-AR"/>
        </w:rPr>
        <w:t>ejercer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facultades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le</w:t>
      </w:r>
      <w:r w:rsidR="001A28B3" w:rsidRPr="00EA7870">
        <w:rPr>
          <w:sz w:val="20"/>
          <w:szCs w:val="20"/>
          <w:lang w:val="es-AR"/>
        </w:rPr>
        <w:t xml:space="preserve"> </w:t>
      </w:r>
      <w:r w:rsidRPr="00EA7870">
        <w:rPr>
          <w:sz w:val="20"/>
          <w:szCs w:val="20"/>
          <w:lang w:val="es-AR"/>
        </w:rPr>
        <w:t>son</w:t>
      </w:r>
      <w:r w:rsidR="001A28B3" w:rsidRPr="00EA7870">
        <w:rPr>
          <w:sz w:val="20"/>
          <w:szCs w:val="20"/>
          <w:lang w:val="es-AR"/>
        </w:rPr>
        <w:t xml:space="preserve"> </w:t>
      </w:r>
      <w:r w:rsidRPr="00EA7870">
        <w:rPr>
          <w:sz w:val="20"/>
          <w:szCs w:val="20"/>
          <w:lang w:val="es-AR"/>
        </w:rPr>
        <w:t>conferidos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ejercer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usar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mismo</w:t>
      </w:r>
      <w:r w:rsidR="001A28B3" w:rsidRPr="00EA7870">
        <w:rPr>
          <w:sz w:val="20"/>
          <w:szCs w:val="20"/>
          <w:lang w:val="es-AR"/>
        </w:rPr>
        <w:t xml:space="preserve"> </w:t>
      </w:r>
      <w:r w:rsidRPr="00EA7870">
        <w:rPr>
          <w:sz w:val="20"/>
          <w:szCs w:val="20"/>
          <w:lang w:val="es-AR"/>
        </w:rPr>
        <w:t>grado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cuidado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habilidad</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ejercicio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haría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prudente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esas</w:t>
      </w:r>
      <w:r w:rsidR="001A28B3" w:rsidRPr="00EA7870">
        <w:rPr>
          <w:sz w:val="20"/>
          <w:szCs w:val="20"/>
          <w:lang w:val="es-AR"/>
        </w:rPr>
        <w:t xml:space="preserve"> </w:t>
      </w:r>
      <w:r w:rsidRPr="00EA7870">
        <w:rPr>
          <w:sz w:val="20"/>
          <w:szCs w:val="20"/>
          <w:lang w:val="es-AR"/>
        </w:rPr>
        <w:t>circunstancias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conducción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propios</w:t>
      </w:r>
      <w:r w:rsidR="001A28B3" w:rsidRPr="00EA7870">
        <w:rPr>
          <w:sz w:val="20"/>
          <w:szCs w:val="20"/>
          <w:lang w:val="es-AR"/>
        </w:rPr>
        <w:t xml:space="preserve"> </w:t>
      </w:r>
      <w:r w:rsidRPr="00EA7870">
        <w:rPr>
          <w:sz w:val="20"/>
          <w:szCs w:val="20"/>
          <w:lang w:val="es-AR"/>
        </w:rPr>
        <w:t>asuntos.</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requerirá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desembolse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arriesgue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propios</w:t>
      </w:r>
      <w:r w:rsidR="001A28B3" w:rsidRPr="00EA7870">
        <w:rPr>
          <w:sz w:val="20"/>
          <w:szCs w:val="20"/>
          <w:lang w:val="es-AR"/>
        </w:rPr>
        <w:t xml:space="preserve"> </w:t>
      </w:r>
      <w:r w:rsidRPr="00EA7870">
        <w:rPr>
          <w:sz w:val="20"/>
          <w:szCs w:val="20"/>
          <w:lang w:val="es-AR"/>
        </w:rPr>
        <w:t>fondos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incurra</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financiera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funciones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ejercicio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facultades</w:t>
      </w:r>
      <w:r w:rsidR="001A28B3" w:rsidRPr="00EA7870">
        <w:rPr>
          <w:sz w:val="20"/>
          <w:szCs w:val="20"/>
          <w:lang w:val="es-AR"/>
        </w:rPr>
        <w:t xml:space="preserve"> </w:t>
      </w:r>
      <w:r w:rsidRPr="00EA7870">
        <w:rPr>
          <w:sz w:val="20"/>
          <w:szCs w:val="20"/>
          <w:lang w:val="es-AR"/>
        </w:rPr>
        <w:t>salvo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reciba</w:t>
      </w:r>
      <w:r w:rsidR="001A28B3" w:rsidRPr="00EA7870">
        <w:rPr>
          <w:sz w:val="20"/>
          <w:szCs w:val="20"/>
          <w:lang w:val="es-AR"/>
        </w:rPr>
        <w:t xml:space="preserve"> </w:t>
      </w:r>
      <w:r w:rsidRPr="00EA7870">
        <w:rPr>
          <w:sz w:val="20"/>
          <w:szCs w:val="20"/>
          <w:lang w:val="es-AR"/>
        </w:rPr>
        <w:t>indemnización</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satisfacción</w:t>
      </w:r>
      <w:r w:rsidR="001A28B3" w:rsidRPr="00EA7870">
        <w:rPr>
          <w:sz w:val="20"/>
          <w:szCs w:val="20"/>
          <w:lang w:val="es-AR"/>
        </w:rPr>
        <w:t xml:space="preserve"> </w:t>
      </w:r>
      <w:r w:rsidRPr="00EA7870">
        <w:rPr>
          <w:sz w:val="20"/>
          <w:szCs w:val="20"/>
          <w:lang w:val="es-AR"/>
        </w:rPr>
        <w:t>contra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pérdida,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gasto.</w:t>
      </w:r>
    </w:p>
    <w:p w14:paraId="04EA673D" w14:textId="77777777" w:rsidR="00376725" w:rsidRPr="00EA7870" w:rsidRDefault="00376725" w:rsidP="00376725">
      <w:pPr>
        <w:tabs>
          <w:tab w:val="left" w:pos="0"/>
        </w:tabs>
        <w:ind w:firstLine="709"/>
        <w:jc w:val="both"/>
        <w:rPr>
          <w:sz w:val="20"/>
          <w:szCs w:val="20"/>
          <w:lang w:val="es-AR"/>
        </w:rPr>
      </w:pPr>
    </w:p>
    <w:p w14:paraId="2F8737E3" w14:textId="77777777" w:rsidR="00376725" w:rsidRPr="00EA7870" w:rsidRDefault="00376725" w:rsidP="00376725">
      <w:pPr>
        <w:tabs>
          <w:tab w:val="left" w:pos="0"/>
        </w:tabs>
        <w:jc w:val="both"/>
        <w:rPr>
          <w:sz w:val="20"/>
          <w:szCs w:val="20"/>
          <w:lang w:val="es-AR"/>
        </w:rPr>
      </w:pP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contiene</w:t>
      </w:r>
      <w:r w:rsidR="001A28B3" w:rsidRPr="00EA7870">
        <w:rPr>
          <w:sz w:val="20"/>
          <w:szCs w:val="20"/>
          <w:lang w:val="es-AR"/>
        </w:rPr>
        <w:t xml:space="preserve"> </w:t>
      </w:r>
      <w:r w:rsidRPr="00EA7870">
        <w:rPr>
          <w:sz w:val="20"/>
          <w:szCs w:val="20"/>
          <w:lang w:val="es-AR"/>
        </w:rPr>
        <w:t>limitaciones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pase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acreedor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obligado</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obtener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reclamos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ciertos</w:t>
      </w:r>
      <w:r w:rsidR="001A28B3" w:rsidRPr="00EA7870">
        <w:rPr>
          <w:sz w:val="20"/>
          <w:szCs w:val="20"/>
          <w:lang w:val="es-AR"/>
        </w:rPr>
        <w:t xml:space="preserve"> </w:t>
      </w:r>
      <w:r w:rsidRPr="00EA7870">
        <w:rPr>
          <w:sz w:val="20"/>
          <w:szCs w:val="20"/>
          <w:lang w:val="es-AR"/>
        </w:rPr>
        <w:t>casos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ciertos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recibidos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reclamo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permite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Fiduciario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comprometa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operaciones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Afiliadas;</w:t>
      </w:r>
      <w:r w:rsidR="001A28B3" w:rsidRPr="00EA7870">
        <w:rPr>
          <w:sz w:val="20"/>
          <w:szCs w:val="20"/>
          <w:lang w:val="es-AR"/>
        </w:rPr>
        <w:t xml:space="preserve"> </w:t>
      </w:r>
      <w:r w:rsidRPr="00EA7870">
        <w:rPr>
          <w:sz w:val="20"/>
          <w:szCs w:val="20"/>
          <w:lang w:val="es-AR"/>
        </w:rPr>
        <w:t>teniendo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adquiriera</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participación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conflicto,</w:t>
      </w:r>
      <w:r w:rsidR="001A28B3" w:rsidRPr="00EA7870">
        <w:rPr>
          <w:sz w:val="20"/>
          <w:szCs w:val="20"/>
          <w:lang w:val="es-AR"/>
        </w:rPr>
        <w:t xml:space="preserve"> </w:t>
      </w:r>
      <w:r w:rsidRPr="00EA7870">
        <w:rPr>
          <w:sz w:val="20"/>
          <w:szCs w:val="20"/>
          <w:lang w:val="es-AR"/>
        </w:rPr>
        <w:t>debe</w:t>
      </w:r>
      <w:r w:rsidR="001A28B3" w:rsidRPr="00EA7870">
        <w:rPr>
          <w:sz w:val="20"/>
          <w:szCs w:val="20"/>
          <w:lang w:val="es-AR"/>
        </w:rPr>
        <w:t xml:space="preserve"> </w:t>
      </w:r>
      <w:r w:rsidRPr="00EA7870">
        <w:rPr>
          <w:sz w:val="20"/>
          <w:szCs w:val="20"/>
          <w:lang w:val="es-AR"/>
        </w:rPr>
        <w:t>eliminar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conflicto</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90</w:t>
      </w:r>
      <w:r w:rsidR="001A28B3" w:rsidRPr="00EA7870">
        <w:rPr>
          <w:sz w:val="20"/>
          <w:szCs w:val="20"/>
          <w:lang w:val="es-AR"/>
        </w:rPr>
        <w:t xml:space="preserve"> </w:t>
      </w:r>
      <w:r w:rsidRPr="00EA7870">
        <w:rPr>
          <w:sz w:val="20"/>
          <w:szCs w:val="20"/>
          <w:lang w:val="es-AR"/>
        </w:rPr>
        <w:t>días.</w:t>
      </w:r>
    </w:p>
    <w:p w14:paraId="7177BB71" w14:textId="77777777" w:rsidR="00376725" w:rsidRPr="00EA7870" w:rsidRDefault="00376725" w:rsidP="00376725">
      <w:pPr>
        <w:tabs>
          <w:tab w:val="left" w:pos="0"/>
        </w:tabs>
        <w:ind w:firstLine="709"/>
        <w:jc w:val="both"/>
        <w:rPr>
          <w:sz w:val="20"/>
          <w:szCs w:val="20"/>
          <w:lang w:val="es-AR"/>
        </w:rPr>
      </w:pPr>
    </w:p>
    <w:p w14:paraId="195EDA8C" w14:textId="77777777" w:rsidR="00376725" w:rsidRPr="00EA7870" w:rsidRDefault="00376725" w:rsidP="00376725">
      <w:pPr>
        <w:tabs>
          <w:tab w:val="left" w:pos="0"/>
        </w:tabs>
        <w:jc w:val="both"/>
        <w:rPr>
          <w:b/>
          <w:sz w:val="20"/>
          <w:szCs w:val="20"/>
          <w:lang w:val="es-AR"/>
        </w:rPr>
      </w:pPr>
      <w:r w:rsidRPr="00EA7870">
        <w:rPr>
          <w:b/>
          <w:sz w:val="20"/>
          <w:szCs w:val="20"/>
          <w:lang w:val="es-AR"/>
        </w:rPr>
        <w:t>Ley</w:t>
      </w:r>
      <w:r w:rsidR="001A28B3" w:rsidRPr="00EA7870">
        <w:rPr>
          <w:b/>
          <w:sz w:val="20"/>
          <w:szCs w:val="20"/>
          <w:lang w:val="es-AR"/>
        </w:rPr>
        <w:t xml:space="preserve"> </w:t>
      </w:r>
      <w:r w:rsidRPr="00EA7870">
        <w:rPr>
          <w:b/>
          <w:sz w:val="20"/>
          <w:szCs w:val="20"/>
          <w:lang w:val="es-AR"/>
        </w:rPr>
        <w:t>Aplicable,</w:t>
      </w:r>
      <w:r w:rsidR="001A28B3" w:rsidRPr="00EA7870">
        <w:rPr>
          <w:b/>
          <w:sz w:val="20"/>
          <w:szCs w:val="20"/>
          <w:lang w:val="es-AR"/>
        </w:rPr>
        <w:t xml:space="preserve"> </w:t>
      </w:r>
      <w:r w:rsidRPr="00EA7870">
        <w:rPr>
          <w:b/>
          <w:sz w:val="20"/>
          <w:szCs w:val="20"/>
          <w:lang w:val="es-AR"/>
        </w:rPr>
        <w:t>Aceptación</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Competencia,</w:t>
      </w:r>
      <w:r w:rsidR="001A28B3" w:rsidRPr="00EA7870">
        <w:rPr>
          <w:b/>
          <w:sz w:val="20"/>
          <w:szCs w:val="20"/>
          <w:lang w:val="es-AR"/>
        </w:rPr>
        <w:t xml:space="preserve"> </w:t>
      </w:r>
      <w:r w:rsidRPr="00EA7870">
        <w:rPr>
          <w:b/>
          <w:sz w:val="20"/>
          <w:szCs w:val="20"/>
          <w:lang w:val="es-AR"/>
        </w:rPr>
        <w:t>Conversión</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Moneda</w:t>
      </w:r>
      <w:r w:rsidR="001A28B3" w:rsidRPr="00EA7870">
        <w:rPr>
          <w:b/>
          <w:sz w:val="20"/>
          <w:szCs w:val="20"/>
          <w:lang w:val="es-AR"/>
        </w:rPr>
        <w:t xml:space="preserve"> </w:t>
      </w:r>
      <w:r w:rsidRPr="00EA7870">
        <w:rPr>
          <w:b/>
          <w:sz w:val="20"/>
          <w:szCs w:val="20"/>
          <w:lang w:val="es-AR"/>
        </w:rPr>
        <w:t>y</w:t>
      </w:r>
      <w:r w:rsidR="001A28B3" w:rsidRPr="00EA7870">
        <w:rPr>
          <w:b/>
          <w:sz w:val="20"/>
          <w:szCs w:val="20"/>
          <w:lang w:val="es-AR"/>
        </w:rPr>
        <w:t xml:space="preserve"> </w:t>
      </w:r>
      <w:r w:rsidRPr="00EA7870">
        <w:rPr>
          <w:b/>
          <w:sz w:val="20"/>
          <w:szCs w:val="20"/>
          <w:lang w:val="es-AR"/>
        </w:rPr>
        <w:t>Notificaciones</w:t>
      </w:r>
      <w:r w:rsidR="001A28B3" w:rsidRPr="00EA7870">
        <w:rPr>
          <w:b/>
          <w:sz w:val="20"/>
          <w:szCs w:val="20"/>
          <w:lang w:val="es-AR"/>
        </w:rPr>
        <w:t xml:space="preserve"> </w:t>
      </w:r>
      <w:r w:rsidRPr="00EA7870">
        <w:rPr>
          <w:b/>
          <w:sz w:val="20"/>
          <w:szCs w:val="20"/>
          <w:lang w:val="es-AR"/>
        </w:rPr>
        <w:t>Procesales</w:t>
      </w:r>
    </w:p>
    <w:p w14:paraId="66F2EBB9" w14:textId="77777777" w:rsidR="00376725" w:rsidRPr="00EA7870" w:rsidRDefault="00376725" w:rsidP="00376725">
      <w:pPr>
        <w:tabs>
          <w:tab w:val="left" w:pos="0"/>
        </w:tabs>
        <w:ind w:firstLine="709"/>
        <w:jc w:val="both"/>
        <w:rPr>
          <w:sz w:val="20"/>
          <w:szCs w:val="20"/>
          <w:lang w:val="es-AR"/>
        </w:rPr>
      </w:pPr>
    </w:p>
    <w:p w14:paraId="104A0142" w14:textId="77777777" w:rsidR="00376725" w:rsidRPr="00EA7870" w:rsidRDefault="00376725" w:rsidP="00376725">
      <w:pPr>
        <w:tabs>
          <w:tab w:val="left" w:pos="0"/>
        </w:tabs>
        <w:jc w:val="both"/>
        <w:rPr>
          <w:sz w:val="20"/>
          <w:szCs w:val="20"/>
          <w:lang w:val="es-AR"/>
        </w:rPr>
      </w:pP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regirán</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interpretados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Estado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008615C4" w:rsidRPr="00EA7870">
        <w:rPr>
          <w:sz w:val="20"/>
          <w:szCs w:val="20"/>
          <w:lang w:val="es-AR"/>
        </w:rPr>
        <w:t>q</w:t>
      </w:r>
      <w:r w:rsidRPr="00EA7870">
        <w:rPr>
          <w:sz w:val="20"/>
          <w:szCs w:val="20"/>
          <w:lang w:val="es-AR"/>
        </w:rPr>
        <w:t>uedando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rige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califiquen</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tales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mientras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General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modificatorias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complementarias,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Capitales,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reglamentaciones</w:t>
      </w:r>
      <w:r w:rsidR="001A28B3" w:rsidRPr="00EA7870">
        <w:rPr>
          <w:sz w:val="20"/>
          <w:szCs w:val="20"/>
          <w:lang w:val="es-AR"/>
        </w:rPr>
        <w:t xml:space="preserve"> </w:t>
      </w:r>
      <w:r w:rsidRPr="00EA7870">
        <w:rPr>
          <w:sz w:val="20"/>
          <w:szCs w:val="20"/>
          <w:lang w:val="es-AR"/>
        </w:rPr>
        <w:t>argentinas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rigen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capacidad</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autorización</w:t>
      </w:r>
      <w:r w:rsidR="001A28B3" w:rsidRPr="00EA7870">
        <w:rPr>
          <w:sz w:val="20"/>
          <w:szCs w:val="20"/>
          <w:lang w:val="es-AR"/>
        </w:rPr>
        <w:t xml:space="preserve"> </w:t>
      </w:r>
      <w:r w:rsidRPr="00EA7870">
        <w:rPr>
          <w:sz w:val="20"/>
          <w:szCs w:val="20"/>
          <w:lang w:val="es-AR"/>
        </w:rPr>
        <w:t>societaria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suscribir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otorgar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autorización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pública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ciertos</w:t>
      </w:r>
      <w:r w:rsidR="001A28B3" w:rsidRPr="00EA7870">
        <w:rPr>
          <w:sz w:val="20"/>
          <w:szCs w:val="20"/>
          <w:lang w:val="es-AR"/>
        </w:rPr>
        <w:t xml:space="preserve"> </w:t>
      </w:r>
      <w:r w:rsidRPr="00EA7870">
        <w:rPr>
          <w:sz w:val="20"/>
          <w:szCs w:val="20"/>
          <w:lang w:val="es-AR"/>
        </w:rPr>
        <w:t>asuntos</w:t>
      </w:r>
      <w:r w:rsidR="001A28B3" w:rsidRPr="00EA7870">
        <w:rPr>
          <w:sz w:val="20"/>
          <w:szCs w:val="20"/>
          <w:lang w:val="es-AR"/>
        </w:rPr>
        <w:t xml:space="preserve"> </w:t>
      </w:r>
      <w:r w:rsidRPr="00EA7870">
        <w:rPr>
          <w:sz w:val="20"/>
          <w:szCs w:val="20"/>
          <w:lang w:val="es-AR"/>
        </w:rPr>
        <w:t>relacionados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asambleas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tenedores.</w:t>
      </w:r>
      <w:r w:rsidR="001A28B3" w:rsidRPr="00EA7870">
        <w:rPr>
          <w:sz w:val="20"/>
          <w:szCs w:val="20"/>
          <w:lang w:val="es-AR"/>
        </w:rPr>
        <w:t xml:space="preserve"> </w:t>
      </w:r>
    </w:p>
    <w:p w14:paraId="021F0DC8" w14:textId="77777777" w:rsidR="00376725" w:rsidRPr="00EA7870" w:rsidRDefault="00376725" w:rsidP="00376725">
      <w:pPr>
        <w:tabs>
          <w:tab w:val="left" w:pos="0"/>
        </w:tabs>
        <w:ind w:firstLine="709"/>
        <w:jc w:val="both"/>
        <w:rPr>
          <w:sz w:val="20"/>
          <w:szCs w:val="20"/>
          <w:lang w:val="es-AR"/>
        </w:rPr>
      </w:pPr>
    </w:p>
    <w:p w14:paraId="7C606C19"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someterán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competencia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exclusiva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tribunales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Estado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tribunales</w:t>
      </w:r>
      <w:r w:rsidR="001A28B3" w:rsidRPr="00EA7870">
        <w:rPr>
          <w:sz w:val="20"/>
          <w:szCs w:val="20"/>
          <w:lang w:val="es-AR"/>
        </w:rPr>
        <w:t xml:space="preserve"> </w:t>
      </w:r>
      <w:r w:rsidRPr="00EA7870">
        <w:rPr>
          <w:sz w:val="20"/>
          <w:szCs w:val="20"/>
          <w:lang w:val="es-AR"/>
        </w:rPr>
        <w:t>federales</w:t>
      </w:r>
      <w:r w:rsidR="001A28B3" w:rsidRPr="00EA7870">
        <w:rPr>
          <w:sz w:val="20"/>
          <w:szCs w:val="20"/>
          <w:lang w:val="es-AR"/>
        </w:rPr>
        <w:t xml:space="preserve"> </w:t>
      </w:r>
      <w:r w:rsidRPr="00EA7870">
        <w:rPr>
          <w:sz w:val="20"/>
          <w:szCs w:val="20"/>
          <w:lang w:val="es-AR"/>
        </w:rPr>
        <w:t>estadounidenses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Distrito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Manhattan,</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w:t>
      </w:r>
      <w:r w:rsidRPr="00EA7870">
        <w:rPr>
          <w:b/>
          <w:sz w:val="20"/>
          <w:szCs w:val="20"/>
          <w:lang w:val="es-AR"/>
        </w:rPr>
        <w:t>Tribunales</w:t>
      </w:r>
      <w:r w:rsidR="001A28B3" w:rsidRPr="00EA7870">
        <w:rPr>
          <w:b/>
          <w:sz w:val="20"/>
          <w:szCs w:val="20"/>
          <w:lang w:val="es-AR"/>
        </w:rPr>
        <w:t xml:space="preserve"> </w:t>
      </w:r>
      <w:r w:rsidRPr="00EA7870">
        <w:rPr>
          <w:b/>
          <w:sz w:val="20"/>
          <w:szCs w:val="20"/>
          <w:lang w:val="es-AR"/>
        </w:rPr>
        <w:t>Especificados</w:t>
      </w:r>
      <w:r w:rsidRPr="00EA7870">
        <w:rPr>
          <w:sz w:val="20"/>
          <w:szCs w:val="20"/>
          <w:lang w:val="es-AR"/>
        </w:rPr>
        <w:t>”)</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acción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entablada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designado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00F44C86" w:rsidRPr="00EA7870">
        <w:rPr>
          <w:sz w:val="20"/>
          <w:szCs w:val="20"/>
          <w:lang w:val="es-AR"/>
        </w:rPr>
        <w:t>Law</w:t>
      </w:r>
      <w:r w:rsidR="001A28B3" w:rsidRPr="00EA7870">
        <w:rPr>
          <w:sz w:val="20"/>
          <w:szCs w:val="20"/>
          <w:lang w:val="es-AR"/>
        </w:rPr>
        <w:t xml:space="preserve"> </w:t>
      </w:r>
      <w:r w:rsidR="00F44C86" w:rsidRPr="00EA7870">
        <w:rPr>
          <w:sz w:val="20"/>
          <w:szCs w:val="20"/>
          <w:lang w:val="es-AR"/>
        </w:rPr>
        <w:t>Debenture</w:t>
      </w:r>
      <w:r w:rsidR="001A28B3" w:rsidRPr="00EA7870">
        <w:rPr>
          <w:sz w:val="20"/>
          <w:szCs w:val="20"/>
          <w:lang w:val="es-AR"/>
        </w:rPr>
        <w:t xml:space="preserve"> </w:t>
      </w:r>
      <w:r w:rsidR="00F44C86" w:rsidRPr="00EA7870">
        <w:rPr>
          <w:sz w:val="20"/>
          <w:szCs w:val="20"/>
          <w:lang w:val="es-AR"/>
        </w:rPr>
        <w:t>Corporate</w:t>
      </w:r>
      <w:r w:rsidR="001A28B3" w:rsidRPr="00EA7870">
        <w:rPr>
          <w:sz w:val="20"/>
          <w:szCs w:val="20"/>
          <w:lang w:val="es-AR"/>
        </w:rPr>
        <w:t xml:space="preserve"> </w:t>
      </w:r>
      <w:r w:rsidR="00F44C86" w:rsidRPr="00EA7870">
        <w:rPr>
          <w:sz w:val="20"/>
          <w:szCs w:val="20"/>
          <w:lang w:val="es-AR"/>
        </w:rPr>
        <w:t>Services,</w:t>
      </w:r>
      <w:r w:rsidR="001A28B3" w:rsidRPr="00EA7870">
        <w:rPr>
          <w:sz w:val="20"/>
          <w:szCs w:val="20"/>
          <w:lang w:val="es-AR"/>
        </w:rPr>
        <w:t xml:space="preserve"> </w:t>
      </w:r>
      <w:r w:rsidR="00F44C86" w:rsidRPr="00EA7870">
        <w:rPr>
          <w:sz w:val="20"/>
          <w:szCs w:val="20"/>
          <w:lang w:val="es-AR"/>
        </w:rPr>
        <w:t>Inc,</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D30DC7" w:rsidRPr="00EA7870">
        <w:rPr>
          <w:sz w:val="20"/>
          <w:szCs w:val="20"/>
          <w:lang w:val="es-AR"/>
        </w:rPr>
        <w:t>notificaciones</w:t>
      </w:r>
      <w:r w:rsidR="001A28B3" w:rsidRPr="00EA7870">
        <w:rPr>
          <w:sz w:val="20"/>
          <w:szCs w:val="20"/>
          <w:lang w:val="es-AR"/>
        </w:rPr>
        <w:t xml:space="preserve"> </w:t>
      </w:r>
      <w:r w:rsidR="009238FF" w:rsidRPr="00EA7870">
        <w:rPr>
          <w:sz w:val="20"/>
          <w:szCs w:val="20"/>
          <w:lang w:val="es-AR"/>
        </w:rPr>
        <w:t>procesales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notificación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recibir.</w:t>
      </w:r>
      <w:r w:rsidR="008615C4" w:rsidRPr="00EA7870">
        <w:rPr>
          <w:sz w:val="20"/>
          <w:szCs w:val="20"/>
          <w:lang w:val="es-AR"/>
        </w:rPr>
        <w:t xml:space="preserve"> </w:t>
      </w:r>
      <w:r w:rsidR="008615C4" w:rsidRPr="00EA7870">
        <w:rPr>
          <w:color w:val="000000"/>
          <w:sz w:val="20"/>
          <w:szCs w:val="20"/>
          <w:lang w:val="es-AR"/>
        </w:rPr>
        <w:t xml:space="preserve">Sin perjuicio de lo anterior, de acuerdo con el Artículo 46 de la Ley de Mercado de Capitales, los tenedores de Obligaciones Negociables podrán someter controversias relacionadas con las Obligaciones Negociables a la jurisdicción no exclusiva del Tribunal de Arbitraje General de la BCBA, </w:t>
      </w:r>
      <w:r w:rsidR="008615C4" w:rsidRPr="00EA7870">
        <w:rPr>
          <w:sz w:val="20"/>
          <w:szCs w:val="20"/>
          <w:lang w:val="es-AR"/>
        </w:rPr>
        <w:t xml:space="preserve">en virtud del ejercicio de la facultad delegada por BYMA a la BCBA conforme lo dispuesto por la Resolución N°18.629 de la CNV, o el tribunal arbitral del mercado de valores que lo reemplace, todo ello, </w:t>
      </w:r>
      <w:r w:rsidR="008615C4" w:rsidRPr="00EA7870">
        <w:rPr>
          <w:color w:val="000000"/>
          <w:sz w:val="20"/>
          <w:szCs w:val="20"/>
          <w:lang w:val="es-AR"/>
        </w:rPr>
        <w:t>de acuerdo con el artículo 46 de la Ley de Mercado de Capitales.</w:t>
      </w:r>
    </w:p>
    <w:p w14:paraId="1A1FEF00" w14:textId="77777777" w:rsidR="00376725" w:rsidRPr="00EA7870" w:rsidRDefault="00376725" w:rsidP="00376725">
      <w:pPr>
        <w:tabs>
          <w:tab w:val="left" w:pos="0"/>
        </w:tabs>
        <w:ind w:firstLine="709"/>
        <w:jc w:val="both"/>
        <w:rPr>
          <w:sz w:val="20"/>
          <w:szCs w:val="20"/>
          <w:lang w:val="es-AR"/>
        </w:rPr>
      </w:pPr>
    </w:p>
    <w:p w14:paraId="56209D67" w14:textId="77777777" w:rsidR="00376725" w:rsidRPr="00EA7870" w:rsidRDefault="00376725" w:rsidP="00376725">
      <w:pPr>
        <w:tabs>
          <w:tab w:val="left" w:pos="0"/>
        </w:tabs>
        <w:jc w:val="both"/>
        <w:rPr>
          <w:sz w:val="20"/>
          <w:szCs w:val="20"/>
          <w:lang w:val="es-AR"/>
        </w:rPr>
      </w:pPr>
      <w:r w:rsidRPr="00EA7870">
        <w:rPr>
          <w:sz w:val="20"/>
          <w:szCs w:val="20"/>
          <w:lang w:val="es-AR"/>
        </w:rPr>
        <w:t>Si</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obtener</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tribunal</w:t>
      </w:r>
      <w:r w:rsidR="001A28B3" w:rsidRPr="00EA7870">
        <w:rPr>
          <w:sz w:val="20"/>
          <w:szCs w:val="20"/>
          <w:lang w:val="es-AR"/>
        </w:rPr>
        <w:t xml:space="preserve"> </w:t>
      </w:r>
      <w:r w:rsidRPr="00EA7870">
        <w:rPr>
          <w:sz w:val="20"/>
          <w:szCs w:val="20"/>
          <w:lang w:val="es-AR"/>
        </w:rPr>
        <w:t>resultara</w:t>
      </w:r>
      <w:r w:rsidR="001A28B3" w:rsidRPr="00EA7870">
        <w:rPr>
          <w:sz w:val="20"/>
          <w:szCs w:val="20"/>
          <w:lang w:val="es-AR"/>
        </w:rPr>
        <w:t xml:space="preserve"> </w:t>
      </w:r>
      <w:r w:rsidRPr="00EA7870">
        <w:rPr>
          <w:sz w:val="20"/>
          <w:szCs w:val="20"/>
          <w:lang w:val="es-AR"/>
        </w:rPr>
        <w:t>necesario</w:t>
      </w:r>
      <w:r w:rsidR="001A28B3" w:rsidRPr="00EA7870">
        <w:rPr>
          <w:sz w:val="20"/>
          <w:szCs w:val="20"/>
          <w:lang w:val="es-AR"/>
        </w:rPr>
        <w:t xml:space="preserve"> </w:t>
      </w:r>
      <w:r w:rsidRPr="00EA7870">
        <w:rPr>
          <w:sz w:val="20"/>
          <w:szCs w:val="20"/>
          <w:lang w:val="es-AR"/>
        </w:rPr>
        <w:t>convertir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suma</w:t>
      </w:r>
      <w:r w:rsidR="001A28B3" w:rsidRPr="00EA7870">
        <w:rPr>
          <w:sz w:val="20"/>
          <w:szCs w:val="20"/>
          <w:lang w:val="es-AR"/>
        </w:rPr>
        <w:t xml:space="preserve"> </w:t>
      </w:r>
      <w:r w:rsidRPr="00EA7870">
        <w:rPr>
          <w:sz w:val="20"/>
          <w:szCs w:val="20"/>
          <w:lang w:val="es-AR"/>
        </w:rPr>
        <w:t>adeudada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acordado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tenencia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acordado,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máximo</w:t>
      </w:r>
      <w:r w:rsidR="001A28B3" w:rsidRPr="00EA7870">
        <w:rPr>
          <w:sz w:val="20"/>
          <w:szCs w:val="20"/>
          <w:lang w:val="es-AR"/>
        </w:rPr>
        <w:t xml:space="preserve"> </w:t>
      </w:r>
      <w:r w:rsidRPr="00EA7870">
        <w:rPr>
          <w:sz w:val="20"/>
          <w:szCs w:val="20"/>
          <w:lang w:val="es-AR"/>
        </w:rPr>
        <w:t>alcance</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efectivamente</w:t>
      </w:r>
      <w:r w:rsidR="001A28B3" w:rsidRPr="00EA7870">
        <w:rPr>
          <w:sz w:val="20"/>
          <w:szCs w:val="20"/>
          <w:lang w:val="es-AR"/>
        </w:rPr>
        <w:t xml:space="preserve"> </w:t>
      </w:r>
      <w:r w:rsidRPr="00EA7870">
        <w:rPr>
          <w:sz w:val="20"/>
          <w:szCs w:val="20"/>
          <w:lang w:val="es-AR"/>
        </w:rPr>
        <w:t>hacerlo,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utilizado</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aquel</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procedimientos</w:t>
      </w:r>
      <w:r w:rsidR="001A28B3" w:rsidRPr="00EA7870">
        <w:rPr>
          <w:sz w:val="20"/>
          <w:szCs w:val="20"/>
          <w:lang w:val="es-AR"/>
        </w:rPr>
        <w:t xml:space="preserve"> </w:t>
      </w:r>
      <w:r w:rsidRPr="00EA7870">
        <w:rPr>
          <w:sz w:val="20"/>
          <w:szCs w:val="20"/>
          <w:lang w:val="es-AR"/>
        </w:rPr>
        <w:t>bancarios</w:t>
      </w:r>
      <w:r w:rsidR="001A28B3" w:rsidRPr="00EA7870">
        <w:rPr>
          <w:sz w:val="20"/>
          <w:szCs w:val="20"/>
          <w:lang w:val="es-AR"/>
        </w:rPr>
        <w:t xml:space="preserve"> </w:t>
      </w:r>
      <w:r w:rsidRPr="00EA7870">
        <w:rPr>
          <w:sz w:val="20"/>
          <w:szCs w:val="20"/>
          <w:lang w:val="es-AR"/>
        </w:rPr>
        <w:t>habituales</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pudiera</w:t>
      </w:r>
      <w:r w:rsidR="001A28B3" w:rsidRPr="00EA7870">
        <w:rPr>
          <w:sz w:val="20"/>
          <w:szCs w:val="20"/>
          <w:lang w:val="es-AR"/>
        </w:rPr>
        <w:t xml:space="preserve"> </w:t>
      </w:r>
      <w:r w:rsidRPr="00EA7870">
        <w:rPr>
          <w:sz w:val="20"/>
          <w:szCs w:val="20"/>
          <w:lang w:val="es-AR"/>
        </w:rPr>
        <w:t>comprar</w:t>
      </w:r>
      <w:r w:rsidR="001A28B3" w:rsidRPr="00EA7870">
        <w:rPr>
          <w:sz w:val="20"/>
          <w:szCs w:val="20"/>
          <w:lang w:val="es-AR"/>
        </w:rPr>
        <w:t xml:space="preserve"> </w:t>
      </w:r>
      <w:r w:rsidR="007E69F5" w:rsidRPr="00EA7870">
        <w:rPr>
          <w:sz w:val="20"/>
          <w:szCs w:val="20"/>
          <w:lang w:val="es-AR"/>
        </w:rPr>
        <w:t>Dólares</w:t>
      </w:r>
      <w:r w:rsidR="001A28B3" w:rsidRPr="00EA7870">
        <w:rPr>
          <w:sz w:val="20"/>
          <w:szCs w:val="20"/>
          <w:lang w:val="es-AR"/>
        </w:rPr>
        <w:t xml:space="preserve"> </w:t>
      </w:r>
      <w:r w:rsidR="007E69F5" w:rsidRPr="00EA7870">
        <w:rPr>
          <w:sz w:val="20"/>
          <w:szCs w:val="20"/>
          <w:lang w:val="es-AR"/>
        </w:rPr>
        <w:t>Estadounidenses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moneda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dos</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Hábiles</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emita</w:t>
      </w:r>
      <w:r w:rsidR="001A28B3" w:rsidRPr="00EA7870">
        <w:rPr>
          <w:sz w:val="20"/>
          <w:szCs w:val="20"/>
          <w:lang w:val="es-AR"/>
        </w:rPr>
        <w:t xml:space="preserve"> </w:t>
      </w:r>
      <w:r w:rsidRPr="00EA7870">
        <w:rPr>
          <w:sz w:val="20"/>
          <w:szCs w:val="20"/>
          <w:lang w:val="es-AR"/>
        </w:rPr>
        <w:t>sentencia</w:t>
      </w:r>
      <w:r w:rsidR="001A28B3" w:rsidRPr="00EA7870">
        <w:rPr>
          <w:sz w:val="20"/>
          <w:szCs w:val="20"/>
          <w:lang w:val="es-AR"/>
        </w:rPr>
        <w:t xml:space="preserve"> </w:t>
      </w:r>
      <w:r w:rsidRPr="00EA7870">
        <w:rPr>
          <w:sz w:val="20"/>
          <w:szCs w:val="20"/>
          <w:lang w:val="es-AR"/>
        </w:rPr>
        <w:t>definitiva.</w:t>
      </w:r>
    </w:p>
    <w:p w14:paraId="3C43606B" w14:textId="77777777" w:rsidR="00376725" w:rsidRPr="00EA7870" w:rsidRDefault="00376725" w:rsidP="00376725">
      <w:pPr>
        <w:tabs>
          <w:tab w:val="left" w:pos="0"/>
        </w:tabs>
        <w:ind w:firstLine="709"/>
        <w:jc w:val="both"/>
        <w:rPr>
          <w:sz w:val="20"/>
          <w:szCs w:val="20"/>
          <w:lang w:val="es-AR"/>
        </w:rPr>
      </w:pPr>
    </w:p>
    <w:p w14:paraId="7FD6C734" w14:textId="77777777" w:rsidR="00376725" w:rsidRPr="00EA7870" w:rsidRDefault="00376725" w:rsidP="00376725">
      <w:pPr>
        <w:tabs>
          <w:tab w:val="left" w:pos="0"/>
        </w:tabs>
        <w:jc w:val="both"/>
        <w:rPr>
          <w:sz w:val="20"/>
          <w:szCs w:val="20"/>
          <w:lang w:val="es-AR"/>
        </w:rPr>
      </w:pPr>
      <w:r w:rsidRPr="00EA7870">
        <w:rPr>
          <w:sz w:val="20"/>
          <w:szCs w:val="20"/>
          <w:lang w:val="es-AR"/>
        </w:rPr>
        <w:t>Los</w:t>
      </w:r>
      <w:r w:rsidR="001A28B3" w:rsidRPr="00EA7870">
        <w:rPr>
          <w:sz w:val="20"/>
          <w:szCs w:val="20"/>
          <w:lang w:val="es-AR"/>
        </w:rPr>
        <w:t xml:space="preserve"> </w:t>
      </w:r>
      <w:r w:rsidRPr="00EA7870">
        <w:rPr>
          <w:sz w:val="20"/>
          <w:szCs w:val="20"/>
          <w:lang w:val="es-AR"/>
        </w:rPr>
        <w:t>reclamos</w:t>
      </w:r>
      <w:r w:rsidR="001A28B3" w:rsidRPr="00EA7870">
        <w:rPr>
          <w:sz w:val="20"/>
          <w:szCs w:val="20"/>
          <w:lang w:val="es-AR"/>
        </w:rPr>
        <w:t xml:space="preserve"> </w:t>
      </w:r>
      <w:r w:rsidRPr="00EA7870">
        <w:rPr>
          <w:sz w:val="20"/>
          <w:szCs w:val="20"/>
          <w:lang w:val="es-AR"/>
        </w:rPr>
        <w:t>contra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prima,</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adeudados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deberán</w:t>
      </w:r>
      <w:r w:rsidR="001A28B3" w:rsidRPr="00EA7870">
        <w:rPr>
          <w:sz w:val="20"/>
          <w:szCs w:val="20"/>
          <w:lang w:val="es-AR"/>
        </w:rPr>
        <w:t xml:space="preserve"> </w:t>
      </w:r>
      <w:r w:rsidRPr="00EA7870">
        <w:rPr>
          <w:sz w:val="20"/>
          <w:szCs w:val="20"/>
          <w:lang w:val="es-AR"/>
        </w:rPr>
        <w:t>realizarse</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cinco</w:t>
      </w:r>
      <w:r w:rsidR="001A28B3" w:rsidRPr="00EA7870">
        <w:rPr>
          <w:sz w:val="20"/>
          <w:szCs w:val="20"/>
          <w:lang w:val="es-AR"/>
        </w:rPr>
        <w:t xml:space="preserve"> </w:t>
      </w:r>
      <w:r w:rsidRPr="00EA7870">
        <w:rPr>
          <w:sz w:val="20"/>
          <w:szCs w:val="20"/>
          <w:lang w:val="es-AR"/>
        </w:rPr>
        <w:t>años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dos</w:t>
      </w:r>
      <w:r w:rsidR="001A28B3" w:rsidRPr="00EA7870">
        <w:rPr>
          <w:sz w:val="20"/>
          <w:szCs w:val="20"/>
          <w:lang w:val="es-AR"/>
        </w:rPr>
        <w:t xml:space="preserve"> </w:t>
      </w:r>
      <w:r w:rsidRPr="00EA7870">
        <w:rPr>
          <w:sz w:val="20"/>
          <w:szCs w:val="20"/>
          <w:lang w:val="es-AR"/>
        </w:rPr>
        <w:t>años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prima,</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hubiera,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adeudados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Adicionales),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desde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venció</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primera</w:t>
      </w:r>
      <w:r w:rsidR="001A28B3" w:rsidRPr="00EA7870">
        <w:rPr>
          <w:sz w:val="20"/>
          <w:szCs w:val="20"/>
          <w:lang w:val="es-AR"/>
        </w:rPr>
        <w:t xml:space="preserve"> </w:t>
      </w:r>
      <w:r w:rsidRPr="00EA7870">
        <w:rPr>
          <w:sz w:val="20"/>
          <w:szCs w:val="20"/>
          <w:lang w:val="es-AR"/>
        </w:rPr>
        <w:t>vez,</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menor</w:t>
      </w:r>
      <w:r w:rsidR="001A28B3" w:rsidRPr="00EA7870">
        <w:rPr>
          <w:sz w:val="20"/>
          <w:szCs w:val="20"/>
          <w:lang w:val="es-AR"/>
        </w:rPr>
        <w:t xml:space="preserve"> </w:t>
      </w:r>
      <w:r w:rsidRPr="00EA7870">
        <w:rPr>
          <w:sz w:val="20"/>
          <w:szCs w:val="20"/>
          <w:lang w:val="es-AR"/>
        </w:rPr>
        <w:t>dispuesto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ley.</w:t>
      </w:r>
    </w:p>
    <w:p w14:paraId="6DA50A07" w14:textId="77777777" w:rsidR="00376725" w:rsidRPr="00EA7870" w:rsidRDefault="00376725" w:rsidP="00376725">
      <w:pPr>
        <w:tabs>
          <w:tab w:val="left" w:pos="0"/>
        </w:tabs>
        <w:ind w:firstLine="709"/>
        <w:jc w:val="both"/>
        <w:rPr>
          <w:rFonts w:ascii="TimesNewRoman" w:hAnsi="TimesNewRoman"/>
          <w:sz w:val="20"/>
          <w:szCs w:val="20"/>
          <w:lang w:val="es-AR"/>
        </w:rPr>
      </w:pPr>
    </w:p>
    <w:p w14:paraId="6F7E9D5C" w14:textId="77777777" w:rsidR="00376725" w:rsidRPr="00EA7870" w:rsidRDefault="00376725" w:rsidP="00376725">
      <w:pPr>
        <w:tabs>
          <w:tab w:val="left" w:pos="0"/>
        </w:tabs>
        <w:jc w:val="both"/>
        <w:rPr>
          <w:rFonts w:ascii="TimesNewRoman" w:hAnsi="TimesNewRoman"/>
          <w:b/>
          <w:sz w:val="20"/>
          <w:szCs w:val="20"/>
          <w:lang w:val="es-AR"/>
        </w:rPr>
      </w:pPr>
      <w:r w:rsidRPr="00EA7870">
        <w:rPr>
          <w:rFonts w:ascii="TimesNewRoman" w:hAnsi="TimesNewRoman"/>
          <w:b/>
          <w:sz w:val="20"/>
          <w:szCs w:val="20"/>
          <w:lang w:val="es-AR"/>
        </w:rPr>
        <w:t>Listado</w:t>
      </w:r>
    </w:p>
    <w:p w14:paraId="6767C523" w14:textId="77777777" w:rsidR="00376725" w:rsidRPr="00EA7870" w:rsidRDefault="00376725" w:rsidP="00376725">
      <w:pPr>
        <w:tabs>
          <w:tab w:val="left" w:pos="0"/>
        </w:tabs>
        <w:ind w:firstLine="709"/>
        <w:jc w:val="both"/>
        <w:rPr>
          <w:sz w:val="20"/>
          <w:szCs w:val="20"/>
          <w:lang w:val="es-AR"/>
        </w:rPr>
      </w:pPr>
    </w:p>
    <w:p w14:paraId="1302AD27" w14:textId="77777777" w:rsidR="00376725" w:rsidRPr="00EA7870" w:rsidRDefault="00376725" w:rsidP="00376725">
      <w:pPr>
        <w:tabs>
          <w:tab w:val="left" w:pos="0"/>
        </w:tabs>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también</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presentado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solicitud</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listen</w:t>
      </w:r>
      <w:r w:rsidR="006239C2" w:rsidRPr="00EA7870">
        <w:rPr>
          <w:sz w:val="20"/>
          <w:szCs w:val="20"/>
          <w:lang w:val="es-AR"/>
        </w:rPr>
        <w:t xml:space="preserve"> y negocien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BYMA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negociación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MAE.</w:t>
      </w:r>
      <w:r w:rsidR="001A28B3" w:rsidRPr="00EA7870">
        <w:rPr>
          <w:sz w:val="20"/>
          <w:szCs w:val="20"/>
          <w:lang w:val="es-AR"/>
        </w:rPr>
        <w:t xml:space="preserve"> </w:t>
      </w:r>
      <w:r w:rsidR="006239C2" w:rsidRPr="00EA7870">
        <w:rPr>
          <w:sz w:val="20"/>
          <w:szCs w:val="20"/>
        </w:rPr>
        <w:t>L</w:t>
      </w:r>
      <w:r w:rsidR="004006A4" w:rsidRPr="00EA7870">
        <w:rPr>
          <w:sz w:val="20"/>
          <w:szCs w:val="20"/>
        </w:rPr>
        <w:t>a</w:t>
      </w:r>
      <w:r w:rsidR="001A28B3" w:rsidRPr="00EA7870">
        <w:rPr>
          <w:sz w:val="20"/>
          <w:szCs w:val="20"/>
        </w:rPr>
        <w:t xml:space="preserve"> </w:t>
      </w:r>
      <w:r w:rsidR="004006A4" w:rsidRPr="00EA7870">
        <w:rPr>
          <w:sz w:val="20"/>
          <w:szCs w:val="20"/>
        </w:rPr>
        <w:t>Sucursal</w:t>
      </w:r>
      <w:r w:rsidR="001A28B3" w:rsidRPr="00EA7870">
        <w:rPr>
          <w:sz w:val="20"/>
          <w:szCs w:val="20"/>
        </w:rPr>
        <w:t xml:space="preserve"> </w:t>
      </w:r>
      <w:r w:rsidR="004006A4" w:rsidRPr="00EA7870">
        <w:rPr>
          <w:sz w:val="20"/>
          <w:szCs w:val="20"/>
        </w:rPr>
        <w:t>no</w:t>
      </w:r>
      <w:r w:rsidR="001A28B3" w:rsidRPr="00EA7870">
        <w:rPr>
          <w:sz w:val="20"/>
          <w:szCs w:val="20"/>
        </w:rPr>
        <w:t xml:space="preserve"> </w:t>
      </w:r>
      <w:r w:rsidR="004006A4" w:rsidRPr="00EA7870">
        <w:rPr>
          <w:sz w:val="20"/>
          <w:szCs w:val="20"/>
        </w:rPr>
        <w:t>puede</w:t>
      </w:r>
      <w:r w:rsidR="001A28B3" w:rsidRPr="00EA7870">
        <w:rPr>
          <w:sz w:val="20"/>
          <w:szCs w:val="20"/>
        </w:rPr>
        <w:t xml:space="preserve"> </w:t>
      </w:r>
      <w:r w:rsidR="004006A4" w:rsidRPr="00EA7870">
        <w:rPr>
          <w:sz w:val="20"/>
          <w:szCs w:val="20"/>
        </w:rPr>
        <w:t>asegurar</w:t>
      </w:r>
      <w:r w:rsidR="001A28B3" w:rsidRPr="00EA7870">
        <w:rPr>
          <w:sz w:val="20"/>
          <w:szCs w:val="20"/>
        </w:rPr>
        <w:t xml:space="preserve"> </w:t>
      </w:r>
      <w:r w:rsidR="004006A4" w:rsidRPr="00EA7870">
        <w:rPr>
          <w:sz w:val="20"/>
          <w:szCs w:val="20"/>
        </w:rPr>
        <w:t>que</w:t>
      </w:r>
      <w:r w:rsidR="001A28B3" w:rsidRPr="00EA7870">
        <w:rPr>
          <w:sz w:val="20"/>
          <w:szCs w:val="20"/>
        </w:rPr>
        <w:t xml:space="preserve"> </w:t>
      </w:r>
      <w:r w:rsidR="004006A4" w:rsidRPr="00EA7870">
        <w:rPr>
          <w:sz w:val="20"/>
          <w:szCs w:val="20"/>
        </w:rPr>
        <w:t>dichas</w:t>
      </w:r>
      <w:r w:rsidR="001A28B3" w:rsidRPr="00EA7870">
        <w:rPr>
          <w:sz w:val="20"/>
          <w:szCs w:val="20"/>
        </w:rPr>
        <w:t xml:space="preserve"> </w:t>
      </w:r>
      <w:r w:rsidR="004006A4" w:rsidRPr="00EA7870">
        <w:rPr>
          <w:sz w:val="20"/>
          <w:szCs w:val="20"/>
        </w:rPr>
        <w:t>autorizaciones</w:t>
      </w:r>
      <w:r w:rsidR="001A28B3" w:rsidRPr="00EA7870">
        <w:rPr>
          <w:sz w:val="20"/>
          <w:szCs w:val="20"/>
        </w:rPr>
        <w:t xml:space="preserve"> </w:t>
      </w:r>
      <w:r w:rsidR="004006A4" w:rsidRPr="00EA7870">
        <w:rPr>
          <w:sz w:val="20"/>
          <w:szCs w:val="20"/>
        </w:rPr>
        <w:t>serán</w:t>
      </w:r>
      <w:r w:rsidR="001A28B3" w:rsidRPr="00EA7870">
        <w:rPr>
          <w:sz w:val="20"/>
          <w:szCs w:val="20"/>
        </w:rPr>
        <w:t xml:space="preserve"> </w:t>
      </w:r>
      <w:r w:rsidR="004006A4" w:rsidRPr="00EA7870">
        <w:rPr>
          <w:sz w:val="20"/>
          <w:szCs w:val="20"/>
        </w:rPr>
        <w:t>otorgadas,</w:t>
      </w:r>
      <w:r w:rsidR="001A28B3" w:rsidRPr="00EA7870">
        <w:rPr>
          <w:sz w:val="20"/>
          <w:szCs w:val="20"/>
        </w:rPr>
        <w:t xml:space="preserve"> </w:t>
      </w:r>
      <w:r w:rsidR="004006A4" w:rsidRPr="00EA7870">
        <w:rPr>
          <w:sz w:val="20"/>
          <w:szCs w:val="20"/>
        </w:rPr>
        <w:t>o</w:t>
      </w:r>
      <w:r w:rsidR="001A28B3" w:rsidRPr="00EA7870">
        <w:rPr>
          <w:sz w:val="20"/>
          <w:szCs w:val="20"/>
        </w:rPr>
        <w:t xml:space="preserve"> </w:t>
      </w:r>
      <w:r w:rsidR="004006A4" w:rsidRPr="00EA7870">
        <w:rPr>
          <w:sz w:val="20"/>
          <w:szCs w:val="20"/>
        </w:rPr>
        <w:t>que,</w:t>
      </w:r>
      <w:r w:rsidR="001A28B3" w:rsidRPr="00EA7870">
        <w:rPr>
          <w:sz w:val="20"/>
          <w:szCs w:val="20"/>
        </w:rPr>
        <w:t xml:space="preserve"> </w:t>
      </w:r>
      <w:r w:rsidR="004006A4" w:rsidRPr="00EA7870">
        <w:rPr>
          <w:sz w:val="20"/>
          <w:szCs w:val="20"/>
        </w:rPr>
        <w:t>una</w:t>
      </w:r>
      <w:r w:rsidR="001A28B3" w:rsidRPr="00EA7870">
        <w:rPr>
          <w:sz w:val="20"/>
          <w:szCs w:val="20"/>
        </w:rPr>
        <w:t xml:space="preserve"> </w:t>
      </w:r>
      <w:r w:rsidR="004006A4" w:rsidRPr="00EA7870">
        <w:rPr>
          <w:sz w:val="20"/>
          <w:szCs w:val="20"/>
        </w:rPr>
        <w:t>vez</w:t>
      </w:r>
      <w:r w:rsidR="001A28B3" w:rsidRPr="00EA7870">
        <w:rPr>
          <w:sz w:val="20"/>
          <w:szCs w:val="20"/>
        </w:rPr>
        <w:t xml:space="preserve"> </w:t>
      </w:r>
      <w:r w:rsidR="004006A4" w:rsidRPr="00EA7870">
        <w:rPr>
          <w:sz w:val="20"/>
          <w:szCs w:val="20"/>
        </w:rPr>
        <w:t>otorgadas,</w:t>
      </w:r>
      <w:r w:rsidR="001A28B3" w:rsidRPr="00EA7870">
        <w:rPr>
          <w:sz w:val="20"/>
          <w:szCs w:val="20"/>
        </w:rPr>
        <w:t xml:space="preserve"> </w:t>
      </w:r>
      <w:r w:rsidR="004006A4" w:rsidRPr="00EA7870">
        <w:rPr>
          <w:sz w:val="20"/>
          <w:szCs w:val="20"/>
        </w:rPr>
        <w:t>las</w:t>
      </w:r>
      <w:r w:rsidR="001A28B3" w:rsidRPr="00EA7870">
        <w:rPr>
          <w:sz w:val="20"/>
          <w:szCs w:val="20"/>
        </w:rPr>
        <w:t xml:space="preserve"> </w:t>
      </w:r>
      <w:r w:rsidR="004006A4" w:rsidRPr="00EA7870">
        <w:rPr>
          <w:sz w:val="20"/>
          <w:szCs w:val="20"/>
        </w:rPr>
        <w:t>Obligaciones</w:t>
      </w:r>
      <w:r w:rsidR="001A28B3" w:rsidRPr="00EA7870">
        <w:rPr>
          <w:sz w:val="20"/>
          <w:szCs w:val="20"/>
        </w:rPr>
        <w:t xml:space="preserve"> </w:t>
      </w:r>
      <w:r w:rsidR="004006A4" w:rsidRPr="00EA7870">
        <w:rPr>
          <w:sz w:val="20"/>
          <w:szCs w:val="20"/>
        </w:rPr>
        <w:t>Negociables</w:t>
      </w:r>
      <w:r w:rsidR="001A28B3" w:rsidRPr="00EA7870">
        <w:rPr>
          <w:sz w:val="20"/>
          <w:szCs w:val="20"/>
        </w:rPr>
        <w:t xml:space="preserve"> </w:t>
      </w:r>
      <w:r w:rsidR="004006A4" w:rsidRPr="00EA7870">
        <w:rPr>
          <w:sz w:val="20"/>
          <w:szCs w:val="20"/>
        </w:rPr>
        <w:t>continuarán</w:t>
      </w:r>
      <w:r w:rsidR="001A28B3" w:rsidRPr="00EA7870">
        <w:rPr>
          <w:sz w:val="20"/>
          <w:szCs w:val="20"/>
        </w:rPr>
        <w:t xml:space="preserve"> </w:t>
      </w:r>
      <w:r w:rsidR="004006A4" w:rsidRPr="00EA7870">
        <w:rPr>
          <w:sz w:val="20"/>
          <w:szCs w:val="20"/>
        </w:rPr>
        <w:t>listando</w:t>
      </w:r>
      <w:r w:rsidR="001A28B3" w:rsidRPr="00EA7870">
        <w:rPr>
          <w:sz w:val="20"/>
          <w:szCs w:val="20"/>
        </w:rPr>
        <w:t xml:space="preserve"> </w:t>
      </w:r>
      <w:r w:rsidR="004006A4" w:rsidRPr="00EA7870">
        <w:rPr>
          <w:sz w:val="20"/>
          <w:szCs w:val="20"/>
        </w:rPr>
        <w:t>y/o</w:t>
      </w:r>
      <w:r w:rsidR="001A28B3" w:rsidRPr="00EA7870">
        <w:rPr>
          <w:sz w:val="20"/>
          <w:szCs w:val="20"/>
        </w:rPr>
        <w:t xml:space="preserve"> </w:t>
      </w:r>
      <w:r w:rsidR="004006A4" w:rsidRPr="00EA7870">
        <w:rPr>
          <w:sz w:val="20"/>
          <w:szCs w:val="20"/>
        </w:rPr>
        <w:t>negociándose</w:t>
      </w:r>
      <w:r w:rsidR="001A28B3" w:rsidRPr="00EA7870">
        <w:rPr>
          <w:sz w:val="20"/>
          <w:szCs w:val="20"/>
        </w:rPr>
        <w:t xml:space="preserve"> </w:t>
      </w:r>
      <w:r w:rsidR="004006A4" w:rsidRPr="00EA7870">
        <w:rPr>
          <w:sz w:val="20"/>
          <w:szCs w:val="20"/>
        </w:rPr>
        <w:t>en</w:t>
      </w:r>
      <w:r w:rsidR="001A28B3" w:rsidRPr="00EA7870">
        <w:rPr>
          <w:sz w:val="20"/>
          <w:szCs w:val="20"/>
        </w:rPr>
        <w:t xml:space="preserve"> </w:t>
      </w:r>
      <w:r w:rsidR="004006A4" w:rsidRPr="00EA7870">
        <w:rPr>
          <w:sz w:val="20"/>
          <w:szCs w:val="20"/>
        </w:rPr>
        <w:t>dichos</w:t>
      </w:r>
      <w:r w:rsidR="001A28B3" w:rsidRPr="00EA7870">
        <w:rPr>
          <w:sz w:val="20"/>
          <w:szCs w:val="20"/>
        </w:rPr>
        <w:t xml:space="preserve"> </w:t>
      </w:r>
      <w:r w:rsidR="004006A4" w:rsidRPr="00EA7870">
        <w:rPr>
          <w:sz w:val="20"/>
          <w:szCs w:val="20"/>
        </w:rPr>
        <w:t>mercados.</w:t>
      </w:r>
    </w:p>
    <w:p w14:paraId="68B9780C" w14:textId="77777777" w:rsidR="00376725" w:rsidRPr="00EA7870" w:rsidRDefault="00376725" w:rsidP="00376725">
      <w:pPr>
        <w:tabs>
          <w:tab w:val="left" w:pos="0"/>
        </w:tabs>
        <w:ind w:firstLine="709"/>
        <w:jc w:val="both"/>
        <w:rPr>
          <w:b/>
          <w:sz w:val="20"/>
          <w:szCs w:val="20"/>
          <w:lang w:val="es-AR"/>
        </w:rPr>
      </w:pPr>
    </w:p>
    <w:p w14:paraId="2E3F5E1F" w14:textId="77777777" w:rsidR="00376725" w:rsidRPr="00EA7870" w:rsidRDefault="00376725" w:rsidP="00376725">
      <w:pPr>
        <w:tabs>
          <w:tab w:val="left" w:pos="0"/>
        </w:tabs>
        <w:jc w:val="both"/>
        <w:rPr>
          <w:b/>
          <w:sz w:val="20"/>
          <w:szCs w:val="20"/>
          <w:lang w:val="es-AR"/>
        </w:rPr>
      </w:pPr>
      <w:r w:rsidRPr="00EA7870">
        <w:rPr>
          <w:b/>
          <w:sz w:val="20"/>
          <w:szCs w:val="20"/>
          <w:lang w:val="es-AR"/>
        </w:rPr>
        <w:t>Ciertas</w:t>
      </w:r>
      <w:r w:rsidR="001A28B3" w:rsidRPr="00EA7870">
        <w:rPr>
          <w:b/>
          <w:sz w:val="20"/>
          <w:szCs w:val="20"/>
          <w:lang w:val="es-AR"/>
        </w:rPr>
        <w:t xml:space="preserve"> </w:t>
      </w:r>
      <w:r w:rsidRPr="00EA7870">
        <w:rPr>
          <w:b/>
          <w:sz w:val="20"/>
          <w:szCs w:val="20"/>
          <w:lang w:val="es-AR"/>
        </w:rPr>
        <w:t>Definiciones</w:t>
      </w:r>
    </w:p>
    <w:p w14:paraId="500A851B" w14:textId="77777777" w:rsidR="00376725" w:rsidRPr="00EA7870" w:rsidRDefault="00376725" w:rsidP="00376725">
      <w:pPr>
        <w:tabs>
          <w:tab w:val="left" w:pos="0"/>
        </w:tabs>
        <w:ind w:firstLine="709"/>
        <w:jc w:val="both"/>
        <w:rPr>
          <w:sz w:val="20"/>
          <w:szCs w:val="20"/>
          <w:lang w:val="es-AR"/>
        </w:rPr>
      </w:pPr>
    </w:p>
    <w:p w14:paraId="3EA13F57"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siguientes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tendrán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siguientes</w:t>
      </w:r>
      <w:r w:rsidR="001A28B3" w:rsidRPr="00EA7870">
        <w:rPr>
          <w:sz w:val="20"/>
          <w:szCs w:val="20"/>
          <w:lang w:val="es-AR"/>
        </w:rPr>
        <w:t xml:space="preserve"> </w:t>
      </w:r>
      <w:r w:rsidRPr="00EA7870">
        <w:rPr>
          <w:sz w:val="20"/>
          <w:szCs w:val="20"/>
          <w:lang w:val="es-AR"/>
        </w:rPr>
        <w:t>significados</w:t>
      </w:r>
      <w:r w:rsidR="00D841AE" w:rsidRPr="00EA7870">
        <w:rPr>
          <w:sz w:val="20"/>
          <w:szCs w:val="20"/>
          <w:lang w:val="es-AR"/>
        </w:rPr>
        <w:t xml:space="preserve">. Todos los términos contables utilizados en el presente serán determinados de acuerdo a los PCGA de Estados Unidos o, siguiendo la elección de la </w:t>
      </w:r>
      <w:r w:rsidR="008615C4" w:rsidRPr="00EA7870">
        <w:rPr>
          <w:sz w:val="20"/>
          <w:szCs w:val="20"/>
          <w:lang w:val="es-AR"/>
        </w:rPr>
        <w:t xml:space="preserve">Emisora </w:t>
      </w:r>
      <w:r w:rsidR="00D841AE" w:rsidRPr="00EA7870">
        <w:rPr>
          <w:sz w:val="20"/>
          <w:szCs w:val="20"/>
          <w:lang w:val="es-AR"/>
        </w:rPr>
        <w:t xml:space="preserve">de utilizar las NIIF para el Contrato de </w:t>
      </w:r>
      <w:r w:rsidR="00C71F6B" w:rsidRPr="00EA7870">
        <w:rPr>
          <w:sz w:val="20"/>
          <w:szCs w:val="20"/>
          <w:lang w:val="es-AR"/>
        </w:rPr>
        <w:t>Fideicomiso</w:t>
      </w:r>
      <w:r w:rsidR="00D841AE" w:rsidRPr="00EA7870">
        <w:rPr>
          <w:sz w:val="20"/>
          <w:szCs w:val="20"/>
          <w:lang w:val="es-AR"/>
        </w:rPr>
        <w:t>, de acuerdo a las NIIF</w:t>
      </w:r>
      <w:r w:rsidRPr="00EA7870">
        <w:rPr>
          <w:sz w:val="20"/>
          <w:szCs w:val="20"/>
          <w:lang w:val="es-AR"/>
        </w:rPr>
        <w:t>:</w:t>
      </w:r>
    </w:p>
    <w:p w14:paraId="4B07C0F9" w14:textId="77777777" w:rsidR="00376725" w:rsidRPr="00EA7870" w:rsidRDefault="00376725" w:rsidP="00376725">
      <w:pPr>
        <w:tabs>
          <w:tab w:val="left" w:pos="0"/>
        </w:tabs>
        <w:jc w:val="both"/>
        <w:rPr>
          <w:sz w:val="20"/>
          <w:szCs w:val="20"/>
          <w:lang w:val="es-AR"/>
        </w:rPr>
      </w:pPr>
    </w:p>
    <w:p w14:paraId="0382FE88"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w:t>
      </w:r>
      <w:r w:rsidRPr="00EA7870">
        <w:rPr>
          <w:b/>
          <w:sz w:val="20"/>
          <w:szCs w:val="20"/>
          <w:lang w:val="es-AR"/>
        </w:rPr>
        <w:t>Deuda</w:t>
      </w:r>
      <w:r w:rsidR="001A28B3" w:rsidRPr="00EA7870">
        <w:rPr>
          <w:b/>
          <w:sz w:val="20"/>
          <w:szCs w:val="20"/>
          <w:lang w:val="es-AR"/>
        </w:rPr>
        <w:t xml:space="preserve"> </w:t>
      </w:r>
      <w:r w:rsidRPr="00EA7870">
        <w:rPr>
          <w:b/>
          <w:sz w:val="20"/>
          <w:szCs w:val="20"/>
          <w:lang w:val="es-AR"/>
        </w:rPr>
        <w:t>Adquirida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existente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fusiona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éstas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pasa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éstas,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atención</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hecho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fusiona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pasa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naturaleza.</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considerará</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Deuda</w:t>
      </w:r>
      <w:r w:rsidR="001A28B3" w:rsidRPr="00EA7870">
        <w:rPr>
          <w:sz w:val="20"/>
          <w:szCs w:val="20"/>
          <w:lang w:val="es-AR"/>
        </w:rPr>
        <w:t xml:space="preserve"> </w:t>
      </w:r>
      <w:r w:rsidRPr="00EA7870">
        <w:rPr>
          <w:sz w:val="20"/>
          <w:szCs w:val="20"/>
          <w:lang w:val="es-AR"/>
        </w:rPr>
        <w:t>Adquirida</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Incurrida</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pasa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mismas,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fusiona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absorción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consolidación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mismas,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asumido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adquisición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p>
    <w:p w14:paraId="536B545D" w14:textId="77777777" w:rsidR="00376725" w:rsidRPr="00EA7870" w:rsidRDefault="00376725" w:rsidP="00376725">
      <w:pPr>
        <w:tabs>
          <w:tab w:val="left" w:pos="0"/>
        </w:tabs>
        <w:jc w:val="both"/>
        <w:rPr>
          <w:sz w:val="20"/>
          <w:szCs w:val="20"/>
          <w:lang w:val="es-AR"/>
        </w:rPr>
      </w:pPr>
    </w:p>
    <w:p w14:paraId="57904D06"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w:t>
      </w:r>
      <w:r w:rsidRPr="00EA7870">
        <w:rPr>
          <w:b/>
          <w:sz w:val="20"/>
          <w:szCs w:val="20"/>
          <w:lang w:val="es-AR"/>
        </w:rPr>
        <w:t>Montos</w:t>
      </w:r>
      <w:r w:rsidR="001A28B3" w:rsidRPr="00EA7870">
        <w:rPr>
          <w:b/>
          <w:sz w:val="20"/>
          <w:szCs w:val="20"/>
          <w:lang w:val="es-AR"/>
        </w:rPr>
        <w:t xml:space="preserve"> </w:t>
      </w:r>
      <w:r w:rsidRPr="00EA7870">
        <w:rPr>
          <w:b/>
          <w:sz w:val="20"/>
          <w:szCs w:val="20"/>
          <w:lang w:val="es-AR"/>
        </w:rPr>
        <w:t>Adicionales</w:t>
      </w:r>
      <w:r w:rsidRPr="00EA7870">
        <w:rPr>
          <w:sz w:val="20"/>
          <w:szCs w:val="20"/>
          <w:lang w:val="es-AR"/>
        </w:rPr>
        <w:t>”</w:t>
      </w:r>
      <w:r w:rsidR="001A28B3" w:rsidRPr="00EA7870">
        <w:rPr>
          <w:sz w:val="20"/>
          <w:szCs w:val="20"/>
          <w:lang w:val="es-AR"/>
        </w:rPr>
        <w:t xml:space="preserve"> </w:t>
      </w:r>
      <w:r w:rsidRPr="00EA7870">
        <w:rPr>
          <w:sz w:val="20"/>
          <w:szCs w:val="20"/>
          <w:lang w:val="es-AR"/>
        </w:rPr>
        <w:t>tiene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significado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w:t>
      </w:r>
      <w:r w:rsidRPr="00EA7870">
        <w:rPr>
          <w:i/>
          <w:sz w:val="20"/>
          <w:szCs w:val="20"/>
          <w:lang w:val="es-AR"/>
        </w:rPr>
        <w:t>—Montos</w:t>
      </w:r>
      <w:r w:rsidR="001A28B3" w:rsidRPr="00EA7870">
        <w:rPr>
          <w:i/>
          <w:sz w:val="20"/>
          <w:szCs w:val="20"/>
          <w:lang w:val="es-AR"/>
        </w:rPr>
        <w:t xml:space="preserve"> </w:t>
      </w:r>
      <w:r w:rsidRPr="00EA7870">
        <w:rPr>
          <w:i/>
          <w:sz w:val="20"/>
          <w:szCs w:val="20"/>
          <w:lang w:val="es-AR"/>
        </w:rPr>
        <w:t>Adicionales</w:t>
      </w:r>
      <w:r w:rsidRPr="00EA7870">
        <w:rPr>
          <w:sz w:val="20"/>
          <w:szCs w:val="20"/>
          <w:lang w:val="es-AR"/>
        </w:rPr>
        <w:t>”</w:t>
      </w:r>
      <w:r w:rsidR="001A28B3" w:rsidRPr="00EA7870">
        <w:rPr>
          <w:sz w:val="20"/>
          <w:szCs w:val="20"/>
          <w:lang w:val="es-AR"/>
        </w:rPr>
        <w:t xml:space="preserve"> </w:t>
      </w:r>
      <w:r w:rsidRPr="00EA7870">
        <w:rPr>
          <w:sz w:val="20"/>
          <w:szCs w:val="20"/>
          <w:lang w:val="es-AR"/>
        </w:rPr>
        <w:t>anteriormente</w:t>
      </w:r>
      <w:r w:rsidR="001A28B3" w:rsidRPr="00EA7870">
        <w:rPr>
          <w:sz w:val="20"/>
          <w:szCs w:val="20"/>
          <w:lang w:val="es-AR"/>
        </w:rPr>
        <w:t xml:space="preserve"> </w:t>
      </w:r>
      <w:r w:rsidRPr="00EA7870">
        <w:rPr>
          <w:sz w:val="20"/>
          <w:szCs w:val="20"/>
          <w:lang w:val="es-AR"/>
        </w:rPr>
        <w:t>mencionado.</w:t>
      </w:r>
    </w:p>
    <w:p w14:paraId="55E7C5D5"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br/>
      </w:r>
      <w:r w:rsidRPr="00EA7870">
        <w:rPr>
          <w:sz w:val="20"/>
          <w:szCs w:val="20"/>
          <w:lang w:val="es-AR"/>
        </w:rPr>
        <w:tab/>
        <w:t>“</w:t>
      </w:r>
      <w:r w:rsidRPr="00EA7870">
        <w:rPr>
          <w:b/>
          <w:sz w:val="20"/>
          <w:szCs w:val="20"/>
          <w:lang w:val="es-AR"/>
        </w:rPr>
        <w:t>Afiliada</w:t>
      </w:r>
      <w:r w:rsidRPr="00EA7870">
        <w:rPr>
          <w:sz w:val="20"/>
          <w:szCs w:val="20"/>
          <w:lang w:val="es-AR"/>
        </w:rPr>
        <w:t>”</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específica</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directa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indirectamente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través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intermediarios,</w:t>
      </w:r>
      <w:r w:rsidR="001A28B3" w:rsidRPr="00EA7870">
        <w:rPr>
          <w:sz w:val="20"/>
          <w:szCs w:val="20"/>
          <w:lang w:val="es-AR"/>
        </w:rPr>
        <w:t xml:space="preserve"> </w:t>
      </w:r>
      <w:r w:rsidRPr="00EA7870">
        <w:rPr>
          <w:sz w:val="20"/>
          <w:szCs w:val="20"/>
          <w:lang w:val="es-AR"/>
        </w:rPr>
        <w:t>controla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controlada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control</w:t>
      </w:r>
      <w:r w:rsidR="001A28B3" w:rsidRPr="00EA7870">
        <w:rPr>
          <w:sz w:val="20"/>
          <w:szCs w:val="20"/>
          <w:lang w:val="es-AR"/>
        </w:rPr>
        <w:t xml:space="preserve"> </w:t>
      </w:r>
      <w:r w:rsidRPr="00EA7870">
        <w:rPr>
          <w:sz w:val="20"/>
          <w:szCs w:val="20"/>
          <w:lang w:val="es-AR"/>
        </w:rPr>
        <w:t>común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específica.</w:t>
      </w:r>
    </w:p>
    <w:p w14:paraId="379D5060" w14:textId="77777777" w:rsidR="00376725" w:rsidRPr="00EA7870" w:rsidRDefault="00376725" w:rsidP="00376725">
      <w:pPr>
        <w:tabs>
          <w:tab w:val="left" w:pos="0"/>
        </w:tabs>
        <w:ind w:firstLine="709"/>
        <w:jc w:val="both"/>
        <w:rPr>
          <w:sz w:val="20"/>
          <w:szCs w:val="20"/>
          <w:lang w:val="es-AR"/>
        </w:rPr>
      </w:pPr>
    </w:p>
    <w:p w14:paraId="29213E1B"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w:t>
      </w:r>
      <w:r w:rsidRPr="00EA7870">
        <w:rPr>
          <w:b/>
          <w:sz w:val="20"/>
          <w:szCs w:val="20"/>
          <w:lang w:val="es-AR"/>
        </w:rPr>
        <w:t>Día</w:t>
      </w:r>
      <w:r w:rsidR="001A28B3" w:rsidRPr="00EA7870">
        <w:rPr>
          <w:b/>
          <w:sz w:val="20"/>
          <w:szCs w:val="20"/>
          <w:lang w:val="es-AR"/>
        </w:rPr>
        <w:t xml:space="preserve"> </w:t>
      </w:r>
      <w:r w:rsidRPr="00EA7870">
        <w:rPr>
          <w:b/>
          <w:sz w:val="20"/>
          <w:szCs w:val="20"/>
          <w:lang w:val="es-AR"/>
        </w:rPr>
        <w:t>Hábil</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sábado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domingo</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feriado</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bancos</w:t>
      </w:r>
      <w:r w:rsidR="001A28B3" w:rsidRPr="00EA7870">
        <w:rPr>
          <w:sz w:val="20"/>
          <w:szCs w:val="20"/>
          <w:lang w:val="es-AR"/>
        </w:rPr>
        <w:t xml:space="preserve"> </w:t>
      </w:r>
      <w:r w:rsidRPr="00EA7870">
        <w:rPr>
          <w:sz w:val="20"/>
          <w:szCs w:val="20"/>
          <w:lang w:val="es-AR"/>
        </w:rPr>
        <w:t>comerciales</w:t>
      </w:r>
      <w:r w:rsidR="001A28B3" w:rsidRPr="00EA7870">
        <w:rPr>
          <w:sz w:val="20"/>
          <w:szCs w:val="20"/>
          <w:lang w:val="es-AR"/>
        </w:rPr>
        <w:t xml:space="preserve"> </w:t>
      </w:r>
      <w:r w:rsidRPr="00EA7870">
        <w:rPr>
          <w:sz w:val="20"/>
          <w:szCs w:val="20"/>
          <w:lang w:val="es-AR"/>
        </w:rPr>
        <w:t>estuvieran</w:t>
      </w:r>
      <w:r w:rsidR="001A28B3" w:rsidRPr="00EA7870">
        <w:rPr>
          <w:sz w:val="20"/>
          <w:szCs w:val="20"/>
          <w:lang w:val="es-AR"/>
        </w:rPr>
        <w:t xml:space="preserve"> </w:t>
      </w:r>
      <w:r w:rsidRPr="00EA7870">
        <w:rPr>
          <w:sz w:val="20"/>
          <w:szCs w:val="20"/>
          <w:lang w:val="es-AR"/>
        </w:rPr>
        <w:t>autorizados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cerrar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les</w:t>
      </w:r>
      <w:r w:rsidR="001A28B3" w:rsidRPr="00EA7870">
        <w:rPr>
          <w:sz w:val="20"/>
          <w:szCs w:val="20"/>
          <w:lang w:val="es-AR"/>
        </w:rPr>
        <w:t xml:space="preserve"> </w:t>
      </w:r>
      <w:r w:rsidRPr="00EA7870">
        <w:rPr>
          <w:sz w:val="20"/>
          <w:szCs w:val="20"/>
          <w:lang w:val="es-AR"/>
        </w:rPr>
        <w:t>exigiera</w:t>
      </w:r>
      <w:r w:rsidR="001A28B3" w:rsidRPr="00EA7870">
        <w:rPr>
          <w:sz w:val="20"/>
          <w:szCs w:val="20"/>
          <w:lang w:val="es-AR"/>
        </w:rPr>
        <w:t xml:space="preserve"> </w:t>
      </w:r>
      <w:r w:rsidRPr="00EA7870">
        <w:rPr>
          <w:sz w:val="20"/>
          <w:szCs w:val="20"/>
          <w:lang w:val="es-AR"/>
        </w:rPr>
        <w:t>cerrar</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reglamentación</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orden</w:t>
      </w:r>
      <w:r w:rsidR="001A28B3" w:rsidRPr="00EA7870">
        <w:rPr>
          <w:sz w:val="20"/>
          <w:szCs w:val="20"/>
          <w:lang w:val="es-AR"/>
        </w:rPr>
        <w:t xml:space="preserve"> </w:t>
      </w:r>
      <w:r w:rsidRPr="00EA7870">
        <w:rPr>
          <w:sz w:val="20"/>
          <w:szCs w:val="20"/>
          <w:lang w:val="es-AR"/>
        </w:rPr>
        <w:t>ejecutiva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Buenos</w:t>
      </w:r>
      <w:r w:rsidR="001A28B3" w:rsidRPr="00EA7870">
        <w:rPr>
          <w:sz w:val="20"/>
          <w:szCs w:val="20"/>
          <w:lang w:val="es-AR"/>
        </w:rPr>
        <w:t xml:space="preserve"> </w:t>
      </w:r>
      <w:r w:rsidRPr="00EA7870">
        <w:rPr>
          <w:sz w:val="20"/>
          <w:szCs w:val="20"/>
          <w:lang w:val="es-AR"/>
        </w:rPr>
        <w:t>Aires.</w:t>
      </w:r>
    </w:p>
    <w:p w14:paraId="7B58535E" w14:textId="77777777" w:rsidR="00376725" w:rsidRPr="00EA7870" w:rsidRDefault="00376725" w:rsidP="00376725">
      <w:pPr>
        <w:tabs>
          <w:tab w:val="left" w:pos="0"/>
        </w:tabs>
        <w:ind w:firstLine="709"/>
        <w:jc w:val="both"/>
        <w:rPr>
          <w:sz w:val="20"/>
          <w:szCs w:val="20"/>
          <w:lang w:val="es-AR"/>
        </w:rPr>
      </w:pPr>
    </w:p>
    <w:p w14:paraId="06833AE2"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Índice</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Capitalización</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w:t>
      </w:r>
      <w:r w:rsidRPr="00EA7870">
        <w:rPr>
          <w:b/>
          <w:sz w:val="20"/>
          <w:szCs w:val="20"/>
          <w:lang w:val="es-AR"/>
        </w:rPr>
        <w:t>fecha</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la</w:t>
      </w:r>
      <w:r w:rsidR="001A28B3" w:rsidRPr="00EA7870">
        <w:rPr>
          <w:b/>
          <w:sz w:val="20"/>
          <w:szCs w:val="20"/>
          <w:lang w:val="es-AR"/>
        </w:rPr>
        <w:t xml:space="preserve"> </w:t>
      </w:r>
      <w:r w:rsidRPr="00EA7870">
        <w:rPr>
          <w:b/>
          <w:sz w:val="20"/>
          <w:szCs w:val="20"/>
          <w:lang w:val="es-AR"/>
        </w:rPr>
        <w:t>operación</w:t>
      </w:r>
      <w:r w:rsidRPr="00EA7870">
        <w:rPr>
          <w:sz w:val="20"/>
          <w:szCs w:val="20"/>
          <w:lang w:val="es-AR"/>
        </w:rPr>
        <w:t>”),</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Capitalización</w:t>
      </w:r>
      <w:r w:rsidR="001A28B3" w:rsidRPr="00EA7870">
        <w:rPr>
          <w:sz w:val="20"/>
          <w:szCs w:val="20"/>
          <w:lang w:val="es-AR"/>
        </w:rPr>
        <w:t xml:space="preserve"> </w:t>
      </w:r>
      <w:r w:rsidRPr="00EA7870">
        <w:rPr>
          <w:sz w:val="20"/>
          <w:szCs w:val="20"/>
          <w:lang w:val="es-AR"/>
        </w:rPr>
        <w:t>Consolidada,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trimestre</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encuentran</w:t>
      </w:r>
      <w:r w:rsidR="001A28B3" w:rsidRPr="00EA7870">
        <w:rPr>
          <w:sz w:val="20"/>
          <w:szCs w:val="20"/>
          <w:lang w:val="es-AR"/>
        </w:rPr>
        <w:t xml:space="preserve"> </w:t>
      </w:r>
      <w:r w:rsidRPr="00EA7870">
        <w:rPr>
          <w:sz w:val="20"/>
          <w:szCs w:val="20"/>
          <w:lang w:val="es-AR"/>
        </w:rPr>
        <w:t>disponibles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003B6E16" w:rsidRPr="00EA7870">
        <w:rPr>
          <w:sz w:val="20"/>
          <w:szCs w:val="20"/>
          <w:lang w:val="es-AR"/>
        </w:rPr>
        <w:t>intermedios</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realización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cálculo;</w:t>
      </w:r>
    </w:p>
    <w:p w14:paraId="73769BC8" w14:textId="77777777" w:rsidR="00376725" w:rsidRPr="00EA7870" w:rsidRDefault="00376725" w:rsidP="00376725">
      <w:pPr>
        <w:tabs>
          <w:tab w:val="left" w:pos="0"/>
          <w:tab w:val="right" w:leader="dot" w:pos="8505"/>
        </w:tabs>
        <w:ind w:firstLine="709"/>
        <w:jc w:val="both"/>
        <w:rPr>
          <w:sz w:val="20"/>
          <w:szCs w:val="20"/>
          <w:lang w:val="es-AR"/>
        </w:rPr>
      </w:pPr>
    </w:p>
    <w:p w14:paraId="284343E4" w14:textId="77777777" w:rsidR="00376725" w:rsidRPr="00EA7870" w:rsidRDefault="00376725" w:rsidP="00392883">
      <w:pPr>
        <w:ind w:firstLine="709"/>
        <w:jc w:val="both"/>
        <w:rPr>
          <w:bCs/>
          <w:iCs/>
          <w:sz w:val="20"/>
          <w:szCs w:val="20"/>
          <w:lang w:val="es-AR" w:bidi="en-US"/>
        </w:rPr>
      </w:pPr>
      <w:bookmarkStart w:id="123" w:name="_Toc526498918"/>
      <w:r w:rsidRPr="00EA7870">
        <w:rPr>
          <w:bCs/>
          <w:iCs/>
          <w:sz w:val="20"/>
          <w:szCs w:val="20"/>
          <w:lang w:val="es-AR" w:bidi="en-US"/>
        </w:rPr>
        <w:t>(</w:t>
      </w:r>
      <w:r w:rsidR="00050BFF" w:rsidRPr="00EA7870">
        <w:rPr>
          <w:bCs/>
          <w:iCs/>
          <w:sz w:val="20"/>
          <w:szCs w:val="20"/>
          <w:lang w:val="es-AR" w:bidi="en-US"/>
        </w:rPr>
        <w:t>a</w:t>
      </w:r>
      <w:r w:rsidRPr="00EA7870">
        <w:rPr>
          <w:bCs/>
          <w:iCs/>
          <w:sz w:val="20"/>
          <w:szCs w:val="20"/>
          <w:lang w:val="es-AR" w:bidi="en-US"/>
        </w:rPr>
        <w:t>)</w:t>
      </w:r>
      <w:r w:rsidR="001A28B3" w:rsidRPr="00EA7870">
        <w:rPr>
          <w:bCs/>
          <w:iCs/>
          <w:sz w:val="20"/>
          <w:szCs w:val="20"/>
          <w:lang w:val="es-AR" w:bidi="en-US"/>
        </w:rPr>
        <w:t xml:space="preserve"> </w:t>
      </w:r>
      <w:r w:rsidRPr="00EA7870">
        <w:rPr>
          <w:bCs/>
          <w:iCs/>
          <w:sz w:val="20"/>
          <w:szCs w:val="20"/>
          <w:lang w:val="es-AR" w:bidi="en-US"/>
        </w:rPr>
        <w:t>se</w:t>
      </w:r>
      <w:r w:rsidR="001A28B3" w:rsidRPr="00EA7870">
        <w:rPr>
          <w:bCs/>
          <w:iCs/>
          <w:sz w:val="20"/>
          <w:szCs w:val="20"/>
          <w:lang w:val="es-AR" w:bidi="en-US"/>
        </w:rPr>
        <w:t xml:space="preserve"> </w:t>
      </w:r>
      <w:r w:rsidRPr="00EA7870">
        <w:rPr>
          <w:bCs/>
          <w:iCs/>
          <w:sz w:val="20"/>
          <w:szCs w:val="20"/>
          <w:lang w:val="es-AR" w:bidi="en-US"/>
        </w:rPr>
        <w:t>incluirá</w:t>
      </w:r>
      <w:r w:rsidR="001A28B3" w:rsidRPr="00EA7870">
        <w:rPr>
          <w:bCs/>
          <w:iCs/>
          <w:sz w:val="20"/>
          <w:szCs w:val="20"/>
          <w:lang w:val="es-AR" w:bidi="en-US"/>
        </w:rPr>
        <w:t xml:space="preserve"> </w:t>
      </w:r>
      <w:r w:rsidRPr="00EA7870">
        <w:rPr>
          <w:bCs/>
          <w:iCs/>
          <w:sz w:val="20"/>
          <w:szCs w:val="20"/>
          <w:lang w:val="es-AR" w:bidi="en-US"/>
        </w:rPr>
        <w:t>cualquier</w:t>
      </w:r>
      <w:r w:rsidR="001A28B3" w:rsidRPr="00EA7870">
        <w:rPr>
          <w:bCs/>
          <w:iCs/>
          <w:sz w:val="20"/>
          <w:szCs w:val="20"/>
          <w:lang w:val="es-AR" w:bidi="en-US"/>
        </w:rPr>
        <w:t xml:space="preserve"> </w:t>
      </w:r>
      <w:r w:rsidRPr="00EA7870">
        <w:rPr>
          <w:bCs/>
          <w:iCs/>
          <w:sz w:val="20"/>
          <w:szCs w:val="20"/>
          <w:lang w:val="es-AR" w:bidi="en-US"/>
        </w:rPr>
        <w:t>Endeudamiento</w:t>
      </w:r>
      <w:r w:rsidR="001A28B3" w:rsidRPr="00EA7870">
        <w:rPr>
          <w:bCs/>
          <w:iCs/>
          <w:sz w:val="20"/>
          <w:szCs w:val="20"/>
          <w:lang w:val="es-AR" w:bidi="en-US"/>
        </w:rPr>
        <w:t xml:space="preserve"> </w:t>
      </w:r>
      <w:r w:rsidRPr="00EA7870">
        <w:rPr>
          <w:bCs/>
          <w:iCs/>
          <w:sz w:val="20"/>
          <w:szCs w:val="20"/>
          <w:lang w:val="es-AR" w:bidi="en-US"/>
        </w:rPr>
        <w:t>Incurrido</w:t>
      </w:r>
      <w:r w:rsidR="001A28B3" w:rsidRPr="00EA7870">
        <w:rPr>
          <w:bCs/>
          <w:iCs/>
          <w:sz w:val="20"/>
          <w:szCs w:val="20"/>
          <w:lang w:val="es-AR" w:bidi="en-US"/>
        </w:rPr>
        <w:t xml:space="preserve"> </w:t>
      </w:r>
      <w:r w:rsidRPr="00EA7870">
        <w:rPr>
          <w:bCs/>
          <w:iCs/>
          <w:sz w:val="20"/>
          <w:szCs w:val="20"/>
          <w:lang w:val="es-AR" w:bidi="en-US"/>
        </w:rPr>
        <w:t>después</w:t>
      </w:r>
      <w:r w:rsidR="001A28B3" w:rsidRPr="00EA7870">
        <w:rPr>
          <w:bCs/>
          <w:iCs/>
          <w:sz w:val="20"/>
          <w:szCs w:val="20"/>
          <w:lang w:val="es-AR" w:bidi="en-US"/>
        </w:rPr>
        <w:t xml:space="preserve"> </w:t>
      </w:r>
      <w:r w:rsidRPr="00EA7870">
        <w:rPr>
          <w:bCs/>
          <w:iCs/>
          <w:sz w:val="20"/>
          <w:szCs w:val="20"/>
          <w:lang w:val="es-AR" w:bidi="en-US"/>
        </w:rPr>
        <w:t>de</w:t>
      </w:r>
      <w:r w:rsidR="001A28B3" w:rsidRPr="00EA7870">
        <w:rPr>
          <w:bCs/>
          <w:iCs/>
          <w:sz w:val="20"/>
          <w:szCs w:val="20"/>
          <w:lang w:val="es-AR" w:bidi="en-US"/>
        </w:rPr>
        <w:t xml:space="preserve"> </w:t>
      </w:r>
      <w:r w:rsidRPr="00EA7870">
        <w:rPr>
          <w:bCs/>
          <w:iCs/>
          <w:sz w:val="20"/>
          <w:szCs w:val="20"/>
          <w:lang w:val="es-AR" w:bidi="en-US"/>
        </w:rPr>
        <w:t>la</w:t>
      </w:r>
      <w:r w:rsidR="001A28B3" w:rsidRPr="00EA7870">
        <w:rPr>
          <w:bCs/>
          <w:iCs/>
          <w:sz w:val="20"/>
          <w:szCs w:val="20"/>
          <w:lang w:val="es-AR" w:bidi="en-US"/>
        </w:rPr>
        <w:t xml:space="preserve"> </w:t>
      </w:r>
      <w:r w:rsidRPr="00EA7870">
        <w:rPr>
          <w:bCs/>
          <w:iCs/>
          <w:sz w:val="20"/>
          <w:szCs w:val="20"/>
          <w:lang w:val="es-AR" w:bidi="en-US"/>
        </w:rPr>
        <w:t>fecha</w:t>
      </w:r>
      <w:r w:rsidR="001A28B3" w:rsidRPr="00EA7870">
        <w:rPr>
          <w:bCs/>
          <w:iCs/>
          <w:sz w:val="20"/>
          <w:szCs w:val="20"/>
          <w:lang w:val="es-AR" w:bidi="en-US"/>
        </w:rPr>
        <w:t xml:space="preserve"> </w:t>
      </w:r>
      <w:r w:rsidRPr="00EA7870">
        <w:rPr>
          <w:bCs/>
          <w:iCs/>
          <w:sz w:val="20"/>
          <w:szCs w:val="20"/>
          <w:lang w:val="es-AR" w:bidi="en-US"/>
        </w:rPr>
        <w:t>del</w:t>
      </w:r>
      <w:r w:rsidR="001A28B3" w:rsidRPr="00EA7870">
        <w:rPr>
          <w:bCs/>
          <w:iCs/>
          <w:sz w:val="20"/>
          <w:szCs w:val="20"/>
          <w:lang w:val="es-AR" w:bidi="en-US"/>
        </w:rPr>
        <w:t xml:space="preserve"> </w:t>
      </w:r>
      <w:r w:rsidRPr="00EA7870">
        <w:rPr>
          <w:bCs/>
          <w:iCs/>
          <w:sz w:val="20"/>
          <w:szCs w:val="20"/>
          <w:lang w:val="es-AR" w:bidi="en-US"/>
        </w:rPr>
        <w:t>balance</w:t>
      </w:r>
      <w:r w:rsidR="001A28B3" w:rsidRPr="00EA7870">
        <w:rPr>
          <w:bCs/>
          <w:iCs/>
          <w:sz w:val="20"/>
          <w:szCs w:val="20"/>
          <w:lang w:val="es-AR" w:bidi="en-US"/>
        </w:rPr>
        <w:t xml:space="preserve"> </w:t>
      </w:r>
      <w:r w:rsidRPr="00EA7870">
        <w:rPr>
          <w:bCs/>
          <w:iCs/>
          <w:sz w:val="20"/>
          <w:szCs w:val="20"/>
          <w:lang w:val="es-AR" w:bidi="en-US"/>
        </w:rPr>
        <w:t>general</w:t>
      </w:r>
      <w:r w:rsidR="001A28B3" w:rsidRPr="00EA7870">
        <w:rPr>
          <w:bCs/>
          <w:iCs/>
          <w:sz w:val="20"/>
          <w:szCs w:val="20"/>
          <w:lang w:val="es-AR" w:bidi="en-US"/>
        </w:rPr>
        <w:t xml:space="preserve"> </w:t>
      </w:r>
      <w:r w:rsidRPr="00EA7870">
        <w:rPr>
          <w:bCs/>
          <w:iCs/>
          <w:sz w:val="20"/>
          <w:szCs w:val="20"/>
          <w:lang w:val="es-AR" w:bidi="en-US"/>
        </w:rPr>
        <w:t>consolidado</w:t>
      </w:r>
      <w:r w:rsidR="001A28B3" w:rsidRPr="00EA7870">
        <w:rPr>
          <w:bCs/>
          <w:iCs/>
          <w:sz w:val="20"/>
          <w:szCs w:val="20"/>
          <w:lang w:val="es-AR" w:bidi="en-US"/>
        </w:rPr>
        <w:t xml:space="preserve"> </w:t>
      </w:r>
      <w:r w:rsidRPr="00EA7870">
        <w:rPr>
          <w:bCs/>
          <w:iCs/>
          <w:sz w:val="20"/>
          <w:szCs w:val="20"/>
          <w:lang w:val="es-AR" w:bidi="en-US"/>
        </w:rPr>
        <w:t>utilizado</w:t>
      </w:r>
      <w:r w:rsidR="001A28B3" w:rsidRPr="00EA7870">
        <w:rPr>
          <w:bCs/>
          <w:iCs/>
          <w:sz w:val="20"/>
          <w:szCs w:val="20"/>
          <w:lang w:val="es-AR" w:bidi="en-US"/>
        </w:rPr>
        <w:t xml:space="preserve"> </w:t>
      </w:r>
      <w:r w:rsidRPr="00EA7870">
        <w:rPr>
          <w:bCs/>
          <w:iCs/>
          <w:sz w:val="20"/>
          <w:szCs w:val="20"/>
          <w:lang w:val="es-AR" w:bidi="en-US"/>
        </w:rPr>
        <w:t>para</w:t>
      </w:r>
      <w:r w:rsidR="001A28B3" w:rsidRPr="00EA7870">
        <w:rPr>
          <w:bCs/>
          <w:iCs/>
          <w:sz w:val="20"/>
          <w:szCs w:val="20"/>
          <w:lang w:val="es-AR" w:bidi="en-US"/>
        </w:rPr>
        <w:t xml:space="preserve"> </w:t>
      </w:r>
      <w:r w:rsidRPr="00EA7870">
        <w:rPr>
          <w:bCs/>
          <w:iCs/>
          <w:sz w:val="20"/>
          <w:szCs w:val="20"/>
          <w:lang w:val="es-AR" w:bidi="en-US"/>
        </w:rPr>
        <w:t>calcular</w:t>
      </w:r>
      <w:r w:rsidR="001A28B3" w:rsidRPr="00EA7870">
        <w:rPr>
          <w:bCs/>
          <w:iCs/>
          <w:sz w:val="20"/>
          <w:szCs w:val="20"/>
          <w:lang w:val="es-AR" w:bidi="en-US"/>
        </w:rPr>
        <w:t xml:space="preserve"> </w:t>
      </w:r>
      <w:r w:rsidRPr="00EA7870">
        <w:rPr>
          <w:bCs/>
          <w:iCs/>
          <w:sz w:val="20"/>
          <w:szCs w:val="20"/>
          <w:lang w:val="es-AR" w:bidi="en-US"/>
        </w:rPr>
        <w:t>el</w:t>
      </w:r>
      <w:r w:rsidR="001A28B3" w:rsidRPr="00EA7870">
        <w:rPr>
          <w:bCs/>
          <w:iCs/>
          <w:sz w:val="20"/>
          <w:szCs w:val="20"/>
          <w:lang w:val="es-AR" w:bidi="en-US"/>
        </w:rPr>
        <w:t xml:space="preserve"> </w:t>
      </w:r>
      <w:r w:rsidRPr="00EA7870">
        <w:rPr>
          <w:bCs/>
          <w:iCs/>
          <w:sz w:val="20"/>
          <w:szCs w:val="20"/>
          <w:lang w:val="es-AR" w:bidi="en-US"/>
        </w:rPr>
        <w:t>ratio</w:t>
      </w:r>
      <w:r w:rsidR="001A28B3" w:rsidRPr="00EA7870">
        <w:rPr>
          <w:bCs/>
          <w:iCs/>
          <w:sz w:val="20"/>
          <w:szCs w:val="20"/>
          <w:lang w:val="es-AR" w:bidi="en-US"/>
        </w:rPr>
        <w:t xml:space="preserve"> </w:t>
      </w:r>
      <w:r w:rsidRPr="00EA7870">
        <w:rPr>
          <w:bCs/>
          <w:iCs/>
          <w:sz w:val="20"/>
          <w:szCs w:val="20"/>
          <w:lang w:val="es-AR" w:bidi="en-US"/>
        </w:rPr>
        <w:t>o</w:t>
      </w:r>
      <w:r w:rsidR="001A28B3" w:rsidRPr="00EA7870">
        <w:rPr>
          <w:bCs/>
          <w:iCs/>
          <w:sz w:val="20"/>
          <w:szCs w:val="20"/>
          <w:lang w:val="es-AR" w:bidi="en-US"/>
        </w:rPr>
        <w:t xml:space="preserve"> </w:t>
      </w:r>
      <w:r w:rsidRPr="00EA7870">
        <w:rPr>
          <w:bCs/>
          <w:iCs/>
          <w:sz w:val="20"/>
          <w:szCs w:val="20"/>
          <w:lang w:val="es-AR" w:bidi="en-US"/>
        </w:rPr>
        <w:t>cualquier</w:t>
      </w:r>
      <w:r w:rsidR="001A28B3" w:rsidRPr="00EA7870">
        <w:rPr>
          <w:bCs/>
          <w:iCs/>
          <w:sz w:val="20"/>
          <w:szCs w:val="20"/>
          <w:lang w:val="es-AR" w:bidi="en-US"/>
        </w:rPr>
        <w:t xml:space="preserve"> </w:t>
      </w:r>
      <w:r w:rsidRPr="00EA7870">
        <w:rPr>
          <w:bCs/>
          <w:iCs/>
          <w:sz w:val="20"/>
          <w:szCs w:val="20"/>
          <w:lang w:val="es-AR" w:bidi="en-US"/>
        </w:rPr>
        <w:t>Endeudamiento</w:t>
      </w:r>
      <w:r w:rsidR="001A28B3" w:rsidRPr="00EA7870">
        <w:rPr>
          <w:bCs/>
          <w:iCs/>
          <w:sz w:val="20"/>
          <w:szCs w:val="20"/>
          <w:lang w:val="es-AR" w:bidi="en-US"/>
        </w:rPr>
        <w:t xml:space="preserve"> </w:t>
      </w:r>
      <w:r w:rsidRPr="00EA7870">
        <w:rPr>
          <w:bCs/>
          <w:iCs/>
          <w:sz w:val="20"/>
          <w:szCs w:val="20"/>
          <w:lang w:val="es-AR" w:bidi="en-US"/>
        </w:rPr>
        <w:t>a</w:t>
      </w:r>
      <w:r w:rsidR="001A28B3" w:rsidRPr="00EA7870">
        <w:rPr>
          <w:bCs/>
          <w:iCs/>
          <w:sz w:val="20"/>
          <w:szCs w:val="20"/>
          <w:lang w:val="es-AR" w:bidi="en-US"/>
        </w:rPr>
        <w:t xml:space="preserve"> </w:t>
      </w:r>
      <w:r w:rsidRPr="00EA7870">
        <w:rPr>
          <w:bCs/>
          <w:iCs/>
          <w:sz w:val="20"/>
          <w:szCs w:val="20"/>
          <w:lang w:val="es-AR" w:bidi="en-US"/>
        </w:rPr>
        <w:t>Incurrir</w:t>
      </w:r>
      <w:r w:rsidR="001A28B3" w:rsidRPr="00EA7870">
        <w:rPr>
          <w:bCs/>
          <w:iCs/>
          <w:sz w:val="20"/>
          <w:szCs w:val="20"/>
          <w:lang w:val="es-AR" w:bidi="en-US"/>
        </w:rPr>
        <w:t xml:space="preserve"> </w:t>
      </w:r>
      <w:r w:rsidRPr="00EA7870">
        <w:rPr>
          <w:bCs/>
          <w:iCs/>
          <w:sz w:val="20"/>
          <w:szCs w:val="20"/>
          <w:lang w:val="es-AR" w:bidi="en-US"/>
        </w:rPr>
        <w:t>en</w:t>
      </w:r>
      <w:r w:rsidR="001A28B3" w:rsidRPr="00EA7870">
        <w:rPr>
          <w:bCs/>
          <w:iCs/>
          <w:sz w:val="20"/>
          <w:szCs w:val="20"/>
          <w:lang w:val="es-AR" w:bidi="en-US"/>
        </w:rPr>
        <w:t xml:space="preserve"> </w:t>
      </w:r>
      <w:r w:rsidRPr="00EA7870">
        <w:rPr>
          <w:bCs/>
          <w:iCs/>
          <w:sz w:val="20"/>
          <w:szCs w:val="20"/>
          <w:lang w:val="es-AR" w:bidi="en-US"/>
        </w:rPr>
        <w:t>la</w:t>
      </w:r>
      <w:r w:rsidR="001A28B3" w:rsidRPr="00EA7870">
        <w:rPr>
          <w:bCs/>
          <w:iCs/>
          <w:sz w:val="20"/>
          <w:szCs w:val="20"/>
          <w:lang w:val="es-AR" w:bidi="en-US"/>
        </w:rPr>
        <w:t xml:space="preserve"> </w:t>
      </w:r>
      <w:r w:rsidRPr="00EA7870">
        <w:rPr>
          <w:bCs/>
          <w:iCs/>
          <w:sz w:val="20"/>
          <w:szCs w:val="20"/>
          <w:lang w:val="es-AR" w:bidi="en-US"/>
        </w:rPr>
        <w:t>fecha</w:t>
      </w:r>
      <w:r w:rsidR="001A28B3" w:rsidRPr="00EA7870">
        <w:rPr>
          <w:bCs/>
          <w:iCs/>
          <w:sz w:val="20"/>
          <w:szCs w:val="20"/>
          <w:lang w:val="es-AR" w:bidi="en-US"/>
        </w:rPr>
        <w:t xml:space="preserve"> </w:t>
      </w:r>
      <w:r w:rsidRPr="00EA7870">
        <w:rPr>
          <w:bCs/>
          <w:iCs/>
          <w:sz w:val="20"/>
          <w:szCs w:val="20"/>
          <w:lang w:val="es-AR" w:bidi="en-US"/>
        </w:rPr>
        <w:t>de</w:t>
      </w:r>
      <w:r w:rsidR="001A28B3" w:rsidRPr="00EA7870">
        <w:rPr>
          <w:bCs/>
          <w:iCs/>
          <w:sz w:val="20"/>
          <w:szCs w:val="20"/>
          <w:lang w:val="es-AR" w:bidi="en-US"/>
        </w:rPr>
        <w:t xml:space="preserve"> </w:t>
      </w:r>
      <w:r w:rsidRPr="00EA7870">
        <w:rPr>
          <w:bCs/>
          <w:iCs/>
          <w:sz w:val="20"/>
          <w:szCs w:val="20"/>
          <w:lang w:val="es-AR" w:bidi="en-US"/>
        </w:rPr>
        <w:t>la</w:t>
      </w:r>
      <w:r w:rsidR="001A28B3" w:rsidRPr="00EA7870">
        <w:rPr>
          <w:bCs/>
          <w:iCs/>
          <w:sz w:val="20"/>
          <w:szCs w:val="20"/>
          <w:lang w:val="es-AR" w:bidi="en-US"/>
        </w:rPr>
        <w:t xml:space="preserve"> </w:t>
      </w:r>
      <w:r w:rsidRPr="00EA7870">
        <w:rPr>
          <w:bCs/>
          <w:iCs/>
          <w:sz w:val="20"/>
          <w:szCs w:val="20"/>
          <w:lang w:val="es-AR" w:bidi="en-US"/>
        </w:rPr>
        <w:t>operación,</w:t>
      </w:r>
      <w:r w:rsidR="001A28B3" w:rsidRPr="00EA7870">
        <w:rPr>
          <w:bCs/>
          <w:iCs/>
          <w:sz w:val="20"/>
          <w:szCs w:val="20"/>
          <w:lang w:val="es-AR" w:bidi="en-US"/>
        </w:rPr>
        <w:t xml:space="preserve"> </w:t>
      </w:r>
      <w:r w:rsidRPr="00EA7870">
        <w:rPr>
          <w:bCs/>
          <w:iCs/>
          <w:sz w:val="20"/>
          <w:szCs w:val="20"/>
          <w:lang w:val="es-AR" w:bidi="en-US"/>
        </w:rPr>
        <w:t>como</w:t>
      </w:r>
      <w:r w:rsidR="001A28B3" w:rsidRPr="00EA7870">
        <w:rPr>
          <w:bCs/>
          <w:iCs/>
          <w:sz w:val="20"/>
          <w:szCs w:val="20"/>
          <w:lang w:val="es-AR" w:bidi="en-US"/>
        </w:rPr>
        <w:t xml:space="preserve"> </w:t>
      </w:r>
      <w:r w:rsidRPr="00EA7870">
        <w:rPr>
          <w:bCs/>
          <w:iCs/>
          <w:sz w:val="20"/>
          <w:szCs w:val="20"/>
          <w:lang w:val="es-AR" w:bidi="en-US"/>
        </w:rPr>
        <w:t>si</w:t>
      </w:r>
      <w:r w:rsidR="001A28B3" w:rsidRPr="00EA7870">
        <w:rPr>
          <w:bCs/>
          <w:iCs/>
          <w:sz w:val="20"/>
          <w:szCs w:val="20"/>
          <w:lang w:val="es-AR" w:bidi="en-US"/>
        </w:rPr>
        <w:t xml:space="preserve"> </w:t>
      </w:r>
      <w:r w:rsidRPr="00EA7870">
        <w:rPr>
          <w:bCs/>
          <w:iCs/>
          <w:sz w:val="20"/>
          <w:szCs w:val="20"/>
          <w:lang w:val="es-AR" w:bidi="en-US"/>
        </w:rPr>
        <w:t>hubiese</w:t>
      </w:r>
      <w:r w:rsidR="001A28B3" w:rsidRPr="00EA7870">
        <w:rPr>
          <w:bCs/>
          <w:iCs/>
          <w:sz w:val="20"/>
          <w:szCs w:val="20"/>
          <w:lang w:val="es-AR" w:bidi="en-US"/>
        </w:rPr>
        <w:t xml:space="preserve"> </w:t>
      </w:r>
      <w:r w:rsidRPr="00EA7870">
        <w:rPr>
          <w:bCs/>
          <w:iCs/>
          <w:sz w:val="20"/>
          <w:szCs w:val="20"/>
          <w:lang w:val="es-AR" w:bidi="en-US"/>
        </w:rPr>
        <w:t>sido</w:t>
      </w:r>
      <w:r w:rsidR="001A28B3" w:rsidRPr="00EA7870">
        <w:rPr>
          <w:bCs/>
          <w:iCs/>
          <w:sz w:val="20"/>
          <w:szCs w:val="20"/>
          <w:lang w:val="es-AR" w:bidi="en-US"/>
        </w:rPr>
        <w:t xml:space="preserve"> </w:t>
      </w:r>
      <w:r w:rsidRPr="00EA7870">
        <w:rPr>
          <w:bCs/>
          <w:iCs/>
          <w:sz w:val="20"/>
          <w:szCs w:val="20"/>
          <w:lang w:val="es-AR" w:bidi="en-US"/>
        </w:rPr>
        <w:t>Incurrido</w:t>
      </w:r>
      <w:r w:rsidR="001A28B3" w:rsidRPr="00EA7870">
        <w:rPr>
          <w:bCs/>
          <w:iCs/>
          <w:sz w:val="20"/>
          <w:szCs w:val="20"/>
          <w:lang w:val="es-AR" w:bidi="en-US"/>
        </w:rPr>
        <w:t xml:space="preserve"> </w:t>
      </w:r>
      <w:r w:rsidRPr="00EA7870">
        <w:rPr>
          <w:bCs/>
          <w:iCs/>
          <w:sz w:val="20"/>
          <w:szCs w:val="20"/>
          <w:lang w:val="es-AR" w:bidi="en-US"/>
        </w:rPr>
        <w:t>y</w:t>
      </w:r>
      <w:r w:rsidR="001A28B3" w:rsidRPr="00EA7870">
        <w:rPr>
          <w:bCs/>
          <w:iCs/>
          <w:sz w:val="20"/>
          <w:szCs w:val="20"/>
          <w:lang w:val="es-AR" w:bidi="en-US"/>
        </w:rPr>
        <w:t xml:space="preserve"> </w:t>
      </w:r>
      <w:r w:rsidRPr="00EA7870">
        <w:rPr>
          <w:bCs/>
          <w:iCs/>
          <w:sz w:val="20"/>
          <w:szCs w:val="20"/>
          <w:lang w:val="es-AR" w:bidi="en-US"/>
        </w:rPr>
        <w:t>estuviera</w:t>
      </w:r>
      <w:r w:rsidR="001A28B3" w:rsidRPr="00EA7870">
        <w:rPr>
          <w:bCs/>
          <w:iCs/>
          <w:sz w:val="20"/>
          <w:szCs w:val="20"/>
          <w:lang w:val="es-AR" w:bidi="en-US"/>
        </w:rPr>
        <w:t xml:space="preserve"> </w:t>
      </w:r>
      <w:r w:rsidRPr="00EA7870">
        <w:rPr>
          <w:bCs/>
          <w:iCs/>
          <w:sz w:val="20"/>
          <w:szCs w:val="20"/>
          <w:lang w:val="es-AR" w:bidi="en-US"/>
        </w:rPr>
        <w:t>pendiente</w:t>
      </w:r>
      <w:r w:rsidR="001A28B3" w:rsidRPr="00EA7870">
        <w:rPr>
          <w:bCs/>
          <w:iCs/>
          <w:sz w:val="20"/>
          <w:szCs w:val="20"/>
          <w:lang w:val="es-AR" w:bidi="en-US"/>
        </w:rPr>
        <w:t xml:space="preserve"> </w:t>
      </w:r>
      <w:r w:rsidRPr="00EA7870">
        <w:rPr>
          <w:bCs/>
          <w:iCs/>
          <w:sz w:val="20"/>
          <w:szCs w:val="20"/>
          <w:lang w:val="es-AR" w:bidi="en-US"/>
        </w:rPr>
        <w:t>a</w:t>
      </w:r>
      <w:r w:rsidR="001A28B3" w:rsidRPr="00EA7870">
        <w:rPr>
          <w:bCs/>
          <w:iCs/>
          <w:sz w:val="20"/>
          <w:szCs w:val="20"/>
          <w:lang w:val="es-AR" w:bidi="en-US"/>
        </w:rPr>
        <w:t xml:space="preserve"> </w:t>
      </w:r>
      <w:r w:rsidRPr="00EA7870">
        <w:rPr>
          <w:bCs/>
          <w:iCs/>
          <w:sz w:val="20"/>
          <w:szCs w:val="20"/>
          <w:lang w:val="es-AR" w:bidi="en-US"/>
        </w:rPr>
        <w:t>la</w:t>
      </w:r>
      <w:r w:rsidR="001A28B3" w:rsidRPr="00EA7870">
        <w:rPr>
          <w:bCs/>
          <w:iCs/>
          <w:sz w:val="20"/>
          <w:szCs w:val="20"/>
          <w:lang w:val="es-AR" w:bidi="en-US"/>
        </w:rPr>
        <w:t xml:space="preserve"> </w:t>
      </w:r>
      <w:r w:rsidRPr="00EA7870">
        <w:rPr>
          <w:bCs/>
          <w:iCs/>
          <w:sz w:val="20"/>
          <w:szCs w:val="20"/>
          <w:lang w:val="es-AR" w:bidi="en-US"/>
        </w:rPr>
        <w:t>fecha</w:t>
      </w:r>
      <w:r w:rsidR="001A28B3" w:rsidRPr="00EA7870">
        <w:rPr>
          <w:bCs/>
          <w:iCs/>
          <w:sz w:val="20"/>
          <w:szCs w:val="20"/>
          <w:lang w:val="es-AR" w:bidi="en-US"/>
        </w:rPr>
        <w:t xml:space="preserve"> </w:t>
      </w:r>
      <w:r w:rsidRPr="00EA7870">
        <w:rPr>
          <w:bCs/>
          <w:iCs/>
          <w:sz w:val="20"/>
          <w:szCs w:val="20"/>
          <w:lang w:val="es-AR" w:bidi="en-US"/>
        </w:rPr>
        <w:t>de</w:t>
      </w:r>
      <w:r w:rsidR="001A28B3" w:rsidRPr="00EA7870">
        <w:rPr>
          <w:bCs/>
          <w:iCs/>
          <w:sz w:val="20"/>
          <w:szCs w:val="20"/>
          <w:lang w:val="es-AR" w:bidi="en-US"/>
        </w:rPr>
        <w:t xml:space="preserve"> </w:t>
      </w:r>
      <w:r w:rsidRPr="00EA7870">
        <w:rPr>
          <w:bCs/>
          <w:iCs/>
          <w:sz w:val="20"/>
          <w:szCs w:val="20"/>
          <w:lang w:val="es-AR" w:bidi="en-US"/>
        </w:rPr>
        <w:t>dicho</w:t>
      </w:r>
      <w:r w:rsidR="001A28B3" w:rsidRPr="00EA7870">
        <w:rPr>
          <w:bCs/>
          <w:iCs/>
          <w:sz w:val="20"/>
          <w:szCs w:val="20"/>
          <w:lang w:val="es-AR" w:bidi="en-US"/>
        </w:rPr>
        <w:t xml:space="preserve"> </w:t>
      </w:r>
      <w:r w:rsidRPr="00EA7870">
        <w:rPr>
          <w:bCs/>
          <w:iCs/>
          <w:sz w:val="20"/>
          <w:szCs w:val="20"/>
          <w:lang w:val="es-AR" w:bidi="en-US"/>
        </w:rPr>
        <w:t>balance</w:t>
      </w:r>
      <w:r w:rsidR="001A28B3" w:rsidRPr="00EA7870">
        <w:rPr>
          <w:bCs/>
          <w:iCs/>
          <w:sz w:val="20"/>
          <w:szCs w:val="20"/>
          <w:lang w:val="es-AR" w:bidi="en-US"/>
        </w:rPr>
        <w:t xml:space="preserve"> </w:t>
      </w:r>
      <w:r w:rsidRPr="00EA7870">
        <w:rPr>
          <w:bCs/>
          <w:iCs/>
          <w:sz w:val="20"/>
          <w:szCs w:val="20"/>
          <w:lang w:val="es-AR" w:bidi="en-US"/>
        </w:rPr>
        <w:t>general</w:t>
      </w:r>
      <w:r w:rsidR="001A28B3" w:rsidRPr="00EA7870">
        <w:rPr>
          <w:bCs/>
          <w:iCs/>
          <w:sz w:val="20"/>
          <w:szCs w:val="20"/>
          <w:lang w:val="es-AR" w:bidi="en-US"/>
        </w:rPr>
        <w:t xml:space="preserve"> </w:t>
      </w:r>
      <w:r w:rsidRPr="00EA7870">
        <w:rPr>
          <w:bCs/>
          <w:iCs/>
          <w:sz w:val="20"/>
          <w:szCs w:val="20"/>
          <w:lang w:val="es-AR" w:bidi="en-US"/>
        </w:rPr>
        <w:t>consolidado;</w:t>
      </w:r>
      <w:bookmarkEnd w:id="123"/>
    </w:p>
    <w:p w14:paraId="37903B99" w14:textId="77777777" w:rsidR="00392883" w:rsidRPr="00EA7870" w:rsidRDefault="00392883" w:rsidP="00392883">
      <w:pPr>
        <w:ind w:firstLine="709"/>
        <w:jc w:val="both"/>
        <w:rPr>
          <w:bCs/>
          <w:iCs/>
          <w:sz w:val="20"/>
          <w:szCs w:val="20"/>
          <w:lang w:val="es-AR" w:bidi="en-US"/>
        </w:rPr>
      </w:pPr>
    </w:p>
    <w:p w14:paraId="334B3825" w14:textId="77777777" w:rsidR="00376725" w:rsidRPr="00EA7870" w:rsidRDefault="00376725" w:rsidP="00392883">
      <w:pPr>
        <w:ind w:firstLine="709"/>
        <w:jc w:val="both"/>
        <w:rPr>
          <w:bCs/>
          <w:iCs/>
          <w:sz w:val="20"/>
          <w:szCs w:val="20"/>
          <w:lang w:val="es-AR"/>
        </w:rPr>
      </w:pPr>
      <w:bookmarkStart w:id="124" w:name="_Toc526498919"/>
      <w:r w:rsidRPr="00EA7870">
        <w:rPr>
          <w:bCs/>
          <w:iCs/>
          <w:sz w:val="20"/>
          <w:szCs w:val="20"/>
          <w:lang w:val="es-AR"/>
        </w:rPr>
        <w:t>(</w:t>
      </w:r>
      <w:r w:rsidR="00050BFF" w:rsidRPr="00EA7870">
        <w:rPr>
          <w:bCs/>
          <w:iCs/>
          <w:sz w:val="20"/>
          <w:szCs w:val="20"/>
          <w:lang w:val="es-AR"/>
        </w:rPr>
        <w:t>b</w:t>
      </w:r>
      <w:r w:rsidRPr="00EA7870">
        <w:rPr>
          <w:bCs/>
          <w:iCs/>
          <w:sz w:val="20"/>
          <w:szCs w:val="20"/>
          <w:lang w:val="es-AR"/>
        </w:rPr>
        <w:t>)</w:t>
      </w:r>
      <w:r w:rsidR="001A28B3" w:rsidRPr="00EA7870">
        <w:rPr>
          <w:bCs/>
          <w:iCs/>
          <w:sz w:val="20"/>
          <w:szCs w:val="20"/>
          <w:lang w:val="es-AR"/>
        </w:rPr>
        <w:t xml:space="preserve"> </w:t>
      </w:r>
      <w:r w:rsidRPr="00EA7870">
        <w:rPr>
          <w:bCs/>
          <w:iCs/>
          <w:sz w:val="20"/>
          <w:szCs w:val="20"/>
          <w:lang w:val="es-AR"/>
        </w:rPr>
        <w:t>quedará</w:t>
      </w:r>
      <w:r w:rsidR="001A28B3" w:rsidRPr="00EA7870">
        <w:rPr>
          <w:bCs/>
          <w:iCs/>
          <w:sz w:val="20"/>
          <w:szCs w:val="20"/>
          <w:lang w:val="es-AR"/>
        </w:rPr>
        <w:t xml:space="preserve"> </w:t>
      </w:r>
      <w:r w:rsidRPr="00EA7870">
        <w:rPr>
          <w:bCs/>
          <w:iCs/>
          <w:sz w:val="20"/>
          <w:szCs w:val="20"/>
          <w:lang w:val="es-AR"/>
        </w:rPr>
        <w:t>excluido</w:t>
      </w:r>
      <w:r w:rsidR="001A28B3" w:rsidRPr="00EA7870">
        <w:rPr>
          <w:bCs/>
          <w:iCs/>
          <w:sz w:val="20"/>
          <w:szCs w:val="20"/>
          <w:lang w:val="es-AR"/>
        </w:rPr>
        <w:t xml:space="preserve"> </w:t>
      </w:r>
      <w:r w:rsidRPr="00EA7870">
        <w:rPr>
          <w:bCs/>
          <w:iCs/>
          <w:sz w:val="20"/>
          <w:szCs w:val="20"/>
          <w:lang w:val="es-AR"/>
        </w:rPr>
        <w:t>cualquier</w:t>
      </w:r>
      <w:r w:rsidR="001A28B3" w:rsidRPr="00EA7870">
        <w:rPr>
          <w:bCs/>
          <w:iCs/>
          <w:sz w:val="20"/>
          <w:szCs w:val="20"/>
          <w:lang w:val="es-AR"/>
        </w:rPr>
        <w:t xml:space="preserve"> </w:t>
      </w:r>
      <w:r w:rsidRPr="00EA7870">
        <w:rPr>
          <w:bCs/>
          <w:iCs/>
          <w:sz w:val="20"/>
          <w:szCs w:val="20"/>
          <w:lang w:val="es-AR"/>
        </w:rPr>
        <w:t>Endeudamiento</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haya</w:t>
      </w:r>
      <w:r w:rsidR="001A28B3" w:rsidRPr="00EA7870">
        <w:rPr>
          <w:bCs/>
          <w:iCs/>
          <w:sz w:val="20"/>
          <w:szCs w:val="20"/>
          <w:lang w:val="es-AR"/>
        </w:rPr>
        <w:t xml:space="preserve"> </w:t>
      </w:r>
      <w:r w:rsidRPr="00EA7870">
        <w:rPr>
          <w:bCs/>
          <w:iCs/>
          <w:sz w:val="20"/>
          <w:szCs w:val="20"/>
          <w:lang w:val="es-AR"/>
        </w:rPr>
        <w:t>dejado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estar</w:t>
      </w:r>
      <w:r w:rsidR="001A28B3" w:rsidRPr="00EA7870">
        <w:rPr>
          <w:bCs/>
          <w:iCs/>
          <w:sz w:val="20"/>
          <w:szCs w:val="20"/>
          <w:lang w:val="es-AR"/>
        </w:rPr>
        <w:t xml:space="preserve"> </w:t>
      </w:r>
      <w:r w:rsidRPr="00EA7870">
        <w:rPr>
          <w:bCs/>
          <w:iCs/>
          <w:sz w:val="20"/>
          <w:szCs w:val="20"/>
          <w:lang w:val="es-AR"/>
        </w:rPr>
        <w:t>pendiente,</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ser</w:t>
      </w:r>
      <w:r w:rsidR="001A28B3" w:rsidRPr="00EA7870">
        <w:rPr>
          <w:bCs/>
          <w:iCs/>
          <w:sz w:val="20"/>
          <w:szCs w:val="20"/>
          <w:lang w:val="es-AR"/>
        </w:rPr>
        <w:t xml:space="preserve"> </w:t>
      </w:r>
      <w:r w:rsidRPr="00EA7870">
        <w:rPr>
          <w:bCs/>
          <w:iCs/>
          <w:sz w:val="20"/>
          <w:szCs w:val="20"/>
          <w:lang w:val="es-AR"/>
        </w:rPr>
        <w:t>amortizado,</w:t>
      </w:r>
      <w:r w:rsidR="001A28B3" w:rsidRPr="00EA7870">
        <w:rPr>
          <w:bCs/>
          <w:iCs/>
          <w:sz w:val="20"/>
          <w:szCs w:val="20"/>
          <w:lang w:val="es-AR"/>
        </w:rPr>
        <w:t xml:space="preserve"> </w:t>
      </w:r>
      <w:r w:rsidRPr="00EA7870">
        <w:rPr>
          <w:bCs/>
          <w:iCs/>
          <w:sz w:val="20"/>
          <w:szCs w:val="20"/>
          <w:lang w:val="es-AR"/>
        </w:rPr>
        <w:t>recomprado,</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rescatado,</w:t>
      </w:r>
      <w:r w:rsidR="001A28B3" w:rsidRPr="00EA7870">
        <w:rPr>
          <w:bCs/>
          <w:iCs/>
          <w:sz w:val="20"/>
          <w:szCs w:val="20"/>
          <w:lang w:val="es-AR"/>
        </w:rPr>
        <w:t xml:space="preserve"> </w:t>
      </w:r>
      <w:r w:rsidRPr="00EA7870">
        <w:rPr>
          <w:bCs/>
          <w:iCs/>
          <w:sz w:val="20"/>
          <w:szCs w:val="20"/>
          <w:lang w:val="es-AR"/>
        </w:rPr>
        <w:t>dado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baja,</w:t>
      </w:r>
      <w:r w:rsidR="001A28B3" w:rsidRPr="00EA7870">
        <w:rPr>
          <w:bCs/>
          <w:iCs/>
          <w:sz w:val="20"/>
          <w:szCs w:val="20"/>
          <w:lang w:val="es-AR"/>
        </w:rPr>
        <w:t xml:space="preserve"> </w:t>
      </w:r>
      <w:r w:rsidRPr="00EA7870">
        <w:rPr>
          <w:bCs/>
          <w:iCs/>
          <w:sz w:val="20"/>
          <w:szCs w:val="20"/>
          <w:lang w:val="es-AR"/>
        </w:rPr>
        <w:t>revocado</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extinguido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otro</w:t>
      </w:r>
      <w:r w:rsidR="001A28B3" w:rsidRPr="00EA7870">
        <w:rPr>
          <w:bCs/>
          <w:iCs/>
          <w:sz w:val="20"/>
          <w:szCs w:val="20"/>
          <w:lang w:val="es-AR"/>
        </w:rPr>
        <w:t xml:space="preserve"> </w:t>
      </w:r>
      <w:r w:rsidRPr="00EA7870">
        <w:rPr>
          <w:bCs/>
          <w:iCs/>
          <w:sz w:val="20"/>
          <w:szCs w:val="20"/>
          <w:lang w:val="es-AR"/>
        </w:rPr>
        <w:t>modo</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fecha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operación;</w:t>
      </w:r>
      <w:r w:rsidR="001A28B3" w:rsidRPr="00EA7870">
        <w:rPr>
          <w:bCs/>
          <w:iCs/>
          <w:sz w:val="20"/>
          <w:szCs w:val="20"/>
          <w:lang w:val="es-AR"/>
        </w:rPr>
        <w:t xml:space="preserve"> </w:t>
      </w:r>
      <w:r w:rsidRPr="00EA7870">
        <w:rPr>
          <w:bCs/>
          <w:iCs/>
          <w:sz w:val="20"/>
          <w:szCs w:val="20"/>
          <w:lang w:val="es-AR"/>
        </w:rPr>
        <w:t>y</w:t>
      </w:r>
      <w:bookmarkEnd w:id="124"/>
      <w:r w:rsidR="001A28B3" w:rsidRPr="00EA7870">
        <w:rPr>
          <w:bCs/>
          <w:iCs/>
          <w:sz w:val="20"/>
          <w:szCs w:val="20"/>
          <w:lang w:val="es-AR"/>
        </w:rPr>
        <w:t xml:space="preserve"> </w:t>
      </w:r>
    </w:p>
    <w:p w14:paraId="67B5BBEE" w14:textId="77777777" w:rsidR="00392883" w:rsidRPr="00EA7870" w:rsidRDefault="00392883" w:rsidP="00392883">
      <w:pPr>
        <w:ind w:firstLine="709"/>
        <w:jc w:val="both"/>
        <w:rPr>
          <w:b/>
          <w:bCs/>
          <w:iCs/>
          <w:sz w:val="20"/>
          <w:szCs w:val="20"/>
          <w:lang w:val="es-AR"/>
        </w:rPr>
      </w:pPr>
    </w:p>
    <w:p w14:paraId="41F78728" w14:textId="77777777" w:rsidR="00376725" w:rsidRPr="00EA7870" w:rsidRDefault="00050BFF" w:rsidP="00392883">
      <w:pPr>
        <w:ind w:firstLine="709"/>
        <w:jc w:val="both"/>
        <w:rPr>
          <w:sz w:val="20"/>
          <w:szCs w:val="20"/>
          <w:lang w:val="es-AR"/>
        </w:rPr>
      </w:pPr>
      <w:r w:rsidRPr="00EA7870">
        <w:rPr>
          <w:sz w:val="20"/>
          <w:szCs w:val="20"/>
          <w:lang w:val="es-AR"/>
        </w:rPr>
        <w:t>(c</w:t>
      </w:r>
      <w:r w:rsidR="00376725" w:rsidRPr="00EA7870">
        <w:rPr>
          <w:sz w:val="20"/>
          <w:szCs w:val="20"/>
          <w:lang w:val="es-AR"/>
        </w:rPr>
        <w:t>)</w:t>
      </w:r>
      <w:r w:rsidR="001A28B3" w:rsidRPr="00EA7870">
        <w:rPr>
          <w:sz w:val="20"/>
          <w:szCs w:val="20"/>
          <w:lang w:val="es-AR"/>
        </w:rPr>
        <w:t xml:space="preserve"> </w:t>
      </w:r>
      <w:r w:rsidR="00376725" w:rsidRPr="00EA7870">
        <w:rPr>
          <w:sz w:val="20"/>
          <w:szCs w:val="20"/>
          <w:lang w:val="es-AR"/>
        </w:rPr>
        <w:t>se</w:t>
      </w:r>
      <w:r w:rsidR="001A28B3" w:rsidRPr="00EA7870">
        <w:rPr>
          <w:sz w:val="20"/>
          <w:szCs w:val="20"/>
          <w:lang w:val="es-AR"/>
        </w:rPr>
        <w:t xml:space="preserve"> </w:t>
      </w:r>
      <w:r w:rsidR="00376725" w:rsidRPr="00EA7870">
        <w:rPr>
          <w:sz w:val="20"/>
          <w:szCs w:val="20"/>
          <w:lang w:val="es-AR"/>
        </w:rPr>
        <w:t>dará</w:t>
      </w:r>
      <w:r w:rsidR="001A28B3" w:rsidRPr="00EA7870">
        <w:rPr>
          <w:sz w:val="20"/>
          <w:szCs w:val="20"/>
          <w:lang w:val="es-AR"/>
        </w:rPr>
        <w:t xml:space="preserve"> </w:t>
      </w:r>
      <w:r w:rsidR="00376725" w:rsidRPr="00EA7870">
        <w:rPr>
          <w:sz w:val="20"/>
          <w:szCs w:val="20"/>
          <w:lang w:val="es-AR"/>
        </w:rPr>
        <w:t>efecto</w:t>
      </w:r>
      <w:r w:rsidR="001A28B3" w:rsidRPr="00EA7870">
        <w:rPr>
          <w:sz w:val="20"/>
          <w:szCs w:val="20"/>
          <w:lang w:val="es-AR"/>
        </w:rPr>
        <w:t xml:space="preserve"> </w:t>
      </w:r>
      <w:r w:rsidR="00376725" w:rsidRPr="00EA7870">
        <w:rPr>
          <w:i/>
          <w:sz w:val="20"/>
          <w:szCs w:val="20"/>
          <w:lang w:val="es-AR"/>
        </w:rPr>
        <w:t>pro</w:t>
      </w:r>
      <w:r w:rsidR="001A28B3" w:rsidRPr="00EA7870">
        <w:rPr>
          <w:i/>
          <w:sz w:val="20"/>
          <w:szCs w:val="20"/>
          <w:lang w:val="es-AR"/>
        </w:rPr>
        <w:t xml:space="preserve"> </w:t>
      </w:r>
      <w:r w:rsidR="00376725" w:rsidRPr="00EA7870">
        <w:rPr>
          <w:i/>
          <w:sz w:val="20"/>
          <w:szCs w:val="20"/>
          <w:lang w:val="es-AR"/>
        </w:rPr>
        <w:t>forma</w:t>
      </w:r>
      <w:r w:rsidR="001A28B3" w:rsidRPr="00EA7870">
        <w:rPr>
          <w:sz w:val="20"/>
          <w:szCs w:val="20"/>
          <w:lang w:val="es-AR"/>
        </w:rPr>
        <w:t xml:space="preserve"> </w:t>
      </w:r>
      <w:r w:rsidR="00376725" w:rsidRPr="00EA7870">
        <w:rPr>
          <w:sz w:val="20"/>
          <w:szCs w:val="20"/>
          <w:lang w:val="es-AR"/>
        </w:rPr>
        <w:t>a:</w:t>
      </w:r>
      <w:r w:rsidR="001A28B3" w:rsidRPr="00EA7870">
        <w:rPr>
          <w:sz w:val="20"/>
          <w:szCs w:val="20"/>
          <w:lang w:val="es-AR"/>
        </w:rPr>
        <w:t xml:space="preserve"> </w:t>
      </w:r>
      <w:r w:rsidR="00376725" w:rsidRPr="00EA7870">
        <w:rPr>
          <w:sz w:val="20"/>
          <w:szCs w:val="20"/>
          <w:lang w:val="es-AR"/>
        </w:rPr>
        <w:t>(1)</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adquisición</w:t>
      </w:r>
      <w:r w:rsidR="001A28B3" w:rsidRPr="00EA7870">
        <w:rPr>
          <w:sz w:val="20"/>
          <w:szCs w:val="20"/>
          <w:lang w:val="es-AR"/>
        </w:rPr>
        <w:t xml:space="preserve"> </w:t>
      </w:r>
      <w:r w:rsidR="00376725" w:rsidRPr="00EA7870">
        <w:rPr>
          <w:sz w:val="20"/>
          <w:szCs w:val="20"/>
          <w:lang w:val="es-AR"/>
        </w:rPr>
        <w:t>o</w:t>
      </w:r>
      <w:r w:rsidR="001A28B3" w:rsidRPr="00EA7870">
        <w:rPr>
          <w:sz w:val="20"/>
          <w:szCs w:val="20"/>
          <w:lang w:val="es-AR"/>
        </w:rPr>
        <w:t xml:space="preserve"> </w:t>
      </w:r>
      <w:r w:rsidR="00376725" w:rsidRPr="00EA7870">
        <w:rPr>
          <w:sz w:val="20"/>
          <w:szCs w:val="20"/>
          <w:lang w:val="es-AR"/>
        </w:rPr>
        <w:t>disposición</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sociedades,</w:t>
      </w:r>
      <w:r w:rsidR="001A28B3" w:rsidRPr="00EA7870">
        <w:rPr>
          <w:sz w:val="20"/>
          <w:szCs w:val="20"/>
          <w:lang w:val="es-AR"/>
        </w:rPr>
        <w:t xml:space="preserve"> </w:t>
      </w:r>
      <w:r w:rsidR="00376725" w:rsidRPr="00EA7870">
        <w:rPr>
          <w:sz w:val="20"/>
          <w:szCs w:val="20"/>
          <w:lang w:val="es-AR"/>
        </w:rPr>
        <w:t>divisiones</w:t>
      </w:r>
      <w:r w:rsidR="001A28B3" w:rsidRPr="00EA7870">
        <w:rPr>
          <w:sz w:val="20"/>
          <w:szCs w:val="20"/>
          <w:lang w:val="es-AR"/>
        </w:rPr>
        <w:t xml:space="preserve"> </w:t>
      </w:r>
      <w:r w:rsidR="00376725" w:rsidRPr="00EA7870">
        <w:rPr>
          <w:sz w:val="20"/>
          <w:szCs w:val="20"/>
          <w:lang w:val="es-AR"/>
        </w:rPr>
        <w:t>o</w:t>
      </w:r>
      <w:r w:rsidR="001A28B3" w:rsidRPr="00EA7870">
        <w:rPr>
          <w:sz w:val="20"/>
          <w:szCs w:val="20"/>
          <w:lang w:val="es-AR"/>
        </w:rPr>
        <w:t xml:space="preserve"> </w:t>
      </w:r>
      <w:r w:rsidR="00376725" w:rsidRPr="00EA7870">
        <w:rPr>
          <w:sz w:val="20"/>
          <w:szCs w:val="20"/>
          <w:lang w:val="es-AR"/>
        </w:rPr>
        <w:t>líneas</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negocios</w:t>
      </w:r>
      <w:r w:rsidR="001A28B3" w:rsidRPr="00EA7870">
        <w:rPr>
          <w:sz w:val="20"/>
          <w:szCs w:val="20"/>
          <w:lang w:val="es-AR"/>
        </w:rPr>
        <w:t xml:space="preserve"> </w:t>
      </w:r>
      <w:r w:rsidR="00376725" w:rsidRPr="00EA7870">
        <w:rPr>
          <w:sz w:val="20"/>
          <w:szCs w:val="20"/>
          <w:lang w:val="es-AR"/>
        </w:rPr>
        <w:t>por</w:t>
      </w:r>
      <w:r w:rsidR="001A28B3" w:rsidRPr="00EA7870">
        <w:rPr>
          <w:sz w:val="20"/>
          <w:szCs w:val="20"/>
          <w:lang w:val="es-AR"/>
        </w:rPr>
        <w:t xml:space="preserve"> </w:t>
      </w:r>
      <w:r w:rsidR="00376725" w:rsidRPr="00EA7870">
        <w:rPr>
          <w:sz w:val="20"/>
          <w:szCs w:val="20"/>
          <w:lang w:val="es-AR"/>
        </w:rPr>
        <w:t>parte</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Emisora,</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Garante</w:t>
      </w:r>
      <w:r w:rsidR="001A28B3" w:rsidRPr="00EA7870">
        <w:rPr>
          <w:sz w:val="20"/>
          <w:szCs w:val="20"/>
          <w:lang w:val="es-AR"/>
        </w:rPr>
        <w:t xml:space="preserve"> </w:t>
      </w:r>
      <w:r w:rsidR="00376725" w:rsidRPr="00EA7870">
        <w:rPr>
          <w:sz w:val="20"/>
          <w:szCs w:val="20"/>
          <w:lang w:val="es-AR"/>
        </w:rPr>
        <w:t>y</w:t>
      </w:r>
      <w:r w:rsidR="001A28B3" w:rsidRPr="00EA7870">
        <w:rPr>
          <w:sz w:val="20"/>
          <w:szCs w:val="20"/>
          <w:lang w:val="es-AR"/>
        </w:rPr>
        <w:t xml:space="preserve"> </w:t>
      </w:r>
      <w:r w:rsidR="00376725" w:rsidRPr="00EA7870">
        <w:rPr>
          <w:sz w:val="20"/>
          <w:szCs w:val="20"/>
          <w:lang w:val="es-AR"/>
        </w:rPr>
        <w:t>cualquier</w:t>
      </w:r>
      <w:r w:rsidR="001A28B3" w:rsidRPr="00EA7870">
        <w:rPr>
          <w:sz w:val="20"/>
          <w:szCs w:val="20"/>
          <w:lang w:val="es-AR"/>
        </w:rPr>
        <w:t xml:space="preserve"> </w:t>
      </w:r>
      <w:r w:rsidR="00376725" w:rsidRPr="00EA7870">
        <w:rPr>
          <w:sz w:val="20"/>
          <w:szCs w:val="20"/>
          <w:lang w:val="es-AR"/>
        </w:rPr>
        <w:t>Subsidiaria</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las</w:t>
      </w:r>
      <w:r w:rsidR="001A28B3" w:rsidRPr="00EA7870">
        <w:rPr>
          <w:sz w:val="20"/>
          <w:szCs w:val="20"/>
          <w:lang w:val="es-AR"/>
        </w:rPr>
        <w:t xml:space="preserve"> </w:t>
      </w:r>
      <w:r w:rsidR="00376725" w:rsidRPr="00EA7870">
        <w:rPr>
          <w:sz w:val="20"/>
          <w:szCs w:val="20"/>
          <w:lang w:val="es-AR"/>
        </w:rPr>
        <w:t>mismas,</w:t>
      </w:r>
      <w:r w:rsidR="001A28B3" w:rsidRPr="00EA7870">
        <w:rPr>
          <w:sz w:val="20"/>
          <w:szCs w:val="20"/>
          <w:lang w:val="es-AR"/>
        </w:rPr>
        <w:t xml:space="preserve"> </w:t>
      </w:r>
      <w:r w:rsidR="00376725" w:rsidRPr="00EA7870">
        <w:rPr>
          <w:sz w:val="20"/>
          <w:szCs w:val="20"/>
          <w:lang w:val="es-AR"/>
        </w:rPr>
        <w:t>y</w:t>
      </w:r>
      <w:r w:rsidR="001A28B3" w:rsidRPr="00EA7870">
        <w:rPr>
          <w:sz w:val="20"/>
          <w:szCs w:val="20"/>
          <w:lang w:val="es-AR"/>
        </w:rPr>
        <w:t xml:space="preserve"> </w:t>
      </w:r>
      <w:r w:rsidR="00376725" w:rsidRPr="00EA7870">
        <w:rPr>
          <w:sz w:val="20"/>
          <w:szCs w:val="20"/>
          <w:lang w:val="es-AR"/>
        </w:rPr>
        <w:t>(2)</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interrupción</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operaciones</w:t>
      </w:r>
      <w:r w:rsidR="001A28B3" w:rsidRPr="00EA7870">
        <w:rPr>
          <w:sz w:val="20"/>
          <w:szCs w:val="20"/>
          <w:lang w:val="es-AR"/>
        </w:rPr>
        <w:t xml:space="preserve"> </w:t>
      </w:r>
      <w:r w:rsidR="00376725" w:rsidRPr="00EA7870">
        <w:rPr>
          <w:sz w:val="20"/>
          <w:szCs w:val="20"/>
          <w:lang w:val="es-AR"/>
        </w:rPr>
        <w:t>discontinuadas,</w:t>
      </w:r>
      <w:r w:rsidR="001A28B3" w:rsidRPr="00EA7870">
        <w:rPr>
          <w:sz w:val="20"/>
          <w:szCs w:val="20"/>
          <w:lang w:val="es-AR"/>
        </w:rPr>
        <w:t xml:space="preserve"> </w:t>
      </w:r>
      <w:r w:rsidR="00376725" w:rsidRPr="00EA7870">
        <w:rPr>
          <w:sz w:val="20"/>
          <w:szCs w:val="20"/>
          <w:lang w:val="es-AR"/>
        </w:rPr>
        <w:t>en</w:t>
      </w:r>
      <w:r w:rsidR="001A28B3" w:rsidRPr="00EA7870">
        <w:rPr>
          <w:sz w:val="20"/>
          <w:szCs w:val="20"/>
          <w:lang w:val="es-AR"/>
        </w:rPr>
        <w:t xml:space="preserve"> </w:t>
      </w:r>
      <w:r w:rsidR="00376725" w:rsidRPr="00EA7870">
        <w:rPr>
          <w:sz w:val="20"/>
          <w:szCs w:val="20"/>
          <w:lang w:val="es-AR"/>
        </w:rPr>
        <w:t>cada</w:t>
      </w:r>
      <w:r w:rsidR="001A28B3" w:rsidRPr="00EA7870">
        <w:rPr>
          <w:sz w:val="20"/>
          <w:szCs w:val="20"/>
          <w:lang w:val="es-AR"/>
        </w:rPr>
        <w:t xml:space="preserve"> </w:t>
      </w:r>
      <w:r w:rsidR="00376725" w:rsidRPr="00EA7870">
        <w:rPr>
          <w:sz w:val="20"/>
          <w:szCs w:val="20"/>
          <w:lang w:val="es-AR"/>
        </w:rPr>
        <w:t>caso,</w:t>
      </w:r>
      <w:r w:rsidR="001A28B3" w:rsidRPr="00EA7870">
        <w:rPr>
          <w:sz w:val="20"/>
          <w:szCs w:val="20"/>
          <w:lang w:val="es-AR"/>
        </w:rPr>
        <w:t xml:space="preserve"> </w:t>
      </w:r>
      <w:r w:rsidR="00376725" w:rsidRPr="00EA7870">
        <w:rPr>
          <w:sz w:val="20"/>
          <w:szCs w:val="20"/>
          <w:lang w:val="es-AR"/>
        </w:rPr>
        <w:t>que</w:t>
      </w:r>
      <w:r w:rsidR="001A28B3" w:rsidRPr="00EA7870">
        <w:rPr>
          <w:sz w:val="20"/>
          <w:szCs w:val="20"/>
          <w:lang w:val="es-AR"/>
        </w:rPr>
        <w:t xml:space="preserve"> </w:t>
      </w:r>
      <w:r w:rsidR="00376725" w:rsidRPr="00EA7870">
        <w:rPr>
          <w:sz w:val="20"/>
          <w:szCs w:val="20"/>
          <w:lang w:val="es-AR"/>
        </w:rPr>
        <w:t>hubiesen</w:t>
      </w:r>
      <w:r w:rsidR="001A28B3" w:rsidRPr="00EA7870">
        <w:rPr>
          <w:sz w:val="20"/>
          <w:szCs w:val="20"/>
          <w:lang w:val="es-AR"/>
        </w:rPr>
        <w:t xml:space="preserve"> </w:t>
      </w:r>
      <w:r w:rsidR="00376725" w:rsidRPr="00EA7870">
        <w:rPr>
          <w:sz w:val="20"/>
          <w:szCs w:val="20"/>
          <w:lang w:val="es-AR"/>
        </w:rPr>
        <w:t>ocurrido</w:t>
      </w:r>
      <w:r w:rsidR="001A28B3" w:rsidRPr="00EA7870">
        <w:rPr>
          <w:sz w:val="20"/>
          <w:szCs w:val="20"/>
          <w:lang w:val="es-AR"/>
        </w:rPr>
        <w:t xml:space="preserve"> </w:t>
      </w:r>
      <w:r w:rsidR="00376725" w:rsidRPr="00EA7870">
        <w:rPr>
          <w:sz w:val="20"/>
          <w:szCs w:val="20"/>
          <w:lang w:val="es-AR"/>
        </w:rPr>
        <w:t>luego</w:t>
      </w:r>
      <w:r w:rsidR="001A28B3" w:rsidRPr="00EA7870">
        <w:rPr>
          <w:sz w:val="20"/>
          <w:szCs w:val="20"/>
          <w:lang w:val="es-AR"/>
        </w:rPr>
        <w:t xml:space="preserve"> </w:t>
      </w:r>
      <w:r w:rsidR="00376725" w:rsidRPr="00EA7870">
        <w:rPr>
          <w:sz w:val="20"/>
          <w:szCs w:val="20"/>
          <w:lang w:val="es-AR"/>
        </w:rPr>
        <w:t>de</w:t>
      </w:r>
      <w:r w:rsidR="001A28B3" w:rsidRPr="00EA7870">
        <w:rPr>
          <w:sz w:val="20"/>
          <w:szCs w:val="20"/>
          <w:lang w:val="es-AR"/>
        </w:rPr>
        <w:t xml:space="preserve"> </w:t>
      </w:r>
      <w:r w:rsidR="00376725" w:rsidRPr="00EA7870">
        <w:rPr>
          <w:sz w:val="20"/>
          <w:szCs w:val="20"/>
          <w:lang w:val="es-AR"/>
        </w:rPr>
        <w:t>la</w:t>
      </w:r>
      <w:r w:rsidR="001A28B3" w:rsidRPr="00EA7870">
        <w:rPr>
          <w:sz w:val="20"/>
          <w:szCs w:val="20"/>
          <w:lang w:val="es-AR"/>
        </w:rPr>
        <w:t xml:space="preserve"> </w:t>
      </w:r>
      <w:r w:rsidR="00376725" w:rsidRPr="00EA7870">
        <w:rPr>
          <w:sz w:val="20"/>
          <w:szCs w:val="20"/>
          <w:lang w:val="es-AR"/>
        </w:rPr>
        <w:t>fecha</w:t>
      </w:r>
      <w:r w:rsidR="001A28B3" w:rsidRPr="00EA7870">
        <w:rPr>
          <w:sz w:val="20"/>
          <w:szCs w:val="20"/>
          <w:lang w:val="es-AR"/>
        </w:rPr>
        <w:t xml:space="preserve"> </w:t>
      </w:r>
      <w:r w:rsidR="00376725" w:rsidRPr="00EA7870">
        <w:rPr>
          <w:sz w:val="20"/>
          <w:szCs w:val="20"/>
          <w:lang w:val="es-AR"/>
        </w:rPr>
        <w:t>del</w:t>
      </w:r>
      <w:r w:rsidR="001A28B3" w:rsidRPr="00EA7870">
        <w:rPr>
          <w:sz w:val="20"/>
          <w:szCs w:val="20"/>
          <w:lang w:val="es-AR"/>
        </w:rPr>
        <w:t xml:space="preserve"> </w:t>
      </w:r>
      <w:r w:rsidR="00376725" w:rsidRPr="00EA7870">
        <w:rPr>
          <w:sz w:val="20"/>
          <w:szCs w:val="20"/>
          <w:lang w:val="es-AR"/>
        </w:rPr>
        <w:t>balance</w:t>
      </w:r>
      <w:r w:rsidR="001A28B3" w:rsidRPr="00EA7870">
        <w:rPr>
          <w:sz w:val="20"/>
          <w:szCs w:val="20"/>
          <w:lang w:val="es-AR"/>
        </w:rPr>
        <w:t xml:space="preserve"> </w:t>
      </w:r>
      <w:r w:rsidR="00376725" w:rsidRPr="00EA7870">
        <w:rPr>
          <w:sz w:val="20"/>
          <w:szCs w:val="20"/>
          <w:lang w:val="es-AR"/>
        </w:rPr>
        <w:t>general</w:t>
      </w:r>
      <w:r w:rsidR="001A28B3" w:rsidRPr="00EA7870">
        <w:rPr>
          <w:sz w:val="20"/>
          <w:szCs w:val="20"/>
          <w:lang w:val="es-AR"/>
        </w:rPr>
        <w:t xml:space="preserve"> </w:t>
      </w:r>
      <w:r w:rsidR="00376725" w:rsidRPr="00EA7870">
        <w:rPr>
          <w:sz w:val="20"/>
          <w:szCs w:val="20"/>
          <w:lang w:val="es-AR"/>
        </w:rPr>
        <w:t>consolidado</w:t>
      </w:r>
      <w:r w:rsidR="001A28B3" w:rsidRPr="00EA7870">
        <w:rPr>
          <w:sz w:val="20"/>
          <w:szCs w:val="20"/>
          <w:lang w:val="es-AR"/>
        </w:rPr>
        <w:t xml:space="preserve"> </w:t>
      </w:r>
      <w:r w:rsidR="00376725" w:rsidRPr="00EA7870">
        <w:rPr>
          <w:sz w:val="20"/>
          <w:szCs w:val="20"/>
          <w:lang w:val="es-AR"/>
        </w:rPr>
        <w:t>utilizado</w:t>
      </w:r>
      <w:r w:rsidR="001A28B3" w:rsidRPr="00EA7870">
        <w:rPr>
          <w:sz w:val="20"/>
          <w:szCs w:val="20"/>
          <w:lang w:val="es-AR"/>
        </w:rPr>
        <w:t xml:space="preserve"> </w:t>
      </w:r>
      <w:r w:rsidR="00376725" w:rsidRPr="00EA7870">
        <w:rPr>
          <w:sz w:val="20"/>
          <w:szCs w:val="20"/>
          <w:lang w:val="es-AR"/>
        </w:rPr>
        <w:t>para</w:t>
      </w:r>
      <w:r w:rsidR="001A28B3" w:rsidRPr="00EA7870">
        <w:rPr>
          <w:sz w:val="20"/>
          <w:szCs w:val="20"/>
          <w:lang w:val="es-AR"/>
        </w:rPr>
        <w:t xml:space="preserve"> </w:t>
      </w:r>
      <w:r w:rsidR="00376725" w:rsidRPr="00EA7870">
        <w:rPr>
          <w:sz w:val="20"/>
          <w:szCs w:val="20"/>
          <w:lang w:val="es-AR"/>
        </w:rPr>
        <w:t>calcular</w:t>
      </w:r>
      <w:r w:rsidR="001A28B3" w:rsidRPr="00EA7870">
        <w:rPr>
          <w:sz w:val="20"/>
          <w:szCs w:val="20"/>
          <w:lang w:val="es-AR"/>
        </w:rPr>
        <w:t xml:space="preserve"> </w:t>
      </w:r>
      <w:r w:rsidR="00376725" w:rsidRPr="00EA7870">
        <w:rPr>
          <w:sz w:val="20"/>
          <w:szCs w:val="20"/>
          <w:lang w:val="es-AR"/>
        </w:rPr>
        <w:t>el</w:t>
      </w:r>
      <w:r w:rsidR="001A28B3" w:rsidRPr="00EA7870">
        <w:rPr>
          <w:sz w:val="20"/>
          <w:szCs w:val="20"/>
          <w:lang w:val="es-AR"/>
        </w:rPr>
        <w:t xml:space="preserve"> </w:t>
      </w:r>
      <w:r w:rsidR="00376725" w:rsidRPr="00EA7870">
        <w:rPr>
          <w:sz w:val="20"/>
          <w:szCs w:val="20"/>
          <w:lang w:val="es-AR"/>
        </w:rPr>
        <w:t>ratio.</w:t>
      </w:r>
    </w:p>
    <w:p w14:paraId="5008E05F" w14:textId="77777777" w:rsidR="00376725" w:rsidRPr="00EA7870" w:rsidRDefault="00376725" w:rsidP="00376725">
      <w:pPr>
        <w:tabs>
          <w:tab w:val="left" w:pos="0"/>
          <w:tab w:val="right" w:leader="dot" w:pos="8505"/>
        </w:tabs>
        <w:ind w:firstLine="709"/>
        <w:jc w:val="both"/>
        <w:rPr>
          <w:sz w:val="20"/>
          <w:szCs w:val="20"/>
          <w:lang w:val="es-AR"/>
        </w:rPr>
      </w:pPr>
    </w:p>
    <w:p w14:paraId="7F948A5A" w14:textId="77777777" w:rsidR="00376725" w:rsidRPr="00EA7870" w:rsidRDefault="00376725" w:rsidP="00376725">
      <w:pPr>
        <w:tabs>
          <w:tab w:val="left" w:pos="0"/>
        </w:tabs>
        <w:ind w:firstLine="709"/>
        <w:jc w:val="both"/>
        <w:rPr>
          <w:sz w:val="20"/>
          <w:szCs w:val="20"/>
          <w:lang w:val="es-AR"/>
        </w:rPr>
      </w:pPr>
      <w:r w:rsidRPr="00EA7870">
        <w:rPr>
          <w:sz w:val="20"/>
          <w:szCs w:val="20"/>
          <w:lang w:val="es-AR"/>
        </w:rPr>
        <w:t>“</w:t>
      </w:r>
      <w:r w:rsidRPr="00EA7870">
        <w:rPr>
          <w:b/>
          <w:sz w:val="20"/>
          <w:szCs w:val="20"/>
          <w:lang w:val="es-AR"/>
        </w:rPr>
        <w:t>Capital</w:t>
      </w:r>
      <w:r w:rsidR="001A28B3" w:rsidRPr="00EA7870">
        <w:rPr>
          <w:b/>
          <w:sz w:val="20"/>
          <w:szCs w:val="20"/>
          <w:lang w:val="es-AR"/>
        </w:rPr>
        <w:t xml:space="preserve"> </w:t>
      </w:r>
      <w:r w:rsidRPr="00EA7870">
        <w:rPr>
          <w:b/>
          <w:sz w:val="20"/>
          <w:szCs w:val="20"/>
          <w:lang w:val="es-AR"/>
        </w:rPr>
        <w:t>Social</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participaciones,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warrants,</w:t>
      </w:r>
      <w:r w:rsidR="001A28B3" w:rsidRPr="00EA7870">
        <w:rPr>
          <w:sz w:val="20"/>
          <w:szCs w:val="20"/>
          <w:lang w:val="es-AR"/>
        </w:rPr>
        <w:t xml:space="preserve"> </w:t>
      </w:r>
      <w:r w:rsidRPr="00EA7870">
        <w:rPr>
          <w:sz w:val="20"/>
          <w:szCs w:val="20"/>
          <w:lang w:val="es-AR"/>
        </w:rPr>
        <w:t>opciones,</w:t>
      </w:r>
      <w:r w:rsidR="001A28B3" w:rsidRPr="00EA7870">
        <w:rPr>
          <w:sz w:val="20"/>
          <w:szCs w:val="20"/>
          <w:lang w:val="es-AR"/>
        </w:rPr>
        <w:t xml:space="preserve"> </w:t>
      </w:r>
      <w:r w:rsidRPr="00EA7870">
        <w:rPr>
          <w:sz w:val="20"/>
          <w:szCs w:val="20"/>
          <w:lang w:val="es-AR"/>
        </w:rPr>
        <w:t>certificados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participación,</w:t>
      </w:r>
      <w:r w:rsidR="001A28B3" w:rsidRPr="00EA7870">
        <w:rPr>
          <w:sz w:val="20"/>
          <w:szCs w:val="20"/>
          <w:lang w:val="es-AR"/>
        </w:rPr>
        <w:t xml:space="preserve"> </w:t>
      </w:r>
      <w:r w:rsidRPr="00EA7870">
        <w:rPr>
          <w:sz w:val="20"/>
          <w:szCs w:val="20"/>
          <w:lang w:val="es-AR"/>
        </w:rPr>
        <w:t>participaciones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figuras</w:t>
      </w:r>
      <w:r w:rsidR="001A28B3" w:rsidRPr="00EA7870">
        <w:rPr>
          <w:sz w:val="20"/>
          <w:szCs w:val="20"/>
          <w:lang w:val="es-AR"/>
        </w:rPr>
        <w:t xml:space="preserve"> </w:t>
      </w:r>
      <w:r w:rsidRPr="00EA7870">
        <w:rPr>
          <w:sz w:val="20"/>
          <w:szCs w:val="20"/>
          <w:lang w:val="es-AR"/>
        </w:rPr>
        <w:t>equivalentes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designación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tengan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voto)</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preferidas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participaciones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limitada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personas</w:t>
      </w:r>
      <w:r w:rsidR="001A28B3" w:rsidRPr="00EA7870">
        <w:rPr>
          <w:sz w:val="20"/>
          <w:szCs w:val="20"/>
          <w:lang w:val="es-AR"/>
        </w:rPr>
        <w:t xml:space="preserve"> </w:t>
      </w:r>
      <w:r w:rsidRPr="00EA7870">
        <w:rPr>
          <w:sz w:val="20"/>
          <w:szCs w:val="20"/>
          <w:lang w:val="es-AR"/>
        </w:rPr>
        <w:t>(ya</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colectivas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sociedades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comandita)</w:t>
      </w:r>
      <w:r w:rsidR="001A28B3" w:rsidRPr="00EA7870">
        <w:rPr>
          <w:sz w:val="20"/>
          <w:szCs w:val="20"/>
          <w:lang w:val="es-AR"/>
        </w:rPr>
        <w:t xml:space="preserve"> </w:t>
      </w:r>
      <w:r w:rsidRPr="00EA7870">
        <w:rPr>
          <w:sz w:val="20"/>
          <w:szCs w:val="20"/>
          <w:lang w:val="es-AR"/>
        </w:rPr>
        <w:t>pero</w:t>
      </w:r>
      <w:r w:rsidR="001A28B3" w:rsidRPr="00EA7870">
        <w:rPr>
          <w:sz w:val="20"/>
          <w:szCs w:val="20"/>
          <w:lang w:val="es-AR"/>
        </w:rPr>
        <w:t xml:space="preserve"> </w:t>
      </w:r>
      <w:r w:rsidRPr="00EA7870">
        <w:rPr>
          <w:sz w:val="20"/>
          <w:szCs w:val="20"/>
          <w:lang w:val="es-AR"/>
        </w:rPr>
        <w:t>excluyendo</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deuda</w:t>
      </w:r>
      <w:r w:rsidR="001A28B3" w:rsidRPr="00EA7870">
        <w:rPr>
          <w:sz w:val="20"/>
          <w:szCs w:val="20"/>
          <w:lang w:val="es-AR"/>
        </w:rPr>
        <w:t xml:space="preserve"> </w:t>
      </w:r>
      <w:r w:rsidRPr="00EA7870">
        <w:rPr>
          <w:sz w:val="20"/>
          <w:szCs w:val="20"/>
          <w:lang w:val="es-AR"/>
        </w:rPr>
        <w:t>convertibles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canjeables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capital.</w:t>
      </w:r>
    </w:p>
    <w:p w14:paraId="008CA9D7" w14:textId="77777777" w:rsidR="00376725" w:rsidRPr="00EA7870" w:rsidRDefault="00376725" w:rsidP="00376725">
      <w:pPr>
        <w:tabs>
          <w:tab w:val="left" w:pos="0"/>
        </w:tabs>
        <w:ind w:firstLine="709"/>
        <w:jc w:val="both"/>
        <w:rPr>
          <w:sz w:val="20"/>
          <w:szCs w:val="20"/>
          <w:lang w:val="es-AR"/>
        </w:rPr>
      </w:pPr>
    </w:p>
    <w:p w14:paraId="2F5C5C6C"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Capitalización</w:t>
      </w:r>
      <w:r w:rsidR="001A28B3" w:rsidRPr="00EA7870">
        <w:rPr>
          <w:b/>
          <w:sz w:val="20"/>
          <w:szCs w:val="20"/>
          <w:lang w:val="es-AR"/>
        </w:rPr>
        <w:t xml:space="preserve"> </w:t>
      </w:r>
      <w:r w:rsidRPr="00EA7870">
        <w:rPr>
          <w:b/>
          <w:sz w:val="20"/>
          <w:szCs w:val="20"/>
          <w:lang w:val="es-AR"/>
        </w:rPr>
        <w:t>Consolidada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suma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Patrimonio</w:t>
      </w:r>
      <w:r w:rsidR="001A28B3" w:rsidRPr="00EA7870">
        <w:rPr>
          <w:sz w:val="20"/>
          <w:szCs w:val="20"/>
          <w:lang w:val="es-AR"/>
        </w:rPr>
        <w:t xml:space="preserve"> </w:t>
      </w:r>
      <w:r w:rsidRPr="00EA7870">
        <w:rPr>
          <w:sz w:val="20"/>
          <w:szCs w:val="20"/>
          <w:lang w:val="es-AR"/>
        </w:rPr>
        <w:t>Neto</w:t>
      </w:r>
      <w:r w:rsidR="001A28B3" w:rsidRPr="00EA7870">
        <w:rPr>
          <w:sz w:val="20"/>
          <w:szCs w:val="20"/>
          <w:lang w:val="es-AR"/>
        </w:rPr>
        <w:t xml:space="preserve"> </w:t>
      </w:r>
      <w:r w:rsidRPr="00EA7870">
        <w:rPr>
          <w:sz w:val="20"/>
          <w:szCs w:val="20"/>
          <w:lang w:val="es-AR"/>
        </w:rPr>
        <w:t>Consolidado.</w:t>
      </w:r>
    </w:p>
    <w:p w14:paraId="0552615F" w14:textId="77777777" w:rsidR="00376725" w:rsidRPr="00EA7870" w:rsidRDefault="00376725" w:rsidP="00376725">
      <w:pPr>
        <w:tabs>
          <w:tab w:val="left" w:pos="0"/>
          <w:tab w:val="right" w:leader="dot" w:pos="8505"/>
        </w:tabs>
        <w:ind w:firstLine="709"/>
        <w:jc w:val="both"/>
        <w:rPr>
          <w:sz w:val="20"/>
          <w:szCs w:val="20"/>
          <w:lang w:val="es-AR"/>
        </w:rPr>
      </w:pPr>
    </w:p>
    <w:p w14:paraId="446E3917"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EBITDA</w:t>
      </w:r>
      <w:r w:rsidR="001A28B3" w:rsidRPr="00EA7870">
        <w:rPr>
          <w:b/>
          <w:sz w:val="20"/>
          <w:szCs w:val="20"/>
          <w:lang w:val="es-AR"/>
        </w:rPr>
        <w:t xml:space="preserve"> </w:t>
      </w:r>
      <w:r w:rsidRPr="00EA7870">
        <w:rPr>
          <w:b/>
          <w:sz w:val="20"/>
          <w:szCs w:val="20"/>
          <w:lang w:val="es-AR"/>
        </w:rPr>
        <w:t>Consolidado</w:t>
      </w:r>
      <w:r w:rsidR="001A28B3" w:rsidRPr="00EA7870">
        <w:rPr>
          <w:b/>
          <w:sz w:val="20"/>
          <w:szCs w:val="20"/>
          <w:lang w:val="es-AR"/>
        </w:rPr>
        <w:t xml:space="preserve"> </w:t>
      </w:r>
      <w:r w:rsidRPr="00EA7870">
        <w:rPr>
          <w:b/>
          <w:sz w:val="20"/>
          <w:szCs w:val="20"/>
          <w:lang w:val="es-AR"/>
        </w:rPr>
        <w:t>Ajustado</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consolidada,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resultado</w:t>
      </w:r>
      <w:r w:rsidR="001A28B3" w:rsidRPr="00EA7870">
        <w:rPr>
          <w:sz w:val="20"/>
          <w:szCs w:val="20"/>
          <w:lang w:val="es-AR"/>
        </w:rPr>
        <w:t xml:space="preserve"> </w:t>
      </w:r>
      <w:r w:rsidRPr="00EA7870">
        <w:rPr>
          <w:sz w:val="20"/>
          <w:szCs w:val="20"/>
          <w:lang w:val="es-AR"/>
        </w:rPr>
        <w:t>neto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suma/substracción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siguientes</w:t>
      </w:r>
      <w:r w:rsidR="001A28B3" w:rsidRPr="00EA7870">
        <w:rPr>
          <w:sz w:val="20"/>
          <w:szCs w:val="20"/>
          <w:lang w:val="es-AR"/>
        </w:rPr>
        <w:t xml:space="preserve"> </w:t>
      </w:r>
      <w:r w:rsidRPr="00EA7870">
        <w:rPr>
          <w:sz w:val="20"/>
          <w:szCs w:val="20"/>
          <w:lang w:val="es-AR"/>
        </w:rPr>
        <w:t>rubros:</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costos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depreciación,</w:t>
      </w:r>
      <w:r w:rsidR="001A28B3" w:rsidRPr="00EA7870">
        <w:rPr>
          <w:sz w:val="20"/>
          <w:szCs w:val="20"/>
          <w:lang w:val="es-AR"/>
        </w:rPr>
        <w:t xml:space="preserve"> </w:t>
      </w:r>
      <w:r w:rsidRPr="00EA7870">
        <w:rPr>
          <w:sz w:val="20"/>
          <w:szCs w:val="20"/>
          <w:lang w:val="es-AR"/>
        </w:rPr>
        <w:t>agotamiento</w:t>
      </w:r>
      <w:r w:rsidR="001A28B3" w:rsidRPr="00EA7870">
        <w:rPr>
          <w:sz w:val="20"/>
          <w:szCs w:val="20"/>
          <w:lang w:val="es-AR"/>
        </w:rPr>
        <w:t xml:space="preserve"> </w:t>
      </w:r>
      <w:r w:rsidR="008F4C07" w:rsidRPr="00EA7870">
        <w:rPr>
          <w:sz w:val="20"/>
          <w:szCs w:val="20"/>
          <w:lang w:val="es-AR"/>
        </w:rPr>
        <w:t>y</w:t>
      </w:r>
      <w:r w:rsidR="001A28B3" w:rsidRPr="00EA7870">
        <w:rPr>
          <w:sz w:val="20"/>
          <w:szCs w:val="20"/>
          <w:lang w:val="es-AR"/>
        </w:rPr>
        <w:t xml:space="preserve"> </w:t>
      </w:r>
      <w:r w:rsidRPr="00EA7870">
        <w:rPr>
          <w:sz w:val="20"/>
          <w:szCs w:val="20"/>
          <w:lang w:val="es-AR"/>
        </w:rPr>
        <w:t>amortización;</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deterioro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largo</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(iii)</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exploración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hidrocarburos</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pozos</w:t>
      </w:r>
      <w:r w:rsidR="001A28B3" w:rsidRPr="00EA7870">
        <w:rPr>
          <w:sz w:val="20"/>
          <w:szCs w:val="20"/>
          <w:lang w:val="es-AR"/>
        </w:rPr>
        <w:t xml:space="preserve"> </w:t>
      </w:r>
      <w:r w:rsidRPr="00EA7870">
        <w:rPr>
          <w:sz w:val="20"/>
          <w:szCs w:val="20"/>
          <w:lang w:val="es-AR"/>
        </w:rPr>
        <w:t>exploratorios</w:t>
      </w:r>
      <w:r w:rsidR="001A28B3" w:rsidRPr="00EA7870">
        <w:rPr>
          <w:sz w:val="20"/>
          <w:szCs w:val="20"/>
          <w:lang w:val="es-AR"/>
        </w:rPr>
        <w:t xml:space="preserve"> </w:t>
      </w:r>
      <w:r w:rsidRPr="00EA7870">
        <w:rPr>
          <w:sz w:val="20"/>
          <w:szCs w:val="20"/>
          <w:lang w:val="es-AR"/>
        </w:rPr>
        <w:t>secos);</w:t>
      </w:r>
      <w:r w:rsidR="001A28B3" w:rsidRPr="00EA7870">
        <w:rPr>
          <w:sz w:val="20"/>
          <w:szCs w:val="20"/>
          <w:lang w:val="es-AR"/>
        </w:rPr>
        <w:t xml:space="preserve"> </w:t>
      </w:r>
      <w:r w:rsidRPr="00EA7870">
        <w:rPr>
          <w:sz w:val="20"/>
          <w:szCs w:val="20"/>
          <w:lang w:val="es-AR"/>
        </w:rPr>
        <w:t>(iv)</w:t>
      </w:r>
      <w:r w:rsidR="001A28B3" w:rsidRPr="00EA7870">
        <w:rPr>
          <w:sz w:val="20"/>
          <w:szCs w:val="20"/>
          <w:lang w:val="es-AR"/>
        </w:rPr>
        <w:t xml:space="preserve"> </w:t>
      </w:r>
      <w:r w:rsidRPr="00EA7870">
        <w:rPr>
          <w:sz w:val="20"/>
          <w:szCs w:val="20"/>
          <w:lang w:val="es-AR"/>
        </w:rPr>
        <w:t>impuesto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ganancias;</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cargo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(vi)</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resultados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Pr="00EA7870">
        <w:rPr>
          <w:sz w:val="20"/>
          <w:szCs w:val="20"/>
          <w:lang w:val="es-AR"/>
        </w:rPr>
        <w:t>(vii)</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neto;</w:t>
      </w:r>
      <w:r w:rsidR="001A28B3" w:rsidRPr="00EA7870">
        <w:rPr>
          <w:sz w:val="20"/>
          <w:szCs w:val="20"/>
          <w:lang w:val="es-AR"/>
        </w:rPr>
        <w:t xml:space="preserve"> </w:t>
      </w:r>
      <w:r w:rsidRPr="00EA7870">
        <w:rPr>
          <w:sz w:val="20"/>
          <w:szCs w:val="20"/>
          <w:lang w:val="es-AR"/>
        </w:rPr>
        <w:t>(viii)</w:t>
      </w:r>
      <w:r w:rsidR="001A28B3" w:rsidRPr="00EA7870">
        <w:rPr>
          <w:sz w:val="20"/>
          <w:szCs w:val="20"/>
          <w:lang w:val="es-AR"/>
        </w:rPr>
        <w:t xml:space="preserve"> </w:t>
      </w:r>
      <w:r w:rsidRPr="00EA7870">
        <w:rPr>
          <w:sz w:val="20"/>
          <w:szCs w:val="20"/>
          <w:lang w:val="es-AR"/>
        </w:rPr>
        <w:t>ingresos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(ix)</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ingresos,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cuatro</w:t>
      </w:r>
      <w:r w:rsidR="001A28B3" w:rsidRPr="00EA7870">
        <w:rPr>
          <w:sz w:val="20"/>
          <w:szCs w:val="20"/>
          <w:lang w:val="es-AR"/>
        </w:rPr>
        <w:t xml:space="preserve"> </w:t>
      </w:r>
      <w:r w:rsidRPr="00EA7870">
        <w:rPr>
          <w:sz w:val="20"/>
          <w:szCs w:val="20"/>
          <w:lang w:val="es-AR"/>
        </w:rPr>
        <w:t>trimestres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finalizan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trimestre</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encuentran</w:t>
      </w:r>
      <w:r w:rsidR="001A28B3" w:rsidRPr="00EA7870">
        <w:rPr>
          <w:sz w:val="20"/>
          <w:szCs w:val="20"/>
          <w:lang w:val="es-AR"/>
        </w:rPr>
        <w:t xml:space="preserve"> </w:t>
      </w:r>
      <w:r w:rsidRPr="00EA7870">
        <w:rPr>
          <w:sz w:val="20"/>
          <w:szCs w:val="20"/>
          <w:lang w:val="es-AR"/>
        </w:rPr>
        <w:t>disponibles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003B6E16" w:rsidRPr="00EA7870">
        <w:rPr>
          <w:sz w:val="20"/>
          <w:szCs w:val="20"/>
          <w:lang w:val="es-AR"/>
        </w:rPr>
        <w:t>intermedios</w:t>
      </w:r>
      <w:r w:rsidRPr="00EA7870">
        <w:rPr>
          <w:sz w:val="20"/>
          <w:szCs w:val="20"/>
          <w:lang w:val="es-AR"/>
        </w:rPr>
        <w:t>,</w:t>
      </w:r>
      <w:r w:rsidR="001A28B3" w:rsidRPr="00EA7870">
        <w:rPr>
          <w:sz w:val="20"/>
          <w:szCs w:val="20"/>
          <w:lang w:val="es-AR"/>
        </w:rPr>
        <w:t xml:space="preserve"> </w:t>
      </w:r>
      <w:r w:rsidRPr="00EA7870">
        <w:rPr>
          <w:sz w:val="20"/>
          <w:szCs w:val="20"/>
          <w:lang w:val="es-AR"/>
        </w:rPr>
        <w:t>determinados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adopción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p>
    <w:p w14:paraId="5390F2B2" w14:textId="77777777" w:rsidR="00376725" w:rsidRPr="00EA7870" w:rsidRDefault="00376725" w:rsidP="00376725">
      <w:pPr>
        <w:tabs>
          <w:tab w:val="left" w:pos="0"/>
          <w:tab w:val="right" w:leader="dot" w:pos="8505"/>
        </w:tabs>
        <w:ind w:firstLine="709"/>
        <w:jc w:val="both"/>
        <w:rPr>
          <w:sz w:val="20"/>
          <w:szCs w:val="20"/>
          <w:lang w:val="es-AR"/>
        </w:rPr>
      </w:pPr>
    </w:p>
    <w:p w14:paraId="7ABB75D2" w14:textId="00681DDD" w:rsidR="00376725" w:rsidRPr="00EA7870" w:rsidRDefault="00376725" w:rsidP="00E13754">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Endeudamiento</w:t>
      </w:r>
      <w:r w:rsidR="001A28B3" w:rsidRPr="00EA7870">
        <w:rPr>
          <w:b/>
          <w:sz w:val="20"/>
          <w:szCs w:val="20"/>
          <w:lang w:val="es-AR"/>
        </w:rPr>
        <w:t xml:space="preserve"> </w:t>
      </w:r>
      <w:r w:rsidRPr="00EA7870">
        <w:rPr>
          <w:b/>
          <w:sz w:val="20"/>
          <w:szCs w:val="20"/>
          <w:lang w:val="es-AR"/>
        </w:rPr>
        <w:t>Consolidado</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determinado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Pr>
          <w:sz w:val="20"/>
          <w:szCs w:val="20"/>
          <w:lang w:val="es-AR"/>
        </w:rPr>
        <w:t>excluirá</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suma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7F72ED" w:rsidRPr="00EA7870">
        <w:rPr>
          <w:sz w:val="20"/>
          <w:szCs w:val="20"/>
          <w:lang w:val="es-AR"/>
        </w:rPr>
        <w:t>Ps.21.788</w:t>
      </w:r>
      <w:r w:rsidR="001A28B3" w:rsidRPr="00EA7870">
        <w:rPr>
          <w:sz w:val="20"/>
          <w:szCs w:val="20"/>
          <w:lang w:val="es-AR"/>
        </w:rPr>
        <w:t xml:space="preserve"> </w:t>
      </w:r>
      <w:r w:rsidR="007F72ED" w:rsidRPr="00EA7870">
        <w:rPr>
          <w:sz w:val="20"/>
          <w:szCs w:val="20"/>
          <w:lang w:val="es-AR"/>
        </w:rPr>
        <w:t>millones</w:t>
      </w:r>
      <w:r w:rsidR="001A28B3" w:rsidRPr="00EA7870">
        <w:rPr>
          <w:sz w:val="20"/>
          <w:szCs w:val="20"/>
          <w:lang w:val="es-AR"/>
        </w:rPr>
        <w:t xml:space="preserve"> </w:t>
      </w:r>
      <w:r w:rsidRPr="00EA7870">
        <w:rPr>
          <w:sz w:val="20"/>
          <w:szCs w:val="20"/>
          <w:lang w:val="es-AR"/>
        </w:rPr>
        <w:t>pagaderos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Afiliadas</w:t>
      </w:r>
      <w:r w:rsidR="001A28B3" w:rsidRPr="00EA7870">
        <w:rPr>
          <w:sz w:val="20"/>
          <w:szCs w:val="20"/>
          <w:lang w:val="es-AR"/>
        </w:rPr>
        <w:t xml:space="preserve"> </w:t>
      </w:r>
      <w:r w:rsidRPr="00EA7870">
        <w:rPr>
          <w:sz w:val="20"/>
          <w:szCs w:val="20"/>
          <w:lang w:val="es-AR"/>
        </w:rPr>
        <w:t>pendiente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00FC2FEC" w:rsidRPr="00EA7870">
        <w:rPr>
          <w:sz w:val="20"/>
          <w:szCs w:val="20"/>
          <w:lang w:val="es-AR"/>
        </w:rPr>
        <w:t>y</w:t>
      </w:r>
      <w:r w:rsidR="001A28B3" w:rsidRPr="00EA7870">
        <w:rPr>
          <w:sz w:val="20"/>
          <w:szCs w:val="20"/>
          <w:lang w:val="es-AR"/>
        </w:rPr>
        <w:t xml:space="preserve"> </w:t>
      </w:r>
      <w:r w:rsidR="00FC2FEC" w:rsidRPr="00EA7870">
        <w:rPr>
          <w:sz w:val="20"/>
          <w:szCs w:val="20"/>
          <w:lang w:val="es-AR"/>
        </w:rPr>
        <w:t>Liquidación</w:t>
      </w:r>
      <w:r w:rsidRPr="00EA7870">
        <w:rPr>
          <w:sz w:val="20"/>
          <w:szCs w:val="20"/>
          <w:lang w:val="es-AR"/>
        </w:rPr>
        <w:t>,</w:t>
      </w:r>
      <w:r w:rsidR="001A28B3" w:rsidRPr="00EA7870">
        <w:rPr>
          <w:sz w:val="20"/>
          <w:szCs w:val="20"/>
          <w:lang w:val="es-AR"/>
        </w:rPr>
        <w:t xml:space="preserve"> </w:t>
      </w:r>
      <w:r w:rsidR="0014379F" w:rsidRPr="00EA7870">
        <w:rPr>
          <w:sz w:val="20"/>
          <w:szCs w:val="20"/>
          <w:lang w:val="es-AR"/>
        </w:rPr>
        <w:t>cuyo</w:t>
      </w:r>
      <w:r w:rsidR="001A28B3" w:rsidRPr="00EA7870">
        <w:rPr>
          <w:sz w:val="20"/>
          <w:szCs w:val="20"/>
          <w:lang w:val="es-AR"/>
        </w:rPr>
        <w:t xml:space="preserve"> </w:t>
      </w:r>
      <w:r w:rsidR="0014379F" w:rsidRPr="00EA7870">
        <w:rPr>
          <w:sz w:val="20"/>
          <w:szCs w:val="20"/>
          <w:lang w:val="es-AR"/>
        </w:rPr>
        <w:t>pago</w:t>
      </w:r>
      <w:r w:rsidR="001A28B3" w:rsidRPr="00EA7870">
        <w:rPr>
          <w:sz w:val="20"/>
          <w:szCs w:val="20"/>
          <w:lang w:val="es-AR"/>
        </w:rPr>
        <w:t xml:space="preserve"> </w:t>
      </w:r>
      <w:r w:rsidRPr="00EA7870">
        <w:rPr>
          <w:sz w:val="20"/>
          <w:szCs w:val="20"/>
          <w:lang w:val="es-AR"/>
        </w:rPr>
        <w:t>está</w:t>
      </w:r>
      <w:r w:rsidR="001A28B3" w:rsidRPr="00EA7870">
        <w:rPr>
          <w:sz w:val="20"/>
          <w:szCs w:val="20"/>
          <w:lang w:val="es-AR"/>
        </w:rPr>
        <w:t xml:space="preserve"> </w:t>
      </w:r>
      <w:r w:rsidRPr="00EA7870">
        <w:rPr>
          <w:sz w:val="20"/>
          <w:szCs w:val="20"/>
          <w:lang w:val="es-AR"/>
        </w:rPr>
        <w:t>contractualmente</w:t>
      </w:r>
      <w:r w:rsidR="001A28B3" w:rsidRPr="00EA7870">
        <w:rPr>
          <w:sz w:val="20"/>
          <w:szCs w:val="20"/>
          <w:lang w:val="es-AR"/>
        </w:rPr>
        <w:t xml:space="preserve"> </w:t>
      </w:r>
      <w:r w:rsidRPr="00EA7870">
        <w:rPr>
          <w:sz w:val="20"/>
          <w:szCs w:val="20"/>
          <w:lang w:val="es-AR"/>
        </w:rPr>
        <w:t>subordinad</w:t>
      </w:r>
      <w:r w:rsidR="0014379F"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concurso</w:t>
      </w:r>
      <w:r w:rsidR="001A28B3" w:rsidRPr="00EA7870">
        <w:rPr>
          <w:sz w:val="20"/>
          <w:szCs w:val="20"/>
          <w:lang w:val="es-AR"/>
        </w:rPr>
        <w:t xml:space="preserve"> </w:t>
      </w:r>
      <w:r w:rsidRPr="00EA7870">
        <w:rPr>
          <w:sz w:val="20"/>
          <w:szCs w:val="20"/>
          <w:lang w:val="es-AR"/>
        </w:rPr>
        <w:t>preventivo,</w:t>
      </w:r>
      <w:r w:rsidR="001A28B3" w:rsidRPr="00EA7870">
        <w:rPr>
          <w:sz w:val="20"/>
          <w:szCs w:val="20"/>
          <w:lang w:val="es-AR"/>
        </w:rPr>
        <w:t xml:space="preserve"> </w:t>
      </w:r>
      <w:r w:rsidRPr="00EA7870">
        <w:rPr>
          <w:sz w:val="20"/>
          <w:szCs w:val="20"/>
          <w:lang w:val="es-AR"/>
        </w:rPr>
        <w:t>quiebra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liquidación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D2CF2" w:rsidRPr="00EA7870">
        <w:rPr>
          <w:sz w:val="20"/>
          <w:szCs w:val="20"/>
          <w:lang w:val="es-AR"/>
        </w:rPr>
        <w:t>A</w:t>
      </w:r>
      <w:r w:rsidRPr="00EA7870">
        <w:rPr>
          <w:sz w:val="20"/>
          <w:szCs w:val="20"/>
          <w:lang w:val="es-AR"/>
        </w:rPr>
        <w:t>rtículos</w:t>
      </w:r>
      <w:r w:rsidR="001A28B3" w:rsidRPr="00EA7870">
        <w:rPr>
          <w:sz w:val="20"/>
          <w:szCs w:val="20"/>
          <w:lang w:val="es-AR"/>
        </w:rPr>
        <w:t xml:space="preserve"> </w:t>
      </w:r>
      <w:r w:rsidRPr="00EA7870">
        <w:rPr>
          <w:sz w:val="20"/>
          <w:szCs w:val="20"/>
          <w:lang w:val="es-AR"/>
        </w:rPr>
        <w:t>41</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250</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Concursos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Quiebras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000F3D99" w:rsidRPr="00EA7870">
        <w:rPr>
          <w:color w:val="000000"/>
          <w:sz w:val="20"/>
          <w:szCs w:val="20"/>
          <w:lang w:val="es-AR"/>
        </w:rPr>
        <w:t>y</w:t>
      </w:r>
      <w:r w:rsidR="001A28B3" w:rsidRPr="00EA7870">
        <w:rPr>
          <w:color w:val="000000"/>
          <w:sz w:val="20"/>
          <w:szCs w:val="20"/>
          <w:lang w:val="es-AR"/>
        </w:rPr>
        <w:t xml:space="preserve"> </w:t>
      </w:r>
      <w:r w:rsidR="000F3D99" w:rsidRPr="00EA7870">
        <w:rPr>
          <w:color w:val="000000"/>
          <w:sz w:val="20"/>
          <w:szCs w:val="20"/>
          <w:lang w:val="es-AR"/>
        </w:rPr>
        <w:t>tiene</w:t>
      </w:r>
      <w:r w:rsidR="001A28B3" w:rsidRPr="00EA7870">
        <w:rPr>
          <w:color w:val="000000"/>
          <w:sz w:val="20"/>
          <w:szCs w:val="20"/>
          <w:lang w:val="es-AR"/>
        </w:rPr>
        <w:t xml:space="preserve"> </w:t>
      </w:r>
      <w:r w:rsidR="000F3D99" w:rsidRPr="00EA7870">
        <w:rPr>
          <w:color w:val="000000"/>
          <w:sz w:val="20"/>
          <w:szCs w:val="20"/>
          <w:lang w:val="es-AR"/>
        </w:rPr>
        <w:t>un</w:t>
      </w:r>
      <w:r w:rsidR="001A28B3" w:rsidRPr="00EA7870">
        <w:rPr>
          <w:color w:val="000000"/>
          <w:sz w:val="20"/>
          <w:szCs w:val="20"/>
          <w:lang w:val="es-AR"/>
        </w:rPr>
        <w:t xml:space="preserve"> </w:t>
      </w:r>
      <w:r w:rsidR="000F3D99" w:rsidRPr="00EA7870">
        <w:rPr>
          <w:color w:val="000000"/>
          <w:sz w:val="20"/>
          <w:szCs w:val="20"/>
          <w:lang w:val="es-AR"/>
        </w:rPr>
        <w:t>vencimiento</w:t>
      </w:r>
      <w:r w:rsidR="001A28B3" w:rsidRPr="00EA7870">
        <w:rPr>
          <w:color w:val="000000"/>
          <w:sz w:val="20"/>
          <w:szCs w:val="20"/>
          <w:lang w:val="es-AR"/>
        </w:rPr>
        <w:t xml:space="preserve"> </w:t>
      </w:r>
      <w:r w:rsidR="000F3D99" w:rsidRPr="00EA7870">
        <w:rPr>
          <w:color w:val="000000"/>
          <w:sz w:val="20"/>
          <w:szCs w:val="20"/>
          <w:lang w:val="es-AR"/>
        </w:rPr>
        <w:t>mayor</w:t>
      </w:r>
      <w:r w:rsidR="001A28B3" w:rsidRPr="00EA7870">
        <w:rPr>
          <w:color w:val="000000"/>
          <w:sz w:val="20"/>
          <w:szCs w:val="20"/>
          <w:lang w:val="es-AR"/>
        </w:rPr>
        <w:t xml:space="preserve"> </w:t>
      </w:r>
      <w:r w:rsidR="000F3D99" w:rsidRPr="00EA7870">
        <w:rPr>
          <w:color w:val="000000"/>
          <w:sz w:val="20"/>
          <w:szCs w:val="20"/>
          <w:lang w:val="es-AR"/>
        </w:rPr>
        <w:t>al</w:t>
      </w:r>
      <w:r w:rsidR="001A28B3" w:rsidRPr="00EA7870">
        <w:rPr>
          <w:color w:val="000000"/>
          <w:sz w:val="20"/>
          <w:szCs w:val="20"/>
          <w:lang w:val="es-AR"/>
        </w:rPr>
        <w:t xml:space="preserve"> </w:t>
      </w:r>
      <w:r w:rsidR="000F3D99" w:rsidRPr="00EA7870">
        <w:rPr>
          <w:color w:val="000000"/>
          <w:sz w:val="20"/>
          <w:szCs w:val="20"/>
          <w:lang w:val="es-AR"/>
        </w:rPr>
        <w:t>que</w:t>
      </w:r>
      <w:r w:rsidR="001A28B3" w:rsidRPr="00EA7870">
        <w:rPr>
          <w:color w:val="000000"/>
          <w:sz w:val="20"/>
          <w:szCs w:val="20"/>
          <w:lang w:val="es-AR"/>
        </w:rPr>
        <w:t xml:space="preserve"> </w:t>
      </w:r>
      <w:r w:rsidR="000F3D99" w:rsidRPr="00EA7870">
        <w:rPr>
          <w:color w:val="000000"/>
          <w:sz w:val="20"/>
          <w:szCs w:val="20"/>
          <w:lang w:val="es-AR"/>
        </w:rPr>
        <w:t>se</w:t>
      </w:r>
      <w:r w:rsidR="001A28B3" w:rsidRPr="00EA7870">
        <w:rPr>
          <w:color w:val="000000"/>
          <w:sz w:val="20"/>
          <w:szCs w:val="20"/>
          <w:lang w:val="es-AR"/>
        </w:rPr>
        <w:t xml:space="preserve"> </w:t>
      </w:r>
      <w:r w:rsidR="000F3D99" w:rsidRPr="00EA7870">
        <w:rPr>
          <w:color w:val="000000"/>
          <w:sz w:val="20"/>
          <w:szCs w:val="20"/>
          <w:lang w:val="es-AR"/>
        </w:rPr>
        <w:t>estipule</w:t>
      </w:r>
      <w:r w:rsidR="001A28B3" w:rsidRPr="00EA7870">
        <w:rPr>
          <w:color w:val="000000"/>
          <w:sz w:val="20"/>
          <w:szCs w:val="20"/>
          <w:lang w:val="es-AR"/>
        </w:rPr>
        <w:t xml:space="preserve"> </w:t>
      </w:r>
      <w:r w:rsidR="000F3D99" w:rsidRPr="00EA7870">
        <w:rPr>
          <w:color w:val="000000"/>
          <w:sz w:val="20"/>
          <w:szCs w:val="20"/>
          <w:lang w:val="es-AR"/>
        </w:rPr>
        <w:t>para</w:t>
      </w:r>
      <w:r w:rsidR="001A28B3" w:rsidRPr="00EA7870">
        <w:rPr>
          <w:color w:val="000000"/>
          <w:sz w:val="20"/>
          <w:szCs w:val="20"/>
          <w:lang w:val="es-AR"/>
        </w:rPr>
        <w:t xml:space="preserve"> </w:t>
      </w:r>
      <w:r w:rsidR="000F3D99" w:rsidRPr="00EA7870">
        <w:rPr>
          <w:color w:val="000000"/>
          <w:sz w:val="20"/>
          <w:szCs w:val="20"/>
          <w:lang w:val="es-AR"/>
        </w:rPr>
        <w:t>las</w:t>
      </w:r>
      <w:r w:rsidR="001A28B3" w:rsidRPr="00EA7870">
        <w:rPr>
          <w:color w:val="000000"/>
          <w:sz w:val="20"/>
          <w:szCs w:val="20"/>
          <w:lang w:val="es-AR"/>
        </w:rPr>
        <w:t xml:space="preserve"> </w:t>
      </w:r>
      <w:r w:rsidR="000F3D99" w:rsidRPr="00EA7870">
        <w:rPr>
          <w:color w:val="000000"/>
          <w:sz w:val="20"/>
          <w:szCs w:val="20"/>
          <w:lang w:val="es-AR"/>
        </w:rPr>
        <w:t>Obligaciones</w:t>
      </w:r>
      <w:r w:rsidR="001A28B3" w:rsidRPr="00EA7870">
        <w:rPr>
          <w:color w:val="000000"/>
          <w:sz w:val="20"/>
          <w:szCs w:val="20"/>
          <w:lang w:val="es-AR"/>
        </w:rPr>
        <w:t xml:space="preserve"> </w:t>
      </w:r>
      <w:r w:rsidR="000F3D99" w:rsidRPr="00EA7870">
        <w:rPr>
          <w:color w:val="000000"/>
          <w:sz w:val="20"/>
          <w:szCs w:val="20"/>
          <w:lang w:val="es-AR"/>
        </w:rPr>
        <w:t>Negociables.</w:t>
      </w:r>
    </w:p>
    <w:p w14:paraId="04A3ED5B" w14:textId="77777777" w:rsidR="00376725" w:rsidRPr="00EA7870" w:rsidRDefault="00376725" w:rsidP="00376725">
      <w:pPr>
        <w:tabs>
          <w:tab w:val="left" w:pos="0"/>
          <w:tab w:val="right" w:leader="dot" w:pos="8505"/>
        </w:tabs>
        <w:ind w:firstLine="709"/>
        <w:jc w:val="both"/>
        <w:rPr>
          <w:sz w:val="20"/>
          <w:szCs w:val="20"/>
        </w:rPr>
      </w:pPr>
    </w:p>
    <w:p w14:paraId="1FD57D79"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Cargo</w:t>
      </w:r>
      <w:r w:rsidR="001A28B3" w:rsidRPr="00EA7870">
        <w:rPr>
          <w:b/>
          <w:sz w:val="20"/>
          <w:szCs w:val="20"/>
          <w:lang w:val="es-AR"/>
        </w:rPr>
        <w:t xml:space="preserve"> </w:t>
      </w:r>
      <w:r w:rsidRPr="00EA7870">
        <w:rPr>
          <w:b/>
          <w:sz w:val="20"/>
          <w:szCs w:val="20"/>
          <w:lang w:val="es-AR"/>
        </w:rPr>
        <w:t>por</w:t>
      </w:r>
      <w:r w:rsidR="001A28B3" w:rsidRPr="00EA7870">
        <w:rPr>
          <w:b/>
          <w:sz w:val="20"/>
          <w:szCs w:val="20"/>
          <w:lang w:val="es-AR"/>
        </w:rPr>
        <w:t xml:space="preserve"> </w:t>
      </w:r>
      <w:r w:rsidRPr="00EA7870">
        <w:rPr>
          <w:b/>
          <w:sz w:val="20"/>
          <w:szCs w:val="20"/>
          <w:lang w:val="es-AR"/>
        </w:rPr>
        <w:t>Intereses</w:t>
      </w:r>
      <w:r w:rsidR="001A28B3" w:rsidRPr="00EA7870">
        <w:rPr>
          <w:b/>
          <w:sz w:val="20"/>
          <w:szCs w:val="20"/>
          <w:lang w:val="es-AR"/>
        </w:rPr>
        <w:t xml:space="preserve"> </w:t>
      </w:r>
      <w:r w:rsidRPr="00EA7870">
        <w:rPr>
          <w:b/>
          <w:sz w:val="20"/>
          <w:szCs w:val="20"/>
          <w:lang w:val="es-AR"/>
        </w:rPr>
        <w:t>Consolidado</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efectivo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imputados</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capitalizados</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neto</w:t>
      </w:r>
      <w:r w:rsidR="001A28B3" w:rsidRPr="00EA7870">
        <w:rPr>
          <w:sz w:val="20"/>
          <w:szCs w:val="20"/>
          <w:lang w:val="es-AR"/>
        </w:rPr>
        <w:t xml:space="preserve"> </w:t>
      </w:r>
      <w:r w:rsidRPr="00EA7870">
        <w:rPr>
          <w:sz w:val="20"/>
          <w:szCs w:val="20"/>
          <w:lang w:val="es-AR"/>
        </w:rPr>
        <w:t>atribuible</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Cobertura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tasa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amortización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costos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descuento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deuda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deuda;</w:t>
      </w:r>
      <w:r w:rsidR="001A28B3" w:rsidRPr="00EA7870">
        <w:rPr>
          <w:sz w:val="20"/>
          <w:szCs w:val="20"/>
          <w:lang w:val="es-AR"/>
        </w:rPr>
        <w:t xml:space="preserve"> </w:t>
      </w:r>
      <w:r w:rsidRPr="00EA7870">
        <w:rPr>
          <w:sz w:val="20"/>
          <w:szCs w:val="20"/>
          <w:lang w:val="es-AR"/>
        </w:rPr>
        <w:t>(iii)</w:t>
      </w:r>
      <w:r w:rsidR="001A28B3" w:rsidRPr="00EA7870">
        <w:rPr>
          <w:sz w:val="20"/>
          <w:szCs w:val="20"/>
          <w:lang w:val="es-AR"/>
        </w:rPr>
        <w:t xml:space="preserve"> </w:t>
      </w:r>
      <w:r w:rsidRPr="00EA7870">
        <w:rPr>
          <w:sz w:val="20"/>
          <w:szCs w:val="20"/>
          <w:lang w:val="es-AR"/>
        </w:rPr>
        <w:t>comisiones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cargos</w:t>
      </w:r>
      <w:r w:rsidR="001A28B3" w:rsidRPr="00EA7870">
        <w:rPr>
          <w:sz w:val="20"/>
          <w:szCs w:val="20"/>
          <w:lang w:val="es-AR"/>
        </w:rPr>
        <w:t xml:space="preserve"> </w:t>
      </w:r>
      <w:r w:rsidRPr="00EA7870">
        <w:rPr>
          <w:sz w:val="20"/>
          <w:szCs w:val="20"/>
          <w:lang w:val="es-AR"/>
        </w:rPr>
        <w:t>adeudados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cartas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crédito,</w:t>
      </w:r>
      <w:r w:rsidR="001A28B3" w:rsidRPr="00EA7870">
        <w:rPr>
          <w:sz w:val="20"/>
          <w:szCs w:val="20"/>
          <w:lang w:val="es-AR"/>
        </w:rPr>
        <w:t xml:space="preserve"> </w:t>
      </w:r>
      <w:r w:rsidRPr="00EA7870">
        <w:rPr>
          <w:sz w:val="20"/>
          <w:szCs w:val="20"/>
          <w:lang w:val="es-AR"/>
        </w:rPr>
        <w:t>aceptaciones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(iv)</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componente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arrendamiento</w:t>
      </w:r>
      <w:r w:rsidR="001A28B3" w:rsidRPr="00EA7870">
        <w:rPr>
          <w:sz w:val="20"/>
          <w:szCs w:val="20"/>
          <w:lang w:val="es-AR"/>
        </w:rPr>
        <w:t xml:space="preserve"> </w:t>
      </w:r>
      <w:r w:rsidRPr="00EA7870">
        <w:rPr>
          <w:sz w:val="20"/>
          <w:szCs w:val="20"/>
          <w:lang w:val="es-AR"/>
        </w:rPr>
        <w:t>capitalizadas;</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dividendos</w:t>
      </w:r>
      <w:r w:rsidR="001A28B3" w:rsidRPr="00EA7870">
        <w:rPr>
          <w:sz w:val="20"/>
          <w:szCs w:val="20"/>
          <w:lang w:val="es-AR"/>
        </w:rPr>
        <w:t xml:space="preserve"> </w:t>
      </w:r>
      <w:r w:rsidRPr="00EA7870">
        <w:rPr>
          <w:sz w:val="20"/>
          <w:szCs w:val="20"/>
          <w:lang w:val="es-AR"/>
        </w:rPr>
        <w:t>pagados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devengados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Descalificadas</w:t>
      </w:r>
      <w:r w:rsidR="001A28B3" w:rsidRPr="00EA7870">
        <w:rPr>
          <w:sz w:val="20"/>
          <w:szCs w:val="20"/>
          <w:lang w:val="es-AR"/>
        </w:rPr>
        <w:t xml:space="preserve"> </w:t>
      </w:r>
      <w:r w:rsidRPr="00EA7870">
        <w:rPr>
          <w:sz w:val="20"/>
          <w:szCs w:val="20"/>
          <w:lang w:val="es-AR"/>
        </w:rPr>
        <w:t>multiplicados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fracción,</w:t>
      </w:r>
      <w:r w:rsidR="001A28B3" w:rsidRPr="00EA7870">
        <w:rPr>
          <w:sz w:val="20"/>
          <w:szCs w:val="20"/>
          <w:lang w:val="es-AR"/>
        </w:rPr>
        <w:t xml:space="preserve"> </w:t>
      </w:r>
      <w:r w:rsidRPr="00EA7870">
        <w:rPr>
          <w:sz w:val="20"/>
          <w:szCs w:val="20"/>
          <w:lang w:val="es-AR"/>
        </w:rPr>
        <w:t>cuyo</w:t>
      </w:r>
      <w:r w:rsidR="001A28B3" w:rsidRPr="00EA7870">
        <w:rPr>
          <w:sz w:val="20"/>
          <w:szCs w:val="20"/>
          <w:lang w:val="es-AR"/>
        </w:rPr>
        <w:t xml:space="preserve"> </w:t>
      </w:r>
      <w:r w:rsidRPr="00EA7870">
        <w:rPr>
          <w:sz w:val="20"/>
          <w:szCs w:val="20"/>
          <w:lang w:val="es-AR"/>
        </w:rPr>
        <w:t>numerador</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denominador</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uno</w:t>
      </w:r>
      <w:r w:rsidR="001A28B3" w:rsidRPr="00EA7870">
        <w:rPr>
          <w:sz w:val="20"/>
          <w:szCs w:val="20"/>
          <w:lang w:val="es-AR"/>
        </w:rPr>
        <w:t xml:space="preserve"> </w:t>
      </w:r>
      <w:r w:rsidRPr="00EA7870">
        <w:rPr>
          <w:sz w:val="20"/>
          <w:szCs w:val="20"/>
          <w:lang w:val="es-AR"/>
        </w:rPr>
        <w:t>menos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alícuota</w:t>
      </w:r>
      <w:r w:rsidR="001A28B3" w:rsidRPr="00EA7870">
        <w:rPr>
          <w:sz w:val="20"/>
          <w:szCs w:val="20"/>
          <w:lang w:val="es-AR"/>
        </w:rPr>
        <w:t xml:space="preserve"> </w:t>
      </w:r>
      <w:r w:rsidRPr="00EA7870">
        <w:rPr>
          <w:sz w:val="20"/>
          <w:szCs w:val="20"/>
          <w:lang w:val="es-AR"/>
        </w:rPr>
        <w:t>legal</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combinada</w:t>
      </w:r>
      <w:r w:rsidR="001A28B3" w:rsidRPr="00EA7870">
        <w:rPr>
          <w:sz w:val="20"/>
          <w:szCs w:val="20"/>
          <w:lang w:val="es-AR"/>
        </w:rPr>
        <w:t xml:space="preserve"> </w:t>
      </w:r>
      <w:r w:rsidRPr="00EA7870">
        <w:rPr>
          <w:sz w:val="20"/>
          <w:szCs w:val="20"/>
          <w:lang w:val="es-AR"/>
        </w:rPr>
        <w:t>vigente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ese</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cuatro</w:t>
      </w:r>
      <w:r w:rsidR="001A28B3" w:rsidRPr="00EA7870">
        <w:rPr>
          <w:sz w:val="20"/>
          <w:szCs w:val="20"/>
          <w:lang w:val="es-AR"/>
        </w:rPr>
        <w:t xml:space="preserve"> </w:t>
      </w:r>
      <w:r w:rsidRPr="00EA7870">
        <w:rPr>
          <w:sz w:val="20"/>
          <w:szCs w:val="20"/>
          <w:lang w:val="es-AR"/>
        </w:rPr>
        <w:t>trimestres</w:t>
      </w:r>
      <w:r w:rsidR="001A28B3" w:rsidRPr="00EA7870">
        <w:rPr>
          <w:sz w:val="20"/>
          <w:szCs w:val="20"/>
          <w:lang w:val="es-AR"/>
        </w:rPr>
        <w:t xml:space="preserve"> </w:t>
      </w:r>
      <w:r w:rsidRPr="00EA7870">
        <w:rPr>
          <w:sz w:val="20"/>
          <w:szCs w:val="20"/>
          <w:lang w:val="es-AR"/>
        </w:rPr>
        <w:t>económicos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finalizan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trimestre</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anterior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encuentran</w:t>
      </w:r>
      <w:r w:rsidR="001A28B3" w:rsidRPr="00EA7870">
        <w:rPr>
          <w:sz w:val="20"/>
          <w:szCs w:val="20"/>
          <w:lang w:val="es-AR"/>
        </w:rPr>
        <w:t xml:space="preserve"> </w:t>
      </w:r>
      <w:r w:rsidRPr="00EA7870">
        <w:rPr>
          <w:sz w:val="20"/>
          <w:szCs w:val="20"/>
          <w:lang w:val="es-AR"/>
        </w:rPr>
        <w:t>disponibles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003B6E16" w:rsidRPr="00EA7870">
        <w:rPr>
          <w:sz w:val="20"/>
          <w:szCs w:val="20"/>
          <w:lang w:val="es-AR"/>
        </w:rPr>
        <w:t>intermedios</w:t>
      </w:r>
      <w:r w:rsidRPr="00EA7870">
        <w:rPr>
          <w:sz w:val="20"/>
          <w:szCs w:val="20"/>
          <w:lang w:val="es-AR"/>
        </w:rPr>
        <w:t>,</w:t>
      </w:r>
      <w:r w:rsidR="001A28B3" w:rsidRPr="00EA7870">
        <w:rPr>
          <w:sz w:val="20"/>
          <w:szCs w:val="20"/>
          <w:lang w:val="es-AR"/>
        </w:rPr>
        <w:t xml:space="preserve"> </w:t>
      </w:r>
      <w:r w:rsidRPr="00EA7870">
        <w:rPr>
          <w:sz w:val="20"/>
          <w:szCs w:val="20"/>
          <w:lang w:val="es-AR"/>
        </w:rPr>
        <w:t>determinados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consolidada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00C20969"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p>
    <w:p w14:paraId="5C3B5463" w14:textId="77777777" w:rsidR="00376725" w:rsidRPr="00EA7870" w:rsidRDefault="00376725" w:rsidP="00376725">
      <w:pPr>
        <w:tabs>
          <w:tab w:val="left" w:pos="0"/>
          <w:tab w:val="right" w:leader="dot" w:pos="8505"/>
        </w:tabs>
        <w:ind w:firstLine="709"/>
        <w:jc w:val="both"/>
        <w:rPr>
          <w:sz w:val="20"/>
          <w:szCs w:val="20"/>
          <w:lang w:val="es-AR"/>
        </w:rPr>
      </w:pPr>
    </w:p>
    <w:p w14:paraId="6B21341A"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Patrimonio</w:t>
      </w:r>
      <w:r w:rsidR="001A28B3" w:rsidRPr="00EA7870">
        <w:rPr>
          <w:b/>
          <w:sz w:val="20"/>
          <w:szCs w:val="20"/>
          <w:lang w:val="es-AR"/>
        </w:rPr>
        <w:t xml:space="preserve"> </w:t>
      </w:r>
      <w:r w:rsidRPr="00EA7870">
        <w:rPr>
          <w:b/>
          <w:sz w:val="20"/>
          <w:szCs w:val="20"/>
          <w:lang w:val="es-AR"/>
        </w:rPr>
        <w:t>Neto</w:t>
      </w:r>
      <w:r w:rsidR="001A28B3" w:rsidRPr="00EA7870">
        <w:rPr>
          <w:b/>
          <w:sz w:val="20"/>
          <w:szCs w:val="20"/>
          <w:lang w:val="es-AR"/>
        </w:rPr>
        <w:t xml:space="preserve"> </w:t>
      </w:r>
      <w:r w:rsidRPr="00EA7870">
        <w:rPr>
          <w:b/>
          <w:sz w:val="20"/>
          <w:szCs w:val="20"/>
          <w:lang w:val="es-AR"/>
        </w:rPr>
        <w:t>Consolidado</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rubros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00C20969"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incluyen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patrimonio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accionistas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socios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balance</w:t>
      </w:r>
      <w:r w:rsidR="001A28B3" w:rsidRPr="00EA7870">
        <w:rPr>
          <w:sz w:val="20"/>
          <w:szCs w:val="20"/>
          <w:lang w:val="es-AR"/>
        </w:rPr>
        <w:t xml:space="preserve"> </w:t>
      </w:r>
      <w:r w:rsidRPr="00EA7870">
        <w:rPr>
          <w:sz w:val="20"/>
          <w:szCs w:val="20"/>
          <w:lang w:val="es-AR"/>
        </w:rPr>
        <w:t>general</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último</w:t>
      </w:r>
      <w:r w:rsidR="001A28B3" w:rsidRPr="00EA7870">
        <w:rPr>
          <w:sz w:val="20"/>
          <w:szCs w:val="20"/>
          <w:lang w:val="es-AR"/>
        </w:rPr>
        <w:t xml:space="preserve"> </w:t>
      </w:r>
      <w:r w:rsidRPr="00EA7870">
        <w:rPr>
          <w:sz w:val="20"/>
          <w:szCs w:val="20"/>
          <w:lang w:val="es-AR"/>
        </w:rPr>
        <w:t>trimestre</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encuentran</w:t>
      </w:r>
      <w:r w:rsidR="001A28B3" w:rsidRPr="00EA7870">
        <w:rPr>
          <w:sz w:val="20"/>
          <w:szCs w:val="20"/>
          <w:lang w:val="es-AR"/>
        </w:rPr>
        <w:t xml:space="preserve"> </w:t>
      </w:r>
      <w:r w:rsidRPr="00EA7870">
        <w:rPr>
          <w:sz w:val="20"/>
          <w:szCs w:val="20"/>
          <w:lang w:val="es-AR"/>
        </w:rPr>
        <w:t>disponibles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003B6E16" w:rsidRPr="00EA7870">
        <w:rPr>
          <w:sz w:val="20"/>
          <w:szCs w:val="20"/>
          <w:lang w:val="es-AR"/>
        </w:rPr>
        <w:t>intermedios</w:t>
      </w:r>
      <w:r w:rsidRPr="00EA7870">
        <w:rPr>
          <w:sz w:val="20"/>
          <w:szCs w:val="20"/>
          <w:lang w:val="es-AR"/>
        </w:rPr>
        <w:t>.</w:t>
      </w:r>
    </w:p>
    <w:p w14:paraId="73D8B6FD" w14:textId="77777777" w:rsidR="00376725" w:rsidRPr="00EA7870" w:rsidRDefault="00376725" w:rsidP="00376725">
      <w:pPr>
        <w:tabs>
          <w:tab w:val="left" w:pos="0"/>
          <w:tab w:val="right" w:leader="dot" w:pos="8505"/>
        </w:tabs>
        <w:ind w:firstLine="709"/>
        <w:jc w:val="both"/>
        <w:rPr>
          <w:sz w:val="20"/>
          <w:szCs w:val="20"/>
          <w:lang w:val="es-AR"/>
        </w:rPr>
      </w:pPr>
    </w:p>
    <w:p w14:paraId="5BF0F754"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Activos</w:t>
      </w:r>
      <w:r w:rsidR="001A28B3" w:rsidRPr="00EA7870">
        <w:rPr>
          <w:b/>
          <w:sz w:val="20"/>
          <w:szCs w:val="20"/>
          <w:lang w:val="es-AR"/>
        </w:rPr>
        <w:t xml:space="preserve"> </w:t>
      </w:r>
      <w:r w:rsidRPr="00EA7870">
        <w:rPr>
          <w:b/>
          <w:sz w:val="20"/>
          <w:szCs w:val="20"/>
          <w:lang w:val="es-AR"/>
        </w:rPr>
        <w:t>Totales</w:t>
      </w:r>
      <w:r w:rsidR="001A28B3" w:rsidRPr="00EA7870">
        <w:rPr>
          <w:b/>
          <w:sz w:val="20"/>
          <w:szCs w:val="20"/>
          <w:lang w:val="es-AR"/>
        </w:rPr>
        <w:t xml:space="preserve"> </w:t>
      </w:r>
      <w:r w:rsidRPr="00EA7870">
        <w:rPr>
          <w:b/>
          <w:sz w:val="20"/>
          <w:szCs w:val="20"/>
          <w:lang w:val="es-AR"/>
        </w:rPr>
        <w:t>Consolidados</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consolidados</w:t>
      </w:r>
      <w:r w:rsidR="001A28B3" w:rsidRPr="00EA7870">
        <w:rPr>
          <w:sz w:val="20"/>
          <w:szCs w:val="20"/>
          <w:lang w:val="es-AR"/>
        </w:rPr>
        <w:t xml:space="preserve"> </w:t>
      </w:r>
      <w:r w:rsidRPr="00EA7870">
        <w:rPr>
          <w:sz w:val="20"/>
          <w:szCs w:val="20"/>
          <w:lang w:val="es-AR"/>
        </w:rPr>
        <w:t>totales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establecen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balance</w:t>
      </w:r>
      <w:r w:rsidR="001A28B3" w:rsidRPr="00EA7870">
        <w:rPr>
          <w:sz w:val="20"/>
          <w:szCs w:val="20"/>
          <w:lang w:val="es-AR"/>
        </w:rPr>
        <w:t xml:space="preserve"> </w:t>
      </w:r>
      <w:r w:rsidRPr="00EA7870">
        <w:rPr>
          <w:sz w:val="20"/>
          <w:szCs w:val="20"/>
          <w:lang w:val="es-AR"/>
        </w:rPr>
        <w:t>general</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último</w:t>
      </w:r>
      <w:r w:rsidR="001A28B3" w:rsidRPr="00EA7870">
        <w:rPr>
          <w:sz w:val="20"/>
          <w:szCs w:val="20"/>
          <w:lang w:val="es-AR"/>
        </w:rPr>
        <w:t xml:space="preserve"> </w:t>
      </w:r>
      <w:r w:rsidRPr="00EA7870">
        <w:rPr>
          <w:sz w:val="20"/>
          <w:szCs w:val="20"/>
          <w:lang w:val="es-AR"/>
        </w:rPr>
        <w:t>trimestre</w:t>
      </w:r>
      <w:r w:rsidR="001A28B3" w:rsidRPr="00EA7870">
        <w:rPr>
          <w:sz w:val="20"/>
          <w:szCs w:val="20"/>
          <w:lang w:val="es-AR"/>
        </w:rPr>
        <w:t xml:space="preserve"> </w:t>
      </w:r>
      <w:r w:rsidRPr="00EA7870">
        <w:rPr>
          <w:sz w:val="20"/>
          <w:szCs w:val="20"/>
          <w:lang w:val="es-AR"/>
        </w:rPr>
        <w:t>económico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encuentran</w:t>
      </w:r>
      <w:r w:rsidR="001A28B3" w:rsidRPr="00EA7870">
        <w:rPr>
          <w:sz w:val="20"/>
          <w:szCs w:val="20"/>
          <w:lang w:val="es-AR"/>
        </w:rPr>
        <w:t xml:space="preserve"> </w:t>
      </w:r>
      <w:r w:rsidRPr="00EA7870">
        <w:rPr>
          <w:sz w:val="20"/>
          <w:szCs w:val="20"/>
          <w:lang w:val="es-AR"/>
        </w:rPr>
        <w:t>d</w:t>
      </w:r>
      <w:r w:rsidR="003B6E16" w:rsidRPr="00EA7870">
        <w:rPr>
          <w:sz w:val="20"/>
          <w:szCs w:val="20"/>
          <w:lang w:val="es-AR"/>
        </w:rPr>
        <w:t>isponibles</w:t>
      </w:r>
      <w:r w:rsidR="001A28B3" w:rsidRPr="00EA7870">
        <w:rPr>
          <w:sz w:val="20"/>
          <w:szCs w:val="20"/>
          <w:lang w:val="es-AR"/>
        </w:rPr>
        <w:t xml:space="preserve"> </w:t>
      </w:r>
      <w:r w:rsidR="003B6E16" w:rsidRPr="00EA7870">
        <w:rPr>
          <w:sz w:val="20"/>
          <w:szCs w:val="20"/>
          <w:lang w:val="es-AR"/>
        </w:rPr>
        <w:t>estados</w:t>
      </w:r>
      <w:r w:rsidR="001A28B3" w:rsidRPr="00EA7870">
        <w:rPr>
          <w:sz w:val="20"/>
          <w:szCs w:val="20"/>
          <w:lang w:val="es-AR"/>
        </w:rPr>
        <w:t xml:space="preserve"> </w:t>
      </w:r>
      <w:r w:rsidR="003B6E16" w:rsidRPr="00EA7870">
        <w:rPr>
          <w:sz w:val="20"/>
          <w:szCs w:val="20"/>
          <w:lang w:val="es-AR"/>
        </w:rPr>
        <w:t>financieros</w:t>
      </w:r>
      <w:r w:rsidR="001A28B3" w:rsidRPr="00EA7870">
        <w:rPr>
          <w:sz w:val="20"/>
          <w:szCs w:val="20"/>
          <w:lang w:val="es-AR"/>
        </w:rPr>
        <w:t xml:space="preserve"> </w:t>
      </w:r>
      <w:r w:rsidR="003B6E16" w:rsidRPr="00EA7870">
        <w:rPr>
          <w:sz w:val="20"/>
          <w:szCs w:val="20"/>
          <w:lang w:val="es-AR"/>
        </w:rPr>
        <w:t>intermedios</w:t>
      </w:r>
      <w:r w:rsidRPr="00EA7870">
        <w:rPr>
          <w:sz w:val="20"/>
          <w:szCs w:val="20"/>
          <w:lang w:val="es-AR"/>
        </w:rPr>
        <w:t>,</w:t>
      </w:r>
      <w:r w:rsidR="001A28B3" w:rsidRPr="00EA7870">
        <w:rPr>
          <w:sz w:val="20"/>
          <w:szCs w:val="20"/>
          <w:lang w:val="es-AR"/>
        </w:rPr>
        <w:t xml:space="preserve"> </w:t>
      </w:r>
      <w:r w:rsidRPr="00EA7870">
        <w:rPr>
          <w:sz w:val="20"/>
          <w:szCs w:val="20"/>
          <w:lang w:val="es-AR"/>
        </w:rPr>
        <w:t>determinados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adopción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p>
    <w:p w14:paraId="464D2F40" w14:textId="77777777" w:rsidR="00376725" w:rsidRPr="00EA7870" w:rsidRDefault="00376725" w:rsidP="00376725">
      <w:pPr>
        <w:tabs>
          <w:tab w:val="left" w:pos="0"/>
          <w:tab w:val="right" w:leader="dot" w:pos="8505"/>
        </w:tabs>
        <w:ind w:firstLine="709"/>
        <w:jc w:val="both"/>
        <w:rPr>
          <w:sz w:val="20"/>
          <w:szCs w:val="20"/>
          <w:lang w:val="es-AR"/>
        </w:rPr>
      </w:pPr>
    </w:p>
    <w:p w14:paraId="1A1A8D02"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Índice</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Cobertura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w:t>
      </w:r>
      <w:r w:rsidRPr="00EA7870">
        <w:rPr>
          <w:b/>
          <w:sz w:val="20"/>
          <w:szCs w:val="20"/>
          <w:lang w:val="es-AR"/>
        </w:rPr>
        <w:t>fecha</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la</w:t>
      </w:r>
      <w:r w:rsidR="001A28B3" w:rsidRPr="00EA7870">
        <w:rPr>
          <w:b/>
          <w:sz w:val="20"/>
          <w:szCs w:val="20"/>
          <w:lang w:val="es-AR"/>
        </w:rPr>
        <w:t xml:space="preserve"> </w:t>
      </w:r>
      <w:r w:rsidRPr="00EA7870">
        <w:rPr>
          <w:b/>
          <w:sz w:val="20"/>
          <w:szCs w:val="20"/>
          <w:lang w:val="es-AR"/>
        </w:rPr>
        <w:t>operación</w:t>
      </w:r>
      <w:r w:rsidRPr="00EA7870">
        <w:rPr>
          <w:sz w:val="20"/>
          <w:szCs w:val="20"/>
          <w:lang w:val="es-AR"/>
        </w:rPr>
        <w:t>”)</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índice</w:t>
      </w:r>
      <w:r w:rsidR="001A28B3" w:rsidRPr="00EA7870">
        <w:rPr>
          <w:sz w:val="20"/>
          <w:szCs w:val="20"/>
          <w:lang w:val="es-AR"/>
        </w:rPr>
        <w:t xml:space="preserve"> </w:t>
      </w:r>
      <w:r w:rsidRPr="00EA7870">
        <w:rPr>
          <w:sz w:val="20"/>
          <w:szCs w:val="20"/>
          <w:lang w:val="es-AR"/>
        </w:rPr>
        <w:t>de:</w:t>
      </w:r>
    </w:p>
    <w:p w14:paraId="07A048A4" w14:textId="77777777" w:rsidR="00376725" w:rsidRPr="00EA7870" w:rsidRDefault="00376725" w:rsidP="00376725">
      <w:pPr>
        <w:tabs>
          <w:tab w:val="left" w:pos="0"/>
          <w:tab w:val="right" w:leader="dot" w:pos="8505"/>
        </w:tabs>
        <w:ind w:firstLine="709"/>
        <w:jc w:val="both"/>
        <w:rPr>
          <w:sz w:val="20"/>
          <w:szCs w:val="20"/>
          <w:lang w:val="es-AR"/>
        </w:rPr>
      </w:pPr>
    </w:p>
    <w:p w14:paraId="2B0F76EC" w14:textId="77777777" w:rsidR="00376725" w:rsidRPr="00EA7870" w:rsidDel="0086191A" w:rsidRDefault="00376725" w:rsidP="00376725">
      <w:pPr>
        <w:tabs>
          <w:tab w:val="left" w:pos="0"/>
          <w:tab w:val="right" w:leader="dot" w:pos="8505"/>
        </w:tabs>
        <w:ind w:firstLine="709"/>
        <w:jc w:val="both"/>
        <w:rPr>
          <w:sz w:val="20"/>
          <w:szCs w:val="20"/>
          <w:lang w:val="es-AR"/>
        </w:rPr>
      </w:pPr>
      <w:r w:rsidRPr="00EA7870">
        <w:rPr>
          <w:sz w:val="20"/>
          <w:szCs w:val="20"/>
          <w:lang w:val="es-AR"/>
        </w:rPr>
        <w:t>(i)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EBITDA</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Pr>
          <w:sz w:val="20"/>
          <w:szCs w:val="20"/>
          <w:lang w:val="es-AR"/>
        </w:rPr>
        <w:t>Ajustado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cuatro</w:t>
      </w:r>
      <w:r w:rsidR="001A28B3" w:rsidRPr="00EA7870">
        <w:rPr>
          <w:sz w:val="20"/>
          <w:szCs w:val="20"/>
          <w:lang w:val="es-AR"/>
        </w:rPr>
        <w:t xml:space="preserve"> </w:t>
      </w:r>
      <w:r w:rsidRPr="00EA7870">
        <w:rPr>
          <w:sz w:val="20"/>
          <w:szCs w:val="20"/>
          <w:lang w:val="es-AR"/>
        </w:rPr>
        <w:t>trimestres</w:t>
      </w:r>
      <w:r w:rsidR="001A28B3" w:rsidRPr="00EA7870">
        <w:rPr>
          <w:sz w:val="20"/>
          <w:szCs w:val="20"/>
          <w:lang w:val="es-AR"/>
        </w:rPr>
        <w:t xml:space="preserve"> </w:t>
      </w:r>
      <w:r w:rsidRPr="00EA7870">
        <w:rPr>
          <w:sz w:val="20"/>
          <w:szCs w:val="20"/>
          <w:lang w:val="es-AR"/>
        </w:rPr>
        <w:t>económicos</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anteriores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determinación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cuales</w:t>
      </w:r>
      <w:r w:rsidR="001A28B3" w:rsidRPr="00EA7870">
        <w:rPr>
          <w:sz w:val="20"/>
          <w:szCs w:val="20"/>
          <w:lang w:val="es-AR"/>
        </w:rPr>
        <w:t xml:space="preserve"> </w:t>
      </w:r>
      <w:r w:rsidRPr="00EA7870">
        <w:rPr>
          <w:sz w:val="20"/>
          <w:szCs w:val="20"/>
          <w:lang w:val="es-AR"/>
        </w:rPr>
        <w:t>estén</w:t>
      </w:r>
      <w:r w:rsidR="001A28B3" w:rsidRPr="00EA7870">
        <w:rPr>
          <w:sz w:val="20"/>
          <w:szCs w:val="20"/>
          <w:lang w:val="es-AR"/>
        </w:rPr>
        <w:t xml:space="preserve"> </w:t>
      </w:r>
      <w:r w:rsidRPr="00EA7870">
        <w:rPr>
          <w:sz w:val="20"/>
          <w:szCs w:val="20"/>
          <w:lang w:val="es-AR"/>
        </w:rPr>
        <w:t>disponibles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003B6E16" w:rsidRPr="00EA7870">
        <w:rPr>
          <w:sz w:val="20"/>
          <w:szCs w:val="20"/>
          <w:lang w:val="es-AR"/>
        </w:rPr>
        <w:t>intermedios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w:t>
      </w:r>
      <w:r w:rsidRPr="00EA7870">
        <w:rPr>
          <w:b/>
          <w:sz w:val="20"/>
          <w:szCs w:val="20"/>
          <w:lang w:val="es-AR"/>
        </w:rPr>
        <w:t>período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referencia</w:t>
      </w:r>
      <w:r w:rsidRPr="00EA7870">
        <w:rPr>
          <w:sz w:val="20"/>
          <w:szCs w:val="20"/>
          <w:lang w:val="es-AR"/>
        </w:rPr>
        <w:t>”),</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Cargo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sidDel="0086191A">
        <w:rPr>
          <w:sz w:val="20"/>
          <w:szCs w:val="20"/>
          <w:lang w:val="es-AR"/>
        </w:rPr>
        <w:t>En</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realización</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este</w:t>
      </w:r>
      <w:r w:rsidR="001A28B3" w:rsidRPr="00EA7870">
        <w:rPr>
          <w:sz w:val="20"/>
          <w:szCs w:val="20"/>
          <w:lang w:val="es-AR"/>
        </w:rPr>
        <w:t xml:space="preserve"> </w:t>
      </w:r>
      <w:r w:rsidRPr="00EA7870" w:rsidDel="0086191A">
        <w:rPr>
          <w:sz w:val="20"/>
          <w:szCs w:val="20"/>
          <w:lang w:val="es-AR"/>
        </w:rPr>
        <w:t>cálculo</w:t>
      </w:r>
      <w:r w:rsidRPr="00EA7870">
        <w:rPr>
          <w:sz w:val="20"/>
          <w:szCs w:val="20"/>
          <w:lang w:val="es-AR"/>
        </w:rPr>
        <w:t>:</w:t>
      </w:r>
    </w:p>
    <w:p w14:paraId="0B52102F" w14:textId="77777777" w:rsidR="00376725" w:rsidRPr="00EA7870" w:rsidDel="0086191A" w:rsidRDefault="00376725" w:rsidP="00376725">
      <w:pPr>
        <w:tabs>
          <w:tab w:val="left" w:pos="0"/>
          <w:tab w:val="right" w:leader="dot" w:pos="8505"/>
        </w:tabs>
        <w:ind w:firstLine="709"/>
        <w:jc w:val="both"/>
        <w:rPr>
          <w:sz w:val="20"/>
          <w:szCs w:val="20"/>
          <w:lang w:val="es-AR"/>
        </w:rPr>
      </w:pPr>
    </w:p>
    <w:p w14:paraId="66438362" w14:textId="77777777" w:rsidR="00376725" w:rsidRPr="00EA7870" w:rsidDel="0086191A" w:rsidRDefault="00376725" w:rsidP="00376725">
      <w:pPr>
        <w:tabs>
          <w:tab w:val="left" w:pos="0"/>
          <w:tab w:val="right" w:leader="dot" w:pos="8505"/>
        </w:tabs>
        <w:ind w:firstLine="709"/>
        <w:jc w:val="both"/>
        <w:rPr>
          <w:sz w:val="20"/>
          <w:szCs w:val="20"/>
          <w:lang w:val="es-AR"/>
        </w:rPr>
      </w:pPr>
      <w:r w:rsidRPr="00EA7870">
        <w:rPr>
          <w:sz w:val="20"/>
          <w:szCs w:val="20"/>
          <w:lang w:val="es-AR"/>
        </w:rPr>
        <w:t>a</w:t>
      </w:r>
      <w:r w:rsidRPr="00EA7870" w:rsidDel="0086191A">
        <w:rPr>
          <w:sz w:val="20"/>
          <w:szCs w:val="20"/>
          <w:lang w:val="es-AR"/>
        </w:rPr>
        <w:t>)</w:t>
      </w:r>
      <w:r w:rsidR="001A28B3" w:rsidRPr="00EA7870">
        <w:rPr>
          <w:sz w:val="20"/>
          <w:szCs w:val="20"/>
          <w:lang w:val="es-AR"/>
        </w:rPr>
        <w:t xml:space="preserve"> </w:t>
      </w:r>
      <w:r w:rsidRPr="00EA7870" w:rsidDel="0086191A">
        <w:rPr>
          <w:sz w:val="20"/>
          <w:szCs w:val="20"/>
          <w:lang w:val="es-AR"/>
        </w:rPr>
        <w:t>se</w:t>
      </w:r>
      <w:r w:rsidR="001A28B3" w:rsidRPr="00EA7870">
        <w:rPr>
          <w:sz w:val="20"/>
          <w:szCs w:val="20"/>
          <w:lang w:val="es-AR"/>
        </w:rPr>
        <w:t xml:space="preserve"> </w:t>
      </w:r>
      <w:r w:rsidRPr="00EA7870" w:rsidDel="0086191A">
        <w:rPr>
          <w:sz w:val="20"/>
          <w:szCs w:val="20"/>
          <w:lang w:val="es-AR"/>
        </w:rPr>
        <w:t>dará</w:t>
      </w:r>
      <w:r w:rsidR="001A28B3" w:rsidRPr="00EA7870">
        <w:rPr>
          <w:sz w:val="20"/>
          <w:szCs w:val="20"/>
          <w:lang w:val="es-AR"/>
        </w:rPr>
        <w:t xml:space="preserve"> </w:t>
      </w:r>
      <w:r w:rsidRPr="00EA7870" w:rsidDel="0086191A">
        <w:rPr>
          <w:sz w:val="20"/>
          <w:szCs w:val="20"/>
          <w:lang w:val="es-AR"/>
        </w:rPr>
        <w:t>efecto</w:t>
      </w:r>
      <w:r w:rsidR="001A28B3" w:rsidRPr="00EA7870">
        <w:rPr>
          <w:sz w:val="20"/>
          <w:szCs w:val="20"/>
          <w:lang w:val="es-AR"/>
        </w:rPr>
        <w:t xml:space="preserve"> </w:t>
      </w:r>
      <w:r w:rsidRPr="00EA7870" w:rsidDel="0086191A">
        <w:rPr>
          <w:i/>
          <w:sz w:val="20"/>
          <w:szCs w:val="20"/>
          <w:lang w:val="es-AR"/>
        </w:rPr>
        <w:t>pro</w:t>
      </w:r>
      <w:r w:rsidR="001A28B3" w:rsidRPr="00EA7870">
        <w:rPr>
          <w:i/>
          <w:sz w:val="20"/>
          <w:szCs w:val="20"/>
          <w:lang w:val="es-AR"/>
        </w:rPr>
        <w:t xml:space="preserve"> </w:t>
      </w:r>
      <w:r w:rsidRPr="00EA7870" w:rsidDel="0086191A">
        <w:rPr>
          <w:i/>
          <w:sz w:val="20"/>
          <w:szCs w:val="20"/>
          <w:lang w:val="es-AR"/>
        </w:rPr>
        <w:t>forma</w:t>
      </w:r>
      <w:r w:rsidR="001A28B3" w:rsidRPr="00EA7870">
        <w:rPr>
          <w:sz w:val="20"/>
          <w:szCs w:val="20"/>
          <w:lang w:val="es-AR"/>
        </w:rPr>
        <w:t xml:space="preserve"> </w:t>
      </w:r>
      <w:r w:rsidRPr="00EA7870" w:rsidDel="0086191A">
        <w:rPr>
          <w:sz w:val="20"/>
          <w:szCs w:val="20"/>
          <w:lang w:val="es-AR"/>
        </w:rPr>
        <w:t>a</w:t>
      </w:r>
      <w:r w:rsidR="001A28B3" w:rsidRPr="00EA7870">
        <w:rPr>
          <w:sz w:val="20"/>
          <w:szCs w:val="20"/>
          <w:lang w:val="es-AR"/>
        </w:rPr>
        <w:t xml:space="preserve"> </w:t>
      </w:r>
      <w:r w:rsidRPr="00EA7870" w:rsidDel="0086191A">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sidDel="0086191A">
        <w:rPr>
          <w:sz w:val="20"/>
          <w:szCs w:val="20"/>
          <w:lang w:val="es-AR"/>
        </w:rPr>
        <w:t>Incurrid</w:t>
      </w:r>
      <w:r w:rsidRPr="00EA7870">
        <w:rPr>
          <w:sz w:val="20"/>
          <w:szCs w:val="20"/>
          <w:lang w:val="es-AR"/>
        </w:rPr>
        <w:t>o</w:t>
      </w:r>
      <w:r w:rsidR="001A28B3" w:rsidRPr="00EA7870">
        <w:rPr>
          <w:sz w:val="20"/>
          <w:szCs w:val="20"/>
          <w:lang w:val="es-AR"/>
        </w:rPr>
        <w:t xml:space="preserve"> </w:t>
      </w:r>
      <w:r w:rsidRPr="00EA7870" w:rsidDel="0086191A">
        <w:rPr>
          <w:sz w:val="20"/>
          <w:szCs w:val="20"/>
          <w:lang w:val="es-AR"/>
        </w:rPr>
        <w:t>durante</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después</w:t>
      </w:r>
      <w:r w:rsidR="001A28B3" w:rsidRPr="00EA7870">
        <w:rPr>
          <w:sz w:val="20"/>
          <w:szCs w:val="20"/>
          <w:lang w:val="es-AR"/>
        </w:rPr>
        <w:t xml:space="preserve"> </w:t>
      </w:r>
      <w:r w:rsidRPr="00EA7870" w:rsidDel="0086191A">
        <w:rPr>
          <w:sz w:val="20"/>
          <w:szCs w:val="20"/>
          <w:lang w:val="es-AR"/>
        </w:rPr>
        <w:t>del</w:t>
      </w:r>
      <w:r w:rsidR="001A28B3" w:rsidRPr="00EA7870">
        <w:rPr>
          <w:sz w:val="20"/>
          <w:szCs w:val="20"/>
          <w:lang w:val="es-AR"/>
        </w:rPr>
        <w:t xml:space="preserve"> </w:t>
      </w:r>
      <w:r w:rsidRPr="00EA7870" w:rsidDel="0086191A">
        <w:rPr>
          <w:sz w:val="20"/>
          <w:szCs w:val="20"/>
          <w:lang w:val="es-AR"/>
        </w:rPr>
        <w:t>período</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referencia</w:t>
      </w:r>
      <w:r w:rsidR="001A28B3" w:rsidRPr="00EA7870">
        <w:rPr>
          <w:sz w:val="20"/>
          <w:szCs w:val="20"/>
          <w:lang w:val="es-AR"/>
        </w:rPr>
        <w:t xml:space="preserve"> </w:t>
      </w:r>
      <w:r w:rsidRPr="00EA7870" w:rsidDel="0086191A">
        <w:rPr>
          <w:sz w:val="20"/>
          <w:szCs w:val="20"/>
          <w:lang w:val="es-AR"/>
        </w:rPr>
        <w:t>en</w:t>
      </w:r>
      <w:r w:rsidR="001A28B3" w:rsidRPr="00EA7870">
        <w:rPr>
          <w:sz w:val="20"/>
          <w:szCs w:val="20"/>
          <w:lang w:val="es-AR"/>
        </w:rPr>
        <w:t xml:space="preserve"> </w:t>
      </w:r>
      <w:r w:rsidRPr="00EA7870" w:rsidDel="0086191A">
        <w:rPr>
          <w:sz w:val="20"/>
          <w:szCs w:val="20"/>
          <w:lang w:val="es-AR"/>
        </w:rPr>
        <w:t>tanto</w:t>
      </w:r>
      <w:r w:rsidR="001A28B3" w:rsidRPr="00EA7870">
        <w:rPr>
          <w:sz w:val="20"/>
          <w:szCs w:val="20"/>
          <w:lang w:val="es-AR"/>
        </w:rPr>
        <w:t xml:space="preserve"> </w:t>
      </w:r>
      <w:r w:rsidRPr="00EA7870">
        <w:rPr>
          <w:sz w:val="20"/>
          <w:szCs w:val="20"/>
          <w:lang w:val="es-AR"/>
        </w:rPr>
        <w:t>e</w:t>
      </w:r>
      <w:r w:rsidRPr="00EA7870" w:rsidDel="0086191A">
        <w:rPr>
          <w:sz w:val="20"/>
          <w:szCs w:val="20"/>
          <w:lang w:val="es-AR"/>
        </w:rPr>
        <w:t>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sidDel="0086191A">
        <w:rPr>
          <w:sz w:val="20"/>
          <w:szCs w:val="20"/>
          <w:lang w:val="es-AR"/>
        </w:rPr>
        <w:t>se</w:t>
      </w:r>
      <w:r w:rsidR="001A28B3" w:rsidRPr="00EA7870">
        <w:rPr>
          <w:sz w:val="20"/>
          <w:szCs w:val="20"/>
          <w:lang w:val="es-AR"/>
        </w:rPr>
        <w:t xml:space="preserve"> </w:t>
      </w:r>
      <w:r w:rsidRPr="00EA7870" w:rsidDel="0086191A">
        <w:rPr>
          <w:sz w:val="20"/>
          <w:szCs w:val="20"/>
          <w:lang w:val="es-AR"/>
        </w:rPr>
        <w:t>encuentre</w:t>
      </w:r>
      <w:r w:rsidR="001A28B3" w:rsidRPr="00EA7870">
        <w:rPr>
          <w:sz w:val="20"/>
          <w:szCs w:val="20"/>
          <w:lang w:val="es-AR"/>
        </w:rPr>
        <w:t xml:space="preserve"> </w:t>
      </w:r>
      <w:r w:rsidRPr="00EA7870">
        <w:rPr>
          <w:sz w:val="20"/>
          <w:szCs w:val="20"/>
          <w:lang w:val="es-AR"/>
        </w:rPr>
        <w:t>pendiente</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fuera</w:t>
      </w:r>
      <w:r w:rsidR="001A28B3" w:rsidRPr="00EA7870">
        <w:rPr>
          <w:sz w:val="20"/>
          <w:szCs w:val="20"/>
          <w:lang w:val="es-AR"/>
        </w:rPr>
        <w:t xml:space="preserve"> </w:t>
      </w:r>
      <w:r w:rsidRPr="00EA7870" w:rsidDel="0086191A">
        <w:rPr>
          <w:sz w:val="20"/>
          <w:szCs w:val="20"/>
          <w:lang w:val="es-AR"/>
        </w:rPr>
        <w:t>a</w:t>
      </w:r>
      <w:r w:rsidR="001A28B3" w:rsidRPr="00EA7870">
        <w:rPr>
          <w:sz w:val="20"/>
          <w:szCs w:val="20"/>
          <w:lang w:val="es-AR"/>
        </w:rPr>
        <w:t xml:space="preserve"> </w:t>
      </w:r>
      <w:r w:rsidRPr="00EA7870" w:rsidDel="0086191A">
        <w:rPr>
          <w:sz w:val="20"/>
          <w:szCs w:val="20"/>
          <w:lang w:val="es-AR"/>
        </w:rPr>
        <w:t>ser</w:t>
      </w:r>
      <w:r w:rsidR="001A28B3" w:rsidRPr="00EA7870">
        <w:rPr>
          <w:sz w:val="20"/>
          <w:szCs w:val="20"/>
          <w:lang w:val="es-AR"/>
        </w:rPr>
        <w:t xml:space="preserve"> </w:t>
      </w:r>
      <w:r w:rsidRPr="00EA7870" w:rsidDel="0086191A">
        <w:rPr>
          <w:sz w:val="20"/>
          <w:szCs w:val="20"/>
          <w:lang w:val="es-AR"/>
        </w:rPr>
        <w:t>Incurrid</w:t>
      </w:r>
      <w:r w:rsidRPr="00EA7870">
        <w:rPr>
          <w:sz w:val="20"/>
          <w:szCs w:val="20"/>
          <w:lang w:val="es-AR"/>
        </w:rPr>
        <w:t>o</w:t>
      </w:r>
      <w:r w:rsidR="001A28B3" w:rsidRPr="00EA7870">
        <w:rPr>
          <w:sz w:val="20"/>
          <w:szCs w:val="20"/>
          <w:lang w:val="es-AR"/>
        </w:rPr>
        <w:t xml:space="preserve"> </w:t>
      </w:r>
      <w:r w:rsidRPr="00EA7870" w:rsidDel="0086191A">
        <w:rPr>
          <w:sz w:val="20"/>
          <w:szCs w:val="20"/>
          <w:lang w:val="es-AR"/>
        </w:rPr>
        <w:t>en</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fecha</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operación</w:t>
      </w:r>
      <w:r w:rsidR="001A28B3" w:rsidRPr="00EA7870">
        <w:rPr>
          <w:sz w:val="20"/>
          <w:szCs w:val="20"/>
          <w:lang w:val="es-AR"/>
        </w:rPr>
        <w:t xml:space="preserve"> </w:t>
      </w:r>
      <w:r w:rsidRPr="00EA7870" w:rsidDel="0086191A">
        <w:rPr>
          <w:sz w:val="20"/>
          <w:szCs w:val="20"/>
          <w:lang w:val="es-AR"/>
        </w:rPr>
        <w:t>como</w:t>
      </w:r>
      <w:r w:rsidR="001A28B3" w:rsidRPr="00EA7870">
        <w:rPr>
          <w:sz w:val="20"/>
          <w:szCs w:val="20"/>
          <w:lang w:val="es-AR"/>
        </w:rPr>
        <w:t xml:space="preserve"> </w:t>
      </w:r>
      <w:r w:rsidRPr="00EA7870" w:rsidDel="0086191A">
        <w:rPr>
          <w:sz w:val="20"/>
          <w:szCs w:val="20"/>
          <w:lang w:val="es-AR"/>
        </w:rPr>
        <w:t>si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sidDel="0086191A">
        <w:rPr>
          <w:sz w:val="20"/>
          <w:szCs w:val="20"/>
          <w:lang w:val="es-AR"/>
        </w:rPr>
        <w:t>hubiera</w:t>
      </w:r>
      <w:r w:rsidR="001A28B3" w:rsidRPr="00EA7870">
        <w:rPr>
          <w:sz w:val="20"/>
          <w:szCs w:val="20"/>
          <w:lang w:val="es-AR"/>
        </w:rPr>
        <w:t xml:space="preserve"> </w:t>
      </w:r>
      <w:r w:rsidRPr="00EA7870" w:rsidDel="0086191A">
        <w:rPr>
          <w:sz w:val="20"/>
          <w:szCs w:val="20"/>
          <w:lang w:val="es-AR"/>
        </w:rPr>
        <w:t>sido</w:t>
      </w:r>
      <w:r w:rsidR="001A28B3" w:rsidRPr="00EA7870">
        <w:rPr>
          <w:sz w:val="20"/>
          <w:szCs w:val="20"/>
          <w:lang w:val="es-AR"/>
        </w:rPr>
        <w:t xml:space="preserve"> </w:t>
      </w:r>
      <w:r w:rsidRPr="00EA7870" w:rsidDel="0086191A">
        <w:rPr>
          <w:sz w:val="20"/>
          <w:szCs w:val="20"/>
          <w:lang w:val="es-AR"/>
        </w:rPr>
        <w:t>Incurrid</w:t>
      </w:r>
      <w:r w:rsidRPr="00EA7870">
        <w:rPr>
          <w:sz w:val="20"/>
          <w:szCs w:val="20"/>
          <w:lang w:val="es-AR"/>
        </w:rPr>
        <w:t>o</w:t>
      </w:r>
      <w:r w:rsidR="001A28B3" w:rsidRPr="00EA7870">
        <w:rPr>
          <w:sz w:val="20"/>
          <w:szCs w:val="20"/>
          <w:lang w:val="es-AR"/>
        </w:rPr>
        <w:t xml:space="preserve"> </w:t>
      </w:r>
      <w:r w:rsidRPr="00EA7870" w:rsidDel="0086191A">
        <w:rPr>
          <w:sz w:val="20"/>
          <w:szCs w:val="20"/>
          <w:lang w:val="es-AR"/>
        </w:rPr>
        <w:t>el</w:t>
      </w:r>
      <w:r w:rsidR="001A28B3" w:rsidRPr="00EA7870">
        <w:rPr>
          <w:sz w:val="20"/>
          <w:szCs w:val="20"/>
          <w:lang w:val="es-AR"/>
        </w:rPr>
        <w:t xml:space="preserve"> </w:t>
      </w:r>
      <w:r w:rsidRPr="00EA7870" w:rsidDel="0086191A">
        <w:rPr>
          <w:sz w:val="20"/>
          <w:szCs w:val="20"/>
          <w:lang w:val="es-AR"/>
        </w:rPr>
        <w:t>primer</w:t>
      </w:r>
      <w:r w:rsidR="001A28B3" w:rsidRPr="00EA7870">
        <w:rPr>
          <w:sz w:val="20"/>
          <w:szCs w:val="20"/>
          <w:lang w:val="es-AR"/>
        </w:rPr>
        <w:t xml:space="preserve"> </w:t>
      </w:r>
      <w:r w:rsidRPr="00EA7870" w:rsidDel="0086191A">
        <w:rPr>
          <w:sz w:val="20"/>
          <w:szCs w:val="20"/>
          <w:lang w:val="es-AR"/>
        </w:rPr>
        <w:t>día</w:t>
      </w:r>
      <w:r w:rsidR="001A28B3" w:rsidRPr="00EA7870">
        <w:rPr>
          <w:sz w:val="20"/>
          <w:szCs w:val="20"/>
          <w:lang w:val="es-AR"/>
        </w:rPr>
        <w:t xml:space="preserve"> </w:t>
      </w:r>
      <w:r w:rsidRPr="00EA7870" w:rsidDel="0086191A">
        <w:rPr>
          <w:sz w:val="20"/>
          <w:szCs w:val="20"/>
          <w:lang w:val="es-AR"/>
        </w:rPr>
        <w:t>del</w:t>
      </w:r>
      <w:r w:rsidR="001A28B3" w:rsidRPr="00EA7870">
        <w:rPr>
          <w:sz w:val="20"/>
          <w:szCs w:val="20"/>
          <w:lang w:val="es-AR"/>
        </w:rPr>
        <w:t xml:space="preserve"> </w:t>
      </w:r>
      <w:r w:rsidRPr="00EA7870" w:rsidDel="0086191A">
        <w:rPr>
          <w:sz w:val="20"/>
          <w:szCs w:val="20"/>
          <w:lang w:val="es-AR"/>
        </w:rPr>
        <w:t>período</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referencia;</w:t>
      </w:r>
    </w:p>
    <w:p w14:paraId="47143C2A" w14:textId="77777777" w:rsidR="00376725" w:rsidRPr="00EA7870" w:rsidDel="0086191A" w:rsidRDefault="00376725" w:rsidP="00376725">
      <w:pPr>
        <w:tabs>
          <w:tab w:val="left" w:pos="0"/>
          <w:tab w:val="right" w:leader="dot" w:pos="8505"/>
        </w:tabs>
        <w:ind w:firstLine="709"/>
        <w:jc w:val="both"/>
        <w:rPr>
          <w:sz w:val="20"/>
          <w:szCs w:val="20"/>
          <w:lang w:val="es-AR"/>
        </w:rPr>
      </w:pPr>
    </w:p>
    <w:p w14:paraId="6E54F0DF" w14:textId="77777777" w:rsidR="00376725" w:rsidRPr="00EA7870" w:rsidDel="0086191A" w:rsidRDefault="00376725" w:rsidP="00376725">
      <w:pPr>
        <w:tabs>
          <w:tab w:val="left" w:pos="0"/>
          <w:tab w:val="right" w:leader="dot" w:pos="8505"/>
        </w:tabs>
        <w:ind w:firstLine="709"/>
        <w:jc w:val="both"/>
        <w:rPr>
          <w:sz w:val="20"/>
          <w:szCs w:val="20"/>
          <w:lang w:val="es-AR"/>
        </w:rPr>
      </w:pPr>
      <w:r w:rsidRPr="00EA7870">
        <w:rPr>
          <w:sz w:val="20"/>
          <w:szCs w:val="20"/>
          <w:lang w:val="es-AR"/>
        </w:rPr>
        <w:t>b</w:t>
      </w:r>
      <w:r w:rsidRPr="00EA7870" w:rsidDel="0086191A">
        <w:rPr>
          <w:sz w:val="20"/>
          <w:szCs w:val="20"/>
          <w:lang w:val="es-AR"/>
        </w:rPr>
        <w:t>)</w:t>
      </w:r>
      <w:r w:rsidR="001A28B3" w:rsidRPr="00EA7870">
        <w:rPr>
          <w:sz w:val="20"/>
          <w:szCs w:val="20"/>
          <w:lang w:val="es-AR"/>
        </w:rPr>
        <w:t xml:space="preserve"> </w:t>
      </w:r>
      <w:r w:rsidRPr="00EA7870" w:rsidDel="0086191A">
        <w:rPr>
          <w:sz w:val="20"/>
          <w:szCs w:val="20"/>
          <w:lang w:val="es-AR"/>
        </w:rPr>
        <w:t>los</w:t>
      </w:r>
      <w:r w:rsidR="001A28B3" w:rsidRPr="00EA7870">
        <w:rPr>
          <w:sz w:val="20"/>
          <w:szCs w:val="20"/>
          <w:lang w:val="es-AR"/>
        </w:rPr>
        <w:t xml:space="preserve"> </w:t>
      </w:r>
      <w:r w:rsidRPr="00EA7870" w:rsidDel="0086191A">
        <w:rPr>
          <w:sz w:val="20"/>
          <w:szCs w:val="20"/>
          <w:lang w:val="es-AR"/>
        </w:rPr>
        <w:t>cálculos</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intereses</w:t>
      </w:r>
      <w:r w:rsidR="001A28B3" w:rsidRPr="00EA7870">
        <w:rPr>
          <w:sz w:val="20"/>
          <w:szCs w:val="20"/>
          <w:lang w:val="es-AR"/>
        </w:rPr>
        <w:t xml:space="preserve"> </w:t>
      </w:r>
      <w:r w:rsidRPr="00EA7870" w:rsidDel="0086191A">
        <w:rPr>
          <w:i/>
          <w:sz w:val="20"/>
          <w:szCs w:val="20"/>
          <w:lang w:val="es-AR"/>
        </w:rPr>
        <w:t>pro</w:t>
      </w:r>
      <w:r w:rsidR="001A28B3" w:rsidRPr="00EA7870">
        <w:rPr>
          <w:i/>
          <w:sz w:val="20"/>
          <w:szCs w:val="20"/>
          <w:lang w:val="es-AR"/>
        </w:rPr>
        <w:t xml:space="preserve"> </w:t>
      </w:r>
      <w:r w:rsidRPr="00EA7870" w:rsidDel="0086191A">
        <w:rPr>
          <w:i/>
          <w:sz w:val="20"/>
          <w:szCs w:val="20"/>
          <w:lang w:val="es-AR"/>
        </w:rPr>
        <w:t>forma</w:t>
      </w:r>
      <w:r w:rsidR="001A28B3" w:rsidRPr="00EA7870">
        <w:rPr>
          <w:sz w:val="20"/>
          <w:szCs w:val="20"/>
          <w:lang w:val="es-AR"/>
        </w:rPr>
        <w:t xml:space="preserve"> </w:t>
      </w:r>
      <w:r w:rsidRPr="00EA7870" w:rsidDel="0086191A">
        <w:rPr>
          <w:sz w:val="20"/>
          <w:szCs w:val="20"/>
          <w:lang w:val="es-AR"/>
        </w:rPr>
        <w:t>sobre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sidDel="0086191A">
        <w:rPr>
          <w:sz w:val="20"/>
          <w:szCs w:val="20"/>
          <w:lang w:val="es-AR"/>
        </w:rPr>
        <w:t>con</w:t>
      </w:r>
      <w:r w:rsidR="001A28B3" w:rsidRPr="00EA7870">
        <w:rPr>
          <w:sz w:val="20"/>
          <w:szCs w:val="20"/>
          <w:lang w:val="es-AR"/>
        </w:rPr>
        <w:t xml:space="preserve"> </w:t>
      </w:r>
      <w:r w:rsidRPr="00EA7870" w:rsidDel="0086191A">
        <w:rPr>
          <w:sz w:val="20"/>
          <w:szCs w:val="20"/>
          <w:lang w:val="es-AR"/>
        </w:rPr>
        <w:t>tasa</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interés</w:t>
      </w:r>
      <w:r w:rsidR="001A28B3" w:rsidRPr="00EA7870">
        <w:rPr>
          <w:sz w:val="20"/>
          <w:szCs w:val="20"/>
          <w:lang w:val="es-AR"/>
        </w:rPr>
        <w:t xml:space="preserve"> </w:t>
      </w:r>
      <w:r w:rsidRPr="00EA7870" w:rsidDel="0086191A">
        <w:rPr>
          <w:sz w:val="20"/>
          <w:szCs w:val="20"/>
          <w:lang w:val="es-AR"/>
        </w:rPr>
        <w:t>flotante</w:t>
      </w:r>
      <w:r w:rsidR="001A28B3" w:rsidRPr="00EA7870">
        <w:rPr>
          <w:sz w:val="20"/>
          <w:szCs w:val="20"/>
          <w:lang w:val="es-AR"/>
        </w:rPr>
        <w:t xml:space="preserve"> </w:t>
      </w:r>
      <w:r w:rsidRPr="00EA7870" w:rsidDel="0086191A">
        <w:rPr>
          <w:sz w:val="20"/>
          <w:szCs w:val="20"/>
          <w:lang w:val="es-AR"/>
        </w:rPr>
        <w:t>serán</w:t>
      </w:r>
      <w:r w:rsidR="001A28B3" w:rsidRPr="00EA7870">
        <w:rPr>
          <w:sz w:val="20"/>
          <w:szCs w:val="20"/>
          <w:lang w:val="es-AR"/>
        </w:rPr>
        <w:t xml:space="preserve"> </w:t>
      </w:r>
      <w:r w:rsidRPr="00EA7870" w:rsidDel="0086191A">
        <w:rPr>
          <w:sz w:val="20"/>
          <w:szCs w:val="20"/>
          <w:lang w:val="es-AR"/>
        </w:rPr>
        <w:t>realizados</w:t>
      </w:r>
      <w:r w:rsidR="001A28B3" w:rsidRPr="00EA7870">
        <w:rPr>
          <w:sz w:val="20"/>
          <w:szCs w:val="20"/>
          <w:lang w:val="es-AR"/>
        </w:rPr>
        <w:t xml:space="preserve"> </w:t>
      </w:r>
      <w:r w:rsidRPr="00EA7870" w:rsidDel="0086191A">
        <w:rPr>
          <w:sz w:val="20"/>
          <w:szCs w:val="20"/>
          <w:lang w:val="es-AR"/>
        </w:rPr>
        <w:t>como</w:t>
      </w:r>
      <w:r w:rsidR="001A28B3" w:rsidRPr="00EA7870">
        <w:rPr>
          <w:sz w:val="20"/>
          <w:szCs w:val="20"/>
          <w:lang w:val="es-AR"/>
        </w:rPr>
        <w:t xml:space="preserve"> </w:t>
      </w:r>
      <w:r w:rsidRPr="00EA7870" w:rsidDel="0086191A">
        <w:rPr>
          <w:sz w:val="20"/>
          <w:szCs w:val="20"/>
          <w:lang w:val="es-AR"/>
        </w:rPr>
        <w:t>si</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tasa</w:t>
      </w:r>
      <w:r w:rsidR="001A28B3" w:rsidRPr="00EA7870">
        <w:rPr>
          <w:sz w:val="20"/>
          <w:szCs w:val="20"/>
          <w:lang w:val="es-AR"/>
        </w:rPr>
        <w:t xml:space="preserve"> </w:t>
      </w:r>
      <w:r w:rsidRPr="00EA7870" w:rsidDel="0086191A">
        <w:rPr>
          <w:sz w:val="20"/>
          <w:szCs w:val="20"/>
          <w:lang w:val="es-AR"/>
        </w:rPr>
        <w:t>vigente</w:t>
      </w:r>
      <w:r w:rsidR="001A28B3" w:rsidRPr="00EA7870">
        <w:rPr>
          <w:sz w:val="20"/>
          <w:szCs w:val="20"/>
          <w:lang w:val="es-AR"/>
        </w:rPr>
        <w:t xml:space="preserve"> </w:t>
      </w:r>
      <w:r w:rsidRPr="00EA7870" w:rsidDel="0086191A">
        <w:rPr>
          <w:sz w:val="20"/>
          <w:szCs w:val="20"/>
          <w:lang w:val="es-AR"/>
        </w:rPr>
        <w:t>en</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fecha</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operación</w:t>
      </w:r>
      <w:r w:rsidR="001A28B3" w:rsidRPr="00EA7870">
        <w:rPr>
          <w:sz w:val="20"/>
          <w:szCs w:val="20"/>
          <w:lang w:val="es-AR"/>
        </w:rPr>
        <w:t xml:space="preserve"> </w:t>
      </w:r>
      <w:r w:rsidRPr="00EA7870" w:rsidDel="0086191A">
        <w:rPr>
          <w:sz w:val="20"/>
          <w:szCs w:val="20"/>
          <w:lang w:val="es-AR"/>
        </w:rPr>
        <w:t>(tomando</w:t>
      </w:r>
      <w:r w:rsidR="001A28B3" w:rsidRPr="00EA7870">
        <w:rPr>
          <w:sz w:val="20"/>
          <w:szCs w:val="20"/>
          <w:lang w:val="es-AR"/>
        </w:rPr>
        <w:t xml:space="preserve"> </w:t>
      </w:r>
      <w:r w:rsidRPr="00EA7870" w:rsidDel="0086191A">
        <w:rPr>
          <w:sz w:val="20"/>
          <w:szCs w:val="20"/>
          <w:lang w:val="es-AR"/>
        </w:rPr>
        <w:t>en</w:t>
      </w:r>
      <w:r w:rsidR="001A28B3" w:rsidRPr="00EA7870">
        <w:rPr>
          <w:sz w:val="20"/>
          <w:szCs w:val="20"/>
          <w:lang w:val="es-AR"/>
        </w:rPr>
        <w:t xml:space="preserve"> </w:t>
      </w:r>
      <w:r w:rsidRPr="00EA7870" w:rsidDel="0086191A">
        <w:rPr>
          <w:sz w:val="20"/>
          <w:szCs w:val="20"/>
          <w:lang w:val="es-AR"/>
        </w:rPr>
        <w:t>cuenta</w:t>
      </w:r>
      <w:r w:rsidR="001A28B3" w:rsidRPr="00EA7870">
        <w:rPr>
          <w:sz w:val="20"/>
          <w:szCs w:val="20"/>
          <w:lang w:val="es-AR"/>
        </w:rPr>
        <w:t xml:space="preserve"> </w:t>
      </w:r>
      <w:r w:rsidRPr="00EA7870" w:rsidDel="0086191A">
        <w:rPr>
          <w:sz w:val="20"/>
          <w:szCs w:val="20"/>
          <w:lang w:val="es-AR"/>
        </w:rPr>
        <w:t>cualquier</w:t>
      </w:r>
      <w:r w:rsidR="001A28B3" w:rsidRPr="00EA7870">
        <w:rPr>
          <w:sz w:val="20"/>
          <w:szCs w:val="20"/>
          <w:lang w:val="es-AR"/>
        </w:rPr>
        <w:t xml:space="preserve"> </w:t>
      </w:r>
      <w:r w:rsidRPr="00EA7870" w:rsidDel="0086191A">
        <w:rPr>
          <w:sz w:val="20"/>
          <w:szCs w:val="20"/>
          <w:lang w:val="es-AR"/>
        </w:rPr>
        <w:t>Acuerdo</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Cobertura</w:t>
      </w:r>
      <w:r w:rsidR="001A28B3" w:rsidRPr="00EA7870">
        <w:rPr>
          <w:sz w:val="20"/>
          <w:szCs w:val="20"/>
          <w:lang w:val="es-AR"/>
        </w:rPr>
        <w:t xml:space="preserve"> </w:t>
      </w:r>
      <w:r w:rsidRPr="00EA7870" w:rsidDel="0086191A">
        <w:rPr>
          <w:sz w:val="20"/>
          <w:szCs w:val="20"/>
          <w:lang w:val="es-AR"/>
        </w:rPr>
        <w:t>aplicable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sidDel="0086191A">
        <w:rPr>
          <w:sz w:val="20"/>
          <w:szCs w:val="20"/>
          <w:lang w:val="es-AR"/>
        </w:rPr>
        <w:t>si</w:t>
      </w:r>
      <w:r w:rsidR="001A28B3" w:rsidRPr="00EA7870">
        <w:rPr>
          <w:sz w:val="20"/>
          <w:szCs w:val="20"/>
          <w:lang w:val="es-AR"/>
        </w:rPr>
        <w:t xml:space="preserve"> </w:t>
      </w:r>
      <w:r w:rsidRPr="00EA7870" w:rsidDel="0086191A">
        <w:rPr>
          <w:sz w:val="20"/>
          <w:szCs w:val="20"/>
          <w:lang w:val="es-AR"/>
        </w:rPr>
        <w:t>el</w:t>
      </w:r>
      <w:r w:rsidR="001A28B3" w:rsidRPr="00EA7870">
        <w:rPr>
          <w:sz w:val="20"/>
          <w:szCs w:val="20"/>
          <w:lang w:val="es-AR"/>
        </w:rPr>
        <w:t xml:space="preserve"> </w:t>
      </w:r>
      <w:r w:rsidRPr="00EA7870" w:rsidDel="0086191A">
        <w:rPr>
          <w:sz w:val="20"/>
          <w:szCs w:val="20"/>
          <w:lang w:val="es-AR"/>
        </w:rPr>
        <w:t>Acuerdo</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Cobertura</w:t>
      </w:r>
      <w:r w:rsidR="001A28B3" w:rsidRPr="00EA7870">
        <w:rPr>
          <w:sz w:val="20"/>
          <w:szCs w:val="20"/>
          <w:lang w:val="es-AR"/>
        </w:rPr>
        <w:t xml:space="preserve"> </w:t>
      </w:r>
      <w:r w:rsidRPr="00EA7870" w:rsidDel="0086191A">
        <w:rPr>
          <w:sz w:val="20"/>
          <w:szCs w:val="20"/>
          <w:lang w:val="es-AR"/>
        </w:rPr>
        <w:t>tuviera</w:t>
      </w:r>
      <w:r w:rsidR="001A28B3" w:rsidRPr="00EA7870">
        <w:rPr>
          <w:sz w:val="20"/>
          <w:szCs w:val="20"/>
          <w:lang w:val="es-AR"/>
        </w:rPr>
        <w:t xml:space="preserve"> </w:t>
      </w:r>
      <w:r w:rsidRPr="00EA7870" w:rsidDel="0086191A">
        <w:rPr>
          <w:sz w:val="20"/>
          <w:szCs w:val="20"/>
          <w:lang w:val="es-AR"/>
        </w:rPr>
        <w:t>un</w:t>
      </w:r>
      <w:r w:rsidR="001A28B3" w:rsidRPr="00EA7870">
        <w:rPr>
          <w:sz w:val="20"/>
          <w:szCs w:val="20"/>
          <w:lang w:val="es-AR"/>
        </w:rPr>
        <w:t xml:space="preserve"> </w:t>
      </w:r>
      <w:r w:rsidRPr="00EA7870" w:rsidDel="0086191A">
        <w:rPr>
          <w:sz w:val="20"/>
          <w:szCs w:val="20"/>
          <w:lang w:val="es-AR"/>
        </w:rPr>
        <w:t>plazo</w:t>
      </w:r>
      <w:r w:rsidR="001A28B3" w:rsidRPr="00EA7870">
        <w:rPr>
          <w:sz w:val="20"/>
          <w:szCs w:val="20"/>
          <w:lang w:val="es-AR"/>
        </w:rPr>
        <w:t xml:space="preserve"> </w:t>
      </w:r>
      <w:r w:rsidRPr="00EA7870" w:rsidDel="0086191A">
        <w:rPr>
          <w:sz w:val="20"/>
          <w:szCs w:val="20"/>
          <w:lang w:val="es-AR"/>
        </w:rPr>
        <w:t>remanente</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al</w:t>
      </w:r>
      <w:r w:rsidR="001A28B3" w:rsidRPr="00EA7870">
        <w:rPr>
          <w:sz w:val="20"/>
          <w:szCs w:val="20"/>
          <w:lang w:val="es-AR"/>
        </w:rPr>
        <w:t xml:space="preserve"> </w:t>
      </w:r>
      <w:r w:rsidRPr="00EA7870" w:rsidDel="0086191A">
        <w:rPr>
          <w:sz w:val="20"/>
          <w:szCs w:val="20"/>
          <w:lang w:val="es-AR"/>
        </w:rPr>
        <w:t>menos</w:t>
      </w:r>
      <w:r w:rsidR="001A28B3" w:rsidRPr="00EA7870">
        <w:rPr>
          <w:sz w:val="20"/>
          <w:szCs w:val="20"/>
          <w:lang w:val="es-AR"/>
        </w:rPr>
        <w:t xml:space="preserve"> </w:t>
      </w:r>
      <w:r w:rsidRPr="00EA7870" w:rsidDel="0086191A">
        <w:rPr>
          <w:sz w:val="20"/>
          <w:szCs w:val="20"/>
          <w:lang w:val="es-AR"/>
        </w:rPr>
        <w:t>12</w:t>
      </w:r>
      <w:r w:rsidR="001A28B3" w:rsidRPr="00EA7870">
        <w:rPr>
          <w:sz w:val="20"/>
          <w:szCs w:val="20"/>
          <w:lang w:val="es-AR"/>
        </w:rPr>
        <w:t xml:space="preserve"> </w:t>
      </w:r>
      <w:r w:rsidRPr="00EA7870" w:rsidDel="0086191A">
        <w:rPr>
          <w:sz w:val="20"/>
          <w:szCs w:val="20"/>
          <w:lang w:val="es-AR"/>
        </w:rPr>
        <w:t>meses)</w:t>
      </w:r>
      <w:r w:rsidR="001A28B3" w:rsidRPr="00EA7870">
        <w:rPr>
          <w:sz w:val="20"/>
          <w:szCs w:val="20"/>
          <w:lang w:val="es-AR"/>
        </w:rPr>
        <w:t xml:space="preserve"> </w:t>
      </w:r>
      <w:r w:rsidRPr="00EA7870" w:rsidDel="0086191A">
        <w:rPr>
          <w:sz w:val="20"/>
          <w:szCs w:val="20"/>
          <w:lang w:val="es-AR"/>
        </w:rPr>
        <w:t>hubiera</w:t>
      </w:r>
      <w:r w:rsidR="001A28B3" w:rsidRPr="00EA7870">
        <w:rPr>
          <w:sz w:val="20"/>
          <w:szCs w:val="20"/>
          <w:lang w:val="es-AR"/>
        </w:rPr>
        <w:t xml:space="preserve"> </w:t>
      </w:r>
      <w:r w:rsidRPr="00EA7870" w:rsidDel="0086191A">
        <w:rPr>
          <w:sz w:val="20"/>
          <w:szCs w:val="20"/>
          <w:lang w:val="es-AR"/>
        </w:rPr>
        <w:t>sido</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tasa</w:t>
      </w:r>
      <w:r w:rsidR="001A28B3" w:rsidRPr="00EA7870">
        <w:rPr>
          <w:sz w:val="20"/>
          <w:szCs w:val="20"/>
          <w:lang w:val="es-AR"/>
        </w:rPr>
        <w:t xml:space="preserve"> </w:t>
      </w:r>
      <w:r w:rsidRPr="00EA7870" w:rsidDel="0086191A">
        <w:rPr>
          <w:sz w:val="20"/>
          <w:szCs w:val="20"/>
          <w:lang w:val="es-AR"/>
        </w:rPr>
        <w:t>aplicable</w:t>
      </w:r>
      <w:r w:rsidR="001A28B3" w:rsidRPr="00EA7870">
        <w:rPr>
          <w:sz w:val="20"/>
          <w:szCs w:val="20"/>
          <w:lang w:val="es-AR"/>
        </w:rPr>
        <w:t xml:space="preserve"> </w:t>
      </w:r>
      <w:r w:rsidRPr="00EA7870" w:rsidDel="0086191A">
        <w:rPr>
          <w:sz w:val="20"/>
          <w:szCs w:val="20"/>
          <w:lang w:val="es-AR"/>
        </w:rPr>
        <w:t>para</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sidDel="0086191A">
        <w:rPr>
          <w:sz w:val="20"/>
          <w:szCs w:val="20"/>
          <w:lang w:val="es-AR"/>
        </w:rPr>
        <w:t>el</w:t>
      </w:r>
      <w:r w:rsidR="001A28B3" w:rsidRPr="00EA7870">
        <w:rPr>
          <w:sz w:val="20"/>
          <w:szCs w:val="20"/>
          <w:lang w:val="es-AR"/>
        </w:rPr>
        <w:t xml:space="preserve"> </w:t>
      </w:r>
      <w:r w:rsidRPr="00EA7870" w:rsidDel="0086191A">
        <w:rPr>
          <w:sz w:val="20"/>
          <w:szCs w:val="20"/>
          <w:lang w:val="es-AR"/>
        </w:rPr>
        <w:t>período</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referencia;</w:t>
      </w:r>
    </w:p>
    <w:p w14:paraId="4BA97E24" w14:textId="77777777" w:rsidR="00376725" w:rsidRPr="00EA7870" w:rsidDel="0086191A" w:rsidRDefault="00376725" w:rsidP="00376725">
      <w:pPr>
        <w:tabs>
          <w:tab w:val="left" w:pos="0"/>
          <w:tab w:val="right" w:leader="dot" w:pos="8505"/>
        </w:tabs>
        <w:ind w:firstLine="709"/>
        <w:jc w:val="both"/>
        <w:rPr>
          <w:sz w:val="20"/>
          <w:szCs w:val="20"/>
          <w:lang w:val="es-AR"/>
        </w:rPr>
      </w:pPr>
    </w:p>
    <w:p w14:paraId="405910E8" w14:textId="77777777" w:rsidR="00376725" w:rsidRPr="00EA7870" w:rsidDel="0086191A" w:rsidRDefault="00376725" w:rsidP="00376725">
      <w:pPr>
        <w:tabs>
          <w:tab w:val="left" w:pos="0"/>
          <w:tab w:val="right" w:leader="dot" w:pos="8505"/>
        </w:tabs>
        <w:ind w:firstLine="709"/>
        <w:jc w:val="both"/>
        <w:rPr>
          <w:sz w:val="20"/>
          <w:szCs w:val="20"/>
          <w:lang w:val="es-AR"/>
        </w:rPr>
      </w:pPr>
      <w:r w:rsidRPr="00EA7870">
        <w:rPr>
          <w:sz w:val="20"/>
          <w:szCs w:val="20"/>
          <w:lang w:val="es-AR"/>
        </w:rPr>
        <w:t>c</w:t>
      </w:r>
      <w:r w:rsidRPr="00EA7870" w:rsidDel="0086191A">
        <w:rPr>
          <w:sz w:val="20"/>
          <w:szCs w:val="20"/>
          <w:lang w:val="es-AR"/>
        </w:rPr>
        <w:t>)</w:t>
      </w:r>
      <w:r w:rsidR="001A28B3" w:rsidRPr="00EA7870">
        <w:rPr>
          <w:sz w:val="20"/>
          <w:szCs w:val="20"/>
          <w:lang w:val="es-AR"/>
        </w:rPr>
        <w:t xml:space="preserve"> </w:t>
      </w:r>
      <w:r w:rsidRPr="00EA7870" w:rsidDel="0086191A">
        <w:rPr>
          <w:sz w:val="20"/>
          <w:szCs w:val="20"/>
          <w:lang w:val="es-AR"/>
        </w:rPr>
        <w:t>se</w:t>
      </w:r>
      <w:r w:rsidR="001A28B3" w:rsidRPr="00EA7870">
        <w:rPr>
          <w:sz w:val="20"/>
          <w:szCs w:val="20"/>
          <w:lang w:val="es-AR"/>
        </w:rPr>
        <w:t xml:space="preserve"> </w:t>
      </w:r>
      <w:r w:rsidRPr="00EA7870" w:rsidDel="0086191A">
        <w:rPr>
          <w:sz w:val="20"/>
          <w:szCs w:val="20"/>
          <w:lang w:val="es-AR"/>
        </w:rPr>
        <w:t>excluirá</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Cargo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sidDel="0086191A">
        <w:rPr>
          <w:sz w:val="20"/>
          <w:szCs w:val="20"/>
          <w:lang w:val="es-AR"/>
        </w:rPr>
        <w:t>Intereses</w:t>
      </w:r>
      <w:r w:rsidR="001A28B3" w:rsidRPr="00EA7870">
        <w:rPr>
          <w:sz w:val="20"/>
          <w:szCs w:val="20"/>
          <w:lang w:val="es-AR"/>
        </w:rPr>
        <w:t xml:space="preserve"> </w:t>
      </w:r>
      <w:r w:rsidRPr="00EA7870" w:rsidDel="0086191A">
        <w:rPr>
          <w:sz w:val="20"/>
          <w:szCs w:val="20"/>
          <w:lang w:val="es-AR"/>
        </w:rPr>
        <w:t>Consolidado</w:t>
      </w:r>
      <w:r w:rsidR="001A28B3" w:rsidRPr="00EA7870">
        <w:rPr>
          <w:sz w:val="20"/>
          <w:szCs w:val="20"/>
          <w:lang w:val="es-AR"/>
        </w:rPr>
        <w:t xml:space="preserve"> </w:t>
      </w:r>
      <w:r w:rsidRPr="00EA7870" w:rsidDel="0086191A">
        <w:rPr>
          <w:sz w:val="20"/>
          <w:szCs w:val="20"/>
          <w:lang w:val="es-AR"/>
        </w:rPr>
        <w:t>relativo</w:t>
      </w:r>
      <w:r w:rsidR="001A28B3" w:rsidRPr="00EA7870">
        <w:rPr>
          <w:sz w:val="20"/>
          <w:szCs w:val="20"/>
          <w:lang w:val="es-AR"/>
        </w:rPr>
        <w:t xml:space="preserve"> </w:t>
      </w:r>
      <w:r w:rsidRPr="00EA7870" w:rsidDel="0086191A">
        <w:rPr>
          <w:sz w:val="20"/>
          <w:szCs w:val="20"/>
          <w:lang w:val="es-AR"/>
        </w:rPr>
        <w:t>a</w:t>
      </w:r>
      <w:r w:rsidR="001A28B3" w:rsidRPr="00EA7870">
        <w:rPr>
          <w:sz w:val="20"/>
          <w:szCs w:val="20"/>
          <w:lang w:val="es-AR"/>
        </w:rPr>
        <w:t xml:space="preserve"> </w:t>
      </w:r>
      <w:r w:rsidRPr="00EA7870" w:rsidDel="0086191A">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sidDel="0086191A">
        <w:rPr>
          <w:sz w:val="20"/>
          <w:szCs w:val="20"/>
          <w:lang w:val="es-AR"/>
        </w:rPr>
        <w:t>que</w:t>
      </w:r>
      <w:r w:rsidR="001A28B3" w:rsidRPr="00EA7870">
        <w:rPr>
          <w:sz w:val="20"/>
          <w:szCs w:val="20"/>
          <w:lang w:val="es-AR"/>
        </w:rPr>
        <w:t xml:space="preserve"> </w:t>
      </w:r>
      <w:r w:rsidRPr="00EA7870" w:rsidDel="0086191A">
        <w:rPr>
          <w:sz w:val="20"/>
          <w:szCs w:val="20"/>
          <w:lang w:val="es-AR"/>
        </w:rPr>
        <w:t>ya</w:t>
      </w:r>
      <w:r w:rsidR="001A28B3" w:rsidRPr="00EA7870">
        <w:rPr>
          <w:sz w:val="20"/>
          <w:szCs w:val="20"/>
          <w:lang w:val="es-AR"/>
        </w:rPr>
        <w:t xml:space="preserve"> </w:t>
      </w:r>
      <w:r w:rsidRPr="00EA7870" w:rsidDel="0086191A">
        <w:rPr>
          <w:sz w:val="20"/>
          <w:szCs w:val="20"/>
          <w:lang w:val="es-AR"/>
        </w:rPr>
        <w:t>no</w:t>
      </w:r>
      <w:r w:rsidR="001A28B3" w:rsidRPr="00EA7870">
        <w:rPr>
          <w:sz w:val="20"/>
          <w:szCs w:val="20"/>
          <w:lang w:val="es-AR"/>
        </w:rPr>
        <w:t xml:space="preserve"> </w:t>
      </w:r>
      <w:r w:rsidRPr="00EA7870" w:rsidDel="0086191A">
        <w:rPr>
          <w:sz w:val="20"/>
          <w:szCs w:val="20"/>
          <w:lang w:val="es-AR"/>
        </w:rPr>
        <w:t>estuviera</w:t>
      </w:r>
      <w:r w:rsidR="001A28B3" w:rsidRPr="00EA7870">
        <w:rPr>
          <w:sz w:val="20"/>
          <w:szCs w:val="20"/>
          <w:lang w:val="es-AR"/>
        </w:rPr>
        <w:t xml:space="preserve"> </w:t>
      </w:r>
      <w:r w:rsidRPr="00EA7870" w:rsidDel="0086191A">
        <w:rPr>
          <w:sz w:val="20"/>
          <w:szCs w:val="20"/>
          <w:lang w:val="es-AR"/>
        </w:rPr>
        <w:t>pendiente</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que</w:t>
      </w:r>
      <w:r w:rsidR="001A28B3" w:rsidRPr="00EA7870">
        <w:rPr>
          <w:sz w:val="20"/>
          <w:szCs w:val="20"/>
          <w:lang w:val="es-AR"/>
        </w:rPr>
        <w:t xml:space="preserve"> </w:t>
      </w:r>
      <w:r w:rsidRPr="00EA7870" w:rsidDel="0086191A">
        <w:rPr>
          <w:sz w:val="20"/>
          <w:szCs w:val="20"/>
          <w:lang w:val="es-AR"/>
        </w:rPr>
        <w:t>fuera</w:t>
      </w:r>
      <w:r w:rsidR="001A28B3" w:rsidRPr="00EA7870">
        <w:rPr>
          <w:sz w:val="20"/>
          <w:szCs w:val="20"/>
          <w:lang w:val="es-AR"/>
        </w:rPr>
        <w:t xml:space="preserve"> </w:t>
      </w:r>
      <w:r w:rsidRPr="00EA7870" w:rsidDel="0086191A">
        <w:rPr>
          <w:sz w:val="20"/>
          <w:szCs w:val="20"/>
          <w:lang w:val="es-AR"/>
        </w:rPr>
        <w:t>amortizad</w:t>
      </w:r>
      <w:r w:rsidRPr="00EA7870">
        <w:rPr>
          <w:sz w:val="20"/>
          <w:szCs w:val="20"/>
          <w:lang w:val="es-AR"/>
        </w:rPr>
        <w:t>o</w:t>
      </w:r>
      <w:r w:rsidRPr="00EA7870" w:rsidDel="0086191A">
        <w:rPr>
          <w:sz w:val="20"/>
          <w:szCs w:val="20"/>
          <w:lang w:val="es-AR"/>
        </w:rPr>
        <w:t>,</w:t>
      </w:r>
      <w:r w:rsidR="001A28B3" w:rsidRPr="00EA7870">
        <w:rPr>
          <w:sz w:val="20"/>
          <w:szCs w:val="20"/>
          <w:lang w:val="es-AR"/>
        </w:rPr>
        <w:t xml:space="preserve"> </w:t>
      </w:r>
      <w:r w:rsidRPr="00EA7870" w:rsidDel="0086191A">
        <w:rPr>
          <w:sz w:val="20"/>
          <w:szCs w:val="20"/>
          <w:lang w:val="es-AR"/>
        </w:rPr>
        <w:t>recomprad</w:t>
      </w:r>
      <w:r w:rsidRPr="00EA7870">
        <w:rPr>
          <w:sz w:val="20"/>
          <w:szCs w:val="20"/>
          <w:lang w:val="es-AR"/>
        </w:rPr>
        <w:t>o</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rescatad</w:t>
      </w:r>
      <w:r w:rsidRPr="00EA7870">
        <w:rPr>
          <w:sz w:val="20"/>
          <w:szCs w:val="20"/>
          <w:lang w:val="es-AR"/>
        </w:rPr>
        <w:t>o</w:t>
      </w:r>
      <w:r w:rsidR="001A28B3" w:rsidRPr="00EA7870">
        <w:rPr>
          <w:sz w:val="20"/>
          <w:szCs w:val="20"/>
          <w:lang w:val="es-AR"/>
        </w:rPr>
        <w:t xml:space="preserve"> </w:t>
      </w:r>
      <w:r w:rsidRPr="00EA7870" w:rsidDel="0086191A">
        <w:rPr>
          <w:sz w:val="20"/>
          <w:szCs w:val="20"/>
          <w:lang w:val="es-AR"/>
        </w:rPr>
        <w:t>en</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fecha</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operación,</w:t>
      </w:r>
      <w:r w:rsidR="001A28B3" w:rsidRPr="00EA7870">
        <w:rPr>
          <w:sz w:val="20"/>
          <w:szCs w:val="20"/>
          <w:lang w:val="es-AR"/>
        </w:rPr>
        <w:t xml:space="preserve"> </w:t>
      </w:r>
      <w:r w:rsidRPr="00EA7870" w:rsidDel="0086191A">
        <w:rPr>
          <w:sz w:val="20"/>
          <w:szCs w:val="20"/>
          <w:lang w:val="es-AR"/>
        </w:rPr>
        <w:t>con</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excepción</w:t>
      </w:r>
      <w:r w:rsidR="001A28B3" w:rsidRPr="00EA7870">
        <w:rPr>
          <w:sz w:val="20"/>
          <w:szCs w:val="20"/>
          <w:lang w:val="es-AR"/>
        </w:rPr>
        <w:t xml:space="preserve"> </w:t>
      </w:r>
      <w:r w:rsidRPr="00EA7870" w:rsidDel="0086191A">
        <w:rPr>
          <w:sz w:val="20"/>
          <w:szCs w:val="20"/>
          <w:lang w:val="es-AR"/>
        </w:rPr>
        <w:t>de</w:t>
      </w:r>
      <w:r w:rsidRPr="00EA7870">
        <w:rPr>
          <w:sz w:val="20"/>
          <w:szCs w:val="20"/>
          <w:lang w:val="es-AR"/>
        </w:rPr>
        <w:t>l</w:t>
      </w:r>
      <w:r w:rsidR="001A28B3" w:rsidRPr="00EA7870">
        <w:rPr>
          <w:sz w:val="20"/>
          <w:szCs w:val="20"/>
          <w:lang w:val="es-AR"/>
        </w:rPr>
        <w:t xml:space="preserve"> </w:t>
      </w:r>
      <w:r w:rsidRPr="00EA7870">
        <w:rPr>
          <w:sz w:val="20"/>
          <w:szCs w:val="20"/>
          <w:lang w:val="es-AR"/>
        </w:rPr>
        <w:t>Cargo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Consolidado</w:t>
      </w:r>
      <w:r w:rsidR="001A28B3" w:rsidRPr="00EA7870">
        <w:rPr>
          <w:sz w:val="20"/>
          <w:szCs w:val="20"/>
          <w:lang w:val="es-AR"/>
        </w:rPr>
        <w:t xml:space="preserve"> </w:t>
      </w:r>
      <w:r w:rsidRPr="00EA7870" w:rsidDel="0086191A">
        <w:rPr>
          <w:sz w:val="20"/>
          <w:szCs w:val="20"/>
          <w:lang w:val="es-AR"/>
        </w:rPr>
        <w:t>devengado</w:t>
      </w:r>
      <w:r w:rsidR="001A28B3" w:rsidRPr="00EA7870">
        <w:rPr>
          <w:sz w:val="20"/>
          <w:szCs w:val="20"/>
          <w:lang w:val="es-AR"/>
        </w:rPr>
        <w:t xml:space="preserve"> </w:t>
      </w:r>
      <w:r w:rsidRPr="00EA7870" w:rsidDel="0086191A">
        <w:rPr>
          <w:sz w:val="20"/>
          <w:szCs w:val="20"/>
          <w:lang w:val="es-AR"/>
        </w:rPr>
        <w:t>durante</w:t>
      </w:r>
      <w:r w:rsidR="001A28B3" w:rsidRPr="00EA7870">
        <w:rPr>
          <w:sz w:val="20"/>
          <w:szCs w:val="20"/>
          <w:lang w:val="es-AR"/>
        </w:rPr>
        <w:t xml:space="preserve"> </w:t>
      </w:r>
      <w:r w:rsidRPr="00EA7870" w:rsidDel="0086191A">
        <w:rPr>
          <w:sz w:val="20"/>
          <w:szCs w:val="20"/>
          <w:lang w:val="es-AR"/>
        </w:rPr>
        <w:t>el</w:t>
      </w:r>
      <w:r w:rsidR="001A28B3" w:rsidRPr="00EA7870">
        <w:rPr>
          <w:sz w:val="20"/>
          <w:szCs w:val="20"/>
          <w:lang w:val="es-AR"/>
        </w:rPr>
        <w:t xml:space="preserve"> </w:t>
      </w:r>
      <w:r w:rsidRPr="00EA7870" w:rsidDel="0086191A">
        <w:rPr>
          <w:sz w:val="20"/>
          <w:szCs w:val="20"/>
          <w:lang w:val="es-AR"/>
        </w:rPr>
        <w:t>período</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referencia</w:t>
      </w:r>
      <w:r w:rsidR="001A28B3" w:rsidRPr="00EA7870">
        <w:rPr>
          <w:sz w:val="20"/>
          <w:szCs w:val="20"/>
          <w:lang w:val="es-AR"/>
        </w:rPr>
        <w:t xml:space="preserve"> </w:t>
      </w:r>
      <w:r w:rsidRPr="00EA7870" w:rsidDel="0086191A">
        <w:rPr>
          <w:sz w:val="20"/>
          <w:szCs w:val="20"/>
          <w:lang w:val="es-AR"/>
        </w:rPr>
        <w:t>bajo</w:t>
      </w:r>
      <w:r w:rsidR="001A28B3" w:rsidRPr="00EA7870">
        <w:rPr>
          <w:sz w:val="20"/>
          <w:szCs w:val="20"/>
          <w:lang w:val="es-AR"/>
        </w:rPr>
        <w:t xml:space="preserve"> </w:t>
      </w:r>
      <w:r w:rsidRPr="00EA7870" w:rsidDel="0086191A">
        <w:rPr>
          <w:sz w:val="20"/>
          <w:szCs w:val="20"/>
          <w:lang w:val="es-AR"/>
        </w:rPr>
        <w:t>un</w:t>
      </w:r>
      <w:r w:rsidR="001A28B3" w:rsidRPr="00EA7870">
        <w:rPr>
          <w:sz w:val="20"/>
          <w:szCs w:val="20"/>
          <w:lang w:val="es-AR"/>
        </w:rPr>
        <w:t xml:space="preserve"> </w:t>
      </w:r>
      <w:r w:rsidRPr="00EA7870" w:rsidDel="0086191A">
        <w:rPr>
          <w:sz w:val="20"/>
          <w:szCs w:val="20"/>
          <w:lang w:val="es-AR"/>
        </w:rPr>
        <w:t>crédito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renovación</w:t>
      </w:r>
      <w:r w:rsidR="001A28B3" w:rsidRPr="00EA7870">
        <w:rPr>
          <w:sz w:val="20"/>
          <w:szCs w:val="20"/>
          <w:lang w:val="es-AR"/>
        </w:rPr>
        <w:t xml:space="preserve"> </w:t>
      </w:r>
      <w:r w:rsidRPr="00EA7870">
        <w:rPr>
          <w:sz w:val="20"/>
          <w:szCs w:val="20"/>
          <w:lang w:val="es-AR"/>
        </w:rPr>
        <w:t>automática</w:t>
      </w:r>
      <w:r w:rsidR="001A28B3" w:rsidRPr="00EA7870">
        <w:rPr>
          <w:sz w:val="20"/>
          <w:szCs w:val="20"/>
          <w:lang w:val="es-AR"/>
        </w:rPr>
        <w:t xml:space="preserve"> </w:t>
      </w:r>
      <w:r w:rsidRPr="00EA7870" w:rsidDel="0086191A">
        <w:rPr>
          <w:sz w:val="20"/>
          <w:szCs w:val="20"/>
          <w:lang w:val="es-AR"/>
        </w:rPr>
        <w:t>en</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medida</w:t>
      </w:r>
      <w:r w:rsidR="001A28B3" w:rsidRPr="00EA7870">
        <w:rPr>
          <w:sz w:val="20"/>
          <w:szCs w:val="20"/>
          <w:lang w:val="es-AR"/>
        </w:rPr>
        <w:t xml:space="preserve"> </w:t>
      </w:r>
      <w:r w:rsidRPr="00EA7870" w:rsidDel="0086191A">
        <w:rPr>
          <w:sz w:val="20"/>
          <w:szCs w:val="20"/>
          <w:lang w:val="es-AR"/>
        </w:rPr>
        <w:t>del</w:t>
      </w:r>
      <w:r w:rsidR="001A28B3" w:rsidRPr="00EA7870">
        <w:rPr>
          <w:sz w:val="20"/>
          <w:szCs w:val="20"/>
          <w:lang w:val="es-AR"/>
        </w:rPr>
        <w:t xml:space="preserve"> </w:t>
      </w:r>
      <w:r w:rsidRPr="00EA7870" w:rsidDel="0086191A">
        <w:rPr>
          <w:sz w:val="20"/>
          <w:szCs w:val="20"/>
          <w:lang w:val="es-AR"/>
        </w:rPr>
        <w:t>compromiso</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conforme</w:t>
      </w:r>
      <w:r w:rsidR="001A28B3" w:rsidRPr="00EA7870">
        <w:rPr>
          <w:sz w:val="20"/>
          <w:szCs w:val="20"/>
          <w:lang w:val="es-AR"/>
        </w:rPr>
        <w:t xml:space="preserve"> </w:t>
      </w:r>
      <w:r w:rsidRPr="00EA7870" w:rsidDel="0086191A">
        <w:rPr>
          <w:sz w:val="20"/>
          <w:szCs w:val="20"/>
          <w:lang w:val="es-AR"/>
        </w:rPr>
        <w:t>a</w:t>
      </w:r>
      <w:r w:rsidR="001A28B3" w:rsidRPr="00EA7870">
        <w:rPr>
          <w:sz w:val="20"/>
          <w:szCs w:val="20"/>
          <w:lang w:val="es-AR"/>
        </w:rPr>
        <w:t xml:space="preserve"> </w:t>
      </w:r>
      <w:r w:rsidRPr="00EA7870" w:rsidDel="0086191A">
        <w:rPr>
          <w:sz w:val="20"/>
          <w:szCs w:val="20"/>
          <w:lang w:val="es-AR"/>
        </w:rPr>
        <w:t>cualquier</w:t>
      </w:r>
      <w:r w:rsidR="001A28B3" w:rsidRPr="00EA7870">
        <w:rPr>
          <w:sz w:val="20"/>
          <w:szCs w:val="20"/>
          <w:lang w:val="es-AR"/>
        </w:rPr>
        <w:t xml:space="preserve"> </w:t>
      </w:r>
      <w:r w:rsidRPr="00EA7870" w:rsidDel="0086191A">
        <w:rPr>
          <w:sz w:val="20"/>
          <w:szCs w:val="20"/>
          <w:lang w:val="es-AR"/>
        </w:rPr>
        <w:t>crédito</w:t>
      </w:r>
      <w:r w:rsidR="001A28B3" w:rsidRPr="00EA7870">
        <w:rPr>
          <w:sz w:val="20"/>
          <w:szCs w:val="20"/>
          <w:lang w:val="es-AR"/>
        </w:rPr>
        <w:t xml:space="preserve"> </w:t>
      </w:r>
      <w:r w:rsidRPr="00EA7870" w:rsidDel="0086191A">
        <w:rPr>
          <w:sz w:val="20"/>
          <w:szCs w:val="20"/>
          <w:lang w:val="es-AR"/>
        </w:rPr>
        <w:t>renovable</w:t>
      </w:r>
      <w:r w:rsidR="001A28B3" w:rsidRPr="00EA7870">
        <w:rPr>
          <w:sz w:val="20"/>
          <w:szCs w:val="20"/>
          <w:lang w:val="es-AR"/>
        </w:rPr>
        <w:t xml:space="preserve"> </w:t>
      </w:r>
      <w:r w:rsidRPr="00EA7870" w:rsidDel="0086191A">
        <w:rPr>
          <w:sz w:val="20"/>
          <w:szCs w:val="20"/>
          <w:lang w:val="es-AR"/>
        </w:rPr>
        <w:t>reemplazante)</w:t>
      </w:r>
      <w:r w:rsidR="001A28B3" w:rsidRPr="00EA7870">
        <w:rPr>
          <w:sz w:val="20"/>
          <w:szCs w:val="20"/>
          <w:lang w:val="es-AR"/>
        </w:rPr>
        <w:t xml:space="preserve"> </w:t>
      </w:r>
      <w:r w:rsidRPr="00EA7870">
        <w:rPr>
          <w:sz w:val="20"/>
          <w:szCs w:val="20"/>
          <w:lang w:val="es-AR"/>
        </w:rPr>
        <w:t>pendiente</w:t>
      </w:r>
      <w:r w:rsidR="001A28B3" w:rsidRPr="00EA7870">
        <w:rPr>
          <w:sz w:val="20"/>
          <w:szCs w:val="20"/>
          <w:lang w:val="es-AR"/>
        </w:rPr>
        <w:t xml:space="preserve"> </w:t>
      </w:r>
      <w:r w:rsidRPr="00EA7870" w:rsidDel="0086191A">
        <w:rPr>
          <w:sz w:val="20"/>
          <w:szCs w:val="20"/>
          <w:lang w:val="es-AR"/>
        </w:rPr>
        <w:t>en</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fecha</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operación;</w:t>
      </w:r>
    </w:p>
    <w:p w14:paraId="33EA685A" w14:textId="77777777" w:rsidR="00376725" w:rsidRPr="00EA7870" w:rsidDel="0086191A" w:rsidRDefault="00376725" w:rsidP="00376725">
      <w:pPr>
        <w:tabs>
          <w:tab w:val="left" w:pos="0"/>
          <w:tab w:val="right" w:leader="dot" w:pos="8505"/>
        </w:tabs>
        <w:ind w:firstLine="709"/>
        <w:jc w:val="both"/>
        <w:rPr>
          <w:sz w:val="20"/>
          <w:szCs w:val="20"/>
          <w:lang w:val="es-AR"/>
        </w:rPr>
      </w:pPr>
    </w:p>
    <w:p w14:paraId="42B216E4"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d</w:t>
      </w:r>
      <w:r w:rsidRPr="00EA7870" w:rsidDel="0086191A">
        <w:rPr>
          <w:sz w:val="20"/>
          <w:szCs w:val="20"/>
          <w:lang w:val="es-AR"/>
        </w:rPr>
        <w:t>)</w:t>
      </w:r>
      <w:r w:rsidR="001A28B3" w:rsidRPr="00EA7870">
        <w:rPr>
          <w:sz w:val="20"/>
          <w:szCs w:val="20"/>
          <w:lang w:val="es-AR"/>
        </w:rPr>
        <w:t xml:space="preserve"> </w:t>
      </w:r>
      <w:r w:rsidRPr="00EA7870" w:rsidDel="0086191A">
        <w:rPr>
          <w:sz w:val="20"/>
          <w:szCs w:val="20"/>
          <w:lang w:val="es-AR"/>
        </w:rPr>
        <w:t>se</w:t>
      </w:r>
      <w:r w:rsidR="001A28B3" w:rsidRPr="00EA7870">
        <w:rPr>
          <w:sz w:val="20"/>
          <w:szCs w:val="20"/>
          <w:lang w:val="es-AR"/>
        </w:rPr>
        <w:t xml:space="preserve"> </w:t>
      </w:r>
      <w:r w:rsidRPr="00EA7870" w:rsidDel="0086191A">
        <w:rPr>
          <w:sz w:val="20"/>
          <w:szCs w:val="20"/>
          <w:lang w:val="es-AR"/>
        </w:rPr>
        <w:t>dará</w:t>
      </w:r>
      <w:r w:rsidR="001A28B3" w:rsidRPr="00EA7870">
        <w:rPr>
          <w:sz w:val="20"/>
          <w:szCs w:val="20"/>
          <w:lang w:val="es-AR"/>
        </w:rPr>
        <w:t xml:space="preserve"> </w:t>
      </w:r>
      <w:r w:rsidRPr="00EA7870" w:rsidDel="0086191A">
        <w:rPr>
          <w:sz w:val="20"/>
          <w:szCs w:val="20"/>
          <w:lang w:val="es-AR"/>
        </w:rPr>
        <w:t>efecto</w:t>
      </w:r>
      <w:r w:rsidR="001A28B3" w:rsidRPr="00EA7870">
        <w:rPr>
          <w:sz w:val="20"/>
          <w:szCs w:val="20"/>
          <w:lang w:val="es-AR"/>
        </w:rPr>
        <w:t xml:space="preserve"> </w:t>
      </w:r>
      <w:r w:rsidRPr="00EA7870" w:rsidDel="0086191A">
        <w:rPr>
          <w:i/>
          <w:sz w:val="20"/>
          <w:szCs w:val="20"/>
          <w:lang w:val="es-AR"/>
        </w:rPr>
        <w:t>pro</w:t>
      </w:r>
      <w:r w:rsidR="001A28B3" w:rsidRPr="00EA7870">
        <w:rPr>
          <w:i/>
          <w:sz w:val="20"/>
          <w:szCs w:val="20"/>
          <w:lang w:val="es-AR"/>
        </w:rPr>
        <w:t xml:space="preserve"> </w:t>
      </w:r>
      <w:r w:rsidRPr="00EA7870" w:rsidDel="0086191A">
        <w:rPr>
          <w:i/>
          <w:sz w:val="20"/>
          <w:szCs w:val="20"/>
          <w:lang w:val="es-AR"/>
        </w:rPr>
        <w:t>forma</w:t>
      </w:r>
      <w:r w:rsidR="001A28B3" w:rsidRPr="00EA7870">
        <w:rPr>
          <w:sz w:val="20"/>
          <w:szCs w:val="20"/>
          <w:lang w:val="es-AR"/>
        </w:rPr>
        <w:t xml:space="preserve"> </w:t>
      </w:r>
      <w:r w:rsidRPr="00EA7870" w:rsidDel="0086191A">
        <w:rPr>
          <w:sz w:val="20"/>
          <w:szCs w:val="20"/>
          <w:lang w:val="es-AR"/>
        </w:rPr>
        <w:t>a:</w:t>
      </w:r>
      <w:r w:rsidR="001A28B3" w:rsidRPr="00EA7870">
        <w:rPr>
          <w:sz w:val="20"/>
          <w:szCs w:val="20"/>
          <w:lang w:val="es-AR"/>
        </w:rPr>
        <w:t xml:space="preserve"> </w:t>
      </w:r>
      <w:r w:rsidRPr="00EA7870" w:rsidDel="0086191A">
        <w:rPr>
          <w:sz w:val="20"/>
          <w:szCs w:val="20"/>
          <w:lang w:val="es-AR"/>
        </w:rPr>
        <w:t>(</w:t>
      </w:r>
      <w:r w:rsidRPr="00EA7870">
        <w:rPr>
          <w:sz w:val="20"/>
          <w:szCs w:val="20"/>
          <w:lang w:val="es-AR"/>
        </w:rPr>
        <w:t>1</w:t>
      </w:r>
      <w:r w:rsidRPr="00EA7870" w:rsidDel="0086191A">
        <w:rPr>
          <w:sz w:val="20"/>
          <w:szCs w:val="20"/>
          <w:lang w:val="es-AR"/>
        </w:rPr>
        <w:t>)</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adquisición</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disposición</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sociedades,</w:t>
      </w:r>
      <w:r w:rsidR="001A28B3" w:rsidRPr="00EA7870">
        <w:rPr>
          <w:sz w:val="20"/>
          <w:szCs w:val="20"/>
          <w:lang w:val="es-AR"/>
        </w:rPr>
        <w:t xml:space="preserve"> </w:t>
      </w:r>
      <w:r w:rsidRPr="00EA7870" w:rsidDel="0086191A">
        <w:rPr>
          <w:sz w:val="20"/>
          <w:szCs w:val="20"/>
          <w:lang w:val="es-AR"/>
        </w:rPr>
        <w:t>divisiones</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líneas</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negocios</w:t>
      </w:r>
      <w:r w:rsidR="001A28B3" w:rsidRPr="00EA7870">
        <w:rPr>
          <w:sz w:val="20"/>
          <w:szCs w:val="20"/>
          <w:lang w:val="es-AR"/>
        </w:rPr>
        <w:t xml:space="preserve"> </w:t>
      </w:r>
      <w:r w:rsidRPr="00EA7870" w:rsidDel="0086191A">
        <w:rPr>
          <w:sz w:val="20"/>
          <w:szCs w:val="20"/>
          <w:lang w:val="es-AR"/>
        </w:rPr>
        <w:t>por</w:t>
      </w:r>
      <w:r w:rsidR="001A28B3" w:rsidRPr="00EA7870">
        <w:rPr>
          <w:sz w:val="20"/>
          <w:szCs w:val="20"/>
          <w:lang w:val="es-AR"/>
        </w:rPr>
        <w:t xml:space="preserve"> </w:t>
      </w:r>
      <w:r w:rsidRPr="00EA7870" w:rsidDel="0086191A">
        <w:rPr>
          <w:sz w:val="20"/>
          <w:szCs w:val="20"/>
          <w:lang w:val="es-AR"/>
        </w:rPr>
        <w:t>parte</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Subsidiarias,</w:t>
      </w:r>
      <w:r w:rsidR="001A28B3" w:rsidRPr="00EA7870">
        <w:rPr>
          <w:sz w:val="20"/>
          <w:szCs w:val="20"/>
          <w:lang w:val="es-AR"/>
        </w:rPr>
        <w:t xml:space="preserve"> </w:t>
      </w:r>
      <w:r w:rsidRPr="00EA7870" w:rsidDel="0086191A">
        <w:rPr>
          <w:sz w:val="20"/>
          <w:szCs w:val="20"/>
          <w:lang w:val="es-AR"/>
        </w:rPr>
        <w:t>incluso</w:t>
      </w:r>
      <w:r w:rsidR="001A28B3" w:rsidRPr="00EA7870">
        <w:rPr>
          <w:sz w:val="20"/>
          <w:szCs w:val="20"/>
          <w:lang w:val="es-AR"/>
        </w:rPr>
        <w:t xml:space="preserve"> </w:t>
      </w:r>
      <w:r w:rsidRPr="00EA7870" w:rsidDel="0086191A">
        <w:rPr>
          <w:sz w:val="20"/>
          <w:szCs w:val="20"/>
          <w:lang w:val="es-AR"/>
        </w:rPr>
        <w:t>cualquier</w:t>
      </w:r>
      <w:r w:rsidR="001A28B3" w:rsidRPr="00EA7870">
        <w:rPr>
          <w:sz w:val="20"/>
          <w:szCs w:val="20"/>
          <w:lang w:val="es-AR"/>
        </w:rPr>
        <w:t xml:space="preserve"> </w:t>
      </w:r>
      <w:r w:rsidRPr="00EA7870" w:rsidDel="0086191A">
        <w:rPr>
          <w:sz w:val="20"/>
          <w:szCs w:val="20"/>
          <w:lang w:val="es-AR"/>
        </w:rPr>
        <w:t>adquisición</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disposición</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una</w:t>
      </w:r>
      <w:r w:rsidR="001A28B3" w:rsidRPr="00EA7870">
        <w:rPr>
          <w:sz w:val="20"/>
          <w:szCs w:val="20"/>
          <w:lang w:val="es-AR"/>
        </w:rPr>
        <w:t xml:space="preserve"> </w:t>
      </w:r>
      <w:r w:rsidRPr="00EA7870" w:rsidDel="0086191A">
        <w:rPr>
          <w:sz w:val="20"/>
          <w:szCs w:val="20"/>
          <w:lang w:val="es-AR"/>
        </w:rPr>
        <w:t>sociedad,</w:t>
      </w:r>
      <w:r w:rsidR="001A28B3" w:rsidRPr="00EA7870">
        <w:rPr>
          <w:sz w:val="20"/>
          <w:szCs w:val="20"/>
          <w:lang w:val="es-AR"/>
        </w:rPr>
        <w:t xml:space="preserve"> </w:t>
      </w:r>
      <w:r w:rsidRPr="00EA7870" w:rsidDel="0086191A">
        <w:rPr>
          <w:sz w:val="20"/>
          <w:szCs w:val="20"/>
          <w:lang w:val="es-AR"/>
        </w:rPr>
        <w:t>división</w:t>
      </w:r>
      <w:r w:rsidR="001A28B3" w:rsidRPr="00EA7870">
        <w:rPr>
          <w:sz w:val="20"/>
          <w:szCs w:val="20"/>
          <w:lang w:val="es-AR"/>
        </w:rPr>
        <w:t xml:space="preserve"> </w:t>
      </w:r>
      <w:r w:rsidRPr="00EA7870" w:rsidDel="0086191A">
        <w:rPr>
          <w:sz w:val="20"/>
          <w:szCs w:val="20"/>
          <w:lang w:val="es-AR"/>
        </w:rPr>
        <w:t>o</w:t>
      </w:r>
      <w:r w:rsidR="001A28B3" w:rsidRPr="00EA7870">
        <w:rPr>
          <w:sz w:val="20"/>
          <w:szCs w:val="20"/>
          <w:lang w:val="es-AR"/>
        </w:rPr>
        <w:t xml:space="preserve"> </w:t>
      </w:r>
      <w:r w:rsidRPr="00EA7870" w:rsidDel="0086191A">
        <w:rPr>
          <w:sz w:val="20"/>
          <w:szCs w:val="20"/>
          <w:lang w:val="es-AR"/>
        </w:rPr>
        <w:t>línea</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negocios</w:t>
      </w:r>
      <w:r w:rsidR="001A28B3" w:rsidRPr="00EA7870">
        <w:rPr>
          <w:sz w:val="20"/>
          <w:szCs w:val="20"/>
          <w:lang w:val="es-AR"/>
        </w:rPr>
        <w:t xml:space="preserve"> </w:t>
      </w:r>
      <w:r w:rsidRPr="00EA7870" w:rsidDel="0086191A">
        <w:rPr>
          <w:sz w:val="20"/>
          <w:szCs w:val="20"/>
          <w:lang w:val="es-AR"/>
        </w:rPr>
        <w:t>desde</w:t>
      </w:r>
      <w:r w:rsidR="001A28B3" w:rsidRPr="00EA7870">
        <w:rPr>
          <w:sz w:val="20"/>
          <w:szCs w:val="20"/>
          <w:lang w:val="es-AR"/>
        </w:rPr>
        <w:t xml:space="preserve"> </w:t>
      </w:r>
      <w:r w:rsidRPr="00EA7870" w:rsidDel="0086191A">
        <w:rPr>
          <w:sz w:val="20"/>
          <w:szCs w:val="20"/>
          <w:lang w:val="es-AR"/>
        </w:rPr>
        <w:t>el</w:t>
      </w:r>
      <w:r w:rsidR="001A28B3" w:rsidRPr="00EA7870">
        <w:rPr>
          <w:sz w:val="20"/>
          <w:szCs w:val="20"/>
          <w:lang w:val="es-AR"/>
        </w:rPr>
        <w:t xml:space="preserve"> </w:t>
      </w:r>
      <w:r w:rsidRPr="00EA7870" w:rsidDel="0086191A">
        <w:rPr>
          <w:sz w:val="20"/>
          <w:szCs w:val="20"/>
          <w:lang w:val="es-AR"/>
        </w:rPr>
        <w:t>comienzo</w:t>
      </w:r>
      <w:r w:rsidR="001A28B3" w:rsidRPr="00EA7870">
        <w:rPr>
          <w:sz w:val="20"/>
          <w:szCs w:val="20"/>
          <w:lang w:val="es-AR"/>
        </w:rPr>
        <w:t xml:space="preserve"> </w:t>
      </w:r>
      <w:r w:rsidRPr="00EA7870" w:rsidDel="0086191A">
        <w:rPr>
          <w:sz w:val="20"/>
          <w:szCs w:val="20"/>
          <w:lang w:val="es-AR"/>
        </w:rPr>
        <w:t>del</w:t>
      </w:r>
      <w:r w:rsidR="001A28B3" w:rsidRPr="00EA7870">
        <w:rPr>
          <w:sz w:val="20"/>
          <w:szCs w:val="20"/>
          <w:lang w:val="es-AR"/>
        </w:rPr>
        <w:t xml:space="preserve"> </w:t>
      </w:r>
      <w:r w:rsidRPr="00EA7870" w:rsidDel="0086191A">
        <w:rPr>
          <w:sz w:val="20"/>
          <w:szCs w:val="20"/>
          <w:lang w:val="es-AR"/>
        </w:rPr>
        <w:t>período</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referencia</w:t>
      </w:r>
      <w:r w:rsidR="001A28B3" w:rsidRPr="00EA7870">
        <w:rPr>
          <w:sz w:val="20"/>
          <w:szCs w:val="20"/>
          <w:lang w:val="es-AR"/>
        </w:rPr>
        <w:t xml:space="preserve"> </w:t>
      </w:r>
      <w:r w:rsidRPr="00EA7870" w:rsidDel="0086191A">
        <w:rPr>
          <w:sz w:val="20"/>
          <w:szCs w:val="20"/>
          <w:lang w:val="es-AR"/>
        </w:rPr>
        <w:t>por</w:t>
      </w:r>
      <w:r w:rsidR="001A28B3" w:rsidRPr="00EA7870">
        <w:rPr>
          <w:sz w:val="20"/>
          <w:szCs w:val="20"/>
          <w:lang w:val="es-AR"/>
        </w:rPr>
        <w:t xml:space="preserve"> </w:t>
      </w:r>
      <w:r w:rsidRPr="00EA7870" w:rsidDel="0086191A">
        <w:rPr>
          <w:sz w:val="20"/>
          <w:szCs w:val="20"/>
          <w:lang w:val="es-AR"/>
        </w:rPr>
        <w:t>parte</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una</w:t>
      </w:r>
      <w:r w:rsidR="001A28B3" w:rsidRPr="00EA7870">
        <w:rPr>
          <w:sz w:val="20"/>
          <w:szCs w:val="20"/>
          <w:lang w:val="es-AR"/>
        </w:rPr>
        <w:t xml:space="preserve"> </w:t>
      </w:r>
      <w:r w:rsidRPr="00EA7870" w:rsidDel="0086191A">
        <w:rPr>
          <w:sz w:val="20"/>
          <w:szCs w:val="20"/>
          <w:lang w:val="es-AR"/>
        </w:rPr>
        <w:t>Persona</w:t>
      </w:r>
      <w:r w:rsidR="001A28B3" w:rsidRPr="00EA7870">
        <w:rPr>
          <w:sz w:val="20"/>
          <w:szCs w:val="20"/>
          <w:lang w:val="es-AR"/>
        </w:rPr>
        <w:t xml:space="preserve"> </w:t>
      </w:r>
      <w:r w:rsidRPr="00EA7870" w:rsidDel="0086191A">
        <w:rPr>
          <w:sz w:val="20"/>
          <w:szCs w:val="20"/>
          <w:lang w:val="es-AR"/>
        </w:rPr>
        <w:t>que</w:t>
      </w:r>
      <w:r w:rsidR="001A28B3" w:rsidRPr="00EA7870">
        <w:rPr>
          <w:sz w:val="20"/>
          <w:szCs w:val="20"/>
          <w:lang w:val="es-AR"/>
        </w:rPr>
        <w:t xml:space="preserve"> </w:t>
      </w:r>
      <w:r w:rsidRPr="00EA7870" w:rsidDel="0086191A">
        <w:rPr>
          <w:sz w:val="20"/>
          <w:szCs w:val="20"/>
          <w:lang w:val="es-AR"/>
        </w:rPr>
        <w:t>pasó</w:t>
      </w:r>
      <w:r w:rsidR="001A28B3" w:rsidRPr="00EA7870">
        <w:rPr>
          <w:sz w:val="20"/>
          <w:szCs w:val="20"/>
          <w:lang w:val="es-AR"/>
        </w:rPr>
        <w:t xml:space="preserve"> </w:t>
      </w:r>
      <w:r w:rsidRPr="00EA7870" w:rsidDel="0086191A">
        <w:rPr>
          <w:sz w:val="20"/>
          <w:szCs w:val="20"/>
          <w:lang w:val="es-AR"/>
        </w:rPr>
        <w:t>a</w:t>
      </w:r>
      <w:r w:rsidR="001A28B3" w:rsidRPr="00EA7870">
        <w:rPr>
          <w:sz w:val="20"/>
          <w:szCs w:val="20"/>
          <w:lang w:val="es-AR"/>
        </w:rPr>
        <w:t xml:space="preserve"> </w:t>
      </w:r>
      <w:r w:rsidRPr="00EA7870" w:rsidDel="0086191A">
        <w:rPr>
          <w:sz w:val="20"/>
          <w:szCs w:val="20"/>
          <w:lang w:val="es-AR"/>
        </w:rPr>
        <w:t>ser</w:t>
      </w:r>
      <w:r w:rsidR="001A28B3" w:rsidRPr="00EA7870">
        <w:rPr>
          <w:sz w:val="20"/>
          <w:szCs w:val="20"/>
          <w:lang w:val="es-AR"/>
        </w:rPr>
        <w:t xml:space="preserve"> </w:t>
      </w:r>
      <w:r w:rsidRPr="00EA7870" w:rsidDel="0086191A">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cualquiera</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éstas</w:t>
      </w:r>
      <w:r w:rsidR="001A28B3" w:rsidRPr="00EA7870">
        <w:rPr>
          <w:sz w:val="20"/>
          <w:szCs w:val="20"/>
          <w:lang w:val="es-AR"/>
        </w:rPr>
        <w:t xml:space="preserve"> </w:t>
      </w:r>
      <w:r w:rsidRPr="00EA7870" w:rsidDel="0086191A">
        <w:rPr>
          <w:sz w:val="20"/>
          <w:szCs w:val="20"/>
          <w:lang w:val="es-AR"/>
        </w:rPr>
        <w:t>después</w:t>
      </w:r>
      <w:r w:rsidR="001A28B3" w:rsidRPr="00EA7870">
        <w:rPr>
          <w:sz w:val="20"/>
          <w:szCs w:val="20"/>
          <w:lang w:val="es-AR"/>
        </w:rPr>
        <w:t xml:space="preserve"> </w:t>
      </w:r>
      <w:r w:rsidRPr="00EA7870" w:rsidDel="0086191A">
        <w:rPr>
          <w:sz w:val="20"/>
          <w:szCs w:val="20"/>
          <w:lang w:val="es-AR"/>
        </w:rPr>
        <w:t>del</w:t>
      </w:r>
      <w:r w:rsidR="001A28B3" w:rsidRPr="00EA7870">
        <w:rPr>
          <w:sz w:val="20"/>
          <w:szCs w:val="20"/>
          <w:lang w:val="es-AR"/>
        </w:rPr>
        <w:t xml:space="preserve"> </w:t>
      </w:r>
      <w:r w:rsidRPr="00EA7870" w:rsidDel="0086191A">
        <w:rPr>
          <w:sz w:val="20"/>
          <w:szCs w:val="20"/>
          <w:lang w:val="es-AR"/>
        </w:rPr>
        <w:t>comienzo</w:t>
      </w:r>
      <w:r w:rsidR="001A28B3" w:rsidRPr="00EA7870">
        <w:rPr>
          <w:sz w:val="20"/>
          <w:szCs w:val="20"/>
          <w:lang w:val="es-AR"/>
        </w:rPr>
        <w:t xml:space="preserve"> </w:t>
      </w:r>
      <w:r w:rsidRPr="00EA7870" w:rsidDel="0086191A">
        <w:rPr>
          <w:sz w:val="20"/>
          <w:szCs w:val="20"/>
          <w:lang w:val="es-AR"/>
        </w:rPr>
        <w:t>del</w:t>
      </w:r>
      <w:r w:rsidR="001A28B3" w:rsidRPr="00EA7870">
        <w:rPr>
          <w:sz w:val="20"/>
          <w:szCs w:val="20"/>
          <w:lang w:val="es-AR"/>
        </w:rPr>
        <w:t xml:space="preserve"> </w:t>
      </w:r>
      <w:r w:rsidRPr="00EA7870" w:rsidDel="0086191A">
        <w:rPr>
          <w:sz w:val="20"/>
          <w:szCs w:val="20"/>
          <w:lang w:val="es-AR"/>
        </w:rPr>
        <w:t>período</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referencia,</w:t>
      </w:r>
      <w:r w:rsidR="001A28B3" w:rsidRPr="00EA7870">
        <w:rPr>
          <w:sz w:val="20"/>
          <w:szCs w:val="20"/>
          <w:lang w:val="es-AR"/>
        </w:rPr>
        <w:t xml:space="preserve"> </w:t>
      </w:r>
      <w:r w:rsidRPr="00EA7870" w:rsidDel="0086191A">
        <w:rPr>
          <w:sz w:val="20"/>
          <w:szCs w:val="20"/>
          <w:lang w:val="es-AR"/>
        </w:rPr>
        <w:t>y</w:t>
      </w:r>
      <w:r w:rsidR="001A28B3" w:rsidRPr="00EA7870">
        <w:rPr>
          <w:sz w:val="20"/>
          <w:szCs w:val="20"/>
          <w:lang w:val="es-AR"/>
        </w:rPr>
        <w:t xml:space="preserve"> </w:t>
      </w:r>
      <w:r w:rsidRPr="00EA7870" w:rsidDel="0086191A">
        <w:rPr>
          <w:sz w:val="20"/>
          <w:szCs w:val="20"/>
          <w:lang w:val="es-AR"/>
        </w:rPr>
        <w:t>(</w:t>
      </w:r>
      <w:r w:rsidRPr="00EA7870">
        <w:rPr>
          <w:sz w:val="20"/>
          <w:szCs w:val="20"/>
          <w:lang w:val="es-AR"/>
        </w:rPr>
        <w:t>2</w:t>
      </w:r>
      <w:r w:rsidRPr="00EA7870" w:rsidDel="0086191A">
        <w:rPr>
          <w:sz w:val="20"/>
          <w:szCs w:val="20"/>
          <w:lang w:val="es-AR"/>
        </w:rPr>
        <w:t>)</w:t>
      </w:r>
      <w:r w:rsidR="001A28B3" w:rsidRPr="00EA7870">
        <w:rPr>
          <w:sz w:val="20"/>
          <w:szCs w:val="20"/>
          <w:lang w:val="es-AR"/>
        </w:rPr>
        <w:t xml:space="preserve"> </w:t>
      </w:r>
      <w:r w:rsidRPr="00EA7870" w:rsidDel="0086191A">
        <w:rPr>
          <w:sz w:val="20"/>
          <w:szCs w:val="20"/>
          <w:lang w:val="es-AR"/>
        </w:rPr>
        <w:t>la</w:t>
      </w:r>
      <w:r w:rsidR="001A28B3" w:rsidRPr="00EA7870">
        <w:rPr>
          <w:sz w:val="20"/>
          <w:szCs w:val="20"/>
          <w:lang w:val="es-AR"/>
        </w:rPr>
        <w:t xml:space="preserve"> </w:t>
      </w:r>
      <w:r w:rsidRPr="00EA7870" w:rsidDel="0086191A">
        <w:rPr>
          <w:sz w:val="20"/>
          <w:szCs w:val="20"/>
          <w:lang w:val="es-AR"/>
        </w:rPr>
        <w:t>interrupción</w:t>
      </w:r>
      <w:r w:rsidR="001A28B3" w:rsidRPr="00EA7870">
        <w:rPr>
          <w:sz w:val="20"/>
          <w:szCs w:val="20"/>
          <w:lang w:val="es-AR"/>
        </w:rPr>
        <w:t xml:space="preserve"> </w:t>
      </w:r>
      <w:r w:rsidRPr="00EA7870" w:rsidDel="0086191A">
        <w:rPr>
          <w:sz w:val="20"/>
          <w:szCs w:val="20"/>
          <w:lang w:val="es-AR"/>
        </w:rPr>
        <w:t>de</w:t>
      </w:r>
      <w:r w:rsidR="001A28B3" w:rsidRPr="00EA7870">
        <w:rPr>
          <w:sz w:val="20"/>
          <w:szCs w:val="20"/>
          <w:lang w:val="es-AR"/>
        </w:rPr>
        <w:t xml:space="preserve"> </w:t>
      </w:r>
      <w:r w:rsidRPr="00EA7870" w:rsidDel="0086191A">
        <w:rPr>
          <w:sz w:val="20"/>
          <w:szCs w:val="20"/>
          <w:lang w:val="es-AR"/>
        </w:rPr>
        <w:t>operaciones</w:t>
      </w:r>
      <w:r w:rsidR="001A28B3" w:rsidRPr="00EA7870">
        <w:rPr>
          <w:sz w:val="20"/>
          <w:szCs w:val="20"/>
          <w:lang w:val="es-AR"/>
        </w:rPr>
        <w:t xml:space="preserve"> </w:t>
      </w:r>
      <w:r w:rsidRPr="00EA7870" w:rsidDel="0086191A">
        <w:rPr>
          <w:sz w:val="20"/>
          <w:szCs w:val="20"/>
          <w:lang w:val="es-AR"/>
        </w:rPr>
        <w:t>discontinuadas</w:t>
      </w:r>
      <w:r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tenido</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desde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comienzo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hechos</w:t>
      </w:r>
      <w:r w:rsidR="001A28B3" w:rsidRPr="00EA7870">
        <w:rPr>
          <w:sz w:val="20"/>
          <w:szCs w:val="20"/>
          <w:lang w:val="es-AR"/>
        </w:rPr>
        <w:t xml:space="preserve"> </w:t>
      </w:r>
      <w:r w:rsidRPr="00EA7870">
        <w:rPr>
          <w:sz w:val="20"/>
          <w:szCs w:val="20"/>
          <w:lang w:val="es-AR"/>
        </w:rPr>
        <w:t>hubieran</w:t>
      </w:r>
      <w:r w:rsidR="001A28B3" w:rsidRPr="00EA7870">
        <w:rPr>
          <w:sz w:val="20"/>
          <w:szCs w:val="20"/>
          <w:lang w:val="es-AR"/>
        </w:rPr>
        <w:t xml:space="preserve"> </w:t>
      </w:r>
      <w:r w:rsidRPr="00EA7870">
        <w:rPr>
          <w:sz w:val="20"/>
          <w:szCs w:val="20"/>
          <w:lang w:val="es-AR"/>
        </w:rPr>
        <w:t>tenido</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primer</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otorgara</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i/>
          <w:sz w:val="20"/>
          <w:szCs w:val="20"/>
          <w:lang w:val="es-AR"/>
        </w:rPr>
        <w:t>pro</w:t>
      </w:r>
      <w:r w:rsidR="001A28B3" w:rsidRPr="00EA7870">
        <w:rPr>
          <w:i/>
          <w:sz w:val="20"/>
          <w:szCs w:val="20"/>
          <w:lang w:val="es-AR"/>
        </w:rPr>
        <w:t xml:space="preserve"> </w:t>
      </w:r>
      <w:r w:rsidRPr="00EA7870">
        <w:rPr>
          <w:i/>
          <w:sz w:val="20"/>
          <w:szCs w:val="20"/>
          <w:lang w:val="es-AR"/>
        </w:rPr>
        <w:t>forma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adquisición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división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línea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negocios,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cálculo</w:t>
      </w:r>
      <w:r w:rsidR="001A28B3" w:rsidRPr="00EA7870">
        <w:rPr>
          <w:sz w:val="20"/>
          <w:szCs w:val="20"/>
          <w:lang w:val="es-AR"/>
        </w:rPr>
        <w:t xml:space="preserve"> </w:t>
      </w:r>
      <w:r w:rsidRPr="00EA7870">
        <w:rPr>
          <w:i/>
          <w:sz w:val="20"/>
          <w:szCs w:val="20"/>
          <w:lang w:val="es-AR"/>
        </w:rPr>
        <w:t>pro</w:t>
      </w:r>
      <w:r w:rsidR="001A28B3" w:rsidRPr="00EA7870">
        <w:rPr>
          <w:i/>
          <w:sz w:val="20"/>
          <w:szCs w:val="20"/>
          <w:lang w:val="es-AR"/>
        </w:rPr>
        <w:t xml:space="preserve"> </w:t>
      </w:r>
      <w:r w:rsidRPr="00EA7870">
        <w:rPr>
          <w:i/>
          <w:sz w:val="20"/>
          <w:szCs w:val="20"/>
          <w:lang w:val="es-AR"/>
        </w:rPr>
        <w:t>forma</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basará</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cuatro</w:t>
      </w:r>
      <w:r w:rsidR="001A28B3" w:rsidRPr="00EA7870">
        <w:rPr>
          <w:sz w:val="20"/>
          <w:szCs w:val="20"/>
          <w:lang w:val="es-AR"/>
        </w:rPr>
        <w:t xml:space="preserve"> </w:t>
      </w:r>
      <w:r w:rsidRPr="00EA7870">
        <w:rPr>
          <w:sz w:val="20"/>
          <w:szCs w:val="20"/>
          <w:lang w:val="es-AR"/>
        </w:rPr>
        <w:t>trimestres</w:t>
      </w:r>
      <w:r w:rsidR="001A28B3" w:rsidRPr="00EA7870">
        <w:rPr>
          <w:sz w:val="20"/>
          <w:szCs w:val="20"/>
          <w:lang w:val="es-AR"/>
        </w:rPr>
        <w:t xml:space="preserve"> </w:t>
      </w:r>
      <w:r w:rsidRPr="00EA7870">
        <w:rPr>
          <w:sz w:val="20"/>
          <w:szCs w:val="20"/>
          <w:lang w:val="es-AR"/>
        </w:rPr>
        <w:t>económicos</w:t>
      </w:r>
      <w:r w:rsidR="001A28B3" w:rsidRPr="00EA7870">
        <w:rPr>
          <w:sz w:val="20"/>
          <w:szCs w:val="20"/>
          <w:lang w:val="es-AR"/>
        </w:rPr>
        <w:t xml:space="preserve"> </w:t>
      </w:r>
      <w:r w:rsidRPr="00EA7870">
        <w:rPr>
          <w:sz w:val="20"/>
          <w:szCs w:val="20"/>
          <w:lang w:val="es-AR"/>
        </w:rPr>
        <w:t>completos</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recientes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cuales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encuentre</w:t>
      </w:r>
      <w:r w:rsidR="001A28B3" w:rsidRPr="00EA7870">
        <w:rPr>
          <w:sz w:val="20"/>
          <w:szCs w:val="20"/>
          <w:lang w:val="es-AR"/>
        </w:rPr>
        <w:t xml:space="preserve"> </w:t>
      </w:r>
      <w:r w:rsidRPr="00EA7870">
        <w:rPr>
          <w:sz w:val="20"/>
          <w:szCs w:val="20"/>
          <w:lang w:val="es-AR"/>
        </w:rPr>
        <w:t>disponible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financiera</w:t>
      </w:r>
      <w:r w:rsidR="001A28B3" w:rsidRPr="00EA7870">
        <w:rPr>
          <w:sz w:val="20"/>
          <w:szCs w:val="20"/>
          <w:lang w:val="es-AR"/>
        </w:rPr>
        <w:t xml:space="preserve"> </w:t>
      </w:r>
      <w:r w:rsidRPr="00EA7870">
        <w:rPr>
          <w:sz w:val="20"/>
          <w:szCs w:val="20"/>
          <w:lang w:val="es-AR"/>
        </w:rPr>
        <w:t>pertinente.</w:t>
      </w:r>
    </w:p>
    <w:p w14:paraId="45250CA2" w14:textId="77777777" w:rsidR="00376725" w:rsidRPr="00EA7870" w:rsidRDefault="00376725" w:rsidP="00376725">
      <w:pPr>
        <w:tabs>
          <w:tab w:val="left" w:pos="0"/>
          <w:tab w:val="right" w:leader="dot" w:pos="8505"/>
        </w:tabs>
        <w:ind w:firstLine="709"/>
        <w:jc w:val="both"/>
        <w:rPr>
          <w:sz w:val="20"/>
          <w:szCs w:val="20"/>
          <w:lang w:val="es-AR"/>
        </w:rPr>
      </w:pPr>
    </w:p>
    <w:p w14:paraId="39627A98" w14:textId="77777777" w:rsidR="00376725" w:rsidRPr="00EA7870" w:rsidRDefault="001A28B3" w:rsidP="00376725">
      <w:pPr>
        <w:tabs>
          <w:tab w:val="left" w:pos="0"/>
        </w:tabs>
        <w:ind w:firstLine="709"/>
        <w:jc w:val="both"/>
        <w:rPr>
          <w:spacing w:val="-2"/>
          <w:sz w:val="20"/>
          <w:szCs w:val="20"/>
          <w:lang w:val="es-AR"/>
        </w:rPr>
      </w:pPr>
      <w:r w:rsidRPr="00EA7870">
        <w:rPr>
          <w:spacing w:val="-2"/>
          <w:sz w:val="20"/>
          <w:szCs w:val="20"/>
          <w:lang w:val="es-AR"/>
        </w:rPr>
        <w:t xml:space="preserve"> </w:t>
      </w:r>
      <w:r w:rsidR="00376725" w:rsidRPr="00EA7870">
        <w:rPr>
          <w:spacing w:val="-2"/>
          <w:sz w:val="20"/>
          <w:szCs w:val="20"/>
          <w:lang w:val="es-AR"/>
        </w:rPr>
        <w:t>“</w:t>
      </w:r>
      <w:r w:rsidR="00376725" w:rsidRPr="00EA7870">
        <w:rPr>
          <w:b/>
          <w:spacing w:val="-2"/>
          <w:sz w:val="20"/>
          <w:szCs w:val="20"/>
          <w:lang w:val="es-AR"/>
        </w:rPr>
        <w:t>Incumplimiento</w:t>
      </w:r>
      <w:r w:rsidR="00376725" w:rsidRPr="00EA7870">
        <w:rPr>
          <w:spacing w:val="-2"/>
          <w:sz w:val="20"/>
          <w:szCs w:val="20"/>
          <w:lang w:val="es-AR"/>
        </w:rPr>
        <w:t>”</w:t>
      </w:r>
      <w:r w:rsidRPr="00EA7870">
        <w:rPr>
          <w:spacing w:val="-2"/>
          <w:sz w:val="20"/>
          <w:szCs w:val="20"/>
          <w:lang w:val="es-AR"/>
        </w:rPr>
        <w:t xml:space="preserve"> </w:t>
      </w:r>
      <w:r w:rsidR="00376725" w:rsidRPr="00EA7870">
        <w:rPr>
          <w:spacing w:val="-2"/>
          <w:sz w:val="20"/>
          <w:szCs w:val="20"/>
          <w:lang w:val="es-AR"/>
        </w:rPr>
        <w:t>significa</w:t>
      </w:r>
      <w:r w:rsidRPr="00EA7870">
        <w:rPr>
          <w:spacing w:val="-2"/>
          <w:sz w:val="20"/>
          <w:szCs w:val="20"/>
          <w:lang w:val="es-AR"/>
        </w:rPr>
        <w:t xml:space="preserve"> </w:t>
      </w:r>
      <w:r w:rsidR="00376725" w:rsidRPr="00EA7870">
        <w:rPr>
          <w:spacing w:val="-2"/>
          <w:sz w:val="20"/>
          <w:szCs w:val="20"/>
          <w:lang w:val="es-AR"/>
        </w:rPr>
        <w:t>cualquier</w:t>
      </w:r>
      <w:r w:rsidRPr="00EA7870">
        <w:rPr>
          <w:spacing w:val="-2"/>
          <w:sz w:val="20"/>
          <w:szCs w:val="20"/>
          <w:lang w:val="es-AR"/>
        </w:rPr>
        <w:t xml:space="preserve"> </w:t>
      </w:r>
      <w:r w:rsidR="00376725" w:rsidRPr="00EA7870">
        <w:rPr>
          <w:spacing w:val="-2"/>
          <w:sz w:val="20"/>
          <w:szCs w:val="20"/>
          <w:lang w:val="es-AR"/>
        </w:rPr>
        <w:t>hecho</w:t>
      </w:r>
      <w:r w:rsidRPr="00EA7870">
        <w:rPr>
          <w:spacing w:val="-2"/>
          <w:sz w:val="20"/>
          <w:szCs w:val="20"/>
          <w:lang w:val="es-AR"/>
        </w:rPr>
        <w:t xml:space="preserve"> </w:t>
      </w:r>
      <w:r w:rsidR="00376725" w:rsidRPr="00EA7870">
        <w:rPr>
          <w:spacing w:val="-2"/>
          <w:sz w:val="20"/>
          <w:szCs w:val="20"/>
          <w:lang w:val="es-AR"/>
        </w:rPr>
        <w:t>que</w:t>
      </w:r>
      <w:r w:rsidRPr="00EA7870">
        <w:rPr>
          <w:spacing w:val="-2"/>
          <w:sz w:val="20"/>
          <w:szCs w:val="20"/>
          <w:lang w:val="es-AR"/>
        </w:rPr>
        <w:t xml:space="preserve"> </w:t>
      </w:r>
      <w:r w:rsidR="00376725" w:rsidRPr="00EA7870">
        <w:rPr>
          <w:spacing w:val="-2"/>
          <w:sz w:val="20"/>
          <w:szCs w:val="20"/>
          <w:lang w:val="es-AR"/>
        </w:rPr>
        <w:t>constituya,</w:t>
      </w:r>
      <w:r w:rsidRPr="00EA7870">
        <w:rPr>
          <w:spacing w:val="-2"/>
          <w:sz w:val="20"/>
          <w:szCs w:val="20"/>
          <w:lang w:val="es-AR"/>
        </w:rPr>
        <w:t xml:space="preserve"> </w:t>
      </w:r>
      <w:r w:rsidR="00376725" w:rsidRPr="00EA7870">
        <w:rPr>
          <w:spacing w:val="-2"/>
          <w:sz w:val="20"/>
          <w:szCs w:val="20"/>
          <w:lang w:val="es-AR"/>
        </w:rPr>
        <w:t>o</w:t>
      </w:r>
      <w:r w:rsidRPr="00EA7870">
        <w:rPr>
          <w:spacing w:val="-2"/>
          <w:sz w:val="20"/>
          <w:szCs w:val="20"/>
          <w:lang w:val="es-AR"/>
        </w:rPr>
        <w:t xml:space="preserve"> </w:t>
      </w:r>
      <w:r w:rsidR="00376725" w:rsidRPr="00EA7870">
        <w:rPr>
          <w:spacing w:val="-2"/>
          <w:sz w:val="20"/>
          <w:szCs w:val="20"/>
          <w:lang w:val="es-AR"/>
        </w:rPr>
        <w:t>que</w:t>
      </w:r>
      <w:r w:rsidRPr="00EA7870">
        <w:rPr>
          <w:spacing w:val="-2"/>
          <w:sz w:val="20"/>
          <w:szCs w:val="20"/>
          <w:lang w:val="es-AR"/>
        </w:rPr>
        <w:t xml:space="preserve"> </w:t>
      </w:r>
      <w:r w:rsidR="00376725" w:rsidRPr="00EA7870">
        <w:rPr>
          <w:spacing w:val="-2"/>
          <w:sz w:val="20"/>
          <w:szCs w:val="20"/>
          <w:lang w:val="es-AR"/>
        </w:rPr>
        <w:t>con</w:t>
      </w:r>
      <w:r w:rsidRPr="00EA7870">
        <w:rPr>
          <w:spacing w:val="-2"/>
          <w:sz w:val="20"/>
          <w:szCs w:val="20"/>
          <w:lang w:val="es-AR"/>
        </w:rPr>
        <w:t xml:space="preserve"> </w:t>
      </w:r>
      <w:r w:rsidR="00376725" w:rsidRPr="00EA7870">
        <w:rPr>
          <w:spacing w:val="-2"/>
          <w:sz w:val="20"/>
          <w:szCs w:val="20"/>
          <w:lang w:val="es-AR"/>
        </w:rPr>
        <w:t>el</w:t>
      </w:r>
      <w:r w:rsidRPr="00EA7870">
        <w:rPr>
          <w:spacing w:val="-2"/>
          <w:sz w:val="20"/>
          <w:szCs w:val="20"/>
          <w:lang w:val="es-AR"/>
        </w:rPr>
        <w:t xml:space="preserve"> </w:t>
      </w:r>
      <w:r w:rsidR="00376725" w:rsidRPr="00EA7870">
        <w:rPr>
          <w:spacing w:val="-2"/>
          <w:sz w:val="20"/>
          <w:szCs w:val="20"/>
          <w:lang w:val="es-AR"/>
        </w:rPr>
        <w:t>envío</w:t>
      </w:r>
      <w:r w:rsidRPr="00EA7870">
        <w:rPr>
          <w:spacing w:val="-2"/>
          <w:sz w:val="20"/>
          <w:szCs w:val="20"/>
          <w:lang w:val="es-AR"/>
        </w:rPr>
        <w:t xml:space="preserve"> </w:t>
      </w:r>
      <w:r w:rsidR="00376725" w:rsidRPr="00EA7870">
        <w:rPr>
          <w:spacing w:val="-2"/>
          <w:sz w:val="20"/>
          <w:szCs w:val="20"/>
          <w:lang w:val="es-AR"/>
        </w:rPr>
        <w:t>de</w:t>
      </w:r>
      <w:r w:rsidRPr="00EA7870">
        <w:rPr>
          <w:spacing w:val="-2"/>
          <w:sz w:val="20"/>
          <w:szCs w:val="20"/>
          <w:lang w:val="es-AR"/>
        </w:rPr>
        <w:t xml:space="preserve"> </w:t>
      </w:r>
      <w:r w:rsidR="00376725" w:rsidRPr="00EA7870">
        <w:rPr>
          <w:spacing w:val="-2"/>
          <w:sz w:val="20"/>
          <w:szCs w:val="20"/>
          <w:lang w:val="es-AR"/>
        </w:rPr>
        <w:t>notificación,</w:t>
      </w:r>
      <w:r w:rsidRPr="00EA7870">
        <w:rPr>
          <w:spacing w:val="-2"/>
          <w:sz w:val="20"/>
          <w:szCs w:val="20"/>
          <w:lang w:val="es-AR"/>
        </w:rPr>
        <w:t xml:space="preserve"> </w:t>
      </w:r>
      <w:r w:rsidR="00376725" w:rsidRPr="00EA7870">
        <w:rPr>
          <w:spacing w:val="-2"/>
          <w:sz w:val="20"/>
          <w:szCs w:val="20"/>
          <w:lang w:val="es-AR"/>
        </w:rPr>
        <w:t>el</w:t>
      </w:r>
      <w:r w:rsidRPr="00EA7870">
        <w:rPr>
          <w:spacing w:val="-2"/>
          <w:sz w:val="20"/>
          <w:szCs w:val="20"/>
          <w:lang w:val="es-AR"/>
        </w:rPr>
        <w:t xml:space="preserve"> </w:t>
      </w:r>
      <w:r w:rsidR="00376725" w:rsidRPr="00EA7870">
        <w:rPr>
          <w:spacing w:val="-2"/>
          <w:sz w:val="20"/>
          <w:szCs w:val="20"/>
          <w:lang w:val="es-AR"/>
        </w:rPr>
        <w:t>transcurso</w:t>
      </w:r>
      <w:r w:rsidRPr="00EA7870">
        <w:rPr>
          <w:spacing w:val="-2"/>
          <w:sz w:val="20"/>
          <w:szCs w:val="20"/>
          <w:lang w:val="es-AR"/>
        </w:rPr>
        <w:t xml:space="preserve"> </w:t>
      </w:r>
      <w:r w:rsidR="00376725" w:rsidRPr="00EA7870">
        <w:rPr>
          <w:spacing w:val="-2"/>
          <w:sz w:val="20"/>
          <w:szCs w:val="20"/>
          <w:lang w:val="es-AR"/>
        </w:rPr>
        <w:t>del</w:t>
      </w:r>
      <w:r w:rsidRPr="00EA7870">
        <w:rPr>
          <w:spacing w:val="-2"/>
          <w:sz w:val="20"/>
          <w:szCs w:val="20"/>
          <w:lang w:val="es-AR"/>
        </w:rPr>
        <w:t xml:space="preserve"> </w:t>
      </w:r>
      <w:r w:rsidR="00376725" w:rsidRPr="00EA7870">
        <w:rPr>
          <w:spacing w:val="-2"/>
          <w:sz w:val="20"/>
          <w:szCs w:val="20"/>
          <w:lang w:val="es-AR"/>
        </w:rPr>
        <w:t>tiempo</w:t>
      </w:r>
      <w:r w:rsidRPr="00EA7870">
        <w:rPr>
          <w:spacing w:val="-2"/>
          <w:sz w:val="20"/>
          <w:szCs w:val="20"/>
          <w:lang w:val="es-AR"/>
        </w:rPr>
        <w:t xml:space="preserve"> </w:t>
      </w:r>
      <w:r w:rsidR="00376725" w:rsidRPr="00EA7870">
        <w:rPr>
          <w:spacing w:val="-2"/>
          <w:sz w:val="20"/>
          <w:szCs w:val="20"/>
          <w:lang w:val="es-AR"/>
        </w:rPr>
        <w:t>o</w:t>
      </w:r>
      <w:r w:rsidRPr="00EA7870">
        <w:rPr>
          <w:spacing w:val="-2"/>
          <w:sz w:val="20"/>
          <w:szCs w:val="20"/>
          <w:lang w:val="es-AR"/>
        </w:rPr>
        <w:t xml:space="preserve"> </w:t>
      </w:r>
      <w:r w:rsidR="00376725" w:rsidRPr="00EA7870">
        <w:rPr>
          <w:spacing w:val="-2"/>
          <w:sz w:val="20"/>
          <w:szCs w:val="20"/>
          <w:lang w:val="es-AR"/>
        </w:rPr>
        <w:t>ambos</w:t>
      </w:r>
      <w:r w:rsidRPr="00EA7870">
        <w:rPr>
          <w:spacing w:val="-2"/>
          <w:sz w:val="20"/>
          <w:szCs w:val="20"/>
          <w:lang w:val="es-AR"/>
        </w:rPr>
        <w:t xml:space="preserve"> </w:t>
      </w:r>
      <w:r w:rsidR="00376725" w:rsidRPr="00EA7870">
        <w:rPr>
          <w:spacing w:val="-2"/>
          <w:sz w:val="20"/>
          <w:szCs w:val="20"/>
          <w:lang w:val="es-AR"/>
        </w:rPr>
        <w:t>constituiría,</w:t>
      </w:r>
      <w:r w:rsidRPr="00EA7870">
        <w:rPr>
          <w:spacing w:val="-2"/>
          <w:sz w:val="20"/>
          <w:szCs w:val="20"/>
          <w:lang w:val="es-AR"/>
        </w:rPr>
        <w:t xml:space="preserve"> </w:t>
      </w:r>
      <w:r w:rsidR="00376725" w:rsidRPr="00EA7870">
        <w:rPr>
          <w:spacing w:val="-2"/>
          <w:sz w:val="20"/>
          <w:szCs w:val="20"/>
          <w:lang w:val="es-AR"/>
        </w:rPr>
        <w:t>un</w:t>
      </w:r>
      <w:r w:rsidRPr="00EA7870">
        <w:rPr>
          <w:spacing w:val="-2"/>
          <w:sz w:val="20"/>
          <w:szCs w:val="20"/>
          <w:lang w:val="es-AR"/>
        </w:rPr>
        <w:t xml:space="preserve"> </w:t>
      </w:r>
      <w:r w:rsidR="00376725" w:rsidRPr="00EA7870">
        <w:rPr>
          <w:spacing w:val="-2"/>
          <w:sz w:val="20"/>
          <w:szCs w:val="20"/>
          <w:lang w:val="es-AR"/>
        </w:rPr>
        <w:t>Supuesto</w:t>
      </w:r>
      <w:r w:rsidRPr="00EA7870">
        <w:rPr>
          <w:spacing w:val="-2"/>
          <w:sz w:val="20"/>
          <w:szCs w:val="20"/>
          <w:lang w:val="es-AR"/>
        </w:rPr>
        <w:t xml:space="preserve"> </w:t>
      </w:r>
      <w:r w:rsidR="00376725" w:rsidRPr="00EA7870">
        <w:rPr>
          <w:spacing w:val="-2"/>
          <w:sz w:val="20"/>
          <w:szCs w:val="20"/>
          <w:lang w:val="es-AR"/>
        </w:rPr>
        <w:t>de</w:t>
      </w:r>
      <w:r w:rsidRPr="00EA7870">
        <w:rPr>
          <w:spacing w:val="-2"/>
          <w:sz w:val="20"/>
          <w:szCs w:val="20"/>
          <w:lang w:val="es-AR"/>
        </w:rPr>
        <w:t xml:space="preserve"> </w:t>
      </w:r>
      <w:r w:rsidR="00376725" w:rsidRPr="00EA7870">
        <w:rPr>
          <w:spacing w:val="-2"/>
          <w:sz w:val="20"/>
          <w:szCs w:val="20"/>
          <w:lang w:val="es-AR"/>
        </w:rPr>
        <w:t>Incumplimiento.</w:t>
      </w:r>
    </w:p>
    <w:p w14:paraId="1205E799" w14:textId="77777777" w:rsidR="00376725" w:rsidRPr="00EA7870" w:rsidRDefault="001A28B3" w:rsidP="00376725">
      <w:pPr>
        <w:tabs>
          <w:tab w:val="left" w:pos="0"/>
          <w:tab w:val="right" w:leader="dot" w:pos="8505"/>
        </w:tabs>
        <w:ind w:firstLine="709"/>
        <w:jc w:val="both"/>
        <w:rPr>
          <w:sz w:val="20"/>
          <w:szCs w:val="20"/>
          <w:lang w:val="es-AR"/>
        </w:rPr>
      </w:pPr>
      <w:r w:rsidRPr="00EA7870">
        <w:rPr>
          <w:sz w:val="20"/>
          <w:szCs w:val="20"/>
          <w:lang w:val="es-AR"/>
        </w:rPr>
        <w:t xml:space="preserve"> </w:t>
      </w:r>
    </w:p>
    <w:p w14:paraId="07928BE9"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Acciones</w:t>
      </w:r>
      <w:r w:rsidR="001A28B3" w:rsidRPr="00EA7870">
        <w:rPr>
          <w:b/>
          <w:sz w:val="20"/>
          <w:szCs w:val="20"/>
          <w:lang w:val="es-AR"/>
        </w:rPr>
        <w:t xml:space="preserve"> </w:t>
      </w:r>
      <w:r w:rsidRPr="00EA7870">
        <w:rPr>
          <w:b/>
          <w:sz w:val="20"/>
          <w:szCs w:val="20"/>
          <w:lang w:val="es-AR"/>
        </w:rPr>
        <w:t>Descalificadas</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porción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Social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convertible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cual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canjear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opción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acaecimiento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hecho,</w:t>
      </w:r>
      <w:r w:rsidR="001A28B3" w:rsidRPr="00EA7870">
        <w:rPr>
          <w:sz w:val="20"/>
          <w:szCs w:val="20"/>
          <w:lang w:val="es-AR"/>
        </w:rPr>
        <w:t xml:space="preserve"> </w:t>
      </w:r>
      <w:r w:rsidRPr="00EA7870">
        <w:rPr>
          <w:sz w:val="20"/>
          <w:szCs w:val="20"/>
          <w:lang w:val="es-AR"/>
        </w:rPr>
        <w:t>vence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obligatoriamente</w:t>
      </w:r>
      <w:r w:rsidR="001A28B3" w:rsidRPr="00EA7870">
        <w:rPr>
          <w:sz w:val="20"/>
          <w:szCs w:val="20"/>
          <w:lang w:val="es-AR"/>
        </w:rPr>
        <w:t xml:space="preserve"> </w:t>
      </w:r>
      <w:r w:rsidRPr="00EA7870">
        <w:rPr>
          <w:sz w:val="20"/>
          <w:szCs w:val="20"/>
          <w:lang w:val="es-AR"/>
        </w:rPr>
        <w:t>rescatable,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fondo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amortización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rescatable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exclusiva</w:t>
      </w:r>
      <w:r w:rsidR="001A28B3" w:rsidRPr="00EA7870">
        <w:rPr>
          <w:sz w:val="20"/>
          <w:szCs w:val="20"/>
          <w:lang w:val="es-AR"/>
        </w:rPr>
        <w:t xml:space="preserve"> </w:t>
      </w:r>
      <w:r w:rsidRPr="00EA7870">
        <w:rPr>
          <w:sz w:val="20"/>
          <w:szCs w:val="20"/>
          <w:lang w:val="es-AR"/>
        </w:rPr>
        <w:t>opción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tenedor,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91º</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posterior</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Declarado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p>
    <w:p w14:paraId="1C0E2D62" w14:textId="77777777" w:rsidR="00376725" w:rsidRPr="00EA7870" w:rsidRDefault="00376725" w:rsidP="00376725">
      <w:pPr>
        <w:tabs>
          <w:tab w:val="left" w:pos="0"/>
          <w:tab w:val="right" w:leader="dot" w:pos="8505"/>
        </w:tabs>
        <w:ind w:firstLine="709"/>
        <w:jc w:val="both"/>
        <w:rPr>
          <w:sz w:val="20"/>
          <w:szCs w:val="20"/>
          <w:lang w:val="es-AR"/>
        </w:rPr>
      </w:pPr>
    </w:p>
    <w:p w14:paraId="66EFC3DE" w14:textId="77777777" w:rsidR="00376725" w:rsidRPr="00EA7870" w:rsidRDefault="001A28B3" w:rsidP="00376725">
      <w:pPr>
        <w:tabs>
          <w:tab w:val="left" w:pos="-360"/>
          <w:tab w:val="left" w:pos="0"/>
          <w:tab w:val="left" w:pos="28"/>
        </w:tabs>
        <w:suppressAutoHyphens/>
        <w:ind w:firstLine="709"/>
        <w:jc w:val="both"/>
        <w:rPr>
          <w:sz w:val="20"/>
          <w:szCs w:val="20"/>
          <w:lang w:val="es-AR"/>
        </w:rPr>
      </w:pPr>
      <w:r w:rsidRPr="00EA7870">
        <w:rPr>
          <w:sz w:val="20"/>
          <w:szCs w:val="20"/>
          <w:lang w:val="es-AR"/>
        </w:rPr>
        <w:t xml:space="preserve"> </w:t>
      </w:r>
      <w:r w:rsidR="00376725" w:rsidRPr="00EA7870">
        <w:rPr>
          <w:spacing w:val="-2"/>
          <w:sz w:val="20"/>
          <w:szCs w:val="20"/>
          <w:lang w:val="es-AR"/>
        </w:rPr>
        <w:t>“</w:t>
      </w:r>
      <w:r w:rsidR="00376725" w:rsidRPr="00EA7870">
        <w:rPr>
          <w:b/>
          <w:spacing w:val="-2"/>
          <w:sz w:val="20"/>
          <w:szCs w:val="20"/>
          <w:lang w:val="es-AR"/>
        </w:rPr>
        <w:t>garantía</w:t>
      </w:r>
      <w:r w:rsidR="00376725" w:rsidRPr="00EA7870">
        <w:rPr>
          <w:spacing w:val="-2"/>
          <w:sz w:val="20"/>
          <w:szCs w:val="20"/>
          <w:lang w:val="es-AR"/>
        </w:rPr>
        <w:t>”</w:t>
      </w:r>
      <w:r w:rsidRPr="00EA7870">
        <w:rPr>
          <w:spacing w:val="-2"/>
          <w:sz w:val="20"/>
          <w:szCs w:val="20"/>
          <w:lang w:val="es-AR"/>
        </w:rPr>
        <w:t xml:space="preserve"> </w:t>
      </w:r>
      <w:r w:rsidR="00376725" w:rsidRPr="00EA7870">
        <w:rPr>
          <w:spacing w:val="-2"/>
          <w:sz w:val="20"/>
          <w:szCs w:val="20"/>
          <w:lang w:val="es-AR"/>
        </w:rPr>
        <w:t>significa</w:t>
      </w:r>
      <w:r w:rsidRPr="00EA7870">
        <w:rPr>
          <w:spacing w:val="-2"/>
          <w:sz w:val="20"/>
          <w:szCs w:val="20"/>
          <w:lang w:val="es-AR"/>
        </w:rPr>
        <w:t xml:space="preserve"> </w:t>
      </w:r>
      <w:r w:rsidR="00376725" w:rsidRPr="00EA7870">
        <w:rPr>
          <w:spacing w:val="-2"/>
          <w:sz w:val="20"/>
          <w:szCs w:val="20"/>
          <w:lang w:val="es-AR"/>
        </w:rPr>
        <w:t>cualquier</w:t>
      </w:r>
      <w:r w:rsidRPr="00EA7870">
        <w:rPr>
          <w:spacing w:val="-2"/>
          <w:sz w:val="20"/>
          <w:szCs w:val="20"/>
          <w:lang w:val="es-AR"/>
        </w:rPr>
        <w:t xml:space="preserve"> </w:t>
      </w:r>
      <w:r w:rsidR="00376725" w:rsidRPr="00EA7870">
        <w:rPr>
          <w:spacing w:val="-2"/>
          <w:sz w:val="20"/>
          <w:szCs w:val="20"/>
          <w:lang w:val="es-AR"/>
        </w:rPr>
        <w:t>obligación,</w:t>
      </w:r>
      <w:r w:rsidRPr="00EA7870">
        <w:rPr>
          <w:spacing w:val="-2"/>
          <w:sz w:val="20"/>
          <w:szCs w:val="20"/>
          <w:lang w:val="es-AR"/>
        </w:rPr>
        <w:t xml:space="preserve"> </w:t>
      </w:r>
      <w:r w:rsidR="00376725" w:rsidRPr="00EA7870">
        <w:rPr>
          <w:spacing w:val="-2"/>
          <w:sz w:val="20"/>
          <w:szCs w:val="20"/>
          <w:lang w:val="es-AR"/>
        </w:rPr>
        <w:t>contingente</w:t>
      </w:r>
      <w:r w:rsidRPr="00EA7870">
        <w:rPr>
          <w:spacing w:val="-2"/>
          <w:sz w:val="20"/>
          <w:szCs w:val="20"/>
          <w:lang w:val="es-AR"/>
        </w:rPr>
        <w:t xml:space="preserve"> </w:t>
      </w:r>
      <w:r w:rsidR="00376725" w:rsidRPr="00EA7870">
        <w:rPr>
          <w:spacing w:val="-2"/>
          <w:sz w:val="20"/>
          <w:szCs w:val="20"/>
          <w:lang w:val="es-AR"/>
        </w:rPr>
        <w:t>o</w:t>
      </w:r>
      <w:r w:rsidRPr="00EA7870">
        <w:rPr>
          <w:spacing w:val="-2"/>
          <w:sz w:val="20"/>
          <w:szCs w:val="20"/>
          <w:lang w:val="es-AR"/>
        </w:rPr>
        <w:t xml:space="preserve"> </w:t>
      </w:r>
      <w:r w:rsidR="00376725" w:rsidRPr="00EA7870">
        <w:rPr>
          <w:spacing w:val="-2"/>
          <w:sz w:val="20"/>
          <w:szCs w:val="20"/>
          <w:lang w:val="es-AR"/>
        </w:rPr>
        <w:t>de</w:t>
      </w:r>
      <w:r w:rsidRPr="00EA7870">
        <w:rPr>
          <w:spacing w:val="-2"/>
          <w:sz w:val="20"/>
          <w:szCs w:val="20"/>
          <w:lang w:val="es-AR"/>
        </w:rPr>
        <w:t xml:space="preserve"> </w:t>
      </w:r>
      <w:r w:rsidR="00376725" w:rsidRPr="00EA7870">
        <w:rPr>
          <w:spacing w:val="-2"/>
          <w:sz w:val="20"/>
          <w:szCs w:val="20"/>
          <w:lang w:val="es-AR"/>
        </w:rPr>
        <w:t>otra</w:t>
      </w:r>
      <w:r w:rsidRPr="00EA7870">
        <w:rPr>
          <w:spacing w:val="-2"/>
          <w:sz w:val="20"/>
          <w:szCs w:val="20"/>
          <w:lang w:val="es-AR"/>
        </w:rPr>
        <w:t xml:space="preserve"> </w:t>
      </w:r>
      <w:r w:rsidR="00376725" w:rsidRPr="00EA7870">
        <w:rPr>
          <w:spacing w:val="-2"/>
          <w:sz w:val="20"/>
          <w:szCs w:val="20"/>
          <w:lang w:val="es-AR"/>
        </w:rPr>
        <w:t>naturaleza,</w:t>
      </w:r>
      <w:r w:rsidRPr="00EA7870">
        <w:rPr>
          <w:spacing w:val="-2"/>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cualquier</w:t>
      </w:r>
      <w:r w:rsidRPr="00EA7870">
        <w:rPr>
          <w:sz w:val="20"/>
          <w:szCs w:val="20"/>
          <w:lang w:val="es-AR"/>
        </w:rPr>
        <w:t xml:space="preserve"> </w:t>
      </w:r>
      <w:r w:rsidR="00376725" w:rsidRPr="00EA7870">
        <w:rPr>
          <w:sz w:val="20"/>
          <w:szCs w:val="20"/>
          <w:lang w:val="es-AR"/>
        </w:rPr>
        <w:t>Persona</w:t>
      </w:r>
      <w:r w:rsidRPr="00EA7870">
        <w:rPr>
          <w:sz w:val="20"/>
          <w:szCs w:val="20"/>
          <w:lang w:val="es-AR"/>
        </w:rPr>
        <w:t xml:space="preserve"> </w:t>
      </w:r>
      <w:r w:rsidR="00376725" w:rsidRPr="00EA7870">
        <w:rPr>
          <w:sz w:val="20"/>
          <w:szCs w:val="20"/>
          <w:lang w:val="es-AR"/>
        </w:rPr>
        <w:t>que</w:t>
      </w:r>
      <w:r w:rsidRPr="00EA7870">
        <w:rPr>
          <w:sz w:val="20"/>
          <w:szCs w:val="20"/>
          <w:lang w:val="es-AR"/>
        </w:rPr>
        <w:t xml:space="preserve"> </w:t>
      </w:r>
      <w:r w:rsidR="00376725" w:rsidRPr="00EA7870">
        <w:rPr>
          <w:sz w:val="20"/>
          <w:szCs w:val="20"/>
          <w:lang w:val="es-AR"/>
        </w:rPr>
        <w:t>garantice,</w:t>
      </w:r>
      <w:r w:rsidRPr="00EA7870">
        <w:rPr>
          <w:sz w:val="20"/>
          <w:szCs w:val="20"/>
          <w:lang w:val="es-AR"/>
        </w:rPr>
        <w:t xml:space="preserve"> </w:t>
      </w:r>
      <w:r w:rsidR="00376725" w:rsidRPr="00EA7870">
        <w:rPr>
          <w:sz w:val="20"/>
          <w:szCs w:val="20"/>
          <w:lang w:val="es-AR"/>
        </w:rPr>
        <w:t>directa</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indirectamente,</w:t>
      </w:r>
      <w:r w:rsidRPr="00EA7870">
        <w:rPr>
          <w:sz w:val="20"/>
          <w:szCs w:val="20"/>
          <w:lang w:val="es-AR"/>
        </w:rPr>
        <w:t xml:space="preserve"> </w:t>
      </w:r>
      <w:r w:rsidR="00376725" w:rsidRPr="00EA7870">
        <w:rPr>
          <w:sz w:val="20"/>
          <w:szCs w:val="20"/>
          <w:lang w:val="es-AR"/>
        </w:rPr>
        <w:t>cualquier</w:t>
      </w:r>
      <w:r w:rsidRPr="00EA7870">
        <w:rPr>
          <w:sz w:val="20"/>
          <w:szCs w:val="20"/>
          <w:lang w:val="es-AR"/>
        </w:rPr>
        <w:t xml:space="preserve"> </w:t>
      </w:r>
      <w:r w:rsidR="00376725" w:rsidRPr="00EA7870">
        <w:rPr>
          <w:sz w:val="20"/>
          <w:szCs w:val="20"/>
          <w:lang w:val="es-AR"/>
        </w:rPr>
        <w:t>Endeudamiento</w:t>
      </w:r>
      <w:r w:rsidRPr="00EA7870">
        <w:rPr>
          <w:sz w:val="20"/>
          <w:szCs w:val="20"/>
          <w:lang w:val="es-AR"/>
        </w:rPr>
        <w:t xml:space="preserve"> </w:t>
      </w:r>
      <w:r w:rsidR="00376725" w:rsidRPr="00EA7870">
        <w:rPr>
          <w:sz w:val="20"/>
          <w:szCs w:val="20"/>
          <w:lang w:val="es-AR"/>
        </w:rPr>
        <w:t>u</w:t>
      </w:r>
      <w:r w:rsidRPr="00EA7870">
        <w:rPr>
          <w:sz w:val="20"/>
          <w:szCs w:val="20"/>
          <w:lang w:val="es-AR"/>
        </w:rPr>
        <w:t xml:space="preserve"> </w:t>
      </w:r>
      <w:r w:rsidR="00376725" w:rsidRPr="00EA7870">
        <w:rPr>
          <w:sz w:val="20"/>
          <w:szCs w:val="20"/>
          <w:lang w:val="es-AR"/>
        </w:rPr>
        <w:t>otra</w:t>
      </w:r>
      <w:r w:rsidRPr="00EA7870">
        <w:rPr>
          <w:sz w:val="20"/>
          <w:szCs w:val="20"/>
          <w:lang w:val="es-AR"/>
        </w:rPr>
        <w:t xml:space="preserve"> </w:t>
      </w:r>
      <w:r w:rsidR="00376725" w:rsidRPr="00EA7870">
        <w:rPr>
          <w:sz w:val="20"/>
          <w:szCs w:val="20"/>
          <w:lang w:val="es-AR"/>
        </w:rPr>
        <w:t>obligación</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cualquier</w:t>
      </w:r>
      <w:r w:rsidRPr="00EA7870">
        <w:rPr>
          <w:sz w:val="20"/>
          <w:szCs w:val="20"/>
          <w:lang w:val="es-AR"/>
        </w:rPr>
        <w:t xml:space="preserve"> </w:t>
      </w:r>
      <w:r w:rsidR="00376725" w:rsidRPr="00EA7870">
        <w:rPr>
          <w:sz w:val="20"/>
          <w:szCs w:val="20"/>
          <w:lang w:val="es-AR"/>
        </w:rPr>
        <w:t>otra</w:t>
      </w:r>
      <w:r w:rsidRPr="00EA7870">
        <w:rPr>
          <w:sz w:val="20"/>
          <w:szCs w:val="20"/>
          <w:lang w:val="es-AR"/>
        </w:rPr>
        <w:t xml:space="preserve"> </w:t>
      </w:r>
      <w:r w:rsidR="00376725" w:rsidRPr="00EA7870">
        <w:rPr>
          <w:sz w:val="20"/>
          <w:szCs w:val="20"/>
          <w:lang w:val="es-AR"/>
        </w:rPr>
        <w:t>Persona</w:t>
      </w:r>
      <w:r w:rsidRPr="00EA7870">
        <w:rPr>
          <w:sz w:val="20"/>
          <w:szCs w:val="20"/>
          <w:lang w:val="es-AR"/>
        </w:rPr>
        <w:t xml:space="preserve"> </w:t>
      </w:r>
      <w:r w:rsidR="00376725" w:rsidRPr="00EA7870">
        <w:rPr>
          <w:sz w:val="20"/>
          <w:szCs w:val="20"/>
          <w:lang w:val="es-AR"/>
        </w:rPr>
        <w:t>y</w:t>
      </w:r>
      <w:r w:rsidRPr="00EA7870">
        <w:rPr>
          <w:sz w:val="20"/>
          <w:szCs w:val="20"/>
          <w:lang w:val="es-AR"/>
        </w:rPr>
        <w:t xml:space="preserve"> </w:t>
      </w:r>
      <w:r w:rsidR="00376725" w:rsidRPr="00EA7870">
        <w:rPr>
          <w:sz w:val="20"/>
          <w:szCs w:val="20"/>
          <w:lang w:val="es-AR"/>
        </w:rPr>
        <w:t>cualquier</w:t>
      </w:r>
      <w:r w:rsidRPr="00EA7870">
        <w:rPr>
          <w:sz w:val="20"/>
          <w:szCs w:val="20"/>
          <w:lang w:val="es-AR"/>
        </w:rPr>
        <w:t xml:space="preserve"> </w:t>
      </w:r>
      <w:r w:rsidR="00376725" w:rsidRPr="00EA7870">
        <w:rPr>
          <w:sz w:val="20"/>
          <w:szCs w:val="20"/>
          <w:lang w:val="es-AR"/>
        </w:rPr>
        <w:t>obligación,</w:t>
      </w:r>
      <w:r w:rsidRPr="00EA7870">
        <w:rPr>
          <w:sz w:val="20"/>
          <w:szCs w:val="20"/>
          <w:lang w:val="es-AR"/>
        </w:rPr>
        <w:t xml:space="preserve"> </w:t>
      </w:r>
      <w:r w:rsidR="00376725" w:rsidRPr="00EA7870">
        <w:rPr>
          <w:sz w:val="20"/>
          <w:szCs w:val="20"/>
          <w:lang w:val="es-AR"/>
        </w:rPr>
        <w:t>directa</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indirecta,</w:t>
      </w:r>
      <w:r w:rsidRPr="00EA7870">
        <w:rPr>
          <w:sz w:val="20"/>
          <w:szCs w:val="20"/>
          <w:lang w:val="es-AR"/>
        </w:rPr>
        <w:t xml:space="preserve"> </w:t>
      </w:r>
      <w:r w:rsidR="00376725" w:rsidRPr="00EA7870">
        <w:rPr>
          <w:sz w:val="20"/>
          <w:szCs w:val="20"/>
          <w:lang w:val="es-AR"/>
        </w:rPr>
        <w:t>contingente</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otro</w:t>
      </w:r>
      <w:r w:rsidRPr="00EA7870">
        <w:rPr>
          <w:sz w:val="20"/>
          <w:szCs w:val="20"/>
          <w:lang w:val="es-AR"/>
        </w:rPr>
        <w:t xml:space="preserve"> </w:t>
      </w:r>
      <w:r w:rsidR="00376725" w:rsidRPr="00EA7870">
        <w:rPr>
          <w:sz w:val="20"/>
          <w:szCs w:val="20"/>
          <w:lang w:val="es-AR"/>
        </w:rPr>
        <w:t>tipo,</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cualquier</w:t>
      </w:r>
      <w:r w:rsidRPr="00EA7870">
        <w:rPr>
          <w:sz w:val="20"/>
          <w:szCs w:val="20"/>
          <w:lang w:val="es-AR"/>
        </w:rPr>
        <w:t xml:space="preserve"> </w:t>
      </w:r>
      <w:r w:rsidR="00376725" w:rsidRPr="00EA7870">
        <w:rPr>
          <w:sz w:val="20"/>
          <w:szCs w:val="20"/>
          <w:lang w:val="es-AR"/>
        </w:rPr>
        <w:t>Persona:</w:t>
      </w:r>
      <w:r w:rsidRPr="00EA7870">
        <w:rPr>
          <w:sz w:val="20"/>
          <w:szCs w:val="20"/>
          <w:lang w:val="es-AR"/>
        </w:rPr>
        <w:t xml:space="preserve"> </w:t>
      </w:r>
      <w:r w:rsidR="00376725" w:rsidRPr="00EA7870">
        <w:rPr>
          <w:sz w:val="20"/>
          <w:szCs w:val="20"/>
          <w:lang w:val="es-AR"/>
        </w:rPr>
        <w:t>(1)</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comprar</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pagar,</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adelantar</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proveer</w:t>
      </w:r>
      <w:r w:rsidRPr="00EA7870">
        <w:rPr>
          <w:sz w:val="20"/>
          <w:szCs w:val="20"/>
          <w:lang w:val="es-AR"/>
        </w:rPr>
        <w:t xml:space="preserve"> </w:t>
      </w:r>
      <w:r w:rsidR="00376725" w:rsidRPr="00EA7870">
        <w:rPr>
          <w:sz w:val="20"/>
          <w:szCs w:val="20"/>
          <w:lang w:val="es-AR"/>
        </w:rPr>
        <w:t>fondos</w:t>
      </w:r>
      <w:r w:rsidRPr="00EA7870">
        <w:rPr>
          <w:sz w:val="20"/>
          <w:szCs w:val="20"/>
          <w:lang w:val="es-AR"/>
        </w:rPr>
        <w:t xml:space="preserve"> </w:t>
      </w:r>
      <w:r w:rsidR="00376725" w:rsidRPr="00EA7870">
        <w:rPr>
          <w:sz w:val="20"/>
          <w:szCs w:val="20"/>
          <w:lang w:val="es-AR"/>
        </w:rPr>
        <w:t>para</w:t>
      </w:r>
      <w:r w:rsidRPr="00EA7870">
        <w:rPr>
          <w:sz w:val="20"/>
          <w:szCs w:val="20"/>
          <w:lang w:val="es-AR"/>
        </w:rPr>
        <w:t xml:space="preserve"> </w:t>
      </w:r>
      <w:r w:rsidR="00376725" w:rsidRPr="00EA7870">
        <w:rPr>
          <w:sz w:val="20"/>
          <w:szCs w:val="20"/>
          <w:lang w:val="es-AR"/>
        </w:rPr>
        <w:t>la</w:t>
      </w:r>
      <w:r w:rsidRPr="00EA7870">
        <w:rPr>
          <w:sz w:val="20"/>
          <w:szCs w:val="20"/>
          <w:lang w:val="es-AR"/>
        </w:rPr>
        <w:t xml:space="preserve"> </w:t>
      </w:r>
      <w:r w:rsidR="00376725" w:rsidRPr="00EA7870">
        <w:rPr>
          <w:sz w:val="20"/>
          <w:szCs w:val="20"/>
          <w:lang w:val="es-AR"/>
        </w:rPr>
        <w:t>compra</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el</w:t>
      </w:r>
      <w:r w:rsidRPr="00EA7870">
        <w:rPr>
          <w:sz w:val="20"/>
          <w:szCs w:val="20"/>
          <w:lang w:val="es-AR"/>
        </w:rPr>
        <w:t xml:space="preserve"> </w:t>
      </w:r>
      <w:r w:rsidR="00376725" w:rsidRPr="00EA7870">
        <w:rPr>
          <w:sz w:val="20"/>
          <w:szCs w:val="20"/>
          <w:lang w:val="es-AR"/>
        </w:rPr>
        <w:t>pago</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dicho</w:t>
      </w:r>
      <w:r w:rsidRPr="00EA7870">
        <w:rPr>
          <w:sz w:val="20"/>
          <w:szCs w:val="20"/>
          <w:lang w:val="es-AR"/>
        </w:rPr>
        <w:t xml:space="preserve"> </w:t>
      </w:r>
      <w:r w:rsidR="00376725" w:rsidRPr="00EA7870">
        <w:rPr>
          <w:sz w:val="20"/>
          <w:szCs w:val="20"/>
          <w:lang w:val="es-AR"/>
        </w:rPr>
        <w:t>Endeudamiento</w:t>
      </w:r>
      <w:r w:rsidRPr="00EA7870">
        <w:rPr>
          <w:sz w:val="20"/>
          <w:szCs w:val="20"/>
          <w:lang w:val="es-AR"/>
        </w:rPr>
        <w:t xml:space="preserve"> </w:t>
      </w:r>
      <w:r w:rsidR="00376725" w:rsidRPr="00EA7870">
        <w:rPr>
          <w:sz w:val="20"/>
          <w:szCs w:val="20"/>
          <w:lang w:val="es-AR"/>
        </w:rPr>
        <w:t>u</w:t>
      </w:r>
      <w:r w:rsidRPr="00EA7870">
        <w:rPr>
          <w:sz w:val="20"/>
          <w:szCs w:val="20"/>
          <w:lang w:val="es-AR"/>
        </w:rPr>
        <w:t xml:space="preserve"> </w:t>
      </w:r>
      <w:r w:rsidR="00376725" w:rsidRPr="00EA7870">
        <w:rPr>
          <w:sz w:val="20"/>
          <w:szCs w:val="20"/>
          <w:lang w:val="es-AR"/>
        </w:rPr>
        <w:t>otra</w:t>
      </w:r>
      <w:r w:rsidRPr="00EA7870">
        <w:rPr>
          <w:sz w:val="20"/>
          <w:szCs w:val="20"/>
          <w:lang w:val="es-AR"/>
        </w:rPr>
        <w:t xml:space="preserve"> </w:t>
      </w:r>
      <w:r w:rsidR="00376725" w:rsidRPr="00EA7870">
        <w:rPr>
          <w:sz w:val="20"/>
          <w:szCs w:val="20"/>
          <w:lang w:val="es-AR"/>
        </w:rPr>
        <w:t>obligación</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dicha</w:t>
      </w:r>
      <w:r w:rsidRPr="00EA7870">
        <w:rPr>
          <w:sz w:val="20"/>
          <w:szCs w:val="20"/>
          <w:lang w:val="es-AR"/>
        </w:rPr>
        <w:t xml:space="preserve"> </w:t>
      </w:r>
      <w:r w:rsidR="00376725" w:rsidRPr="00EA7870">
        <w:rPr>
          <w:sz w:val="20"/>
          <w:szCs w:val="20"/>
          <w:lang w:val="es-AR"/>
        </w:rPr>
        <w:t>Persona,</w:t>
      </w:r>
      <w:r w:rsidRPr="00EA7870">
        <w:rPr>
          <w:sz w:val="20"/>
          <w:szCs w:val="20"/>
          <w:lang w:val="es-AR"/>
        </w:rPr>
        <w:t xml:space="preserve"> </w:t>
      </w:r>
      <w:r w:rsidR="00376725" w:rsidRPr="00EA7870">
        <w:rPr>
          <w:sz w:val="20"/>
          <w:szCs w:val="20"/>
          <w:lang w:val="es-AR"/>
        </w:rPr>
        <w:t>(que</w:t>
      </w:r>
      <w:r w:rsidRPr="00EA7870">
        <w:rPr>
          <w:sz w:val="20"/>
          <w:szCs w:val="20"/>
          <w:lang w:val="es-AR"/>
        </w:rPr>
        <w:t xml:space="preserve"> </w:t>
      </w:r>
      <w:r w:rsidR="00376725" w:rsidRPr="00EA7870">
        <w:rPr>
          <w:sz w:val="20"/>
          <w:szCs w:val="20"/>
          <w:lang w:val="es-AR"/>
        </w:rPr>
        <w:t>surja</w:t>
      </w:r>
      <w:r w:rsidRPr="00EA7870">
        <w:rPr>
          <w:sz w:val="20"/>
          <w:szCs w:val="20"/>
          <w:lang w:val="es-AR"/>
        </w:rPr>
        <w:t xml:space="preserve"> </w:t>
      </w:r>
      <w:r w:rsidR="00376725" w:rsidRPr="00EA7870">
        <w:rPr>
          <w:sz w:val="20"/>
          <w:szCs w:val="20"/>
          <w:lang w:val="es-AR"/>
        </w:rPr>
        <w:t>en</w:t>
      </w:r>
      <w:r w:rsidRPr="00EA7870">
        <w:rPr>
          <w:sz w:val="20"/>
          <w:szCs w:val="20"/>
          <w:lang w:val="es-AR"/>
        </w:rPr>
        <w:t xml:space="preserve"> </w:t>
      </w:r>
      <w:r w:rsidR="00376725" w:rsidRPr="00EA7870">
        <w:rPr>
          <w:sz w:val="20"/>
          <w:szCs w:val="20"/>
          <w:lang w:val="es-AR"/>
        </w:rPr>
        <w:t>virtud</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convenios</w:t>
      </w:r>
      <w:r w:rsidRPr="00EA7870">
        <w:rPr>
          <w:sz w:val="20"/>
          <w:szCs w:val="20"/>
          <w:lang w:val="es-AR"/>
        </w:rPr>
        <w:t xml:space="preserve"> </w:t>
      </w:r>
      <w:r w:rsidR="00376725" w:rsidRPr="00EA7870">
        <w:rPr>
          <w:sz w:val="20"/>
          <w:szCs w:val="20"/>
          <w:lang w:val="es-AR"/>
        </w:rPr>
        <w:t>societarios,</w:t>
      </w:r>
      <w:r w:rsidRPr="00EA7870">
        <w:rPr>
          <w:sz w:val="20"/>
          <w:szCs w:val="20"/>
          <w:lang w:val="es-AR"/>
        </w:rPr>
        <w:t xml:space="preserve"> </w:t>
      </w:r>
      <w:r w:rsidR="00376725" w:rsidRPr="00EA7870">
        <w:rPr>
          <w:sz w:val="20"/>
          <w:szCs w:val="20"/>
          <w:lang w:val="es-AR"/>
        </w:rPr>
        <w:t>por</w:t>
      </w:r>
      <w:r w:rsidRPr="00EA7870">
        <w:rPr>
          <w:sz w:val="20"/>
          <w:szCs w:val="20"/>
          <w:lang w:val="es-AR"/>
        </w:rPr>
        <w:t xml:space="preserve"> </w:t>
      </w:r>
      <w:r w:rsidR="00376725" w:rsidRPr="00EA7870">
        <w:rPr>
          <w:sz w:val="20"/>
          <w:szCs w:val="20"/>
          <w:lang w:val="es-AR"/>
        </w:rPr>
        <w:t>acuerdo</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respaldo</w:t>
      </w:r>
      <w:r w:rsidRPr="00EA7870">
        <w:rPr>
          <w:sz w:val="20"/>
          <w:szCs w:val="20"/>
          <w:lang w:val="es-AR"/>
        </w:rPr>
        <w:t xml:space="preserve"> </w:t>
      </w:r>
      <w:r w:rsidR="00376725" w:rsidRPr="00EA7870">
        <w:rPr>
          <w:sz w:val="20"/>
          <w:szCs w:val="20"/>
          <w:lang w:val="es-AR"/>
        </w:rPr>
        <w:t>financiero</w:t>
      </w:r>
      <w:r w:rsidRPr="00EA7870">
        <w:rPr>
          <w:sz w:val="20"/>
          <w:szCs w:val="20"/>
          <w:lang w:val="es-AR"/>
        </w:rPr>
        <w:t xml:space="preserve"> </w:t>
      </w:r>
      <w:r w:rsidR="00376725" w:rsidRPr="00EA7870">
        <w:rPr>
          <w:sz w:val="20"/>
          <w:szCs w:val="20"/>
          <w:lang w:val="es-AR"/>
        </w:rPr>
        <w:t>entre</w:t>
      </w:r>
      <w:r w:rsidRPr="00EA7870">
        <w:rPr>
          <w:sz w:val="20"/>
          <w:szCs w:val="20"/>
          <w:lang w:val="es-AR"/>
        </w:rPr>
        <w:t xml:space="preserve"> </w:t>
      </w:r>
      <w:r w:rsidR="00376725" w:rsidRPr="00EA7870">
        <w:rPr>
          <w:sz w:val="20"/>
          <w:szCs w:val="20"/>
          <w:lang w:val="es-AR"/>
        </w:rPr>
        <w:t>casa</w:t>
      </w:r>
      <w:r w:rsidRPr="00EA7870">
        <w:rPr>
          <w:sz w:val="20"/>
          <w:szCs w:val="20"/>
          <w:lang w:val="es-AR"/>
        </w:rPr>
        <w:t xml:space="preserve"> </w:t>
      </w:r>
      <w:r w:rsidR="00376725" w:rsidRPr="00EA7870">
        <w:rPr>
          <w:sz w:val="20"/>
          <w:szCs w:val="20"/>
          <w:lang w:val="es-AR"/>
        </w:rPr>
        <w:t>matriz</w:t>
      </w:r>
      <w:r w:rsidRPr="00EA7870">
        <w:rPr>
          <w:sz w:val="20"/>
          <w:szCs w:val="20"/>
          <w:lang w:val="es-AR"/>
        </w:rPr>
        <w:t xml:space="preserve"> </w:t>
      </w:r>
      <w:r w:rsidR="00376725" w:rsidRPr="00EA7870">
        <w:rPr>
          <w:sz w:val="20"/>
          <w:szCs w:val="20"/>
          <w:lang w:val="es-AR"/>
        </w:rPr>
        <w:t>y</w:t>
      </w:r>
      <w:r w:rsidRPr="00EA7870">
        <w:rPr>
          <w:sz w:val="20"/>
          <w:szCs w:val="20"/>
          <w:lang w:val="es-AR"/>
        </w:rPr>
        <w:t xml:space="preserve"> </w:t>
      </w:r>
      <w:r w:rsidR="00376725" w:rsidRPr="00EA7870">
        <w:rPr>
          <w:sz w:val="20"/>
          <w:szCs w:val="20"/>
          <w:lang w:val="es-AR"/>
        </w:rPr>
        <w:t>subsidiarias</w:t>
      </w:r>
      <w:r w:rsidRPr="00EA7870">
        <w:rPr>
          <w:sz w:val="20"/>
          <w:szCs w:val="20"/>
          <w:lang w:val="es-AR"/>
        </w:rPr>
        <w:t xml:space="preserve"> </w:t>
      </w:r>
      <w:r w:rsidR="00376725" w:rsidRPr="00EA7870">
        <w:rPr>
          <w:i/>
          <w:sz w:val="20"/>
          <w:szCs w:val="20"/>
          <w:lang w:val="es-AR"/>
        </w:rPr>
        <w:t>(keep-well)</w:t>
      </w:r>
      <w:r w:rsidR="00376725" w:rsidRPr="00EA7870">
        <w:rPr>
          <w:sz w:val="20"/>
          <w:szCs w:val="20"/>
          <w:lang w:val="es-AR"/>
        </w:rPr>
        <w:t>,</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compra</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activos,</w:t>
      </w:r>
      <w:r w:rsidRPr="00EA7870">
        <w:rPr>
          <w:sz w:val="20"/>
          <w:szCs w:val="20"/>
          <w:lang w:val="es-AR"/>
        </w:rPr>
        <w:t xml:space="preserve"> </w:t>
      </w:r>
      <w:r w:rsidR="00376725" w:rsidRPr="00EA7870">
        <w:rPr>
          <w:sz w:val="20"/>
          <w:szCs w:val="20"/>
          <w:lang w:val="es-AR"/>
        </w:rPr>
        <w:t>mercaderías,</w:t>
      </w:r>
      <w:r w:rsidRPr="00EA7870">
        <w:rPr>
          <w:sz w:val="20"/>
          <w:szCs w:val="20"/>
          <w:lang w:val="es-AR"/>
        </w:rPr>
        <w:t xml:space="preserve"> </w:t>
      </w:r>
      <w:r w:rsidR="00376725" w:rsidRPr="00EA7870">
        <w:rPr>
          <w:sz w:val="20"/>
          <w:szCs w:val="20"/>
          <w:lang w:val="es-AR"/>
        </w:rPr>
        <w:t>títulos</w:t>
      </w:r>
      <w:r w:rsidRPr="00EA7870">
        <w:rPr>
          <w:sz w:val="20"/>
          <w:szCs w:val="20"/>
          <w:lang w:val="es-AR"/>
        </w:rPr>
        <w:t xml:space="preserve"> </w:t>
      </w:r>
      <w:r w:rsidR="00376725" w:rsidRPr="00EA7870">
        <w:rPr>
          <w:sz w:val="20"/>
          <w:szCs w:val="20"/>
          <w:lang w:val="es-AR"/>
        </w:rPr>
        <w:t>valores</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servicios,</w:t>
      </w:r>
      <w:r w:rsidRPr="00EA7870">
        <w:rPr>
          <w:sz w:val="20"/>
          <w:szCs w:val="20"/>
          <w:lang w:val="es-AR"/>
        </w:rPr>
        <w:t xml:space="preserve"> </w:t>
      </w:r>
      <w:r w:rsidR="00376725" w:rsidRPr="00EA7870">
        <w:rPr>
          <w:sz w:val="20"/>
          <w:szCs w:val="20"/>
          <w:lang w:val="es-AR"/>
        </w:rPr>
        <w:t>acuerdos</w:t>
      </w:r>
      <w:r w:rsidRPr="00EA7870">
        <w:rPr>
          <w:sz w:val="20"/>
          <w:szCs w:val="20"/>
          <w:lang w:val="es-AR"/>
        </w:rPr>
        <w:t xml:space="preserve"> </w:t>
      </w:r>
      <w:r w:rsidR="00376725" w:rsidRPr="00EA7870">
        <w:rPr>
          <w:i/>
          <w:sz w:val="20"/>
          <w:szCs w:val="20"/>
          <w:lang w:val="es-AR"/>
        </w:rPr>
        <w:t>take-or-pay</w:t>
      </w:r>
      <w:r w:rsidR="00376725" w:rsidRPr="00EA7870">
        <w:rPr>
          <w:sz w:val="20"/>
          <w:szCs w:val="20"/>
          <w:lang w:val="es-AR"/>
        </w:rPr>
        <w:t>,</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para</w:t>
      </w:r>
      <w:r w:rsidRPr="00EA7870">
        <w:rPr>
          <w:sz w:val="20"/>
          <w:szCs w:val="20"/>
          <w:lang w:val="es-AR"/>
        </w:rPr>
        <w:t xml:space="preserve"> </w:t>
      </w:r>
      <w:r w:rsidR="00376725" w:rsidRPr="00EA7870">
        <w:rPr>
          <w:sz w:val="20"/>
          <w:szCs w:val="20"/>
          <w:lang w:val="es-AR"/>
        </w:rPr>
        <w:t>mantener</w:t>
      </w:r>
      <w:r w:rsidRPr="00EA7870">
        <w:rPr>
          <w:sz w:val="20"/>
          <w:szCs w:val="20"/>
          <w:lang w:val="es-AR"/>
        </w:rPr>
        <w:t xml:space="preserve"> </w:t>
      </w:r>
      <w:r w:rsidR="00376725" w:rsidRPr="00EA7870">
        <w:rPr>
          <w:sz w:val="20"/>
          <w:szCs w:val="20"/>
          <w:lang w:val="es-AR"/>
        </w:rPr>
        <w:t>la</w:t>
      </w:r>
      <w:r w:rsidRPr="00EA7870">
        <w:rPr>
          <w:sz w:val="20"/>
          <w:szCs w:val="20"/>
          <w:lang w:val="es-AR"/>
        </w:rPr>
        <w:t xml:space="preserve"> </w:t>
      </w:r>
      <w:r w:rsidR="00376725" w:rsidRPr="00EA7870">
        <w:rPr>
          <w:sz w:val="20"/>
          <w:szCs w:val="20"/>
          <w:lang w:val="es-AR"/>
        </w:rPr>
        <w:t>situación</w:t>
      </w:r>
      <w:r w:rsidRPr="00EA7870">
        <w:rPr>
          <w:sz w:val="20"/>
          <w:szCs w:val="20"/>
          <w:lang w:val="es-AR"/>
        </w:rPr>
        <w:t xml:space="preserve"> </w:t>
      </w:r>
      <w:r w:rsidR="00376725" w:rsidRPr="00EA7870">
        <w:rPr>
          <w:sz w:val="20"/>
          <w:szCs w:val="20"/>
          <w:lang w:val="es-AR"/>
        </w:rPr>
        <w:t>patrimonial</w:t>
      </w:r>
      <w:r w:rsidRPr="00EA7870">
        <w:rPr>
          <w:sz w:val="20"/>
          <w:szCs w:val="20"/>
          <w:lang w:val="es-AR"/>
        </w:rPr>
        <w:t xml:space="preserve"> </w:t>
      </w:r>
      <w:r w:rsidR="00376725" w:rsidRPr="00EA7870">
        <w:rPr>
          <w:sz w:val="20"/>
          <w:szCs w:val="20"/>
          <w:lang w:val="es-AR"/>
        </w:rPr>
        <w:t>y</w:t>
      </w:r>
      <w:r w:rsidRPr="00EA7870">
        <w:rPr>
          <w:sz w:val="20"/>
          <w:szCs w:val="20"/>
          <w:lang w:val="es-AR"/>
        </w:rPr>
        <w:t xml:space="preserve"> </w:t>
      </w:r>
      <w:r w:rsidR="00376725" w:rsidRPr="00EA7870">
        <w:rPr>
          <w:sz w:val="20"/>
          <w:szCs w:val="20"/>
          <w:lang w:val="es-AR"/>
        </w:rPr>
        <w:t>financiera</w:t>
      </w:r>
      <w:r w:rsidRPr="00EA7870">
        <w:rPr>
          <w:sz w:val="20"/>
          <w:szCs w:val="20"/>
          <w:lang w:val="es-AR"/>
        </w:rPr>
        <w:t xml:space="preserve"> </w:t>
      </w:r>
      <w:r w:rsidR="00376725" w:rsidRPr="00EA7870">
        <w:rPr>
          <w:sz w:val="20"/>
          <w:szCs w:val="20"/>
          <w:lang w:val="es-AR"/>
        </w:rPr>
        <w:t>u</w:t>
      </w:r>
      <w:r w:rsidRPr="00EA7870">
        <w:rPr>
          <w:sz w:val="20"/>
          <w:szCs w:val="20"/>
          <w:lang w:val="es-AR"/>
        </w:rPr>
        <w:t xml:space="preserve"> </w:t>
      </w:r>
      <w:r w:rsidR="00376725" w:rsidRPr="00EA7870">
        <w:rPr>
          <w:sz w:val="20"/>
          <w:szCs w:val="20"/>
          <w:lang w:val="es-AR"/>
        </w:rPr>
        <w:t>otra);</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(2)</w:t>
      </w:r>
      <w:r w:rsidRPr="00EA7870">
        <w:rPr>
          <w:sz w:val="20"/>
          <w:szCs w:val="20"/>
          <w:lang w:val="es-AR"/>
        </w:rPr>
        <w:t xml:space="preserve"> </w:t>
      </w:r>
      <w:r w:rsidR="00376725" w:rsidRPr="00EA7870">
        <w:rPr>
          <w:sz w:val="20"/>
          <w:szCs w:val="20"/>
          <w:lang w:val="es-AR"/>
        </w:rPr>
        <w:t>otorgada</w:t>
      </w: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los</w:t>
      </w:r>
      <w:r w:rsidRPr="00EA7870">
        <w:rPr>
          <w:sz w:val="20"/>
          <w:szCs w:val="20"/>
          <w:lang w:val="es-AR"/>
        </w:rPr>
        <w:t xml:space="preserve"> </w:t>
      </w:r>
      <w:r w:rsidR="00376725" w:rsidRPr="00EA7870">
        <w:rPr>
          <w:sz w:val="20"/>
          <w:szCs w:val="20"/>
          <w:lang w:val="es-AR"/>
        </w:rPr>
        <w:t>fines</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asegurar</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cualquier</w:t>
      </w:r>
      <w:r w:rsidRPr="00EA7870">
        <w:rPr>
          <w:sz w:val="20"/>
          <w:szCs w:val="20"/>
          <w:lang w:val="es-AR"/>
        </w:rPr>
        <w:t xml:space="preserve"> </w:t>
      </w:r>
      <w:r w:rsidR="00376725" w:rsidRPr="00EA7870">
        <w:rPr>
          <w:sz w:val="20"/>
          <w:szCs w:val="20"/>
          <w:lang w:val="es-AR"/>
        </w:rPr>
        <w:t>otra</w:t>
      </w:r>
      <w:r w:rsidRPr="00EA7870">
        <w:rPr>
          <w:sz w:val="20"/>
          <w:szCs w:val="20"/>
          <w:lang w:val="es-AR"/>
        </w:rPr>
        <w:t xml:space="preserve"> </w:t>
      </w:r>
      <w:r w:rsidR="00376725" w:rsidRPr="00EA7870">
        <w:rPr>
          <w:sz w:val="20"/>
          <w:szCs w:val="20"/>
          <w:lang w:val="es-AR"/>
        </w:rPr>
        <w:t>forma</w:t>
      </w:r>
      <w:r w:rsidRPr="00EA7870">
        <w:rPr>
          <w:sz w:val="20"/>
          <w:szCs w:val="20"/>
          <w:lang w:val="es-AR"/>
        </w:rPr>
        <w:t xml:space="preserve"> </w:t>
      </w:r>
      <w:r w:rsidR="00376725" w:rsidRPr="00EA7870">
        <w:rPr>
          <w:sz w:val="20"/>
          <w:szCs w:val="20"/>
          <w:lang w:val="es-AR"/>
        </w:rPr>
        <w:t>su</w:t>
      </w:r>
      <w:r w:rsidRPr="00EA7870">
        <w:rPr>
          <w:sz w:val="20"/>
          <w:szCs w:val="20"/>
          <w:lang w:val="es-AR"/>
        </w:rPr>
        <w:t xml:space="preserve"> </w:t>
      </w:r>
      <w:r w:rsidR="00376725" w:rsidRPr="00EA7870">
        <w:rPr>
          <w:sz w:val="20"/>
          <w:szCs w:val="20"/>
          <w:lang w:val="es-AR"/>
        </w:rPr>
        <w:t>pago</w:t>
      </w:r>
      <w:r w:rsidRPr="00EA7870">
        <w:rPr>
          <w:sz w:val="20"/>
          <w:szCs w:val="20"/>
          <w:lang w:val="es-AR"/>
        </w:rPr>
        <w:t xml:space="preserve"> </w:t>
      </w:r>
      <w:r w:rsidR="00376725" w:rsidRPr="00EA7870">
        <w:rPr>
          <w:sz w:val="20"/>
          <w:szCs w:val="20"/>
          <w:lang w:val="es-AR"/>
        </w:rPr>
        <w:t>al</w:t>
      </w:r>
      <w:r w:rsidRPr="00EA7870">
        <w:rPr>
          <w:sz w:val="20"/>
          <w:szCs w:val="20"/>
          <w:lang w:val="es-AR"/>
        </w:rPr>
        <w:t xml:space="preserve"> </w:t>
      </w:r>
      <w:r w:rsidR="00376725" w:rsidRPr="00EA7870">
        <w:rPr>
          <w:sz w:val="20"/>
          <w:szCs w:val="20"/>
          <w:lang w:val="es-AR"/>
        </w:rPr>
        <w:t>tenedor</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dicho</w:t>
      </w:r>
      <w:r w:rsidRPr="00EA7870">
        <w:rPr>
          <w:sz w:val="20"/>
          <w:szCs w:val="20"/>
          <w:lang w:val="es-AR"/>
        </w:rPr>
        <w:t xml:space="preserve"> </w:t>
      </w:r>
      <w:r w:rsidR="00376725" w:rsidRPr="00EA7870">
        <w:rPr>
          <w:sz w:val="20"/>
          <w:szCs w:val="20"/>
          <w:lang w:val="es-AR"/>
        </w:rPr>
        <w:t>Endeudamiento</w:t>
      </w:r>
      <w:r w:rsidRPr="00EA7870">
        <w:rPr>
          <w:sz w:val="20"/>
          <w:szCs w:val="20"/>
          <w:lang w:val="es-AR"/>
        </w:rPr>
        <w:t xml:space="preserve"> </w:t>
      </w:r>
      <w:r w:rsidR="00376725" w:rsidRPr="00EA7870">
        <w:rPr>
          <w:sz w:val="20"/>
          <w:szCs w:val="20"/>
          <w:lang w:val="es-AR"/>
        </w:rPr>
        <w:t>u</w:t>
      </w:r>
      <w:r w:rsidRPr="00EA7870">
        <w:rPr>
          <w:sz w:val="20"/>
          <w:szCs w:val="20"/>
          <w:lang w:val="es-AR"/>
        </w:rPr>
        <w:t xml:space="preserve"> </w:t>
      </w:r>
      <w:r w:rsidR="00376725" w:rsidRPr="00EA7870">
        <w:rPr>
          <w:sz w:val="20"/>
          <w:szCs w:val="20"/>
          <w:lang w:val="es-AR"/>
        </w:rPr>
        <w:t>otra</w:t>
      </w:r>
      <w:r w:rsidRPr="00EA7870">
        <w:rPr>
          <w:sz w:val="20"/>
          <w:szCs w:val="20"/>
          <w:lang w:val="es-AR"/>
        </w:rPr>
        <w:t xml:space="preserve"> </w:t>
      </w:r>
      <w:r w:rsidR="00376725" w:rsidRPr="00EA7870">
        <w:rPr>
          <w:sz w:val="20"/>
          <w:szCs w:val="20"/>
          <w:lang w:val="es-AR"/>
        </w:rPr>
        <w:t>obligación</w:t>
      </w:r>
      <w:r w:rsidRPr="00EA7870">
        <w:rPr>
          <w:sz w:val="20"/>
          <w:szCs w:val="20"/>
          <w:lang w:val="es-AR"/>
        </w:rPr>
        <w:t xml:space="preserve"> </w:t>
      </w:r>
      <w:r w:rsidR="00376725" w:rsidRPr="00EA7870">
        <w:rPr>
          <w:sz w:val="20"/>
          <w:szCs w:val="20"/>
          <w:lang w:val="es-AR"/>
        </w:rPr>
        <w:t>monetaria</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para</w:t>
      </w:r>
      <w:r w:rsidRPr="00EA7870">
        <w:rPr>
          <w:sz w:val="20"/>
          <w:szCs w:val="20"/>
          <w:lang w:val="es-AR"/>
        </w:rPr>
        <w:t xml:space="preserve"> </w:t>
      </w:r>
      <w:r w:rsidR="00376725" w:rsidRPr="00EA7870">
        <w:rPr>
          <w:sz w:val="20"/>
          <w:szCs w:val="20"/>
          <w:lang w:val="es-AR"/>
        </w:rPr>
        <w:t>proteger</w:t>
      </w:r>
      <w:r w:rsidRPr="00EA7870">
        <w:rPr>
          <w:sz w:val="20"/>
          <w:szCs w:val="20"/>
          <w:lang w:val="es-AR"/>
        </w:rPr>
        <w:t xml:space="preserve"> </w:t>
      </w:r>
      <w:r w:rsidR="00376725" w:rsidRPr="00EA7870">
        <w:rPr>
          <w:sz w:val="20"/>
          <w:szCs w:val="20"/>
          <w:lang w:val="es-AR"/>
        </w:rPr>
        <w:t>a</w:t>
      </w:r>
      <w:r w:rsidRPr="00EA7870">
        <w:rPr>
          <w:sz w:val="20"/>
          <w:szCs w:val="20"/>
          <w:lang w:val="es-AR"/>
        </w:rPr>
        <w:t xml:space="preserve"> </w:t>
      </w:r>
      <w:r w:rsidR="00376725" w:rsidRPr="00EA7870">
        <w:rPr>
          <w:sz w:val="20"/>
          <w:szCs w:val="20"/>
          <w:lang w:val="es-AR"/>
        </w:rPr>
        <w:t>dicho</w:t>
      </w:r>
      <w:r w:rsidRPr="00EA7870">
        <w:rPr>
          <w:sz w:val="20"/>
          <w:szCs w:val="20"/>
          <w:lang w:val="es-AR"/>
        </w:rPr>
        <w:t xml:space="preserve"> </w:t>
      </w:r>
      <w:r w:rsidR="00376725" w:rsidRPr="00EA7870">
        <w:rPr>
          <w:sz w:val="20"/>
          <w:szCs w:val="20"/>
          <w:lang w:val="es-AR"/>
        </w:rPr>
        <w:t>tenedor</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la</w:t>
      </w:r>
      <w:r w:rsidRPr="00EA7870">
        <w:rPr>
          <w:sz w:val="20"/>
          <w:szCs w:val="20"/>
          <w:lang w:val="es-AR"/>
        </w:rPr>
        <w:t xml:space="preserve"> </w:t>
      </w:r>
      <w:r w:rsidR="00376725" w:rsidRPr="00EA7870">
        <w:rPr>
          <w:sz w:val="20"/>
          <w:szCs w:val="20"/>
          <w:lang w:val="es-AR"/>
        </w:rPr>
        <w:t>obligación</w:t>
      </w:r>
      <w:r w:rsidRPr="00EA7870">
        <w:rPr>
          <w:sz w:val="20"/>
          <w:szCs w:val="20"/>
          <w:lang w:val="es-AR"/>
        </w:rPr>
        <w:t xml:space="preserve"> </w:t>
      </w:r>
      <w:r w:rsidR="00376725" w:rsidRPr="00EA7870">
        <w:rPr>
          <w:sz w:val="20"/>
          <w:szCs w:val="20"/>
          <w:lang w:val="es-AR"/>
        </w:rPr>
        <w:t>contra</w:t>
      </w:r>
      <w:r w:rsidRPr="00EA7870">
        <w:rPr>
          <w:sz w:val="20"/>
          <w:szCs w:val="20"/>
          <w:lang w:val="es-AR"/>
        </w:rPr>
        <w:t xml:space="preserve"> </w:t>
      </w:r>
      <w:r w:rsidR="00376725" w:rsidRPr="00EA7870">
        <w:rPr>
          <w:sz w:val="20"/>
          <w:szCs w:val="20"/>
          <w:lang w:val="es-AR"/>
        </w:rPr>
        <w:t>pérdidas</w:t>
      </w:r>
      <w:r w:rsidRPr="00EA7870">
        <w:rPr>
          <w:sz w:val="20"/>
          <w:szCs w:val="20"/>
          <w:lang w:val="es-AR"/>
        </w:rPr>
        <w:t xml:space="preserve"> </w:t>
      </w:r>
      <w:r w:rsidR="00376725" w:rsidRPr="00EA7870">
        <w:rPr>
          <w:sz w:val="20"/>
          <w:szCs w:val="20"/>
          <w:lang w:val="es-AR"/>
        </w:rPr>
        <w:t>respecto</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ella,</w:t>
      </w:r>
      <w:r w:rsidRPr="00EA7870">
        <w:rPr>
          <w:sz w:val="20"/>
          <w:szCs w:val="20"/>
          <w:lang w:val="es-AR"/>
        </w:rPr>
        <w:t xml:space="preserve"> </w:t>
      </w:r>
      <w:r w:rsidR="00376725" w:rsidRPr="00EA7870">
        <w:rPr>
          <w:sz w:val="20"/>
          <w:szCs w:val="20"/>
          <w:lang w:val="es-AR"/>
        </w:rPr>
        <w:t>(en</w:t>
      </w:r>
      <w:r w:rsidRPr="00EA7870">
        <w:rPr>
          <w:sz w:val="20"/>
          <w:szCs w:val="20"/>
          <w:lang w:val="es-AR"/>
        </w:rPr>
        <w:t xml:space="preserve"> </w:t>
      </w:r>
      <w:r w:rsidR="00376725" w:rsidRPr="00EA7870">
        <w:rPr>
          <w:sz w:val="20"/>
          <w:szCs w:val="20"/>
          <w:lang w:val="es-AR"/>
        </w:rPr>
        <w:t>su</w:t>
      </w:r>
      <w:r w:rsidRPr="00EA7870">
        <w:rPr>
          <w:sz w:val="20"/>
          <w:szCs w:val="20"/>
          <w:lang w:val="es-AR"/>
        </w:rPr>
        <w:t xml:space="preserve"> </w:t>
      </w:r>
      <w:r w:rsidR="00376725" w:rsidRPr="00EA7870">
        <w:rPr>
          <w:sz w:val="20"/>
          <w:szCs w:val="20"/>
          <w:lang w:val="es-AR"/>
        </w:rPr>
        <w:t>totalidad</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en</w:t>
      </w:r>
      <w:r w:rsidRPr="00EA7870">
        <w:rPr>
          <w:sz w:val="20"/>
          <w:szCs w:val="20"/>
          <w:lang w:val="es-AR"/>
        </w:rPr>
        <w:t xml:space="preserve"> </w:t>
      </w:r>
      <w:r w:rsidR="00376725" w:rsidRPr="00EA7870">
        <w:rPr>
          <w:sz w:val="20"/>
          <w:szCs w:val="20"/>
          <w:lang w:val="es-AR"/>
        </w:rPr>
        <w:t>parte);</w:t>
      </w:r>
      <w:r w:rsidRPr="00EA7870">
        <w:rPr>
          <w:sz w:val="20"/>
          <w:szCs w:val="20"/>
          <w:lang w:val="es-AR"/>
        </w:rPr>
        <w:t xml:space="preserve"> </w:t>
      </w:r>
      <w:r w:rsidR="00376725" w:rsidRPr="00EA7870">
        <w:rPr>
          <w:i/>
          <w:sz w:val="20"/>
          <w:szCs w:val="20"/>
          <w:lang w:val="es-AR"/>
        </w:rPr>
        <w:t>teniendo</w:t>
      </w:r>
      <w:r w:rsidRPr="00EA7870">
        <w:rPr>
          <w:i/>
          <w:sz w:val="20"/>
          <w:szCs w:val="20"/>
          <w:lang w:val="es-AR"/>
        </w:rPr>
        <w:t xml:space="preserve"> </w:t>
      </w:r>
      <w:r w:rsidR="00376725" w:rsidRPr="00EA7870">
        <w:rPr>
          <w:i/>
          <w:sz w:val="20"/>
          <w:szCs w:val="20"/>
          <w:lang w:val="es-AR"/>
        </w:rPr>
        <w:t>en</w:t>
      </w:r>
      <w:r w:rsidRPr="00EA7870">
        <w:rPr>
          <w:i/>
          <w:sz w:val="20"/>
          <w:szCs w:val="20"/>
          <w:lang w:val="es-AR"/>
        </w:rPr>
        <w:t xml:space="preserve"> </w:t>
      </w:r>
      <w:r w:rsidR="00376725" w:rsidRPr="00EA7870">
        <w:rPr>
          <w:i/>
          <w:sz w:val="20"/>
          <w:szCs w:val="20"/>
          <w:lang w:val="es-AR"/>
        </w:rPr>
        <w:t>cuenta</w:t>
      </w:r>
      <w:r w:rsidRPr="00EA7870">
        <w:rPr>
          <w:sz w:val="20"/>
          <w:szCs w:val="20"/>
          <w:lang w:val="es-AR"/>
        </w:rPr>
        <w:t xml:space="preserve"> </w:t>
      </w:r>
      <w:r w:rsidR="00376725" w:rsidRPr="00EA7870">
        <w:rPr>
          <w:sz w:val="20"/>
          <w:szCs w:val="20"/>
          <w:lang w:val="es-AR"/>
        </w:rPr>
        <w:t>que</w:t>
      </w:r>
      <w:r w:rsidRPr="00EA7870">
        <w:rPr>
          <w:sz w:val="20"/>
          <w:szCs w:val="20"/>
          <w:lang w:val="es-AR"/>
        </w:rPr>
        <w:t xml:space="preserve"> </w:t>
      </w:r>
      <w:r w:rsidR="00376725" w:rsidRPr="00EA7870">
        <w:rPr>
          <w:sz w:val="20"/>
          <w:szCs w:val="20"/>
          <w:lang w:val="es-AR"/>
        </w:rPr>
        <w:t>el</w:t>
      </w:r>
      <w:r w:rsidRPr="00EA7870">
        <w:rPr>
          <w:sz w:val="20"/>
          <w:szCs w:val="20"/>
          <w:lang w:val="es-AR"/>
        </w:rPr>
        <w:t xml:space="preserve"> </w:t>
      </w:r>
      <w:r w:rsidR="00376725" w:rsidRPr="00EA7870">
        <w:rPr>
          <w:sz w:val="20"/>
          <w:szCs w:val="20"/>
          <w:lang w:val="es-AR"/>
        </w:rPr>
        <w:t>término</w:t>
      </w:r>
      <w:r w:rsidRPr="00EA7870">
        <w:rPr>
          <w:sz w:val="20"/>
          <w:szCs w:val="20"/>
          <w:lang w:val="es-AR"/>
        </w:rPr>
        <w:t xml:space="preserve"> </w:t>
      </w:r>
      <w:r w:rsidR="00376725" w:rsidRPr="00EA7870">
        <w:rPr>
          <w:sz w:val="20"/>
          <w:szCs w:val="20"/>
          <w:lang w:val="es-AR"/>
        </w:rPr>
        <w:t>“garantía”</w:t>
      </w:r>
      <w:r w:rsidRPr="00EA7870">
        <w:rPr>
          <w:sz w:val="20"/>
          <w:szCs w:val="20"/>
          <w:lang w:val="es-AR"/>
        </w:rPr>
        <w:t xml:space="preserve"> </w:t>
      </w:r>
      <w:r w:rsidR="00376725" w:rsidRPr="00EA7870">
        <w:rPr>
          <w:sz w:val="20"/>
          <w:szCs w:val="20"/>
          <w:lang w:val="es-AR"/>
        </w:rPr>
        <w:t>no</w:t>
      </w:r>
      <w:r w:rsidRPr="00EA7870">
        <w:rPr>
          <w:sz w:val="20"/>
          <w:szCs w:val="20"/>
          <w:lang w:val="es-AR"/>
        </w:rPr>
        <w:t xml:space="preserve"> </w:t>
      </w:r>
      <w:r w:rsidR="00376725" w:rsidRPr="00EA7870">
        <w:rPr>
          <w:sz w:val="20"/>
          <w:szCs w:val="20"/>
          <w:lang w:val="es-AR"/>
        </w:rPr>
        <w:t>incluirá</w:t>
      </w:r>
      <w:r w:rsidRPr="00EA7870">
        <w:rPr>
          <w:sz w:val="20"/>
          <w:szCs w:val="20"/>
          <w:lang w:val="es-AR"/>
        </w:rPr>
        <w:t xml:space="preserve"> </w:t>
      </w:r>
      <w:r w:rsidR="00376725" w:rsidRPr="00EA7870">
        <w:rPr>
          <w:sz w:val="20"/>
          <w:szCs w:val="20"/>
          <w:lang w:val="es-AR"/>
        </w:rPr>
        <w:t>endosos</w:t>
      </w:r>
      <w:r w:rsidRPr="00EA7870">
        <w:rPr>
          <w:sz w:val="20"/>
          <w:szCs w:val="20"/>
          <w:lang w:val="es-AR"/>
        </w:rPr>
        <w:t xml:space="preserve"> </w:t>
      </w:r>
      <w:r w:rsidR="00376725" w:rsidRPr="00EA7870">
        <w:rPr>
          <w:sz w:val="20"/>
          <w:szCs w:val="20"/>
          <w:lang w:val="es-AR"/>
        </w:rPr>
        <w:t>para</w:t>
      </w:r>
      <w:r w:rsidRPr="00EA7870">
        <w:rPr>
          <w:sz w:val="20"/>
          <w:szCs w:val="20"/>
          <w:lang w:val="es-AR"/>
        </w:rPr>
        <w:t xml:space="preserve"> </w:t>
      </w:r>
      <w:r w:rsidR="00376725" w:rsidRPr="00EA7870">
        <w:rPr>
          <w:sz w:val="20"/>
          <w:szCs w:val="20"/>
          <w:lang w:val="es-AR"/>
        </w:rPr>
        <w:t>el</w:t>
      </w:r>
      <w:r w:rsidRPr="00EA7870">
        <w:rPr>
          <w:sz w:val="20"/>
          <w:szCs w:val="20"/>
          <w:lang w:val="es-AR"/>
        </w:rPr>
        <w:t xml:space="preserve"> </w:t>
      </w:r>
      <w:r w:rsidR="00376725" w:rsidRPr="00EA7870">
        <w:rPr>
          <w:sz w:val="20"/>
          <w:szCs w:val="20"/>
          <w:lang w:val="es-AR"/>
        </w:rPr>
        <w:t>cobro</w:t>
      </w:r>
      <w:r w:rsidRPr="00EA7870">
        <w:rPr>
          <w:sz w:val="20"/>
          <w:szCs w:val="20"/>
          <w:lang w:val="es-AR"/>
        </w:rPr>
        <w:t xml:space="preserve"> </w:t>
      </w:r>
      <w:r w:rsidR="00376725" w:rsidRPr="00EA7870">
        <w:rPr>
          <w:sz w:val="20"/>
          <w:szCs w:val="20"/>
          <w:lang w:val="es-AR"/>
        </w:rPr>
        <w:t>o</w:t>
      </w:r>
      <w:r w:rsidRPr="00EA7870">
        <w:rPr>
          <w:sz w:val="20"/>
          <w:szCs w:val="20"/>
          <w:lang w:val="es-AR"/>
        </w:rPr>
        <w:t xml:space="preserve"> </w:t>
      </w:r>
      <w:r w:rsidR="00376725" w:rsidRPr="00EA7870">
        <w:rPr>
          <w:sz w:val="20"/>
          <w:szCs w:val="20"/>
          <w:lang w:val="es-AR"/>
        </w:rPr>
        <w:t>depósito</w:t>
      </w:r>
      <w:r w:rsidRPr="00EA7870">
        <w:rPr>
          <w:sz w:val="20"/>
          <w:szCs w:val="20"/>
          <w:lang w:val="es-AR"/>
        </w:rPr>
        <w:t xml:space="preserve"> </w:t>
      </w:r>
      <w:r w:rsidR="00376725" w:rsidRPr="00EA7870">
        <w:rPr>
          <w:sz w:val="20"/>
          <w:szCs w:val="20"/>
          <w:lang w:val="es-AR"/>
        </w:rPr>
        <w:t>en</w:t>
      </w:r>
      <w:r w:rsidRPr="00EA7870">
        <w:rPr>
          <w:sz w:val="20"/>
          <w:szCs w:val="20"/>
          <w:lang w:val="es-AR"/>
        </w:rPr>
        <w:t xml:space="preserve"> </w:t>
      </w:r>
      <w:r w:rsidR="00376725" w:rsidRPr="00EA7870">
        <w:rPr>
          <w:sz w:val="20"/>
          <w:szCs w:val="20"/>
          <w:lang w:val="es-AR"/>
        </w:rPr>
        <w:t>el</w:t>
      </w:r>
      <w:r w:rsidRPr="00EA7870">
        <w:rPr>
          <w:sz w:val="20"/>
          <w:szCs w:val="20"/>
          <w:lang w:val="es-AR"/>
        </w:rPr>
        <w:t xml:space="preserve"> </w:t>
      </w:r>
      <w:r w:rsidR="00376725" w:rsidRPr="00EA7870">
        <w:rPr>
          <w:sz w:val="20"/>
          <w:szCs w:val="20"/>
          <w:lang w:val="es-AR"/>
        </w:rPr>
        <w:t>curso</w:t>
      </w:r>
      <w:r w:rsidRPr="00EA7870">
        <w:rPr>
          <w:sz w:val="20"/>
          <w:szCs w:val="20"/>
          <w:lang w:val="es-AR"/>
        </w:rPr>
        <w:t xml:space="preserve"> </w:t>
      </w:r>
      <w:r w:rsidR="00376725" w:rsidRPr="00EA7870">
        <w:rPr>
          <w:sz w:val="20"/>
          <w:szCs w:val="20"/>
          <w:lang w:val="es-AR"/>
        </w:rPr>
        <w:t>habitual</w:t>
      </w:r>
      <w:r w:rsidRPr="00EA7870">
        <w:rPr>
          <w:sz w:val="20"/>
          <w:szCs w:val="20"/>
          <w:lang w:val="es-AR"/>
        </w:rPr>
        <w:t xml:space="preserve"> </w:t>
      </w:r>
      <w:r w:rsidR="00376725" w:rsidRPr="00EA7870">
        <w:rPr>
          <w:sz w:val="20"/>
          <w:szCs w:val="20"/>
          <w:lang w:val="es-AR"/>
        </w:rPr>
        <w:t>de</w:t>
      </w:r>
      <w:r w:rsidRPr="00EA7870">
        <w:rPr>
          <w:sz w:val="20"/>
          <w:szCs w:val="20"/>
          <w:lang w:val="es-AR"/>
        </w:rPr>
        <w:t xml:space="preserve"> </w:t>
      </w:r>
      <w:r w:rsidR="00376725" w:rsidRPr="00EA7870">
        <w:rPr>
          <w:sz w:val="20"/>
          <w:szCs w:val="20"/>
          <w:lang w:val="es-AR"/>
        </w:rPr>
        <w:t>los</w:t>
      </w:r>
      <w:r w:rsidRPr="00EA7870">
        <w:rPr>
          <w:sz w:val="20"/>
          <w:szCs w:val="20"/>
          <w:lang w:val="es-AR"/>
        </w:rPr>
        <w:t xml:space="preserve"> </w:t>
      </w:r>
      <w:r w:rsidR="00376725" w:rsidRPr="00EA7870">
        <w:rPr>
          <w:sz w:val="20"/>
          <w:szCs w:val="20"/>
          <w:lang w:val="es-AR"/>
        </w:rPr>
        <w:t>negocios.</w:t>
      </w:r>
      <w:r w:rsidRPr="00EA7870">
        <w:rPr>
          <w:sz w:val="20"/>
          <w:szCs w:val="20"/>
          <w:lang w:val="es-AR"/>
        </w:rPr>
        <w:t xml:space="preserve"> </w:t>
      </w:r>
      <w:r w:rsidR="00376725" w:rsidRPr="00EA7870">
        <w:rPr>
          <w:sz w:val="20"/>
          <w:szCs w:val="20"/>
          <w:lang w:val="es-AR"/>
        </w:rPr>
        <w:t>El</w:t>
      </w:r>
      <w:r w:rsidRPr="00EA7870">
        <w:rPr>
          <w:sz w:val="20"/>
          <w:szCs w:val="20"/>
          <w:lang w:val="es-AR"/>
        </w:rPr>
        <w:t xml:space="preserve"> </w:t>
      </w:r>
      <w:r w:rsidR="00376725" w:rsidRPr="00EA7870">
        <w:rPr>
          <w:sz w:val="20"/>
          <w:szCs w:val="20"/>
          <w:lang w:val="es-AR"/>
        </w:rPr>
        <w:t>término</w:t>
      </w:r>
      <w:r w:rsidRPr="00EA7870">
        <w:rPr>
          <w:sz w:val="20"/>
          <w:szCs w:val="20"/>
          <w:lang w:val="es-AR"/>
        </w:rPr>
        <w:t xml:space="preserve"> </w:t>
      </w:r>
      <w:r w:rsidR="00376725" w:rsidRPr="00EA7870">
        <w:rPr>
          <w:sz w:val="20"/>
          <w:szCs w:val="20"/>
          <w:lang w:val="es-AR"/>
        </w:rPr>
        <w:t>“</w:t>
      </w:r>
      <w:r w:rsidR="00376725" w:rsidRPr="00EA7870">
        <w:rPr>
          <w:b/>
          <w:sz w:val="20"/>
          <w:szCs w:val="20"/>
          <w:lang w:val="es-AR"/>
        </w:rPr>
        <w:t>Garantizar</w:t>
      </w:r>
      <w:r w:rsidR="00376725" w:rsidRPr="00EA7870">
        <w:rPr>
          <w:sz w:val="20"/>
          <w:szCs w:val="20"/>
          <w:lang w:val="es-AR"/>
        </w:rPr>
        <w:t>”</w:t>
      </w:r>
      <w:r w:rsidRPr="00EA7870">
        <w:rPr>
          <w:sz w:val="20"/>
          <w:szCs w:val="20"/>
          <w:lang w:val="es-AR"/>
        </w:rPr>
        <w:t xml:space="preserve"> </w:t>
      </w:r>
      <w:r w:rsidR="00376725" w:rsidRPr="00EA7870">
        <w:rPr>
          <w:sz w:val="20"/>
          <w:szCs w:val="20"/>
          <w:lang w:val="es-AR"/>
        </w:rPr>
        <w:t>utilizado</w:t>
      </w:r>
      <w:r w:rsidRPr="00EA7870">
        <w:rPr>
          <w:sz w:val="20"/>
          <w:szCs w:val="20"/>
          <w:lang w:val="es-AR"/>
        </w:rPr>
        <w:t xml:space="preserve"> </w:t>
      </w:r>
      <w:r w:rsidR="00376725" w:rsidRPr="00EA7870">
        <w:rPr>
          <w:sz w:val="20"/>
          <w:szCs w:val="20"/>
          <w:lang w:val="es-AR"/>
        </w:rPr>
        <w:t>como</w:t>
      </w:r>
      <w:r w:rsidRPr="00EA7870">
        <w:rPr>
          <w:sz w:val="20"/>
          <w:szCs w:val="20"/>
          <w:lang w:val="es-AR"/>
        </w:rPr>
        <w:t xml:space="preserve"> </w:t>
      </w:r>
      <w:r w:rsidR="00376725" w:rsidRPr="00EA7870">
        <w:rPr>
          <w:sz w:val="20"/>
          <w:szCs w:val="20"/>
          <w:lang w:val="es-AR"/>
        </w:rPr>
        <w:t>verbo</w:t>
      </w:r>
      <w:r w:rsidRPr="00EA7870">
        <w:rPr>
          <w:sz w:val="20"/>
          <w:szCs w:val="20"/>
          <w:lang w:val="es-AR"/>
        </w:rPr>
        <w:t xml:space="preserve"> </w:t>
      </w:r>
      <w:r w:rsidR="00376725" w:rsidRPr="00EA7870">
        <w:rPr>
          <w:sz w:val="20"/>
          <w:szCs w:val="20"/>
          <w:lang w:val="es-AR"/>
        </w:rPr>
        <w:t>tiene</w:t>
      </w:r>
      <w:r w:rsidRPr="00EA7870">
        <w:rPr>
          <w:sz w:val="20"/>
          <w:szCs w:val="20"/>
          <w:lang w:val="es-AR"/>
        </w:rPr>
        <w:t xml:space="preserve"> </w:t>
      </w:r>
      <w:r w:rsidR="00376725" w:rsidRPr="00EA7870">
        <w:rPr>
          <w:sz w:val="20"/>
          <w:szCs w:val="20"/>
          <w:lang w:val="es-AR"/>
        </w:rPr>
        <w:t>un</w:t>
      </w:r>
      <w:r w:rsidRPr="00EA7870">
        <w:rPr>
          <w:sz w:val="20"/>
          <w:szCs w:val="20"/>
          <w:lang w:val="es-AR"/>
        </w:rPr>
        <w:t xml:space="preserve"> </w:t>
      </w:r>
      <w:r w:rsidR="00376725" w:rsidRPr="00EA7870">
        <w:rPr>
          <w:sz w:val="20"/>
          <w:szCs w:val="20"/>
          <w:lang w:val="es-AR"/>
        </w:rPr>
        <w:t>significado</w:t>
      </w:r>
      <w:r w:rsidRPr="00EA7870">
        <w:rPr>
          <w:sz w:val="20"/>
          <w:szCs w:val="20"/>
          <w:lang w:val="es-AR"/>
        </w:rPr>
        <w:t xml:space="preserve"> </w:t>
      </w:r>
      <w:r w:rsidR="00376725" w:rsidRPr="00EA7870">
        <w:rPr>
          <w:sz w:val="20"/>
          <w:szCs w:val="20"/>
          <w:lang w:val="es-AR"/>
        </w:rPr>
        <w:t>correlativo.</w:t>
      </w:r>
      <w:r w:rsidRPr="00EA7870">
        <w:rPr>
          <w:sz w:val="20"/>
          <w:szCs w:val="20"/>
          <w:lang w:val="es-AR"/>
        </w:rPr>
        <w:t xml:space="preserve"> </w:t>
      </w:r>
      <w:r w:rsidR="00376725" w:rsidRPr="00EA7870">
        <w:rPr>
          <w:sz w:val="20"/>
          <w:szCs w:val="20"/>
          <w:lang w:val="es-AR"/>
        </w:rPr>
        <w:t>El</w:t>
      </w:r>
      <w:r w:rsidRPr="00EA7870">
        <w:rPr>
          <w:sz w:val="20"/>
          <w:szCs w:val="20"/>
          <w:lang w:val="es-AR"/>
        </w:rPr>
        <w:t xml:space="preserve"> </w:t>
      </w:r>
      <w:r w:rsidR="00376725" w:rsidRPr="00EA7870">
        <w:rPr>
          <w:sz w:val="20"/>
          <w:szCs w:val="20"/>
          <w:lang w:val="es-AR"/>
        </w:rPr>
        <w:t>término</w:t>
      </w:r>
      <w:r w:rsidRPr="00EA7870">
        <w:rPr>
          <w:sz w:val="20"/>
          <w:szCs w:val="20"/>
          <w:lang w:val="es-AR"/>
        </w:rPr>
        <w:t xml:space="preserve"> </w:t>
      </w:r>
      <w:r w:rsidR="00376725" w:rsidRPr="00EA7870">
        <w:rPr>
          <w:sz w:val="20"/>
          <w:szCs w:val="20"/>
          <w:lang w:val="es-AR"/>
        </w:rPr>
        <w:t>“</w:t>
      </w:r>
      <w:r w:rsidR="00376725" w:rsidRPr="00EA7870">
        <w:rPr>
          <w:b/>
          <w:sz w:val="20"/>
          <w:szCs w:val="20"/>
          <w:lang w:val="es-AR"/>
        </w:rPr>
        <w:t>Garante</w:t>
      </w:r>
      <w:r w:rsidR="00376725" w:rsidRPr="00EA7870">
        <w:rPr>
          <w:sz w:val="20"/>
          <w:szCs w:val="20"/>
          <w:lang w:val="es-AR"/>
        </w:rPr>
        <w:t>”</w:t>
      </w:r>
      <w:r w:rsidRPr="00EA7870">
        <w:rPr>
          <w:sz w:val="20"/>
          <w:szCs w:val="20"/>
          <w:lang w:val="es-AR"/>
        </w:rPr>
        <w:t xml:space="preserve"> </w:t>
      </w:r>
      <w:r w:rsidR="00376725" w:rsidRPr="00EA7870">
        <w:rPr>
          <w:sz w:val="20"/>
          <w:szCs w:val="20"/>
          <w:lang w:val="es-AR"/>
        </w:rPr>
        <w:t>significa</w:t>
      </w:r>
      <w:r w:rsidRPr="00EA7870">
        <w:rPr>
          <w:sz w:val="20"/>
          <w:szCs w:val="20"/>
          <w:lang w:val="es-AR"/>
        </w:rPr>
        <w:t xml:space="preserve"> </w:t>
      </w:r>
      <w:r w:rsidR="00376725" w:rsidRPr="00EA7870">
        <w:rPr>
          <w:sz w:val="20"/>
          <w:szCs w:val="20"/>
          <w:lang w:val="es-AR"/>
        </w:rPr>
        <w:t>cualquier</w:t>
      </w:r>
      <w:r w:rsidRPr="00EA7870">
        <w:rPr>
          <w:sz w:val="20"/>
          <w:szCs w:val="20"/>
          <w:lang w:val="es-AR"/>
        </w:rPr>
        <w:t xml:space="preserve"> </w:t>
      </w:r>
      <w:r w:rsidR="00376725" w:rsidRPr="00EA7870">
        <w:rPr>
          <w:sz w:val="20"/>
          <w:szCs w:val="20"/>
          <w:lang w:val="es-AR"/>
        </w:rPr>
        <w:t>Persona</w:t>
      </w:r>
      <w:r w:rsidRPr="00EA7870">
        <w:rPr>
          <w:sz w:val="20"/>
          <w:szCs w:val="20"/>
          <w:lang w:val="es-AR"/>
        </w:rPr>
        <w:t xml:space="preserve"> </w:t>
      </w:r>
      <w:r w:rsidR="00376725" w:rsidRPr="00EA7870">
        <w:rPr>
          <w:sz w:val="20"/>
          <w:szCs w:val="20"/>
          <w:lang w:val="es-AR"/>
        </w:rPr>
        <w:t>que</w:t>
      </w:r>
      <w:r w:rsidRPr="00EA7870">
        <w:rPr>
          <w:sz w:val="20"/>
          <w:szCs w:val="20"/>
          <w:lang w:val="es-AR"/>
        </w:rPr>
        <w:t xml:space="preserve"> </w:t>
      </w:r>
      <w:r w:rsidR="00376725" w:rsidRPr="00EA7870">
        <w:rPr>
          <w:sz w:val="20"/>
          <w:szCs w:val="20"/>
          <w:lang w:val="es-AR"/>
        </w:rPr>
        <w:t>garantiza</w:t>
      </w:r>
      <w:r w:rsidRPr="00EA7870">
        <w:rPr>
          <w:sz w:val="20"/>
          <w:szCs w:val="20"/>
          <w:lang w:val="es-AR"/>
        </w:rPr>
        <w:t xml:space="preserve"> </w:t>
      </w:r>
      <w:r w:rsidR="00376725" w:rsidRPr="00EA7870">
        <w:rPr>
          <w:sz w:val="20"/>
          <w:szCs w:val="20"/>
          <w:lang w:val="es-AR"/>
        </w:rPr>
        <w:t>una</w:t>
      </w:r>
      <w:r w:rsidRPr="00EA7870">
        <w:rPr>
          <w:sz w:val="20"/>
          <w:szCs w:val="20"/>
          <w:lang w:val="es-AR"/>
        </w:rPr>
        <w:t xml:space="preserve"> </w:t>
      </w:r>
      <w:r w:rsidR="00376725" w:rsidRPr="00EA7870">
        <w:rPr>
          <w:sz w:val="20"/>
          <w:szCs w:val="20"/>
          <w:lang w:val="es-AR"/>
        </w:rPr>
        <w:t>obligación.</w:t>
      </w:r>
    </w:p>
    <w:p w14:paraId="173A0F7E" w14:textId="77777777" w:rsidR="00376725" w:rsidRPr="00EA7870" w:rsidRDefault="00376725" w:rsidP="00376725">
      <w:pPr>
        <w:tabs>
          <w:tab w:val="left" w:pos="-360"/>
          <w:tab w:val="left" w:pos="0"/>
          <w:tab w:val="left" w:pos="28"/>
        </w:tabs>
        <w:suppressAutoHyphens/>
        <w:ind w:firstLine="709"/>
        <w:jc w:val="both"/>
        <w:rPr>
          <w:sz w:val="20"/>
          <w:szCs w:val="20"/>
          <w:lang w:val="es-AR"/>
        </w:rPr>
      </w:pPr>
    </w:p>
    <w:p w14:paraId="29710135" w14:textId="77777777" w:rsidR="00376725" w:rsidRPr="00EA7870" w:rsidRDefault="00376725" w:rsidP="00376725">
      <w:pPr>
        <w:tabs>
          <w:tab w:val="left" w:pos="-360"/>
          <w:tab w:val="left" w:pos="0"/>
          <w:tab w:val="left" w:pos="28"/>
        </w:tabs>
        <w:suppressAutoHyphens/>
        <w:ind w:firstLine="709"/>
        <w:jc w:val="both"/>
        <w:rPr>
          <w:sz w:val="20"/>
          <w:szCs w:val="20"/>
          <w:lang w:val="es-AR"/>
        </w:rPr>
      </w:pPr>
      <w:r w:rsidRPr="00EA7870">
        <w:rPr>
          <w:sz w:val="20"/>
          <w:szCs w:val="20"/>
          <w:lang w:val="es-AR"/>
        </w:rPr>
        <w:t>“</w:t>
      </w:r>
      <w:r w:rsidRPr="00EA7870">
        <w:rPr>
          <w:b/>
          <w:sz w:val="20"/>
          <w:szCs w:val="20"/>
          <w:lang w:val="es-AR"/>
        </w:rPr>
        <w:t>Acuerdos</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Cobertura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i/>
          <w:sz w:val="20"/>
          <w:szCs w:val="20"/>
          <w:lang w:val="es-AR"/>
        </w:rPr>
        <w:t>swap</w:t>
      </w:r>
      <w:r w:rsidRPr="00EA7870">
        <w:rPr>
          <w:sz w:val="20"/>
          <w:szCs w:val="20"/>
          <w:lang w:val="es-AR"/>
        </w:rPr>
        <w:t>,</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i/>
          <w:sz w:val="20"/>
          <w:szCs w:val="20"/>
          <w:lang w:val="es-AR"/>
        </w:rPr>
        <w:t>cap</w:t>
      </w:r>
      <w:r w:rsidRPr="00EA7870">
        <w:rPr>
          <w:sz w:val="20"/>
          <w:szCs w:val="20"/>
          <w:lang w:val="es-AR"/>
        </w:rPr>
        <w:t>,</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i/>
          <w:sz w:val="20"/>
          <w:szCs w:val="20"/>
          <w:lang w:val="es-AR"/>
        </w:rPr>
        <w:t>collar</w:t>
      </w:r>
      <w:r w:rsidRPr="00EA7870">
        <w:rPr>
          <w:sz w:val="20"/>
          <w:szCs w:val="20"/>
          <w:lang w:val="es-AR"/>
        </w:rPr>
        <w:t>,</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futuros,</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futuro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similar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tasas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tipos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cambio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precios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i/>
          <w:sz w:val="20"/>
          <w:szCs w:val="20"/>
          <w:lang w:val="es-AR"/>
        </w:rPr>
        <w:t>commodities</w:t>
      </w:r>
      <w:r w:rsidRPr="00EA7870">
        <w:rPr>
          <w:sz w:val="20"/>
          <w:szCs w:val="20"/>
          <w:lang w:val="es-AR"/>
        </w:rPr>
        <w:t>.</w:t>
      </w:r>
    </w:p>
    <w:p w14:paraId="6F481D13" w14:textId="77777777" w:rsidR="00FB647A" w:rsidRPr="00EA7870" w:rsidRDefault="00FB647A" w:rsidP="00376725">
      <w:pPr>
        <w:tabs>
          <w:tab w:val="left" w:pos="-360"/>
          <w:tab w:val="left" w:pos="0"/>
          <w:tab w:val="left" w:pos="28"/>
        </w:tabs>
        <w:suppressAutoHyphens/>
        <w:ind w:firstLine="709"/>
        <w:jc w:val="both"/>
        <w:rPr>
          <w:sz w:val="20"/>
          <w:szCs w:val="20"/>
          <w:lang w:val="es-AR"/>
        </w:rPr>
      </w:pPr>
    </w:p>
    <w:p w14:paraId="3C906567" w14:textId="77777777" w:rsidR="00FB647A" w:rsidRPr="00EA7870" w:rsidRDefault="00FB647A" w:rsidP="00FB647A">
      <w:pPr>
        <w:tabs>
          <w:tab w:val="left" w:pos="-360"/>
          <w:tab w:val="left" w:pos="0"/>
          <w:tab w:val="left" w:pos="28"/>
        </w:tabs>
        <w:suppressAutoHyphens/>
        <w:ind w:firstLine="709"/>
        <w:jc w:val="both"/>
        <w:rPr>
          <w:sz w:val="20"/>
          <w:szCs w:val="20"/>
          <w:lang w:val="es-AR"/>
        </w:rPr>
      </w:pPr>
      <w:r w:rsidRPr="00EA7870">
        <w:rPr>
          <w:sz w:val="20"/>
          <w:szCs w:val="20"/>
          <w:lang w:val="es-AR"/>
        </w:rPr>
        <w:t>“</w:t>
      </w:r>
      <w:r w:rsidRPr="00EA7870">
        <w:rPr>
          <w:b/>
          <w:sz w:val="20"/>
          <w:szCs w:val="20"/>
          <w:lang w:val="es-AR"/>
        </w:rPr>
        <w:t>NIIF</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Internacionales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Financiera,</w:t>
      </w:r>
      <w:r w:rsidR="001A28B3" w:rsidRPr="00EA7870">
        <w:rPr>
          <w:sz w:val="20"/>
          <w:szCs w:val="20"/>
          <w:lang w:val="es-AR"/>
        </w:rPr>
        <w:t xml:space="preserve"> </w:t>
      </w:r>
      <w:r w:rsidRPr="00EA7870">
        <w:rPr>
          <w:sz w:val="20"/>
          <w:szCs w:val="20"/>
          <w:lang w:val="es-AR"/>
        </w:rPr>
        <w:t>vigentes</w:t>
      </w:r>
      <w:r w:rsidR="001A28B3" w:rsidRPr="00EA7870">
        <w:rPr>
          <w:sz w:val="20"/>
          <w:szCs w:val="20"/>
          <w:lang w:val="es-AR"/>
        </w:rPr>
        <w:t xml:space="preserve"> </w:t>
      </w:r>
      <w:r w:rsidRPr="00EA7870">
        <w:rPr>
          <w:sz w:val="20"/>
          <w:szCs w:val="20"/>
          <w:lang w:val="es-AR"/>
        </w:rPr>
        <w:t>periódicamente.</w:t>
      </w:r>
      <w:r w:rsidR="001A28B3" w:rsidRPr="00EA7870">
        <w:rPr>
          <w:sz w:val="20"/>
          <w:szCs w:val="20"/>
          <w:lang w:val="es-AR"/>
        </w:rPr>
        <w:t xml:space="preserve"> </w:t>
      </w:r>
    </w:p>
    <w:p w14:paraId="0A8EF1DE" w14:textId="77777777" w:rsidR="00376725" w:rsidRPr="00EA7870" w:rsidRDefault="00376725" w:rsidP="00376725">
      <w:pPr>
        <w:tabs>
          <w:tab w:val="left" w:pos="-360"/>
          <w:tab w:val="left" w:pos="0"/>
          <w:tab w:val="left" w:pos="28"/>
        </w:tabs>
        <w:suppressAutoHyphens/>
        <w:ind w:firstLine="709"/>
        <w:jc w:val="both"/>
        <w:rPr>
          <w:sz w:val="20"/>
          <w:szCs w:val="20"/>
          <w:lang w:val="es-AR"/>
        </w:rPr>
      </w:pPr>
    </w:p>
    <w:p w14:paraId="28E19622" w14:textId="77777777" w:rsidR="00376725" w:rsidRPr="00EA7870" w:rsidRDefault="00376725" w:rsidP="00376725">
      <w:pPr>
        <w:tabs>
          <w:tab w:val="left" w:pos="-360"/>
          <w:tab w:val="left" w:pos="0"/>
          <w:tab w:val="left" w:pos="28"/>
        </w:tabs>
        <w:suppressAutoHyphens/>
        <w:ind w:firstLine="709"/>
        <w:jc w:val="both"/>
        <w:rPr>
          <w:sz w:val="20"/>
          <w:szCs w:val="20"/>
          <w:lang w:val="es-AR"/>
        </w:rPr>
      </w:pPr>
      <w:r w:rsidRPr="00EA7870">
        <w:rPr>
          <w:sz w:val="20"/>
          <w:szCs w:val="20"/>
          <w:lang w:val="es-AR"/>
        </w:rPr>
        <w:t>“</w:t>
      </w:r>
      <w:r w:rsidRPr="00EA7870">
        <w:rPr>
          <w:b/>
          <w:sz w:val="20"/>
          <w:szCs w:val="20"/>
          <w:lang w:val="es-AR"/>
        </w:rPr>
        <w:t>Incurrir</w:t>
      </w:r>
      <w:r w:rsidRPr="00EA7870">
        <w:rPr>
          <w:sz w:val="20"/>
          <w:szCs w:val="20"/>
          <w:lang w:val="es-AR"/>
        </w:rPr>
        <w:t>”</w:t>
      </w:r>
      <w:r w:rsidR="001A28B3" w:rsidRPr="00EA7870">
        <w:rPr>
          <w:sz w:val="20"/>
          <w:szCs w:val="20"/>
          <w:lang w:val="es-AR"/>
        </w:rPr>
        <w:t xml:space="preserve"> </w:t>
      </w:r>
      <w:r w:rsidRPr="00EA7870">
        <w:rPr>
          <w:sz w:val="20"/>
          <w:szCs w:val="20"/>
          <w:lang w:val="es-AR" w:bidi="es-ES"/>
        </w:rPr>
        <w:t>significa</w:t>
      </w:r>
      <w:r w:rsidR="001A28B3" w:rsidRPr="00EA7870">
        <w:rPr>
          <w:sz w:val="20"/>
          <w:szCs w:val="20"/>
          <w:lang w:val="es-AR" w:bidi="es-ES"/>
        </w:rPr>
        <w:t xml:space="preserve"> </w:t>
      </w:r>
      <w:r w:rsidRPr="00EA7870">
        <w:rPr>
          <w:sz w:val="20"/>
          <w:szCs w:val="20"/>
          <w:lang w:val="es-AR" w:bidi="es-ES"/>
        </w:rPr>
        <w:t>emitir,</w:t>
      </w:r>
      <w:r w:rsidR="001A28B3" w:rsidRPr="00EA7870">
        <w:rPr>
          <w:sz w:val="20"/>
          <w:szCs w:val="20"/>
          <w:lang w:val="es-AR" w:bidi="es-ES"/>
        </w:rPr>
        <w:t xml:space="preserve"> </w:t>
      </w:r>
      <w:r w:rsidRPr="00EA7870">
        <w:rPr>
          <w:sz w:val="20"/>
          <w:szCs w:val="20"/>
          <w:lang w:val="es-AR" w:bidi="es-ES"/>
        </w:rPr>
        <w:t>asumir,</w:t>
      </w:r>
      <w:r w:rsidR="001A28B3" w:rsidRPr="00EA7870">
        <w:rPr>
          <w:sz w:val="20"/>
          <w:szCs w:val="20"/>
          <w:lang w:val="es-AR" w:bidi="es-ES"/>
        </w:rPr>
        <w:t xml:space="preserve"> </w:t>
      </w:r>
      <w:r w:rsidRPr="00EA7870">
        <w:rPr>
          <w:sz w:val="20"/>
          <w:szCs w:val="20"/>
          <w:lang w:val="es-AR" w:bidi="es-ES"/>
        </w:rPr>
        <w:t>garantizar,</w:t>
      </w:r>
      <w:r w:rsidR="001A28B3" w:rsidRPr="00EA7870">
        <w:rPr>
          <w:sz w:val="20"/>
          <w:szCs w:val="20"/>
          <w:lang w:val="es-AR" w:bidi="es-ES"/>
        </w:rPr>
        <w:t xml:space="preserve"> </w:t>
      </w:r>
      <w:r w:rsidRPr="00EA7870">
        <w:rPr>
          <w:sz w:val="20"/>
          <w:szCs w:val="20"/>
          <w:lang w:val="es-AR" w:bidi="es-ES"/>
        </w:rPr>
        <w:t>incurrir</w:t>
      </w:r>
      <w:r w:rsidR="001A28B3" w:rsidRPr="00EA7870">
        <w:rPr>
          <w:sz w:val="20"/>
          <w:szCs w:val="20"/>
          <w:lang w:val="es-AR" w:bidi="es-ES"/>
        </w:rPr>
        <w:t xml:space="preserve"> </w:t>
      </w:r>
      <w:r w:rsidRPr="00EA7870">
        <w:rPr>
          <w:sz w:val="20"/>
          <w:szCs w:val="20"/>
          <w:lang w:val="es-AR" w:bidi="es-ES"/>
        </w:rPr>
        <w:t>o</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otra</w:t>
      </w:r>
      <w:r w:rsidR="001A28B3" w:rsidRPr="00EA7870">
        <w:rPr>
          <w:sz w:val="20"/>
          <w:szCs w:val="20"/>
          <w:lang w:val="es-AR" w:bidi="es-ES"/>
        </w:rPr>
        <w:t xml:space="preserve"> </w:t>
      </w:r>
      <w:r w:rsidRPr="00EA7870">
        <w:rPr>
          <w:sz w:val="20"/>
          <w:szCs w:val="20"/>
          <w:lang w:val="es-AR" w:bidi="es-ES"/>
        </w:rPr>
        <w:t>manera</w:t>
      </w:r>
      <w:r w:rsidR="001A28B3" w:rsidRPr="00EA7870">
        <w:rPr>
          <w:sz w:val="20"/>
          <w:szCs w:val="20"/>
          <w:lang w:val="es-AR" w:bidi="es-ES"/>
        </w:rPr>
        <w:t xml:space="preserve"> </w:t>
      </w:r>
      <w:r w:rsidRPr="00EA7870">
        <w:rPr>
          <w:sz w:val="20"/>
          <w:szCs w:val="20"/>
          <w:lang w:val="es-AR" w:bidi="es-ES"/>
        </w:rPr>
        <w:t>transformarse</w:t>
      </w:r>
      <w:r w:rsidR="001A28B3" w:rsidRPr="00EA7870">
        <w:rPr>
          <w:sz w:val="20"/>
          <w:szCs w:val="20"/>
          <w:lang w:val="es-AR" w:bidi="es-ES"/>
        </w:rPr>
        <w:t xml:space="preserve"> </w:t>
      </w:r>
      <w:r w:rsidRPr="00EA7870">
        <w:rPr>
          <w:sz w:val="20"/>
          <w:szCs w:val="20"/>
          <w:lang w:val="es-AR" w:bidi="es-ES"/>
        </w:rPr>
        <w:t>en</w:t>
      </w:r>
      <w:r w:rsidR="001A28B3" w:rsidRPr="00EA7870">
        <w:rPr>
          <w:sz w:val="20"/>
          <w:szCs w:val="20"/>
          <w:lang w:val="es-AR" w:bidi="es-ES"/>
        </w:rPr>
        <w:t xml:space="preserve"> </w:t>
      </w:r>
      <w:r w:rsidRPr="00EA7870">
        <w:rPr>
          <w:sz w:val="20"/>
          <w:szCs w:val="20"/>
          <w:lang w:val="es-AR" w:bidi="es-ES"/>
        </w:rPr>
        <w:t>responsable</w:t>
      </w:r>
      <w:r w:rsidR="001A28B3" w:rsidRPr="00EA7870">
        <w:rPr>
          <w:sz w:val="20"/>
          <w:szCs w:val="20"/>
          <w:lang w:val="es-AR" w:bidi="es-ES"/>
        </w:rPr>
        <w:t xml:space="preserve"> </w:t>
      </w:r>
      <w:r w:rsidRPr="00EA7870">
        <w:rPr>
          <w:sz w:val="20"/>
          <w:szCs w:val="20"/>
          <w:lang w:val="es-AR" w:bidi="es-ES"/>
        </w:rPr>
        <w:t>por;</w:t>
      </w:r>
      <w:r w:rsidR="001A28B3" w:rsidRPr="00EA7870">
        <w:rPr>
          <w:sz w:val="20"/>
          <w:szCs w:val="20"/>
          <w:lang w:val="es-AR" w:bidi="es-ES"/>
        </w:rPr>
        <w:t xml:space="preserve"> </w:t>
      </w:r>
      <w:r w:rsidRPr="00EA7870">
        <w:rPr>
          <w:i/>
          <w:sz w:val="20"/>
          <w:szCs w:val="20"/>
          <w:lang w:val="es-AR" w:bidi="es-ES"/>
        </w:rPr>
        <w:t>quedando</w:t>
      </w:r>
      <w:r w:rsidR="001A28B3" w:rsidRPr="00EA7870">
        <w:rPr>
          <w:i/>
          <w:sz w:val="20"/>
          <w:szCs w:val="20"/>
          <w:lang w:val="es-AR" w:bidi="es-ES"/>
        </w:rPr>
        <w:t xml:space="preserve"> </w:t>
      </w:r>
      <w:r w:rsidRPr="00EA7870">
        <w:rPr>
          <w:i/>
          <w:sz w:val="20"/>
          <w:szCs w:val="20"/>
          <w:lang w:val="es-AR" w:bidi="es-ES"/>
        </w:rPr>
        <w:t>establecido</w:t>
      </w:r>
      <w:r w:rsidR="001A28B3" w:rsidRPr="00EA7870">
        <w:rPr>
          <w:i/>
          <w:sz w:val="20"/>
          <w:szCs w:val="20"/>
          <w:lang w:val="es-AR" w:bidi="es-ES"/>
        </w:rPr>
        <w:t xml:space="preserve"> </w:t>
      </w:r>
      <w:r w:rsidRPr="00EA7870">
        <w:rPr>
          <w:sz w:val="20"/>
          <w:szCs w:val="20"/>
          <w:lang w:val="es-AR" w:bidi="es-ES"/>
        </w:rPr>
        <w:t>que</w:t>
      </w:r>
      <w:r w:rsidR="001A28B3" w:rsidRPr="00EA7870">
        <w:rPr>
          <w:sz w:val="20"/>
          <w:szCs w:val="20"/>
          <w:lang w:val="es-AR" w:bidi="es-ES"/>
        </w:rPr>
        <w:t xml:space="preserve"> </w:t>
      </w:r>
      <w:r w:rsidRPr="00EA7870">
        <w:rPr>
          <w:sz w:val="20"/>
          <w:szCs w:val="20"/>
          <w:lang w:val="es-AR" w:bidi="es-ES"/>
        </w:rPr>
        <w:t>todo</w:t>
      </w:r>
      <w:r w:rsidR="001A28B3" w:rsidRPr="00EA7870">
        <w:rPr>
          <w:sz w:val="20"/>
          <w:szCs w:val="20"/>
          <w:lang w:val="es-AR" w:bidi="es-ES"/>
        </w:rPr>
        <w:t xml:space="preserve"> </w:t>
      </w:r>
      <w:r w:rsidRPr="00EA7870">
        <w:rPr>
          <w:sz w:val="20"/>
          <w:szCs w:val="20"/>
          <w:lang w:val="es-AR" w:bidi="es-ES"/>
        </w:rPr>
        <w:t>Endeudamiento</w:t>
      </w:r>
      <w:r w:rsidR="001A28B3" w:rsidRPr="00EA7870">
        <w:rPr>
          <w:sz w:val="20"/>
          <w:szCs w:val="20"/>
          <w:lang w:val="es-AR" w:bidi="es-ES"/>
        </w:rPr>
        <w:t xml:space="preserve"> </w:t>
      </w:r>
      <w:r w:rsidRPr="00EA7870">
        <w:rPr>
          <w:sz w:val="20"/>
          <w:szCs w:val="20"/>
          <w:lang w:val="es-AR" w:bidi="es-ES"/>
        </w:rPr>
        <w:t>o</w:t>
      </w:r>
      <w:r w:rsidR="001A28B3" w:rsidRPr="00EA7870">
        <w:rPr>
          <w:sz w:val="20"/>
          <w:szCs w:val="20"/>
          <w:lang w:val="es-AR" w:bidi="es-ES"/>
        </w:rPr>
        <w:t xml:space="preserve"> </w:t>
      </w:r>
      <w:r w:rsidRPr="00EA7870">
        <w:rPr>
          <w:sz w:val="20"/>
          <w:szCs w:val="20"/>
          <w:lang w:val="es-AR" w:bidi="es-ES"/>
        </w:rPr>
        <w:t>Capital</w:t>
      </w:r>
      <w:r w:rsidR="001A28B3" w:rsidRPr="00EA7870">
        <w:rPr>
          <w:sz w:val="20"/>
          <w:szCs w:val="20"/>
          <w:lang w:val="es-AR" w:bidi="es-ES"/>
        </w:rPr>
        <w:t xml:space="preserve"> </w:t>
      </w:r>
      <w:r w:rsidRPr="00EA7870">
        <w:rPr>
          <w:sz w:val="20"/>
          <w:szCs w:val="20"/>
          <w:lang w:val="es-AR" w:bidi="es-ES"/>
        </w:rPr>
        <w:t>Social</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una</w:t>
      </w:r>
      <w:r w:rsidR="001A28B3" w:rsidRPr="00EA7870">
        <w:rPr>
          <w:sz w:val="20"/>
          <w:szCs w:val="20"/>
          <w:lang w:val="es-AR" w:bidi="es-ES"/>
        </w:rPr>
        <w:t xml:space="preserve"> </w:t>
      </w:r>
      <w:r w:rsidRPr="00EA7870">
        <w:rPr>
          <w:sz w:val="20"/>
          <w:szCs w:val="20"/>
          <w:lang w:val="es-AR" w:bidi="es-ES"/>
        </w:rPr>
        <w:t>Persona</w:t>
      </w:r>
      <w:r w:rsidR="001A28B3" w:rsidRPr="00EA7870">
        <w:rPr>
          <w:sz w:val="20"/>
          <w:szCs w:val="20"/>
          <w:lang w:val="es-AR" w:bidi="es-ES"/>
        </w:rPr>
        <w:t xml:space="preserve"> </w:t>
      </w:r>
      <w:r w:rsidRPr="00EA7870">
        <w:rPr>
          <w:sz w:val="20"/>
          <w:szCs w:val="20"/>
          <w:lang w:val="es-AR" w:bidi="es-ES"/>
        </w:rPr>
        <w:t>existente</w:t>
      </w:r>
      <w:r w:rsidR="001A28B3" w:rsidRPr="00EA7870">
        <w:rPr>
          <w:sz w:val="20"/>
          <w:szCs w:val="20"/>
          <w:lang w:val="es-AR" w:bidi="es-ES"/>
        </w:rPr>
        <w:t xml:space="preserve"> </w:t>
      </w:r>
      <w:r w:rsidRPr="00EA7870">
        <w:rPr>
          <w:sz w:val="20"/>
          <w:szCs w:val="20"/>
          <w:lang w:val="es-AR" w:bidi="es-ES"/>
        </w:rPr>
        <w:t>al</w:t>
      </w:r>
      <w:r w:rsidR="001A28B3" w:rsidRPr="00EA7870">
        <w:rPr>
          <w:sz w:val="20"/>
          <w:szCs w:val="20"/>
          <w:lang w:val="es-AR" w:bidi="es-ES"/>
        </w:rPr>
        <w:t xml:space="preserve"> </w:t>
      </w:r>
      <w:r w:rsidRPr="00EA7870">
        <w:rPr>
          <w:sz w:val="20"/>
          <w:szCs w:val="20"/>
          <w:lang w:val="es-AR" w:bidi="es-ES"/>
        </w:rPr>
        <w:t>momento</w:t>
      </w:r>
      <w:r w:rsidR="001A28B3" w:rsidRPr="00EA7870">
        <w:rPr>
          <w:sz w:val="20"/>
          <w:szCs w:val="20"/>
          <w:lang w:val="es-AR" w:bidi="es-ES"/>
        </w:rPr>
        <w:t xml:space="preserve"> </w:t>
      </w:r>
      <w:r w:rsidRPr="00EA7870">
        <w:rPr>
          <w:sz w:val="20"/>
          <w:szCs w:val="20"/>
          <w:lang w:val="es-AR" w:bidi="es-ES"/>
        </w:rPr>
        <w:t>en</w:t>
      </w:r>
      <w:r w:rsidR="001A28B3" w:rsidRPr="00EA7870">
        <w:rPr>
          <w:sz w:val="20"/>
          <w:szCs w:val="20"/>
          <w:lang w:val="es-AR" w:bidi="es-ES"/>
        </w:rPr>
        <w:t xml:space="preserve"> </w:t>
      </w:r>
      <w:r w:rsidRPr="00EA7870">
        <w:rPr>
          <w:sz w:val="20"/>
          <w:szCs w:val="20"/>
          <w:lang w:val="es-AR" w:bidi="es-ES"/>
        </w:rPr>
        <w:t>que</w:t>
      </w:r>
      <w:r w:rsidR="001A28B3" w:rsidRPr="00EA7870">
        <w:rPr>
          <w:sz w:val="20"/>
          <w:szCs w:val="20"/>
          <w:lang w:val="es-AR" w:bidi="es-ES"/>
        </w:rPr>
        <w:t xml:space="preserve"> </w:t>
      </w:r>
      <w:r w:rsidRPr="00EA7870">
        <w:rPr>
          <w:sz w:val="20"/>
          <w:szCs w:val="20"/>
          <w:lang w:val="es-AR" w:bidi="es-ES"/>
        </w:rPr>
        <w:t>dicha</w:t>
      </w:r>
      <w:r w:rsidR="001A28B3" w:rsidRPr="00EA7870">
        <w:rPr>
          <w:sz w:val="20"/>
          <w:szCs w:val="20"/>
          <w:lang w:val="es-AR" w:bidi="es-ES"/>
        </w:rPr>
        <w:t xml:space="preserve"> </w:t>
      </w:r>
      <w:r w:rsidRPr="00EA7870">
        <w:rPr>
          <w:sz w:val="20"/>
          <w:szCs w:val="20"/>
          <w:lang w:val="es-AR" w:bidi="es-ES"/>
        </w:rPr>
        <w:t>Persona</w:t>
      </w:r>
      <w:r w:rsidR="001A28B3" w:rsidRPr="00EA7870">
        <w:rPr>
          <w:sz w:val="20"/>
          <w:szCs w:val="20"/>
          <w:lang w:val="es-AR" w:bidi="es-ES"/>
        </w:rPr>
        <w:t xml:space="preserve"> </w:t>
      </w:r>
      <w:r w:rsidRPr="00EA7870">
        <w:rPr>
          <w:sz w:val="20"/>
          <w:szCs w:val="20"/>
          <w:lang w:val="es-AR" w:bidi="es-ES"/>
        </w:rPr>
        <w:t>realiza</w:t>
      </w:r>
      <w:r w:rsidR="001A28B3" w:rsidRPr="00EA7870">
        <w:rPr>
          <w:sz w:val="20"/>
          <w:szCs w:val="20"/>
          <w:lang w:val="es-AR" w:bidi="es-ES"/>
        </w:rPr>
        <w:t xml:space="preserve"> </w:t>
      </w:r>
      <w:r w:rsidRPr="00EA7870">
        <w:rPr>
          <w:sz w:val="20"/>
          <w:szCs w:val="20"/>
          <w:lang w:val="es-AR" w:bidi="es-ES"/>
        </w:rPr>
        <w:t>una</w:t>
      </w:r>
      <w:r w:rsidR="001A28B3" w:rsidRPr="00EA7870">
        <w:rPr>
          <w:sz w:val="20"/>
          <w:szCs w:val="20"/>
          <w:lang w:val="es-AR" w:bidi="es-ES"/>
        </w:rPr>
        <w:t xml:space="preserve"> </w:t>
      </w:r>
      <w:r w:rsidRPr="00EA7870">
        <w:rPr>
          <w:sz w:val="20"/>
          <w:szCs w:val="20"/>
          <w:lang w:val="es-AR" w:bidi="es-ES"/>
        </w:rPr>
        <w:t>fusión</w:t>
      </w:r>
      <w:r w:rsidR="001A28B3" w:rsidRPr="00EA7870">
        <w:rPr>
          <w:sz w:val="20"/>
          <w:szCs w:val="20"/>
          <w:lang w:val="es-AR" w:bidi="es-ES"/>
        </w:rPr>
        <w:t xml:space="preserve"> </w:t>
      </w:r>
      <w:r w:rsidRPr="00EA7870">
        <w:rPr>
          <w:sz w:val="20"/>
          <w:szCs w:val="20"/>
          <w:lang w:val="es-AR" w:bidi="es-ES"/>
        </w:rPr>
        <w:t>por</w:t>
      </w:r>
      <w:r w:rsidR="001A28B3" w:rsidRPr="00EA7870">
        <w:rPr>
          <w:sz w:val="20"/>
          <w:szCs w:val="20"/>
          <w:lang w:val="es-AR" w:bidi="es-ES"/>
        </w:rPr>
        <w:t xml:space="preserve"> </w:t>
      </w:r>
      <w:r w:rsidRPr="00EA7870">
        <w:rPr>
          <w:sz w:val="20"/>
          <w:szCs w:val="20"/>
          <w:lang w:val="es-AR" w:bidi="es-ES"/>
        </w:rPr>
        <w:t>absorción</w:t>
      </w:r>
      <w:r w:rsidR="001A28B3" w:rsidRPr="00EA7870">
        <w:rPr>
          <w:sz w:val="20"/>
          <w:szCs w:val="20"/>
          <w:lang w:val="es-AR" w:bidi="es-ES"/>
        </w:rPr>
        <w:t xml:space="preserve"> </w:t>
      </w:r>
      <w:r w:rsidRPr="00EA7870">
        <w:rPr>
          <w:sz w:val="20"/>
          <w:szCs w:val="20"/>
          <w:lang w:val="es-AR" w:bidi="es-ES"/>
        </w:rPr>
        <w:t>o</w:t>
      </w:r>
      <w:r w:rsidR="001A28B3" w:rsidRPr="00EA7870">
        <w:rPr>
          <w:sz w:val="20"/>
          <w:szCs w:val="20"/>
          <w:lang w:val="es-AR" w:bidi="es-ES"/>
        </w:rPr>
        <w:t xml:space="preserve"> </w:t>
      </w:r>
      <w:r w:rsidRPr="00EA7870">
        <w:rPr>
          <w:sz w:val="20"/>
          <w:szCs w:val="20"/>
          <w:lang w:val="es-AR" w:bidi="es-ES"/>
        </w:rPr>
        <w:t>una</w:t>
      </w:r>
      <w:r w:rsidR="001A28B3" w:rsidRPr="00EA7870">
        <w:rPr>
          <w:sz w:val="20"/>
          <w:szCs w:val="20"/>
          <w:lang w:val="es-AR" w:bidi="es-ES"/>
        </w:rPr>
        <w:t xml:space="preserve"> </w:t>
      </w:r>
      <w:r w:rsidRPr="00EA7870">
        <w:rPr>
          <w:sz w:val="20"/>
          <w:szCs w:val="20"/>
          <w:lang w:val="es-AR" w:bidi="es-ES"/>
        </w:rPr>
        <w:t>fusión</w:t>
      </w:r>
      <w:r w:rsidR="001A28B3" w:rsidRPr="00EA7870">
        <w:rPr>
          <w:sz w:val="20"/>
          <w:szCs w:val="20"/>
          <w:lang w:val="es-AR" w:bidi="es-ES"/>
        </w:rPr>
        <w:t xml:space="preserve"> </w:t>
      </w:r>
      <w:r w:rsidRPr="00EA7870">
        <w:rPr>
          <w:sz w:val="20"/>
          <w:szCs w:val="20"/>
          <w:lang w:val="es-AR" w:bidi="es-ES"/>
        </w:rPr>
        <w:t>propiamente</w:t>
      </w:r>
      <w:r w:rsidR="001A28B3" w:rsidRPr="00EA7870">
        <w:rPr>
          <w:sz w:val="20"/>
          <w:szCs w:val="20"/>
          <w:lang w:val="es-AR" w:bidi="es-ES"/>
        </w:rPr>
        <w:t xml:space="preserve"> </w:t>
      </w:r>
      <w:r w:rsidRPr="00EA7870">
        <w:rPr>
          <w:sz w:val="20"/>
          <w:szCs w:val="20"/>
          <w:lang w:val="es-AR" w:bidi="es-ES"/>
        </w:rPr>
        <w:t>dicha</w:t>
      </w:r>
      <w:r w:rsidR="001A28B3" w:rsidRPr="00EA7870">
        <w:rPr>
          <w:sz w:val="20"/>
          <w:szCs w:val="20"/>
          <w:lang w:val="es-AR" w:bidi="es-ES"/>
        </w:rPr>
        <w:t xml:space="preserve"> </w:t>
      </w:r>
      <w:r w:rsidRPr="00EA7870">
        <w:rPr>
          <w:sz w:val="20"/>
          <w:szCs w:val="20"/>
          <w:lang w:val="es-AR" w:bidi="es-ES"/>
        </w:rPr>
        <w:t>con</w:t>
      </w:r>
      <w:r w:rsidR="001A28B3" w:rsidRPr="00EA7870">
        <w:rPr>
          <w:sz w:val="20"/>
          <w:szCs w:val="20"/>
          <w:lang w:val="es-AR" w:bidi="es-ES"/>
        </w:rPr>
        <w:t xml:space="preserve"> </w:t>
      </w:r>
      <w:r w:rsidRPr="00EA7870">
        <w:rPr>
          <w:sz w:val="20"/>
          <w:szCs w:val="20"/>
          <w:lang w:val="es-AR" w:bidi="es-ES"/>
        </w:rPr>
        <w:t>la</w:t>
      </w:r>
      <w:r w:rsidR="001A28B3" w:rsidRPr="00EA7870">
        <w:rPr>
          <w:sz w:val="20"/>
          <w:szCs w:val="20"/>
          <w:lang w:val="es-AR" w:bidi="es-ES"/>
        </w:rPr>
        <w:t xml:space="preserve"> </w:t>
      </w:r>
      <w:r w:rsidRPr="00EA7870">
        <w:rPr>
          <w:sz w:val="20"/>
          <w:szCs w:val="20"/>
          <w:lang w:val="es-AR" w:bidi="es-ES"/>
        </w:rPr>
        <w:t>Emisora</w:t>
      </w:r>
      <w:r w:rsidR="001A28B3" w:rsidRPr="00EA7870">
        <w:rPr>
          <w:sz w:val="20"/>
          <w:szCs w:val="20"/>
          <w:lang w:val="es-AR" w:bidi="es-ES"/>
        </w:rPr>
        <w:t xml:space="preserve"> </w:t>
      </w:r>
      <w:r w:rsidRPr="00EA7870">
        <w:rPr>
          <w:sz w:val="20"/>
          <w:szCs w:val="20"/>
          <w:lang w:val="es-AR" w:bidi="es-ES"/>
        </w:rPr>
        <w:t>o</w:t>
      </w:r>
      <w:r w:rsidR="001A28B3" w:rsidRPr="00EA7870">
        <w:rPr>
          <w:sz w:val="20"/>
          <w:szCs w:val="20"/>
          <w:lang w:val="es-AR" w:bidi="es-ES"/>
        </w:rPr>
        <w:t xml:space="preserve"> </w:t>
      </w:r>
      <w:r w:rsidRPr="00EA7870">
        <w:rPr>
          <w:sz w:val="20"/>
          <w:szCs w:val="20"/>
          <w:lang w:val="es-AR" w:bidi="es-ES"/>
        </w:rPr>
        <w:t>la</w:t>
      </w:r>
      <w:r w:rsidR="001A28B3" w:rsidRPr="00EA7870">
        <w:rPr>
          <w:sz w:val="20"/>
          <w:szCs w:val="20"/>
          <w:lang w:val="es-AR" w:bidi="es-ES"/>
        </w:rPr>
        <w:t xml:space="preserve"> </w:t>
      </w:r>
      <w:r w:rsidRPr="00EA7870">
        <w:rPr>
          <w:sz w:val="20"/>
          <w:szCs w:val="20"/>
          <w:lang w:val="es-AR" w:bidi="es-ES"/>
        </w:rPr>
        <w:t>Garante</w:t>
      </w:r>
      <w:r w:rsidR="001A28B3" w:rsidRPr="00EA7870">
        <w:rPr>
          <w:sz w:val="20"/>
          <w:szCs w:val="20"/>
          <w:lang w:val="es-AR" w:bidi="es-ES"/>
        </w:rPr>
        <w:t xml:space="preserve"> </w:t>
      </w:r>
      <w:r w:rsidRPr="00EA7870">
        <w:rPr>
          <w:sz w:val="20"/>
          <w:szCs w:val="20"/>
          <w:lang w:val="es-AR" w:bidi="es-ES"/>
        </w:rPr>
        <w:t>o</w:t>
      </w:r>
      <w:r w:rsidR="001A28B3" w:rsidRPr="00EA7870">
        <w:rPr>
          <w:sz w:val="20"/>
          <w:szCs w:val="20"/>
          <w:lang w:val="es-AR" w:bidi="es-ES"/>
        </w:rPr>
        <w:t xml:space="preserve"> </w:t>
      </w:r>
      <w:r w:rsidRPr="00EA7870">
        <w:rPr>
          <w:sz w:val="20"/>
          <w:szCs w:val="20"/>
          <w:lang w:val="es-AR" w:bidi="es-ES"/>
        </w:rPr>
        <w:t>se</w:t>
      </w:r>
      <w:r w:rsidR="001A28B3" w:rsidRPr="00EA7870">
        <w:rPr>
          <w:sz w:val="20"/>
          <w:szCs w:val="20"/>
          <w:lang w:val="es-AR" w:bidi="es-ES"/>
        </w:rPr>
        <w:t xml:space="preserve"> </w:t>
      </w:r>
      <w:r w:rsidRPr="00EA7870">
        <w:rPr>
          <w:sz w:val="20"/>
          <w:szCs w:val="20"/>
          <w:lang w:val="es-AR" w:bidi="es-ES"/>
        </w:rPr>
        <w:t>convierte</w:t>
      </w:r>
      <w:r w:rsidR="001A28B3" w:rsidRPr="00EA7870">
        <w:rPr>
          <w:sz w:val="20"/>
          <w:szCs w:val="20"/>
          <w:lang w:val="es-AR" w:bidi="es-ES"/>
        </w:rPr>
        <w:t xml:space="preserve"> </w:t>
      </w:r>
      <w:r w:rsidRPr="00EA7870">
        <w:rPr>
          <w:sz w:val="20"/>
          <w:szCs w:val="20"/>
          <w:lang w:val="es-AR" w:bidi="es-ES"/>
        </w:rPr>
        <w:t>en</w:t>
      </w:r>
      <w:r w:rsidR="001A28B3" w:rsidRPr="00EA7870">
        <w:rPr>
          <w:sz w:val="20"/>
          <w:szCs w:val="20"/>
          <w:lang w:val="es-AR" w:bidi="es-ES"/>
        </w:rPr>
        <w:t xml:space="preserve"> </w:t>
      </w:r>
      <w:r w:rsidRPr="00EA7870">
        <w:rPr>
          <w:sz w:val="20"/>
          <w:szCs w:val="20"/>
          <w:lang w:val="es-AR" w:bidi="es-ES"/>
        </w:rPr>
        <w:t>Subsidiaria</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la</w:t>
      </w:r>
      <w:r w:rsidR="001A28B3" w:rsidRPr="00EA7870">
        <w:rPr>
          <w:sz w:val="20"/>
          <w:szCs w:val="20"/>
          <w:lang w:val="es-AR" w:bidi="es-ES"/>
        </w:rPr>
        <w:t xml:space="preserve"> </w:t>
      </w:r>
      <w:r w:rsidRPr="00EA7870">
        <w:rPr>
          <w:sz w:val="20"/>
          <w:szCs w:val="20"/>
          <w:lang w:val="es-AR" w:bidi="es-ES"/>
        </w:rPr>
        <w:t>Garante</w:t>
      </w:r>
      <w:r w:rsidR="001A28B3" w:rsidRPr="00EA7870">
        <w:rPr>
          <w:sz w:val="20"/>
          <w:szCs w:val="20"/>
          <w:lang w:val="es-AR" w:bidi="es-ES"/>
        </w:rPr>
        <w:t xml:space="preserve"> </w:t>
      </w:r>
      <w:r w:rsidRPr="00EA7870">
        <w:rPr>
          <w:sz w:val="20"/>
          <w:szCs w:val="20"/>
          <w:lang w:val="es-AR" w:bidi="es-ES"/>
        </w:rPr>
        <w:t>(ya</w:t>
      </w:r>
      <w:r w:rsidR="001A28B3" w:rsidRPr="00EA7870">
        <w:rPr>
          <w:sz w:val="20"/>
          <w:szCs w:val="20"/>
          <w:lang w:val="es-AR" w:bidi="es-ES"/>
        </w:rPr>
        <w:t xml:space="preserve"> </w:t>
      </w:r>
      <w:r w:rsidRPr="00EA7870">
        <w:rPr>
          <w:sz w:val="20"/>
          <w:szCs w:val="20"/>
          <w:lang w:val="es-AR" w:bidi="es-ES"/>
        </w:rPr>
        <w:t>sea</w:t>
      </w:r>
      <w:r w:rsidR="001A28B3" w:rsidRPr="00EA7870">
        <w:rPr>
          <w:sz w:val="20"/>
          <w:szCs w:val="20"/>
          <w:lang w:val="es-AR" w:bidi="es-ES"/>
        </w:rPr>
        <w:t xml:space="preserve"> </w:t>
      </w:r>
      <w:r w:rsidRPr="00EA7870">
        <w:rPr>
          <w:sz w:val="20"/>
          <w:szCs w:val="20"/>
          <w:lang w:val="es-AR" w:bidi="es-ES"/>
        </w:rPr>
        <w:t>por</w:t>
      </w:r>
      <w:r w:rsidR="001A28B3" w:rsidRPr="00EA7870">
        <w:rPr>
          <w:sz w:val="20"/>
          <w:szCs w:val="20"/>
          <w:lang w:val="es-AR" w:bidi="es-ES"/>
        </w:rPr>
        <w:t xml:space="preserve"> </w:t>
      </w:r>
      <w:r w:rsidRPr="00EA7870">
        <w:rPr>
          <w:sz w:val="20"/>
          <w:szCs w:val="20"/>
          <w:lang w:val="es-AR" w:bidi="es-ES"/>
        </w:rPr>
        <w:t>una</w:t>
      </w:r>
      <w:r w:rsidR="001A28B3" w:rsidRPr="00EA7870">
        <w:rPr>
          <w:sz w:val="20"/>
          <w:szCs w:val="20"/>
          <w:lang w:val="es-AR" w:bidi="es-ES"/>
        </w:rPr>
        <w:t xml:space="preserve"> </w:t>
      </w:r>
      <w:r w:rsidRPr="00EA7870">
        <w:rPr>
          <w:sz w:val="20"/>
          <w:szCs w:val="20"/>
          <w:lang w:val="es-AR" w:bidi="es-ES"/>
        </w:rPr>
        <w:t>fusión</w:t>
      </w:r>
      <w:r w:rsidR="001A28B3" w:rsidRPr="00EA7870">
        <w:rPr>
          <w:sz w:val="20"/>
          <w:szCs w:val="20"/>
          <w:lang w:val="es-AR" w:bidi="es-ES"/>
        </w:rPr>
        <w:t xml:space="preserve"> </w:t>
      </w:r>
      <w:r w:rsidRPr="00EA7870">
        <w:rPr>
          <w:sz w:val="20"/>
          <w:szCs w:val="20"/>
          <w:lang w:val="es-AR" w:bidi="es-ES"/>
        </w:rPr>
        <w:t>por</w:t>
      </w:r>
      <w:r w:rsidR="001A28B3" w:rsidRPr="00EA7870">
        <w:rPr>
          <w:sz w:val="20"/>
          <w:szCs w:val="20"/>
          <w:lang w:val="es-AR" w:bidi="es-ES"/>
        </w:rPr>
        <w:t xml:space="preserve"> </w:t>
      </w:r>
      <w:r w:rsidRPr="00EA7870">
        <w:rPr>
          <w:sz w:val="20"/>
          <w:szCs w:val="20"/>
          <w:lang w:val="es-AR" w:bidi="es-ES"/>
        </w:rPr>
        <w:t>absorción,</w:t>
      </w:r>
      <w:r w:rsidR="001A28B3" w:rsidRPr="00EA7870">
        <w:rPr>
          <w:sz w:val="20"/>
          <w:szCs w:val="20"/>
          <w:lang w:val="es-AR" w:bidi="es-ES"/>
        </w:rPr>
        <w:t xml:space="preserve"> </w:t>
      </w:r>
      <w:r w:rsidRPr="00EA7870">
        <w:rPr>
          <w:sz w:val="20"/>
          <w:szCs w:val="20"/>
          <w:lang w:val="es-AR" w:bidi="es-ES"/>
        </w:rPr>
        <w:t>una</w:t>
      </w:r>
      <w:r w:rsidR="001A28B3" w:rsidRPr="00EA7870">
        <w:rPr>
          <w:sz w:val="20"/>
          <w:szCs w:val="20"/>
          <w:lang w:val="es-AR" w:bidi="es-ES"/>
        </w:rPr>
        <w:t xml:space="preserve"> </w:t>
      </w:r>
      <w:r w:rsidRPr="00EA7870">
        <w:rPr>
          <w:sz w:val="20"/>
          <w:szCs w:val="20"/>
          <w:lang w:val="es-AR" w:bidi="es-ES"/>
        </w:rPr>
        <w:t>fusión</w:t>
      </w:r>
      <w:r w:rsidR="001A28B3" w:rsidRPr="00EA7870">
        <w:rPr>
          <w:sz w:val="20"/>
          <w:szCs w:val="20"/>
          <w:lang w:val="es-AR" w:bidi="es-ES"/>
        </w:rPr>
        <w:t xml:space="preserve"> </w:t>
      </w:r>
      <w:r w:rsidRPr="00EA7870">
        <w:rPr>
          <w:sz w:val="20"/>
          <w:szCs w:val="20"/>
          <w:lang w:val="es-AR" w:bidi="es-ES"/>
        </w:rPr>
        <w:t>propiamente</w:t>
      </w:r>
      <w:r w:rsidR="001A28B3" w:rsidRPr="00EA7870">
        <w:rPr>
          <w:sz w:val="20"/>
          <w:szCs w:val="20"/>
          <w:lang w:val="es-AR" w:bidi="es-ES"/>
        </w:rPr>
        <w:t xml:space="preserve"> </w:t>
      </w:r>
      <w:r w:rsidRPr="00EA7870">
        <w:rPr>
          <w:sz w:val="20"/>
          <w:szCs w:val="20"/>
          <w:lang w:val="es-AR" w:bidi="es-ES"/>
        </w:rPr>
        <w:t>dicha,</w:t>
      </w:r>
      <w:r w:rsidR="001A28B3" w:rsidRPr="00EA7870">
        <w:rPr>
          <w:sz w:val="20"/>
          <w:szCs w:val="20"/>
          <w:lang w:val="es-AR" w:bidi="es-ES"/>
        </w:rPr>
        <w:t xml:space="preserve"> </w:t>
      </w:r>
      <w:r w:rsidRPr="00EA7870">
        <w:rPr>
          <w:sz w:val="20"/>
          <w:szCs w:val="20"/>
          <w:lang w:val="es-AR" w:bidi="es-ES"/>
        </w:rPr>
        <w:t>por</w:t>
      </w:r>
      <w:r w:rsidR="001A28B3" w:rsidRPr="00EA7870">
        <w:rPr>
          <w:sz w:val="20"/>
          <w:szCs w:val="20"/>
          <w:lang w:val="es-AR" w:bidi="es-ES"/>
        </w:rPr>
        <w:t xml:space="preserve"> </w:t>
      </w:r>
      <w:r w:rsidRPr="00EA7870">
        <w:rPr>
          <w:sz w:val="20"/>
          <w:szCs w:val="20"/>
          <w:lang w:val="es-AR" w:bidi="es-ES"/>
        </w:rPr>
        <w:t>adquisición</w:t>
      </w:r>
      <w:r w:rsidR="001A28B3" w:rsidRPr="00EA7870">
        <w:rPr>
          <w:sz w:val="20"/>
          <w:szCs w:val="20"/>
          <w:lang w:val="es-AR" w:bidi="es-ES"/>
        </w:rPr>
        <w:t xml:space="preserve"> </w:t>
      </w:r>
      <w:r w:rsidRPr="00EA7870">
        <w:rPr>
          <w:sz w:val="20"/>
          <w:szCs w:val="20"/>
          <w:lang w:val="es-AR" w:bidi="es-ES"/>
        </w:rPr>
        <w:t>o</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otro</w:t>
      </w:r>
      <w:r w:rsidR="001A28B3" w:rsidRPr="00EA7870">
        <w:rPr>
          <w:sz w:val="20"/>
          <w:szCs w:val="20"/>
          <w:lang w:val="es-AR" w:bidi="es-ES"/>
        </w:rPr>
        <w:t xml:space="preserve"> </w:t>
      </w:r>
      <w:r w:rsidRPr="00EA7870">
        <w:rPr>
          <w:sz w:val="20"/>
          <w:szCs w:val="20"/>
          <w:lang w:val="es-AR" w:bidi="es-ES"/>
        </w:rPr>
        <w:t>modo)</w:t>
      </w:r>
      <w:r w:rsidR="001A28B3" w:rsidRPr="00EA7870">
        <w:rPr>
          <w:sz w:val="20"/>
          <w:szCs w:val="20"/>
          <w:lang w:val="es-AR" w:bidi="es-ES"/>
        </w:rPr>
        <w:t xml:space="preserve"> </w:t>
      </w:r>
      <w:r w:rsidRPr="00EA7870">
        <w:rPr>
          <w:sz w:val="20"/>
          <w:szCs w:val="20"/>
          <w:lang w:val="es-AR" w:bidi="es-ES"/>
        </w:rPr>
        <w:t>se</w:t>
      </w:r>
      <w:r w:rsidR="001A28B3" w:rsidRPr="00EA7870">
        <w:rPr>
          <w:sz w:val="20"/>
          <w:szCs w:val="20"/>
          <w:lang w:val="es-AR" w:bidi="es-ES"/>
        </w:rPr>
        <w:t xml:space="preserve"> </w:t>
      </w:r>
      <w:r w:rsidRPr="00EA7870">
        <w:rPr>
          <w:sz w:val="20"/>
          <w:szCs w:val="20"/>
          <w:lang w:val="es-AR" w:bidi="es-ES"/>
        </w:rPr>
        <w:t>considerará</w:t>
      </w:r>
      <w:r w:rsidR="001A28B3" w:rsidRPr="00EA7870">
        <w:rPr>
          <w:sz w:val="20"/>
          <w:szCs w:val="20"/>
          <w:lang w:val="es-AR" w:bidi="es-ES"/>
        </w:rPr>
        <w:t xml:space="preserve"> </w:t>
      </w:r>
      <w:r w:rsidRPr="00EA7870">
        <w:rPr>
          <w:sz w:val="20"/>
          <w:szCs w:val="20"/>
          <w:lang w:val="es-AR" w:bidi="es-ES"/>
        </w:rPr>
        <w:t>Incurrido</w:t>
      </w:r>
      <w:r w:rsidR="001A28B3" w:rsidRPr="00EA7870">
        <w:rPr>
          <w:sz w:val="20"/>
          <w:szCs w:val="20"/>
          <w:lang w:val="es-AR" w:bidi="es-ES"/>
        </w:rPr>
        <w:t xml:space="preserve"> </w:t>
      </w:r>
      <w:r w:rsidRPr="00EA7870">
        <w:rPr>
          <w:sz w:val="20"/>
          <w:szCs w:val="20"/>
          <w:lang w:val="es-AR" w:bidi="es-ES"/>
        </w:rPr>
        <w:t>por</w:t>
      </w:r>
      <w:r w:rsidR="001A28B3" w:rsidRPr="00EA7870">
        <w:rPr>
          <w:sz w:val="20"/>
          <w:szCs w:val="20"/>
          <w:lang w:val="es-AR" w:bidi="es-ES"/>
        </w:rPr>
        <w:t xml:space="preserve"> </w:t>
      </w:r>
      <w:r w:rsidRPr="00EA7870">
        <w:rPr>
          <w:sz w:val="20"/>
          <w:szCs w:val="20"/>
          <w:lang w:val="es-AR" w:bidi="es-ES"/>
        </w:rPr>
        <w:t>dicha</w:t>
      </w:r>
      <w:r w:rsidR="001A28B3" w:rsidRPr="00EA7870">
        <w:rPr>
          <w:sz w:val="20"/>
          <w:szCs w:val="20"/>
          <w:lang w:val="es-AR" w:bidi="es-ES"/>
        </w:rPr>
        <w:t xml:space="preserve"> </w:t>
      </w:r>
      <w:r w:rsidRPr="00EA7870">
        <w:rPr>
          <w:sz w:val="20"/>
          <w:szCs w:val="20"/>
          <w:lang w:val="es-AR" w:bidi="es-ES"/>
        </w:rPr>
        <w:t>Persona</w:t>
      </w:r>
      <w:r w:rsidR="001A28B3" w:rsidRPr="00EA7870">
        <w:rPr>
          <w:sz w:val="20"/>
          <w:szCs w:val="20"/>
          <w:lang w:val="es-AR" w:bidi="es-ES"/>
        </w:rPr>
        <w:t xml:space="preserve"> </w:t>
      </w:r>
      <w:r w:rsidRPr="00EA7870">
        <w:rPr>
          <w:sz w:val="20"/>
          <w:szCs w:val="20"/>
          <w:lang w:val="es-AR" w:bidi="es-ES"/>
        </w:rPr>
        <w:t>al</w:t>
      </w:r>
      <w:r w:rsidR="001A28B3" w:rsidRPr="00EA7870">
        <w:rPr>
          <w:sz w:val="20"/>
          <w:szCs w:val="20"/>
          <w:lang w:val="es-AR" w:bidi="es-ES"/>
        </w:rPr>
        <w:t xml:space="preserve"> </w:t>
      </w:r>
      <w:r w:rsidRPr="00EA7870">
        <w:rPr>
          <w:sz w:val="20"/>
          <w:szCs w:val="20"/>
          <w:lang w:val="es-AR" w:bidi="es-ES"/>
        </w:rPr>
        <w:t>momento</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dicha</w:t>
      </w:r>
      <w:r w:rsidR="001A28B3" w:rsidRPr="00EA7870">
        <w:rPr>
          <w:sz w:val="20"/>
          <w:szCs w:val="20"/>
          <w:lang w:val="es-AR" w:bidi="es-ES"/>
        </w:rPr>
        <w:t xml:space="preserve"> </w:t>
      </w:r>
      <w:r w:rsidRPr="00EA7870">
        <w:rPr>
          <w:sz w:val="20"/>
          <w:szCs w:val="20"/>
          <w:lang w:val="es-AR" w:bidi="es-ES"/>
        </w:rPr>
        <w:t>fusión</w:t>
      </w:r>
      <w:r w:rsidR="001A28B3" w:rsidRPr="00EA7870">
        <w:rPr>
          <w:sz w:val="20"/>
          <w:szCs w:val="20"/>
          <w:lang w:val="es-AR" w:bidi="es-ES"/>
        </w:rPr>
        <w:t xml:space="preserve"> </w:t>
      </w:r>
      <w:r w:rsidRPr="00EA7870">
        <w:rPr>
          <w:sz w:val="20"/>
          <w:szCs w:val="20"/>
          <w:lang w:val="es-AR" w:bidi="es-ES"/>
        </w:rPr>
        <w:t>por</w:t>
      </w:r>
      <w:r w:rsidR="001A28B3" w:rsidRPr="00EA7870">
        <w:rPr>
          <w:sz w:val="20"/>
          <w:szCs w:val="20"/>
          <w:lang w:val="es-AR" w:bidi="es-ES"/>
        </w:rPr>
        <w:t xml:space="preserve"> </w:t>
      </w:r>
      <w:r w:rsidRPr="00EA7870">
        <w:rPr>
          <w:sz w:val="20"/>
          <w:szCs w:val="20"/>
          <w:lang w:val="es-AR" w:bidi="es-ES"/>
        </w:rPr>
        <w:t>absorción</w:t>
      </w:r>
      <w:r w:rsidR="001A28B3" w:rsidRPr="00EA7870">
        <w:rPr>
          <w:sz w:val="20"/>
          <w:szCs w:val="20"/>
          <w:lang w:val="es-AR" w:bidi="es-ES"/>
        </w:rPr>
        <w:t xml:space="preserve"> </w:t>
      </w:r>
      <w:r w:rsidRPr="00EA7870">
        <w:rPr>
          <w:sz w:val="20"/>
          <w:szCs w:val="20"/>
          <w:lang w:val="es-AR" w:bidi="es-ES"/>
        </w:rPr>
        <w:t>o</w:t>
      </w:r>
      <w:r w:rsidR="001A28B3" w:rsidRPr="00EA7870">
        <w:rPr>
          <w:sz w:val="20"/>
          <w:szCs w:val="20"/>
          <w:lang w:val="es-AR" w:bidi="es-ES"/>
        </w:rPr>
        <w:t xml:space="preserve"> </w:t>
      </w:r>
      <w:r w:rsidRPr="00EA7870">
        <w:rPr>
          <w:sz w:val="20"/>
          <w:szCs w:val="20"/>
          <w:lang w:val="es-AR" w:bidi="es-ES"/>
        </w:rPr>
        <w:t>una</w:t>
      </w:r>
      <w:r w:rsidR="001A28B3" w:rsidRPr="00EA7870">
        <w:rPr>
          <w:sz w:val="20"/>
          <w:szCs w:val="20"/>
          <w:lang w:val="es-AR" w:bidi="es-ES"/>
        </w:rPr>
        <w:t xml:space="preserve"> </w:t>
      </w:r>
      <w:r w:rsidRPr="00EA7870">
        <w:rPr>
          <w:sz w:val="20"/>
          <w:szCs w:val="20"/>
          <w:lang w:val="es-AR" w:bidi="es-ES"/>
        </w:rPr>
        <w:t>fusión</w:t>
      </w:r>
      <w:r w:rsidR="001A28B3" w:rsidRPr="00EA7870">
        <w:rPr>
          <w:sz w:val="20"/>
          <w:szCs w:val="20"/>
          <w:lang w:val="es-AR" w:bidi="es-ES"/>
        </w:rPr>
        <w:t xml:space="preserve"> </w:t>
      </w:r>
      <w:r w:rsidRPr="00EA7870">
        <w:rPr>
          <w:sz w:val="20"/>
          <w:szCs w:val="20"/>
          <w:lang w:val="es-AR" w:bidi="es-ES"/>
        </w:rPr>
        <w:t>propiamente</w:t>
      </w:r>
      <w:r w:rsidR="001A28B3" w:rsidRPr="00EA7870">
        <w:rPr>
          <w:sz w:val="20"/>
          <w:szCs w:val="20"/>
          <w:lang w:val="es-AR" w:bidi="es-ES"/>
        </w:rPr>
        <w:t xml:space="preserve"> </w:t>
      </w:r>
      <w:r w:rsidRPr="00EA7870">
        <w:rPr>
          <w:sz w:val="20"/>
          <w:szCs w:val="20"/>
          <w:lang w:val="es-AR" w:bidi="es-ES"/>
        </w:rPr>
        <w:t>dicha</w:t>
      </w:r>
      <w:r w:rsidR="001A28B3" w:rsidRPr="00EA7870">
        <w:rPr>
          <w:sz w:val="20"/>
          <w:szCs w:val="20"/>
          <w:lang w:val="es-AR" w:bidi="es-ES"/>
        </w:rPr>
        <w:t xml:space="preserve"> </w:t>
      </w:r>
      <w:r w:rsidRPr="00EA7870">
        <w:rPr>
          <w:sz w:val="20"/>
          <w:szCs w:val="20"/>
          <w:lang w:val="es-AR" w:bidi="es-ES"/>
        </w:rPr>
        <w:t>o</w:t>
      </w:r>
      <w:r w:rsidR="001A28B3" w:rsidRPr="00EA7870">
        <w:rPr>
          <w:sz w:val="20"/>
          <w:szCs w:val="20"/>
          <w:lang w:val="es-AR" w:bidi="es-ES"/>
        </w:rPr>
        <w:t xml:space="preserve"> </w:t>
      </w:r>
      <w:r w:rsidRPr="00EA7870">
        <w:rPr>
          <w:sz w:val="20"/>
          <w:szCs w:val="20"/>
          <w:lang w:val="es-AR" w:bidi="es-ES"/>
        </w:rPr>
        <w:t>al</w:t>
      </w:r>
      <w:r w:rsidR="001A28B3" w:rsidRPr="00EA7870">
        <w:rPr>
          <w:sz w:val="20"/>
          <w:szCs w:val="20"/>
          <w:lang w:val="es-AR" w:bidi="es-ES"/>
        </w:rPr>
        <w:t xml:space="preserve"> </w:t>
      </w:r>
      <w:r w:rsidRPr="00EA7870">
        <w:rPr>
          <w:sz w:val="20"/>
          <w:szCs w:val="20"/>
          <w:lang w:val="es-AR" w:bidi="es-ES"/>
        </w:rPr>
        <w:t>momento</w:t>
      </w:r>
      <w:r w:rsidR="001A28B3" w:rsidRPr="00EA7870">
        <w:rPr>
          <w:sz w:val="20"/>
          <w:szCs w:val="20"/>
          <w:lang w:val="es-AR" w:bidi="es-ES"/>
        </w:rPr>
        <w:t xml:space="preserve"> </w:t>
      </w:r>
      <w:r w:rsidRPr="00EA7870">
        <w:rPr>
          <w:sz w:val="20"/>
          <w:szCs w:val="20"/>
          <w:lang w:val="es-AR" w:bidi="es-ES"/>
        </w:rPr>
        <w:t>en</w:t>
      </w:r>
      <w:r w:rsidR="001A28B3" w:rsidRPr="00EA7870">
        <w:rPr>
          <w:sz w:val="20"/>
          <w:szCs w:val="20"/>
          <w:lang w:val="es-AR" w:bidi="es-ES"/>
        </w:rPr>
        <w:t xml:space="preserve"> </w:t>
      </w:r>
      <w:r w:rsidRPr="00EA7870">
        <w:rPr>
          <w:sz w:val="20"/>
          <w:szCs w:val="20"/>
          <w:lang w:val="es-AR" w:bidi="es-ES"/>
        </w:rPr>
        <w:t>que</w:t>
      </w:r>
      <w:r w:rsidR="001A28B3" w:rsidRPr="00EA7870">
        <w:rPr>
          <w:sz w:val="20"/>
          <w:szCs w:val="20"/>
          <w:lang w:val="es-AR" w:bidi="es-ES"/>
        </w:rPr>
        <w:t xml:space="preserve"> </w:t>
      </w:r>
      <w:r w:rsidRPr="00EA7870">
        <w:rPr>
          <w:sz w:val="20"/>
          <w:szCs w:val="20"/>
          <w:lang w:val="es-AR" w:bidi="es-ES"/>
        </w:rPr>
        <w:t>se</w:t>
      </w:r>
      <w:r w:rsidR="001A28B3" w:rsidRPr="00EA7870">
        <w:rPr>
          <w:sz w:val="20"/>
          <w:szCs w:val="20"/>
          <w:lang w:val="es-AR" w:bidi="es-ES"/>
        </w:rPr>
        <w:t xml:space="preserve"> </w:t>
      </w:r>
      <w:r w:rsidRPr="00EA7870">
        <w:rPr>
          <w:sz w:val="20"/>
          <w:szCs w:val="20"/>
          <w:lang w:val="es-AR" w:bidi="es-ES"/>
        </w:rPr>
        <w:t>convierte</w:t>
      </w:r>
      <w:r w:rsidR="001A28B3" w:rsidRPr="00EA7870">
        <w:rPr>
          <w:sz w:val="20"/>
          <w:szCs w:val="20"/>
          <w:lang w:val="es-AR" w:bidi="es-ES"/>
        </w:rPr>
        <w:t xml:space="preserve"> </w:t>
      </w:r>
      <w:r w:rsidRPr="00EA7870">
        <w:rPr>
          <w:sz w:val="20"/>
          <w:szCs w:val="20"/>
          <w:lang w:val="es-AR" w:bidi="es-ES"/>
        </w:rPr>
        <w:t>en</w:t>
      </w:r>
      <w:r w:rsidR="001A28B3" w:rsidRPr="00EA7870">
        <w:rPr>
          <w:sz w:val="20"/>
          <w:szCs w:val="20"/>
          <w:lang w:val="es-AR" w:bidi="es-ES"/>
        </w:rPr>
        <w:t xml:space="preserve"> </w:t>
      </w:r>
      <w:r w:rsidRPr="00EA7870">
        <w:rPr>
          <w:sz w:val="20"/>
          <w:szCs w:val="20"/>
          <w:lang w:val="es-AR" w:bidi="es-ES"/>
        </w:rPr>
        <w:t>una</w:t>
      </w:r>
      <w:r w:rsidR="001A28B3" w:rsidRPr="00EA7870">
        <w:rPr>
          <w:sz w:val="20"/>
          <w:szCs w:val="20"/>
          <w:lang w:val="es-AR" w:bidi="es-ES"/>
        </w:rPr>
        <w:t xml:space="preserve"> </w:t>
      </w:r>
      <w:r w:rsidRPr="00EA7870">
        <w:rPr>
          <w:sz w:val="20"/>
          <w:szCs w:val="20"/>
          <w:lang w:val="es-AR" w:bidi="es-ES"/>
        </w:rPr>
        <w:t>Subsidiaria</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la</w:t>
      </w:r>
      <w:r w:rsidR="001A28B3" w:rsidRPr="00EA7870">
        <w:rPr>
          <w:sz w:val="20"/>
          <w:szCs w:val="20"/>
          <w:lang w:val="es-AR" w:bidi="es-ES"/>
        </w:rPr>
        <w:t xml:space="preserve"> </w:t>
      </w:r>
      <w:r w:rsidRPr="00EA7870">
        <w:rPr>
          <w:sz w:val="20"/>
          <w:szCs w:val="20"/>
          <w:lang w:val="es-AR" w:bidi="es-ES"/>
        </w:rPr>
        <w:t>Garante.</w:t>
      </w:r>
      <w:r w:rsidR="001A28B3" w:rsidRPr="00EA7870">
        <w:rPr>
          <w:sz w:val="20"/>
          <w:szCs w:val="20"/>
          <w:lang w:val="es-AR" w:bidi="es-ES"/>
        </w:rPr>
        <w:t xml:space="preserve"> </w:t>
      </w:r>
      <w:r w:rsidRPr="00EA7870">
        <w:rPr>
          <w:sz w:val="20"/>
          <w:szCs w:val="20"/>
          <w:lang w:val="es-AR" w:bidi="es-ES"/>
        </w:rPr>
        <w:t>El</w:t>
      </w:r>
      <w:r w:rsidR="001A28B3" w:rsidRPr="00EA7870">
        <w:rPr>
          <w:sz w:val="20"/>
          <w:szCs w:val="20"/>
          <w:lang w:val="es-AR" w:bidi="es-ES"/>
        </w:rPr>
        <w:t xml:space="preserve"> </w:t>
      </w:r>
      <w:r w:rsidRPr="00EA7870">
        <w:rPr>
          <w:sz w:val="20"/>
          <w:szCs w:val="20"/>
          <w:lang w:val="es-AR" w:bidi="es-ES"/>
        </w:rPr>
        <w:t>término</w:t>
      </w:r>
      <w:r w:rsidR="001A28B3" w:rsidRPr="00EA7870">
        <w:rPr>
          <w:sz w:val="20"/>
          <w:szCs w:val="20"/>
          <w:lang w:val="es-AR" w:bidi="es-ES"/>
        </w:rPr>
        <w:t xml:space="preserve"> </w:t>
      </w:r>
      <w:r w:rsidRPr="00EA7870">
        <w:rPr>
          <w:sz w:val="20"/>
          <w:szCs w:val="20"/>
          <w:lang w:val="es-AR" w:bidi="es-ES"/>
        </w:rPr>
        <w:t>“</w:t>
      </w:r>
      <w:r w:rsidRPr="00EA7870">
        <w:rPr>
          <w:b/>
          <w:sz w:val="20"/>
          <w:szCs w:val="20"/>
          <w:lang w:val="es-AR" w:bidi="es-ES"/>
        </w:rPr>
        <w:t>Incurrimiento</w:t>
      </w:r>
      <w:r w:rsidRPr="00EA7870">
        <w:rPr>
          <w:sz w:val="20"/>
          <w:szCs w:val="20"/>
          <w:lang w:val="es-AR" w:bidi="es-ES"/>
        </w:rPr>
        <w:t>”</w:t>
      </w:r>
      <w:r w:rsidR="001A28B3" w:rsidRPr="00EA7870">
        <w:rPr>
          <w:sz w:val="20"/>
          <w:szCs w:val="20"/>
          <w:lang w:val="es-AR" w:bidi="es-ES"/>
        </w:rPr>
        <w:t xml:space="preserve"> </w:t>
      </w:r>
      <w:r w:rsidRPr="00EA7870">
        <w:rPr>
          <w:sz w:val="20"/>
          <w:szCs w:val="20"/>
          <w:lang w:val="es-AR" w:bidi="es-ES"/>
        </w:rPr>
        <w:t>al</w:t>
      </w:r>
      <w:r w:rsidR="001A28B3" w:rsidRPr="00EA7870">
        <w:rPr>
          <w:sz w:val="20"/>
          <w:szCs w:val="20"/>
          <w:lang w:val="es-AR" w:bidi="es-ES"/>
        </w:rPr>
        <w:t xml:space="preserve"> </w:t>
      </w:r>
      <w:r w:rsidRPr="00EA7870">
        <w:rPr>
          <w:sz w:val="20"/>
          <w:szCs w:val="20"/>
          <w:lang w:val="es-AR" w:bidi="es-ES"/>
        </w:rPr>
        <w:t>utilizarse</w:t>
      </w:r>
      <w:r w:rsidR="001A28B3" w:rsidRPr="00EA7870">
        <w:rPr>
          <w:sz w:val="20"/>
          <w:szCs w:val="20"/>
          <w:lang w:val="es-AR" w:bidi="es-ES"/>
        </w:rPr>
        <w:t xml:space="preserve"> </w:t>
      </w:r>
      <w:r w:rsidRPr="00EA7870">
        <w:rPr>
          <w:sz w:val="20"/>
          <w:szCs w:val="20"/>
          <w:lang w:val="es-AR" w:bidi="es-ES"/>
        </w:rPr>
        <w:t>como</w:t>
      </w:r>
      <w:r w:rsidR="001A28B3" w:rsidRPr="00EA7870">
        <w:rPr>
          <w:sz w:val="20"/>
          <w:szCs w:val="20"/>
          <w:lang w:val="es-AR" w:bidi="es-ES"/>
        </w:rPr>
        <w:t xml:space="preserve"> </w:t>
      </w:r>
      <w:r w:rsidRPr="00EA7870">
        <w:rPr>
          <w:sz w:val="20"/>
          <w:szCs w:val="20"/>
          <w:lang w:val="es-AR" w:bidi="es-ES"/>
        </w:rPr>
        <w:t>sustantivo</w:t>
      </w:r>
      <w:r w:rsidR="001A28B3" w:rsidRPr="00EA7870">
        <w:rPr>
          <w:sz w:val="20"/>
          <w:szCs w:val="20"/>
          <w:lang w:val="es-AR" w:bidi="es-ES"/>
        </w:rPr>
        <w:t xml:space="preserve"> </w:t>
      </w:r>
      <w:r w:rsidRPr="00EA7870">
        <w:rPr>
          <w:sz w:val="20"/>
          <w:szCs w:val="20"/>
          <w:lang w:val="es-AR" w:bidi="es-ES"/>
        </w:rPr>
        <w:t>tendrá</w:t>
      </w:r>
      <w:r w:rsidR="001A28B3" w:rsidRPr="00EA7870">
        <w:rPr>
          <w:sz w:val="20"/>
          <w:szCs w:val="20"/>
          <w:lang w:val="es-AR" w:bidi="es-ES"/>
        </w:rPr>
        <w:t xml:space="preserve"> </w:t>
      </w:r>
      <w:r w:rsidRPr="00EA7870">
        <w:rPr>
          <w:sz w:val="20"/>
          <w:szCs w:val="20"/>
          <w:lang w:val="es-AR" w:bidi="es-ES"/>
        </w:rPr>
        <w:t>un</w:t>
      </w:r>
      <w:r w:rsidR="001A28B3" w:rsidRPr="00EA7870">
        <w:rPr>
          <w:sz w:val="20"/>
          <w:szCs w:val="20"/>
          <w:lang w:val="es-AR" w:bidi="es-ES"/>
        </w:rPr>
        <w:t xml:space="preserve"> </w:t>
      </w:r>
      <w:r w:rsidRPr="00EA7870">
        <w:rPr>
          <w:sz w:val="20"/>
          <w:szCs w:val="20"/>
          <w:lang w:val="es-AR" w:bidi="es-ES"/>
        </w:rPr>
        <w:t>significado</w:t>
      </w:r>
      <w:r w:rsidR="001A28B3" w:rsidRPr="00EA7870">
        <w:rPr>
          <w:sz w:val="20"/>
          <w:szCs w:val="20"/>
          <w:lang w:val="es-AR" w:bidi="es-ES"/>
        </w:rPr>
        <w:t xml:space="preserve"> </w:t>
      </w:r>
      <w:r w:rsidRPr="00EA7870">
        <w:rPr>
          <w:sz w:val="20"/>
          <w:szCs w:val="20"/>
          <w:lang w:val="es-AR" w:bidi="es-ES"/>
        </w:rPr>
        <w:t>correlativo.</w:t>
      </w:r>
      <w:r w:rsidR="001A28B3" w:rsidRPr="00EA7870">
        <w:rPr>
          <w:sz w:val="20"/>
          <w:szCs w:val="20"/>
          <w:lang w:val="es-AR" w:bidi="es-ES"/>
        </w:rPr>
        <w:t xml:space="preserve"> </w:t>
      </w:r>
      <w:r w:rsidRPr="00EA7870">
        <w:rPr>
          <w:sz w:val="20"/>
          <w:szCs w:val="20"/>
          <w:lang w:val="es-AR" w:bidi="es-ES"/>
        </w:rPr>
        <w:t>La</w:t>
      </w:r>
      <w:r w:rsidR="001A28B3" w:rsidRPr="00EA7870">
        <w:rPr>
          <w:sz w:val="20"/>
          <w:szCs w:val="20"/>
          <w:lang w:val="es-AR" w:bidi="es-ES"/>
        </w:rPr>
        <w:t xml:space="preserve"> </w:t>
      </w:r>
      <w:r w:rsidRPr="00EA7870">
        <w:rPr>
          <w:sz w:val="20"/>
          <w:szCs w:val="20"/>
          <w:lang w:val="es-AR" w:bidi="es-ES"/>
        </w:rPr>
        <w:t>acumulación</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capital</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un</w:t>
      </w:r>
      <w:r w:rsidR="001A28B3" w:rsidRPr="00EA7870">
        <w:rPr>
          <w:sz w:val="20"/>
          <w:szCs w:val="20"/>
          <w:lang w:val="es-AR" w:bidi="es-ES"/>
        </w:rPr>
        <w:t xml:space="preserve"> </w:t>
      </w:r>
      <w:r w:rsidRPr="00EA7870">
        <w:rPr>
          <w:sz w:val="20"/>
          <w:szCs w:val="20"/>
          <w:lang w:val="es-AR" w:bidi="es-ES"/>
        </w:rPr>
        <w:t>título</w:t>
      </w:r>
      <w:r w:rsidR="001A28B3" w:rsidRPr="00EA7870">
        <w:rPr>
          <w:sz w:val="20"/>
          <w:szCs w:val="20"/>
          <w:lang w:val="es-AR" w:bidi="es-ES"/>
        </w:rPr>
        <w:t xml:space="preserve"> </w:t>
      </w:r>
      <w:r w:rsidRPr="00EA7870">
        <w:rPr>
          <w:sz w:val="20"/>
          <w:szCs w:val="20"/>
          <w:lang w:val="es-AR" w:bidi="es-ES"/>
        </w:rPr>
        <w:t>que</w:t>
      </w:r>
      <w:r w:rsidR="001A28B3" w:rsidRPr="00EA7870">
        <w:rPr>
          <w:sz w:val="20"/>
          <w:szCs w:val="20"/>
          <w:lang w:val="es-AR" w:bidi="es-ES"/>
        </w:rPr>
        <w:t xml:space="preserve"> </w:t>
      </w:r>
      <w:r w:rsidRPr="00EA7870">
        <w:rPr>
          <w:sz w:val="20"/>
          <w:szCs w:val="20"/>
          <w:lang w:val="es-AR" w:bidi="es-ES"/>
        </w:rPr>
        <w:t>no</w:t>
      </w:r>
      <w:r w:rsidR="001A28B3" w:rsidRPr="00EA7870">
        <w:rPr>
          <w:sz w:val="20"/>
          <w:szCs w:val="20"/>
          <w:lang w:val="es-AR" w:bidi="es-ES"/>
        </w:rPr>
        <w:t xml:space="preserve"> </w:t>
      </w:r>
      <w:r w:rsidRPr="00EA7870">
        <w:rPr>
          <w:sz w:val="20"/>
          <w:szCs w:val="20"/>
          <w:lang w:val="es-AR" w:bidi="es-ES"/>
        </w:rPr>
        <w:t>devenga</w:t>
      </w:r>
      <w:r w:rsidR="001A28B3" w:rsidRPr="00EA7870">
        <w:rPr>
          <w:sz w:val="20"/>
          <w:szCs w:val="20"/>
          <w:lang w:val="es-AR" w:bidi="es-ES"/>
        </w:rPr>
        <w:t xml:space="preserve"> </w:t>
      </w:r>
      <w:r w:rsidRPr="00EA7870">
        <w:rPr>
          <w:sz w:val="20"/>
          <w:szCs w:val="20"/>
          <w:lang w:val="es-AR" w:bidi="es-ES"/>
        </w:rPr>
        <w:t>intereses</w:t>
      </w:r>
      <w:r w:rsidR="001A28B3" w:rsidRPr="00EA7870">
        <w:rPr>
          <w:sz w:val="20"/>
          <w:szCs w:val="20"/>
          <w:lang w:val="es-AR" w:bidi="es-ES"/>
        </w:rPr>
        <w:t xml:space="preserve"> </w:t>
      </w:r>
      <w:r w:rsidRPr="00EA7870">
        <w:rPr>
          <w:sz w:val="20"/>
          <w:szCs w:val="20"/>
          <w:lang w:val="es-AR" w:bidi="es-ES"/>
        </w:rPr>
        <w:t>u</w:t>
      </w:r>
      <w:r w:rsidR="001A28B3" w:rsidRPr="00EA7870">
        <w:rPr>
          <w:sz w:val="20"/>
          <w:szCs w:val="20"/>
          <w:lang w:val="es-AR" w:bidi="es-ES"/>
        </w:rPr>
        <w:t xml:space="preserve"> </w:t>
      </w:r>
      <w:r w:rsidRPr="00EA7870">
        <w:rPr>
          <w:sz w:val="20"/>
          <w:szCs w:val="20"/>
          <w:lang w:val="es-AR" w:bidi="es-ES"/>
        </w:rPr>
        <w:t>otro</w:t>
      </w:r>
      <w:r w:rsidR="001A28B3" w:rsidRPr="00EA7870">
        <w:rPr>
          <w:sz w:val="20"/>
          <w:szCs w:val="20"/>
          <w:lang w:val="es-AR" w:bidi="es-ES"/>
        </w:rPr>
        <w:t xml:space="preserve"> </w:t>
      </w:r>
      <w:r w:rsidRPr="00EA7870">
        <w:rPr>
          <w:sz w:val="20"/>
          <w:szCs w:val="20"/>
          <w:lang w:val="es-AR" w:bidi="es-ES"/>
        </w:rPr>
        <w:t>título</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descuento</w:t>
      </w:r>
      <w:r w:rsidR="001A28B3" w:rsidRPr="00EA7870">
        <w:rPr>
          <w:sz w:val="20"/>
          <w:szCs w:val="20"/>
          <w:lang w:val="es-AR" w:bidi="es-ES"/>
        </w:rPr>
        <w:t xml:space="preserve"> </w:t>
      </w:r>
      <w:r w:rsidRPr="00EA7870">
        <w:rPr>
          <w:sz w:val="20"/>
          <w:szCs w:val="20"/>
          <w:lang w:val="es-AR" w:bidi="es-ES"/>
        </w:rPr>
        <w:t>y</w:t>
      </w:r>
      <w:r w:rsidR="001A28B3" w:rsidRPr="00EA7870">
        <w:rPr>
          <w:sz w:val="20"/>
          <w:szCs w:val="20"/>
          <w:lang w:val="es-AR" w:bidi="es-ES"/>
        </w:rPr>
        <w:t xml:space="preserve"> </w:t>
      </w:r>
      <w:r w:rsidRPr="00EA7870">
        <w:rPr>
          <w:sz w:val="20"/>
          <w:szCs w:val="20"/>
          <w:lang w:val="es-AR" w:bidi="es-ES"/>
        </w:rPr>
        <w:t>la</w:t>
      </w:r>
      <w:r w:rsidR="001A28B3" w:rsidRPr="00EA7870">
        <w:rPr>
          <w:sz w:val="20"/>
          <w:szCs w:val="20"/>
          <w:lang w:val="es-AR" w:bidi="es-ES"/>
        </w:rPr>
        <w:t xml:space="preserve"> </w:t>
      </w:r>
      <w:r w:rsidRPr="00EA7870">
        <w:rPr>
          <w:sz w:val="20"/>
          <w:szCs w:val="20"/>
          <w:lang w:val="es-AR" w:bidi="es-ES"/>
        </w:rPr>
        <w:t>capitalización</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intereses</w:t>
      </w:r>
      <w:r w:rsidR="001A28B3" w:rsidRPr="00EA7870">
        <w:rPr>
          <w:sz w:val="20"/>
          <w:szCs w:val="20"/>
          <w:lang w:val="es-AR" w:bidi="es-ES"/>
        </w:rPr>
        <w:t xml:space="preserve"> </w:t>
      </w:r>
      <w:r w:rsidRPr="00EA7870">
        <w:rPr>
          <w:sz w:val="20"/>
          <w:szCs w:val="20"/>
          <w:lang w:val="es-AR" w:bidi="es-ES"/>
        </w:rPr>
        <w:t>sobre</w:t>
      </w:r>
      <w:r w:rsidR="001A28B3" w:rsidRPr="00EA7870">
        <w:rPr>
          <w:sz w:val="20"/>
          <w:szCs w:val="20"/>
          <w:lang w:val="es-AR" w:bidi="es-ES"/>
        </w:rPr>
        <w:t xml:space="preserve"> </w:t>
      </w:r>
      <w:r w:rsidRPr="00EA7870">
        <w:rPr>
          <w:sz w:val="20"/>
          <w:szCs w:val="20"/>
          <w:lang w:val="es-AR" w:bidi="es-ES"/>
        </w:rPr>
        <w:t>el</w:t>
      </w:r>
      <w:r w:rsidR="001A28B3" w:rsidRPr="00EA7870">
        <w:rPr>
          <w:sz w:val="20"/>
          <w:szCs w:val="20"/>
          <w:lang w:val="es-AR" w:bidi="es-ES"/>
        </w:rPr>
        <w:t xml:space="preserve"> </w:t>
      </w:r>
      <w:r w:rsidRPr="00EA7870">
        <w:rPr>
          <w:sz w:val="20"/>
          <w:szCs w:val="20"/>
          <w:lang w:val="es-AR" w:bidi="es-ES"/>
        </w:rPr>
        <w:t>Endeudamiento</w:t>
      </w:r>
      <w:r w:rsidR="001A28B3" w:rsidRPr="00EA7870">
        <w:rPr>
          <w:sz w:val="20"/>
          <w:szCs w:val="20"/>
          <w:lang w:val="es-AR" w:bidi="es-ES"/>
        </w:rPr>
        <w:t xml:space="preserve"> </w:t>
      </w:r>
      <w:r w:rsidRPr="00EA7870">
        <w:rPr>
          <w:sz w:val="20"/>
          <w:szCs w:val="20"/>
          <w:lang w:val="es-AR" w:bidi="es-ES"/>
        </w:rPr>
        <w:t>no</w:t>
      </w:r>
      <w:r w:rsidR="001A28B3" w:rsidRPr="00EA7870">
        <w:rPr>
          <w:sz w:val="20"/>
          <w:szCs w:val="20"/>
          <w:lang w:val="es-AR" w:bidi="es-ES"/>
        </w:rPr>
        <w:t xml:space="preserve"> </w:t>
      </w:r>
      <w:r w:rsidRPr="00EA7870">
        <w:rPr>
          <w:sz w:val="20"/>
          <w:szCs w:val="20"/>
          <w:lang w:val="es-AR" w:bidi="es-ES"/>
        </w:rPr>
        <w:t>se</w:t>
      </w:r>
      <w:r w:rsidR="001A28B3" w:rsidRPr="00EA7870">
        <w:rPr>
          <w:sz w:val="20"/>
          <w:szCs w:val="20"/>
          <w:lang w:val="es-AR" w:bidi="es-ES"/>
        </w:rPr>
        <w:t xml:space="preserve"> </w:t>
      </w:r>
      <w:r w:rsidRPr="00EA7870">
        <w:rPr>
          <w:sz w:val="20"/>
          <w:szCs w:val="20"/>
          <w:lang w:val="es-AR" w:bidi="es-ES"/>
        </w:rPr>
        <w:t>considerarán</w:t>
      </w:r>
      <w:r w:rsidR="001A28B3" w:rsidRPr="00EA7870">
        <w:rPr>
          <w:sz w:val="20"/>
          <w:szCs w:val="20"/>
          <w:lang w:val="es-AR" w:bidi="es-ES"/>
        </w:rPr>
        <w:t xml:space="preserve"> </w:t>
      </w:r>
      <w:r w:rsidRPr="00EA7870">
        <w:rPr>
          <w:sz w:val="20"/>
          <w:szCs w:val="20"/>
          <w:lang w:val="es-AR" w:bidi="es-ES"/>
        </w:rPr>
        <w:t>como</w:t>
      </w:r>
      <w:r w:rsidR="001A28B3" w:rsidRPr="00EA7870">
        <w:rPr>
          <w:sz w:val="20"/>
          <w:szCs w:val="20"/>
          <w:lang w:val="es-AR" w:bidi="es-ES"/>
        </w:rPr>
        <w:t xml:space="preserve"> </w:t>
      </w:r>
      <w:r w:rsidRPr="00EA7870">
        <w:rPr>
          <w:sz w:val="20"/>
          <w:szCs w:val="20"/>
          <w:lang w:val="es-AR" w:bidi="es-ES"/>
        </w:rPr>
        <w:t>Incurrimiento</w:t>
      </w:r>
      <w:r w:rsidR="001A28B3" w:rsidRPr="00EA7870">
        <w:rPr>
          <w:sz w:val="20"/>
          <w:szCs w:val="20"/>
          <w:lang w:val="es-AR" w:bidi="es-ES"/>
        </w:rPr>
        <w:t xml:space="preserve"> </w:t>
      </w:r>
      <w:r w:rsidRPr="00EA7870">
        <w:rPr>
          <w:sz w:val="20"/>
          <w:szCs w:val="20"/>
          <w:lang w:val="es-AR" w:bidi="es-ES"/>
        </w:rPr>
        <w:t>de</w:t>
      </w:r>
      <w:r w:rsidR="001A28B3" w:rsidRPr="00EA7870">
        <w:rPr>
          <w:sz w:val="20"/>
          <w:szCs w:val="20"/>
          <w:lang w:val="es-AR" w:bidi="es-ES"/>
        </w:rPr>
        <w:t xml:space="preserve"> </w:t>
      </w:r>
      <w:r w:rsidRPr="00EA7870">
        <w:rPr>
          <w:sz w:val="20"/>
          <w:szCs w:val="20"/>
          <w:lang w:val="es-AR" w:bidi="es-ES"/>
        </w:rPr>
        <w:t>Endeudamiento.</w:t>
      </w:r>
      <w:r w:rsidRPr="00EA7870">
        <w:rPr>
          <w:sz w:val="20"/>
          <w:szCs w:val="20"/>
          <w:lang w:val="es-AR" w:bidi="es-ES"/>
        </w:rPr>
        <w:tab/>
      </w:r>
    </w:p>
    <w:p w14:paraId="714970F0" w14:textId="77777777" w:rsidR="00376725" w:rsidRPr="00EA7870" w:rsidRDefault="00376725" w:rsidP="00376725">
      <w:pPr>
        <w:tabs>
          <w:tab w:val="left" w:pos="0"/>
          <w:tab w:val="right" w:leader="dot" w:pos="8505"/>
        </w:tabs>
        <w:ind w:firstLine="709"/>
        <w:jc w:val="both"/>
        <w:rPr>
          <w:sz w:val="20"/>
          <w:szCs w:val="20"/>
          <w:lang w:val="es-AR"/>
        </w:rPr>
      </w:pPr>
    </w:p>
    <w:p w14:paraId="297E982E"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Endeudamiento</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duplicación,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dinero</w:t>
      </w:r>
      <w:r w:rsidR="001A28B3" w:rsidRPr="00EA7870">
        <w:rPr>
          <w:sz w:val="20"/>
          <w:szCs w:val="20"/>
          <w:lang w:val="es-AR"/>
        </w:rPr>
        <w:t xml:space="preserve"> </w:t>
      </w:r>
      <w:r w:rsidRPr="00EA7870">
        <w:rPr>
          <w:sz w:val="20"/>
          <w:szCs w:val="20"/>
          <w:lang w:val="es-AR"/>
        </w:rPr>
        <w:t>tomado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préstamo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compra</w:t>
      </w:r>
      <w:r w:rsidR="001A28B3" w:rsidRPr="00EA7870">
        <w:rPr>
          <w:sz w:val="20"/>
          <w:szCs w:val="20"/>
          <w:lang w:val="es-AR"/>
        </w:rPr>
        <w:t xml:space="preserve"> </w:t>
      </w:r>
      <w:r w:rsidRPr="00EA7870">
        <w:rPr>
          <w:sz w:val="20"/>
          <w:szCs w:val="20"/>
          <w:lang w:val="es-AR"/>
        </w:rPr>
        <w:t>diferido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servicios</w:t>
      </w:r>
      <w:r w:rsidR="001A28B3" w:rsidRPr="00EA7870">
        <w:rPr>
          <w:sz w:val="20"/>
          <w:szCs w:val="20"/>
          <w:lang w:val="es-AR"/>
        </w:rPr>
        <w:t xml:space="preserve"> </w:t>
      </w:r>
      <w:r w:rsidRPr="00EA7870">
        <w:rPr>
          <w:sz w:val="20"/>
          <w:szCs w:val="20"/>
          <w:lang w:val="es-AR"/>
        </w:rPr>
        <w:t>(distintos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pasivos</w:t>
      </w:r>
      <w:r w:rsidR="001A28B3" w:rsidRPr="00EA7870">
        <w:rPr>
          <w:sz w:val="20"/>
          <w:szCs w:val="20"/>
          <w:lang w:val="es-AR"/>
        </w:rPr>
        <w:t xml:space="preserve"> </w:t>
      </w:r>
      <w:r w:rsidRPr="00EA7870">
        <w:rPr>
          <w:sz w:val="20"/>
          <w:szCs w:val="20"/>
          <w:lang w:val="es-AR"/>
        </w:rPr>
        <w:t>comerciales</w:t>
      </w:r>
      <w:r w:rsidR="001A28B3" w:rsidRPr="00EA7870">
        <w:rPr>
          <w:sz w:val="20"/>
          <w:szCs w:val="20"/>
          <w:lang w:val="es-AR"/>
        </w:rPr>
        <w:t xml:space="preserve"> </w:t>
      </w:r>
      <w:r w:rsidRPr="00EA7870">
        <w:rPr>
          <w:sz w:val="20"/>
          <w:szCs w:val="20"/>
          <w:lang w:val="es-AR"/>
        </w:rPr>
        <w:t>incurridos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giro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negocios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pagaderos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prácticas</w:t>
      </w:r>
      <w:r w:rsidR="001A28B3" w:rsidRPr="00EA7870">
        <w:rPr>
          <w:sz w:val="20"/>
          <w:szCs w:val="20"/>
          <w:lang w:val="es-AR"/>
        </w:rPr>
        <w:t xml:space="preserve"> </w:t>
      </w:r>
      <w:r w:rsidRPr="00EA7870">
        <w:rPr>
          <w:sz w:val="20"/>
          <w:szCs w:val="20"/>
          <w:lang w:val="es-AR"/>
        </w:rPr>
        <w:t>habituales),</w:t>
      </w:r>
      <w:r w:rsidR="001A28B3" w:rsidRPr="00EA7870">
        <w:rPr>
          <w:sz w:val="20"/>
          <w:szCs w:val="20"/>
          <w:lang w:val="es-AR"/>
        </w:rPr>
        <w:t xml:space="preserve"> </w:t>
      </w:r>
      <w:r w:rsidRPr="00EA7870">
        <w:rPr>
          <w:sz w:val="20"/>
          <w:szCs w:val="20"/>
          <w:lang w:val="es-AR"/>
        </w:rPr>
        <w:t>(b)</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evidenciado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pagaré,</w:t>
      </w:r>
      <w:r w:rsidR="001A28B3" w:rsidRPr="00EA7870">
        <w:rPr>
          <w:sz w:val="20"/>
          <w:szCs w:val="20"/>
          <w:lang w:val="es-AR"/>
        </w:rPr>
        <w:t xml:space="preserve"> </w:t>
      </w:r>
      <w:r w:rsidRPr="00EA7870">
        <w:rPr>
          <w:sz w:val="20"/>
          <w:szCs w:val="20"/>
          <w:lang w:val="es-AR"/>
        </w:rPr>
        <w:t>bono,</w:t>
      </w:r>
      <w:r w:rsidR="001A28B3" w:rsidRPr="00EA7870">
        <w:rPr>
          <w:sz w:val="20"/>
          <w:szCs w:val="20"/>
          <w:lang w:val="es-AR"/>
        </w:rPr>
        <w:t xml:space="preserve"> </w:t>
      </w:r>
      <w:r w:rsidRPr="00EA7870">
        <w:rPr>
          <w:i/>
          <w:sz w:val="20"/>
          <w:szCs w:val="20"/>
          <w:lang w:val="es-AR"/>
        </w:rPr>
        <w:t>debenture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instrumento</w:t>
      </w:r>
      <w:r w:rsidR="001A28B3" w:rsidRPr="00EA7870">
        <w:rPr>
          <w:sz w:val="20"/>
          <w:szCs w:val="20"/>
          <w:lang w:val="es-AR"/>
        </w:rPr>
        <w:t xml:space="preserve"> </w:t>
      </w:r>
      <w:r w:rsidRPr="00EA7870">
        <w:rPr>
          <w:sz w:val="20"/>
          <w:szCs w:val="20"/>
          <w:lang w:val="es-AR"/>
        </w:rPr>
        <w:t>similar,</w:t>
      </w:r>
      <w:r w:rsidR="001A28B3" w:rsidRPr="00EA7870">
        <w:rPr>
          <w:sz w:val="20"/>
          <w:szCs w:val="20"/>
          <w:lang w:val="es-AR"/>
        </w:rPr>
        <w:t xml:space="preserve"> </w:t>
      </w:r>
      <w:r w:rsidRPr="00EA7870">
        <w:rPr>
          <w:sz w:val="20"/>
          <w:szCs w:val="20"/>
          <w:lang w:val="es-AR"/>
        </w:rPr>
        <w:t>(c)</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alquiler</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montos</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locación</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transfiera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combinación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mismos,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éstas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deben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clasificadas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contabilizadas</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arrendamientos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balance</w:t>
      </w:r>
      <w:r w:rsidR="001A28B3" w:rsidRPr="00EA7870">
        <w:rPr>
          <w:sz w:val="20"/>
          <w:szCs w:val="20"/>
          <w:lang w:val="es-AR"/>
        </w:rPr>
        <w:t xml:space="preserve"> </w:t>
      </w:r>
      <w:r w:rsidRPr="00EA7870">
        <w:rPr>
          <w:sz w:val="20"/>
          <w:szCs w:val="20"/>
          <w:lang w:val="es-AR"/>
        </w:rPr>
        <w:t>general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r w:rsidRPr="00EA7870">
        <w:rPr>
          <w:sz w:val="20"/>
          <w:szCs w:val="20"/>
          <w:lang w:val="es-AR"/>
        </w:rPr>
        <w:t>(d)</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cartas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crédito,</w:t>
      </w:r>
      <w:r w:rsidR="001A28B3" w:rsidRPr="00EA7870">
        <w:rPr>
          <w:sz w:val="20"/>
          <w:szCs w:val="20"/>
          <w:lang w:val="es-AR"/>
        </w:rPr>
        <w:t xml:space="preserve"> </w:t>
      </w:r>
      <w:r w:rsidRPr="00EA7870">
        <w:rPr>
          <w:sz w:val="20"/>
          <w:szCs w:val="20"/>
          <w:lang w:val="es-AR"/>
        </w:rPr>
        <w:t>aceptaciones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pendientes</w:t>
      </w:r>
      <w:r w:rsidR="001A28B3" w:rsidRPr="00EA7870">
        <w:rPr>
          <w:sz w:val="20"/>
          <w:szCs w:val="20"/>
          <w:lang w:val="es-AR"/>
        </w:rPr>
        <w:t xml:space="preserve"> </w:t>
      </w:r>
      <w:r w:rsidRPr="00EA7870">
        <w:rPr>
          <w:sz w:val="20"/>
          <w:szCs w:val="20"/>
          <w:lang w:val="es-AR"/>
        </w:rPr>
        <w:t>creadas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excluyendo</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cartas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crédito</w:t>
      </w:r>
      <w:r w:rsidR="001A28B3" w:rsidRPr="00EA7870">
        <w:rPr>
          <w:sz w:val="20"/>
          <w:szCs w:val="20"/>
          <w:lang w:val="es-AR"/>
        </w:rPr>
        <w:t xml:space="preserve"> </w:t>
      </w:r>
      <w:r w:rsidRPr="00EA7870">
        <w:rPr>
          <w:sz w:val="20"/>
          <w:szCs w:val="20"/>
          <w:lang w:val="es-AR"/>
        </w:rPr>
        <w:t>comerciales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aceptaciones</w:t>
      </w:r>
      <w:r w:rsidR="001A28B3" w:rsidRPr="00EA7870">
        <w:rPr>
          <w:sz w:val="20"/>
          <w:szCs w:val="20"/>
          <w:lang w:val="es-AR"/>
        </w:rPr>
        <w:t xml:space="preserve"> </w:t>
      </w:r>
      <w:r w:rsidRPr="00EA7870">
        <w:rPr>
          <w:sz w:val="20"/>
          <w:szCs w:val="20"/>
          <w:lang w:val="es-AR"/>
        </w:rPr>
        <w:t>bancarias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instrumentos</w:t>
      </w:r>
      <w:r w:rsidR="001A28B3" w:rsidRPr="00EA7870">
        <w:rPr>
          <w:sz w:val="20"/>
          <w:szCs w:val="20"/>
          <w:lang w:val="es-AR"/>
        </w:rPr>
        <w:t xml:space="preserve"> </w:t>
      </w:r>
      <w:r w:rsidRPr="00EA7870">
        <w:rPr>
          <w:sz w:val="20"/>
          <w:szCs w:val="20"/>
          <w:lang w:val="es-AR"/>
        </w:rPr>
        <w:t>similares</w:t>
      </w:r>
      <w:r w:rsidR="001A28B3" w:rsidRPr="00EA7870">
        <w:rPr>
          <w:sz w:val="20"/>
          <w:szCs w:val="20"/>
          <w:lang w:val="es-AR"/>
        </w:rPr>
        <w:t xml:space="preserve"> </w:t>
      </w:r>
      <w:r w:rsidRPr="00EA7870">
        <w:rPr>
          <w:sz w:val="20"/>
          <w:szCs w:val="20"/>
          <w:lang w:val="es-AR"/>
        </w:rPr>
        <w:t>emitidos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cuentas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comerciales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giro</w:t>
      </w:r>
      <w:r w:rsidR="001A28B3" w:rsidRPr="00EA7870">
        <w:rPr>
          <w:sz w:val="20"/>
          <w:szCs w:val="20"/>
          <w:lang w:val="es-AR"/>
        </w:rPr>
        <w:t xml:space="preserve"> </w:t>
      </w:r>
      <w:r w:rsidRPr="00EA7870">
        <w:rPr>
          <w:sz w:val="20"/>
          <w:szCs w:val="20"/>
          <w:lang w:val="es-AR"/>
        </w:rPr>
        <w:t>habitual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negocios,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libradas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presentadas,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libradas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presentadas,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resultante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pague</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10</w:t>
      </w:r>
      <w:r w:rsidR="001A28B3" w:rsidRPr="00EA7870">
        <w:rPr>
          <w:sz w:val="20"/>
          <w:szCs w:val="20"/>
          <w:lang w:val="es-AR"/>
        </w:rPr>
        <w:t xml:space="preserve"> </w:t>
      </w:r>
      <w:r w:rsidRPr="00EA7870">
        <w:rPr>
          <w:sz w:val="20"/>
          <w:szCs w:val="20"/>
          <w:lang w:val="es-AR"/>
        </w:rPr>
        <w:t>Días</w:t>
      </w:r>
      <w:r w:rsidR="001A28B3" w:rsidRPr="00EA7870">
        <w:rPr>
          <w:sz w:val="20"/>
          <w:szCs w:val="20"/>
          <w:lang w:val="es-AR"/>
        </w:rPr>
        <w:t xml:space="preserve"> </w:t>
      </w:r>
      <w:r w:rsidRPr="00EA7870">
        <w:rPr>
          <w:sz w:val="20"/>
          <w:szCs w:val="20"/>
          <w:lang w:val="es-AR"/>
        </w:rPr>
        <w:t>Hábiles,</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constituidas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surjan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condicional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adquiridos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(f)</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netas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Acuerdos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Cobertura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deban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cotizados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PCGA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NIIF,</w:t>
      </w:r>
      <w:r w:rsidR="001A28B3" w:rsidRPr="00EA7870">
        <w:rPr>
          <w:sz w:val="20"/>
          <w:szCs w:val="20"/>
          <w:lang w:val="es-AR"/>
        </w:rPr>
        <w:t xml:space="preserve"> </w:t>
      </w:r>
      <w:r w:rsidRPr="00EA7870">
        <w:rPr>
          <w:sz w:val="20"/>
          <w:szCs w:val="20"/>
          <w:lang w:val="es-AR"/>
        </w:rPr>
        <w:t>siendo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igual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rescisión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dio</w:t>
      </w:r>
      <w:r w:rsidR="001A28B3" w:rsidRPr="00EA7870">
        <w:rPr>
          <w:sz w:val="20"/>
          <w:szCs w:val="20"/>
          <w:lang w:val="es-AR"/>
        </w:rPr>
        <w:t xml:space="preserve"> </w:t>
      </w:r>
      <w:r w:rsidRPr="00EA7870">
        <w:rPr>
          <w:sz w:val="20"/>
          <w:szCs w:val="20"/>
          <w:lang w:val="es-AR"/>
        </w:rPr>
        <w:t>lugar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sería</w:t>
      </w:r>
      <w:r w:rsidR="001A28B3" w:rsidRPr="00EA7870">
        <w:rPr>
          <w:sz w:val="20"/>
          <w:szCs w:val="20"/>
          <w:lang w:val="es-AR"/>
        </w:rPr>
        <w:t xml:space="preserve"> </w:t>
      </w:r>
      <w:r w:rsidRPr="00EA7870">
        <w:rPr>
          <w:sz w:val="20"/>
          <w:szCs w:val="20"/>
          <w:lang w:val="es-AR"/>
        </w:rPr>
        <w:t>pagadera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ese</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(g)</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componente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preferencia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liquidación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rescate,</w:t>
      </w:r>
      <w:r w:rsidR="001A28B3" w:rsidRPr="00EA7870">
        <w:rPr>
          <w:sz w:val="20"/>
          <w:szCs w:val="20"/>
          <w:lang w:val="es-AR"/>
        </w:rPr>
        <w:t xml:space="preserve"> </w:t>
      </w:r>
      <w:r w:rsidRPr="00EA7870">
        <w:rPr>
          <w:sz w:val="20"/>
          <w:szCs w:val="20"/>
          <w:lang w:val="es-AR"/>
        </w:rPr>
        <w:t>amortización</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recompra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Acciones</w:t>
      </w:r>
      <w:r w:rsidR="001A28B3" w:rsidRPr="00EA7870">
        <w:rPr>
          <w:sz w:val="20"/>
          <w:szCs w:val="20"/>
          <w:lang w:val="es-AR"/>
        </w:rPr>
        <w:t xml:space="preserve"> </w:t>
      </w:r>
      <w:r w:rsidRPr="00EA7870">
        <w:rPr>
          <w:sz w:val="20"/>
          <w:szCs w:val="20"/>
          <w:lang w:val="es-AR"/>
        </w:rPr>
        <w:t>Descalificadas</w:t>
      </w:r>
      <w:r w:rsidR="001A28B3" w:rsidRPr="00EA7870">
        <w:rPr>
          <w:sz w:val="20"/>
          <w:szCs w:val="20"/>
          <w:lang w:val="es-AR"/>
        </w:rPr>
        <w:t xml:space="preserve"> </w:t>
      </w:r>
      <w:r w:rsidRPr="00EA7870">
        <w:rPr>
          <w:sz w:val="20"/>
          <w:szCs w:val="20"/>
          <w:lang w:val="es-AR"/>
        </w:rPr>
        <w:t>(excluyendo</w:t>
      </w:r>
      <w:r w:rsidR="001A28B3" w:rsidRPr="00EA7870">
        <w:rPr>
          <w:sz w:val="20"/>
          <w:szCs w:val="20"/>
          <w:lang w:val="es-AR"/>
        </w:rPr>
        <w:t xml:space="preserve"> </w:t>
      </w:r>
      <w:r w:rsidRPr="00EA7870">
        <w:rPr>
          <w:sz w:val="20"/>
          <w:szCs w:val="20"/>
          <w:lang w:val="es-AR"/>
        </w:rPr>
        <w:t>dividendos</w:t>
      </w:r>
      <w:r w:rsidR="001A28B3" w:rsidRPr="00EA7870">
        <w:rPr>
          <w:sz w:val="20"/>
          <w:szCs w:val="20"/>
          <w:lang w:val="es-AR"/>
        </w:rPr>
        <w:t xml:space="preserve"> </w:t>
      </w:r>
      <w:r w:rsidRPr="00EA7870">
        <w:rPr>
          <w:sz w:val="20"/>
          <w:szCs w:val="20"/>
          <w:lang w:val="es-AR"/>
        </w:rPr>
        <w:t>devengados),</w:t>
      </w:r>
      <w:r w:rsidR="001A28B3" w:rsidRPr="00EA7870">
        <w:rPr>
          <w:sz w:val="20"/>
          <w:szCs w:val="20"/>
          <w:lang w:val="es-AR"/>
        </w:rPr>
        <w:t xml:space="preserve"> </w:t>
      </w:r>
      <w:r w:rsidRPr="00EA7870">
        <w:rPr>
          <w:sz w:val="20"/>
          <w:szCs w:val="20"/>
          <w:lang w:val="es-AR"/>
        </w:rPr>
        <w:t>(h)</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garantizado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garantizado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Gravamen</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Bien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propiedad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aún</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asumido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responsable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esta</w:t>
      </w:r>
      <w:r w:rsidR="001A28B3" w:rsidRPr="00EA7870">
        <w:rPr>
          <w:sz w:val="20"/>
          <w:szCs w:val="20"/>
          <w:lang w:val="es-AR"/>
        </w:rPr>
        <w:t xml:space="preserve"> </w:t>
      </w:r>
      <w:r w:rsidRPr="00EA7870">
        <w:rPr>
          <w:sz w:val="20"/>
          <w:szCs w:val="20"/>
          <w:lang w:val="es-AR"/>
        </w:rPr>
        <w:t>definición,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incluirá</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participación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personas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i/>
          <w:sz w:val="20"/>
          <w:szCs w:val="20"/>
          <w:lang w:val="es-AR"/>
        </w:rPr>
        <w:t>joint</w:t>
      </w:r>
      <w:r w:rsidR="001A28B3" w:rsidRPr="00EA7870">
        <w:rPr>
          <w:i/>
          <w:sz w:val="20"/>
          <w:szCs w:val="20"/>
          <w:lang w:val="es-AR"/>
        </w:rPr>
        <w:t xml:space="preserve"> </w:t>
      </w:r>
      <w:r w:rsidRPr="00EA7870">
        <w:rPr>
          <w:i/>
          <w:sz w:val="20"/>
          <w:szCs w:val="20"/>
          <w:lang w:val="es-AR"/>
        </w:rPr>
        <w:t>venture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socio</w:t>
      </w:r>
      <w:r w:rsidR="001A28B3" w:rsidRPr="00EA7870">
        <w:rPr>
          <w:sz w:val="20"/>
          <w:szCs w:val="20"/>
          <w:lang w:val="es-AR"/>
        </w:rPr>
        <w:t xml:space="preserve"> </w:t>
      </w:r>
      <w:r w:rsidRPr="00EA7870">
        <w:rPr>
          <w:sz w:val="20"/>
          <w:szCs w:val="20"/>
          <w:lang w:val="es-AR"/>
        </w:rPr>
        <w:t>comanditado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i/>
          <w:sz w:val="20"/>
          <w:szCs w:val="20"/>
          <w:lang w:val="es-AR"/>
        </w:rPr>
        <w:t>joint</w:t>
      </w:r>
      <w:r w:rsidR="001A28B3" w:rsidRPr="00EA7870">
        <w:rPr>
          <w:i/>
          <w:sz w:val="20"/>
          <w:szCs w:val="20"/>
          <w:lang w:val="es-AR"/>
        </w:rPr>
        <w:t xml:space="preserve"> </w:t>
      </w:r>
      <w:r w:rsidRPr="00EA7870">
        <w:rPr>
          <w:i/>
          <w:sz w:val="20"/>
          <w:szCs w:val="20"/>
          <w:lang w:val="es-AR"/>
        </w:rPr>
        <w:t>venture</w:t>
      </w:r>
      <w:r w:rsidRPr="00EA7870">
        <w:rPr>
          <w:sz w:val="20"/>
          <w:szCs w:val="20"/>
          <w:lang w:val="es-AR"/>
        </w:rPr>
        <w:t>.</w:t>
      </w:r>
    </w:p>
    <w:p w14:paraId="78A0F340" w14:textId="77777777" w:rsidR="00376725" w:rsidRPr="00EA7870" w:rsidRDefault="00376725" w:rsidP="00376725">
      <w:pPr>
        <w:tabs>
          <w:tab w:val="left" w:pos="0"/>
          <w:tab w:val="right" w:leader="dot" w:pos="8505"/>
        </w:tabs>
        <w:ind w:firstLine="709"/>
        <w:jc w:val="both"/>
        <w:rPr>
          <w:sz w:val="20"/>
          <w:szCs w:val="20"/>
          <w:lang w:val="es-AR"/>
        </w:rPr>
      </w:pPr>
    </w:p>
    <w:p w14:paraId="51A0D696"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Calificación</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Grado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Inversión</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calificación</w:t>
      </w:r>
      <w:r w:rsidR="001A28B3" w:rsidRPr="00EA7870">
        <w:rPr>
          <w:sz w:val="20"/>
          <w:szCs w:val="20"/>
          <w:lang w:val="es-AR"/>
        </w:rPr>
        <w:t xml:space="preserve"> </w:t>
      </w:r>
      <w:r w:rsidRPr="00EA7870">
        <w:rPr>
          <w:sz w:val="20"/>
          <w:szCs w:val="20"/>
          <w:lang w:val="es-AR"/>
        </w:rPr>
        <w:t>igual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superior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Baa3</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Moody’s,</w:t>
      </w:r>
      <w:r w:rsidR="001A28B3" w:rsidRPr="00EA7870">
        <w:rPr>
          <w:sz w:val="20"/>
          <w:szCs w:val="20"/>
          <w:lang w:val="es-AR"/>
        </w:rPr>
        <w:t xml:space="preserve"> </w:t>
      </w:r>
      <w:r w:rsidRPr="00EA7870">
        <w:rPr>
          <w:sz w:val="20"/>
          <w:szCs w:val="20"/>
          <w:lang w:val="es-AR"/>
        </w:rPr>
        <w:t>BBB-</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S&amp;P</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BBB-</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equivalente)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Fitch,</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perspectiva</w:t>
      </w:r>
      <w:r w:rsidR="001A28B3" w:rsidRPr="00EA7870">
        <w:rPr>
          <w:sz w:val="20"/>
          <w:szCs w:val="20"/>
          <w:lang w:val="es-AR"/>
        </w:rPr>
        <w:t xml:space="preserve"> </w:t>
      </w:r>
      <w:r w:rsidRPr="00EA7870">
        <w:rPr>
          <w:sz w:val="20"/>
          <w:szCs w:val="20"/>
          <w:lang w:val="es-AR"/>
        </w:rPr>
        <w:t>estable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mejor.</w:t>
      </w:r>
      <w:r w:rsidR="001A28B3" w:rsidRPr="00EA7870">
        <w:rPr>
          <w:sz w:val="20"/>
          <w:szCs w:val="20"/>
          <w:lang w:val="es-AR"/>
        </w:rPr>
        <w:t xml:space="preserve"> </w:t>
      </w:r>
    </w:p>
    <w:p w14:paraId="2255078B" w14:textId="77777777" w:rsidR="00376725" w:rsidRPr="00EA7870" w:rsidRDefault="00376725" w:rsidP="00376725">
      <w:pPr>
        <w:tabs>
          <w:tab w:val="left" w:pos="0"/>
          <w:tab w:val="right" w:leader="dot" w:pos="8505"/>
        </w:tabs>
        <w:ind w:firstLine="709"/>
        <w:jc w:val="both"/>
        <w:rPr>
          <w:sz w:val="20"/>
          <w:szCs w:val="20"/>
          <w:lang w:val="es-AR"/>
        </w:rPr>
      </w:pPr>
    </w:p>
    <w:p w14:paraId="330F2B2D" w14:textId="134219A6"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Fecha</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Emisión</w:t>
      </w:r>
      <w:r w:rsidR="001A28B3" w:rsidRPr="00EA7870">
        <w:rPr>
          <w:b/>
          <w:sz w:val="20"/>
          <w:szCs w:val="20"/>
          <w:lang w:val="es-AR"/>
        </w:rPr>
        <w:t xml:space="preserve"> </w:t>
      </w:r>
      <w:r w:rsidR="00EF780E" w:rsidRPr="00EA7870">
        <w:rPr>
          <w:b/>
          <w:sz w:val="20"/>
          <w:szCs w:val="20"/>
          <w:lang w:val="es-AR"/>
        </w:rPr>
        <w:t>y</w:t>
      </w:r>
      <w:r w:rsidR="001A28B3" w:rsidRPr="00EA7870">
        <w:rPr>
          <w:b/>
          <w:sz w:val="20"/>
          <w:szCs w:val="20"/>
          <w:lang w:val="es-AR"/>
        </w:rPr>
        <w:t xml:space="preserve"> </w:t>
      </w:r>
      <w:r w:rsidR="00EF780E" w:rsidRPr="00EA7870">
        <w:rPr>
          <w:b/>
          <w:sz w:val="20"/>
          <w:szCs w:val="20"/>
          <w:lang w:val="es-AR"/>
        </w:rPr>
        <w:t>Liquidación</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originalmente</w:t>
      </w:r>
      <w:r w:rsidR="001A28B3" w:rsidRPr="00EA7870">
        <w:rPr>
          <w:sz w:val="20"/>
          <w:szCs w:val="20"/>
          <w:lang w:val="es-AR"/>
        </w:rPr>
        <w:t xml:space="preserve"> </w:t>
      </w:r>
      <w:r w:rsidRPr="00EA7870">
        <w:rPr>
          <w:sz w:val="20"/>
          <w:szCs w:val="20"/>
          <w:lang w:val="es-AR"/>
        </w:rPr>
        <w:t>emitidas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virtud</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Fideicomiso.</w:t>
      </w:r>
    </w:p>
    <w:p w14:paraId="67F8225B" w14:textId="77777777" w:rsidR="00376725" w:rsidRPr="00EA7870" w:rsidRDefault="00376725" w:rsidP="00376725">
      <w:pPr>
        <w:tabs>
          <w:tab w:val="left" w:pos="0"/>
          <w:tab w:val="right" w:leader="dot" w:pos="8505"/>
        </w:tabs>
        <w:ind w:firstLine="709"/>
        <w:jc w:val="both"/>
        <w:rPr>
          <w:sz w:val="20"/>
          <w:szCs w:val="20"/>
          <w:lang w:val="es-AR"/>
        </w:rPr>
      </w:pPr>
    </w:p>
    <w:p w14:paraId="354AE210" w14:textId="77777777" w:rsidR="00050BFF"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Gravamen</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hipoteca,</w:t>
      </w:r>
      <w:r w:rsidR="001A28B3" w:rsidRPr="00EA7870">
        <w:rPr>
          <w:sz w:val="20"/>
          <w:szCs w:val="20"/>
          <w:lang w:val="es-AR"/>
        </w:rPr>
        <w:t xml:space="preserve"> </w:t>
      </w:r>
      <w:r w:rsidRPr="00EA7870">
        <w:rPr>
          <w:sz w:val="20"/>
          <w:szCs w:val="20"/>
          <w:lang w:val="es-AR"/>
        </w:rPr>
        <w:t>prenda,</w:t>
      </w:r>
      <w:r w:rsidR="001A28B3" w:rsidRPr="00EA7870">
        <w:rPr>
          <w:sz w:val="20"/>
          <w:szCs w:val="20"/>
          <w:lang w:val="es-AR"/>
        </w:rPr>
        <w:t xml:space="preserve"> </w:t>
      </w:r>
      <w:r w:rsidRPr="00EA7870">
        <w:rPr>
          <w:sz w:val="20"/>
          <w:szCs w:val="20"/>
          <w:lang w:val="es-AR"/>
        </w:rPr>
        <w:t>afectación</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cesión</w:t>
      </w:r>
      <w:r w:rsidR="001A28B3" w:rsidRPr="00EA7870">
        <w:rPr>
          <w:sz w:val="20"/>
          <w:szCs w:val="20"/>
          <w:lang w:val="es-AR"/>
        </w:rPr>
        <w:t xml:space="preserve"> </w:t>
      </w:r>
      <w:r w:rsidRPr="00EA7870">
        <w:rPr>
          <w:sz w:val="20"/>
          <w:szCs w:val="20"/>
          <w:lang w:val="es-AR"/>
        </w:rPr>
        <w:t>fiduciaria</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recurso</w:t>
      </w:r>
      <w:r w:rsidR="001A28B3" w:rsidRPr="00EA7870">
        <w:rPr>
          <w:sz w:val="20"/>
          <w:szCs w:val="20"/>
          <w:lang w:val="es-AR"/>
        </w:rPr>
        <w:t xml:space="preserve"> </w:t>
      </w:r>
      <w:r w:rsidRPr="00EA7870">
        <w:rPr>
          <w:sz w:val="20"/>
          <w:szCs w:val="20"/>
          <w:lang w:val="es-AR"/>
        </w:rPr>
        <w:t>hacia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gravamen</w:t>
      </w:r>
      <w:r w:rsidR="001A28B3" w:rsidRPr="00EA7870">
        <w:rPr>
          <w:sz w:val="20"/>
          <w:szCs w:val="20"/>
          <w:lang w:val="es-AR"/>
        </w:rPr>
        <w:t xml:space="preserve"> </w:t>
      </w:r>
      <w:r w:rsidRPr="00EA7870">
        <w:rPr>
          <w:sz w:val="20"/>
          <w:szCs w:val="20"/>
          <w:lang w:val="es-AR"/>
        </w:rPr>
        <w:t>similar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real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condicional</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retención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titularidad</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participación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arrendador</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arrendamiento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i/>
          <w:sz w:val="20"/>
          <w:szCs w:val="20"/>
          <w:lang w:val="es-AR"/>
        </w:rPr>
        <w:t>quedando</w:t>
      </w:r>
      <w:r w:rsidR="001A28B3" w:rsidRPr="00EA7870">
        <w:rPr>
          <w:i/>
          <w:sz w:val="20"/>
          <w:szCs w:val="20"/>
          <w:lang w:val="es-AR"/>
        </w:rPr>
        <w:t xml:space="preserve"> </w:t>
      </w:r>
      <w:r w:rsidRPr="00EA7870">
        <w:rPr>
          <w:i/>
          <w:sz w:val="20"/>
          <w:szCs w:val="20"/>
          <w:lang w:val="es-AR"/>
        </w:rPr>
        <w:t>establecido</w:t>
      </w:r>
      <w:r w:rsidR="001A28B3" w:rsidRPr="00EA7870">
        <w:rPr>
          <w:i/>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“Gravamen”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incluirá</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surja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venta</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mediante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cesión</w:t>
      </w:r>
      <w:r w:rsidR="001A28B3" w:rsidRPr="00EA7870">
        <w:rPr>
          <w:sz w:val="20"/>
          <w:szCs w:val="20"/>
          <w:lang w:val="es-AR"/>
        </w:rPr>
        <w:t xml:space="preserve"> </w:t>
      </w:r>
      <w:r w:rsidRPr="00EA7870">
        <w:rPr>
          <w:sz w:val="20"/>
          <w:szCs w:val="20"/>
          <w:lang w:val="es-AR"/>
        </w:rPr>
        <w:t>fiduciaria</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recurso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créditos</w:t>
      </w:r>
      <w:r w:rsidR="001A28B3" w:rsidRPr="00EA7870">
        <w:rPr>
          <w:sz w:val="20"/>
          <w:szCs w:val="20"/>
          <w:lang w:val="es-AR"/>
        </w:rPr>
        <w:t xml:space="preserve"> </w:t>
      </w:r>
      <w:r w:rsidRPr="00EA7870">
        <w:rPr>
          <w:sz w:val="20"/>
          <w:szCs w:val="20"/>
          <w:lang w:val="es-AR"/>
        </w:rPr>
        <w:t>relacionados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titulización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créditos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similar.</w:t>
      </w:r>
      <w:r w:rsidR="001A28B3" w:rsidRPr="00EA7870">
        <w:rPr>
          <w:sz w:val="20"/>
          <w:szCs w:val="20"/>
          <w:lang w:val="es-AR"/>
        </w:rPr>
        <w:t xml:space="preserve"> </w:t>
      </w:r>
    </w:p>
    <w:p w14:paraId="14CF53F6" w14:textId="77777777" w:rsidR="00050BFF" w:rsidRPr="00EA7870" w:rsidRDefault="00050BFF" w:rsidP="00376725">
      <w:pPr>
        <w:tabs>
          <w:tab w:val="left" w:pos="0"/>
          <w:tab w:val="right" w:leader="dot" w:pos="8505"/>
        </w:tabs>
        <w:ind w:firstLine="709"/>
        <w:jc w:val="both"/>
        <w:rPr>
          <w:sz w:val="20"/>
          <w:szCs w:val="20"/>
          <w:lang w:val="es-AR"/>
        </w:rPr>
      </w:pPr>
    </w:p>
    <w:p w14:paraId="70D4B72A"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Gravámenes</w:t>
      </w:r>
      <w:r w:rsidR="001A28B3" w:rsidRPr="00EA7870">
        <w:rPr>
          <w:b/>
          <w:sz w:val="20"/>
          <w:szCs w:val="20"/>
          <w:lang w:val="es-AR"/>
        </w:rPr>
        <w:t xml:space="preserve"> </w:t>
      </w:r>
      <w:r w:rsidRPr="00EA7870">
        <w:rPr>
          <w:b/>
          <w:sz w:val="20"/>
          <w:szCs w:val="20"/>
          <w:lang w:val="es-AR"/>
        </w:rPr>
        <w:t>Permitidos</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p>
    <w:p w14:paraId="2B83CC4E" w14:textId="77777777" w:rsidR="00376725" w:rsidRPr="00EA7870" w:rsidRDefault="00376725" w:rsidP="00376725">
      <w:pPr>
        <w:tabs>
          <w:tab w:val="left" w:pos="0"/>
          <w:tab w:val="right" w:leader="dot" w:pos="8505"/>
        </w:tabs>
        <w:ind w:firstLine="709"/>
        <w:jc w:val="both"/>
        <w:rPr>
          <w:sz w:val="20"/>
          <w:szCs w:val="20"/>
          <w:lang w:val="es-AR"/>
        </w:rPr>
      </w:pPr>
    </w:p>
    <w:p w14:paraId="7A41A486" w14:textId="0AA81440"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1)</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existentes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00EF780E" w:rsidRPr="00EA7870">
        <w:rPr>
          <w:sz w:val="20"/>
          <w:szCs w:val="20"/>
          <w:lang w:val="es-AR"/>
        </w:rPr>
        <w:t>y</w:t>
      </w:r>
      <w:r w:rsidR="001A28B3" w:rsidRPr="00EA7870">
        <w:rPr>
          <w:sz w:val="20"/>
          <w:szCs w:val="20"/>
          <w:lang w:val="es-AR"/>
        </w:rPr>
        <w:t xml:space="preserve"> </w:t>
      </w:r>
      <w:r w:rsidR="00EF780E" w:rsidRPr="00EA7870">
        <w:rPr>
          <w:sz w:val="20"/>
          <w:szCs w:val="20"/>
          <w:lang w:val="es-AR"/>
        </w:rPr>
        <w:t>Liquidación</w:t>
      </w:r>
      <w:r w:rsidRPr="00EA7870">
        <w:rPr>
          <w:sz w:val="20"/>
          <w:szCs w:val="20"/>
          <w:lang w:val="es-AR"/>
        </w:rPr>
        <w:t>;</w:t>
      </w:r>
    </w:p>
    <w:p w14:paraId="4351A0DD" w14:textId="77777777" w:rsidR="00376725" w:rsidRPr="00EA7870" w:rsidRDefault="00376725" w:rsidP="00376725">
      <w:pPr>
        <w:tabs>
          <w:tab w:val="left" w:pos="0"/>
          <w:tab w:val="right" w:leader="dot" w:pos="8505"/>
        </w:tabs>
        <w:ind w:firstLine="709"/>
        <w:jc w:val="both"/>
        <w:rPr>
          <w:sz w:val="20"/>
          <w:szCs w:val="20"/>
          <w:lang w:val="es-AR"/>
        </w:rPr>
      </w:pPr>
    </w:p>
    <w:p w14:paraId="2D95259D"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2)</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garantizan</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asumido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financiar</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costo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adquisición,</w:t>
      </w:r>
      <w:r w:rsidR="001A28B3" w:rsidRPr="00EA7870">
        <w:rPr>
          <w:sz w:val="20"/>
          <w:szCs w:val="20"/>
          <w:lang w:val="es-AR"/>
        </w:rPr>
        <w:t xml:space="preserve"> </w:t>
      </w:r>
      <w:r w:rsidRPr="00EA7870">
        <w:rPr>
          <w:sz w:val="20"/>
          <w:szCs w:val="20"/>
          <w:lang w:val="es-AR"/>
        </w:rPr>
        <w:t>desarrollo,</w:t>
      </w:r>
      <w:r w:rsidR="001A28B3" w:rsidRPr="00EA7870">
        <w:rPr>
          <w:sz w:val="20"/>
          <w:szCs w:val="20"/>
          <w:lang w:val="es-AR"/>
        </w:rPr>
        <w:t xml:space="preserve"> </w:t>
      </w:r>
      <w:r w:rsidRPr="00EA7870">
        <w:rPr>
          <w:sz w:val="20"/>
          <w:szCs w:val="20"/>
          <w:lang w:val="es-AR"/>
        </w:rPr>
        <w:t>construcción,</w:t>
      </w:r>
      <w:r w:rsidR="001A28B3" w:rsidRPr="00EA7870">
        <w:rPr>
          <w:sz w:val="20"/>
          <w:szCs w:val="20"/>
          <w:lang w:val="es-AR"/>
        </w:rPr>
        <w:t xml:space="preserve"> </w:t>
      </w:r>
      <w:r w:rsidRPr="00EA7870">
        <w:rPr>
          <w:sz w:val="20"/>
          <w:szCs w:val="20"/>
          <w:lang w:val="es-AR"/>
        </w:rPr>
        <w:t>reparación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mejora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Bien</w:t>
      </w:r>
      <w:r w:rsidR="001A28B3" w:rsidRPr="00EA7870">
        <w:rPr>
          <w:sz w:val="20"/>
          <w:szCs w:val="20"/>
          <w:lang w:val="es-AR"/>
        </w:rPr>
        <w:t xml:space="preserve"> </w:t>
      </w:r>
      <w:r w:rsidRPr="00EA7870">
        <w:rPr>
          <w:sz w:val="20"/>
          <w:szCs w:val="20"/>
          <w:lang w:val="es-AR"/>
        </w:rPr>
        <w:t>existente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futuro,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garantizan</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refinanciar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financiación</w:t>
      </w:r>
      <w:r w:rsidR="001A28B3" w:rsidRPr="00EA7870">
        <w:rPr>
          <w:sz w:val="20"/>
          <w:szCs w:val="20"/>
          <w:lang w:val="es-AR"/>
        </w:rPr>
        <w:t xml:space="preserve"> </w:t>
      </w:r>
      <w:r w:rsidRPr="00EA7870">
        <w:rPr>
          <w:sz w:val="20"/>
          <w:szCs w:val="20"/>
          <w:lang w:val="es-AR"/>
        </w:rPr>
        <w:t>puente</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financiación</w:t>
      </w:r>
      <w:r w:rsidR="001A28B3" w:rsidRPr="00EA7870">
        <w:rPr>
          <w:sz w:val="20"/>
          <w:szCs w:val="20"/>
          <w:lang w:val="es-AR"/>
        </w:rPr>
        <w:t xml:space="preserve"> </w:t>
      </w:r>
      <w:r w:rsidRPr="00EA7870">
        <w:rPr>
          <w:sz w:val="20"/>
          <w:szCs w:val="20"/>
          <w:lang w:val="es-AR"/>
        </w:rPr>
        <w:t>intermedia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inicialmente</w:t>
      </w:r>
      <w:r w:rsidR="001A28B3" w:rsidRPr="00EA7870">
        <w:rPr>
          <w:sz w:val="20"/>
          <w:szCs w:val="20"/>
          <w:lang w:val="es-AR"/>
        </w:rPr>
        <w:t xml:space="preserve"> </w:t>
      </w:r>
      <w:r w:rsidRPr="00EA7870">
        <w:rPr>
          <w:sz w:val="20"/>
          <w:szCs w:val="20"/>
          <w:lang w:val="es-AR"/>
        </w:rPr>
        <w:t>incurrida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fines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financiar</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adquisición</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comisiones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i/>
          <w:sz w:val="20"/>
          <w:szCs w:val="20"/>
          <w:lang w:val="es-AR"/>
        </w:rPr>
        <w:t>quedando</w:t>
      </w:r>
      <w:r w:rsidR="001A28B3" w:rsidRPr="00EA7870">
        <w:rPr>
          <w:i/>
          <w:sz w:val="20"/>
          <w:szCs w:val="20"/>
          <w:lang w:val="es-AR"/>
        </w:rPr>
        <w:t xml:space="preserve"> </w:t>
      </w:r>
      <w:r w:rsidRPr="00EA7870">
        <w:rPr>
          <w:i/>
          <w:sz w:val="20"/>
          <w:szCs w:val="20"/>
          <w:lang w:val="es-AR"/>
        </w:rPr>
        <w:t>establecido</w:t>
      </w:r>
      <w:r w:rsidR="001A28B3" w:rsidRPr="00EA7870">
        <w:rPr>
          <w:i/>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Gravamen</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extenderá</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Bien</w:t>
      </w:r>
      <w:r w:rsidR="001A28B3" w:rsidRPr="00EA7870">
        <w:rPr>
          <w:sz w:val="20"/>
          <w:szCs w:val="20"/>
          <w:lang w:val="es-AR"/>
        </w:rPr>
        <w:t xml:space="preserve"> </w:t>
      </w:r>
      <w:r w:rsidRPr="00EA7870">
        <w:rPr>
          <w:sz w:val="20"/>
          <w:szCs w:val="20"/>
          <w:lang w:val="es-AR"/>
        </w:rPr>
        <w:t>distinto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adquiridos,</w:t>
      </w:r>
      <w:r w:rsidR="001A28B3" w:rsidRPr="00EA7870">
        <w:rPr>
          <w:sz w:val="20"/>
          <w:szCs w:val="20"/>
          <w:lang w:val="es-AR"/>
        </w:rPr>
        <w:t xml:space="preserve"> </w:t>
      </w:r>
      <w:r w:rsidRPr="00EA7870">
        <w:rPr>
          <w:sz w:val="20"/>
          <w:szCs w:val="20"/>
          <w:lang w:val="es-AR"/>
        </w:rPr>
        <w:t>desarrollados,</w:t>
      </w:r>
      <w:r w:rsidR="001A28B3" w:rsidRPr="00EA7870">
        <w:rPr>
          <w:sz w:val="20"/>
          <w:szCs w:val="20"/>
          <w:lang w:val="es-AR"/>
        </w:rPr>
        <w:t xml:space="preserve"> </w:t>
      </w:r>
      <w:r w:rsidRPr="00EA7870">
        <w:rPr>
          <w:sz w:val="20"/>
          <w:szCs w:val="20"/>
          <w:lang w:val="es-AR"/>
        </w:rPr>
        <w:t>construidos,</w:t>
      </w:r>
      <w:r w:rsidR="001A28B3" w:rsidRPr="00EA7870">
        <w:rPr>
          <w:sz w:val="20"/>
          <w:szCs w:val="20"/>
          <w:lang w:val="es-AR"/>
        </w:rPr>
        <w:t xml:space="preserve"> </w:t>
      </w:r>
      <w:r w:rsidRPr="00EA7870">
        <w:rPr>
          <w:sz w:val="20"/>
          <w:szCs w:val="20"/>
          <w:lang w:val="es-AR"/>
        </w:rPr>
        <w:t>reparados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mejorados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ese</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ingresos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ganancias</w:t>
      </w:r>
      <w:r w:rsidR="001A28B3" w:rsidRPr="00EA7870">
        <w:rPr>
          <w:sz w:val="20"/>
          <w:szCs w:val="20"/>
          <w:lang w:val="es-AR"/>
        </w:rPr>
        <w:t xml:space="preserve"> </w:t>
      </w:r>
      <w:r w:rsidRPr="00EA7870">
        <w:rPr>
          <w:sz w:val="20"/>
          <w:szCs w:val="20"/>
          <w:lang w:val="es-AR"/>
        </w:rPr>
        <w:t>derivadas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Social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detente</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sustanciales</w:t>
      </w:r>
      <w:r w:rsidR="001A28B3" w:rsidRPr="00EA7870">
        <w:rPr>
          <w:sz w:val="20"/>
          <w:szCs w:val="20"/>
          <w:lang w:val="es-AR"/>
        </w:rPr>
        <w:t xml:space="preserve"> </w:t>
      </w:r>
      <w:r w:rsidRPr="00EA7870">
        <w:rPr>
          <w:sz w:val="20"/>
          <w:szCs w:val="20"/>
          <w:lang w:val="es-AR"/>
        </w:rPr>
        <w:t>distintos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(iii)</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razonablemente</w:t>
      </w:r>
      <w:r w:rsidR="001A28B3" w:rsidRPr="00EA7870">
        <w:rPr>
          <w:sz w:val="20"/>
          <w:szCs w:val="20"/>
          <w:lang w:val="es-AR"/>
        </w:rPr>
        <w:t xml:space="preserve"> </w:t>
      </w:r>
      <w:r w:rsidRPr="00EA7870">
        <w:rPr>
          <w:sz w:val="20"/>
          <w:szCs w:val="20"/>
          <w:lang w:val="es-AR"/>
        </w:rPr>
        <w:t>incidentales</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uso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operación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inmuebles</w:t>
      </w:r>
      <w:r w:rsidR="001A28B3" w:rsidRPr="00EA7870">
        <w:rPr>
          <w:sz w:val="20"/>
          <w:szCs w:val="20"/>
          <w:lang w:val="es-AR"/>
        </w:rPr>
        <w:t xml:space="preserve"> </w:t>
      </w:r>
      <w:r w:rsidRPr="00EA7870">
        <w:rPr>
          <w:sz w:val="20"/>
          <w:szCs w:val="20"/>
          <w:lang w:val="es-AR"/>
        </w:rPr>
        <w:t>donde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encuentran</w:t>
      </w:r>
      <w:r w:rsidR="001A28B3" w:rsidRPr="00EA7870">
        <w:rPr>
          <w:sz w:val="20"/>
          <w:szCs w:val="20"/>
          <w:lang w:val="es-AR"/>
        </w:rPr>
        <w:t xml:space="preserve"> </w:t>
      </w:r>
      <w:r w:rsidRPr="00EA7870">
        <w:rPr>
          <w:sz w:val="20"/>
          <w:szCs w:val="20"/>
          <w:lang w:val="es-AR"/>
        </w:rPr>
        <w:t>ubicados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Bienes;</w:t>
      </w:r>
    </w:p>
    <w:p w14:paraId="4DD0BE05" w14:textId="77777777" w:rsidR="00376725" w:rsidRPr="00EA7870" w:rsidRDefault="00376725" w:rsidP="00376725">
      <w:pPr>
        <w:tabs>
          <w:tab w:val="left" w:pos="0"/>
          <w:tab w:val="right" w:leader="dot" w:pos="8505"/>
        </w:tabs>
        <w:ind w:firstLine="709"/>
        <w:jc w:val="both"/>
        <w:rPr>
          <w:sz w:val="20"/>
          <w:szCs w:val="20"/>
          <w:lang w:val="es-AR"/>
        </w:rPr>
      </w:pPr>
    </w:p>
    <w:p w14:paraId="5C169251" w14:textId="77777777" w:rsidR="00376725" w:rsidRPr="00EA7870" w:rsidRDefault="00376725" w:rsidP="00376725">
      <w:pPr>
        <w:tabs>
          <w:tab w:val="left" w:pos="0"/>
          <w:tab w:val="right" w:leader="dot" w:pos="8505"/>
        </w:tabs>
        <w:ind w:firstLine="709"/>
        <w:jc w:val="both"/>
        <w:rPr>
          <w:bCs/>
          <w:iCs/>
          <w:sz w:val="20"/>
          <w:szCs w:val="20"/>
          <w:lang w:val="es-AR"/>
        </w:rPr>
      </w:pPr>
      <w:r w:rsidRPr="00EA7870">
        <w:rPr>
          <w:sz w:val="20"/>
          <w:szCs w:val="20"/>
          <w:lang w:val="es-AR"/>
        </w:rPr>
        <w:t>3)</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Incurridos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Acuerdos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Cobertura</w:t>
      </w:r>
      <w:r w:rsidR="001A28B3" w:rsidRPr="00EA7870">
        <w:rPr>
          <w:sz w:val="20"/>
          <w:szCs w:val="20"/>
          <w:lang w:val="es-AR"/>
        </w:rPr>
        <w:t xml:space="preserve"> </w:t>
      </w:r>
      <w:r w:rsidRPr="00EA7870">
        <w:rPr>
          <w:sz w:val="20"/>
          <w:szCs w:val="20"/>
          <w:lang w:val="es-AR"/>
        </w:rPr>
        <w:t>celebrados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bCs/>
          <w:iCs/>
          <w:sz w:val="20"/>
          <w:szCs w:val="20"/>
          <w:lang w:val="es-AR"/>
        </w:rPr>
        <w:t>el</w:t>
      </w:r>
      <w:r w:rsidR="001A28B3" w:rsidRPr="00EA7870">
        <w:rPr>
          <w:bCs/>
          <w:iCs/>
          <w:sz w:val="20"/>
          <w:szCs w:val="20"/>
          <w:lang w:val="es-AR"/>
        </w:rPr>
        <w:t xml:space="preserve"> </w:t>
      </w:r>
      <w:r w:rsidRPr="00EA7870">
        <w:rPr>
          <w:bCs/>
          <w:iCs/>
          <w:sz w:val="20"/>
          <w:szCs w:val="20"/>
          <w:lang w:val="es-AR"/>
        </w:rPr>
        <w:t>curso</w:t>
      </w:r>
      <w:r w:rsidR="001A28B3" w:rsidRPr="00EA7870">
        <w:rPr>
          <w:bCs/>
          <w:iCs/>
          <w:sz w:val="20"/>
          <w:szCs w:val="20"/>
          <w:lang w:val="es-AR"/>
        </w:rPr>
        <w:t xml:space="preserve"> </w:t>
      </w:r>
      <w:r w:rsidRPr="00EA7870">
        <w:rPr>
          <w:bCs/>
          <w:iCs/>
          <w:sz w:val="20"/>
          <w:szCs w:val="20"/>
          <w:lang w:val="es-AR"/>
        </w:rPr>
        <w:t>habitual</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su</w:t>
      </w:r>
      <w:r w:rsidR="001A28B3" w:rsidRPr="00EA7870">
        <w:rPr>
          <w:bCs/>
          <w:iCs/>
          <w:sz w:val="20"/>
          <w:szCs w:val="20"/>
          <w:lang w:val="es-AR"/>
        </w:rPr>
        <w:t xml:space="preserve"> </w:t>
      </w:r>
      <w:r w:rsidRPr="00EA7870">
        <w:rPr>
          <w:bCs/>
          <w:iCs/>
          <w:sz w:val="20"/>
          <w:szCs w:val="20"/>
          <w:lang w:val="es-AR"/>
        </w:rPr>
        <w:t>negocio</w:t>
      </w:r>
      <w:r w:rsidR="001A28B3" w:rsidRPr="00EA7870">
        <w:rPr>
          <w:bCs/>
          <w:iCs/>
          <w:sz w:val="20"/>
          <w:szCs w:val="20"/>
          <w:lang w:val="es-AR"/>
        </w:rPr>
        <w:t xml:space="preserve"> </w:t>
      </w:r>
      <w:r w:rsidRPr="00EA7870">
        <w:rPr>
          <w:bCs/>
          <w:iCs/>
          <w:sz w:val="20"/>
          <w:szCs w:val="20"/>
          <w:lang w:val="es-AR"/>
        </w:rPr>
        <w:t>para</w:t>
      </w:r>
      <w:r w:rsidR="001A28B3" w:rsidRPr="00EA7870">
        <w:rPr>
          <w:bCs/>
          <w:iCs/>
          <w:sz w:val="20"/>
          <w:szCs w:val="20"/>
          <w:lang w:val="es-AR"/>
        </w:rPr>
        <w:t xml:space="preserve"> </w:t>
      </w:r>
      <w:r w:rsidRPr="00EA7870">
        <w:rPr>
          <w:bCs/>
          <w:iCs/>
          <w:sz w:val="20"/>
          <w:szCs w:val="20"/>
          <w:lang w:val="es-AR"/>
        </w:rPr>
        <w:t>fines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cobertura</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no</w:t>
      </w:r>
      <w:r w:rsidR="001A28B3" w:rsidRPr="00EA7870">
        <w:rPr>
          <w:bCs/>
          <w:iCs/>
          <w:sz w:val="20"/>
          <w:szCs w:val="20"/>
          <w:lang w:val="es-AR"/>
        </w:rPr>
        <w:t xml:space="preserve"> </w:t>
      </w:r>
      <w:r w:rsidRPr="00EA7870">
        <w:rPr>
          <w:bCs/>
          <w:iCs/>
          <w:sz w:val="20"/>
          <w:szCs w:val="20"/>
          <w:lang w:val="es-AR"/>
        </w:rPr>
        <w:t>especulativos;</w:t>
      </w:r>
    </w:p>
    <w:p w14:paraId="68F818B9" w14:textId="77777777" w:rsidR="00B23607" w:rsidRPr="00EA7870" w:rsidRDefault="00B23607" w:rsidP="00376725">
      <w:pPr>
        <w:tabs>
          <w:tab w:val="left" w:pos="0"/>
          <w:tab w:val="right" w:leader="dot" w:pos="8505"/>
        </w:tabs>
        <w:ind w:firstLine="709"/>
        <w:jc w:val="both"/>
        <w:rPr>
          <w:bCs/>
          <w:iCs/>
          <w:sz w:val="20"/>
          <w:szCs w:val="20"/>
          <w:lang w:val="es-AR"/>
        </w:rPr>
      </w:pPr>
    </w:p>
    <w:p w14:paraId="10D94F3F" w14:textId="77777777" w:rsidR="00376725" w:rsidRPr="00EA7870" w:rsidRDefault="00376725" w:rsidP="00B23607">
      <w:pPr>
        <w:ind w:firstLine="709"/>
        <w:jc w:val="both"/>
        <w:rPr>
          <w:bCs/>
          <w:iCs/>
          <w:sz w:val="20"/>
          <w:szCs w:val="20"/>
          <w:lang w:val="es-AR"/>
        </w:rPr>
      </w:pPr>
      <w:bookmarkStart w:id="125" w:name="_Toc526498920"/>
      <w:r w:rsidRPr="00EA7870">
        <w:rPr>
          <w:bCs/>
          <w:iCs/>
          <w:sz w:val="20"/>
          <w:szCs w:val="20"/>
          <w:lang w:val="es-AR"/>
        </w:rPr>
        <w:t>4)</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relacionados</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las</w:t>
      </w:r>
      <w:r w:rsidR="001A28B3" w:rsidRPr="00EA7870">
        <w:rPr>
          <w:bCs/>
          <w:iCs/>
          <w:sz w:val="20"/>
          <w:szCs w:val="20"/>
          <w:lang w:val="es-AR"/>
        </w:rPr>
        <w:t xml:space="preserve"> </w:t>
      </w:r>
      <w:r w:rsidRPr="00EA7870">
        <w:rPr>
          <w:bCs/>
          <w:iCs/>
          <w:sz w:val="20"/>
          <w:szCs w:val="20"/>
          <w:lang w:val="es-AR"/>
        </w:rPr>
        <w:t>leyes</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rigen</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materia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indemnizaciones</w:t>
      </w:r>
      <w:r w:rsidR="001A28B3" w:rsidRPr="00EA7870">
        <w:rPr>
          <w:bCs/>
          <w:iCs/>
          <w:sz w:val="20"/>
          <w:szCs w:val="20"/>
          <w:lang w:val="es-AR"/>
        </w:rPr>
        <w:t xml:space="preserve"> </w:t>
      </w:r>
      <w:r w:rsidRPr="00EA7870">
        <w:rPr>
          <w:bCs/>
          <w:iCs/>
          <w:sz w:val="20"/>
          <w:szCs w:val="20"/>
          <w:lang w:val="es-AR"/>
        </w:rPr>
        <w:t>laborales,</w:t>
      </w:r>
      <w:r w:rsidR="001A28B3" w:rsidRPr="00EA7870">
        <w:rPr>
          <w:bCs/>
          <w:iCs/>
          <w:sz w:val="20"/>
          <w:szCs w:val="20"/>
          <w:lang w:val="es-AR"/>
        </w:rPr>
        <w:t xml:space="preserve"> </w:t>
      </w:r>
      <w:r w:rsidRPr="00EA7870">
        <w:rPr>
          <w:bCs/>
          <w:iCs/>
          <w:sz w:val="20"/>
          <w:szCs w:val="20"/>
          <w:lang w:val="es-AR"/>
        </w:rPr>
        <w:t>leyes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seguro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desempleo</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otras</w:t>
      </w:r>
      <w:r w:rsidR="001A28B3" w:rsidRPr="00EA7870">
        <w:rPr>
          <w:bCs/>
          <w:iCs/>
          <w:sz w:val="20"/>
          <w:szCs w:val="20"/>
          <w:lang w:val="es-AR"/>
        </w:rPr>
        <w:t xml:space="preserve"> </w:t>
      </w:r>
      <w:r w:rsidRPr="00EA7870">
        <w:rPr>
          <w:bCs/>
          <w:iCs/>
          <w:sz w:val="20"/>
          <w:szCs w:val="20"/>
          <w:lang w:val="es-AR"/>
        </w:rPr>
        <w:t>leyes</w:t>
      </w:r>
      <w:r w:rsidR="001A28B3" w:rsidRPr="00EA7870">
        <w:rPr>
          <w:bCs/>
          <w:iCs/>
          <w:sz w:val="20"/>
          <w:szCs w:val="20"/>
          <w:lang w:val="es-AR"/>
        </w:rPr>
        <w:t xml:space="preserve"> </w:t>
      </w:r>
      <w:r w:rsidRPr="00EA7870">
        <w:rPr>
          <w:bCs/>
          <w:iCs/>
          <w:sz w:val="20"/>
          <w:szCs w:val="20"/>
          <w:lang w:val="es-AR"/>
        </w:rPr>
        <w:t>similares;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depósitos</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el</w:t>
      </w:r>
      <w:r w:rsidR="001A28B3" w:rsidRPr="00EA7870">
        <w:rPr>
          <w:bCs/>
          <w:iCs/>
          <w:sz w:val="20"/>
          <w:szCs w:val="20"/>
          <w:lang w:val="es-AR"/>
        </w:rPr>
        <w:t xml:space="preserve"> </w:t>
      </w:r>
      <w:r w:rsidRPr="00EA7870">
        <w:rPr>
          <w:bCs/>
          <w:iCs/>
          <w:sz w:val="20"/>
          <w:szCs w:val="20"/>
          <w:lang w:val="es-AR"/>
        </w:rPr>
        <w:t>marco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ofertas,</w:t>
      </w:r>
      <w:r w:rsidR="001A28B3" w:rsidRPr="00EA7870">
        <w:rPr>
          <w:bCs/>
          <w:iCs/>
          <w:sz w:val="20"/>
          <w:szCs w:val="20"/>
          <w:lang w:val="es-AR"/>
        </w:rPr>
        <w:t xml:space="preserve"> </w:t>
      </w:r>
      <w:r w:rsidRPr="00EA7870">
        <w:rPr>
          <w:bCs/>
          <w:iCs/>
          <w:sz w:val="20"/>
          <w:szCs w:val="20"/>
          <w:lang w:val="es-AR"/>
        </w:rPr>
        <w:t>licitaciones,</w:t>
      </w:r>
      <w:r w:rsidR="001A28B3" w:rsidRPr="00EA7870">
        <w:rPr>
          <w:bCs/>
          <w:iCs/>
          <w:sz w:val="20"/>
          <w:szCs w:val="20"/>
          <w:lang w:val="es-AR"/>
        </w:rPr>
        <w:t xml:space="preserve"> </w:t>
      </w:r>
      <w:r w:rsidRPr="00EA7870">
        <w:rPr>
          <w:bCs/>
          <w:iCs/>
          <w:sz w:val="20"/>
          <w:szCs w:val="20"/>
          <w:lang w:val="es-AR"/>
        </w:rPr>
        <w:t>contratos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arrendamientos,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efectuados</w:t>
      </w:r>
      <w:r w:rsidR="001A28B3" w:rsidRPr="00EA7870">
        <w:rPr>
          <w:bCs/>
          <w:iCs/>
          <w:sz w:val="20"/>
          <w:szCs w:val="20"/>
          <w:lang w:val="es-AR"/>
        </w:rPr>
        <w:t xml:space="preserve"> </w:t>
      </w:r>
      <w:r w:rsidRPr="00EA7870">
        <w:rPr>
          <w:bCs/>
          <w:iCs/>
          <w:sz w:val="20"/>
          <w:szCs w:val="20"/>
          <w:lang w:val="es-AR"/>
        </w:rPr>
        <w:t>para</w:t>
      </w:r>
      <w:r w:rsidR="001A28B3" w:rsidRPr="00EA7870">
        <w:rPr>
          <w:bCs/>
          <w:iCs/>
          <w:sz w:val="20"/>
          <w:szCs w:val="20"/>
          <w:lang w:val="es-AR"/>
        </w:rPr>
        <w:t xml:space="preserve"> </w:t>
      </w:r>
      <w:r w:rsidRPr="00EA7870">
        <w:rPr>
          <w:bCs/>
          <w:iCs/>
          <w:sz w:val="20"/>
          <w:szCs w:val="20"/>
          <w:lang w:val="es-AR"/>
        </w:rPr>
        <w:t>garantizar</w:t>
      </w:r>
      <w:r w:rsidR="001A28B3" w:rsidRPr="00EA7870">
        <w:rPr>
          <w:bCs/>
          <w:iCs/>
          <w:sz w:val="20"/>
          <w:szCs w:val="20"/>
          <w:lang w:val="es-AR"/>
        </w:rPr>
        <w:t xml:space="preserve"> </w:t>
      </w:r>
      <w:r w:rsidRPr="00EA7870">
        <w:rPr>
          <w:bCs/>
          <w:iCs/>
          <w:sz w:val="20"/>
          <w:szCs w:val="20"/>
          <w:lang w:val="es-AR"/>
        </w:rPr>
        <w:t>una</w:t>
      </w:r>
      <w:r w:rsidR="001A28B3" w:rsidRPr="00EA7870">
        <w:rPr>
          <w:bCs/>
          <w:iCs/>
          <w:sz w:val="20"/>
          <w:szCs w:val="20"/>
          <w:lang w:val="es-AR"/>
        </w:rPr>
        <w:t xml:space="preserve"> </w:t>
      </w:r>
      <w:r w:rsidRPr="00EA7870">
        <w:rPr>
          <w:bCs/>
          <w:iCs/>
          <w:sz w:val="20"/>
          <w:szCs w:val="20"/>
          <w:lang w:val="es-AR"/>
        </w:rPr>
        <w:t>obligación</w:t>
      </w:r>
      <w:r w:rsidR="001A28B3" w:rsidRPr="00EA7870">
        <w:rPr>
          <w:bCs/>
          <w:iCs/>
          <w:sz w:val="20"/>
          <w:szCs w:val="20"/>
          <w:lang w:val="es-AR"/>
        </w:rPr>
        <w:t xml:space="preserve"> </w:t>
      </w:r>
      <w:r w:rsidRPr="00EA7870">
        <w:rPr>
          <w:bCs/>
          <w:iCs/>
          <w:sz w:val="20"/>
          <w:szCs w:val="20"/>
          <w:lang w:val="es-AR"/>
        </w:rPr>
        <w:t>pública</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legal,</w:t>
      </w:r>
      <w:r w:rsidR="001A28B3" w:rsidRPr="00EA7870">
        <w:rPr>
          <w:bCs/>
          <w:iCs/>
          <w:sz w:val="20"/>
          <w:szCs w:val="20"/>
          <w:lang w:val="es-AR"/>
        </w:rPr>
        <w:t xml:space="preserve"> </w:t>
      </w:r>
      <w:r w:rsidRPr="00EA7870">
        <w:rPr>
          <w:bCs/>
          <w:iCs/>
          <w:sz w:val="20"/>
          <w:szCs w:val="20"/>
          <w:lang w:val="es-AR"/>
        </w:rPr>
        <w:t>cauciones,</w:t>
      </w:r>
      <w:r w:rsidR="001A28B3" w:rsidRPr="00EA7870">
        <w:rPr>
          <w:bCs/>
          <w:iCs/>
          <w:sz w:val="20"/>
          <w:szCs w:val="20"/>
          <w:lang w:val="es-AR"/>
        </w:rPr>
        <w:t xml:space="preserve"> </w:t>
      </w:r>
      <w:r w:rsidRPr="00EA7870">
        <w:rPr>
          <w:bCs/>
          <w:iCs/>
          <w:sz w:val="20"/>
          <w:szCs w:val="20"/>
          <w:lang w:val="es-AR"/>
        </w:rPr>
        <w:t>derechos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aduana,</w:t>
      </w:r>
      <w:r w:rsidR="001A28B3" w:rsidRPr="00EA7870">
        <w:rPr>
          <w:bCs/>
          <w:iCs/>
          <w:sz w:val="20"/>
          <w:szCs w:val="20"/>
          <w:lang w:val="es-AR"/>
        </w:rPr>
        <w:t xml:space="preserve"> </w:t>
      </w:r>
      <w:r w:rsidRPr="00EA7870">
        <w:rPr>
          <w:bCs/>
          <w:iCs/>
          <w:sz w:val="20"/>
          <w:szCs w:val="20"/>
          <w:lang w:val="es-AR"/>
        </w:rPr>
        <w:t>etc.,</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garanticen</w:t>
      </w:r>
      <w:r w:rsidR="001A28B3" w:rsidRPr="00EA7870">
        <w:rPr>
          <w:bCs/>
          <w:iCs/>
          <w:sz w:val="20"/>
          <w:szCs w:val="20"/>
          <w:lang w:val="es-AR"/>
        </w:rPr>
        <w:t xml:space="preserve"> </w:t>
      </w:r>
      <w:r w:rsidRPr="00EA7870">
        <w:rPr>
          <w:bCs/>
          <w:iCs/>
          <w:sz w:val="20"/>
          <w:szCs w:val="20"/>
          <w:lang w:val="es-AR"/>
        </w:rPr>
        <w:t>obligaciones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locadores,</w:t>
      </w:r>
      <w:r w:rsidR="001A28B3" w:rsidRPr="00EA7870">
        <w:rPr>
          <w:bCs/>
          <w:iCs/>
          <w:sz w:val="20"/>
          <w:szCs w:val="20"/>
          <w:lang w:val="es-AR"/>
        </w:rPr>
        <w:t xml:space="preserve"> </w:t>
      </w:r>
      <w:r w:rsidRPr="00EA7870">
        <w:rPr>
          <w:bCs/>
          <w:iCs/>
          <w:sz w:val="20"/>
          <w:szCs w:val="20"/>
          <w:lang w:val="es-AR"/>
        </w:rPr>
        <w:t>vendedores,</w:t>
      </w:r>
      <w:r w:rsidR="001A28B3" w:rsidRPr="00EA7870">
        <w:rPr>
          <w:bCs/>
          <w:iCs/>
          <w:sz w:val="20"/>
          <w:szCs w:val="20"/>
          <w:lang w:val="es-AR"/>
        </w:rPr>
        <w:t xml:space="preserve"> </w:t>
      </w:r>
      <w:r w:rsidRPr="00EA7870">
        <w:rPr>
          <w:bCs/>
          <w:iCs/>
          <w:sz w:val="20"/>
          <w:szCs w:val="20"/>
          <w:lang w:val="es-AR"/>
        </w:rPr>
        <w:t>transportistas,</w:t>
      </w:r>
      <w:r w:rsidR="001A28B3" w:rsidRPr="00EA7870">
        <w:rPr>
          <w:bCs/>
          <w:iCs/>
          <w:sz w:val="20"/>
          <w:szCs w:val="20"/>
          <w:lang w:val="es-AR"/>
        </w:rPr>
        <w:t xml:space="preserve"> </w:t>
      </w:r>
      <w:r w:rsidRPr="00EA7870">
        <w:rPr>
          <w:bCs/>
          <w:iCs/>
          <w:sz w:val="20"/>
          <w:szCs w:val="20"/>
          <w:lang w:val="es-AR"/>
        </w:rPr>
        <w:t>depositarios,</w:t>
      </w:r>
      <w:r w:rsidR="001A28B3" w:rsidRPr="00EA7870">
        <w:rPr>
          <w:bCs/>
          <w:iCs/>
          <w:sz w:val="20"/>
          <w:szCs w:val="20"/>
          <w:lang w:val="es-AR"/>
        </w:rPr>
        <w:t xml:space="preserve"> </w:t>
      </w:r>
      <w:r w:rsidRPr="00EA7870">
        <w:rPr>
          <w:bCs/>
          <w:iCs/>
          <w:sz w:val="20"/>
          <w:szCs w:val="20"/>
          <w:lang w:val="es-AR"/>
        </w:rPr>
        <w:t>mecánicos,</w:t>
      </w:r>
      <w:r w:rsidR="001A28B3" w:rsidRPr="00EA7870">
        <w:rPr>
          <w:bCs/>
          <w:iCs/>
          <w:sz w:val="20"/>
          <w:szCs w:val="20"/>
          <w:lang w:val="es-AR"/>
        </w:rPr>
        <w:t xml:space="preserve"> </w:t>
      </w:r>
      <w:r w:rsidRPr="00EA7870">
        <w:rPr>
          <w:bCs/>
          <w:iCs/>
          <w:sz w:val="20"/>
          <w:szCs w:val="20"/>
          <w:lang w:val="es-AR"/>
        </w:rPr>
        <w:t>trabajadores,</w:t>
      </w:r>
      <w:r w:rsidR="001A28B3" w:rsidRPr="00EA7870">
        <w:rPr>
          <w:bCs/>
          <w:iCs/>
          <w:sz w:val="20"/>
          <w:szCs w:val="20"/>
          <w:lang w:val="es-AR"/>
        </w:rPr>
        <w:t xml:space="preserve"> </w:t>
      </w:r>
      <w:r w:rsidRPr="00EA7870">
        <w:rPr>
          <w:bCs/>
          <w:iCs/>
          <w:sz w:val="20"/>
          <w:szCs w:val="20"/>
          <w:lang w:val="es-AR"/>
        </w:rPr>
        <w:t>encargados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materiales,</w:t>
      </w:r>
      <w:r w:rsidR="001A28B3" w:rsidRPr="00EA7870">
        <w:rPr>
          <w:bCs/>
          <w:iCs/>
          <w:sz w:val="20"/>
          <w:szCs w:val="20"/>
          <w:lang w:val="es-AR"/>
        </w:rPr>
        <w:t xml:space="preserve"> </w:t>
      </w:r>
      <w:r w:rsidRPr="00EA7870">
        <w:rPr>
          <w:bCs/>
          <w:iCs/>
          <w:sz w:val="20"/>
          <w:szCs w:val="20"/>
          <w:lang w:val="es-AR"/>
        </w:rPr>
        <w:t>trabajadores</w:t>
      </w:r>
      <w:r w:rsidR="001A28B3" w:rsidRPr="00EA7870">
        <w:rPr>
          <w:bCs/>
          <w:iCs/>
          <w:sz w:val="20"/>
          <w:szCs w:val="20"/>
          <w:lang w:val="es-AR"/>
        </w:rPr>
        <w:t xml:space="preserve"> </w:t>
      </w:r>
      <w:r w:rsidRPr="00EA7870">
        <w:rPr>
          <w:bCs/>
          <w:iCs/>
          <w:sz w:val="20"/>
          <w:szCs w:val="20"/>
          <w:lang w:val="es-AR"/>
        </w:rPr>
        <w:t>u</w:t>
      </w:r>
      <w:r w:rsidR="001A28B3" w:rsidRPr="00EA7870">
        <w:rPr>
          <w:bCs/>
          <w:iCs/>
          <w:sz w:val="20"/>
          <w:szCs w:val="20"/>
          <w:lang w:val="es-AR"/>
        </w:rPr>
        <w:t xml:space="preserve"> </w:t>
      </w:r>
      <w:r w:rsidRPr="00EA7870">
        <w:rPr>
          <w:bCs/>
          <w:iCs/>
          <w:sz w:val="20"/>
          <w:szCs w:val="20"/>
          <w:lang w:val="es-AR"/>
        </w:rPr>
        <w:t>otras</w:t>
      </w:r>
      <w:r w:rsidR="001A28B3" w:rsidRPr="00EA7870">
        <w:rPr>
          <w:bCs/>
          <w:iCs/>
          <w:sz w:val="20"/>
          <w:szCs w:val="20"/>
          <w:lang w:val="es-AR"/>
        </w:rPr>
        <w:t xml:space="preserve"> </w:t>
      </w:r>
      <w:r w:rsidRPr="00EA7870">
        <w:rPr>
          <w:bCs/>
          <w:iCs/>
          <w:sz w:val="20"/>
          <w:szCs w:val="20"/>
          <w:lang w:val="es-AR"/>
        </w:rPr>
        <w:t>obligaciones</w:t>
      </w:r>
      <w:r w:rsidR="001A28B3" w:rsidRPr="00EA7870">
        <w:rPr>
          <w:bCs/>
          <w:iCs/>
          <w:sz w:val="20"/>
          <w:szCs w:val="20"/>
          <w:lang w:val="es-AR"/>
        </w:rPr>
        <w:t xml:space="preserve"> </w:t>
      </w:r>
      <w:r w:rsidRPr="00EA7870">
        <w:rPr>
          <w:bCs/>
          <w:iCs/>
          <w:sz w:val="20"/>
          <w:szCs w:val="20"/>
          <w:lang w:val="es-AR"/>
        </w:rPr>
        <w:t>similares;</w:t>
      </w:r>
      <w:bookmarkEnd w:id="125"/>
    </w:p>
    <w:p w14:paraId="7BC1D5C9" w14:textId="77777777" w:rsidR="00B23607" w:rsidRPr="00EA7870" w:rsidRDefault="00B23607" w:rsidP="00B23607">
      <w:pPr>
        <w:ind w:firstLine="709"/>
        <w:jc w:val="both"/>
        <w:rPr>
          <w:bCs/>
          <w:iCs/>
          <w:sz w:val="20"/>
          <w:szCs w:val="20"/>
          <w:lang w:val="es-AR"/>
        </w:rPr>
      </w:pPr>
    </w:p>
    <w:p w14:paraId="56337F2C" w14:textId="77777777" w:rsidR="00376725" w:rsidRPr="00EA7870" w:rsidRDefault="00376725" w:rsidP="00B23607">
      <w:pPr>
        <w:ind w:firstLine="709"/>
        <w:jc w:val="both"/>
        <w:rPr>
          <w:bCs/>
          <w:iCs/>
          <w:sz w:val="20"/>
          <w:szCs w:val="20"/>
          <w:lang w:val="es-AR"/>
        </w:rPr>
      </w:pPr>
      <w:bookmarkStart w:id="126" w:name="_Toc526498921"/>
      <w:r w:rsidRPr="00EA7870">
        <w:rPr>
          <w:bCs/>
          <w:iCs/>
          <w:sz w:val="20"/>
          <w:szCs w:val="20"/>
          <w:lang w:val="es-AR"/>
        </w:rPr>
        <w:t>5)</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surjan</w:t>
      </w:r>
      <w:r w:rsidR="001A28B3" w:rsidRPr="00EA7870">
        <w:rPr>
          <w:bCs/>
          <w:iCs/>
          <w:sz w:val="20"/>
          <w:szCs w:val="20"/>
          <w:lang w:val="es-AR"/>
        </w:rPr>
        <w:t xml:space="preserve"> </w:t>
      </w:r>
      <w:r w:rsidRPr="00EA7870">
        <w:rPr>
          <w:bCs/>
          <w:iCs/>
          <w:sz w:val="20"/>
          <w:szCs w:val="20"/>
          <w:lang w:val="es-AR"/>
        </w:rPr>
        <w:t>por</w:t>
      </w:r>
      <w:r w:rsidR="001A28B3" w:rsidRPr="00EA7870">
        <w:rPr>
          <w:bCs/>
          <w:iCs/>
          <w:sz w:val="20"/>
          <w:szCs w:val="20"/>
          <w:lang w:val="es-AR"/>
        </w:rPr>
        <w:t xml:space="preserve"> </w:t>
      </w:r>
      <w:r w:rsidRPr="00EA7870">
        <w:rPr>
          <w:bCs/>
          <w:iCs/>
          <w:sz w:val="20"/>
          <w:szCs w:val="20"/>
          <w:lang w:val="es-AR"/>
        </w:rPr>
        <w:t>ley,</w:t>
      </w:r>
      <w:r w:rsidR="001A28B3" w:rsidRPr="00EA7870">
        <w:rPr>
          <w:bCs/>
          <w:iCs/>
          <w:sz w:val="20"/>
          <w:szCs w:val="20"/>
          <w:lang w:val="es-AR"/>
        </w:rPr>
        <w:t xml:space="preserve"> </w:t>
      </w:r>
      <w:r w:rsidRPr="00EA7870">
        <w:rPr>
          <w:bCs/>
          <w:iCs/>
          <w:sz w:val="20"/>
          <w:szCs w:val="20"/>
          <w:lang w:val="es-AR"/>
        </w:rPr>
        <w:t>para</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cuales</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mantengan</w:t>
      </w:r>
      <w:r w:rsidR="001A28B3" w:rsidRPr="00EA7870">
        <w:rPr>
          <w:bCs/>
          <w:iCs/>
          <w:sz w:val="20"/>
          <w:szCs w:val="20"/>
          <w:lang w:val="es-AR"/>
        </w:rPr>
        <w:t xml:space="preserve"> </w:t>
      </w:r>
      <w:r w:rsidRPr="00EA7870">
        <w:rPr>
          <w:bCs/>
          <w:iCs/>
          <w:sz w:val="20"/>
          <w:szCs w:val="20"/>
          <w:lang w:val="es-AR"/>
        </w:rPr>
        <w:t>reservas</w:t>
      </w:r>
      <w:r w:rsidR="001A28B3" w:rsidRPr="00EA7870">
        <w:rPr>
          <w:bCs/>
          <w:iCs/>
          <w:sz w:val="20"/>
          <w:szCs w:val="20"/>
          <w:lang w:val="es-AR"/>
        </w:rPr>
        <w:t xml:space="preserve"> </w:t>
      </w:r>
      <w:r w:rsidRPr="00EA7870">
        <w:rPr>
          <w:bCs/>
          <w:iCs/>
          <w:sz w:val="20"/>
          <w:szCs w:val="20"/>
          <w:lang w:val="es-AR"/>
        </w:rPr>
        <w:t>suficientes</w:t>
      </w:r>
      <w:r w:rsidR="001A28B3" w:rsidRPr="00EA7870">
        <w:rPr>
          <w:bCs/>
          <w:iCs/>
          <w:sz w:val="20"/>
          <w:szCs w:val="20"/>
          <w:lang w:val="es-AR"/>
        </w:rPr>
        <w:t xml:space="preserve"> </w:t>
      </w:r>
      <w:r w:rsidRPr="00EA7870">
        <w:rPr>
          <w:bCs/>
          <w:iCs/>
          <w:sz w:val="20"/>
          <w:szCs w:val="20"/>
          <w:lang w:val="es-AR"/>
        </w:rPr>
        <w:t>bajo</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PCGA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Estados</w:t>
      </w:r>
      <w:r w:rsidR="001A28B3" w:rsidRPr="00EA7870">
        <w:rPr>
          <w:bCs/>
          <w:iCs/>
          <w:sz w:val="20"/>
          <w:szCs w:val="20"/>
          <w:lang w:val="es-AR"/>
        </w:rPr>
        <w:t xml:space="preserve"> </w:t>
      </w:r>
      <w:r w:rsidRPr="00EA7870">
        <w:rPr>
          <w:bCs/>
          <w:iCs/>
          <w:sz w:val="20"/>
          <w:szCs w:val="20"/>
          <w:lang w:val="es-AR"/>
        </w:rPr>
        <w:t>Unidos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conformidad</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las</w:t>
      </w:r>
      <w:r w:rsidR="001A28B3" w:rsidRPr="00EA7870">
        <w:rPr>
          <w:bCs/>
          <w:iCs/>
          <w:sz w:val="20"/>
          <w:szCs w:val="20"/>
          <w:lang w:val="es-AR"/>
        </w:rPr>
        <w:t xml:space="preserve"> </w:t>
      </w:r>
      <w:r w:rsidRPr="00EA7870">
        <w:rPr>
          <w:bCs/>
          <w:iCs/>
          <w:sz w:val="20"/>
          <w:szCs w:val="20"/>
          <w:lang w:val="es-AR"/>
        </w:rPr>
        <w:t>NIIF,</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medida</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sea</w:t>
      </w:r>
      <w:r w:rsidR="001A28B3" w:rsidRPr="00EA7870">
        <w:rPr>
          <w:bCs/>
          <w:iCs/>
          <w:sz w:val="20"/>
          <w:szCs w:val="20"/>
          <w:lang w:val="es-AR"/>
        </w:rPr>
        <w:t xml:space="preserve"> </w:t>
      </w:r>
      <w:r w:rsidRPr="00EA7870">
        <w:rPr>
          <w:bCs/>
          <w:iCs/>
          <w:sz w:val="20"/>
          <w:szCs w:val="20"/>
          <w:lang w:val="es-AR"/>
        </w:rPr>
        <w:t>requerido</w:t>
      </w:r>
      <w:r w:rsidR="001A28B3" w:rsidRPr="00EA7870">
        <w:rPr>
          <w:bCs/>
          <w:iCs/>
          <w:sz w:val="20"/>
          <w:szCs w:val="20"/>
          <w:lang w:val="es-AR"/>
        </w:rPr>
        <w:t xml:space="preserve"> </w:t>
      </w:r>
      <w:r w:rsidRPr="00EA7870">
        <w:rPr>
          <w:bCs/>
          <w:iCs/>
          <w:sz w:val="20"/>
          <w:szCs w:val="20"/>
          <w:lang w:val="es-AR"/>
        </w:rPr>
        <w:t>por</w:t>
      </w:r>
      <w:r w:rsidR="001A28B3" w:rsidRPr="00EA7870">
        <w:rPr>
          <w:bCs/>
          <w:iCs/>
          <w:sz w:val="20"/>
          <w:szCs w:val="20"/>
          <w:lang w:val="es-AR"/>
        </w:rPr>
        <w:t xml:space="preserve"> </w:t>
      </w:r>
      <w:r w:rsidRPr="00EA7870">
        <w:rPr>
          <w:bCs/>
          <w:iCs/>
          <w:sz w:val="20"/>
          <w:szCs w:val="20"/>
          <w:lang w:val="es-AR"/>
        </w:rPr>
        <w:t>ley;</w:t>
      </w:r>
      <w:bookmarkEnd w:id="126"/>
    </w:p>
    <w:p w14:paraId="10A29E44" w14:textId="77777777" w:rsidR="00B23607" w:rsidRPr="00EA7870" w:rsidRDefault="00B23607" w:rsidP="00B23607">
      <w:pPr>
        <w:ind w:firstLine="709"/>
        <w:jc w:val="both"/>
        <w:rPr>
          <w:bCs/>
          <w:iCs/>
          <w:sz w:val="20"/>
          <w:szCs w:val="20"/>
          <w:lang w:val="es-AR"/>
        </w:rPr>
      </w:pPr>
    </w:p>
    <w:p w14:paraId="499E6407" w14:textId="77777777" w:rsidR="00376725" w:rsidRPr="00EA7870" w:rsidRDefault="00376725" w:rsidP="00B23607">
      <w:pPr>
        <w:ind w:firstLine="709"/>
        <w:jc w:val="both"/>
        <w:rPr>
          <w:bCs/>
          <w:iCs/>
          <w:sz w:val="20"/>
          <w:szCs w:val="20"/>
          <w:lang w:val="es-AR"/>
        </w:rPr>
      </w:pPr>
      <w:bookmarkStart w:id="127" w:name="_Toc526498922"/>
      <w:r w:rsidRPr="00EA7870">
        <w:rPr>
          <w:bCs/>
          <w:iCs/>
          <w:sz w:val="20"/>
          <w:szCs w:val="20"/>
          <w:lang w:val="es-AR"/>
        </w:rPr>
        <w:t>6)</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bajo</w:t>
      </w:r>
      <w:r w:rsidR="001A28B3" w:rsidRPr="00EA7870">
        <w:rPr>
          <w:bCs/>
          <w:iCs/>
          <w:sz w:val="20"/>
          <w:szCs w:val="20"/>
          <w:lang w:val="es-AR"/>
        </w:rPr>
        <w:t xml:space="preserve"> </w:t>
      </w:r>
      <w:r w:rsidRPr="00EA7870">
        <w:rPr>
          <w:bCs/>
          <w:iCs/>
          <w:sz w:val="20"/>
          <w:szCs w:val="20"/>
          <w:lang w:val="es-AR"/>
        </w:rPr>
        <w:t>el</w:t>
      </w:r>
      <w:r w:rsidR="001A28B3" w:rsidRPr="00EA7870">
        <w:rPr>
          <w:bCs/>
          <w:iCs/>
          <w:sz w:val="20"/>
          <w:szCs w:val="20"/>
          <w:lang w:val="es-AR"/>
        </w:rPr>
        <w:t xml:space="preserve"> </w:t>
      </w:r>
      <w:r w:rsidRPr="00EA7870">
        <w:rPr>
          <w:bCs/>
          <w:iCs/>
          <w:sz w:val="20"/>
          <w:szCs w:val="20"/>
          <w:lang w:val="es-AR"/>
        </w:rPr>
        <w:t>régimen</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
          <w:iCs/>
          <w:sz w:val="20"/>
          <w:szCs w:val="20"/>
          <w:lang w:val="es-AR"/>
        </w:rPr>
        <w:t>common</w:t>
      </w:r>
      <w:r w:rsidR="001A28B3" w:rsidRPr="00EA7870">
        <w:rPr>
          <w:bCs/>
          <w:i/>
          <w:iCs/>
          <w:sz w:val="20"/>
          <w:szCs w:val="20"/>
          <w:lang w:val="es-AR"/>
        </w:rPr>
        <w:t xml:space="preserve"> </w:t>
      </w:r>
      <w:r w:rsidRPr="00EA7870">
        <w:rPr>
          <w:bCs/>
          <w:i/>
          <w:iCs/>
          <w:sz w:val="20"/>
          <w:szCs w:val="20"/>
          <w:lang w:val="es-AR"/>
        </w:rPr>
        <w:t>law</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
          <w:iCs/>
          <w:sz w:val="20"/>
          <w:szCs w:val="20"/>
          <w:lang w:val="es-AR"/>
        </w:rPr>
        <w:t>equity</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considere</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existen</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razón</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existencia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cualquier</w:t>
      </w:r>
      <w:r w:rsidR="001A28B3" w:rsidRPr="00EA7870">
        <w:rPr>
          <w:bCs/>
          <w:iCs/>
          <w:sz w:val="20"/>
          <w:szCs w:val="20"/>
          <w:lang w:val="es-AR"/>
        </w:rPr>
        <w:t xml:space="preserve"> </w:t>
      </w:r>
      <w:r w:rsidRPr="00EA7870">
        <w:rPr>
          <w:bCs/>
          <w:iCs/>
          <w:sz w:val="20"/>
          <w:szCs w:val="20"/>
          <w:lang w:val="es-AR"/>
        </w:rPr>
        <w:t>litigio</w:t>
      </w:r>
      <w:r w:rsidR="001A28B3" w:rsidRPr="00EA7870">
        <w:rPr>
          <w:bCs/>
          <w:iCs/>
          <w:sz w:val="20"/>
          <w:szCs w:val="20"/>
          <w:lang w:val="es-AR"/>
        </w:rPr>
        <w:t xml:space="preserve"> </w:t>
      </w:r>
      <w:r w:rsidRPr="00EA7870">
        <w:rPr>
          <w:bCs/>
          <w:iCs/>
          <w:sz w:val="20"/>
          <w:szCs w:val="20"/>
          <w:lang w:val="es-AR"/>
        </w:rPr>
        <w:t>u</w:t>
      </w:r>
      <w:r w:rsidR="001A28B3" w:rsidRPr="00EA7870">
        <w:rPr>
          <w:bCs/>
          <w:iCs/>
          <w:sz w:val="20"/>
          <w:szCs w:val="20"/>
          <w:lang w:val="es-AR"/>
        </w:rPr>
        <w:t xml:space="preserve"> </w:t>
      </w:r>
      <w:r w:rsidRPr="00EA7870">
        <w:rPr>
          <w:bCs/>
          <w:iCs/>
          <w:sz w:val="20"/>
          <w:szCs w:val="20"/>
          <w:lang w:val="es-AR"/>
        </w:rPr>
        <w:t>otro</w:t>
      </w:r>
      <w:r w:rsidR="001A28B3" w:rsidRPr="00EA7870">
        <w:rPr>
          <w:bCs/>
          <w:iCs/>
          <w:sz w:val="20"/>
          <w:szCs w:val="20"/>
          <w:lang w:val="es-AR"/>
        </w:rPr>
        <w:t xml:space="preserve"> </w:t>
      </w:r>
      <w:r w:rsidRPr="00EA7870">
        <w:rPr>
          <w:bCs/>
          <w:iCs/>
          <w:sz w:val="20"/>
          <w:szCs w:val="20"/>
          <w:lang w:val="es-AR"/>
        </w:rPr>
        <w:t>procedimiento</w:t>
      </w:r>
      <w:r w:rsidR="001A28B3" w:rsidRPr="00EA7870">
        <w:rPr>
          <w:bCs/>
          <w:iCs/>
          <w:sz w:val="20"/>
          <w:szCs w:val="20"/>
          <w:lang w:val="es-AR"/>
        </w:rPr>
        <w:t xml:space="preserve"> </w:t>
      </w:r>
      <w:r w:rsidRPr="00EA7870">
        <w:rPr>
          <w:bCs/>
          <w:iCs/>
          <w:sz w:val="20"/>
          <w:szCs w:val="20"/>
          <w:lang w:val="es-AR"/>
        </w:rPr>
        <w:t>legal</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surjan</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una</w:t>
      </w:r>
      <w:r w:rsidR="001A28B3" w:rsidRPr="00EA7870">
        <w:rPr>
          <w:bCs/>
          <w:iCs/>
          <w:sz w:val="20"/>
          <w:szCs w:val="20"/>
          <w:lang w:val="es-AR"/>
        </w:rPr>
        <w:t xml:space="preserve"> </w:t>
      </w:r>
      <w:r w:rsidRPr="00EA7870">
        <w:rPr>
          <w:bCs/>
          <w:iCs/>
          <w:sz w:val="20"/>
          <w:szCs w:val="20"/>
          <w:lang w:val="es-AR"/>
        </w:rPr>
        <w:t>sentencia</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laudo</w:t>
      </w:r>
      <w:r w:rsidR="001A28B3" w:rsidRPr="00EA7870">
        <w:rPr>
          <w:bCs/>
          <w:iCs/>
          <w:sz w:val="20"/>
          <w:szCs w:val="20"/>
          <w:lang w:val="es-AR"/>
        </w:rPr>
        <w:t xml:space="preserve"> </w:t>
      </w:r>
      <w:r w:rsidRPr="00EA7870">
        <w:rPr>
          <w:bCs/>
          <w:iCs/>
          <w:sz w:val="20"/>
          <w:szCs w:val="20"/>
          <w:lang w:val="es-AR"/>
        </w:rPr>
        <w:t>respecto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cuales</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esté</w:t>
      </w:r>
      <w:r w:rsidR="001A28B3" w:rsidRPr="00EA7870">
        <w:rPr>
          <w:bCs/>
          <w:iCs/>
          <w:sz w:val="20"/>
          <w:szCs w:val="20"/>
          <w:lang w:val="es-AR"/>
        </w:rPr>
        <w:t xml:space="preserve"> </w:t>
      </w:r>
      <w:r w:rsidRPr="00EA7870">
        <w:rPr>
          <w:bCs/>
          <w:iCs/>
          <w:sz w:val="20"/>
          <w:szCs w:val="20"/>
          <w:lang w:val="es-AR"/>
        </w:rPr>
        <w:t>llevando</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cabo</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lleve</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cabo</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el</w:t>
      </w:r>
      <w:r w:rsidR="001A28B3" w:rsidRPr="00EA7870">
        <w:rPr>
          <w:bCs/>
          <w:iCs/>
          <w:sz w:val="20"/>
          <w:szCs w:val="20"/>
          <w:lang w:val="es-AR"/>
        </w:rPr>
        <w:t xml:space="preserve"> </w:t>
      </w:r>
      <w:r w:rsidRPr="00EA7870">
        <w:rPr>
          <w:bCs/>
          <w:iCs/>
          <w:sz w:val="20"/>
          <w:szCs w:val="20"/>
          <w:lang w:val="es-AR"/>
        </w:rPr>
        <w:t>futuro</w:t>
      </w:r>
      <w:r w:rsidR="001A28B3" w:rsidRPr="00EA7870">
        <w:rPr>
          <w:bCs/>
          <w:iCs/>
          <w:sz w:val="20"/>
          <w:szCs w:val="20"/>
          <w:lang w:val="es-AR"/>
        </w:rPr>
        <w:t xml:space="preserve"> </w:t>
      </w:r>
      <w:r w:rsidRPr="00EA7870">
        <w:rPr>
          <w:bCs/>
          <w:iCs/>
          <w:sz w:val="20"/>
          <w:szCs w:val="20"/>
          <w:lang w:val="es-AR"/>
        </w:rPr>
        <w:t>una</w:t>
      </w:r>
      <w:r w:rsidR="001A28B3" w:rsidRPr="00EA7870">
        <w:rPr>
          <w:bCs/>
          <w:iCs/>
          <w:sz w:val="20"/>
          <w:szCs w:val="20"/>
          <w:lang w:val="es-AR"/>
        </w:rPr>
        <w:t xml:space="preserve"> </w:t>
      </w:r>
      <w:r w:rsidRPr="00EA7870">
        <w:rPr>
          <w:bCs/>
          <w:iCs/>
          <w:sz w:val="20"/>
          <w:szCs w:val="20"/>
          <w:lang w:val="es-AR"/>
        </w:rPr>
        <w:t>apelación</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forma</w:t>
      </w:r>
      <w:r w:rsidR="001A28B3" w:rsidRPr="00EA7870">
        <w:rPr>
          <w:bCs/>
          <w:iCs/>
          <w:sz w:val="20"/>
          <w:szCs w:val="20"/>
          <w:lang w:val="es-AR"/>
        </w:rPr>
        <w:t xml:space="preserve"> </w:t>
      </w:r>
      <w:r w:rsidRPr="00EA7870">
        <w:rPr>
          <w:bCs/>
          <w:iCs/>
          <w:sz w:val="20"/>
          <w:szCs w:val="20"/>
          <w:lang w:val="es-AR"/>
        </w:rPr>
        <w:t>oportuna</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diligente</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buena</w:t>
      </w:r>
      <w:r w:rsidR="001A28B3" w:rsidRPr="00EA7870">
        <w:rPr>
          <w:bCs/>
          <w:iCs/>
          <w:sz w:val="20"/>
          <w:szCs w:val="20"/>
          <w:lang w:val="es-AR"/>
        </w:rPr>
        <w:t xml:space="preserve"> </w:t>
      </w:r>
      <w:r w:rsidRPr="00EA7870">
        <w:rPr>
          <w:bCs/>
          <w:iCs/>
          <w:sz w:val="20"/>
          <w:szCs w:val="20"/>
          <w:lang w:val="es-AR"/>
        </w:rPr>
        <w:t>fe</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para</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cuales</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mantienen</w:t>
      </w:r>
      <w:r w:rsidR="001A28B3" w:rsidRPr="00EA7870">
        <w:rPr>
          <w:bCs/>
          <w:iCs/>
          <w:sz w:val="20"/>
          <w:szCs w:val="20"/>
          <w:lang w:val="es-AR"/>
        </w:rPr>
        <w:t xml:space="preserve"> </w:t>
      </w:r>
      <w:r w:rsidRPr="00EA7870">
        <w:rPr>
          <w:bCs/>
          <w:iCs/>
          <w:sz w:val="20"/>
          <w:szCs w:val="20"/>
          <w:lang w:val="es-AR"/>
        </w:rPr>
        <w:t>reservas</w:t>
      </w:r>
      <w:r w:rsidR="001A28B3" w:rsidRPr="00EA7870">
        <w:rPr>
          <w:bCs/>
          <w:iCs/>
          <w:sz w:val="20"/>
          <w:szCs w:val="20"/>
          <w:lang w:val="es-AR"/>
        </w:rPr>
        <w:t xml:space="preserve"> </w:t>
      </w:r>
      <w:r w:rsidRPr="00EA7870">
        <w:rPr>
          <w:bCs/>
          <w:iCs/>
          <w:sz w:val="20"/>
          <w:szCs w:val="20"/>
          <w:lang w:val="es-AR"/>
        </w:rPr>
        <w:t>suficientes</w:t>
      </w:r>
      <w:r w:rsidR="001A28B3" w:rsidRPr="00EA7870">
        <w:rPr>
          <w:bCs/>
          <w:iCs/>
          <w:sz w:val="20"/>
          <w:szCs w:val="20"/>
          <w:lang w:val="es-AR"/>
        </w:rPr>
        <w:t xml:space="preserve"> </w:t>
      </w:r>
      <w:r w:rsidRPr="00EA7870">
        <w:rPr>
          <w:bCs/>
          <w:iCs/>
          <w:sz w:val="20"/>
          <w:szCs w:val="20"/>
          <w:lang w:val="es-AR"/>
        </w:rPr>
        <w:t>bajo</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PCGA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Estados</w:t>
      </w:r>
      <w:r w:rsidR="001A28B3" w:rsidRPr="00EA7870">
        <w:rPr>
          <w:bCs/>
          <w:iCs/>
          <w:sz w:val="20"/>
          <w:szCs w:val="20"/>
          <w:lang w:val="es-AR"/>
        </w:rPr>
        <w:t xml:space="preserve"> </w:t>
      </w:r>
      <w:r w:rsidRPr="00EA7870">
        <w:rPr>
          <w:bCs/>
          <w:iCs/>
          <w:sz w:val="20"/>
          <w:szCs w:val="20"/>
          <w:lang w:val="es-AR"/>
        </w:rPr>
        <w:t>Unidos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conformidad</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las</w:t>
      </w:r>
      <w:r w:rsidR="001A28B3" w:rsidRPr="00EA7870">
        <w:rPr>
          <w:bCs/>
          <w:iCs/>
          <w:sz w:val="20"/>
          <w:szCs w:val="20"/>
          <w:lang w:val="es-AR"/>
        </w:rPr>
        <w:t xml:space="preserve"> </w:t>
      </w:r>
      <w:r w:rsidRPr="00EA7870">
        <w:rPr>
          <w:bCs/>
          <w:iCs/>
          <w:sz w:val="20"/>
          <w:szCs w:val="20"/>
          <w:lang w:val="es-AR"/>
        </w:rPr>
        <w:t>NIIF;</w:t>
      </w:r>
      <w:bookmarkEnd w:id="127"/>
    </w:p>
    <w:p w14:paraId="5C704BC4" w14:textId="77777777" w:rsidR="00B23607" w:rsidRPr="00EA7870" w:rsidRDefault="00B23607" w:rsidP="00B23607">
      <w:pPr>
        <w:ind w:firstLine="709"/>
        <w:jc w:val="both"/>
        <w:rPr>
          <w:bCs/>
          <w:iCs/>
          <w:sz w:val="20"/>
          <w:szCs w:val="20"/>
          <w:lang w:val="es-AR"/>
        </w:rPr>
      </w:pPr>
    </w:p>
    <w:p w14:paraId="5B177545" w14:textId="77777777" w:rsidR="00376725" w:rsidRPr="00EA7870" w:rsidRDefault="00376725" w:rsidP="00B23607">
      <w:pPr>
        <w:ind w:firstLine="709"/>
        <w:jc w:val="both"/>
        <w:rPr>
          <w:bCs/>
          <w:iCs/>
          <w:sz w:val="20"/>
          <w:szCs w:val="20"/>
          <w:lang w:val="es-AR"/>
        </w:rPr>
      </w:pPr>
      <w:bookmarkStart w:id="128" w:name="_Toc526498923"/>
      <w:r w:rsidRPr="00EA7870">
        <w:rPr>
          <w:bCs/>
          <w:iCs/>
          <w:sz w:val="20"/>
          <w:szCs w:val="20"/>
          <w:lang w:val="es-AR"/>
        </w:rPr>
        <w:t>7)</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relacionados</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derechos</w:t>
      </w:r>
      <w:r w:rsidR="001A28B3" w:rsidRPr="00EA7870">
        <w:rPr>
          <w:bCs/>
          <w:iCs/>
          <w:sz w:val="20"/>
          <w:szCs w:val="20"/>
          <w:lang w:val="es-AR"/>
        </w:rPr>
        <w:t xml:space="preserve"> </w:t>
      </w:r>
      <w:r w:rsidRPr="00EA7870">
        <w:rPr>
          <w:bCs/>
          <w:iCs/>
          <w:sz w:val="20"/>
          <w:szCs w:val="20"/>
          <w:lang w:val="es-AR"/>
        </w:rPr>
        <w:t>reservados</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conferidos</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cualquier</w:t>
      </w:r>
      <w:r w:rsidR="001A28B3" w:rsidRPr="00EA7870">
        <w:rPr>
          <w:bCs/>
          <w:iCs/>
          <w:sz w:val="20"/>
          <w:szCs w:val="20"/>
          <w:lang w:val="es-AR"/>
        </w:rPr>
        <w:t xml:space="preserve"> </w:t>
      </w:r>
      <w:r w:rsidRPr="00EA7870">
        <w:rPr>
          <w:bCs/>
          <w:iCs/>
          <w:sz w:val="20"/>
          <w:szCs w:val="20"/>
          <w:lang w:val="es-AR"/>
        </w:rPr>
        <w:t>entidad</w:t>
      </w:r>
      <w:r w:rsidR="001A28B3" w:rsidRPr="00EA7870">
        <w:rPr>
          <w:bCs/>
          <w:iCs/>
          <w:sz w:val="20"/>
          <w:szCs w:val="20"/>
          <w:lang w:val="es-AR"/>
        </w:rPr>
        <w:t xml:space="preserve"> </w:t>
      </w:r>
      <w:r w:rsidRPr="00EA7870">
        <w:rPr>
          <w:bCs/>
          <w:iCs/>
          <w:sz w:val="20"/>
          <w:szCs w:val="20"/>
          <w:lang w:val="es-AR"/>
        </w:rPr>
        <w:t>gubernamental</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relación</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cualquier</w:t>
      </w:r>
      <w:r w:rsidR="001A28B3" w:rsidRPr="00EA7870">
        <w:rPr>
          <w:bCs/>
          <w:iCs/>
          <w:sz w:val="20"/>
          <w:szCs w:val="20"/>
          <w:lang w:val="es-AR"/>
        </w:rPr>
        <w:t xml:space="preserve"> </w:t>
      </w:r>
      <w:r w:rsidRPr="00EA7870">
        <w:rPr>
          <w:bCs/>
          <w:iCs/>
          <w:sz w:val="20"/>
          <w:szCs w:val="20"/>
          <w:lang w:val="es-AR"/>
        </w:rPr>
        <w:t>Bien</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Emisora</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Garante</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cualquier</w:t>
      </w:r>
      <w:r w:rsidR="001A28B3" w:rsidRPr="00EA7870">
        <w:rPr>
          <w:bCs/>
          <w:iCs/>
          <w:sz w:val="20"/>
          <w:szCs w:val="20"/>
          <w:lang w:val="es-AR"/>
        </w:rPr>
        <w:t xml:space="preserve"> </w:t>
      </w:r>
      <w:r w:rsidRPr="00EA7870">
        <w:rPr>
          <w:bCs/>
          <w:iCs/>
          <w:sz w:val="20"/>
          <w:szCs w:val="20"/>
          <w:lang w:val="es-AR"/>
        </w:rPr>
        <w:t>Subsidiaria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Garante;</w:t>
      </w:r>
      <w:bookmarkEnd w:id="128"/>
    </w:p>
    <w:p w14:paraId="2DFAB474" w14:textId="77777777" w:rsidR="00B23607" w:rsidRPr="00EA7870" w:rsidRDefault="00B23607" w:rsidP="00B23607">
      <w:pPr>
        <w:ind w:firstLine="709"/>
        <w:jc w:val="both"/>
        <w:rPr>
          <w:bCs/>
          <w:iCs/>
          <w:sz w:val="20"/>
          <w:szCs w:val="20"/>
          <w:lang w:val="es-AR"/>
        </w:rPr>
      </w:pPr>
    </w:p>
    <w:p w14:paraId="05E99E8F" w14:textId="77777777" w:rsidR="00376725" w:rsidRPr="00EA7870" w:rsidRDefault="00376725" w:rsidP="00B23607">
      <w:pPr>
        <w:ind w:firstLine="709"/>
        <w:jc w:val="both"/>
        <w:rPr>
          <w:bCs/>
          <w:iCs/>
          <w:sz w:val="20"/>
          <w:szCs w:val="20"/>
          <w:lang w:val="es-AR"/>
        </w:rPr>
      </w:pPr>
      <w:bookmarkStart w:id="129" w:name="_Toc526498924"/>
      <w:r w:rsidRPr="00EA7870">
        <w:rPr>
          <w:bCs/>
          <w:iCs/>
          <w:sz w:val="20"/>
          <w:szCs w:val="20"/>
          <w:lang w:val="es-AR"/>
        </w:rPr>
        <w:t>8)</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por</w:t>
      </w:r>
      <w:r w:rsidR="001A28B3" w:rsidRPr="00EA7870">
        <w:rPr>
          <w:bCs/>
          <w:iCs/>
          <w:sz w:val="20"/>
          <w:szCs w:val="20"/>
          <w:lang w:val="es-AR"/>
        </w:rPr>
        <w:t xml:space="preserve"> </w:t>
      </w:r>
      <w:r w:rsidRPr="00EA7870">
        <w:rPr>
          <w:bCs/>
          <w:iCs/>
          <w:sz w:val="20"/>
          <w:szCs w:val="20"/>
          <w:lang w:val="es-AR"/>
        </w:rPr>
        <w:t>impuestos,</w:t>
      </w:r>
      <w:r w:rsidR="001A28B3" w:rsidRPr="00EA7870">
        <w:rPr>
          <w:bCs/>
          <w:iCs/>
          <w:sz w:val="20"/>
          <w:szCs w:val="20"/>
          <w:lang w:val="es-AR"/>
        </w:rPr>
        <w:t xml:space="preserve"> </w:t>
      </w:r>
      <w:r w:rsidRPr="00EA7870">
        <w:rPr>
          <w:bCs/>
          <w:iCs/>
          <w:sz w:val="20"/>
          <w:szCs w:val="20"/>
          <w:lang w:val="es-AR"/>
        </w:rPr>
        <w:t>cargas</w:t>
      </w:r>
      <w:r w:rsidR="001A28B3" w:rsidRPr="00EA7870">
        <w:rPr>
          <w:bCs/>
          <w:iCs/>
          <w:sz w:val="20"/>
          <w:szCs w:val="20"/>
          <w:lang w:val="es-AR"/>
        </w:rPr>
        <w:t xml:space="preserve"> </w:t>
      </w:r>
      <w:r w:rsidRPr="00EA7870">
        <w:rPr>
          <w:bCs/>
          <w:iCs/>
          <w:sz w:val="20"/>
          <w:szCs w:val="20"/>
          <w:lang w:val="es-AR"/>
        </w:rPr>
        <w:t>u</w:t>
      </w:r>
      <w:r w:rsidR="001A28B3" w:rsidRPr="00EA7870">
        <w:rPr>
          <w:bCs/>
          <w:iCs/>
          <w:sz w:val="20"/>
          <w:szCs w:val="20"/>
          <w:lang w:val="es-AR"/>
        </w:rPr>
        <w:t xml:space="preserve"> </w:t>
      </w:r>
      <w:r w:rsidRPr="00EA7870">
        <w:rPr>
          <w:bCs/>
          <w:iCs/>
          <w:sz w:val="20"/>
          <w:szCs w:val="20"/>
          <w:lang w:val="es-AR"/>
        </w:rPr>
        <w:t>otras</w:t>
      </w:r>
      <w:r w:rsidR="001A28B3" w:rsidRPr="00EA7870">
        <w:rPr>
          <w:bCs/>
          <w:iCs/>
          <w:sz w:val="20"/>
          <w:szCs w:val="20"/>
          <w:lang w:val="es-AR"/>
        </w:rPr>
        <w:t xml:space="preserve"> </w:t>
      </w:r>
      <w:r w:rsidRPr="00EA7870">
        <w:rPr>
          <w:bCs/>
          <w:iCs/>
          <w:sz w:val="20"/>
          <w:szCs w:val="20"/>
          <w:lang w:val="es-AR"/>
        </w:rPr>
        <w:t>cargas</w:t>
      </w:r>
      <w:r w:rsidR="001A28B3" w:rsidRPr="00EA7870">
        <w:rPr>
          <w:bCs/>
          <w:iCs/>
          <w:sz w:val="20"/>
          <w:szCs w:val="20"/>
          <w:lang w:val="es-AR"/>
        </w:rPr>
        <w:t xml:space="preserve"> </w:t>
      </w:r>
      <w:r w:rsidRPr="00EA7870">
        <w:rPr>
          <w:bCs/>
          <w:iCs/>
          <w:sz w:val="20"/>
          <w:szCs w:val="20"/>
          <w:lang w:val="es-AR"/>
        </w:rPr>
        <w:t>gubernamentales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imposiciones</w:t>
      </w:r>
      <w:r w:rsidR="001A28B3" w:rsidRPr="00EA7870">
        <w:rPr>
          <w:bCs/>
          <w:iCs/>
          <w:sz w:val="20"/>
          <w:szCs w:val="20"/>
          <w:lang w:val="es-AR"/>
        </w:rPr>
        <w:t xml:space="preserve"> </w:t>
      </w:r>
      <w:r w:rsidRPr="00EA7870">
        <w:rPr>
          <w:bCs/>
          <w:iCs/>
          <w:sz w:val="20"/>
          <w:szCs w:val="20"/>
          <w:lang w:val="es-AR"/>
        </w:rPr>
        <w:t>no</w:t>
      </w:r>
      <w:r w:rsidR="001A28B3" w:rsidRPr="00EA7870">
        <w:rPr>
          <w:bCs/>
          <w:iCs/>
          <w:sz w:val="20"/>
          <w:szCs w:val="20"/>
          <w:lang w:val="es-AR"/>
        </w:rPr>
        <w:t xml:space="preserve"> </w:t>
      </w:r>
      <w:r w:rsidRPr="00EA7870">
        <w:rPr>
          <w:bCs/>
          <w:iCs/>
          <w:sz w:val="20"/>
          <w:szCs w:val="20"/>
          <w:lang w:val="es-AR"/>
        </w:rPr>
        <w:t>sujetas</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penalidad</w:t>
      </w:r>
      <w:r w:rsidR="001A28B3" w:rsidRPr="00EA7870">
        <w:rPr>
          <w:bCs/>
          <w:iCs/>
          <w:sz w:val="20"/>
          <w:szCs w:val="20"/>
          <w:lang w:val="es-AR"/>
        </w:rPr>
        <w:t xml:space="preserve"> </w:t>
      </w:r>
      <w:r w:rsidRPr="00EA7870">
        <w:rPr>
          <w:bCs/>
          <w:iCs/>
          <w:sz w:val="20"/>
          <w:szCs w:val="20"/>
          <w:lang w:val="es-AR"/>
        </w:rPr>
        <w:t>por</w:t>
      </w:r>
      <w:r w:rsidR="001A28B3" w:rsidRPr="00EA7870">
        <w:rPr>
          <w:bCs/>
          <w:iCs/>
          <w:sz w:val="20"/>
          <w:szCs w:val="20"/>
          <w:lang w:val="es-AR"/>
        </w:rPr>
        <w:t xml:space="preserve"> </w:t>
      </w:r>
      <w:r w:rsidRPr="00EA7870">
        <w:rPr>
          <w:bCs/>
          <w:iCs/>
          <w:sz w:val="20"/>
          <w:szCs w:val="20"/>
          <w:lang w:val="es-AR"/>
        </w:rPr>
        <w:t>falta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pago</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estén</w:t>
      </w:r>
      <w:r w:rsidR="001A28B3" w:rsidRPr="00EA7870">
        <w:rPr>
          <w:bCs/>
          <w:iCs/>
          <w:sz w:val="20"/>
          <w:szCs w:val="20"/>
          <w:lang w:val="es-AR"/>
        </w:rPr>
        <w:t xml:space="preserve"> </w:t>
      </w:r>
      <w:r w:rsidRPr="00EA7870">
        <w:rPr>
          <w:bCs/>
          <w:iCs/>
          <w:sz w:val="20"/>
          <w:szCs w:val="20"/>
          <w:lang w:val="es-AR"/>
        </w:rPr>
        <w:t>disputando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buena</w:t>
      </w:r>
      <w:r w:rsidR="001A28B3" w:rsidRPr="00EA7870">
        <w:rPr>
          <w:bCs/>
          <w:iCs/>
          <w:sz w:val="20"/>
          <w:szCs w:val="20"/>
          <w:lang w:val="es-AR"/>
        </w:rPr>
        <w:t xml:space="preserve"> </w:t>
      </w:r>
      <w:r w:rsidRPr="00EA7870">
        <w:rPr>
          <w:bCs/>
          <w:iCs/>
          <w:sz w:val="20"/>
          <w:szCs w:val="20"/>
          <w:lang w:val="es-AR"/>
        </w:rPr>
        <w:t>fe</w:t>
      </w:r>
      <w:r w:rsidR="001A28B3" w:rsidRPr="00EA7870">
        <w:rPr>
          <w:bCs/>
          <w:iCs/>
          <w:sz w:val="20"/>
          <w:szCs w:val="20"/>
          <w:lang w:val="es-AR"/>
        </w:rPr>
        <w:t xml:space="preserve"> </w:t>
      </w:r>
      <w:r w:rsidRPr="00EA7870">
        <w:rPr>
          <w:bCs/>
          <w:iCs/>
          <w:sz w:val="20"/>
          <w:szCs w:val="20"/>
          <w:lang w:val="es-AR"/>
        </w:rPr>
        <w:t>mediante</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procedimientos</w:t>
      </w:r>
      <w:r w:rsidR="001A28B3" w:rsidRPr="00EA7870">
        <w:rPr>
          <w:bCs/>
          <w:iCs/>
          <w:sz w:val="20"/>
          <w:szCs w:val="20"/>
          <w:lang w:val="es-AR"/>
        </w:rPr>
        <w:t xml:space="preserve"> </w:t>
      </w:r>
      <w:r w:rsidRPr="00EA7870">
        <w:rPr>
          <w:bCs/>
          <w:iCs/>
          <w:sz w:val="20"/>
          <w:szCs w:val="20"/>
          <w:lang w:val="es-AR"/>
        </w:rPr>
        <w:t>correspondientes</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para</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cuales</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mantengan</w:t>
      </w:r>
      <w:r w:rsidR="001A28B3" w:rsidRPr="00EA7870">
        <w:rPr>
          <w:bCs/>
          <w:iCs/>
          <w:sz w:val="20"/>
          <w:szCs w:val="20"/>
          <w:lang w:val="es-AR"/>
        </w:rPr>
        <w:t xml:space="preserve"> </w:t>
      </w:r>
      <w:r w:rsidRPr="00EA7870">
        <w:rPr>
          <w:bCs/>
          <w:iCs/>
          <w:sz w:val="20"/>
          <w:szCs w:val="20"/>
          <w:lang w:val="es-AR"/>
        </w:rPr>
        <w:t>reservas</w:t>
      </w:r>
      <w:r w:rsidR="001A28B3" w:rsidRPr="00EA7870">
        <w:rPr>
          <w:bCs/>
          <w:iCs/>
          <w:sz w:val="20"/>
          <w:szCs w:val="20"/>
          <w:lang w:val="es-AR"/>
        </w:rPr>
        <w:t xml:space="preserve"> </w:t>
      </w:r>
      <w:r w:rsidRPr="00EA7870">
        <w:rPr>
          <w:bCs/>
          <w:iCs/>
          <w:sz w:val="20"/>
          <w:szCs w:val="20"/>
          <w:lang w:val="es-AR"/>
        </w:rPr>
        <w:t>suficientes</w:t>
      </w:r>
      <w:r w:rsidR="001A28B3" w:rsidRPr="00EA7870">
        <w:rPr>
          <w:bCs/>
          <w:iCs/>
          <w:sz w:val="20"/>
          <w:szCs w:val="20"/>
          <w:lang w:val="es-AR"/>
        </w:rPr>
        <w:t xml:space="preserve"> </w:t>
      </w:r>
      <w:r w:rsidRPr="00EA7870">
        <w:rPr>
          <w:bCs/>
          <w:iCs/>
          <w:sz w:val="20"/>
          <w:szCs w:val="20"/>
          <w:lang w:val="es-AR"/>
        </w:rPr>
        <w:t>conforme</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PCGA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Estados</w:t>
      </w:r>
      <w:r w:rsidR="001A28B3" w:rsidRPr="00EA7870">
        <w:rPr>
          <w:bCs/>
          <w:iCs/>
          <w:sz w:val="20"/>
          <w:szCs w:val="20"/>
          <w:lang w:val="es-AR"/>
        </w:rPr>
        <w:t xml:space="preserve"> </w:t>
      </w:r>
      <w:r w:rsidRPr="00EA7870">
        <w:rPr>
          <w:bCs/>
          <w:iCs/>
          <w:sz w:val="20"/>
          <w:szCs w:val="20"/>
          <w:lang w:val="es-AR"/>
        </w:rPr>
        <w:t>Unidos</w:t>
      </w:r>
      <w:r w:rsidR="001A28B3" w:rsidRPr="00EA7870">
        <w:rPr>
          <w:bCs/>
          <w:iCs/>
          <w:sz w:val="20"/>
          <w:szCs w:val="20"/>
          <w:lang w:val="es-AR"/>
        </w:rPr>
        <w:t xml:space="preserve"> </w:t>
      </w:r>
      <w:r w:rsidRPr="00EA7870">
        <w:rPr>
          <w:bCs/>
          <w:iCs/>
          <w:sz w:val="20"/>
          <w:szCs w:val="20"/>
          <w:lang w:val="es-AR"/>
        </w:rPr>
        <w:t>o</w:t>
      </w:r>
      <w:r w:rsidR="0071606F" w:rsidRPr="00EA7870">
        <w:rPr>
          <w:bCs/>
          <w:iCs/>
          <w:sz w:val="20"/>
          <w:szCs w:val="20"/>
          <w:lang w:val="es-AR"/>
        </w:rPr>
        <w:t>,</w:t>
      </w:r>
      <w:r w:rsidR="001A28B3" w:rsidRPr="00EA7870">
        <w:rPr>
          <w:bCs/>
          <w:iCs/>
          <w:sz w:val="20"/>
          <w:szCs w:val="20"/>
          <w:lang w:val="es-AR"/>
        </w:rPr>
        <w:t xml:space="preserve"> </w:t>
      </w:r>
      <w:r w:rsidR="0071606F" w:rsidRPr="00EA7870">
        <w:rPr>
          <w:bCs/>
          <w:iCs/>
          <w:sz w:val="20"/>
          <w:szCs w:val="20"/>
          <w:lang w:val="es-AR"/>
        </w:rPr>
        <w:t>de</w:t>
      </w:r>
      <w:r w:rsidR="001A28B3" w:rsidRPr="00EA7870">
        <w:rPr>
          <w:bCs/>
          <w:iCs/>
          <w:sz w:val="20"/>
          <w:szCs w:val="20"/>
          <w:lang w:val="es-AR"/>
        </w:rPr>
        <w:t xml:space="preserve"> </w:t>
      </w:r>
      <w:r w:rsidR="0071606F" w:rsidRPr="00EA7870">
        <w:rPr>
          <w:bCs/>
          <w:iCs/>
          <w:sz w:val="20"/>
          <w:szCs w:val="20"/>
          <w:lang w:val="es-AR"/>
        </w:rPr>
        <w:t>acuerdo</w:t>
      </w:r>
      <w:r w:rsidR="001A28B3" w:rsidRPr="00EA7870">
        <w:rPr>
          <w:bCs/>
          <w:iCs/>
          <w:sz w:val="20"/>
          <w:szCs w:val="20"/>
          <w:lang w:val="es-AR"/>
        </w:rPr>
        <w:t xml:space="preserve"> </w:t>
      </w:r>
      <w:r w:rsidR="0071606F" w:rsidRPr="00EA7870">
        <w:rPr>
          <w:bCs/>
          <w:iCs/>
          <w:sz w:val="20"/>
          <w:szCs w:val="20"/>
          <w:lang w:val="es-AR"/>
        </w:rPr>
        <w:t>los</w:t>
      </w:r>
      <w:r w:rsidR="001A28B3" w:rsidRPr="00EA7870">
        <w:rPr>
          <w:bCs/>
          <w:iCs/>
          <w:sz w:val="20"/>
          <w:szCs w:val="20"/>
          <w:lang w:val="es-AR"/>
        </w:rPr>
        <w:t xml:space="preserve"> </w:t>
      </w:r>
      <w:r w:rsidR="0071606F" w:rsidRPr="00EA7870">
        <w:rPr>
          <w:bCs/>
          <w:iCs/>
          <w:sz w:val="20"/>
          <w:szCs w:val="20"/>
          <w:lang w:val="es-AR"/>
        </w:rPr>
        <w:t>PCGA</w:t>
      </w:r>
      <w:r w:rsidRPr="00EA7870">
        <w:rPr>
          <w:bCs/>
          <w:iCs/>
          <w:sz w:val="20"/>
          <w:szCs w:val="20"/>
          <w:lang w:val="es-AR"/>
        </w:rPr>
        <w:t>,</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medida</w:t>
      </w:r>
      <w:r w:rsidR="001A28B3" w:rsidRPr="00EA7870">
        <w:rPr>
          <w:bCs/>
          <w:iCs/>
          <w:sz w:val="20"/>
          <w:szCs w:val="20"/>
          <w:lang w:val="es-AR"/>
        </w:rPr>
        <w:t xml:space="preserve"> </w:t>
      </w:r>
      <w:r w:rsidRPr="00EA7870">
        <w:rPr>
          <w:bCs/>
          <w:iCs/>
          <w:sz w:val="20"/>
          <w:szCs w:val="20"/>
          <w:lang w:val="es-AR"/>
        </w:rPr>
        <w:t>requerida</w:t>
      </w:r>
      <w:r w:rsidR="001A28B3" w:rsidRPr="00EA7870">
        <w:rPr>
          <w:bCs/>
          <w:iCs/>
          <w:sz w:val="20"/>
          <w:szCs w:val="20"/>
          <w:lang w:val="es-AR"/>
        </w:rPr>
        <w:t xml:space="preserve"> </w:t>
      </w:r>
      <w:r w:rsidRPr="00EA7870">
        <w:rPr>
          <w:bCs/>
          <w:iCs/>
          <w:sz w:val="20"/>
          <w:szCs w:val="20"/>
          <w:lang w:val="es-AR"/>
        </w:rPr>
        <w:t>por</w:t>
      </w:r>
      <w:r w:rsidR="001A28B3" w:rsidRPr="00EA7870">
        <w:rPr>
          <w:bCs/>
          <w:iCs/>
          <w:sz w:val="20"/>
          <w:szCs w:val="20"/>
          <w:lang w:val="es-AR"/>
        </w:rPr>
        <w:t xml:space="preserve"> </w:t>
      </w:r>
      <w:r w:rsidRPr="00EA7870">
        <w:rPr>
          <w:bCs/>
          <w:iCs/>
          <w:sz w:val="20"/>
          <w:szCs w:val="20"/>
          <w:lang w:val="es-AR"/>
        </w:rPr>
        <w:t>éstos;</w:t>
      </w:r>
      <w:bookmarkEnd w:id="129"/>
    </w:p>
    <w:p w14:paraId="6E74944F" w14:textId="77777777" w:rsidR="00B23607" w:rsidRPr="00EA7870" w:rsidRDefault="00B23607" w:rsidP="00B23607">
      <w:pPr>
        <w:ind w:firstLine="709"/>
        <w:jc w:val="both"/>
        <w:rPr>
          <w:bCs/>
          <w:iCs/>
          <w:sz w:val="20"/>
          <w:szCs w:val="20"/>
          <w:lang w:val="es-AR"/>
        </w:rPr>
      </w:pPr>
    </w:p>
    <w:p w14:paraId="096A9C07" w14:textId="77777777" w:rsidR="00376725" w:rsidRPr="00EA7870" w:rsidRDefault="00376725" w:rsidP="00B23607">
      <w:pPr>
        <w:ind w:firstLine="709"/>
        <w:jc w:val="both"/>
        <w:rPr>
          <w:bCs/>
          <w:iCs/>
          <w:sz w:val="20"/>
          <w:szCs w:val="20"/>
          <w:lang w:val="es-AR"/>
        </w:rPr>
      </w:pPr>
      <w:bookmarkStart w:id="130" w:name="_Toc526498925"/>
      <w:r w:rsidRPr="00EA7870">
        <w:rPr>
          <w:bCs/>
          <w:iCs/>
          <w:sz w:val="20"/>
          <w:szCs w:val="20"/>
          <w:lang w:val="es-AR"/>
        </w:rPr>
        <w:t>9)</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sobre</w:t>
      </w:r>
      <w:r w:rsidR="001A28B3" w:rsidRPr="00EA7870">
        <w:rPr>
          <w:bCs/>
          <w:iCs/>
          <w:sz w:val="20"/>
          <w:szCs w:val="20"/>
          <w:lang w:val="es-AR"/>
        </w:rPr>
        <w:t xml:space="preserve"> </w:t>
      </w:r>
      <w:r w:rsidRPr="00EA7870">
        <w:rPr>
          <w:bCs/>
          <w:iCs/>
          <w:sz w:val="20"/>
          <w:szCs w:val="20"/>
          <w:lang w:val="es-AR"/>
        </w:rPr>
        <w:t>Bienes</w:t>
      </w:r>
      <w:r w:rsidR="001A28B3" w:rsidRPr="00EA7870">
        <w:rPr>
          <w:bCs/>
          <w:iCs/>
          <w:sz w:val="20"/>
          <w:szCs w:val="20"/>
          <w:lang w:val="es-AR"/>
        </w:rPr>
        <w:t xml:space="preserve"> </w:t>
      </w:r>
      <w:r w:rsidRPr="00EA7870">
        <w:rPr>
          <w:bCs/>
          <w:iCs/>
          <w:sz w:val="20"/>
          <w:szCs w:val="20"/>
          <w:lang w:val="es-AR"/>
        </w:rPr>
        <w:t>adquiridos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una</w:t>
      </w:r>
      <w:r w:rsidR="001A28B3" w:rsidRPr="00EA7870">
        <w:rPr>
          <w:bCs/>
          <w:iCs/>
          <w:sz w:val="20"/>
          <w:szCs w:val="20"/>
          <w:lang w:val="es-AR"/>
        </w:rPr>
        <w:t xml:space="preserve"> </w:t>
      </w:r>
      <w:r w:rsidRPr="00EA7870">
        <w:rPr>
          <w:bCs/>
          <w:iCs/>
          <w:sz w:val="20"/>
          <w:szCs w:val="20"/>
          <w:lang w:val="es-AR"/>
        </w:rPr>
        <w:t>Persona</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fusiona</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Emisora,</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Garante</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una</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más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las</w:t>
      </w:r>
      <w:r w:rsidR="001A28B3" w:rsidRPr="00EA7870">
        <w:rPr>
          <w:bCs/>
          <w:iCs/>
          <w:sz w:val="20"/>
          <w:szCs w:val="20"/>
          <w:lang w:val="es-AR"/>
        </w:rPr>
        <w:t xml:space="preserve"> </w:t>
      </w:r>
      <w:r w:rsidRPr="00EA7870">
        <w:rPr>
          <w:bCs/>
          <w:iCs/>
          <w:sz w:val="20"/>
          <w:szCs w:val="20"/>
          <w:lang w:val="es-AR"/>
        </w:rPr>
        <w:t>Subsidiarias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Garante,</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cualquier</w:t>
      </w:r>
      <w:r w:rsidR="001A28B3" w:rsidRPr="00EA7870">
        <w:rPr>
          <w:bCs/>
          <w:iCs/>
          <w:sz w:val="20"/>
          <w:szCs w:val="20"/>
          <w:lang w:val="es-AR"/>
        </w:rPr>
        <w:t xml:space="preserve"> </w:t>
      </w:r>
      <w:r w:rsidRPr="00EA7870">
        <w:rPr>
          <w:bCs/>
          <w:iCs/>
          <w:sz w:val="20"/>
          <w:szCs w:val="20"/>
          <w:lang w:val="es-AR"/>
        </w:rPr>
        <w:t>Gravamen</w:t>
      </w:r>
      <w:r w:rsidR="001A28B3" w:rsidRPr="00EA7870">
        <w:rPr>
          <w:bCs/>
          <w:iCs/>
          <w:sz w:val="20"/>
          <w:szCs w:val="20"/>
          <w:lang w:val="es-AR"/>
        </w:rPr>
        <w:t xml:space="preserve"> </w:t>
      </w:r>
      <w:r w:rsidRPr="00EA7870">
        <w:rPr>
          <w:bCs/>
          <w:iCs/>
          <w:sz w:val="20"/>
          <w:szCs w:val="20"/>
          <w:lang w:val="es-AR"/>
        </w:rPr>
        <w:t>sobre</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Bienes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cualquier</w:t>
      </w:r>
      <w:r w:rsidR="001A28B3" w:rsidRPr="00EA7870">
        <w:rPr>
          <w:bCs/>
          <w:iCs/>
          <w:sz w:val="20"/>
          <w:szCs w:val="20"/>
          <w:lang w:val="es-AR"/>
        </w:rPr>
        <w:t xml:space="preserve"> </w:t>
      </w:r>
      <w:r w:rsidRPr="00EA7870">
        <w:rPr>
          <w:bCs/>
          <w:iCs/>
          <w:sz w:val="20"/>
          <w:szCs w:val="20"/>
          <w:lang w:val="es-AR"/>
        </w:rPr>
        <w:t>Persona,</w:t>
      </w:r>
      <w:r w:rsidR="001A28B3" w:rsidRPr="00EA7870">
        <w:rPr>
          <w:bCs/>
          <w:iCs/>
          <w:sz w:val="20"/>
          <w:szCs w:val="20"/>
          <w:lang w:val="es-AR"/>
        </w:rPr>
        <w:t xml:space="preserve"> </w:t>
      </w:r>
      <w:r w:rsidRPr="00EA7870">
        <w:rPr>
          <w:bCs/>
          <w:iCs/>
          <w:sz w:val="20"/>
          <w:szCs w:val="20"/>
          <w:lang w:val="es-AR"/>
        </w:rPr>
        <w:t>existente</w:t>
      </w:r>
      <w:r w:rsidR="001A28B3" w:rsidRPr="00EA7870">
        <w:rPr>
          <w:bCs/>
          <w:iCs/>
          <w:sz w:val="20"/>
          <w:szCs w:val="20"/>
          <w:lang w:val="es-AR"/>
        </w:rPr>
        <w:t xml:space="preserve"> </w:t>
      </w:r>
      <w:r w:rsidRPr="00EA7870">
        <w:rPr>
          <w:bCs/>
          <w:iCs/>
          <w:sz w:val="20"/>
          <w:szCs w:val="20"/>
          <w:lang w:val="es-AR"/>
        </w:rPr>
        <w:t>al</w:t>
      </w:r>
      <w:r w:rsidR="001A28B3" w:rsidRPr="00EA7870">
        <w:rPr>
          <w:bCs/>
          <w:iCs/>
          <w:sz w:val="20"/>
          <w:szCs w:val="20"/>
          <w:lang w:val="es-AR"/>
        </w:rPr>
        <w:t xml:space="preserve"> </w:t>
      </w:r>
      <w:r w:rsidRPr="00EA7870">
        <w:rPr>
          <w:bCs/>
          <w:iCs/>
          <w:sz w:val="20"/>
          <w:szCs w:val="20"/>
          <w:lang w:val="es-AR"/>
        </w:rPr>
        <w:t>momento</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dicha</w:t>
      </w:r>
      <w:r w:rsidR="001A28B3" w:rsidRPr="00EA7870">
        <w:rPr>
          <w:bCs/>
          <w:iCs/>
          <w:sz w:val="20"/>
          <w:szCs w:val="20"/>
          <w:lang w:val="es-AR"/>
        </w:rPr>
        <w:t xml:space="preserve"> </w:t>
      </w:r>
      <w:r w:rsidRPr="00EA7870">
        <w:rPr>
          <w:bCs/>
          <w:iCs/>
          <w:sz w:val="20"/>
          <w:szCs w:val="20"/>
          <w:lang w:val="es-AR"/>
        </w:rPr>
        <w:t>Persona</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convierte</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Subsidiaria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Garante</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cada</w:t>
      </w:r>
      <w:r w:rsidR="001A28B3" w:rsidRPr="00EA7870">
        <w:rPr>
          <w:bCs/>
          <w:iCs/>
          <w:sz w:val="20"/>
          <w:szCs w:val="20"/>
          <w:lang w:val="es-AR"/>
        </w:rPr>
        <w:t xml:space="preserve"> </w:t>
      </w:r>
      <w:r w:rsidRPr="00EA7870">
        <w:rPr>
          <w:bCs/>
          <w:iCs/>
          <w:sz w:val="20"/>
          <w:szCs w:val="20"/>
          <w:lang w:val="es-AR"/>
        </w:rPr>
        <w:t>caso,</w:t>
      </w:r>
      <w:r w:rsidR="001A28B3" w:rsidRPr="00EA7870">
        <w:rPr>
          <w:bCs/>
          <w:iCs/>
          <w:sz w:val="20"/>
          <w:szCs w:val="20"/>
          <w:lang w:val="es-AR"/>
        </w:rPr>
        <w:t xml:space="preserve"> </w:t>
      </w:r>
      <w:r w:rsidRPr="00EA7870">
        <w:rPr>
          <w:bCs/>
          <w:iCs/>
          <w:sz w:val="20"/>
          <w:szCs w:val="20"/>
          <w:lang w:val="es-AR"/>
        </w:rPr>
        <w:t>no</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constituye</w:t>
      </w:r>
      <w:r w:rsidR="001A28B3" w:rsidRPr="00EA7870">
        <w:rPr>
          <w:bCs/>
          <w:iCs/>
          <w:sz w:val="20"/>
          <w:szCs w:val="20"/>
          <w:lang w:val="es-AR"/>
        </w:rPr>
        <w:t xml:space="preserve"> </w:t>
      </w:r>
      <w:r w:rsidRPr="00EA7870">
        <w:rPr>
          <w:bCs/>
          <w:iCs/>
          <w:sz w:val="20"/>
          <w:szCs w:val="20"/>
          <w:lang w:val="es-AR"/>
        </w:rPr>
        <w:t>como</w:t>
      </w:r>
      <w:r w:rsidR="001A28B3" w:rsidRPr="00EA7870">
        <w:rPr>
          <w:bCs/>
          <w:iCs/>
          <w:sz w:val="20"/>
          <w:szCs w:val="20"/>
          <w:lang w:val="es-AR"/>
        </w:rPr>
        <w:t xml:space="preserve"> </w:t>
      </w:r>
      <w:r w:rsidRPr="00EA7870">
        <w:rPr>
          <w:bCs/>
          <w:iCs/>
          <w:sz w:val="20"/>
          <w:szCs w:val="20"/>
          <w:lang w:val="es-AR"/>
        </w:rPr>
        <w:t>resultado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relación</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anticipación</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dicha</w:t>
      </w:r>
      <w:r w:rsidR="001A28B3" w:rsidRPr="00EA7870">
        <w:rPr>
          <w:bCs/>
          <w:iCs/>
          <w:sz w:val="20"/>
          <w:szCs w:val="20"/>
          <w:lang w:val="es-AR"/>
        </w:rPr>
        <w:t xml:space="preserve"> </w:t>
      </w:r>
      <w:r w:rsidRPr="00EA7870">
        <w:rPr>
          <w:bCs/>
          <w:iCs/>
          <w:sz w:val="20"/>
          <w:szCs w:val="20"/>
          <w:lang w:val="es-AR"/>
        </w:rPr>
        <w:t>operación,</w:t>
      </w:r>
      <w:r w:rsidR="001A28B3" w:rsidRPr="00EA7870">
        <w:rPr>
          <w:bCs/>
          <w:iCs/>
          <w:sz w:val="20"/>
          <w:szCs w:val="20"/>
          <w:lang w:val="es-AR"/>
        </w:rPr>
        <w:t xml:space="preserve"> </w:t>
      </w:r>
      <w:r w:rsidRPr="00EA7870">
        <w:rPr>
          <w:bCs/>
          <w:i/>
          <w:iCs/>
          <w:sz w:val="20"/>
          <w:szCs w:val="20"/>
          <w:lang w:val="es-AR"/>
        </w:rPr>
        <w:t>quedando</w:t>
      </w:r>
      <w:r w:rsidR="001A28B3" w:rsidRPr="00EA7870">
        <w:rPr>
          <w:bCs/>
          <w:i/>
          <w:iCs/>
          <w:sz w:val="20"/>
          <w:szCs w:val="20"/>
          <w:lang w:val="es-AR"/>
        </w:rPr>
        <w:t xml:space="preserve"> </w:t>
      </w:r>
      <w:r w:rsidRPr="00EA7870">
        <w:rPr>
          <w:bCs/>
          <w:i/>
          <w:iCs/>
          <w:sz w:val="20"/>
          <w:szCs w:val="20"/>
          <w:lang w:val="es-AR"/>
        </w:rPr>
        <w:t>establecido</w:t>
      </w:r>
      <w:r w:rsidR="001A28B3" w:rsidRPr="00EA7870">
        <w:rPr>
          <w:bCs/>
          <w:i/>
          <w:iCs/>
          <w:sz w:val="20"/>
          <w:szCs w:val="20"/>
          <w:lang w:val="es-AR"/>
        </w:rPr>
        <w:t xml:space="preserve"> </w:t>
      </w:r>
      <w:r w:rsidRPr="00EA7870">
        <w:rPr>
          <w:bCs/>
          <w:iCs/>
          <w:sz w:val="20"/>
          <w:szCs w:val="20"/>
          <w:lang w:val="es-AR"/>
        </w:rPr>
        <w:t>que</w:t>
      </w:r>
      <w:r w:rsidR="001A28B3" w:rsidRPr="00EA7870">
        <w:rPr>
          <w:bCs/>
          <w:iCs/>
          <w:sz w:val="20"/>
          <w:szCs w:val="20"/>
          <w:lang w:val="es-AR"/>
        </w:rPr>
        <w:t xml:space="preserve"> </w:t>
      </w:r>
      <w:r w:rsidRPr="00EA7870">
        <w:rPr>
          <w:bCs/>
          <w:iCs/>
          <w:sz w:val="20"/>
          <w:szCs w:val="20"/>
          <w:lang w:val="es-AR"/>
        </w:rPr>
        <w:t>dichos</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no</w:t>
      </w:r>
      <w:r w:rsidR="001A28B3" w:rsidRPr="00EA7870">
        <w:rPr>
          <w:bCs/>
          <w:iCs/>
          <w:sz w:val="20"/>
          <w:szCs w:val="20"/>
          <w:lang w:val="es-AR"/>
        </w:rPr>
        <w:t xml:space="preserve"> </w:t>
      </w:r>
      <w:r w:rsidRPr="00EA7870">
        <w:rPr>
          <w:bCs/>
          <w:iCs/>
          <w:sz w:val="20"/>
          <w:szCs w:val="20"/>
          <w:lang w:val="es-AR"/>
        </w:rPr>
        <w:t>podrán</w:t>
      </w:r>
      <w:r w:rsidR="001A28B3" w:rsidRPr="00EA7870">
        <w:rPr>
          <w:bCs/>
          <w:iCs/>
          <w:sz w:val="20"/>
          <w:szCs w:val="20"/>
          <w:lang w:val="es-AR"/>
        </w:rPr>
        <w:t xml:space="preserve"> </w:t>
      </w:r>
      <w:r w:rsidRPr="00EA7870">
        <w:rPr>
          <w:bCs/>
          <w:iCs/>
          <w:sz w:val="20"/>
          <w:szCs w:val="20"/>
          <w:lang w:val="es-AR"/>
        </w:rPr>
        <w:t>extenderse</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ningún</w:t>
      </w:r>
      <w:r w:rsidR="001A28B3" w:rsidRPr="00EA7870">
        <w:rPr>
          <w:bCs/>
          <w:iCs/>
          <w:sz w:val="20"/>
          <w:szCs w:val="20"/>
          <w:lang w:val="es-AR"/>
        </w:rPr>
        <w:t xml:space="preserve"> </w:t>
      </w:r>
      <w:r w:rsidRPr="00EA7870">
        <w:rPr>
          <w:bCs/>
          <w:iCs/>
          <w:sz w:val="20"/>
          <w:szCs w:val="20"/>
          <w:lang w:val="es-AR"/>
        </w:rPr>
        <w:t>otro</w:t>
      </w:r>
      <w:r w:rsidR="001A28B3" w:rsidRPr="00EA7870">
        <w:rPr>
          <w:bCs/>
          <w:iCs/>
          <w:sz w:val="20"/>
          <w:szCs w:val="20"/>
          <w:lang w:val="es-AR"/>
        </w:rPr>
        <w:t xml:space="preserve"> </w:t>
      </w:r>
      <w:r w:rsidRPr="00EA7870">
        <w:rPr>
          <w:bCs/>
          <w:iCs/>
          <w:sz w:val="20"/>
          <w:szCs w:val="20"/>
          <w:lang w:val="es-AR"/>
        </w:rPr>
        <w:t>Bien;</w:t>
      </w:r>
      <w:bookmarkEnd w:id="130"/>
    </w:p>
    <w:p w14:paraId="59F07FCC" w14:textId="77777777" w:rsidR="00B23607" w:rsidRPr="00EA7870" w:rsidRDefault="00B23607" w:rsidP="00B23607">
      <w:pPr>
        <w:ind w:firstLine="709"/>
        <w:jc w:val="both"/>
        <w:rPr>
          <w:bCs/>
          <w:iCs/>
          <w:sz w:val="20"/>
          <w:szCs w:val="20"/>
          <w:lang w:val="es-AR"/>
        </w:rPr>
      </w:pPr>
    </w:p>
    <w:p w14:paraId="7A63AB58" w14:textId="77777777" w:rsidR="00376725" w:rsidRPr="00EA7870" w:rsidRDefault="00376725" w:rsidP="00B23607">
      <w:pPr>
        <w:ind w:firstLine="709"/>
        <w:jc w:val="both"/>
        <w:rPr>
          <w:bCs/>
          <w:iCs/>
          <w:sz w:val="20"/>
          <w:szCs w:val="20"/>
          <w:lang w:val="es-AR"/>
        </w:rPr>
      </w:pPr>
      <w:bookmarkStart w:id="131" w:name="_Toc526498926"/>
      <w:r w:rsidRPr="00EA7870">
        <w:rPr>
          <w:bCs/>
          <w:iCs/>
          <w:sz w:val="20"/>
          <w:szCs w:val="20"/>
          <w:lang w:val="es-AR"/>
        </w:rPr>
        <w:t>10)</w:t>
      </w:r>
      <w:r w:rsidR="001A28B3" w:rsidRPr="00EA7870">
        <w:rPr>
          <w:bCs/>
          <w:iCs/>
          <w:sz w:val="20"/>
          <w:szCs w:val="20"/>
          <w:lang w:val="es-AR"/>
        </w:rPr>
        <w:t xml:space="preserve"> </w:t>
      </w:r>
      <w:r w:rsidRPr="00EA7870">
        <w:rPr>
          <w:bCs/>
          <w:iCs/>
          <w:sz w:val="20"/>
          <w:szCs w:val="20"/>
          <w:lang w:val="es-AR"/>
        </w:rPr>
        <w:t>excepciones</w:t>
      </w:r>
      <w:r w:rsidR="001A28B3" w:rsidRPr="00EA7870">
        <w:rPr>
          <w:bCs/>
          <w:iCs/>
          <w:sz w:val="20"/>
          <w:szCs w:val="20"/>
          <w:lang w:val="es-AR"/>
        </w:rPr>
        <w:t xml:space="preserve"> </w:t>
      </w:r>
      <w:r w:rsidRPr="00EA7870">
        <w:rPr>
          <w:bCs/>
          <w:iCs/>
          <w:sz w:val="20"/>
          <w:szCs w:val="20"/>
          <w:lang w:val="es-AR"/>
        </w:rPr>
        <w:t>menores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inspección</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inmuebles,</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menores,</w:t>
      </w:r>
      <w:r w:rsidR="001A28B3" w:rsidRPr="00EA7870">
        <w:rPr>
          <w:bCs/>
          <w:iCs/>
          <w:sz w:val="20"/>
          <w:szCs w:val="20"/>
          <w:lang w:val="es-AR"/>
        </w:rPr>
        <w:t xml:space="preserve"> </w:t>
      </w:r>
      <w:r w:rsidRPr="00EA7870">
        <w:rPr>
          <w:bCs/>
          <w:iCs/>
          <w:sz w:val="20"/>
          <w:szCs w:val="20"/>
          <w:lang w:val="es-AR"/>
        </w:rPr>
        <w:t>servidumbres,</w:t>
      </w:r>
      <w:r w:rsidR="001A28B3" w:rsidRPr="00EA7870">
        <w:rPr>
          <w:bCs/>
          <w:iCs/>
          <w:sz w:val="20"/>
          <w:szCs w:val="20"/>
          <w:lang w:val="es-AR"/>
        </w:rPr>
        <w:t xml:space="preserve"> </w:t>
      </w:r>
      <w:r w:rsidRPr="00EA7870">
        <w:rPr>
          <w:bCs/>
          <w:iCs/>
          <w:sz w:val="20"/>
          <w:szCs w:val="20"/>
          <w:lang w:val="es-AR"/>
        </w:rPr>
        <w:t>reservas,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derechos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terceros,</w:t>
      </w:r>
      <w:r w:rsidR="001A28B3" w:rsidRPr="00EA7870">
        <w:rPr>
          <w:bCs/>
          <w:iCs/>
          <w:sz w:val="20"/>
          <w:szCs w:val="20"/>
          <w:lang w:val="es-AR"/>
        </w:rPr>
        <w:t xml:space="preserve"> </w:t>
      </w:r>
      <w:r w:rsidRPr="00EA7870">
        <w:rPr>
          <w:bCs/>
          <w:iCs/>
          <w:sz w:val="20"/>
          <w:szCs w:val="20"/>
          <w:lang w:val="es-AR"/>
        </w:rPr>
        <w:t>licencias,</w:t>
      </w:r>
      <w:r w:rsidR="001A28B3" w:rsidRPr="00EA7870">
        <w:rPr>
          <w:bCs/>
          <w:iCs/>
          <w:sz w:val="20"/>
          <w:szCs w:val="20"/>
          <w:lang w:val="es-AR"/>
        </w:rPr>
        <w:t xml:space="preserve"> </w:t>
      </w:r>
      <w:r w:rsidRPr="00EA7870">
        <w:rPr>
          <w:bCs/>
          <w:iCs/>
          <w:sz w:val="20"/>
          <w:szCs w:val="20"/>
          <w:lang w:val="es-AR"/>
        </w:rPr>
        <w:t>derechos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paso,</w:t>
      </w:r>
      <w:r w:rsidR="001A28B3" w:rsidRPr="00EA7870">
        <w:rPr>
          <w:bCs/>
          <w:iCs/>
          <w:sz w:val="20"/>
          <w:szCs w:val="20"/>
          <w:lang w:val="es-AR"/>
        </w:rPr>
        <w:t xml:space="preserve"> </w:t>
      </w:r>
      <w:r w:rsidRPr="00EA7870">
        <w:rPr>
          <w:bCs/>
          <w:iCs/>
          <w:sz w:val="20"/>
          <w:szCs w:val="20"/>
          <w:lang w:val="es-AR"/>
        </w:rPr>
        <w:t>alcantarillas,</w:t>
      </w:r>
      <w:r w:rsidR="001A28B3" w:rsidRPr="00EA7870">
        <w:rPr>
          <w:bCs/>
          <w:iCs/>
          <w:sz w:val="20"/>
          <w:szCs w:val="20"/>
          <w:lang w:val="es-AR"/>
        </w:rPr>
        <w:t xml:space="preserve"> </w:t>
      </w:r>
      <w:r w:rsidRPr="00EA7870">
        <w:rPr>
          <w:bCs/>
          <w:iCs/>
          <w:sz w:val="20"/>
          <w:szCs w:val="20"/>
          <w:lang w:val="es-AR"/>
        </w:rPr>
        <w:t>líneas</w:t>
      </w:r>
      <w:r w:rsidR="001A28B3" w:rsidRPr="00EA7870">
        <w:rPr>
          <w:bCs/>
          <w:iCs/>
          <w:sz w:val="20"/>
          <w:szCs w:val="20"/>
          <w:lang w:val="es-AR"/>
        </w:rPr>
        <w:t xml:space="preserve"> </w:t>
      </w:r>
      <w:r w:rsidRPr="00EA7870">
        <w:rPr>
          <w:bCs/>
          <w:iCs/>
          <w:sz w:val="20"/>
          <w:szCs w:val="20"/>
          <w:lang w:val="es-AR"/>
        </w:rPr>
        <w:t>eléctricas,</w:t>
      </w:r>
      <w:r w:rsidR="001A28B3" w:rsidRPr="00EA7870">
        <w:rPr>
          <w:bCs/>
          <w:iCs/>
          <w:sz w:val="20"/>
          <w:szCs w:val="20"/>
          <w:lang w:val="es-AR"/>
        </w:rPr>
        <w:t xml:space="preserve"> </w:t>
      </w:r>
      <w:r w:rsidRPr="00EA7870">
        <w:rPr>
          <w:bCs/>
          <w:iCs/>
          <w:sz w:val="20"/>
          <w:szCs w:val="20"/>
          <w:lang w:val="es-AR"/>
        </w:rPr>
        <w:t>líneas</w:t>
      </w:r>
      <w:r w:rsidR="001A28B3" w:rsidRPr="00EA7870">
        <w:rPr>
          <w:bCs/>
          <w:iCs/>
          <w:sz w:val="20"/>
          <w:szCs w:val="20"/>
          <w:lang w:val="es-AR"/>
        </w:rPr>
        <w:t xml:space="preserve"> </w:t>
      </w:r>
      <w:r w:rsidRPr="00EA7870">
        <w:rPr>
          <w:bCs/>
          <w:iCs/>
          <w:sz w:val="20"/>
          <w:szCs w:val="20"/>
          <w:lang w:val="es-AR"/>
        </w:rPr>
        <w:t>telegráficas</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telefónicas</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otros</w:t>
      </w:r>
      <w:r w:rsidR="001A28B3" w:rsidRPr="00EA7870">
        <w:rPr>
          <w:bCs/>
          <w:iCs/>
          <w:sz w:val="20"/>
          <w:szCs w:val="20"/>
          <w:lang w:val="es-AR"/>
        </w:rPr>
        <w:t xml:space="preserve"> </w:t>
      </w:r>
      <w:r w:rsidRPr="00EA7870">
        <w:rPr>
          <w:bCs/>
          <w:iCs/>
          <w:sz w:val="20"/>
          <w:szCs w:val="20"/>
          <w:lang w:val="es-AR"/>
        </w:rPr>
        <w:t>propósitos</w:t>
      </w:r>
      <w:r w:rsidR="001A28B3" w:rsidRPr="00EA7870">
        <w:rPr>
          <w:bCs/>
          <w:iCs/>
          <w:sz w:val="20"/>
          <w:szCs w:val="20"/>
          <w:lang w:val="es-AR"/>
        </w:rPr>
        <w:t xml:space="preserve"> </w:t>
      </w:r>
      <w:r w:rsidRPr="00EA7870">
        <w:rPr>
          <w:bCs/>
          <w:iCs/>
          <w:sz w:val="20"/>
          <w:szCs w:val="20"/>
          <w:lang w:val="es-AR"/>
        </w:rPr>
        <w:t>similares,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bien</w:t>
      </w:r>
      <w:r w:rsidR="001A28B3" w:rsidRPr="00EA7870">
        <w:rPr>
          <w:bCs/>
          <w:iCs/>
          <w:sz w:val="20"/>
          <w:szCs w:val="20"/>
          <w:lang w:val="es-AR"/>
        </w:rPr>
        <w:t xml:space="preserve"> </w:t>
      </w:r>
      <w:r w:rsidRPr="00EA7870">
        <w:rPr>
          <w:bCs/>
          <w:iCs/>
          <w:sz w:val="20"/>
          <w:szCs w:val="20"/>
          <w:lang w:val="es-AR"/>
        </w:rPr>
        <w:t>restricciones</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materia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zonificación</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otra</w:t>
      </w:r>
      <w:r w:rsidR="001A28B3" w:rsidRPr="00EA7870">
        <w:rPr>
          <w:bCs/>
          <w:iCs/>
          <w:sz w:val="20"/>
          <w:szCs w:val="20"/>
          <w:lang w:val="es-AR"/>
        </w:rPr>
        <w:t xml:space="preserve"> </w:t>
      </w:r>
      <w:r w:rsidRPr="00EA7870">
        <w:rPr>
          <w:bCs/>
          <w:iCs/>
          <w:sz w:val="20"/>
          <w:szCs w:val="20"/>
          <w:lang w:val="es-AR"/>
        </w:rPr>
        <w:t>índole,</w:t>
      </w:r>
      <w:r w:rsidR="001A28B3" w:rsidRPr="00EA7870">
        <w:rPr>
          <w:bCs/>
          <w:iCs/>
          <w:sz w:val="20"/>
          <w:szCs w:val="20"/>
          <w:lang w:val="es-AR"/>
        </w:rPr>
        <w:t xml:space="preserve"> </w:t>
      </w:r>
      <w:r w:rsidRPr="00EA7870">
        <w:rPr>
          <w:bCs/>
          <w:iCs/>
          <w:sz w:val="20"/>
          <w:szCs w:val="20"/>
          <w:lang w:val="es-AR"/>
        </w:rPr>
        <w:t>todo</w:t>
      </w:r>
      <w:r w:rsidR="001A28B3" w:rsidRPr="00EA7870">
        <w:rPr>
          <w:bCs/>
          <w:iCs/>
          <w:sz w:val="20"/>
          <w:szCs w:val="20"/>
          <w:lang w:val="es-AR"/>
        </w:rPr>
        <w:t xml:space="preserve"> </w:t>
      </w:r>
      <w:r w:rsidRPr="00EA7870">
        <w:rPr>
          <w:bCs/>
          <w:iCs/>
          <w:sz w:val="20"/>
          <w:szCs w:val="20"/>
          <w:lang w:val="es-AR"/>
        </w:rPr>
        <w:t>ello</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relación</w:t>
      </w:r>
      <w:r w:rsidR="001A28B3" w:rsidRPr="00EA7870">
        <w:rPr>
          <w:bCs/>
          <w:iCs/>
          <w:sz w:val="20"/>
          <w:szCs w:val="20"/>
          <w:lang w:val="es-AR"/>
        </w:rPr>
        <w:t xml:space="preserve"> </w:t>
      </w:r>
      <w:r w:rsidRPr="00EA7870">
        <w:rPr>
          <w:bCs/>
          <w:iCs/>
          <w:sz w:val="20"/>
          <w:szCs w:val="20"/>
          <w:lang w:val="es-AR"/>
        </w:rPr>
        <w:t>al</w:t>
      </w:r>
      <w:r w:rsidR="001A28B3" w:rsidRPr="00EA7870">
        <w:rPr>
          <w:bCs/>
          <w:iCs/>
          <w:sz w:val="20"/>
          <w:szCs w:val="20"/>
          <w:lang w:val="es-AR"/>
        </w:rPr>
        <w:t xml:space="preserve"> </w:t>
      </w:r>
      <w:r w:rsidRPr="00EA7870">
        <w:rPr>
          <w:bCs/>
          <w:iCs/>
          <w:sz w:val="20"/>
          <w:szCs w:val="20"/>
          <w:lang w:val="es-AR"/>
        </w:rPr>
        <w:t>uso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inmuebles,</w:t>
      </w:r>
      <w:r w:rsidR="001A28B3" w:rsidRPr="00EA7870">
        <w:rPr>
          <w:bCs/>
          <w:iCs/>
          <w:sz w:val="20"/>
          <w:szCs w:val="20"/>
          <w:lang w:val="es-AR"/>
        </w:rPr>
        <w:t xml:space="preserve"> </w:t>
      </w:r>
      <w:r w:rsidRPr="00EA7870">
        <w:rPr>
          <w:bCs/>
          <w:iCs/>
          <w:sz w:val="20"/>
          <w:szCs w:val="20"/>
          <w:lang w:val="es-AR"/>
        </w:rPr>
        <w:t>sin</w:t>
      </w:r>
      <w:r w:rsidR="001A28B3" w:rsidRPr="00EA7870">
        <w:rPr>
          <w:bCs/>
          <w:iCs/>
          <w:sz w:val="20"/>
          <w:szCs w:val="20"/>
          <w:lang w:val="es-AR"/>
        </w:rPr>
        <w:t xml:space="preserve"> </w:t>
      </w:r>
      <w:r w:rsidRPr="00EA7870">
        <w:rPr>
          <w:bCs/>
          <w:iCs/>
          <w:sz w:val="20"/>
          <w:szCs w:val="20"/>
          <w:lang w:val="es-AR"/>
        </w:rPr>
        <w:t>interferir</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ningún</w:t>
      </w:r>
      <w:r w:rsidR="001A28B3" w:rsidRPr="00EA7870">
        <w:rPr>
          <w:bCs/>
          <w:iCs/>
          <w:sz w:val="20"/>
          <w:szCs w:val="20"/>
          <w:lang w:val="es-AR"/>
        </w:rPr>
        <w:t xml:space="preserve"> </w:t>
      </w:r>
      <w:r w:rsidRPr="00EA7870">
        <w:rPr>
          <w:bCs/>
          <w:iCs/>
          <w:sz w:val="20"/>
          <w:szCs w:val="20"/>
          <w:lang w:val="es-AR"/>
        </w:rPr>
        <w:t>aspecto</w:t>
      </w:r>
      <w:r w:rsidR="001A28B3" w:rsidRPr="00EA7870">
        <w:rPr>
          <w:bCs/>
          <w:iCs/>
          <w:sz w:val="20"/>
          <w:szCs w:val="20"/>
          <w:lang w:val="es-AR"/>
        </w:rPr>
        <w:t xml:space="preserve"> </w:t>
      </w:r>
      <w:r w:rsidRPr="00EA7870">
        <w:rPr>
          <w:bCs/>
          <w:iCs/>
          <w:sz w:val="20"/>
          <w:szCs w:val="20"/>
          <w:lang w:val="es-AR"/>
        </w:rPr>
        <w:t>significativo</w:t>
      </w:r>
      <w:r w:rsidR="001A28B3" w:rsidRPr="00EA7870">
        <w:rPr>
          <w:bCs/>
          <w:iCs/>
          <w:sz w:val="20"/>
          <w:szCs w:val="20"/>
          <w:lang w:val="es-AR"/>
        </w:rPr>
        <w:t xml:space="preserve"> </w:t>
      </w:r>
      <w:r w:rsidRPr="00EA7870">
        <w:rPr>
          <w:bCs/>
          <w:iCs/>
          <w:sz w:val="20"/>
          <w:szCs w:val="20"/>
          <w:lang w:val="es-AR"/>
        </w:rPr>
        <w:t>con</w:t>
      </w:r>
      <w:r w:rsidR="001A28B3" w:rsidRPr="00EA7870">
        <w:rPr>
          <w:bCs/>
          <w:iCs/>
          <w:sz w:val="20"/>
          <w:szCs w:val="20"/>
          <w:lang w:val="es-AR"/>
        </w:rPr>
        <w:t xml:space="preserve"> </w:t>
      </w:r>
      <w:r w:rsidRPr="00EA7870">
        <w:rPr>
          <w:bCs/>
          <w:iCs/>
          <w:sz w:val="20"/>
          <w:szCs w:val="20"/>
          <w:lang w:val="es-AR"/>
        </w:rPr>
        <w:t>las</w:t>
      </w:r>
      <w:r w:rsidR="001A28B3" w:rsidRPr="00EA7870">
        <w:rPr>
          <w:bCs/>
          <w:iCs/>
          <w:sz w:val="20"/>
          <w:szCs w:val="20"/>
          <w:lang w:val="es-AR"/>
        </w:rPr>
        <w:t xml:space="preserve"> </w:t>
      </w:r>
      <w:r w:rsidRPr="00EA7870">
        <w:rPr>
          <w:bCs/>
          <w:iCs/>
          <w:sz w:val="20"/>
          <w:szCs w:val="20"/>
          <w:lang w:val="es-AR"/>
        </w:rPr>
        <w:t>actividades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Emisora</w:t>
      </w:r>
      <w:r w:rsidR="00157369" w:rsidRPr="00EA7870">
        <w:rPr>
          <w:bCs/>
          <w:iCs/>
          <w:sz w:val="20"/>
          <w:szCs w:val="20"/>
          <w:lang w:val="es-AR"/>
        </w:rPr>
        <w:t>,</w:t>
      </w:r>
      <w:r w:rsidR="001A28B3" w:rsidRPr="00EA7870">
        <w:rPr>
          <w:bCs/>
          <w:iCs/>
          <w:sz w:val="20"/>
          <w:szCs w:val="20"/>
          <w:lang w:val="es-AR"/>
        </w:rPr>
        <w:t xml:space="preserve"> </w:t>
      </w:r>
      <w:r w:rsidR="00157369" w:rsidRPr="00EA7870">
        <w:rPr>
          <w:bCs/>
          <w:iCs/>
          <w:sz w:val="20"/>
          <w:szCs w:val="20"/>
          <w:lang w:val="es-AR"/>
        </w:rPr>
        <w:t>la</w:t>
      </w:r>
      <w:r w:rsidR="001A28B3" w:rsidRPr="00EA7870">
        <w:rPr>
          <w:bCs/>
          <w:iCs/>
          <w:sz w:val="20"/>
          <w:szCs w:val="20"/>
          <w:lang w:val="es-AR"/>
        </w:rPr>
        <w:t xml:space="preserve"> </w:t>
      </w:r>
      <w:r w:rsidR="00157369" w:rsidRPr="00EA7870">
        <w:rPr>
          <w:bCs/>
          <w:iCs/>
          <w:sz w:val="20"/>
          <w:szCs w:val="20"/>
          <w:lang w:val="es-AR"/>
        </w:rPr>
        <w:t>Garante</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las</w:t>
      </w:r>
      <w:r w:rsidR="001A28B3" w:rsidRPr="00EA7870">
        <w:rPr>
          <w:bCs/>
          <w:iCs/>
          <w:sz w:val="20"/>
          <w:szCs w:val="20"/>
          <w:lang w:val="es-AR"/>
        </w:rPr>
        <w:t xml:space="preserve"> </w:t>
      </w:r>
      <w:r w:rsidRPr="00EA7870">
        <w:rPr>
          <w:bCs/>
          <w:iCs/>
          <w:sz w:val="20"/>
          <w:szCs w:val="20"/>
          <w:lang w:val="es-AR"/>
        </w:rPr>
        <w:t>Subsidiarias</w:t>
      </w:r>
      <w:r w:rsidR="001A28B3" w:rsidRPr="00EA7870">
        <w:rPr>
          <w:bCs/>
          <w:iCs/>
          <w:sz w:val="20"/>
          <w:szCs w:val="20"/>
          <w:lang w:val="es-AR"/>
        </w:rPr>
        <w:t xml:space="preserve"> </w:t>
      </w:r>
      <w:r w:rsidRPr="00EA7870">
        <w:rPr>
          <w:bCs/>
          <w:iCs/>
          <w:sz w:val="20"/>
          <w:szCs w:val="20"/>
          <w:lang w:val="es-AR"/>
        </w:rPr>
        <w:t>Restringidas;</w:t>
      </w:r>
      <w:bookmarkEnd w:id="131"/>
      <w:r w:rsidR="001A28B3" w:rsidRPr="00EA7870">
        <w:rPr>
          <w:bCs/>
          <w:iCs/>
          <w:sz w:val="20"/>
          <w:szCs w:val="20"/>
          <w:lang w:val="es-AR"/>
        </w:rPr>
        <w:t xml:space="preserve"> </w:t>
      </w:r>
    </w:p>
    <w:p w14:paraId="5CB140EF" w14:textId="77777777" w:rsidR="00B23607" w:rsidRPr="00EA7870" w:rsidRDefault="00B23607" w:rsidP="00B23607">
      <w:pPr>
        <w:ind w:firstLine="709"/>
        <w:jc w:val="both"/>
        <w:rPr>
          <w:bCs/>
          <w:iCs/>
          <w:sz w:val="20"/>
          <w:szCs w:val="20"/>
          <w:lang w:val="es-AR"/>
        </w:rPr>
      </w:pPr>
    </w:p>
    <w:p w14:paraId="1714F54E" w14:textId="77777777" w:rsidR="00376725" w:rsidRPr="00EA7870" w:rsidRDefault="00376725" w:rsidP="00B23607">
      <w:pPr>
        <w:ind w:firstLine="709"/>
        <w:jc w:val="both"/>
        <w:rPr>
          <w:bCs/>
          <w:iCs/>
          <w:sz w:val="20"/>
          <w:szCs w:val="20"/>
          <w:lang w:val="es-AR"/>
        </w:rPr>
      </w:pPr>
      <w:bookmarkStart w:id="132" w:name="_Toc526498927"/>
      <w:r w:rsidRPr="00EA7870">
        <w:rPr>
          <w:bCs/>
          <w:iCs/>
          <w:sz w:val="20"/>
          <w:szCs w:val="20"/>
          <w:lang w:val="es-AR"/>
        </w:rPr>
        <w:t>11)</w:t>
      </w:r>
      <w:r w:rsidR="001A28B3" w:rsidRPr="00EA7870">
        <w:rPr>
          <w:bCs/>
          <w:iCs/>
          <w:sz w:val="20"/>
          <w:szCs w:val="20"/>
          <w:lang w:val="es-AR"/>
        </w:rPr>
        <w:t xml:space="preserve"> </w:t>
      </w:r>
      <w:r w:rsidRPr="00EA7870">
        <w:rPr>
          <w:bCs/>
          <w:iCs/>
          <w:sz w:val="20"/>
          <w:szCs w:val="20"/>
          <w:lang w:val="es-AR"/>
        </w:rPr>
        <w:t>Licencias,</w:t>
      </w:r>
      <w:r w:rsidR="001A28B3" w:rsidRPr="00EA7870">
        <w:rPr>
          <w:bCs/>
          <w:iCs/>
          <w:sz w:val="20"/>
          <w:szCs w:val="20"/>
          <w:lang w:val="es-AR"/>
        </w:rPr>
        <w:t xml:space="preserve"> </w:t>
      </w:r>
      <w:r w:rsidRPr="00EA7870">
        <w:rPr>
          <w:bCs/>
          <w:iCs/>
          <w:sz w:val="20"/>
          <w:szCs w:val="20"/>
          <w:lang w:val="es-AR"/>
        </w:rPr>
        <w:t>arrendamientos</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sub-arrendamientos</w:t>
      </w:r>
      <w:r w:rsidR="001A28B3" w:rsidRPr="00EA7870">
        <w:rPr>
          <w:bCs/>
          <w:iCs/>
          <w:sz w:val="20"/>
          <w:szCs w:val="20"/>
          <w:lang w:val="es-AR"/>
        </w:rPr>
        <w:t xml:space="preserve"> </w:t>
      </w:r>
      <w:r w:rsidRPr="00EA7870">
        <w:rPr>
          <w:bCs/>
          <w:iCs/>
          <w:sz w:val="20"/>
          <w:szCs w:val="20"/>
          <w:lang w:val="es-AR"/>
        </w:rPr>
        <w:t>a</w:t>
      </w:r>
      <w:r w:rsidR="001A28B3" w:rsidRPr="00EA7870">
        <w:rPr>
          <w:bCs/>
          <w:iCs/>
          <w:sz w:val="20"/>
          <w:szCs w:val="20"/>
          <w:lang w:val="es-AR"/>
        </w:rPr>
        <w:t xml:space="preserve"> </w:t>
      </w:r>
      <w:r w:rsidRPr="00EA7870">
        <w:rPr>
          <w:bCs/>
          <w:iCs/>
          <w:sz w:val="20"/>
          <w:szCs w:val="20"/>
          <w:lang w:val="es-AR"/>
        </w:rPr>
        <w:t>título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licenciante,</w:t>
      </w:r>
      <w:r w:rsidR="001A28B3" w:rsidRPr="00EA7870">
        <w:rPr>
          <w:bCs/>
          <w:iCs/>
          <w:sz w:val="20"/>
          <w:szCs w:val="20"/>
          <w:lang w:val="es-AR"/>
        </w:rPr>
        <w:t xml:space="preserve"> </w:t>
      </w:r>
      <w:r w:rsidRPr="00EA7870">
        <w:rPr>
          <w:bCs/>
          <w:iCs/>
          <w:sz w:val="20"/>
          <w:szCs w:val="20"/>
          <w:lang w:val="es-AR"/>
        </w:rPr>
        <w:t>arrendador</w:t>
      </w:r>
      <w:r w:rsidR="001A28B3" w:rsidRPr="00EA7870">
        <w:rPr>
          <w:bCs/>
          <w:iCs/>
          <w:sz w:val="20"/>
          <w:szCs w:val="20"/>
          <w:lang w:val="es-AR"/>
        </w:rPr>
        <w:t xml:space="preserve"> </w:t>
      </w:r>
      <w:r w:rsidRPr="00EA7870">
        <w:rPr>
          <w:bCs/>
          <w:iCs/>
          <w:sz w:val="20"/>
          <w:szCs w:val="20"/>
          <w:lang w:val="es-AR"/>
        </w:rPr>
        <w:t>o</w:t>
      </w:r>
      <w:r w:rsidR="001A28B3" w:rsidRPr="00EA7870">
        <w:rPr>
          <w:bCs/>
          <w:iCs/>
          <w:sz w:val="20"/>
          <w:szCs w:val="20"/>
          <w:lang w:val="es-AR"/>
        </w:rPr>
        <w:t xml:space="preserve"> </w:t>
      </w:r>
      <w:r w:rsidRPr="00EA7870">
        <w:rPr>
          <w:bCs/>
          <w:iCs/>
          <w:sz w:val="20"/>
          <w:szCs w:val="20"/>
          <w:lang w:val="es-AR"/>
        </w:rPr>
        <w:t>sub-arrendador</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cualquiera</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sus</w:t>
      </w:r>
      <w:r w:rsidR="001A28B3" w:rsidRPr="00EA7870">
        <w:rPr>
          <w:bCs/>
          <w:iCs/>
          <w:sz w:val="20"/>
          <w:szCs w:val="20"/>
          <w:lang w:val="es-AR"/>
        </w:rPr>
        <w:t xml:space="preserve"> </w:t>
      </w:r>
      <w:r w:rsidRPr="00EA7870">
        <w:rPr>
          <w:bCs/>
          <w:iCs/>
          <w:sz w:val="20"/>
          <w:szCs w:val="20"/>
          <w:lang w:val="es-AR"/>
        </w:rPr>
        <w:t>bienes,</w:t>
      </w:r>
      <w:r w:rsidR="001A28B3" w:rsidRPr="00EA7870">
        <w:rPr>
          <w:bCs/>
          <w:iCs/>
          <w:sz w:val="20"/>
          <w:szCs w:val="20"/>
          <w:lang w:val="es-AR"/>
        </w:rPr>
        <w:t xml:space="preserve"> </w:t>
      </w:r>
      <w:r w:rsidRPr="00EA7870">
        <w:rPr>
          <w:bCs/>
          <w:iCs/>
          <w:sz w:val="20"/>
          <w:szCs w:val="20"/>
          <w:lang w:val="es-AR"/>
        </w:rPr>
        <w:t>incluida</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propiedad</w:t>
      </w:r>
      <w:r w:rsidR="001A28B3" w:rsidRPr="00EA7870">
        <w:rPr>
          <w:bCs/>
          <w:iCs/>
          <w:sz w:val="20"/>
          <w:szCs w:val="20"/>
          <w:lang w:val="es-AR"/>
        </w:rPr>
        <w:t xml:space="preserve"> </w:t>
      </w:r>
      <w:r w:rsidRPr="00EA7870">
        <w:rPr>
          <w:bCs/>
          <w:iCs/>
          <w:sz w:val="20"/>
          <w:szCs w:val="20"/>
          <w:lang w:val="es-AR"/>
        </w:rPr>
        <w:t>intelectual,</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bCs/>
          <w:iCs/>
          <w:sz w:val="20"/>
          <w:szCs w:val="20"/>
          <w:lang w:val="es-AR"/>
        </w:rPr>
        <w:t>el</w:t>
      </w:r>
      <w:r w:rsidR="001A28B3" w:rsidRPr="00EA7870">
        <w:rPr>
          <w:bCs/>
          <w:iCs/>
          <w:sz w:val="20"/>
          <w:szCs w:val="20"/>
          <w:lang w:val="es-AR"/>
        </w:rPr>
        <w:t xml:space="preserve"> </w:t>
      </w:r>
      <w:r w:rsidRPr="00EA7870">
        <w:rPr>
          <w:bCs/>
          <w:iCs/>
          <w:sz w:val="20"/>
          <w:szCs w:val="20"/>
          <w:lang w:val="es-AR"/>
        </w:rPr>
        <w:t>curso</w:t>
      </w:r>
      <w:r w:rsidR="001A28B3" w:rsidRPr="00EA7870">
        <w:rPr>
          <w:bCs/>
          <w:iCs/>
          <w:sz w:val="20"/>
          <w:szCs w:val="20"/>
          <w:lang w:val="es-AR"/>
        </w:rPr>
        <w:t xml:space="preserve"> </w:t>
      </w:r>
      <w:r w:rsidRPr="00EA7870">
        <w:rPr>
          <w:bCs/>
          <w:iCs/>
          <w:sz w:val="20"/>
          <w:szCs w:val="20"/>
          <w:lang w:val="es-AR"/>
        </w:rPr>
        <w:t>habitual</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negocios;</w:t>
      </w:r>
      <w:bookmarkEnd w:id="132"/>
    </w:p>
    <w:p w14:paraId="1A137B11" w14:textId="77777777" w:rsidR="00B23607" w:rsidRPr="00EA7870" w:rsidRDefault="00B23607" w:rsidP="00B23607">
      <w:pPr>
        <w:ind w:firstLine="709"/>
        <w:jc w:val="both"/>
        <w:rPr>
          <w:bCs/>
          <w:iCs/>
          <w:sz w:val="20"/>
          <w:szCs w:val="20"/>
          <w:lang w:val="es-AR"/>
        </w:rPr>
      </w:pPr>
    </w:p>
    <w:p w14:paraId="78650AD2" w14:textId="77777777" w:rsidR="00376725" w:rsidRPr="00EA7870" w:rsidRDefault="00376725" w:rsidP="00B23607">
      <w:pPr>
        <w:ind w:firstLine="709"/>
        <w:jc w:val="both"/>
        <w:rPr>
          <w:bCs/>
          <w:iCs/>
          <w:sz w:val="20"/>
          <w:szCs w:val="20"/>
          <w:lang w:val="es-AR"/>
        </w:rPr>
      </w:pPr>
      <w:bookmarkStart w:id="133" w:name="_Toc526498928"/>
      <w:r w:rsidRPr="00EA7870">
        <w:rPr>
          <w:bCs/>
          <w:iCs/>
          <w:sz w:val="20"/>
          <w:szCs w:val="20"/>
          <w:lang w:val="es-AR"/>
        </w:rPr>
        <w:t>12)</w:t>
      </w:r>
      <w:r w:rsidR="001A28B3" w:rsidRPr="00EA7870">
        <w:rPr>
          <w:bCs/>
          <w:iCs/>
          <w:sz w:val="20"/>
          <w:szCs w:val="20"/>
          <w:lang w:val="es-AR"/>
        </w:rPr>
        <w:t xml:space="preserve"> </w:t>
      </w:r>
      <w:r w:rsidRPr="00EA7870">
        <w:rPr>
          <w:bCs/>
          <w:iCs/>
          <w:sz w:val="20"/>
          <w:szCs w:val="20"/>
          <w:lang w:val="es-AR"/>
        </w:rPr>
        <w:t>Gravámenes</w:t>
      </w:r>
      <w:r w:rsidR="001A28B3" w:rsidRPr="00EA7870">
        <w:rPr>
          <w:bCs/>
          <w:iCs/>
          <w:sz w:val="20"/>
          <w:szCs w:val="20"/>
          <w:lang w:val="es-AR"/>
        </w:rPr>
        <w:t xml:space="preserve"> </w:t>
      </w:r>
      <w:r w:rsidRPr="00EA7870">
        <w:rPr>
          <w:bCs/>
          <w:iCs/>
          <w:sz w:val="20"/>
          <w:szCs w:val="20"/>
          <w:lang w:val="es-AR"/>
        </w:rPr>
        <w:t>por</w:t>
      </w:r>
      <w:r w:rsidR="001A28B3" w:rsidRPr="00EA7870">
        <w:rPr>
          <w:bCs/>
          <w:iCs/>
          <w:sz w:val="20"/>
          <w:szCs w:val="20"/>
          <w:lang w:val="es-AR"/>
        </w:rPr>
        <w:t xml:space="preserve"> </w:t>
      </w:r>
      <w:r w:rsidRPr="00EA7870">
        <w:rPr>
          <w:bCs/>
          <w:iCs/>
          <w:sz w:val="20"/>
          <w:szCs w:val="20"/>
          <w:lang w:val="es-AR"/>
        </w:rPr>
        <w:t>fallo</w:t>
      </w:r>
      <w:r w:rsidR="001A28B3" w:rsidRPr="00EA7870">
        <w:rPr>
          <w:bCs/>
          <w:iCs/>
          <w:sz w:val="20"/>
          <w:szCs w:val="20"/>
          <w:lang w:val="es-AR"/>
        </w:rPr>
        <w:t xml:space="preserve"> </w:t>
      </w:r>
      <w:r w:rsidRPr="00EA7870">
        <w:rPr>
          <w:bCs/>
          <w:iCs/>
          <w:sz w:val="20"/>
          <w:szCs w:val="20"/>
          <w:lang w:val="es-AR"/>
        </w:rPr>
        <w:t>judicial,</w:t>
      </w:r>
      <w:r w:rsidR="001A28B3" w:rsidRPr="00EA7870">
        <w:rPr>
          <w:bCs/>
          <w:iCs/>
          <w:sz w:val="20"/>
          <w:szCs w:val="20"/>
          <w:lang w:val="es-AR"/>
        </w:rPr>
        <w:t xml:space="preserve"> </w:t>
      </w:r>
      <w:r w:rsidRPr="00EA7870">
        <w:rPr>
          <w:bCs/>
          <w:iCs/>
          <w:sz w:val="20"/>
          <w:szCs w:val="20"/>
          <w:lang w:val="es-AR"/>
        </w:rPr>
        <w:t>siempre</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cuando</w:t>
      </w:r>
      <w:r w:rsidR="001A28B3" w:rsidRPr="00EA7870">
        <w:rPr>
          <w:bCs/>
          <w:iCs/>
          <w:sz w:val="20"/>
          <w:szCs w:val="20"/>
          <w:lang w:val="es-AR"/>
        </w:rPr>
        <w:t xml:space="preserve"> </w:t>
      </w:r>
      <w:r w:rsidRPr="00EA7870">
        <w:rPr>
          <w:bCs/>
          <w:iCs/>
          <w:sz w:val="20"/>
          <w:szCs w:val="20"/>
          <w:lang w:val="es-AR"/>
        </w:rPr>
        <w:t>no</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produzca</w:t>
      </w:r>
      <w:r w:rsidR="001A28B3" w:rsidRPr="00EA7870">
        <w:rPr>
          <w:bCs/>
          <w:iCs/>
          <w:sz w:val="20"/>
          <w:szCs w:val="20"/>
          <w:lang w:val="es-AR"/>
        </w:rPr>
        <w:t xml:space="preserve"> </w:t>
      </w:r>
      <w:r w:rsidRPr="00EA7870">
        <w:rPr>
          <w:bCs/>
          <w:iCs/>
          <w:sz w:val="20"/>
          <w:szCs w:val="20"/>
          <w:lang w:val="es-AR"/>
        </w:rPr>
        <w:t>un</w:t>
      </w:r>
      <w:r w:rsidR="001A28B3" w:rsidRPr="00EA7870">
        <w:rPr>
          <w:bCs/>
          <w:iCs/>
          <w:sz w:val="20"/>
          <w:szCs w:val="20"/>
          <w:lang w:val="es-AR"/>
        </w:rPr>
        <w:t xml:space="preserve"> </w:t>
      </w:r>
      <w:r w:rsidRPr="00EA7870">
        <w:rPr>
          <w:bCs/>
          <w:iCs/>
          <w:sz w:val="20"/>
          <w:szCs w:val="20"/>
          <w:lang w:val="es-AR"/>
        </w:rPr>
        <w:t>Supuesto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Incumplimiento</w:t>
      </w:r>
      <w:r w:rsidR="001A28B3" w:rsidRPr="00EA7870">
        <w:rPr>
          <w:bCs/>
          <w:iCs/>
          <w:sz w:val="20"/>
          <w:szCs w:val="20"/>
          <w:lang w:val="es-AR"/>
        </w:rPr>
        <w:t xml:space="preserve"> </w:t>
      </w:r>
      <w:r w:rsidRPr="00EA7870">
        <w:rPr>
          <w:bCs/>
          <w:iCs/>
          <w:sz w:val="20"/>
          <w:szCs w:val="20"/>
          <w:lang w:val="es-AR"/>
        </w:rPr>
        <w:t>como</w:t>
      </w:r>
      <w:r w:rsidR="001A28B3" w:rsidRPr="00EA7870">
        <w:rPr>
          <w:bCs/>
          <w:iCs/>
          <w:sz w:val="20"/>
          <w:szCs w:val="20"/>
          <w:lang w:val="es-AR"/>
        </w:rPr>
        <w:t xml:space="preserve"> </w:t>
      </w:r>
      <w:r w:rsidRPr="00EA7870">
        <w:rPr>
          <w:bCs/>
          <w:iCs/>
          <w:sz w:val="20"/>
          <w:szCs w:val="20"/>
          <w:lang w:val="es-AR"/>
        </w:rPr>
        <w:t>resultado</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ello;</w:t>
      </w:r>
      <w:bookmarkEnd w:id="133"/>
    </w:p>
    <w:p w14:paraId="575D1DB6" w14:textId="77777777" w:rsidR="00376725" w:rsidRPr="00EA7870" w:rsidRDefault="00376725" w:rsidP="00B23607">
      <w:pPr>
        <w:ind w:firstLine="709"/>
        <w:jc w:val="both"/>
        <w:rPr>
          <w:sz w:val="20"/>
          <w:szCs w:val="20"/>
          <w:lang w:val="es-AR"/>
        </w:rPr>
      </w:pPr>
    </w:p>
    <w:p w14:paraId="2A49C009"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13)</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garanticen</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revocar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permitidas</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medida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fondos</w:t>
      </w:r>
      <w:r w:rsidR="001A28B3" w:rsidRPr="00EA7870">
        <w:rPr>
          <w:sz w:val="20"/>
          <w:szCs w:val="20"/>
          <w:lang w:val="es-AR"/>
        </w:rPr>
        <w:t xml:space="preserve"> </w:t>
      </w:r>
      <w:r w:rsidRPr="00EA7870">
        <w:rPr>
          <w:sz w:val="20"/>
          <w:szCs w:val="20"/>
          <w:lang w:val="es-AR"/>
        </w:rPr>
        <w:t>derivados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ello</w:t>
      </w:r>
      <w:r w:rsidR="001A28B3" w:rsidRPr="00EA7870">
        <w:rPr>
          <w:sz w:val="20"/>
          <w:szCs w:val="20"/>
          <w:lang w:val="es-AR"/>
        </w:rPr>
        <w:t xml:space="preserve"> </w:t>
      </w:r>
      <w:r w:rsidRPr="00EA7870">
        <w:rPr>
          <w:sz w:val="20"/>
          <w:szCs w:val="20"/>
          <w:lang w:val="es-AR"/>
        </w:rPr>
        <w:t>sean</w:t>
      </w:r>
      <w:r w:rsidR="001A28B3" w:rsidRPr="00EA7870">
        <w:rPr>
          <w:sz w:val="20"/>
          <w:szCs w:val="20"/>
          <w:lang w:val="es-AR"/>
        </w:rPr>
        <w:t xml:space="preserve"> </w:t>
      </w:r>
      <w:r w:rsidRPr="00EA7870">
        <w:rPr>
          <w:sz w:val="20"/>
          <w:szCs w:val="20"/>
          <w:lang w:val="es-AR"/>
        </w:rPr>
        <w:t>aplicados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concurrente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revocar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p>
    <w:p w14:paraId="6A58E8D7" w14:textId="77777777" w:rsidR="00376725" w:rsidRPr="00EA7870" w:rsidRDefault="00376725" w:rsidP="00376725">
      <w:pPr>
        <w:tabs>
          <w:tab w:val="left" w:pos="0"/>
          <w:tab w:val="right" w:leader="dot" w:pos="8505"/>
        </w:tabs>
        <w:ind w:firstLine="709"/>
        <w:jc w:val="both"/>
        <w:rPr>
          <w:sz w:val="20"/>
          <w:szCs w:val="20"/>
          <w:lang w:val="es-AR"/>
        </w:rPr>
      </w:pPr>
    </w:p>
    <w:p w14:paraId="6FE97C8F" w14:textId="7E4FD74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14)</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garantizar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incurrido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asumido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relación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prórroga,</w:t>
      </w:r>
      <w:r w:rsidR="001A28B3" w:rsidRPr="00EA7870">
        <w:rPr>
          <w:sz w:val="20"/>
          <w:szCs w:val="20"/>
          <w:lang w:val="es-AR"/>
        </w:rPr>
        <w:t xml:space="preserve"> </w:t>
      </w:r>
      <w:r w:rsidRPr="00EA7870">
        <w:rPr>
          <w:sz w:val="20"/>
          <w:szCs w:val="20"/>
          <w:lang w:val="es-AR"/>
        </w:rPr>
        <w:t>renovación,</w:t>
      </w:r>
      <w:r w:rsidR="001A28B3" w:rsidRPr="00EA7870">
        <w:rPr>
          <w:sz w:val="20"/>
          <w:szCs w:val="20"/>
          <w:lang w:val="es-AR"/>
        </w:rPr>
        <w:t xml:space="preserve"> </w:t>
      </w:r>
      <w:r w:rsidRPr="00EA7870">
        <w:rPr>
          <w:sz w:val="20"/>
          <w:szCs w:val="20"/>
          <w:lang w:val="es-AR"/>
        </w:rPr>
        <w:t>refinanciación,</w:t>
      </w:r>
      <w:r w:rsidR="001A28B3" w:rsidRPr="00EA7870">
        <w:rPr>
          <w:sz w:val="20"/>
          <w:szCs w:val="20"/>
          <w:lang w:val="es-AR"/>
        </w:rPr>
        <w:t xml:space="preserve"> </w:t>
      </w:r>
      <w:r w:rsidRPr="00EA7870">
        <w:rPr>
          <w:sz w:val="20"/>
          <w:szCs w:val="20"/>
          <w:lang w:val="es-AR"/>
        </w:rPr>
        <w:t>reintegro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canje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prórrogas,</w:t>
      </w:r>
      <w:r w:rsidR="001A28B3" w:rsidRPr="00EA7870">
        <w:rPr>
          <w:sz w:val="20"/>
          <w:szCs w:val="20"/>
          <w:lang w:val="es-AR"/>
        </w:rPr>
        <w:t xml:space="preserve"> </w:t>
      </w:r>
      <w:r w:rsidRPr="00EA7870">
        <w:rPr>
          <w:sz w:val="20"/>
          <w:szCs w:val="20"/>
          <w:lang w:val="es-AR"/>
        </w:rPr>
        <w:t>renovaciones,</w:t>
      </w:r>
      <w:r w:rsidR="001A28B3" w:rsidRPr="00EA7870">
        <w:rPr>
          <w:sz w:val="20"/>
          <w:szCs w:val="20"/>
          <w:lang w:val="es-AR"/>
        </w:rPr>
        <w:t xml:space="preserve"> </w:t>
      </w:r>
      <w:r w:rsidRPr="00EA7870">
        <w:rPr>
          <w:sz w:val="20"/>
          <w:szCs w:val="20"/>
          <w:lang w:val="es-AR"/>
        </w:rPr>
        <w:t>refinanciaciones,</w:t>
      </w:r>
      <w:r w:rsidR="001A28B3" w:rsidRPr="00EA7870">
        <w:rPr>
          <w:sz w:val="20"/>
          <w:szCs w:val="20"/>
          <w:lang w:val="es-AR"/>
        </w:rPr>
        <w:t xml:space="preserve"> </w:t>
      </w:r>
      <w:r w:rsidRPr="00EA7870">
        <w:rPr>
          <w:sz w:val="20"/>
          <w:szCs w:val="20"/>
          <w:lang w:val="es-AR"/>
        </w:rPr>
        <w:t>reintegros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canjes</w:t>
      </w:r>
      <w:r w:rsidR="001A28B3" w:rsidRPr="00EA7870">
        <w:rPr>
          <w:sz w:val="20"/>
          <w:szCs w:val="20"/>
          <w:lang w:val="es-AR"/>
        </w:rPr>
        <w:t xml:space="preserve"> </w:t>
      </w:r>
      <w:r w:rsidRPr="00EA7870">
        <w:rPr>
          <w:sz w:val="20"/>
          <w:szCs w:val="20"/>
          <w:lang w:val="es-AR"/>
        </w:rPr>
        <w:t>sucesivos),</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parcialmente,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garantizado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referidos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apartados</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(4)</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w:t>
      </w:r>
      <w:r w:rsidR="00E7623A" w:rsidRPr="00EA7870">
        <w:rPr>
          <w:sz w:val="20"/>
          <w:szCs w:val="20"/>
          <w:lang w:val="es-AR"/>
        </w:rPr>
        <w:t>9</w:t>
      </w:r>
      <w:r w:rsidRPr="00EA7870">
        <w:rPr>
          <w:sz w:val="20"/>
          <w:szCs w:val="20"/>
          <w:lang w:val="es-AR"/>
        </w:rPr>
        <w:t>)</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(1</w:t>
      </w:r>
      <w:r w:rsidR="00E7623A" w:rsidRPr="00EA7870">
        <w:rPr>
          <w:sz w:val="20"/>
          <w:szCs w:val="20"/>
          <w:lang w:val="es-AR"/>
        </w:rPr>
        <w:t>3</w:t>
      </w:r>
      <w:r w:rsidRPr="00EA7870">
        <w:rPr>
          <w:sz w:val="20"/>
          <w:szCs w:val="20"/>
          <w:lang w:val="es-AR"/>
        </w:rPr>
        <w:t>)</w:t>
      </w:r>
      <w:r w:rsidR="001A28B3" w:rsidRPr="00EA7870">
        <w:rPr>
          <w:sz w:val="20"/>
          <w:szCs w:val="20"/>
          <w:lang w:val="es-AR"/>
        </w:rPr>
        <w:t xml:space="preserve"> </w:t>
      </w:r>
      <w:r w:rsidRPr="00EA7870">
        <w:rPr>
          <w:sz w:val="20"/>
          <w:szCs w:val="20"/>
          <w:lang w:val="es-AR"/>
        </w:rPr>
        <w:t>anteriores,</w:t>
      </w:r>
      <w:r w:rsidR="001A28B3" w:rsidRPr="00EA7870">
        <w:rPr>
          <w:sz w:val="20"/>
          <w:szCs w:val="20"/>
          <w:lang w:val="es-AR"/>
        </w:rPr>
        <w:t xml:space="preserve"> </w:t>
      </w:r>
      <w:r w:rsidRPr="00EA7870">
        <w:rPr>
          <w:i/>
          <w:sz w:val="20"/>
          <w:szCs w:val="20"/>
          <w:lang w:val="es-AR"/>
        </w:rPr>
        <w:t>quedando</w:t>
      </w:r>
      <w:r w:rsidR="001A28B3" w:rsidRPr="00EA7870">
        <w:rPr>
          <w:i/>
          <w:sz w:val="20"/>
          <w:szCs w:val="20"/>
          <w:lang w:val="es-AR"/>
        </w:rPr>
        <w:t xml:space="preserve"> </w:t>
      </w:r>
      <w:r w:rsidRPr="00EA7870">
        <w:rPr>
          <w:i/>
          <w:sz w:val="20"/>
          <w:szCs w:val="20"/>
          <w:lang w:val="es-AR"/>
        </w:rPr>
        <w:t>establecido</w:t>
      </w:r>
      <w:r w:rsidR="001A28B3" w:rsidRPr="00EA7870">
        <w:rPr>
          <w:i/>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dichos</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extenderse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Bien</w:t>
      </w:r>
      <w:r w:rsidR="001A28B3" w:rsidRPr="00EA7870">
        <w:rPr>
          <w:sz w:val="20"/>
          <w:szCs w:val="20"/>
          <w:lang w:val="es-AR"/>
        </w:rPr>
        <w:t xml:space="preserve"> </w:t>
      </w:r>
      <w:r w:rsidRPr="00EA7870">
        <w:rPr>
          <w:sz w:val="20"/>
          <w:szCs w:val="20"/>
          <w:lang w:val="es-AR"/>
        </w:rPr>
        <w:t>distinto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Bienes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relacionan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garantizan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renovado,</w:t>
      </w:r>
      <w:r w:rsidR="001A28B3" w:rsidRPr="00EA7870">
        <w:rPr>
          <w:sz w:val="20"/>
          <w:szCs w:val="20"/>
          <w:lang w:val="es-AR"/>
        </w:rPr>
        <w:t xml:space="preserve"> </w:t>
      </w:r>
      <w:r w:rsidRPr="00EA7870">
        <w:rPr>
          <w:sz w:val="20"/>
          <w:szCs w:val="20"/>
          <w:lang w:val="es-AR"/>
        </w:rPr>
        <w:t>prorrogado,</w:t>
      </w:r>
      <w:r w:rsidR="001A28B3" w:rsidRPr="00EA7870">
        <w:rPr>
          <w:sz w:val="20"/>
          <w:szCs w:val="20"/>
          <w:lang w:val="es-AR"/>
        </w:rPr>
        <w:t xml:space="preserve"> </w:t>
      </w:r>
      <w:r w:rsidRPr="00EA7870">
        <w:rPr>
          <w:sz w:val="20"/>
          <w:szCs w:val="20"/>
          <w:lang w:val="es-AR"/>
        </w:rPr>
        <w:t>refinanciado,</w:t>
      </w:r>
      <w:r w:rsidR="001A28B3" w:rsidRPr="00EA7870">
        <w:rPr>
          <w:sz w:val="20"/>
          <w:szCs w:val="20"/>
          <w:lang w:val="es-AR"/>
        </w:rPr>
        <w:t xml:space="preserve"> </w:t>
      </w:r>
      <w:r w:rsidRPr="00EA7870">
        <w:rPr>
          <w:sz w:val="20"/>
          <w:szCs w:val="20"/>
          <w:lang w:val="es-AR"/>
        </w:rPr>
        <w:t>reintegrado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canjeado;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i/>
          <w:sz w:val="20"/>
          <w:szCs w:val="20"/>
          <w:lang w:val="es-AR"/>
        </w:rPr>
        <w:t>siempre</w:t>
      </w:r>
      <w:r w:rsidR="001A28B3" w:rsidRPr="00EA7870">
        <w:rPr>
          <w:i/>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exceda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renueva,</w:t>
      </w:r>
      <w:r w:rsidR="001A28B3" w:rsidRPr="00EA7870">
        <w:rPr>
          <w:sz w:val="20"/>
          <w:szCs w:val="20"/>
          <w:lang w:val="es-AR"/>
        </w:rPr>
        <w:t xml:space="preserve"> </w:t>
      </w:r>
      <w:r w:rsidRPr="00EA7870">
        <w:rPr>
          <w:sz w:val="20"/>
          <w:szCs w:val="20"/>
          <w:lang w:val="es-AR"/>
        </w:rPr>
        <w:t>prorroga,</w:t>
      </w:r>
      <w:r w:rsidR="001A28B3" w:rsidRPr="00EA7870">
        <w:rPr>
          <w:sz w:val="20"/>
          <w:szCs w:val="20"/>
          <w:lang w:val="es-AR"/>
        </w:rPr>
        <w:t xml:space="preserve"> </w:t>
      </w:r>
      <w:r w:rsidRPr="00EA7870">
        <w:rPr>
          <w:sz w:val="20"/>
          <w:szCs w:val="20"/>
          <w:lang w:val="es-AR"/>
        </w:rPr>
        <w:t>refinancia,</w:t>
      </w:r>
      <w:r w:rsidR="001A28B3" w:rsidRPr="00EA7870">
        <w:rPr>
          <w:sz w:val="20"/>
          <w:szCs w:val="20"/>
          <w:lang w:val="es-AR"/>
        </w:rPr>
        <w:t xml:space="preserve"> </w:t>
      </w:r>
      <w:r w:rsidRPr="00EA7870">
        <w:rPr>
          <w:sz w:val="20"/>
          <w:szCs w:val="20"/>
          <w:lang w:val="es-AR"/>
        </w:rPr>
        <w:t>reintegra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canjea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(iii)</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menor</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renueva,</w:t>
      </w:r>
      <w:r w:rsidR="001A28B3" w:rsidRPr="00EA7870">
        <w:rPr>
          <w:sz w:val="20"/>
          <w:szCs w:val="20"/>
          <w:lang w:val="es-AR"/>
        </w:rPr>
        <w:t xml:space="preserve"> </w:t>
      </w:r>
      <w:r w:rsidRPr="00EA7870">
        <w:rPr>
          <w:sz w:val="20"/>
          <w:szCs w:val="20"/>
          <w:lang w:val="es-AR"/>
        </w:rPr>
        <w:t>prorroga,</w:t>
      </w:r>
      <w:r w:rsidR="001A28B3" w:rsidRPr="00EA7870">
        <w:rPr>
          <w:sz w:val="20"/>
          <w:szCs w:val="20"/>
          <w:lang w:val="es-AR"/>
        </w:rPr>
        <w:t xml:space="preserve"> </w:t>
      </w:r>
      <w:r w:rsidRPr="00EA7870">
        <w:rPr>
          <w:sz w:val="20"/>
          <w:szCs w:val="20"/>
          <w:lang w:val="es-AR"/>
        </w:rPr>
        <w:t>refinancia,</w:t>
      </w:r>
      <w:r w:rsidR="001A28B3" w:rsidRPr="00EA7870">
        <w:rPr>
          <w:sz w:val="20"/>
          <w:szCs w:val="20"/>
          <w:lang w:val="es-AR"/>
        </w:rPr>
        <w:t xml:space="preserve"> </w:t>
      </w:r>
      <w:r w:rsidRPr="00EA7870">
        <w:rPr>
          <w:sz w:val="20"/>
          <w:szCs w:val="20"/>
          <w:lang w:val="es-AR"/>
        </w:rPr>
        <w:t>reintegra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canjea;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p>
    <w:p w14:paraId="6B5C6ED6" w14:textId="77777777" w:rsidR="00376725" w:rsidRPr="00EA7870" w:rsidRDefault="00376725" w:rsidP="00376725">
      <w:pPr>
        <w:tabs>
          <w:tab w:val="left" w:pos="0"/>
          <w:tab w:val="right" w:leader="dot" w:pos="8505"/>
        </w:tabs>
        <w:ind w:firstLine="709"/>
        <w:jc w:val="both"/>
        <w:rPr>
          <w:sz w:val="20"/>
          <w:szCs w:val="20"/>
          <w:lang w:val="es-AR"/>
        </w:rPr>
      </w:pPr>
    </w:p>
    <w:p w14:paraId="5414EF5E"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15)</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Gravámenes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previstos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apartados</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(1</w:t>
      </w:r>
      <w:r w:rsidR="00DC5EC8" w:rsidRPr="00EA7870">
        <w:rPr>
          <w:sz w:val="20"/>
          <w:szCs w:val="20"/>
          <w:lang w:val="es-AR"/>
        </w:rPr>
        <w:t>4</w:t>
      </w:r>
      <w:r w:rsidRPr="00EA7870">
        <w:rPr>
          <w:sz w:val="20"/>
          <w:szCs w:val="20"/>
          <w:lang w:val="es-AR"/>
        </w:rPr>
        <w:t>)</w:t>
      </w:r>
      <w:r w:rsidR="001A28B3" w:rsidRPr="00EA7870">
        <w:rPr>
          <w:sz w:val="20"/>
          <w:szCs w:val="20"/>
          <w:lang w:val="es-AR"/>
        </w:rPr>
        <w:t xml:space="preserve"> </w:t>
      </w:r>
      <w:r w:rsidRPr="00EA7870">
        <w:rPr>
          <w:sz w:val="20"/>
          <w:szCs w:val="20"/>
          <w:lang w:val="es-AR"/>
        </w:rPr>
        <w:t>anteriores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totalidad</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Bien</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futuro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Subsidiaria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garantizar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exceda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10%</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Activos</w:t>
      </w:r>
      <w:r w:rsidR="001A28B3" w:rsidRPr="00EA7870">
        <w:rPr>
          <w:sz w:val="20"/>
          <w:szCs w:val="20"/>
          <w:lang w:val="es-AR"/>
        </w:rPr>
        <w:t xml:space="preserve"> </w:t>
      </w:r>
      <w:r w:rsidRPr="00EA7870">
        <w:rPr>
          <w:sz w:val="20"/>
          <w:szCs w:val="20"/>
          <w:lang w:val="es-AR"/>
        </w:rPr>
        <w:t>Totales</w:t>
      </w:r>
      <w:r w:rsidR="001A28B3" w:rsidRPr="00EA7870">
        <w:rPr>
          <w:sz w:val="20"/>
          <w:szCs w:val="20"/>
          <w:lang w:val="es-AR"/>
        </w:rPr>
        <w:t xml:space="preserve"> </w:t>
      </w:r>
      <w:r w:rsidRPr="00EA7870">
        <w:rPr>
          <w:sz w:val="20"/>
          <w:szCs w:val="20"/>
          <w:lang w:val="es-AR"/>
        </w:rPr>
        <w:t>Consolidados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refleja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últimos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Pr="00EA7870">
        <w:rPr>
          <w:sz w:val="20"/>
          <w:szCs w:val="20"/>
          <w:lang w:val="es-AR"/>
        </w:rPr>
        <w:t>consolidados.</w:t>
      </w:r>
      <w:r w:rsidR="001A28B3" w:rsidRPr="00EA7870">
        <w:rPr>
          <w:sz w:val="20"/>
          <w:szCs w:val="20"/>
          <w:lang w:val="es-AR"/>
        </w:rPr>
        <w:t xml:space="preserve"> </w:t>
      </w:r>
    </w:p>
    <w:p w14:paraId="422FCB14" w14:textId="77777777" w:rsidR="00376725" w:rsidRPr="00EA7870" w:rsidRDefault="00376725" w:rsidP="00376725">
      <w:pPr>
        <w:tabs>
          <w:tab w:val="left" w:pos="0"/>
          <w:tab w:val="right" w:leader="dot" w:pos="8505"/>
        </w:tabs>
        <w:ind w:firstLine="709"/>
        <w:jc w:val="both"/>
        <w:rPr>
          <w:sz w:val="20"/>
          <w:szCs w:val="20"/>
          <w:lang w:val="es-AR"/>
        </w:rPr>
      </w:pPr>
    </w:p>
    <w:p w14:paraId="3E8EA79D" w14:textId="77777777" w:rsidR="00376725" w:rsidRPr="00EA7870" w:rsidRDefault="00376725" w:rsidP="00376725">
      <w:pPr>
        <w:tabs>
          <w:tab w:val="left" w:pos="0"/>
          <w:tab w:val="right" w:leader="dot" w:pos="8505"/>
        </w:tabs>
        <w:ind w:firstLine="709"/>
        <w:jc w:val="both"/>
        <w:rPr>
          <w:spacing w:val="-2"/>
          <w:sz w:val="20"/>
          <w:szCs w:val="20"/>
          <w:lang w:val="es-AR"/>
        </w:rPr>
      </w:pPr>
      <w:r w:rsidRPr="00EA7870">
        <w:rPr>
          <w:color w:val="000000"/>
          <w:sz w:val="20"/>
          <w:szCs w:val="20"/>
          <w:lang w:val="es-AR"/>
        </w:rPr>
        <w:t>“</w:t>
      </w:r>
      <w:r w:rsidRPr="00EA7870">
        <w:rPr>
          <w:b/>
          <w:color w:val="000000"/>
          <w:sz w:val="20"/>
          <w:szCs w:val="20"/>
          <w:lang w:val="es-AR"/>
        </w:rPr>
        <w:t>Certificado</w:t>
      </w:r>
      <w:r w:rsidR="001A28B3" w:rsidRPr="00EA7870">
        <w:rPr>
          <w:b/>
          <w:color w:val="000000"/>
          <w:sz w:val="20"/>
          <w:szCs w:val="20"/>
          <w:lang w:val="es-AR"/>
        </w:rPr>
        <w:t xml:space="preserve"> </w:t>
      </w:r>
      <w:r w:rsidRPr="00EA7870">
        <w:rPr>
          <w:b/>
          <w:color w:val="000000"/>
          <w:sz w:val="20"/>
          <w:szCs w:val="20"/>
          <w:lang w:val="es-AR"/>
        </w:rPr>
        <w:t>de</w:t>
      </w:r>
      <w:r w:rsidR="001A28B3" w:rsidRPr="00EA7870">
        <w:rPr>
          <w:b/>
          <w:color w:val="000000"/>
          <w:sz w:val="20"/>
          <w:szCs w:val="20"/>
          <w:lang w:val="es-AR"/>
        </w:rPr>
        <w:t xml:space="preserve"> </w:t>
      </w:r>
      <w:r w:rsidRPr="00EA7870">
        <w:rPr>
          <w:b/>
          <w:color w:val="000000"/>
          <w:sz w:val="20"/>
          <w:szCs w:val="20"/>
          <w:lang w:val="es-AR"/>
        </w:rPr>
        <w:t>Funcionarios</w:t>
      </w:r>
      <w:r w:rsidRPr="00EA7870">
        <w:rPr>
          <w:color w:val="000000"/>
          <w:sz w:val="20"/>
          <w:szCs w:val="20"/>
          <w:lang w:val="es-AR"/>
        </w:rPr>
        <w:t>”</w:t>
      </w:r>
      <w:r w:rsidR="001A28B3" w:rsidRPr="00EA7870">
        <w:rPr>
          <w:color w:val="000000"/>
          <w:sz w:val="20"/>
          <w:szCs w:val="20"/>
          <w:lang w:val="es-AR"/>
        </w:rPr>
        <w:t xml:space="preserve"> </w:t>
      </w:r>
      <w:r w:rsidRPr="00EA7870">
        <w:rPr>
          <w:color w:val="000000"/>
          <w:sz w:val="20"/>
          <w:szCs w:val="20"/>
          <w:lang w:val="es-AR"/>
        </w:rPr>
        <w:t>significa,</w:t>
      </w:r>
      <w:r w:rsidR="001A28B3" w:rsidRPr="00EA7870">
        <w:rPr>
          <w:color w:val="000000"/>
          <w:sz w:val="20"/>
          <w:szCs w:val="20"/>
          <w:lang w:val="es-AR"/>
        </w:rPr>
        <w:t xml:space="preserve"> </w:t>
      </w:r>
      <w:r w:rsidRPr="00EA7870">
        <w:rPr>
          <w:spacing w:val="-2"/>
          <w:sz w:val="20"/>
          <w:szCs w:val="20"/>
          <w:lang w:val="es-AR"/>
        </w:rPr>
        <w:t>respecto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cualquier</w:t>
      </w:r>
      <w:r w:rsidR="001A28B3" w:rsidRPr="00EA7870">
        <w:rPr>
          <w:spacing w:val="-2"/>
          <w:sz w:val="20"/>
          <w:szCs w:val="20"/>
          <w:lang w:val="es-AR"/>
        </w:rPr>
        <w:t xml:space="preserve"> </w:t>
      </w:r>
      <w:r w:rsidRPr="00EA7870">
        <w:rPr>
          <w:spacing w:val="-2"/>
          <w:sz w:val="20"/>
          <w:szCs w:val="20"/>
          <w:lang w:val="es-AR"/>
        </w:rPr>
        <w:t>Persona,</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certificado</w:t>
      </w:r>
      <w:r w:rsidR="001A28B3" w:rsidRPr="00EA7870">
        <w:rPr>
          <w:spacing w:val="-2"/>
          <w:sz w:val="20"/>
          <w:szCs w:val="20"/>
          <w:lang w:val="es-AR"/>
        </w:rPr>
        <w:t xml:space="preserve"> </w:t>
      </w:r>
      <w:r w:rsidRPr="00EA7870">
        <w:rPr>
          <w:spacing w:val="-2"/>
          <w:sz w:val="20"/>
          <w:szCs w:val="20"/>
          <w:lang w:val="es-AR"/>
        </w:rPr>
        <w:t>firmado</w:t>
      </w:r>
      <w:r w:rsidR="001A28B3" w:rsidRPr="00EA7870">
        <w:rPr>
          <w:spacing w:val="-2"/>
          <w:sz w:val="20"/>
          <w:szCs w:val="20"/>
          <w:lang w:val="es-AR"/>
        </w:rPr>
        <w:t xml:space="preserve"> </w:t>
      </w:r>
      <w:r w:rsidRPr="00EA7870">
        <w:rPr>
          <w:spacing w:val="-2"/>
          <w:sz w:val="20"/>
          <w:szCs w:val="20"/>
          <w:lang w:val="es-AR"/>
        </w:rPr>
        <w:t>por</w:t>
      </w:r>
      <w:r w:rsidR="001A28B3" w:rsidRPr="00EA7870">
        <w:rPr>
          <w:spacing w:val="-2"/>
          <w:sz w:val="20"/>
          <w:szCs w:val="20"/>
          <w:lang w:val="es-AR"/>
        </w:rPr>
        <w:t xml:space="preserve"> </w:t>
      </w:r>
      <w:r w:rsidRPr="00EA7870">
        <w:rPr>
          <w:spacing w:val="-2"/>
          <w:sz w:val="20"/>
          <w:szCs w:val="20"/>
          <w:lang w:val="es-AR"/>
        </w:rPr>
        <w:t>dos</w:t>
      </w:r>
      <w:r w:rsidR="001A28B3" w:rsidRPr="00EA7870">
        <w:rPr>
          <w:spacing w:val="-2"/>
          <w:sz w:val="20"/>
          <w:szCs w:val="20"/>
          <w:lang w:val="es-AR"/>
        </w:rPr>
        <w:t xml:space="preserve"> </w:t>
      </w:r>
      <w:r w:rsidRPr="00EA7870">
        <w:rPr>
          <w:spacing w:val="-2"/>
          <w:sz w:val="20"/>
          <w:szCs w:val="20"/>
          <w:lang w:val="es-AR"/>
        </w:rPr>
        <w:t>funcionarios</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dicha</w:t>
      </w:r>
      <w:r w:rsidR="001A28B3" w:rsidRPr="00EA7870">
        <w:rPr>
          <w:spacing w:val="-2"/>
          <w:sz w:val="20"/>
          <w:szCs w:val="20"/>
          <w:lang w:val="es-AR"/>
        </w:rPr>
        <w:t xml:space="preserve"> </w:t>
      </w:r>
      <w:r w:rsidRPr="00EA7870">
        <w:rPr>
          <w:spacing w:val="-2"/>
          <w:sz w:val="20"/>
          <w:szCs w:val="20"/>
          <w:lang w:val="es-AR"/>
        </w:rPr>
        <w:t>Persona,</w:t>
      </w:r>
      <w:r w:rsidR="001A28B3" w:rsidRPr="00EA7870">
        <w:rPr>
          <w:spacing w:val="-2"/>
          <w:sz w:val="20"/>
          <w:szCs w:val="20"/>
          <w:lang w:val="es-AR"/>
        </w:rPr>
        <w:t xml:space="preserve"> </w:t>
      </w:r>
      <w:r w:rsidRPr="00EA7870">
        <w:rPr>
          <w:spacing w:val="-2"/>
          <w:sz w:val="20"/>
          <w:szCs w:val="20"/>
          <w:lang w:val="es-AR"/>
        </w:rPr>
        <w:t>uno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los</w:t>
      </w:r>
      <w:r w:rsidR="001A28B3" w:rsidRPr="00EA7870">
        <w:rPr>
          <w:spacing w:val="-2"/>
          <w:sz w:val="20"/>
          <w:szCs w:val="20"/>
          <w:lang w:val="es-AR"/>
        </w:rPr>
        <w:t xml:space="preserve"> </w:t>
      </w:r>
      <w:r w:rsidRPr="00EA7870">
        <w:rPr>
          <w:spacing w:val="-2"/>
          <w:sz w:val="20"/>
          <w:szCs w:val="20"/>
          <w:lang w:val="es-AR"/>
        </w:rPr>
        <w:t>cuales</w:t>
      </w:r>
      <w:r w:rsidR="001A28B3" w:rsidRPr="00EA7870">
        <w:rPr>
          <w:spacing w:val="-2"/>
          <w:sz w:val="20"/>
          <w:szCs w:val="20"/>
          <w:lang w:val="es-AR"/>
        </w:rPr>
        <w:t xml:space="preserve"> </w:t>
      </w:r>
      <w:r w:rsidRPr="00EA7870">
        <w:rPr>
          <w:spacing w:val="-2"/>
          <w:sz w:val="20"/>
          <w:szCs w:val="20"/>
          <w:lang w:val="es-AR"/>
        </w:rPr>
        <w:t>sea</w:t>
      </w:r>
      <w:r w:rsidR="001A28B3" w:rsidRPr="00EA7870">
        <w:rPr>
          <w:spacing w:val="-2"/>
          <w:sz w:val="20"/>
          <w:szCs w:val="20"/>
          <w:lang w:val="es-AR"/>
        </w:rPr>
        <w:t xml:space="preserve"> </w:t>
      </w:r>
      <w:r w:rsidRPr="00EA7870">
        <w:rPr>
          <w:spacing w:val="-2"/>
          <w:sz w:val="20"/>
          <w:szCs w:val="20"/>
          <w:lang w:val="es-AR"/>
        </w:rPr>
        <w:t>director</w:t>
      </w:r>
      <w:r w:rsidR="001A28B3" w:rsidRPr="00EA7870">
        <w:rPr>
          <w:spacing w:val="-2"/>
          <w:sz w:val="20"/>
          <w:szCs w:val="20"/>
          <w:lang w:val="es-AR"/>
        </w:rPr>
        <w:t xml:space="preserve"> </w:t>
      </w:r>
      <w:r w:rsidRPr="00EA7870">
        <w:rPr>
          <w:spacing w:val="-2"/>
          <w:sz w:val="20"/>
          <w:szCs w:val="20"/>
          <w:lang w:val="es-AR"/>
        </w:rPr>
        <w:t>ejecutivo,</w:t>
      </w:r>
      <w:r w:rsidR="001A28B3" w:rsidRPr="00EA7870">
        <w:rPr>
          <w:spacing w:val="-2"/>
          <w:sz w:val="20"/>
          <w:szCs w:val="20"/>
          <w:lang w:val="es-AR"/>
        </w:rPr>
        <w:t xml:space="preserve"> </w:t>
      </w:r>
      <w:r w:rsidRPr="00EA7870">
        <w:rPr>
          <w:spacing w:val="-2"/>
          <w:sz w:val="20"/>
          <w:szCs w:val="20"/>
          <w:lang w:val="es-AR"/>
        </w:rPr>
        <w:t>director</w:t>
      </w:r>
      <w:r w:rsidR="001A28B3" w:rsidRPr="00EA7870">
        <w:rPr>
          <w:spacing w:val="-2"/>
          <w:sz w:val="20"/>
          <w:szCs w:val="20"/>
          <w:lang w:val="es-AR"/>
        </w:rPr>
        <w:t xml:space="preserve"> </w:t>
      </w:r>
      <w:r w:rsidRPr="00EA7870">
        <w:rPr>
          <w:spacing w:val="-2"/>
          <w:sz w:val="20"/>
          <w:szCs w:val="20"/>
          <w:lang w:val="es-AR"/>
        </w:rPr>
        <w:t>financiero,</w:t>
      </w:r>
      <w:r w:rsidR="001A28B3" w:rsidRPr="00EA7870">
        <w:rPr>
          <w:spacing w:val="-2"/>
          <w:sz w:val="20"/>
          <w:szCs w:val="20"/>
          <w:lang w:val="es-AR"/>
        </w:rPr>
        <w:t xml:space="preserve"> </w:t>
      </w:r>
      <w:r w:rsidRPr="00EA7870">
        <w:rPr>
          <w:spacing w:val="-2"/>
          <w:sz w:val="20"/>
          <w:szCs w:val="20"/>
          <w:lang w:val="es-AR"/>
        </w:rPr>
        <w:t>tesorero</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director</w:t>
      </w:r>
      <w:r w:rsidR="001A28B3" w:rsidRPr="00EA7870">
        <w:rPr>
          <w:spacing w:val="-2"/>
          <w:sz w:val="20"/>
          <w:szCs w:val="20"/>
          <w:lang w:val="es-AR"/>
        </w:rPr>
        <w:t xml:space="preserve"> </w:t>
      </w:r>
      <w:r w:rsidRPr="00EA7870">
        <w:rPr>
          <w:spacing w:val="-2"/>
          <w:sz w:val="20"/>
          <w:szCs w:val="20"/>
          <w:lang w:val="es-AR"/>
        </w:rPr>
        <w:t>contable,</w:t>
      </w:r>
      <w:r w:rsidR="001A28B3" w:rsidRPr="00EA7870">
        <w:rPr>
          <w:spacing w:val="-2"/>
          <w:sz w:val="20"/>
          <w:szCs w:val="20"/>
          <w:lang w:val="es-AR"/>
        </w:rPr>
        <w:t xml:space="preserve"> </w:t>
      </w:r>
      <w:r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protesorero</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prosecretario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dicha</w:t>
      </w:r>
      <w:r w:rsidR="001A28B3" w:rsidRPr="00EA7870">
        <w:rPr>
          <w:spacing w:val="-2"/>
          <w:sz w:val="20"/>
          <w:szCs w:val="20"/>
          <w:lang w:val="es-AR"/>
        </w:rPr>
        <w:t xml:space="preserve"> </w:t>
      </w:r>
      <w:r w:rsidRPr="00EA7870">
        <w:rPr>
          <w:spacing w:val="-2"/>
          <w:sz w:val="20"/>
          <w:szCs w:val="20"/>
          <w:lang w:val="es-AR"/>
        </w:rPr>
        <w:t>Persona.</w:t>
      </w:r>
    </w:p>
    <w:p w14:paraId="01C11AB7" w14:textId="77777777" w:rsidR="00376725" w:rsidRPr="00EA7870" w:rsidRDefault="00376725" w:rsidP="00376725">
      <w:pPr>
        <w:tabs>
          <w:tab w:val="left" w:pos="0"/>
          <w:tab w:val="right" w:leader="dot" w:pos="8505"/>
        </w:tabs>
        <w:ind w:firstLine="709"/>
        <w:jc w:val="both"/>
        <w:rPr>
          <w:spacing w:val="-2"/>
          <w:sz w:val="20"/>
          <w:szCs w:val="20"/>
          <w:lang w:val="es-AR"/>
        </w:rPr>
      </w:pPr>
    </w:p>
    <w:p w14:paraId="682A8870" w14:textId="77777777" w:rsidR="00376725" w:rsidRPr="00EA7870" w:rsidRDefault="00376725" w:rsidP="00376725">
      <w:pPr>
        <w:tabs>
          <w:tab w:val="left" w:pos="0"/>
          <w:tab w:val="right" w:leader="dot" w:pos="8505"/>
        </w:tabs>
        <w:ind w:firstLine="709"/>
        <w:jc w:val="both"/>
        <w:rPr>
          <w:spacing w:val="-2"/>
          <w:sz w:val="20"/>
          <w:szCs w:val="20"/>
          <w:lang w:val="es-AR"/>
        </w:rPr>
      </w:pPr>
      <w:r w:rsidRPr="00EA7870">
        <w:rPr>
          <w:spacing w:val="-2"/>
          <w:sz w:val="20"/>
          <w:szCs w:val="20"/>
          <w:lang w:val="es-AR"/>
        </w:rPr>
        <w:t>“</w:t>
      </w:r>
      <w:r w:rsidRPr="00EA7870">
        <w:rPr>
          <w:b/>
          <w:spacing w:val="-2"/>
          <w:sz w:val="20"/>
          <w:szCs w:val="20"/>
          <w:lang w:val="es-AR"/>
        </w:rPr>
        <w:t>Opinión</w:t>
      </w:r>
      <w:r w:rsidR="001A28B3" w:rsidRPr="00EA7870">
        <w:rPr>
          <w:b/>
          <w:spacing w:val="-2"/>
          <w:sz w:val="20"/>
          <w:szCs w:val="20"/>
          <w:lang w:val="es-AR"/>
        </w:rPr>
        <w:t xml:space="preserve"> </w:t>
      </w:r>
      <w:r w:rsidRPr="00EA7870">
        <w:rPr>
          <w:b/>
          <w:spacing w:val="-2"/>
          <w:sz w:val="20"/>
          <w:szCs w:val="20"/>
          <w:lang w:val="es-AR"/>
        </w:rPr>
        <w:t>Legal</w:t>
      </w:r>
      <w:r w:rsidRPr="00EA7870">
        <w:rPr>
          <w:spacing w:val="-2"/>
          <w:sz w:val="20"/>
          <w:szCs w:val="20"/>
          <w:lang w:val="es-AR"/>
        </w:rPr>
        <w:t>”</w:t>
      </w:r>
      <w:r w:rsidR="001A28B3" w:rsidRPr="00EA7870">
        <w:rPr>
          <w:spacing w:val="-2"/>
          <w:sz w:val="20"/>
          <w:szCs w:val="20"/>
          <w:lang w:val="es-AR"/>
        </w:rPr>
        <w:t xml:space="preserve"> </w:t>
      </w:r>
      <w:r w:rsidRPr="00EA7870">
        <w:rPr>
          <w:spacing w:val="-2"/>
          <w:sz w:val="20"/>
          <w:szCs w:val="20"/>
          <w:lang w:val="es-AR"/>
        </w:rPr>
        <w:t>significa</w:t>
      </w:r>
      <w:r w:rsidR="001A28B3" w:rsidRPr="00EA7870">
        <w:rPr>
          <w:spacing w:val="-2"/>
          <w:sz w:val="20"/>
          <w:szCs w:val="20"/>
          <w:lang w:val="es-AR"/>
        </w:rPr>
        <w:t xml:space="preserve"> </w:t>
      </w:r>
      <w:r w:rsidRPr="00EA7870">
        <w:rPr>
          <w:spacing w:val="-2"/>
          <w:sz w:val="20"/>
          <w:szCs w:val="20"/>
          <w:lang w:val="es-AR"/>
        </w:rPr>
        <w:t>una</w:t>
      </w:r>
      <w:r w:rsidR="001A28B3" w:rsidRPr="00EA7870">
        <w:rPr>
          <w:spacing w:val="-2"/>
          <w:sz w:val="20"/>
          <w:szCs w:val="20"/>
          <w:lang w:val="es-AR"/>
        </w:rPr>
        <w:t xml:space="preserve"> </w:t>
      </w:r>
      <w:r w:rsidRPr="00EA7870">
        <w:rPr>
          <w:spacing w:val="-2"/>
          <w:sz w:val="20"/>
          <w:szCs w:val="20"/>
          <w:lang w:val="es-AR"/>
        </w:rPr>
        <w:t>opinión</w:t>
      </w:r>
      <w:r w:rsidR="001A28B3" w:rsidRPr="00EA7870">
        <w:rPr>
          <w:spacing w:val="-2"/>
          <w:sz w:val="20"/>
          <w:szCs w:val="20"/>
          <w:lang w:val="es-AR"/>
        </w:rPr>
        <w:t xml:space="preserve"> </w:t>
      </w:r>
      <w:r w:rsidRPr="00EA7870">
        <w:rPr>
          <w:spacing w:val="-2"/>
          <w:sz w:val="20"/>
          <w:szCs w:val="20"/>
          <w:lang w:val="es-AR"/>
        </w:rPr>
        <w:t>escrita</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un</w:t>
      </w:r>
      <w:r w:rsidR="001A28B3" w:rsidRPr="00EA7870">
        <w:rPr>
          <w:spacing w:val="-2"/>
          <w:sz w:val="20"/>
          <w:szCs w:val="20"/>
          <w:lang w:val="es-AR"/>
        </w:rPr>
        <w:t xml:space="preserve"> </w:t>
      </w:r>
      <w:r w:rsidRPr="00EA7870">
        <w:rPr>
          <w:spacing w:val="-2"/>
          <w:sz w:val="20"/>
          <w:szCs w:val="20"/>
          <w:lang w:val="es-AR"/>
        </w:rPr>
        <w:t>abogado,</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puede</w:t>
      </w:r>
      <w:r w:rsidR="001A28B3" w:rsidRPr="00EA7870">
        <w:rPr>
          <w:spacing w:val="-2"/>
          <w:sz w:val="20"/>
          <w:szCs w:val="20"/>
          <w:lang w:val="es-AR"/>
        </w:rPr>
        <w:t xml:space="preserve"> </w:t>
      </w:r>
      <w:r w:rsidRPr="00EA7870">
        <w:rPr>
          <w:spacing w:val="-2"/>
          <w:sz w:val="20"/>
          <w:szCs w:val="20"/>
          <w:lang w:val="es-AR"/>
        </w:rPr>
        <w:t>ser</w:t>
      </w:r>
      <w:r w:rsidR="001A28B3" w:rsidRPr="00EA7870">
        <w:rPr>
          <w:spacing w:val="-2"/>
          <w:sz w:val="20"/>
          <w:szCs w:val="20"/>
          <w:lang w:val="es-AR"/>
        </w:rPr>
        <w:t xml:space="preserve"> </w:t>
      </w:r>
      <w:r w:rsidRPr="00EA7870">
        <w:rPr>
          <w:spacing w:val="-2"/>
          <w:sz w:val="20"/>
          <w:szCs w:val="20"/>
          <w:lang w:val="es-AR"/>
        </w:rPr>
        <w:t>empleado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asesor</w:t>
      </w:r>
      <w:r w:rsidR="001A28B3" w:rsidRPr="00EA7870">
        <w:rPr>
          <w:spacing w:val="-2"/>
          <w:sz w:val="20"/>
          <w:szCs w:val="20"/>
          <w:lang w:val="es-AR"/>
        </w:rPr>
        <w:t xml:space="preserve"> </w:t>
      </w:r>
      <w:r w:rsidRPr="00EA7870">
        <w:rPr>
          <w:spacing w:val="-2"/>
          <w:sz w:val="20"/>
          <w:szCs w:val="20"/>
          <w:lang w:val="es-AR"/>
        </w:rPr>
        <w:t>legal</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(salvo</w:t>
      </w:r>
      <w:r w:rsidR="001A28B3" w:rsidRPr="00EA7870">
        <w:rPr>
          <w:spacing w:val="-2"/>
          <w:sz w:val="20"/>
          <w:szCs w:val="20"/>
          <w:lang w:val="es-AR"/>
        </w:rPr>
        <w:t xml:space="preserve"> </w:t>
      </w:r>
      <w:r w:rsidRPr="00EA7870">
        <w:rPr>
          <w:spacing w:val="-2"/>
          <w:sz w:val="20"/>
          <w:szCs w:val="20"/>
          <w:lang w:val="es-AR"/>
        </w:rPr>
        <w:t>según</w:t>
      </w:r>
      <w:r w:rsidR="001A28B3" w:rsidRPr="00EA7870">
        <w:rPr>
          <w:spacing w:val="-2"/>
          <w:sz w:val="20"/>
          <w:szCs w:val="20"/>
          <w:lang w:val="es-AR"/>
        </w:rPr>
        <w:t xml:space="preserve"> </w:t>
      </w:r>
      <w:r w:rsidRPr="00EA7870">
        <w:rPr>
          <w:spacing w:val="-2"/>
          <w:sz w:val="20"/>
          <w:szCs w:val="20"/>
          <w:lang w:val="es-AR"/>
        </w:rPr>
        <w:t>lo</w:t>
      </w:r>
      <w:r w:rsidR="001A28B3" w:rsidRPr="00EA7870">
        <w:rPr>
          <w:spacing w:val="-2"/>
          <w:sz w:val="20"/>
          <w:szCs w:val="20"/>
          <w:lang w:val="es-AR"/>
        </w:rPr>
        <w:t xml:space="preserve"> </w:t>
      </w:r>
      <w:r w:rsidRPr="00EA7870">
        <w:rPr>
          <w:spacing w:val="-2"/>
          <w:sz w:val="20"/>
          <w:szCs w:val="20"/>
          <w:lang w:val="es-AR"/>
        </w:rPr>
        <w:t>establecido</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contrario</w:t>
      </w:r>
      <w:r w:rsidR="001A28B3" w:rsidRPr="00EA7870">
        <w:rPr>
          <w:spacing w:val="-2"/>
          <w:sz w:val="20"/>
          <w:szCs w:val="20"/>
          <w:lang w:val="es-AR"/>
        </w:rPr>
        <w:t xml:space="preserve"> </w:t>
      </w:r>
      <w:r w:rsidRPr="00EA7870">
        <w:rPr>
          <w:spacing w:val="-2"/>
          <w:sz w:val="20"/>
          <w:szCs w:val="20"/>
          <w:lang w:val="es-AR"/>
        </w:rPr>
        <w:t>en</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Contrato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Fideicomiso),</w:t>
      </w:r>
      <w:r w:rsidR="001A28B3" w:rsidRPr="00EA7870">
        <w:rPr>
          <w:spacing w:val="-2"/>
          <w:sz w:val="20"/>
          <w:szCs w:val="20"/>
          <w:lang w:val="es-AR"/>
        </w:rPr>
        <w:t xml:space="preserve"> </w:t>
      </w:r>
      <w:r w:rsidRPr="00EA7870">
        <w:rPr>
          <w:spacing w:val="-2"/>
          <w:sz w:val="20"/>
          <w:szCs w:val="20"/>
          <w:lang w:val="es-AR"/>
        </w:rPr>
        <w:t>obtenida</w:t>
      </w:r>
      <w:r w:rsidR="001A28B3" w:rsidRPr="00EA7870">
        <w:rPr>
          <w:spacing w:val="-2"/>
          <w:sz w:val="20"/>
          <w:szCs w:val="20"/>
          <w:lang w:val="es-AR"/>
        </w:rPr>
        <w:t xml:space="preserve"> </w:t>
      </w:r>
      <w:r w:rsidRPr="00EA7870">
        <w:rPr>
          <w:spacing w:val="-2"/>
          <w:sz w:val="20"/>
          <w:szCs w:val="20"/>
          <w:lang w:val="es-AR"/>
        </w:rPr>
        <w:t>por</w:t>
      </w:r>
      <w:r w:rsidR="001A28B3" w:rsidRPr="00EA7870">
        <w:rPr>
          <w:spacing w:val="-2"/>
          <w:sz w:val="20"/>
          <w:szCs w:val="20"/>
          <w:lang w:val="es-AR"/>
        </w:rPr>
        <w:t xml:space="preserve"> </w:t>
      </w:r>
      <w:r w:rsidRPr="00EA7870">
        <w:rPr>
          <w:spacing w:val="-2"/>
          <w:sz w:val="20"/>
          <w:szCs w:val="20"/>
          <w:lang w:val="es-AR"/>
        </w:rPr>
        <w:t>cuenta</w:t>
      </w:r>
      <w:r w:rsidR="001A28B3" w:rsidRPr="00EA7870">
        <w:rPr>
          <w:spacing w:val="-2"/>
          <w:sz w:val="20"/>
          <w:szCs w:val="20"/>
          <w:lang w:val="es-AR"/>
        </w:rPr>
        <w:t xml:space="preserve"> </w:t>
      </w:r>
      <w:r w:rsidRPr="00EA7870">
        <w:rPr>
          <w:spacing w:val="-2"/>
          <w:sz w:val="20"/>
          <w:szCs w:val="20"/>
          <w:lang w:val="es-AR"/>
        </w:rPr>
        <w:t>y</w:t>
      </w:r>
      <w:r w:rsidR="001A28B3" w:rsidRPr="00EA7870">
        <w:rPr>
          <w:spacing w:val="-2"/>
          <w:sz w:val="20"/>
          <w:szCs w:val="20"/>
          <w:lang w:val="es-AR"/>
        </w:rPr>
        <w:t xml:space="preserve"> </w:t>
      </w:r>
      <w:r w:rsidRPr="00EA7870">
        <w:rPr>
          <w:spacing w:val="-2"/>
          <w:sz w:val="20"/>
          <w:szCs w:val="20"/>
          <w:lang w:val="es-AR"/>
        </w:rPr>
        <w:t>cargo</w:t>
      </w:r>
      <w:r w:rsidR="001A28B3" w:rsidRPr="00EA7870">
        <w:rPr>
          <w:spacing w:val="-2"/>
          <w:sz w:val="20"/>
          <w:szCs w:val="20"/>
          <w:lang w:val="es-AR"/>
        </w:rPr>
        <w:t xml:space="preserve"> </w:t>
      </w:r>
      <w:r w:rsidRPr="00EA7870">
        <w:rPr>
          <w:spacing w:val="-2"/>
          <w:sz w:val="20"/>
          <w:szCs w:val="20"/>
          <w:lang w:val="es-AR"/>
        </w:rPr>
        <w:t>de</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Emisora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Garante</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la</w:t>
      </w:r>
      <w:r w:rsidR="001A28B3" w:rsidRPr="00EA7870">
        <w:rPr>
          <w:spacing w:val="-2"/>
          <w:sz w:val="20"/>
          <w:szCs w:val="20"/>
          <w:lang w:val="es-AR"/>
        </w:rPr>
        <w:t xml:space="preserve"> </w:t>
      </w:r>
      <w:r w:rsidRPr="00EA7870">
        <w:rPr>
          <w:spacing w:val="-2"/>
          <w:sz w:val="20"/>
          <w:szCs w:val="20"/>
          <w:lang w:val="es-AR"/>
        </w:rPr>
        <w:t>Persona</w:t>
      </w:r>
      <w:r w:rsidR="001A28B3" w:rsidRPr="00EA7870">
        <w:rPr>
          <w:spacing w:val="-2"/>
          <w:sz w:val="20"/>
          <w:szCs w:val="20"/>
          <w:lang w:val="es-AR"/>
        </w:rPr>
        <w:t xml:space="preserve"> </w:t>
      </w:r>
      <w:r w:rsidRPr="00EA7870">
        <w:rPr>
          <w:spacing w:val="-2"/>
          <w:sz w:val="20"/>
          <w:szCs w:val="20"/>
          <w:lang w:val="es-AR"/>
        </w:rPr>
        <w:t>continuadora</w:t>
      </w:r>
      <w:r w:rsidR="001A28B3" w:rsidRPr="00EA7870">
        <w:rPr>
          <w:spacing w:val="-2"/>
          <w:sz w:val="20"/>
          <w:szCs w:val="20"/>
          <w:lang w:val="es-AR"/>
        </w:rPr>
        <w:t xml:space="preserve"> </w:t>
      </w:r>
      <w:r w:rsidRPr="00EA7870">
        <w:rPr>
          <w:spacing w:val="-2"/>
          <w:sz w:val="20"/>
          <w:szCs w:val="20"/>
          <w:lang w:val="es-AR"/>
        </w:rPr>
        <w:t>o</w:t>
      </w:r>
      <w:r w:rsidR="001A28B3" w:rsidRPr="00EA7870">
        <w:rPr>
          <w:spacing w:val="-2"/>
          <w:sz w:val="20"/>
          <w:szCs w:val="20"/>
          <w:lang w:val="es-AR"/>
        </w:rPr>
        <w:t xml:space="preserve"> </w:t>
      </w:r>
      <w:r w:rsidRPr="00EA7870">
        <w:rPr>
          <w:spacing w:val="-2"/>
          <w:sz w:val="20"/>
          <w:szCs w:val="20"/>
          <w:lang w:val="es-AR"/>
        </w:rPr>
        <w:t>cesionaria</w:t>
      </w:r>
      <w:r w:rsidR="001A28B3" w:rsidRPr="00EA7870">
        <w:rPr>
          <w:spacing w:val="-2"/>
          <w:sz w:val="20"/>
          <w:szCs w:val="20"/>
          <w:lang w:val="es-AR"/>
        </w:rPr>
        <w:t xml:space="preserve"> </w:t>
      </w:r>
      <w:r w:rsidRPr="00EA7870">
        <w:rPr>
          <w:spacing w:val="-2"/>
          <w:sz w:val="20"/>
          <w:szCs w:val="20"/>
          <w:lang w:val="es-AR"/>
        </w:rPr>
        <w:t>que</w:t>
      </w:r>
      <w:r w:rsidR="001A28B3" w:rsidRPr="00EA7870">
        <w:rPr>
          <w:spacing w:val="-2"/>
          <w:sz w:val="20"/>
          <w:szCs w:val="20"/>
          <w:lang w:val="es-AR"/>
        </w:rPr>
        <w:t xml:space="preserve"> </w:t>
      </w:r>
      <w:r w:rsidRPr="00EA7870">
        <w:rPr>
          <w:spacing w:val="-2"/>
          <w:sz w:val="20"/>
          <w:szCs w:val="20"/>
          <w:lang w:val="es-AR"/>
        </w:rPr>
        <w:t>sea</w:t>
      </w:r>
      <w:r w:rsidR="001A28B3" w:rsidRPr="00EA7870">
        <w:rPr>
          <w:spacing w:val="-2"/>
          <w:sz w:val="20"/>
          <w:szCs w:val="20"/>
          <w:lang w:val="es-AR"/>
        </w:rPr>
        <w:t xml:space="preserve"> </w:t>
      </w:r>
      <w:r w:rsidRPr="00EA7870">
        <w:rPr>
          <w:spacing w:val="-2"/>
          <w:sz w:val="20"/>
          <w:szCs w:val="20"/>
          <w:lang w:val="es-AR"/>
        </w:rPr>
        <w:t>razonablemente</w:t>
      </w:r>
      <w:r w:rsidR="001A28B3" w:rsidRPr="00EA7870">
        <w:rPr>
          <w:spacing w:val="-2"/>
          <w:sz w:val="20"/>
          <w:szCs w:val="20"/>
          <w:lang w:val="es-AR"/>
        </w:rPr>
        <w:t xml:space="preserve"> </w:t>
      </w:r>
      <w:r w:rsidRPr="00EA7870">
        <w:rPr>
          <w:spacing w:val="-2"/>
          <w:sz w:val="20"/>
          <w:szCs w:val="20"/>
          <w:lang w:val="es-AR"/>
        </w:rPr>
        <w:t>aceptable</w:t>
      </w:r>
      <w:r w:rsidR="001A28B3" w:rsidRPr="00EA7870">
        <w:rPr>
          <w:spacing w:val="-2"/>
          <w:sz w:val="20"/>
          <w:szCs w:val="20"/>
          <w:lang w:val="es-AR"/>
        </w:rPr>
        <w:t xml:space="preserve"> </w:t>
      </w:r>
      <w:r w:rsidRPr="00EA7870">
        <w:rPr>
          <w:spacing w:val="-2"/>
          <w:sz w:val="20"/>
          <w:szCs w:val="20"/>
          <w:lang w:val="es-AR"/>
        </w:rPr>
        <w:t>para</w:t>
      </w:r>
      <w:r w:rsidR="001A28B3" w:rsidRPr="00EA7870">
        <w:rPr>
          <w:spacing w:val="-2"/>
          <w:sz w:val="20"/>
          <w:szCs w:val="20"/>
          <w:lang w:val="es-AR"/>
        </w:rPr>
        <w:t xml:space="preserve"> </w:t>
      </w:r>
      <w:r w:rsidRPr="00EA7870">
        <w:rPr>
          <w:spacing w:val="-2"/>
          <w:sz w:val="20"/>
          <w:szCs w:val="20"/>
          <w:lang w:val="es-AR"/>
        </w:rPr>
        <w:t>el</w:t>
      </w:r>
      <w:r w:rsidR="001A28B3" w:rsidRPr="00EA7870">
        <w:rPr>
          <w:spacing w:val="-2"/>
          <w:sz w:val="20"/>
          <w:szCs w:val="20"/>
          <w:lang w:val="es-AR"/>
        </w:rPr>
        <w:t xml:space="preserve"> </w:t>
      </w:r>
      <w:r w:rsidRPr="00EA7870">
        <w:rPr>
          <w:spacing w:val="-2"/>
          <w:sz w:val="20"/>
          <w:szCs w:val="20"/>
          <w:lang w:val="es-AR"/>
        </w:rPr>
        <w:t>Agente</w:t>
      </w:r>
      <w:r w:rsidR="001A28B3" w:rsidRPr="00EA7870">
        <w:rPr>
          <w:spacing w:val="-2"/>
          <w:sz w:val="20"/>
          <w:szCs w:val="20"/>
          <w:lang w:val="es-AR"/>
        </w:rPr>
        <w:t xml:space="preserve"> </w:t>
      </w:r>
      <w:r w:rsidRPr="00EA7870">
        <w:rPr>
          <w:spacing w:val="-2"/>
          <w:sz w:val="20"/>
          <w:szCs w:val="20"/>
          <w:lang w:val="es-AR"/>
        </w:rPr>
        <w:t>Fiduciario.</w:t>
      </w:r>
    </w:p>
    <w:p w14:paraId="42C1261A" w14:textId="77777777" w:rsidR="00376725" w:rsidRPr="00EA7870" w:rsidRDefault="00376725" w:rsidP="00376725">
      <w:pPr>
        <w:tabs>
          <w:tab w:val="left" w:pos="0"/>
          <w:tab w:val="right" w:leader="dot" w:pos="8505"/>
        </w:tabs>
        <w:ind w:firstLine="709"/>
        <w:jc w:val="both"/>
        <w:rPr>
          <w:sz w:val="20"/>
          <w:szCs w:val="20"/>
          <w:lang w:val="es-AR"/>
        </w:rPr>
      </w:pPr>
    </w:p>
    <w:p w14:paraId="06DF9621"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Persona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006239C2" w:rsidRPr="00EA7870">
        <w:rPr>
          <w:sz w:val="20"/>
          <w:szCs w:val="20"/>
          <w:lang w:val="es-AR"/>
        </w:rPr>
        <w:t>humana</w:t>
      </w:r>
      <w:r w:rsidRPr="00EA7870">
        <w:rPr>
          <w:sz w:val="20"/>
          <w:szCs w:val="20"/>
          <w:lang w:val="es-AR"/>
        </w:rPr>
        <w:t>,</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anónima,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colectiva,</w:t>
      </w:r>
      <w:r w:rsidR="001A28B3" w:rsidRPr="00EA7870">
        <w:rPr>
          <w:sz w:val="20"/>
          <w:szCs w:val="20"/>
          <w:lang w:val="es-AR"/>
        </w:rPr>
        <w:t xml:space="preserve"> </w:t>
      </w:r>
      <w:r w:rsidRPr="00EA7870">
        <w:rPr>
          <w:sz w:val="20"/>
          <w:szCs w:val="20"/>
          <w:lang w:val="es-AR"/>
        </w:rPr>
        <w:t>sociedad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limitada,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asociación,</w:t>
      </w:r>
      <w:r w:rsidR="001A28B3" w:rsidRPr="00EA7870">
        <w:rPr>
          <w:sz w:val="20"/>
          <w:szCs w:val="20"/>
          <w:lang w:val="es-AR"/>
        </w:rPr>
        <w:t xml:space="preserve"> </w:t>
      </w:r>
      <w:r w:rsidRPr="00EA7870">
        <w:rPr>
          <w:sz w:val="20"/>
          <w:szCs w:val="20"/>
          <w:lang w:val="es-AR"/>
        </w:rPr>
        <w:t>fideicomiso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otra</w:t>
      </w:r>
      <w:r w:rsidR="001A28B3" w:rsidRPr="00EA7870">
        <w:rPr>
          <w:sz w:val="20"/>
          <w:szCs w:val="20"/>
          <w:lang w:val="es-AR"/>
        </w:rPr>
        <w:t xml:space="preserve"> </w:t>
      </w:r>
      <w:r w:rsidRPr="00EA7870">
        <w:rPr>
          <w:sz w:val="20"/>
          <w:szCs w:val="20"/>
          <w:lang w:val="es-AR"/>
        </w:rPr>
        <w:t>entidad,</w:t>
      </w:r>
      <w:r w:rsidR="001A28B3" w:rsidRPr="00EA7870">
        <w:rPr>
          <w:sz w:val="20"/>
          <w:szCs w:val="20"/>
          <w:lang w:val="es-AR"/>
        </w:rPr>
        <w:t xml:space="preserve"> </w:t>
      </w:r>
      <w:r w:rsidRPr="00EA7870">
        <w:rPr>
          <w:sz w:val="20"/>
          <w:szCs w:val="20"/>
          <w:lang w:val="es-AR"/>
        </w:rPr>
        <w:t>incluso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gobierno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subdivisión</w:t>
      </w:r>
      <w:r w:rsidR="001A28B3" w:rsidRPr="00EA7870">
        <w:rPr>
          <w:sz w:val="20"/>
          <w:szCs w:val="20"/>
          <w:lang w:val="es-AR"/>
        </w:rPr>
        <w:t xml:space="preserve"> </w:t>
      </w:r>
      <w:r w:rsidRPr="00EA7870">
        <w:rPr>
          <w:sz w:val="20"/>
          <w:szCs w:val="20"/>
          <w:lang w:val="es-AR"/>
        </w:rPr>
        <w:t>política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agencia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dependencia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éste.</w:t>
      </w:r>
    </w:p>
    <w:p w14:paraId="4A8F2BEE" w14:textId="77777777" w:rsidR="00376725" w:rsidRPr="00EA7870" w:rsidRDefault="00376725" w:rsidP="00376725">
      <w:pPr>
        <w:tabs>
          <w:tab w:val="left" w:pos="0"/>
          <w:tab w:val="right" w:leader="dot" w:pos="8505"/>
        </w:tabs>
        <w:ind w:firstLine="709"/>
        <w:jc w:val="both"/>
        <w:rPr>
          <w:sz w:val="20"/>
          <w:szCs w:val="20"/>
          <w:lang w:val="es-AR"/>
        </w:rPr>
      </w:pPr>
    </w:p>
    <w:p w14:paraId="71952F49"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Bien</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activo,</w:t>
      </w:r>
      <w:r w:rsidR="001A28B3" w:rsidRPr="00EA7870">
        <w:rPr>
          <w:sz w:val="20"/>
          <w:szCs w:val="20"/>
          <w:lang w:val="es-AR"/>
        </w:rPr>
        <w:t xml:space="preserve"> </w:t>
      </w:r>
      <w:r w:rsidRPr="00EA7870">
        <w:rPr>
          <w:sz w:val="20"/>
          <w:szCs w:val="20"/>
          <w:lang w:val="es-AR"/>
        </w:rPr>
        <w:t>ingreso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otro</w:t>
      </w:r>
      <w:r w:rsidR="001A28B3" w:rsidRPr="00EA7870">
        <w:rPr>
          <w:sz w:val="20"/>
          <w:szCs w:val="20"/>
          <w:lang w:val="es-AR"/>
        </w:rPr>
        <w:t xml:space="preserve"> </w:t>
      </w:r>
      <w:r w:rsidRPr="00EA7870">
        <w:rPr>
          <w:sz w:val="20"/>
          <w:szCs w:val="20"/>
          <w:lang w:val="es-AR"/>
        </w:rPr>
        <w:t>bien,</w:t>
      </w:r>
      <w:r w:rsidR="001A28B3" w:rsidRPr="00EA7870">
        <w:rPr>
          <w:sz w:val="20"/>
          <w:szCs w:val="20"/>
          <w:lang w:val="es-AR"/>
        </w:rPr>
        <w:t xml:space="preserve"> </w:t>
      </w:r>
      <w:r w:rsidRPr="00EA7870">
        <w:rPr>
          <w:sz w:val="20"/>
          <w:szCs w:val="20"/>
          <w:lang w:val="es-AR"/>
        </w:rPr>
        <w:t>tangible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intangible,</w:t>
      </w:r>
      <w:r w:rsidR="001A28B3" w:rsidRPr="00EA7870">
        <w:rPr>
          <w:sz w:val="20"/>
          <w:szCs w:val="20"/>
          <w:lang w:val="es-AR"/>
        </w:rPr>
        <w:t xml:space="preserve"> </w:t>
      </w:r>
      <w:r w:rsidRPr="00EA7870">
        <w:rPr>
          <w:sz w:val="20"/>
          <w:szCs w:val="20"/>
          <w:lang w:val="es-AR"/>
        </w:rPr>
        <w:t>inmueble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mueble,</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limitación,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permiso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exploración,</w:t>
      </w:r>
      <w:r w:rsidR="001A28B3" w:rsidRPr="00EA7870">
        <w:rPr>
          <w:sz w:val="20"/>
          <w:szCs w:val="20"/>
          <w:lang w:val="es-AR"/>
        </w:rPr>
        <w:t xml:space="preserve"> </w:t>
      </w:r>
      <w:r w:rsidRPr="00EA7870">
        <w:rPr>
          <w:sz w:val="20"/>
          <w:szCs w:val="20"/>
          <w:lang w:val="es-AR"/>
        </w:rPr>
        <w:t>explotación</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producción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petróleo</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gas,</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concesión,</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locación,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licencia,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recibir</w:t>
      </w:r>
      <w:r w:rsidR="001A28B3" w:rsidRPr="00EA7870">
        <w:rPr>
          <w:sz w:val="20"/>
          <w:szCs w:val="20"/>
          <w:lang w:val="es-AR"/>
        </w:rPr>
        <w:t xml:space="preserve"> </w:t>
      </w:r>
      <w:r w:rsidRPr="00EA7870">
        <w:rPr>
          <w:sz w:val="20"/>
          <w:szCs w:val="20"/>
          <w:lang w:val="es-AR"/>
        </w:rPr>
        <w:t>ingresos,</w:t>
      </w:r>
      <w:r w:rsidR="001A28B3" w:rsidRPr="00EA7870">
        <w:rPr>
          <w:sz w:val="20"/>
          <w:szCs w:val="20"/>
          <w:lang w:val="es-AR"/>
        </w:rPr>
        <w:t xml:space="preserve"> </w:t>
      </w:r>
      <w:r w:rsidRPr="00EA7870">
        <w:rPr>
          <w:sz w:val="20"/>
          <w:szCs w:val="20"/>
          <w:lang w:val="es-AR"/>
        </w:rPr>
        <w:t>efectivo,</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cuentas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cualesquiera</w:t>
      </w:r>
      <w:r w:rsidR="001A28B3" w:rsidRPr="00EA7870">
        <w:rPr>
          <w:sz w:val="20"/>
          <w:szCs w:val="20"/>
          <w:lang w:val="es-AR"/>
        </w:rPr>
        <w:t xml:space="preserve"> </w:t>
      </w:r>
      <w:r w:rsidRPr="00EA7870">
        <w:rPr>
          <w:sz w:val="20"/>
          <w:szCs w:val="20"/>
          <w:lang w:val="es-AR"/>
        </w:rPr>
        <w:t>otros</w:t>
      </w:r>
      <w:r w:rsidR="001A28B3" w:rsidRPr="00EA7870">
        <w:rPr>
          <w:sz w:val="20"/>
          <w:szCs w:val="20"/>
          <w:lang w:val="es-AR"/>
        </w:rPr>
        <w:t xml:space="preserve"> </w:t>
      </w:r>
      <w:r w:rsidRPr="00EA7870">
        <w:rPr>
          <w:sz w:val="20"/>
          <w:szCs w:val="20"/>
          <w:lang w:val="es-AR"/>
        </w:rPr>
        <w:t>derechos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contractuales.</w:t>
      </w:r>
    </w:p>
    <w:p w14:paraId="0343FDF5" w14:textId="77777777" w:rsidR="00376725" w:rsidRPr="00EA7870" w:rsidRDefault="00376725" w:rsidP="00376725">
      <w:pPr>
        <w:tabs>
          <w:tab w:val="left" w:pos="0"/>
          <w:tab w:val="right" w:leader="dot" w:pos="8505"/>
        </w:tabs>
        <w:ind w:firstLine="709"/>
        <w:jc w:val="both"/>
        <w:rPr>
          <w:sz w:val="20"/>
          <w:szCs w:val="20"/>
          <w:lang w:val="es-AR"/>
        </w:rPr>
      </w:pPr>
    </w:p>
    <w:p w14:paraId="62724BFC" w14:textId="7DDBBD91"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Sociedades</w:t>
      </w:r>
      <w:r w:rsidR="001A28B3" w:rsidRPr="00EA7870">
        <w:rPr>
          <w:b/>
          <w:sz w:val="20"/>
          <w:szCs w:val="20"/>
          <w:lang w:val="es-AR"/>
        </w:rPr>
        <w:t xml:space="preserve"> </w:t>
      </w:r>
      <w:r w:rsidRPr="00EA7870">
        <w:rPr>
          <w:b/>
          <w:sz w:val="20"/>
          <w:szCs w:val="20"/>
          <w:lang w:val="es-AR"/>
        </w:rPr>
        <w:t>Calificadoras</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Riesgo</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Moody’s</w:t>
      </w:r>
      <w:r w:rsidR="001A28B3" w:rsidRPr="00EA7870">
        <w:rPr>
          <w:sz w:val="20"/>
          <w:szCs w:val="20"/>
          <w:lang w:val="es-AR"/>
        </w:rPr>
        <w:t xml:space="preserve"> </w:t>
      </w:r>
      <w:r w:rsidRPr="00EA7870">
        <w:rPr>
          <w:sz w:val="20"/>
          <w:szCs w:val="20"/>
          <w:lang w:val="es-AR"/>
        </w:rPr>
        <w:t>Investors</w:t>
      </w:r>
      <w:r w:rsidR="001A28B3" w:rsidRPr="00EA7870">
        <w:rPr>
          <w:sz w:val="20"/>
          <w:szCs w:val="20"/>
          <w:lang w:val="es-AR"/>
        </w:rPr>
        <w:t xml:space="preserve"> </w:t>
      </w:r>
      <w:r w:rsidRPr="00EA7870">
        <w:rPr>
          <w:sz w:val="20"/>
          <w:szCs w:val="20"/>
          <w:lang w:val="es-AR"/>
        </w:rPr>
        <w:t>Service,</w:t>
      </w:r>
      <w:r w:rsidR="001A28B3" w:rsidRPr="00EA7870">
        <w:rPr>
          <w:sz w:val="20"/>
          <w:szCs w:val="20"/>
          <w:lang w:val="es-AR"/>
        </w:rPr>
        <w:t xml:space="preserve"> </w:t>
      </w:r>
      <w:r w:rsidRPr="00EA7870">
        <w:rPr>
          <w:sz w:val="20"/>
          <w:szCs w:val="20"/>
          <w:lang w:val="es-AR"/>
        </w:rPr>
        <w:t>Inc.</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sucesora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misma</w:t>
      </w:r>
      <w:r w:rsidR="001A28B3" w:rsidRPr="00EA7870">
        <w:rPr>
          <w:sz w:val="20"/>
          <w:szCs w:val="20"/>
          <w:lang w:val="es-AR"/>
        </w:rPr>
        <w:t xml:space="preserve"> </w:t>
      </w:r>
      <w:r w:rsidRPr="00EA7870">
        <w:rPr>
          <w:sz w:val="20"/>
          <w:szCs w:val="20"/>
          <w:lang w:val="es-AR"/>
        </w:rPr>
        <w:t>(“</w:t>
      </w:r>
      <w:r w:rsidRPr="00EA7870">
        <w:rPr>
          <w:b/>
          <w:sz w:val="20"/>
          <w:szCs w:val="20"/>
          <w:lang w:val="es-AR"/>
        </w:rPr>
        <w:t>Moody’s</w:t>
      </w:r>
      <w:r w:rsidR="00185DB5" w:rsidRPr="00EA7870">
        <w:rPr>
          <w:sz w:val="20"/>
          <w:szCs w:val="20"/>
          <w:lang w:val="es-AR"/>
        </w:rPr>
        <w:t>”</w:t>
      </w:r>
      <w:r w:rsidRPr="00EA7870">
        <w:rPr>
          <w:sz w:val="20"/>
          <w:szCs w:val="20"/>
          <w:lang w:val="es-AR"/>
        </w:rPr>
        <w:t>),</w:t>
      </w:r>
      <w:r w:rsidR="001A28B3" w:rsidRPr="00EA7870">
        <w:rPr>
          <w:sz w:val="20"/>
          <w:szCs w:val="20"/>
          <w:lang w:val="es-AR"/>
        </w:rPr>
        <w:t xml:space="preserve"> </w:t>
      </w:r>
      <w:r w:rsidRPr="00EA7870">
        <w:rPr>
          <w:sz w:val="20"/>
          <w:szCs w:val="20"/>
          <w:lang w:val="es-AR"/>
        </w:rPr>
        <w:t>S&amp;P</w:t>
      </w:r>
      <w:r w:rsidR="001A28B3" w:rsidRPr="00EA7870">
        <w:rPr>
          <w:sz w:val="20"/>
          <w:szCs w:val="20"/>
          <w:lang w:val="es-AR"/>
        </w:rPr>
        <w:t xml:space="preserve"> </w:t>
      </w:r>
      <w:r w:rsidRPr="00EA7870">
        <w:rPr>
          <w:sz w:val="20"/>
          <w:szCs w:val="20"/>
          <w:lang w:val="es-AR"/>
        </w:rPr>
        <w:t>Global</w:t>
      </w:r>
      <w:r w:rsidR="001A28B3" w:rsidRPr="00EA7870">
        <w:rPr>
          <w:sz w:val="20"/>
          <w:szCs w:val="20"/>
          <w:lang w:val="es-AR"/>
        </w:rPr>
        <w:t xml:space="preserve"> </w:t>
      </w:r>
      <w:r w:rsidRPr="00EA7870">
        <w:rPr>
          <w:sz w:val="20"/>
          <w:szCs w:val="20"/>
          <w:lang w:val="es-AR"/>
        </w:rPr>
        <w:t>Ratings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sucesora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misma</w:t>
      </w:r>
      <w:r w:rsidR="001A28B3" w:rsidRPr="00EA7870">
        <w:rPr>
          <w:sz w:val="20"/>
          <w:szCs w:val="20"/>
          <w:lang w:val="es-AR"/>
        </w:rPr>
        <w:t xml:space="preserve"> </w:t>
      </w:r>
      <w:r w:rsidRPr="00EA7870">
        <w:rPr>
          <w:sz w:val="20"/>
          <w:szCs w:val="20"/>
          <w:lang w:val="es-AR"/>
        </w:rPr>
        <w:t>(“</w:t>
      </w:r>
      <w:r w:rsidRPr="00EA7870">
        <w:rPr>
          <w:b/>
          <w:sz w:val="20"/>
          <w:szCs w:val="20"/>
          <w:lang w:val="es-AR"/>
        </w:rPr>
        <w:t>S&amp;P</w:t>
      </w:r>
      <w:r w:rsidRPr="00EA7870">
        <w:rPr>
          <w:sz w:val="20"/>
          <w:szCs w:val="20"/>
          <w:lang w:val="es-AR"/>
        </w:rPr>
        <w:t>”),</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Fitch,</w:t>
      </w:r>
      <w:r w:rsidR="001A28B3" w:rsidRPr="00EA7870">
        <w:rPr>
          <w:sz w:val="20"/>
          <w:szCs w:val="20"/>
          <w:lang w:val="es-AR"/>
        </w:rPr>
        <w:t xml:space="preserve"> </w:t>
      </w:r>
      <w:r w:rsidRPr="00EA7870">
        <w:rPr>
          <w:sz w:val="20"/>
          <w:szCs w:val="20"/>
          <w:lang w:val="es-AR"/>
        </w:rPr>
        <w:t>Inc.</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sucesora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misma</w:t>
      </w:r>
      <w:r w:rsidR="001A28B3" w:rsidRPr="00EA7870">
        <w:rPr>
          <w:sz w:val="20"/>
          <w:szCs w:val="20"/>
          <w:lang w:val="es-AR"/>
        </w:rPr>
        <w:t xml:space="preserve"> </w:t>
      </w:r>
      <w:r w:rsidRPr="00EA7870">
        <w:rPr>
          <w:sz w:val="20"/>
          <w:szCs w:val="20"/>
          <w:lang w:val="es-AR"/>
        </w:rPr>
        <w:t>(“</w:t>
      </w:r>
      <w:r w:rsidRPr="00EA7870">
        <w:rPr>
          <w:b/>
          <w:sz w:val="20"/>
          <w:szCs w:val="20"/>
          <w:lang w:val="es-AR"/>
        </w:rPr>
        <w:t>Fitch</w:t>
      </w:r>
      <w:r w:rsidRPr="00EA7870">
        <w:rPr>
          <w:sz w:val="20"/>
          <w:szCs w:val="20"/>
          <w:lang w:val="es-AR"/>
        </w:rPr>
        <w:t>”);</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si</w:t>
      </w:r>
      <w:r w:rsidR="001A28B3" w:rsidRPr="00EA7870">
        <w:rPr>
          <w:sz w:val="20"/>
          <w:szCs w:val="20"/>
          <w:lang w:val="es-AR"/>
        </w:rPr>
        <w:t xml:space="preserve"> </w:t>
      </w:r>
      <w:r w:rsidRPr="00EA7870">
        <w:rPr>
          <w:sz w:val="20"/>
          <w:szCs w:val="20"/>
          <w:lang w:val="es-AR"/>
        </w:rPr>
        <w:t>Moody’s,</w:t>
      </w:r>
      <w:r w:rsidR="001A28B3" w:rsidRPr="00EA7870">
        <w:rPr>
          <w:sz w:val="20"/>
          <w:szCs w:val="20"/>
          <w:lang w:val="es-AR"/>
        </w:rPr>
        <w:t xml:space="preserve"> </w:t>
      </w:r>
      <w:r w:rsidRPr="00EA7870">
        <w:rPr>
          <w:sz w:val="20"/>
          <w:szCs w:val="20"/>
          <w:lang w:val="es-AR"/>
        </w:rPr>
        <w:t>S&amp;P</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Fitch</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pusieran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disposición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calificación</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varias</w:t>
      </w:r>
      <w:r w:rsidR="001A28B3" w:rsidRPr="00EA7870">
        <w:rPr>
          <w:sz w:val="20"/>
          <w:szCs w:val="20"/>
          <w:lang w:val="es-AR"/>
        </w:rPr>
        <w:t xml:space="preserve"> </w:t>
      </w:r>
      <w:r w:rsidRPr="00EA7870">
        <w:rPr>
          <w:sz w:val="20"/>
          <w:szCs w:val="20"/>
          <w:lang w:val="es-AR"/>
        </w:rPr>
        <w:t>agencias</w:t>
      </w:r>
      <w:r w:rsidR="001A28B3" w:rsidRPr="00EA7870">
        <w:rPr>
          <w:sz w:val="20"/>
          <w:szCs w:val="20"/>
          <w:lang w:val="es-AR"/>
        </w:rPr>
        <w:t xml:space="preserve"> </w:t>
      </w:r>
      <w:r w:rsidRPr="00EA7870">
        <w:rPr>
          <w:sz w:val="20"/>
          <w:szCs w:val="20"/>
          <w:lang w:val="es-AR"/>
        </w:rPr>
        <w:t>calificadoras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riesgo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reconocido</w:t>
      </w:r>
      <w:r w:rsidR="001A28B3" w:rsidRPr="00EA7870">
        <w:rPr>
          <w:sz w:val="20"/>
          <w:szCs w:val="20"/>
          <w:lang w:val="es-AR"/>
        </w:rPr>
        <w:t xml:space="preserve"> </w:t>
      </w:r>
      <w:r w:rsidRPr="00EA7870">
        <w:rPr>
          <w:sz w:val="20"/>
          <w:szCs w:val="20"/>
          <w:lang w:val="es-AR"/>
        </w:rPr>
        <w:t>prestigio</w:t>
      </w:r>
      <w:r w:rsidR="001A28B3" w:rsidRPr="00EA7870">
        <w:rPr>
          <w:sz w:val="20"/>
          <w:szCs w:val="20"/>
          <w:lang w:val="es-AR"/>
        </w:rPr>
        <w:t xml:space="preserve"> </w:t>
      </w:r>
      <w:r w:rsidRPr="00EA7870">
        <w:rPr>
          <w:sz w:val="20"/>
          <w:szCs w:val="20"/>
          <w:lang w:val="es-AR"/>
        </w:rPr>
        <w:t>nacional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seleccionadas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reemplazarán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Moody’s,</w:t>
      </w:r>
      <w:r w:rsidR="001A28B3" w:rsidRPr="00EA7870">
        <w:rPr>
          <w:sz w:val="20"/>
          <w:szCs w:val="20"/>
          <w:lang w:val="es-AR"/>
        </w:rPr>
        <w:t xml:space="preserve"> </w:t>
      </w:r>
      <w:r w:rsidRPr="00EA7870">
        <w:rPr>
          <w:sz w:val="20"/>
          <w:szCs w:val="20"/>
          <w:lang w:val="es-AR"/>
        </w:rPr>
        <w:t>S&amp;P</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Fitch,</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p>
    <w:p w14:paraId="55D9F44A" w14:textId="77777777" w:rsidR="00376725" w:rsidRPr="00EA7870" w:rsidRDefault="00376725" w:rsidP="00376725">
      <w:pPr>
        <w:tabs>
          <w:tab w:val="left" w:pos="0"/>
          <w:tab w:val="right" w:leader="dot" w:pos="8505"/>
        </w:tabs>
        <w:ind w:firstLine="709"/>
        <w:jc w:val="both"/>
        <w:rPr>
          <w:sz w:val="20"/>
          <w:szCs w:val="20"/>
          <w:lang w:val="es-AR"/>
        </w:rPr>
      </w:pPr>
    </w:p>
    <w:p w14:paraId="257DA163"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Vencimiento</w:t>
      </w:r>
      <w:r w:rsidR="001A28B3" w:rsidRPr="00EA7870">
        <w:rPr>
          <w:b/>
          <w:sz w:val="20"/>
          <w:szCs w:val="20"/>
          <w:lang w:val="es-AR"/>
        </w:rPr>
        <w:t xml:space="preserve"> </w:t>
      </w:r>
      <w:r w:rsidRPr="00EA7870">
        <w:rPr>
          <w:b/>
          <w:sz w:val="20"/>
          <w:szCs w:val="20"/>
          <w:lang w:val="es-AR"/>
        </w:rPr>
        <w:t>Declarado</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especificada</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fijada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venza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pagadera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cuota</w:t>
      </w:r>
      <w:r w:rsidR="001A28B3" w:rsidRPr="00EA7870">
        <w:rPr>
          <w:sz w:val="20"/>
          <w:szCs w:val="20"/>
          <w:lang w:val="es-AR"/>
        </w:rPr>
        <w:t xml:space="preserve"> </w:t>
      </w:r>
      <w:r w:rsidRPr="00EA7870">
        <w:rPr>
          <w:sz w:val="20"/>
          <w:szCs w:val="20"/>
          <w:lang w:val="es-AR"/>
        </w:rPr>
        <w:t>final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cuota</w:t>
      </w:r>
      <w:r w:rsidR="001A28B3" w:rsidRPr="00EA7870">
        <w:rPr>
          <w:sz w:val="20"/>
          <w:szCs w:val="20"/>
          <w:lang w:val="es-AR"/>
        </w:rPr>
        <w:t xml:space="preserve"> </w:t>
      </w:r>
      <w:r w:rsidRPr="00EA7870">
        <w:rPr>
          <w:sz w:val="20"/>
          <w:szCs w:val="20"/>
          <w:lang w:val="es-AR"/>
        </w:rPr>
        <w:t>programada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intereses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especificada</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fijada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vence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es</w:t>
      </w:r>
      <w:r w:rsidR="001A28B3" w:rsidRPr="00EA7870">
        <w:rPr>
          <w:sz w:val="20"/>
          <w:szCs w:val="20"/>
          <w:lang w:val="es-AR"/>
        </w:rPr>
        <w:t xml:space="preserve"> </w:t>
      </w:r>
      <w:r w:rsidRPr="00EA7870">
        <w:rPr>
          <w:sz w:val="20"/>
          <w:szCs w:val="20"/>
          <w:lang w:val="es-AR"/>
        </w:rPr>
        <w:t>pagadera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cuota</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documentación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rija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exclusión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contingente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amortizar,</w:t>
      </w:r>
      <w:r w:rsidR="001A28B3" w:rsidRPr="00EA7870">
        <w:rPr>
          <w:sz w:val="20"/>
          <w:szCs w:val="20"/>
          <w:lang w:val="es-AR"/>
        </w:rPr>
        <w:t xml:space="preserve"> </w:t>
      </w:r>
      <w:r w:rsidRPr="00EA7870">
        <w:rPr>
          <w:sz w:val="20"/>
          <w:szCs w:val="20"/>
          <w:lang w:val="es-AR"/>
        </w:rPr>
        <w:t>rescatar</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recomprar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anterioridad</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programada</w:t>
      </w:r>
      <w:r w:rsidR="001A28B3" w:rsidRPr="00EA7870">
        <w:rPr>
          <w:sz w:val="20"/>
          <w:szCs w:val="20"/>
          <w:lang w:val="es-AR"/>
        </w:rPr>
        <w:t xml:space="preserve"> </w:t>
      </w:r>
      <w:r w:rsidRPr="00EA7870">
        <w:rPr>
          <w:sz w:val="20"/>
          <w:szCs w:val="20"/>
          <w:lang w:val="es-AR"/>
        </w:rPr>
        <w:t>regularmente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pago.</w:t>
      </w:r>
    </w:p>
    <w:p w14:paraId="5FA51905" w14:textId="77777777" w:rsidR="00376725" w:rsidRPr="00EA7870" w:rsidRDefault="00376725" w:rsidP="00376725">
      <w:pPr>
        <w:tabs>
          <w:tab w:val="left" w:pos="0"/>
          <w:tab w:val="right" w:leader="dot" w:pos="8505"/>
        </w:tabs>
        <w:ind w:firstLine="709"/>
        <w:jc w:val="both"/>
        <w:rPr>
          <w:sz w:val="20"/>
          <w:szCs w:val="20"/>
          <w:lang w:val="es-AR"/>
        </w:rPr>
      </w:pPr>
    </w:p>
    <w:p w14:paraId="5BBDCEA6"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Deuda</w:t>
      </w:r>
      <w:r w:rsidR="001A28B3" w:rsidRPr="00EA7870">
        <w:rPr>
          <w:b/>
          <w:sz w:val="20"/>
          <w:szCs w:val="20"/>
          <w:lang w:val="es-AR"/>
        </w:rPr>
        <w:t xml:space="preserve"> </w:t>
      </w:r>
      <w:r w:rsidRPr="00EA7870">
        <w:rPr>
          <w:b/>
          <w:sz w:val="20"/>
          <w:szCs w:val="20"/>
          <w:lang w:val="es-AR"/>
        </w:rPr>
        <w:t>Subordinada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garantizado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dinero</w:t>
      </w:r>
      <w:r w:rsidR="001A28B3" w:rsidRPr="00EA7870">
        <w:rPr>
          <w:sz w:val="20"/>
          <w:szCs w:val="20"/>
          <w:lang w:val="es-AR"/>
        </w:rPr>
        <w:t xml:space="preserve"> </w:t>
      </w:r>
      <w:r w:rsidRPr="00EA7870">
        <w:rPr>
          <w:sz w:val="20"/>
          <w:szCs w:val="20"/>
          <w:lang w:val="es-AR"/>
        </w:rPr>
        <w:t>tomado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préstamo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esté</w:t>
      </w:r>
      <w:r w:rsidR="001A28B3" w:rsidRPr="00EA7870">
        <w:rPr>
          <w:sz w:val="20"/>
          <w:szCs w:val="20"/>
          <w:lang w:val="es-AR"/>
        </w:rPr>
        <w:t xml:space="preserve"> </w:t>
      </w:r>
      <w:r w:rsidRPr="00EA7870">
        <w:rPr>
          <w:sz w:val="20"/>
          <w:szCs w:val="20"/>
          <w:lang w:val="es-AR"/>
        </w:rPr>
        <w:t>subordinado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cuanto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pago</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efectivo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todo</w:t>
      </w:r>
      <w:r w:rsidR="001A28B3" w:rsidRPr="00EA7870">
        <w:rPr>
          <w:sz w:val="20"/>
          <w:szCs w:val="20"/>
          <w:lang w:val="es-AR"/>
        </w:rPr>
        <w:t xml:space="preserve"> </w:t>
      </w:r>
      <w:r w:rsidRPr="00EA7870">
        <w:rPr>
          <w:sz w:val="20"/>
          <w:szCs w:val="20"/>
          <w:lang w:val="es-AR"/>
        </w:rPr>
        <w:t>Endeudamiento</w:t>
      </w:r>
      <w:r w:rsidR="001A28B3" w:rsidRPr="00EA7870">
        <w:rPr>
          <w:sz w:val="20"/>
          <w:szCs w:val="20"/>
          <w:lang w:val="es-AR"/>
        </w:rPr>
        <w:t xml:space="preserve"> </w:t>
      </w:r>
      <w:r w:rsidRPr="00EA7870">
        <w:rPr>
          <w:sz w:val="20"/>
          <w:szCs w:val="20"/>
          <w:lang w:val="es-AR"/>
        </w:rPr>
        <w:t>evidenciado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Garantía,</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corresponda.</w:t>
      </w:r>
    </w:p>
    <w:p w14:paraId="1BAD9D7C" w14:textId="77777777" w:rsidR="00376725" w:rsidRPr="00EA7870" w:rsidRDefault="00376725" w:rsidP="00376725">
      <w:pPr>
        <w:tabs>
          <w:tab w:val="left" w:pos="0"/>
          <w:tab w:val="right" w:leader="dot" w:pos="8505"/>
        </w:tabs>
        <w:ind w:firstLine="709"/>
        <w:jc w:val="both"/>
        <w:rPr>
          <w:sz w:val="20"/>
          <w:szCs w:val="20"/>
          <w:lang w:val="es-AR"/>
        </w:rPr>
      </w:pPr>
    </w:p>
    <w:p w14:paraId="6E7F5617"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Subsidiaria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respecto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Persona,</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entidad</w:t>
      </w:r>
      <w:r w:rsidR="001A28B3" w:rsidRPr="00EA7870">
        <w:rPr>
          <w:sz w:val="20"/>
          <w:szCs w:val="20"/>
          <w:lang w:val="es-AR"/>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cual</w:t>
      </w:r>
      <w:r w:rsidR="001A28B3" w:rsidRPr="00EA7870">
        <w:rPr>
          <w:sz w:val="20"/>
          <w:szCs w:val="20"/>
        </w:rPr>
        <w:t xml:space="preserve"> </w:t>
      </w:r>
      <w:r w:rsidRPr="00EA7870">
        <w:rPr>
          <w:sz w:val="20"/>
          <w:szCs w:val="20"/>
        </w:rPr>
        <w:t>más</w:t>
      </w:r>
      <w:r w:rsidR="001A28B3" w:rsidRPr="00EA7870">
        <w:rPr>
          <w:sz w:val="20"/>
          <w:szCs w:val="20"/>
        </w:rPr>
        <w:t xml:space="preserve"> </w:t>
      </w:r>
      <w:r w:rsidRPr="00EA7870">
        <w:rPr>
          <w:sz w:val="20"/>
          <w:szCs w:val="20"/>
        </w:rPr>
        <w:t>del</w:t>
      </w:r>
      <w:r w:rsidR="001A28B3" w:rsidRPr="00EA7870">
        <w:rPr>
          <w:sz w:val="20"/>
          <w:szCs w:val="20"/>
        </w:rPr>
        <w:t xml:space="preserve"> </w:t>
      </w:r>
      <w:r w:rsidRPr="00EA7870">
        <w:rPr>
          <w:sz w:val="20"/>
          <w:szCs w:val="20"/>
        </w:rPr>
        <w:t>50%</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participaciones</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circulación</w:t>
      </w:r>
      <w:r w:rsidR="001A28B3" w:rsidRPr="00EA7870">
        <w:rPr>
          <w:sz w:val="20"/>
          <w:szCs w:val="20"/>
        </w:rPr>
        <w:t xml:space="preserve"> </w:t>
      </w:r>
      <w:r w:rsidRPr="00EA7870">
        <w:rPr>
          <w:sz w:val="20"/>
          <w:szCs w:val="20"/>
        </w:rPr>
        <w:t>con</w:t>
      </w:r>
      <w:r w:rsidR="001A28B3" w:rsidRPr="00EA7870">
        <w:rPr>
          <w:sz w:val="20"/>
          <w:szCs w:val="20"/>
        </w:rPr>
        <w:t xml:space="preserve"> </w:t>
      </w:r>
      <w:r w:rsidRPr="00EA7870">
        <w:rPr>
          <w:sz w:val="20"/>
          <w:szCs w:val="20"/>
        </w:rPr>
        <w:t>derecho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voto</w:t>
      </w:r>
      <w:r w:rsidR="001A28B3" w:rsidRPr="00EA7870">
        <w:rPr>
          <w:sz w:val="20"/>
          <w:szCs w:val="20"/>
        </w:rPr>
        <w:t xml:space="preserve"> </w:t>
      </w:r>
      <w:r w:rsidRPr="00EA7870">
        <w:rPr>
          <w:sz w:val="20"/>
          <w:szCs w:val="20"/>
        </w:rPr>
        <w:t>ordinario</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elegir</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mayoría</w:t>
      </w:r>
      <w:r w:rsidR="001A28B3" w:rsidRPr="00EA7870">
        <w:rPr>
          <w:sz w:val="20"/>
          <w:szCs w:val="20"/>
        </w:rPr>
        <w:t xml:space="preserve"> </w:t>
      </w:r>
      <w:r w:rsidRPr="00EA7870">
        <w:rPr>
          <w:sz w:val="20"/>
          <w:szCs w:val="20"/>
        </w:rPr>
        <w:t>del</w:t>
      </w:r>
      <w:r w:rsidR="001A28B3" w:rsidRPr="00EA7870">
        <w:rPr>
          <w:sz w:val="20"/>
          <w:szCs w:val="20"/>
        </w:rPr>
        <w:t xml:space="preserve"> </w:t>
      </w:r>
      <w:r w:rsidRPr="00EA7870">
        <w:rPr>
          <w:sz w:val="20"/>
          <w:szCs w:val="20"/>
        </w:rPr>
        <w:t>órgano</w:t>
      </w:r>
      <w:r w:rsidR="001A28B3" w:rsidRPr="00EA7870">
        <w:rPr>
          <w:sz w:val="20"/>
          <w:szCs w:val="20"/>
        </w:rPr>
        <w:t xml:space="preserve"> </w:t>
      </w:r>
      <w:r w:rsidRPr="00EA7870">
        <w:rPr>
          <w:sz w:val="20"/>
          <w:szCs w:val="20"/>
        </w:rPr>
        <w:t>administrador</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dicha</w:t>
      </w:r>
      <w:r w:rsidR="001A28B3" w:rsidRPr="00EA7870">
        <w:rPr>
          <w:sz w:val="20"/>
          <w:szCs w:val="20"/>
        </w:rPr>
        <w:t xml:space="preserve"> </w:t>
      </w:r>
      <w:r w:rsidRPr="00EA7870">
        <w:rPr>
          <w:sz w:val="20"/>
          <w:szCs w:val="20"/>
        </w:rPr>
        <w:t>entidad</w:t>
      </w:r>
      <w:r w:rsidR="001A28B3" w:rsidRPr="00EA7870">
        <w:rPr>
          <w:sz w:val="20"/>
          <w:szCs w:val="20"/>
        </w:rPr>
        <w:t xml:space="preserve"> </w:t>
      </w:r>
      <w:r w:rsidRPr="00EA7870">
        <w:rPr>
          <w:sz w:val="20"/>
          <w:szCs w:val="20"/>
        </w:rPr>
        <w:t>(independientemente</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si</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ese</w:t>
      </w:r>
      <w:r w:rsidR="001A28B3" w:rsidRPr="00EA7870">
        <w:rPr>
          <w:sz w:val="20"/>
          <w:szCs w:val="20"/>
        </w:rPr>
        <w:t xml:space="preserve"> </w:t>
      </w:r>
      <w:r w:rsidRPr="00EA7870">
        <w:rPr>
          <w:sz w:val="20"/>
          <w:szCs w:val="20"/>
        </w:rPr>
        <w:t>momento</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participaciones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cualquier</w:t>
      </w:r>
      <w:r w:rsidR="001A28B3" w:rsidRPr="00EA7870">
        <w:rPr>
          <w:sz w:val="20"/>
          <w:szCs w:val="20"/>
        </w:rPr>
        <w:t xml:space="preserve"> </w:t>
      </w:r>
      <w:r w:rsidRPr="00EA7870">
        <w:rPr>
          <w:sz w:val="20"/>
          <w:szCs w:val="20"/>
        </w:rPr>
        <w:t>otra</w:t>
      </w:r>
      <w:r w:rsidR="001A28B3" w:rsidRPr="00EA7870">
        <w:rPr>
          <w:sz w:val="20"/>
          <w:szCs w:val="20"/>
        </w:rPr>
        <w:t xml:space="preserve"> </w:t>
      </w:r>
      <w:r w:rsidRPr="00EA7870">
        <w:rPr>
          <w:sz w:val="20"/>
          <w:szCs w:val="20"/>
        </w:rPr>
        <w:t>clase</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clases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dicha</w:t>
      </w:r>
      <w:r w:rsidR="001A28B3" w:rsidRPr="00EA7870">
        <w:rPr>
          <w:sz w:val="20"/>
          <w:szCs w:val="20"/>
        </w:rPr>
        <w:t xml:space="preserve"> </w:t>
      </w:r>
      <w:r w:rsidRPr="00EA7870">
        <w:rPr>
          <w:sz w:val="20"/>
          <w:szCs w:val="20"/>
        </w:rPr>
        <w:t>entidad</w:t>
      </w:r>
      <w:r w:rsidR="001A28B3" w:rsidRPr="00EA7870">
        <w:rPr>
          <w:sz w:val="20"/>
          <w:szCs w:val="20"/>
        </w:rPr>
        <w:t xml:space="preserve"> </w:t>
      </w:r>
      <w:r w:rsidRPr="00EA7870">
        <w:rPr>
          <w:sz w:val="20"/>
          <w:szCs w:val="20"/>
        </w:rPr>
        <w:t>tienen</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podrían</w:t>
      </w:r>
      <w:r w:rsidR="001A28B3" w:rsidRPr="00EA7870">
        <w:rPr>
          <w:sz w:val="20"/>
          <w:szCs w:val="20"/>
        </w:rPr>
        <w:t xml:space="preserve"> </w:t>
      </w:r>
      <w:r w:rsidRPr="00EA7870">
        <w:rPr>
          <w:sz w:val="20"/>
          <w:szCs w:val="20"/>
        </w:rPr>
        <w:t>tener</w:t>
      </w:r>
      <w:r w:rsidR="001A28B3" w:rsidRPr="00EA7870">
        <w:rPr>
          <w:sz w:val="20"/>
          <w:szCs w:val="20"/>
        </w:rPr>
        <w:t xml:space="preserve"> </w:t>
      </w:r>
      <w:r w:rsidRPr="00EA7870">
        <w:rPr>
          <w:sz w:val="20"/>
          <w:szCs w:val="20"/>
        </w:rPr>
        <w:t>derecho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voto</w:t>
      </w:r>
      <w:r w:rsidR="001A28B3" w:rsidRPr="00EA7870">
        <w:rPr>
          <w:sz w:val="20"/>
          <w:szCs w:val="20"/>
        </w:rPr>
        <w:t xml:space="preserve"> </w:t>
      </w:r>
      <w:r w:rsidRPr="00EA7870">
        <w:rPr>
          <w:sz w:val="20"/>
          <w:szCs w:val="20"/>
        </w:rPr>
        <w:t>ante</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acaecimiento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cualquier</w:t>
      </w:r>
      <w:r w:rsidR="001A28B3" w:rsidRPr="00EA7870">
        <w:rPr>
          <w:sz w:val="20"/>
          <w:szCs w:val="20"/>
        </w:rPr>
        <w:t xml:space="preserve"> </w:t>
      </w:r>
      <w:r w:rsidRPr="00EA7870">
        <w:rPr>
          <w:sz w:val="20"/>
          <w:szCs w:val="20"/>
        </w:rPr>
        <w:t>contingencia)</w:t>
      </w:r>
      <w:r w:rsidR="001A28B3" w:rsidRPr="00EA7870">
        <w:rPr>
          <w:sz w:val="20"/>
          <w:szCs w:val="20"/>
        </w:rPr>
        <w:t xml:space="preserve"> </w:t>
      </w:r>
      <w:r w:rsidRPr="00EA7870">
        <w:rPr>
          <w:sz w:val="20"/>
          <w:szCs w:val="20"/>
        </w:rPr>
        <w:t>es</w:t>
      </w:r>
      <w:r w:rsidR="001A28B3" w:rsidRPr="00EA7870">
        <w:rPr>
          <w:sz w:val="20"/>
          <w:szCs w:val="20"/>
        </w:rPr>
        <w:t xml:space="preserve"> </w:t>
      </w:r>
      <w:r w:rsidRPr="00EA7870">
        <w:rPr>
          <w:sz w:val="20"/>
          <w:szCs w:val="20"/>
        </w:rPr>
        <w:t>al</w:t>
      </w:r>
      <w:r w:rsidR="001A28B3" w:rsidRPr="00EA7870">
        <w:rPr>
          <w:sz w:val="20"/>
          <w:szCs w:val="20"/>
        </w:rPr>
        <w:t xml:space="preserve"> </w:t>
      </w:r>
      <w:r w:rsidRPr="00EA7870">
        <w:rPr>
          <w:sz w:val="20"/>
          <w:szCs w:val="20"/>
        </w:rPr>
        <w:t>momento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titularidad</w:t>
      </w:r>
      <w:r w:rsidR="001A28B3" w:rsidRPr="00EA7870">
        <w:rPr>
          <w:sz w:val="20"/>
          <w:szCs w:val="20"/>
        </w:rPr>
        <w:t xml:space="preserve"> </w:t>
      </w:r>
      <w:r w:rsidRPr="00EA7870">
        <w:rPr>
          <w:sz w:val="20"/>
          <w:szCs w:val="20"/>
        </w:rPr>
        <w:t>directa</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indirecta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dicha</w:t>
      </w:r>
      <w:r w:rsidR="001A28B3" w:rsidRPr="00EA7870">
        <w:rPr>
          <w:sz w:val="20"/>
          <w:szCs w:val="20"/>
        </w:rPr>
        <w:t xml:space="preserve"> </w:t>
      </w:r>
      <w:r w:rsidRPr="00EA7870">
        <w:rPr>
          <w:sz w:val="20"/>
          <w:szCs w:val="20"/>
        </w:rPr>
        <w:t>Persona,</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dicha</w:t>
      </w:r>
      <w:r w:rsidR="001A28B3" w:rsidRPr="00EA7870">
        <w:rPr>
          <w:sz w:val="20"/>
          <w:szCs w:val="20"/>
        </w:rPr>
        <w:t xml:space="preserve"> </w:t>
      </w:r>
      <w:r w:rsidRPr="00EA7870">
        <w:rPr>
          <w:sz w:val="20"/>
          <w:szCs w:val="20"/>
        </w:rPr>
        <w:t>Persona</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una</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más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sus</w:t>
      </w:r>
      <w:r w:rsidR="001A28B3" w:rsidRPr="00EA7870">
        <w:rPr>
          <w:sz w:val="20"/>
          <w:szCs w:val="20"/>
        </w:rPr>
        <w:t xml:space="preserve"> </w:t>
      </w:r>
      <w:r w:rsidRPr="00EA7870">
        <w:rPr>
          <w:sz w:val="20"/>
          <w:szCs w:val="20"/>
        </w:rPr>
        <w:t>Subsidiarias</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una</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más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Subsidiarias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dicha</w:t>
      </w:r>
      <w:r w:rsidR="001A28B3" w:rsidRPr="00EA7870">
        <w:rPr>
          <w:sz w:val="20"/>
          <w:szCs w:val="20"/>
        </w:rPr>
        <w:t xml:space="preserve"> </w:t>
      </w:r>
      <w:r w:rsidRPr="00EA7870">
        <w:rPr>
          <w:sz w:val="20"/>
          <w:szCs w:val="20"/>
        </w:rPr>
        <w:t>Persona.</w:t>
      </w:r>
      <w:r w:rsidR="001A28B3" w:rsidRPr="00EA7870">
        <w:rPr>
          <w:sz w:val="20"/>
          <w:szCs w:val="20"/>
        </w:rPr>
        <w:t xml:space="preserve"> </w:t>
      </w:r>
      <w:r w:rsidRPr="00EA7870">
        <w:rPr>
          <w:sz w:val="20"/>
          <w:szCs w:val="20"/>
        </w:rPr>
        <w:t>Al</w:t>
      </w:r>
      <w:r w:rsidR="001A28B3" w:rsidRPr="00EA7870">
        <w:rPr>
          <w:sz w:val="20"/>
          <w:szCs w:val="20"/>
        </w:rPr>
        <w:t xml:space="preserve"> </w:t>
      </w:r>
      <w:r w:rsidRPr="00EA7870">
        <w:rPr>
          <w:sz w:val="20"/>
          <w:szCs w:val="20"/>
        </w:rPr>
        <w:t>ser</w:t>
      </w:r>
      <w:r w:rsidR="001A28B3" w:rsidRPr="00EA7870">
        <w:rPr>
          <w:sz w:val="20"/>
          <w:szCs w:val="20"/>
        </w:rPr>
        <w:t xml:space="preserve"> </w:t>
      </w:r>
      <w:r w:rsidRPr="00EA7870">
        <w:rPr>
          <w:sz w:val="20"/>
          <w:szCs w:val="20"/>
        </w:rPr>
        <w:t>utilizado</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esta</w:t>
      </w:r>
      <w:r w:rsidR="001A28B3" w:rsidRPr="00EA7870">
        <w:rPr>
          <w:sz w:val="20"/>
          <w:szCs w:val="20"/>
        </w:rPr>
        <w:t xml:space="preserve"> </w:t>
      </w:r>
      <w:r w:rsidRPr="00EA7870">
        <w:rPr>
          <w:sz w:val="20"/>
          <w:szCs w:val="20"/>
        </w:rPr>
        <w:t>definición,</w:t>
      </w:r>
      <w:r w:rsidR="001A28B3" w:rsidRPr="00EA7870">
        <w:rPr>
          <w:sz w:val="20"/>
          <w:szCs w:val="20"/>
        </w:rPr>
        <w:t xml:space="preserve"> </w:t>
      </w:r>
      <w:r w:rsidRPr="00EA7870">
        <w:rPr>
          <w:sz w:val="20"/>
          <w:szCs w:val="20"/>
        </w:rPr>
        <w:t>el</w:t>
      </w:r>
      <w:r w:rsidR="001A28B3" w:rsidRPr="00EA7870">
        <w:rPr>
          <w:sz w:val="20"/>
          <w:szCs w:val="20"/>
        </w:rPr>
        <w:t xml:space="preserve"> </w:t>
      </w:r>
      <w:r w:rsidRPr="00EA7870">
        <w:rPr>
          <w:sz w:val="20"/>
          <w:szCs w:val="20"/>
        </w:rPr>
        <w:t>término</w:t>
      </w:r>
      <w:r w:rsidR="001A28B3" w:rsidRPr="00EA7870">
        <w:rPr>
          <w:sz w:val="20"/>
          <w:szCs w:val="20"/>
        </w:rPr>
        <w:t xml:space="preserve"> </w:t>
      </w:r>
      <w:r w:rsidRPr="00EA7870">
        <w:rPr>
          <w:sz w:val="20"/>
          <w:szCs w:val="20"/>
        </w:rPr>
        <w:t>“Subsidiaria”</w:t>
      </w:r>
      <w:r w:rsidR="001A28B3" w:rsidRPr="00EA7870">
        <w:rPr>
          <w:sz w:val="20"/>
          <w:szCs w:val="20"/>
        </w:rPr>
        <w:t xml:space="preserve"> </w:t>
      </w:r>
      <w:r w:rsidRPr="00EA7870">
        <w:rPr>
          <w:sz w:val="20"/>
          <w:szCs w:val="20"/>
        </w:rPr>
        <w:t>incluirá</w:t>
      </w:r>
      <w:r w:rsidR="001A28B3" w:rsidRPr="00EA7870">
        <w:rPr>
          <w:sz w:val="20"/>
          <w:szCs w:val="20"/>
        </w:rPr>
        <w:t xml:space="preserve"> </w:t>
      </w:r>
      <w:r w:rsidRPr="00EA7870">
        <w:rPr>
          <w:sz w:val="20"/>
          <w:szCs w:val="20"/>
        </w:rPr>
        <w:t>cualesquiera</w:t>
      </w:r>
      <w:r w:rsidR="001A28B3" w:rsidRPr="00EA7870">
        <w:rPr>
          <w:sz w:val="20"/>
          <w:szCs w:val="20"/>
        </w:rPr>
        <w:t xml:space="preserve"> </w:t>
      </w:r>
      <w:r w:rsidRPr="00EA7870">
        <w:rPr>
          <w:sz w:val="20"/>
          <w:szCs w:val="20"/>
        </w:rPr>
        <w:t>sucursales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Garante</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cualquiera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sus</w:t>
      </w:r>
      <w:r w:rsidR="001A28B3" w:rsidRPr="00EA7870">
        <w:rPr>
          <w:sz w:val="20"/>
          <w:szCs w:val="20"/>
        </w:rPr>
        <w:t xml:space="preserve"> </w:t>
      </w:r>
      <w:r w:rsidRPr="00EA7870">
        <w:rPr>
          <w:sz w:val="20"/>
          <w:szCs w:val="20"/>
        </w:rPr>
        <w:t>Subsidiarias.</w:t>
      </w:r>
    </w:p>
    <w:p w14:paraId="2616AB77" w14:textId="77777777" w:rsidR="00376725" w:rsidRPr="00EA7870" w:rsidRDefault="00376725" w:rsidP="00376725">
      <w:pPr>
        <w:tabs>
          <w:tab w:val="left" w:pos="0"/>
          <w:tab w:val="right" w:leader="dot" w:pos="8505"/>
        </w:tabs>
        <w:ind w:firstLine="709"/>
        <w:jc w:val="both"/>
        <w:rPr>
          <w:sz w:val="20"/>
          <w:szCs w:val="20"/>
          <w:lang w:val="es-AR"/>
        </w:rPr>
      </w:pPr>
    </w:p>
    <w:p w14:paraId="4EBCB87D"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PCGA</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Estados</w:t>
      </w:r>
      <w:r w:rsidR="001A28B3" w:rsidRPr="00EA7870">
        <w:rPr>
          <w:b/>
          <w:sz w:val="20"/>
          <w:szCs w:val="20"/>
          <w:lang w:val="es-AR"/>
        </w:rPr>
        <w:t xml:space="preserve"> </w:t>
      </w:r>
      <w:r w:rsidRPr="00EA7870">
        <w:rPr>
          <w:b/>
          <w:sz w:val="20"/>
          <w:szCs w:val="20"/>
          <w:lang w:val="es-AR"/>
        </w:rPr>
        <w:t>Unidos</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principios</w:t>
      </w:r>
      <w:r w:rsidR="001A28B3" w:rsidRPr="00EA7870">
        <w:rPr>
          <w:sz w:val="20"/>
          <w:szCs w:val="20"/>
          <w:lang w:val="es-AR"/>
        </w:rPr>
        <w:t xml:space="preserve"> </w:t>
      </w:r>
      <w:r w:rsidRPr="00EA7870">
        <w:rPr>
          <w:sz w:val="20"/>
          <w:szCs w:val="20"/>
          <w:lang w:val="es-AR"/>
        </w:rPr>
        <w:t>contables</w:t>
      </w:r>
      <w:r w:rsidR="001A28B3" w:rsidRPr="00EA7870">
        <w:rPr>
          <w:sz w:val="20"/>
          <w:szCs w:val="20"/>
          <w:lang w:val="es-AR"/>
        </w:rPr>
        <w:t xml:space="preserve"> </w:t>
      </w:r>
      <w:r w:rsidRPr="00EA7870">
        <w:rPr>
          <w:sz w:val="20"/>
          <w:szCs w:val="20"/>
          <w:lang w:val="es-AR"/>
        </w:rPr>
        <w:t>generalmente</w:t>
      </w:r>
      <w:r w:rsidR="001A28B3" w:rsidRPr="00EA7870">
        <w:rPr>
          <w:sz w:val="20"/>
          <w:szCs w:val="20"/>
          <w:lang w:val="es-AR"/>
        </w:rPr>
        <w:t xml:space="preserve"> </w:t>
      </w:r>
      <w:r w:rsidRPr="00EA7870">
        <w:rPr>
          <w:sz w:val="20"/>
          <w:szCs w:val="20"/>
          <w:lang w:val="es-AR"/>
        </w:rPr>
        <w:t>aceptados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vigentes</w:t>
      </w:r>
      <w:r w:rsidR="001A28B3" w:rsidRPr="00EA7870">
        <w:rPr>
          <w:sz w:val="20"/>
          <w:szCs w:val="20"/>
          <w:lang w:val="es-AR"/>
        </w:rPr>
        <w:t xml:space="preserve"> </w:t>
      </w:r>
      <w:r w:rsidRPr="00EA7870">
        <w:rPr>
          <w:sz w:val="20"/>
          <w:szCs w:val="20"/>
          <w:lang w:val="es-AR"/>
        </w:rPr>
        <w:t>periódicamente.</w:t>
      </w:r>
      <w:r w:rsidR="001A28B3" w:rsidRPr="00EA7870">
        <w:rPr>
          <w:sz w:val="20"/>
          <w:szCs w:val="20"/>
          <w:lang w:val="es-AR"/>
        </w:rPr>
        <w:t xml:space="preserve"> </w:t>
      </w:r>
    </w:p>
    <w:p w14:paraId="38FE7F75" w14:textId="77777777" w:rsidR="00376725" w:rsidRPr="00EA7870" w:rsidRDefault="00376725" w:rsidP="00376725">
      <w:pPr>
        <w:tabs>
          <w:tab w:val="left" w:pos="0"/>
          <w:tab w:val="right" w:leader="dot" w:pos="8505"/>
        </w:tabs>
        <w:ind w:firstLine="709"/>
        <w:jc w:val="both"/>
        <w:rPr>
          <w:sz w:val="20"/>
          <w:szCs w:val="20"/>
          <w:lang w:val="es-AR"/>
        </w:rPr>
      </w:pPr>
    </w:p>
    <w:p w14:paraId="166C8280"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Obligaciones</w:t>
      </w:r>
      <w:r w:rsidR="001A28B3" w:rsidRPr="00EA7870">
        <w:rPr>
          <w:b/>
          <w:sz w:val="20"/>
          <w:szCs w:val="20"/>
          <w:lang w:val="es-AR"/>
        </w:rPr>
        <w:t xml:space="preserve"> </w:t>
      </w:r>
      <w:r w:rsidRPr="00EA7870">
        <w:rPr>
          <w:b/>
          <w:sz w:val="20"/>
          <w:szCs w:val="20"/>
          <w:lang w:val="es-AR"/>
        </w:rPr>
        <w:t>del</w:t>
      </w:r>
      <w:r w:rsidR="001A28B3" w:rsidRPr="00EA7870">
        <w:rPr>
          <w:b/>
          <w:sz w:val="20"/>
          <w:szCs w:val="20"/>
          <w:lang w:val="es-AR"/>
        </w:rPr>
        <w:t xml:space="preserve"> </w:t>
      </w:r>
      <w:r w:rsidRPr="00EA7870">
        <w:rPr>
          <w:b/>
          <w:sz w:val="20"/>
          <w:szCs w:val="20"/>
          <w:lang w:val="es-AR"/>
        </w:rPr>
        <w:t>Gobierno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Estados</w:t>
      </w:r>
      <w:r w:rsidR="001A28B3" w:rsidRPr="00EA7870">
        <w:rPr>
          <w:b/>
          <w:sz w:val="20"/>
          <w:szCs w:val="20"/>
          <w:lang w:val="es-AR"/>
        </w:rPr>
        <w:t xml:space="preserve"> </w:t>
      </w:r>
      <w:r w:rsidRPr="00EA7870">
        <w:rPr>
          <w:b/>
          <w:sz w:val="20"/>
          <w:szCs w:val="20"/>
          <w:lang w:val="es-AR"/>
        </w:rPr>
        <w:t>Unidos</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emitidas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directa</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íntegramente</w:t>
      </w:r>
      <w:r w:rsidR="001A28B3" w:rsidRPr="00EA7870">
        <w:rPr>
          <w:sz w:val="20"/>
          <w:szCs w:val="20"/>
          <w:lang w:val="es-AR"/>
        </w:rPr>
        <w:t xml:space="preserve"> </w:t>
      </w:r>
      <w:r w:rsidRPr="00EA7870">
        <w:rPr>
          <w:sz w:val="20"/>
          <w:szCs w:val="20"/>
          <w:lang w:val="es-AR"/>
        </w:rPr>
        <w:t>garantizadas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aseguradas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América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agencia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subdivisión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gobierno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país,</w:t>
      </w:r>
      <w:r w:rsidR="001A28B3" w:rsidRPr="00EA7870">
        <w:rPr>
          <w:sz w:val="20"/>
          <w:szCs w:val="20"/>
          <w:lang w:val="es-AR"/>
        </w:rPr>
        <w:t xml:space="preserve"> </w:t>
      </w:r>
      <w:r w:rsidRPr="00EA7870">
        <w:rPr>
          <w:sz w:val="20"/>
          <w:szCs w:val="20"/>
          <w:lang w:val="es-AR"/>
        </w:rPr>
        <w:t>siempre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encuentre</w:t>
      </w:r>
      <w:r w:rsidR="001A28B3" w:rsidRPr="00EA7870">
        <w:rPr>
          <w:sz w:val="20"/>
          <w:szCs w:val="20"/>
          <w:lang w:val="es-AR"/>
        </w:rPr>
        <w:t xml:space="preserve"> </w:t>
      </w:r>
      <w:r w:rsidRPr="00EA7870">
        <w:rPr>
          <w:sz w:val="20"/>
          <w:szCs w:val="20"/>
          <w:lang w:val="es-AR"/>
        </w:rPr>
        <w:t>comprometida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respaldo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ellas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plena</w:t>
      </w:r>
      <w:r w:rsidR="001A28B3" w:rsidRPr="00EA7870">
        <w:rPr>
          <w:sz w:val="20"/>
          <w:szCs w:val="20"/>
          <w:lang w:val="es-AR"/>
        </w:rPr>
        <w:t xml:space="preserve"> </w:t>
      </w:r>
      <w:r w:rsidRPr="00EA7870">
        <w:rPr>
          <w:sz w:val="20"/>
          <w:szCs w:val="20"/>
          <w:lang w:val="es-AR"/>
        </w:rPr>
        <w:t>fe</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crédito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país.</w:t>
      </w:r>
    </w:p>
    <w:p w14:paraId="5BD7178E" w14:textId="77777777" w:rsidR="00376725" w:rsidRPr="00EA7870" w:rsidRDefault="00376725" w:rsidP="00376725">
      <w:pPr>
        <w:tabs>
          <w:tab w:val="left" w:pos="0"/>
          <w:tab w:val="right" w:leader="dot" w:pos="8505"/>
        </w:tabs>
        <w:ind w:firstLine="709"/>
        <w:jc w:val="both"/>
        <w:rPr>
          <w:sz w:val="20"/>
          <w:szCs w:val="20"/>
          <w:lang w:val="es-AR"/>
        </w:rPr>
      </w:pPr>
    </w:p>
    <w:p w14:paraId="65AF7F1F" w14:textId="77777777" w:rsidR="00376725" w:rsidRPr="00EA7870" w:rsidRDefault="00376725" w:rsidP="00376725">
      <w:pPr>
        <w:tabs>
          <w:tab w:val="left" w:pos="0"/>
          <w:tab w:val="right" w:leader="dot" w:pos="8505"/>
        </w:tabs>
        <w:ind w:firstLine="709"/>
        <w:jc w:val="both"/>
        <w:rPr>
          <w:sz w:val="20"/>
          <w:szCs w:val="20"/>
          <w:lang w:val="es-AR"/>
        </w:rPr>
      </w:pPr>
      <w:r w:rsidRPr="00EA7870">
        <w:rPr>
          <w:sz w:val="20"/>
          <w:szCs w:val="20"/>
          <w:lang w:val="es-AR"/>
        </w:rPr>
        <w:t>“</w:t>
      </w:r>
      <w:r w:rsidRPr="00EA7870">
        <w:rPr>
          <w:b/>
          <w:sz w:val="20"/>
          <w:szCs w:val="20"/>
          <w:lang w:val="es-AR"/>
        </w:rPr>
        <w:t>Acuerdo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IVA</w:t>
      </w:r>
      <w:r w:rsidRPr="00EA7870">
        <w:rPr>
          <w:sz w:val="20"/>
          <w:szCs w:val="20"/>
          <w:lang w:val="es-AR"/>
        </w:rPr>
        <w:t>”</w:t>
      </w:r>
      <w:r w:rsidR="001A28B3" w:rsidRPr="00EA7870">
        <w:rPr>
          <w:sz w:val="20"/>
          <w:szCs w:val="20"/>
          <w:lang w:val="es-AR"/>
        </w:rPr>
        <w:t xml:space="preserve"> </w:t>
      </w:r>
      <w:r w:rsidRPr="00EA7870">
        <w:rPr>
          <w:sz w:val="20"/>
          <w:szCs w:val="20"/>
          <w:lang w:val="es-AR"/>
        </w:rPr>
        <w:t>significa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31</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julio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2000</w:t>
      </w:r>
      <w:r w:rsidR="001A28B3" w:rsidRPr="00EA7870">
        <w:rPr>
          <w:sz w:val="20"/>
          <w:szCs w:val="20"/>
          <w:lang w:val="es-AR"/>
        </w:rPr>
        <w:t xml:space="preserve"> </w:t>
      </w:r>
      <w:r w:rsidRPr="00EA7870">
        <w:rPr>
          <w:sz w:val="20"/>
          <w:szCs w:val="20"/>
          <w:lang w:val="es-AR"/>
        </w:rPr>
        <w:t>celebrado</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BP</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Exploration</w:t>
      </w:r>
      <w:r w:rsidR="001A28B3" w:rsidRPr="00EA7870">
        <w:rPr>
          <w:sz w:val="20"/>
          <w:szCs w:val="20"/>
          <w:lang w:val="es-AR"/>
        </w:rPr>
        <w:t xml:space="preserve"> </w:t>
      </w:r>
      <w:r w:rsidRPr="00EA7870">
        <w:rPr>
          <w:sz w:val="20"/>
          <w:szCs w:val="20"/>
          <w:lang w:val="es-AR"/>
        </w:rPr>
        <w:t>Company,</w:t>
      </w:r>
      <w:r w:rsidR="001A28B3" w:rsidRPr="00EA7870">
        <w:rPr>
          <w:sz w:val="20"/>
          <w:szCs w:val="20"/>
          <w:lang w:val="es-AR"/>
        </w:rPr>
        <w:t xml:space="preserve"> </w:t>
      </w:r>
      <w:r w:rsidRPr="00EA7870">
        <w:rPr>
          <w:sz w:val="20"/>
          <w:szCs w:val="20"/>
          <w:lang w:val="es-AR"/>
        </w:rPr>
        <w:t>Bridas</w:t>
      </w:r>
      <w:r w:rsidR="001A28B3" w:rsidRPr="00EA7870">
        <w:rPr>
          <w:sz w:val="20"/>
          <w:szCs w:val="20"/>
          <w:lang w:val="es-AR"/>
        </w:rPr>
        <w:t xml:space="preserve"> </w:t>
      </w:r>
      <w:r w:rsidRPr="00EA7870">
        <w:rPr>
          <w:sz w:val="20"/>
          <w:szCs w:val="20"/>
          <w:lang w:val="es-AR"/>
        </w:rPr>
        <w:t>Corporation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Garante.</w:t>
      </w:r>
    </w:p>
    <w:p w14:paraId="18ACAE9E" w14:textId="77777777" w:rsidR="002757C5" w:rsidRPr="00EA7870" w:rsidRDefault="002757C5" w:rsidP="008F40DA">
      <w:pPr>
        <w:tabs>
          <w:tab w:val="left" w:pos="0"/>
          <w:tab w:val="right" w:leader="dot" w:pos="8505"/>
        </w:tabs>
        <w:ind w:firstLine="709"/>
        <w:jc w:val="both"/>
        <w:rPr>
          <w:rFonts w:ascii="TimesNewRoman" w:hAnsi="TimesNewRoman"/>
          <w:sz w:val="20"/>
          <w:szCs w:val="20"/>
          <w:lang w:val="es-AR"/>
        </w:rPr>
      </w:pPr>
    </w:p>
    <w:p w14:paraId="33B39B85" w14:textId="77777777" w:rsidR="00E06527" w:rsidRPr="00EA7870" w:rsidRDefault="002E44C0" w:rsidP="00DD27E6">
      <w:pPr>
        <w:tabs>
          <w:tab w:val="left" w:pos="0"/>
          <w:tab w:val="right" w:leader="dot" w:pos="8505"/>
        </w:tabs>
        <w:ind w:firstLine="709"/>
        <w:jc w:val="both"/>
        <w:rPr>
          <w:sz w:val="20"/>
          <w:szCs w:val="20"/>
          <w:lang w:val="es-AR"/>
        </w:rPr>
      </w:pPr>
      <w:r w:rsidRPr="00EA7870">
        <w:rPr>
          <w:sz w:val="20"/>
          <w:szCs w:val="20"/>
          <w:lang w:val="es-AR"/>
        </w:rPr>
        <w:br w:type="page"/>
      </w:r>
    </w:p>
    <w:p w14:paraId="0C621908" w14:textId="77777777" w:rsidR="00E06527" w:rsidRPr="00EA7870" w:rsidRDefault="00E06527" w:rsidP="00836A2B">
      <w:pPr>
        <w:pStyle w:val="Ttulo1"/>
        <w:spacing w:before="0" w:after="0"/>
        <w:jc w:val="center"/>
        <w:rPr>
          <w:rFonts w:ascii="Times New Roman" w:hAnsi="Times New Roman"/>
          <w:sz w:val="20"/>
          <w:lang w:val="es-AR"/>
        </w:rPr>
      </w:pPr>
      <w:bookmarkStart w:id="134" w:name="_Toc24360369"/>
      <w:bookmarkStart w:id="135" w:name="_Toc24363274"/>
      <w:r w:rsidRPr="00EA7870">
        <w:rPr>
          <w:rFonts w:ascii="Times New Roman" w:hAnsi="Times New Roman"/>
          <w:sz w:val="20"/>
          <w:lang w:val="es-AR"/>
        </w:rPr>
        <w:t>PLAN</w:t>
      </w:r>
      <w:r w:rsidR="001A28B3" w:rsidRPr="00EA7870">
        <w:rPr>
          <w:rFonts w:ascii="Times New Roman" w:hAnsi="Times New Roman"/>
          <w:sz w:val="20"/>
          <w:lang w:val="es-AR"/>
        </w:rPr>
        <w:t xml:space="preserve"> </w:t>
      </w:r>
      <w:r w:rsidRPr="00EA7870">
        <w:rPr>
          <w:rFonts w:ascii="Times New Roman" w:hAnsi="Times New Roman"/>
          <w:sz w:val="20"/>
          <w:lang w:val="es-AR"/>
        </w:rPr>
        <w:t>DE</w:t>
      </w:r>
      <w:r w:rsidR="001A28B3" w:rsidRPr="00EA7870">
        <w:rPr>
          <w:rFonts w:ascii="Times New Roman" w:hAnsi="Times New Roman"/>
          <w:sz w:val="20"/>
          <w:lang w:val="es-AR"/>
        </w:rPr>
        <w:t xml:space="preserve"> </w:t>
      </w:r>
      <w:r w:rsidRPr="00EA7870">
        <w:rPr>
          <w:rFonts w:ascii="Times New Roman" w:hAnsi="Times New Roman"/>
          <w:sz w:val="20"/>
          <w:lang w:val="es-AR"/>
        </w:rPr>
        <w:t>DISTRIBUCIÓN</w:t>
      </w:r>
      <w:bookmarkEnd w:id="134"/>
      <w:bookmarkEnd w:id="135"/>
    </w:p>
    <w:p w14:paraId="2A6707F9" w14:textId="77777777" w:rsidR="00AB4356" w:rsidRPr="00EA7870" w:rsidRDefault="00AB4356" w:rsidP="00836A2B">
      <w:pPr>
        <w:rPr>
          <w:sz w:val="20"/>
          <w:szCs w:val="20"/>
          <w:lang w:val="es-AR"/>
        </w:rPr>
      </w:pPr>
    </w:p>
    <w:p w14:paraId="4DA99A8C" w14:textId="76AD6D8A" w:rsidR="00462AC5" w:rsidRPr="00EA7870" w:rsidRDefault="001631E4" w:rsidP="00836A2B">
      <w:pPr>
        <w:overflowPunct w:val="0"/>
        <w:autoSpaceDE w:val="0"/>
        <w:autoSpaceDN w:val="0"/>
        <w:adjustRightInd w:val="0"/>
        <w:jc w:val="both"/>
        <w:textAlignment w:val="baseline"/>
        <w:rPr>
          <w:bCs/>
          <w:sz w:val="20"/>
          <w:szCs w:val="20"/>
          <w:lang w:val="es-AR"/>
        </w:rPr>
      </w:pPr>
      <w:r w:rsidRPr="00EA7870">
        <w:rPr>
          <w:bCs/>
          <w:sz w:val="20"/>
          <w:szCs w:val="20"/>
          <w:lang w:val="es-AR"/>
        </w:rPr>
        <w:t>La</w:t>
      </w:r>
      <w:r w:rsidR="001A28B3" w:rsidRPr="00EA7870">
        <w:rPr>
          <w:bCs/>
          <w:sz w:val="20"/>
          <w:szCs w:val="20"/>
          <w:lang w:val="es-AR"/>
        </w:rPr>
        <w:t xml:space="preserve"> </w:t>
      </w:r>
      <w:r w:rsidRPr="00EA7870">
        <w:rPr>
          <w:bCs/>
          <w:sz w:val="20"/>
          <w:szCs w:val="20"/>
          <w:lang w:val="es-AR"/>
        </w:rPr>
        <w:t>oferta</w:t>
      </w:r>
      <w:r w:rsidR="001A28B3" w:rsidRPr="00EA7870">
        <w:rPr>
          <w:bCs/>
          <w:sz w:val="20"/>
          <w:szCs w:val="20"/>
          <w:lang w:val="es-AR"/>
        </w:rPr>
        <w:t xml:space="preserve"> </w:t>
      </w:r>
      <w:r w:rsidRPr="00EA7870">
        <w:rPr>
          <w:bCs/>
          <w:sz w:val="20"/>
          <w:szCs w:val="20"/>
          <w:lang w:val="es-AR"/>
        </w:rPr>
        <w:t>pública</w:t>
      </w:r>
      <w:r w:rsidR="001A28B3" w:rsidRPr="00EA7870">
        <w:rPr>
          <w:bCs/>
          <w:sz w:val="20"/>
          <w:szCs w:val="20"/>
          <w:lang w:val="es-AR"/>
        </w:rPr>
        <w:t xml:space="preserve"> </w:t>
      </w:r>
      <w:r w:rsidRPr="00EA7870">
        <w:rPr>
          <w:bCs/>
          <w:sz w:val="20"/>
          <w:szCs w:val="20"/>
          <w:lang w:val="es-AR"/>
        </w:rPr>
        <w:t>de</w:t>
      </w:r>
      <w:r w:rsidR="001A28B3" w:rsidRPr="00EA7870">
        <w:rPr>
          <w:bCs/>
          <w:sz w:val="20"/>
          <w:szCs w:val="20"/>
          <w:lang w:val="es-AR"/>
        </w:rPr>
        <w:t xml:space="preserve"> </w:t>
      </w:r>
      <w:r w:rsidRPr="00EA7870">
        <w:rPr>
          <w:bCs/>
          <w:sz w:val="20"/>
          <w:szCs w:val="20"/>
          <w:lang w:val="es-AR"/>
        </w:rPr>
        <w:t>las</w:t>
      </w:r>
      <w:r w:rsidR="001A28B3" w:rsidRPr="00EA7870">
        <w:rPr>
          <w:bCs/>
          <w:sz w:val="20"/>
          <w:szCs w:val="20"/>
          <w:lang w:val="es-AR"/>
        </w:rPr>
        <w:t xml:space="preserve"> </w:t>
      </w:r>
      <w:r w:rsidRPr="00EA7870">
        <w:rPr>
          <w:bCs/>
          <w:sz w:val="20"/>
          <w:szCs w:val="20"/>
          <w:lang w:val="es-AR"/>
        </w:rPr>
        <w:t>Obligaciones</w:t>
      </w:r>
      <w:r w:rsidR="001A28B3" w:rsidRPr="00EA7870">
        <w:rPr>
          <w:bCs/>
          <w:sz w:val="20"/>
          <w:szCs w:val="20"/>
          <w:lang w:val="es-AR"/>
        </w:rPr>
        <w:t xml:space="preserve"> </w:t>
      </w:r>
      <w:r w:rsidRPr="00EA7870">
        <w:rPr>
          <w:bCs/>
          <w:sz w:val="20"/>
          <w:szCs w:val="20"/>
          <w:lang w:val="es-AR"/>
        </w:rPr>
        <w:t>Negociables</w:t>
      </w:r>
      <w:r w:rsidR="001A28B3" w:rsidRPr="00EA7870">
        <w:rPr>
          <w:bCs/>
          <w:sz w:val="20"/>
          <w:szCs w:val="20"/>
          <w:lang w:val="es-AR"/>
        </w:rPr>
        <w:t xml:space="preserve"> </w:t>
      </w:r>
      <w:r w:rsidRPr="00EA7870">
        <w:rPr>
          <w:bCs/>
          <w:sz w:val="20"/>
          <w:szCs w:val="20"/>
          <w:lang w:val="es-AR"/>
        </w:rPr>
        <w:t>en</w:t>
      </w:r>
      <w:r w:rsidR="001A28B3" w:rsidRPr="00EA7870">
        <w:rPr>
          <w:bCs/>
          <w:sz w:val="20"/>
          <w:szCs w:val="20"/>
          <w:lang w:val="es-AR"/>
        </w:rPr>
        <w:t xml:space="preserve"> </w:t>
      </w:r>
      <w:r w:rsidRPr="00EA7870">
        <w:rPr>
          <w:bCs/>
          <w:sz w:val="20"/>
          <w:szCs w:val="20"/>
          <w:lang w:val="es-AR"/>
        </w:rPr>
        <w:t>la</w:t>
      </w:r>
      <w:r w:rsidR="001A28B3" w:rsidRPr="00EA7870">
        <w:rPr>
          <w:bCs/>
          <w:sz w:val="20"/>
          <w:szCs w:val="20"/>
          <w:lang w:val="es-AR"/>
        </w:rPr>
        <w:t xml:space="preserve"> </w:t>
      </w:r>
      <w:r w:rsidRPr="00EA7870">
        <w:rPr>
          <w:bCs/>
          <w:sz w:val="20"/>
          <w:szCs w:val="20"/>
          <w:lang w:val="es-AR"/>
        </w:rPr>
        <w:t>Argentina</w:t>
      </w:r>
      <w:r w:rsidR="001A28B3" w:rsidRPr="00EA7870">
        <w:rPr>
          <w:bCs/>
          <w:sz w:val="20"/>
          <w:szCs w:val="20"/>
          <w:lang w:val="es-AR"/>
        </w:rPr>
        <w:t xml:space="preserve"> </w:t>
      </w:r>
      <w:r w:rsidRPr="00EA7870">
        <w:rPr>
          <w:bCs/>
          <w:sz w:val="20"/>
          <w:szCs w:val="20"/>
          <w:lang w:val="es-AR"/>
        </w:rPr>
        <w:t>está</w:t>
      </w:r>
      <w:r w:rsidR="001A28B3" w:rsidRPr="00EA7870">
        <w:rPr>
          <w:bCs/>
          <w:sz w:val="20"/>
          <w:szCs w:val="20"/>
          <w:lang w:val="es-AR"/>
        </w:rPr>
        <w:t xml:space="preserve"> </w:t>
      </w:r>
      <w:r w:rsidRPr="00EA7870">
        <w:rPr>
          <w:bCs/>
          <w:sz w:val="20"/>
          <w:szCs w:val="20"/>
          <w:lang w:val="es-AR"/>
        </w:rPr>
        <w:t>destinada</w:t>
      </w:r>
      <w:r w:rsidR="001A28B3" w:rsidRPr="00EA7870">
        <w:rPr>
          <w:bCs/>
          <w:sz w:val="20"/>
          <w:szCs w:val="20"/>
          <w:lang w:val="es-AR"/>
        </w:rPr>
        <w:t xml:space="preserve"> </w:t>
      </w:r>
      <w:r w:rsidRPr="00EA7870">
        <w:rPr>
          <w:bCs/>
          <w:sz w:val="20"/>
          <w:szCs w:val="20"/>
          <w:lang w:val="es-AR"/>
        </w:rPr>
        <w:t>exclusivamente</w:t>
      </w:r>
      <w:r w:rsidR="001A28B3" w:rsidRPr="00EA7870">
        <w:rPr>
          <w:bCs/>
          <w:sz w:val="20"/>
          <w:szCs w:val="20"/>
          <w:lang w:val="es-AR"/>
        </w:rPr>
        <w:t xml:space="preserve"> </w:t>
      </w:r>
      <w:r w:rsidRPr="00EA7870">
        <w:rPr>
          <w:bCs/>
          <w:sz w:val="20"/>
          <w:szCs w:val="20"/>
          <w:lang w:val="es-AR"/>
        </w:rPr>
        <w:t>a</w:t>
      </w:r>
      <w:r w:rsidR="001A28B3" w:rsidRPr="00EA7870">
        <w:rPr>
          <w:bCs/>
          <w:sz w:val="20"/>
          <w:szCs w:val="20"/>
          <w:lang w:val="es-AR"/>
        </w:rPr>
        <w:t xml:space="preserve"> </w:t>
      </w:r>
      <w:r w:rsidRPr="00EA7870">
        <w:rPr>
          <w:bCs/>
          <w:sz w:val="20"/>
          <w:szCs w:val="20"/>
          <w:lang w:val="es-AR"/>
        </w:rPr>
        <w:t>Inversores</w:t>
      </w:r>
      <w:r w:rsidR="001A28B3" w:rsidRPr="00EA7870">
        <w:rPr>
          <w:bCs/>
          <w:sz w:val="20"/>
          <w:szCs w:val="20"/>
          <w:lang w:val="es-AR"/>
        </w:rPr>
        <w:t xml:space="preserve"> </w:t>
      </w:r>
      <w:r w:rsidRPr="00EA7870">
        <w:rPr>
          <w:bCs/>
          <w:sz w:val="20"/>
          <w:szCs w:val="20"/>
          <w:lang w:val="es-AR"/>
        </w:rPr>
        <w:t>Calificados</w:t>
      </w:r>
      <w:r w:rsidR="00633D77">
        <w:rPr>
          <w:bCs/>
          <w:sz w:val="20"/>
          <w:szCs w:val="20"/>
          <w:lang w:val="es-AR"/>
        </w:rPr>
        <w:t xml:space="preserve"> que sean residentes argentinos</w:t>
      </w:r>
      <w:r w:rsidRPr="00EA7870">
        <w:rPr>
          <w:bCs/>
          <w:sz w:val="20"/>
          <w:szCs w:val="20"/>
          <w:lang w:val="es-AR"/>
        </w:rPr>
        <w:t>.</w:t>
      </w:r>
      <w:r w:rsidR="001A28B3" w:rsidRPr="00EA7870">
        <w:rPr>
          <w:bCs/>
          <w:sz w:val="20"/>
          <w:szCs w:val="20"/>
          <w:lang w:val="es-AR"/>
        </w:rPr>
        <w:t xml:space="preserve"> </w:t>
      </w:r>
      <w:r w:rsidR="00E06527" w:rsidRPr="00EA7870">
        <w:rPr>
          <w:bCs/>
          <w:sz w:val="20"/>
          <w:szCs w:val="20"/>
          <w:lang w:val="es-AR"/>
        </w:rPr>
        <w:t>La</w:t>
      </w:r>
      <w:r w:rsidR="001A28B3" w:rsidRPr="00EA7870">
        <w:rPr>
          <w:bCs/>
          <w:sz w:val="20"/>
          <w:szCs w:val="20"/>
          <w:lang w:val="es-AR"/>
        </w:rPr>
        <w:t xml:space="preserve"> </w:t>
      </w:r>
      <w:r w:rsidR="00E06527" w:rsidRPr="00EA7870">
        <w:rPr>
          <w:bCs/>
          <w:sz w:val="20"/>
          <w:szCs w:val="20"/>
          <w:lang w:val="es-AR"/>
        </w:rPr>
        <w:t>colocación</w:t>
      </w:r>
      <w:r w:rsidR="001A28B3" w:rsidRPr="00EA7870">
        <w:rPr>
          <w:bCs/>
          <w:sz w:val="20"/>
          <w:szCs w:val="20"/>
          <w:lang w:val="es-AR"/>
        </w:rPr>
        <w:t xml:space="preserve"> </w:t>
      </w:r>
      <w:r w:rsidR="00E06527" w:rsidRPr="00EA7870">
        <w:rPr>
          <w:bCs/>
          <w:sz w:val="20"/>
          <w:szCs w:val="20"/>
          <w:lang w:val="es-AR"/>
        </w:rPr>
        <w:t>de</w:t>
      </w:r>
      <w:r w:rsidR="001A28B3" w:rsidRPr="00EA7870">
        <w:rPr>
          <w:bCs/>
          <w:sz w:val="20"/>
          <w:szCs w:val="20"/>
          <w:lang w:val="es-AR"/>
        </w:rPr>
        <w:t xml:space="preserve"> </w:t>
      </w:r>
      <w:r w:rsidR="00E06527" w:rsidRPr="00EA7870">
        <w:rPr>
          <w:bCs/>
          <w:sz w:val="20"/>
          <w:szCs w:val="20"/>
          <w:lang w:val="es-AR"/>
        </w:rPr>
        <w:t>las</w:t>
      </w:r>
      <w:r w:rsidR="001A28B3" w:rsidRPr="00EA7870">
        <w:rPr>
          <w:bCs/>
          <w:sz w:val="20"/>
          <w:szCs w:val="20"/>
          <w:lang w:val="es-AR"/>
        </w:rPr>
        <w:t xml:space="preserve"> </w:t>
      </w:r>
      <w:r w:rsidR="00E06527" w:rsidRPr="00EA7870">
        <w:rPr>
          <w:bCs/>
          <w:sz w:val="20"/>
          <w:szCs w:val="20"/>
          <w:lang w:val="es-AR"/>
        </w:rPr>
        <w:t>Obligaciones</w:t>
      </w:r>
      <w:r w:rsidR="001A28B3" w:rsidRPr="00EA7870">
        <w:rPr>
          <w:bCs/>
          <w:sz w:val="20"/>
          <w:szCs w:val="20"/>
          <w:lang w:val="es-AR"/>
        </w:rPr>
        <w:t xml:space="preserve"> </w:t>
      </w:r>
      <w:r w:rsidR="00E06527" w:rsidRPr="00EA7870">
        <w:rPr>
          <w:bCs/>
          <w:sz w:val="20"/>
          <w:szCs w:val="20"/>
          <w:lang w:val="es-AR"/>
        </w:rPr>
        <w:t>Negociables</w:t>
      </w:r>
      <w:r w:rsidR="001A28B3" w:rsidRPr="00EA7870">
        <w:rPr>
          <w:bCs/>
          <w:sz w:val="20"/>
          <w:szCs w:val="20"/>
          <w:lang w:val="es-AR"/>
        </w:rPr>
        <w:t xml:space="preserve"> </w:t>
      </w:r>
      <w:r w:rsidR="00E06527" w:rsidRPr="00EA7870">
        <w:rPr>
          <w:bCs/>
          <w:sz w:val="20"/>
          <w:szCs w:val="20"/>
          <w:lang w:val="es-AR"/>
        </w:rPr>
        <w:t>será</w:t>
      </w:r>
      <w:r w:rsidR="001A28B3" w:rsidRPr="00EA7870">
        <w:rPr>
          <w:bCs/>
          <w:sz w:val="20"/>
          <w:szCs w:val="20"/>
          <w:lang w:val="es-AR"/>
        </w:rPr>
        <w:t xml:space="preserve"> </w:t>
      </w:r>
      <w:r w:rsidR="00E06527" w:rsidRPr="00EA7870">
        <w:rPr>
          <w:bCs/>
          <w:sz w:val="20"/>
          <w:szCs w:val="20"/>
          <w:lang w:val="es-AR"/>
        </w:rPr>
        <w:t>llevada</w:t>
      </w:r>
      <w:r w:rsidR="001A28B3" w:rsidRPr="00EA7870">
        <w:rPr>
          <w:bCs/>
          <w:sz w:val="20"/>
          <w:szCs w:val="20"/>
          <w:lang w:val="es-AR"/>
        </w:rPr>
        <w:t xml:space="preserve"> </w:t>
      </w:r>
      <w:r w:rsidR="00E06527" w:rsidRPr="00EA7870">
        <w:rPr>
          <w:bCs/>
          <w:sz w:val="20"/>
          <w:szCs w:val="20"/>
          <w:lang w:val="es-AR"/>
        </w:rPr>
        <w:t>a</w:t>
      </w:r>
      <w:r w:rsidR="001A28B3" w:rsidRPr="00EA7870">
        <w:rPr>
          <w:bCs/>
          <w:sz w:val="20"/>
          <w:szCs w:val="20"/>
          <w:lang w:val="es-AR"/>
        </w:rPr>
        <w:t xml:space="preserve"> </w:t>
      </w:r>
      <w:r w:rsidR="00E06527" w:rsidRPr="00EA7870">
        <w:rPr>
          <w:bCs/>
          <w:sz w:val="20"/>
          <w:szCs w:val="20"/>
          <w:lang w:val="es-AR"/>
        </w:rPr>
        <w:t>cabo</w:t>
      </w:r>
      <w:r w:rsidR="001A28B3" w:rsidRPr="00EA7870">
        <w:rPr>
          <w:bCs/>
          <w:sz w:val="20"/>
          <w:szCs w:val="20"/>
          <w:lang w:val="es-AR"/>
        </w:rPr>
        <w:t xml:space="preserve"> </w:t>
      </w:r>
      <w:r w:rsidR="00E06527" w:rsidRPr="00EA7870">
        <w:rPr>
          <w:bCs/>
          <w:sz w:val="20"/>
          <w:szCs w:val="20"/>
          <w:lang w:val="es-AR"/>
        </w:rPr>
        <w:t>mediante</w:t>
      </w:r>
      <w:r w:rsidR="001A28B3" w:rsidRPr="00EA7870">
        <w:rPr>
          <w:bCs/>
          <w:sz w:val="20"/>
          <w:szCs w:val="20"/>
          <w:lang w:val="es-AR"/>
        </w:rPr>
        <w:t xml:space="preserve"> </w:t>
      </w:r>
      <w:r w:rsidR="00E06527" w:rsidRPr="00EA7870">
        <w:rPr>
          <w:bCs/>
          <w:sz w:val="20"/>
          <w:szCs w:val="20"/>
          <w:lang w:val="es-AR"/>
        </w:rPr>
        <w:t>una</w:t>
      </w:r>
      <w:r w:rsidR="001A28B3" w:rsidRPr="00EA7870">
        <w:rPr>
          <w:bCs/>
          <w:sz w:val="20"/>
          <w:szCs w:val="20"/>
          <w:lang w:val="es-AR"/>
        </w:rPr>
        <w:t xml:space="preserve"> </w:t>
      </w:r>
      <w:r w:rsidR="00E06527" w:rsidRPr="00EA7870">
        <w:rPr>
          <w:bCs/>
          <w:sz w:val="20"/>
          <w:szCs w:val="20"/>
          <w:lang w:val="es-AR"/>
        </w:rPr>
        <w:t>oferta</w:t>
      </w:r>
      <w:r w:rsidR="001A28B3" w:rsidRPr="00EA7870">
        <w:rPr>
          <w:bCs/>
          <w:sz w:val="20"/>
          <w:szCs w:val="20"/>
          <w:lang w:val="es-AR"/>
        </w:rPr>
        <w:t xml:space="preserve"> </w:t>
      </w:r>
      <w:r w:rsidR="00E06527" w:rsidRPr="00EA7870">
        <w:rPr>
          <w:bCs/>
          <w:sz w:val="20"/>
          <w:szCs w:val="20"/>
          <w:lang w:val="es-AR"/>
        </w:rPr>
        <w:t>que</w:t>
      </w:r>
      <w:r w:rsidR="001A28B3" w:rsidRPr="00EA7870">
        <w:rPr>
          <w:bCs/>
          <w:sz w:val="20"/>
          <w:szCs w:val="20"/>
          <w:lang w:val="es-AR"/>
        </w:rPr>
        <w:t xml:space="preserve"> </w:t>
      </w:r>
      <w:r w:rsidR="00E06527" w:rsidRPr="00EA7870">
        <w:rPr>
          <w:bCs/>
          <w:sz w:val="20"/>
          <w:szCs w:val="20"/>
          <w:lang w:val="es-AR"/>
        </w:rPr>
        <w:t>califique</w:t>
      </w:r>
      <w:r w:rsidR="001A28B3" w:rsidRPr="00EA7870">
        <w:rPr>
          <w:bCs/>
          <w:sz w:val="20"/>
          <w:szCs w:val="20"/>
          <w:lang w:val="es-AR"/>
        </w:rPr>
        <w:t xml:space="preserve"> </w:t>
      </w:r>
      <w:r w:rsidR="00E06527" w:rsidRPr="00EA7870">
        <w:rPr>
          <w:bCs/>
          <w:sz w:val="20"/>
          <w:szCs w:val="20"/>
          <w:lang w:val="es-AR"/>
        </w:rPr>
        <w:t>como</w:t>
      </w:r>
      <w:r w:rsidR="001A28B3" w:rsidRPr="00EA7870">
        <w:rPr>
          <w:bCs/>
          <w:sz w:val="20"/>
          <w:szCs w:val="20"/>
          <w:lang w:val="es-AR"/>
        </w:rPr>
        <w:t xml:space="preserve"> </w:t>
      </w:r>
      <w:r w:rsidR="00E06527" w:rsidRPr="00EA7870">
        <w:rPr>
          <w:bCs/>
          <w:sz w:val="20"/>
          <w:szCs w:val="20"/>
          <w:lang w:val="es-AR"/>
        </w:rPr>
        <w:t>oferta</w:t>
      </w:r>
      <w:r w:rsidR="001A28B3" w:rsidRPr="00EA7870">
        <w:rPr>
          <w:bCs/>
          <w:sz w:val="20"/>
          <w:szCs w:val="20"/>
          <w:lang w:val="es-AR"/>
        </w:rPr>
        <w:t xml:space="preserve"> </w:t>
      </w:r>
      <w:r w:rsidR="00E06527" w:rsidRPr="00EA7870">
        <w:rPr>
          <w:bCs/>
          <w:sz w:val="20"/>
          <w:szCs w:val="20"/>
          <w:lang w:val="es-AR"/>
        </w:rPr>
        <w:t>pública</w:t>
      </w:r>
      <w:r w:rsidR="001A28B3" w:rsidRPr="00EA7870">
        <w:rPr>
          <w:bCs/>
          <w:sz w:val="20"/>
          <w:szCs w:val="20"/>
          <w:lang w:val="es-AR"/>
        </w:rPr>
        <w:t xml:space="preserve"> </w:t>
      </w:r>
      <w:r w:rsidR="00E06527" w:rsidRPr="00EA7870">
        <w:rPr>
          <w:bCs/>
          <w:sz w:val="20"/>
          <w:szCs w:val="20"/>
          <w:lang w:val="es-AR"/>
        </w:rPr>
        <w:t>en</w:t>
      </w:r>
      <w:r w:rsidR="001A28B3" w:rsidRPr="00EA7870">
        <w:rPr>
          <w:bCs/>
          <w:sz w:val="20"/>
          <w:szCs w:val="20"/>
          <w:lang w:val="es-AR"/>
        </w:rPr>
        <w:t xml:space="preserve"> </w:t>
      </w:r>
      <w:r w:rsidR="00E06527" w:rsidRPr="00EA7870">
        <w:rPr>
          <w:bCs/>
          <w:sz w:val="20"/>
          <w:szCs w:val="20"/>
          <w:lang w:val="es-AR"/>
        </w:rPr>
        <w:t>la</w:t>
      </w:r>
      <w:r w:rsidR="001A28B3" w:rsidRPr="00EA7870">
        <w:rPr>
          <w:bCs/>
          <w:sz w:val="20"/>
          <w:szCs w:val="20"/>
          <w:lang w:val="es-AR"/>
        </w:rPr>
        <w:t xml:space="preserve"> </w:t>
      </w:r>
      <w:r w:rsidR="00E06527" w:rsidRPr="00EA7870">
        <w:rPr>
          <w:bCs/>
          <w:sz w:val="20"/>
          <w:szCs w:val="20"/>
          <w:lang w:val="es-AR"/>
        </w:rPr>
        <w:t>Argentina</w:t>
      </w:r>
      <w:r w:rsidR="001A28B3" w:rsidRPr="00EA7870">
        <w:rPr>
          <w:bCs/>
          <w:sz w:val="20"/>
          <w:szCs w:val="20"/>
          <w:lang w:val="es-AR"/>
        </w:rPr>
        <w:t xml:space="preserve"> </w:t>
      </w:r>
      <w:r w:rsidR="00E06527" w:rsidRPr="00EA7870">
        <w:rPr>
          <w:bCs/>
          <w:sz w:val="20"/>
          <w:szCs w:val="20"/>
          <w:lang w:val="es-AR"/>
        </w:rPr>
        <w:t>conforme</w:t>
      </w:r>
      <w:r w:rsidR="001A28B3" w:rsidRPr="00EA7870">
        <w:rPr>
          <w:bCs/>
          <w:sz w:val="20"/>
          <w:szCs w:val="20"/>
          <w:lang w:val="es-AR"/>
        </w:rPr>
        <w:t xml:space="preserve"> </w:t>
      </w:r>
      <w:r w:rsidR="00E06527" w:rsidRPr="00EA7870">
        <w:rPr>
          <w:bCs/>
          <w:sz w:val="20"/>
          <w:szCs w:val="20"/>
          <w:lang w:val="es-AR"/>
        </w:rPr>
        <w:t>con</w:t>
      </w:r>
      <w:r w:rsidR="001A28B3" w:rsidRPr="00EA7870">
        <w:rPr>
          <w:bCs/>
          <w:sz w:val="20"/>
          <w:szCs w:val="20"/>
          <w:lang w:val="es-AR"/>
        </w:rPr>
        <w:t xml:space="preserve"> </w:t>
      </w:r>
      <w:r w:rsidR="00E06527" w:rsidRPr="00EA7870">
        <w:rPr>
          <w:bCs/>
          <w:sz w:val="20"/>
          <w:szCs w:val="20"/>
          <w:lang w:val="es-AR"/>
        </w:rPr>
        <w:t>los</w:t>
      </w:r>
      <w:r w:rsidR="001A28B3" w:rsidRPr="00EA7870">
        <w:rPr>
          <w:bCs/>
          <w:sz w:val="20"/>
          <w:szCs w:val="20"/>
          <w:lang w:val="es-AR"/>
        </w:rPr>
        <w:t xml:space="preserve"> </w:t>
      </w:r>
      <w:r w:rsidR="00E06527" w:rsidRPr="00EA7870">
        <w:rPr>
          <w:bCs/>
          <w:sz w:val="20"/>
          <w:szCs w:val="20"/>
          <w:lang w:val="es-AR"/>
        </w:rPr>
        <w:t>términos</w:t>
      </w:r>
      <w:r w:rsidR="001A28B3" w:rsidRPr="00EA7870">
        <w:rPr>
          <w:bCs/>
          <w:sz w:val="20"/>
          <w:szCs w:val="20"/>
          <w:lang w:val="es-AR"/>
        </w:rPr>
        <w:t xml:space="preserve"> </w:t>
      </w:r>
      <w:r w:rsidR="00E06527" w:rsidRPr="00EA7870">
        <w:rPr>
          <w:bCs/>
          <w:sz w:val="20"/>
          <w:szCs w:val="20"/>
          <w:lang w:val="es-AR"/>
        </w:rPr>
        <w:t>de</w:t>
      </w:r>
      <w:r w:rsidR="001A28B3" w:rsidRPr="00EA7870">
        <w:rPr>
          <w:bCs/>
          <w:sz w:val="20"/>
          <w:szCs w:val="20"/>
          <w:lang w:val="es-AR"/>
        </w:rPr>
        <w:t xml:space="preserve"> </w:t>
      </w:r>
      <w:r w:rsidR="00E06527" w:rsidRPr="00EA7870">
        <w:rPr>
          <w:bCs/>
          <w:sz w:val="20"/>
          <w:szCs w:val="20"/>
          <w:lang w:val="es-AR"/>
        </w:rPr>
        <w:t>la</w:t>
      </w:r>
      <w:r w:rsidR="001A28B3" w:rsidRPr="00EA7870">
        <w:rPr>
          <w:bCs/>
          <w:sz w:val="20"/>
          <w:szCs w:val="20"/>
          <w:lang w:val="es-AR"/>
        </w:rPr>
        <w:t xml:space="preserve"> </w:t>
      </w:r>
      <w:r w:rsidR="00E06527" w:rsidRPr="00EA7870">
        <w:rPr>
          <w:bCs/>
          <w:sz w:val="20"/>
          <w:szCs w:val="20"/>
          <w:lang w:val="es-AR"/>
        </w:rPr>
        <w:t>Ley</w:t>
      </w:r>
      <w:r w:rsidR="001A28B3" w:rsidRPr="00EA7870">
        <w:rPr>
          <w:bCs/>
          <w:sz w:val="20"/>
          <w:szCs w:val="20"/>
          <w:lang w:val="es-AR"/>
        </w:rPr>
        <w:t xml:space="preserve"> </w:t>
      </w:r>
      <w:r w:rsidR="00E06527" w:rsidRPr="00EA7870">
        <w:rPr>
          <w:bCs/>
          <w:sz w:val="20"/>
          <w:szCs w:val="20"/>
          <w:lang w:val="es-AR"/>
        </w:rPr>
        <w:t>de</w:t>
      </w:r>
      <w:r w:rsidR="001A28B3" w:rsidRPr="00EA7870">
        <w:rPr>
          <w:bCs/>
          <w:sz w:val="20"/>
          <w:szCs w:val="20"/>
          <w:lang w:val="es-AR"/>
        </w:rPr>
        <w:t xml:space="preserve"> </w:t>
      </w:r>
      <w:r w:rsidR="00E06527" w:rsidRPr="00EA7870">
        <w:rPr>
          <w:bCs/>
          <w:sz w:val="20"/>
          <w:szCs w:val="20"/>
          <w:lang w:val="es-AR"/>
        </w:rPr>
        <w:t>Mercado</w:t>
      </w:r>
      <w:r w:rsidR="001A28B3" w:rsidRPr="00EA7870">
        <w:rPr>
          <w:bCs/>
          <w:sz w:val="20"/>
          <w:szCs w:val="20"/>
          <w:lang w:val="es-AR"/>
        </w:rPr>
        <w:t xml:space="preserve"> </w:t>
      </w:r>
      <w:r w:rsidR="00E06527" w:rsidRPr="00EA7870">
        <w:rPr>
          <w:bCs/>
          <w:sz w:val="20"/>
          <w:szCs w:val="20"/>
          <w:lang w:val="es-AR"/>
        </w:rPr>
        <w:t>de</w:t>
      </w:r>
      <w:r w:rsidR="001A28B3" w:rsidRPr="00EA7870">
        <w:rPr>
          <w:bCs/>
          <w:sz w:val="20"/>
          <w:szCs w:val="20"/>
          <w:lang w:val="es-AR"/>
        </w:rPr>
        <w:t xml:space="preserve"> </w:t>
      </w:r>
      <w:r w:rsidR="00E06527" w:rsidRPr="00EA7870">
        <w:rPr>
          <w:bCs/>
          <w:sz w:val="20"/>
          <w:szCs w:val="20"/>
          <w:lang w:val="es-AR"/>
        </w:rPr>
        <w:t>Capitales</w:t>
      </w:r>
      <w:r w:rsidR="00AA46FF" w:rsidRPr="00EA7870">
        <w:rPr>
          <w:sz w:val="20"/>
          <w:szCs w:val="20"/>
          <w:lang w:val="es-AR"/>
        </w:rPr>
        <w:t>,</w:t>
      </w:r>
      <w:r w:rsidR="001A28B3" w:rsidRPr="00EA7870">
        <w:rPr>
          <w:sz w:val="20"/>
          <w:szCs w:val="20"/>
          <w:lang w:val="es-AR"/>
        </w:rPr>
        <w:t xml:space="preserve"> </w:t>
      </w:r>
      <w:r w:rsidR="00E06527" w:rsidRPr="00EA7870">
        <w:rPr>
          <w:bCs/>
          <w:sz w:val="20"/>
          <w:szCs w:val="20"/>
          <w:lang w:val="es-AR"/>
        </w:rPr>
        <w:t>las</w:t>
      </w:r>
      <w:r w:rsidR="001A28B3" w:rsidRPr="00EA7870">
        <w:rPr>
          <w:bCs/>
          <w:sz w:val="20"/>
          <w:szCs w:val="20"/>
          <w:lang w:val="es-AR"/>
        </w:rPr>
        <w:t xml:space="preserve"> </w:t>
      </w:r>
      <w:r w:rsidR="00E06527" w:rsidRPr="00EA7870">
        <w:rPr>
          <w:bCs/>
          <w:sz w:val="20"/>
          <w:szCs w:val="20"/>
          <w:lang w:val="es-AR"/>
        </w:rPr>
        <w:t>Normas</w:t>
      </w:r>
      <w:r w:rsidR="001A28B3" w:rsidRPr="00EA7870">
        <w:rPr>
          <w:bCs/>
          <w:sz w:val="20"/>
          <w:szCs w:val="20"/>
          <w:lang w:val="es-AR"/>
        </w:rPr>
        <w:t xml:space="preserve"> </w:t>
      </w:r>
      <w:r w:rsidR="00E06527" w:rsidRPr="00EA7870">
        <w:rPr>
          <w:bCs/>
          <w:sz w:val="20"/>
          <w:szCs w:val="20"/>
          <w:lang w:val="es-AR"/>
        </w:rPr>
        <w:t>de</w:t>
      </w:r>
      <w:r w:rsidR="001A28B3" w:rsidRPr="00EA7870">
        <w:rPr>
          <w:bCs/>
          <w:sz w:val="20"/>
          <w:szCs w:val="20"/>
          <w:lang w:val="es-AR"/>
        </w:rPr>
        <w:t xml:space="preserve"> </w:t>
      </w:r>
      <w:r w:rsidR="00E06527" w:rsidRPr="00EA7870">
        <w:rPr>
          <w:bCs/>
          <w:sz w:val="20"/>
          <w:szCs w:val="20"/>
          <w:lang w:val="es-AR"/>
        </w:rPr>
        <w:t>la</w:t>
      </w:r>
      <w:r w:rsidR="001A28B3" w:rsidRPr="00EA7870">
        <w:rPr>
          <w:bCs/>
          <w:sz w:val="20"/>
          <w:szCs w:val="20"/>
          <w:lang w:val="es-AR"/>
        </w:rPr>
        <w:t xml:space="preserve"> </w:t>
      </w:r>
      <w:r w:rsidR="00E06527" w:rsidRPr="00EA7870">
        <w:rPr>
          <w:bCs/>
          <w:sz w:val="20"/>
          <w:szCs w:val="20"/>
          <w:lang w:val="es-AR"/>
        </w:rPr>
        <w:t>CNV</w:t>
      </w:r>
      <w:r w:rsidR="001A28B3" w:rsidRPr="00EA7870">
        <w:rPr>
          <w:bCs/>
          <w:sz w:val="20"/>
          <w:szCs w:val="20"/>
          <w:lang w:val="es-AR"/>
        </w:rPr>
        <w:t xml:space="preserve"> </w:t>
      </w:r>
      <w:r w:rsidR="00E06527" w:rsidRPr="00EA7870">
        <w:rPr>
          <w:bCs/>
          <w:sz w:val="20"/>
          <w:szCs w:val="20"/>
          <w:lang w:val="es-AR"/>
        </w:rPr>
        <w:t>y</w:t>
      </w:r>
      <w:r w:rsidR="001A28B3" w:rsidRPr="00EA7870">
        <w:rPr>
          <w:bCs/>
          <w:sz w:val="20"/>
          <w:szCs w:val="20"/>
          <w:lang w:val="es-AR"/>
        </w:rPr>
        <w:t xml:space="preserve"> </w:t>
      </w:r>
      <w:r w:rsidR="00E06527" w:rsidRPr="00EA7870">
        <w:rPr>
          <w:bCs/>
          <w:sz w:val="20"/>
          <w:szCs w:val="20"/>
          <w:lang w:val="es-AR"/>
        </w:rPr>
        <w:t>demás</w:t>
      </w:r>
      <w:r w:rsidR="001A28B3" w:rsidRPr="00EA7870">
        <w:rPr>
          <w:bCs/>
          <w:sz w:val="20"/>
          <w:szCs w:val="20"/>
          <w:lang w:val="es-AR"/>
        </w:rPr>
        <w:t xml:space="preserve"> </w:t>
      </w:r>
      <w:r w:rsidR="00E06527" w:rsidRPr="00EA7870">
        <w:rPr>
          <w:bCs/>
          <w:sz w:val="20"/>
          <w:szCs w:val="20"/>
          <w:lang w:val="es-AR"/>
        </w:rPr>
        <w:t>normas</w:t>
      </w:r>
      <w:r w:rsidR="001A28B3" w:rsidRPr="00EA7870">
        <w:rPr>
          <w:bCs/>
          <w:sz w:val="20"/>
          <w:szCs w:val="20"/>
          <w:lang w:val="es-AR"/>
        </w:rPr>
        <w:t xml:space="preserve"> </w:t>
      </w:r>
      <w:r w:rsidR="009B6738" w:rsidRPr="00EA7870">
        <w:rPr>
          <w:bCs/>
          <w:sz w:val="20"/>
          <w:szCs w:val="20"/>
          <w:lang w:val="es-AR"/>
        </w:rPr>
        <w:t>argentinas</w:t>
      </w:r>
      <w:r w:rsidR="001A28B3" w:rsidRPr="00EA7870">
        <w:rPr>
          <w:bCs/>
          <w:sz w:val="20"/>
          <w:szCs w:val="20"/>
          <w:lang w:val="es-AR"/>
        </w:rPr>
        <w:t xml:space="preserve"> </w:t>
      </w:r>
      <w:r w:rsidR="00E06527" w:rsidRPr="00EA7870">
        <w:rPr>
          <w:bCs/>
          <w:sz w:val="20"/>
          <w:szCs w:val="20"/>
          <w:lang w:val="es-AR"/>
        </w:rPr>
        <w:t>aplicables.</w:t>
      </w:r>
      <w:r w:rsidR="001A28B3" w:rsidRPr="00EA7870">
        <w:rPr>
          <w:bCs/>
          <w:sz w:val="20"/>
          <w:szCs w:val="20"/>
          <w:lang w:val="es-AR"/>
        </w:rPr>
        <w:t xml:space="preserve"> </w:t>
      </w:r>
    </w:p>
    <w:p w14:paraId="54594DB2" w14:textId="1F391296" w:rsidR="00836A2B" w:rsidRPr="00EA7870" w:rsidRDefault="00836A2B" w:rsidP="00836A2B">
      <w:pPr>
        <w:overflowPunct w:val="0"/>
        <w:autoSpaceDE w:val="0"/>
        <w:autoSpaceDN w:val="0"/>
        <w:adjustRightInd w:val="0"/>
        <w:jc w:val="both"/>
        <w:textAlignment w:val="baseline"/>
        <w:rPr>
          <w:bCs/>
          <w:sz w:val="20"/>
          <w:szCs w:val="20"/>
          <w:lang w:val="es-AR"/>
        </w:rPr>
      </w:pPr>
    </w:p>
    <w:p w14:paraId="01068F04" w14:textId="60FF1A61" w:rsidR="008615C4" w:rsidRPr="00EA7870" w:rsidRDefault="00E06527" w:rsidP="00062222">
      <w:pPr>
        <w:overflowPunct w:val="0"/>
        <w:autoSpaceDE w:val="0"/>
        <w:autoSpaceDN w:val="0"/>
        <w:adjustRightInd w:val="0"/>
        <w:jc w:val="both"/>
        <w:textAlignment w:val="baseline"/>
        <w:rPr>
          <w:bCs/>
          <w:sz w:val="20"/>
          <w:szCs w:val="20"/>
          <w:lang w:val="es-AR"/>
        </w:rPr>
      </w:pPr>
      <w:r w:rsidRPr="00EA7870">
        <w:rPr>
          <w:bCs/>
          <w:sz w:val="20"/>
          <w:szCs w:val="20"/>
          <w:lang w:val="es-AR"/>
        </w:rPr>
        <w:t>La</w:t>
      </w:r>
      <w:r w:rsidR="001A28B3" w:rsidRPr="00EA7870">
        <w:rPr>
          <w:bCs/>
          <w:sz w:val="20"/>
          <w:szCs w:val="20"/>
          <w:lang w:val="es-AR"/>
        </w:rPr>
        <w:t xml:space="preserve"> </w:t>
      </w:r>
      <w:r w:rsidRPr="00EA7870">
        <w:rPr>
          <w:bCs/>
          <w:sz w:val="20"/>
          <w:szCs w:val="20"/>
          <w:lang w:val="es-AR"/>
        </w:rPr>
        <w:t>oferta</w:t>
      </w:r>
      <w:r w:rsidR="001A28B3" w:rsidRPr="00EA7870">
        <w:rPr>
          <w:bCs/>
          <w:sz w:val="20"/>
          <w:szCs w:val="20"/>
          <w:lang w:val="es-AR"/>
        </w:rPr>
        <w:t xml:space="preserve"> </w:t>
      </w:r>
      <w:r w:rsidRPr="00EA7870">
        <w:rPr>
          <w:bCs/>
          <w:sz w:val="20"/>
          <w:szCs w:val="20"/>
          <w:lang w:val="es-AR"/>
        </w:rPr>
        <w:t>de</w:t>
      </w:r>
      <w:r w:rsidR="001A28B3" w:rsidRPr="00EA7870">
        <w:rPr>
          <w:bCs/>
          <w:sz w:val="20"/>
          <w:szCs w:val="20"/>
          <w:lang w:val="es-AR"/>
        </w:rPr>
        <w:t xml:space="preserve"> </w:t>
      </w:r>
      <w:r w:rsidRPr="00EA7870">
        <w:rPr>
          <w:bCs/>
          <w:sz w:val="20"/>
          <w:szCs w:val="20"/>
          <w:lang w:val="es-AR"/>
        </w:rPr>
        <w:t>suscripción</w:t>
      </w:r>
      <w:r w:rsidR="001A28B3" w:rsidRPr="00EA7870">
        <w:rPr>
          <w:bCs/>
          <w:sz w:val="20"/>
          <w:szCs w:val="20"/>
          <w:lang w:val="es-AR"/>
        </w:rPr>
        <w:t xml:space="preserve"> </w:t>
      </w:r>
      <w:r w:rsidRPr="00EA7870">
        <w:rPr>
          <w:bCs/>
          <w:sz w:val="20"/>
          <w:szCs w:val="20"/>
          <w:lang w:val="es-AR"/>
        </w:rPr>
        <w:t>de</w:t>
      </w:r>
      <w:r w:rsidR="001A28B3" w:rsidRPr="00EA7870">
        <w:rPr>
          <w:bCs/>
          <w:sz w:val="20"/>
          <w:szCs w:val="20"/>
          <w:lang w:val="es-AR"/>
        </w:rPr>
        <w:t xml:space="preserve"> </w:t>
      </w:r>
      <w:r w:rsidRPr="00EA7870">
        <w:rPr>
          <w:bCs/>
          <w:sz w:val="20"/>
          <w:szCs w:val="20"/>
          <w:lang w:val="es-AR"/>
        </w:rPr>
        <w:t>las</w:t>
      </w:r>
      <w:r w:rsidR="001A28B3" w:rsidRPr="00EA7870">
        <w:rPr>
          <w:bCs/>
          <w:sz w:val="20"/>
          <w:szCs w:val="20"/>
          <w:lang w:val="es-AR"/>
        </w:rPr>
        <w:t xml:space="preserve"> </w:t>
      </w:r>
      <w:r w:rsidRPr="00EA7870">
        <w:rPr>
          <w:bCs/>
          <w:sz w:val="20"/>
          <w:szCs w:val="20"/>
          <w:lang w:val="es-AR"/>
        </w:rPr>
        <w:t>Obligaciones</w:t>
      </w:r>
      <w:r w:rsidR="001A28B3" w:rsidRPr="00EA7870">
        <w:rPr>
          <w:bCs/>
          <w:sz w:val="20"/>
          <w:szCs w:val="20"/>
          <w:lang w:val="es-AR"/>
        </w:rPr>
        <w:t xml:space="preserve"> </w:t>
      </w:r>
      <w:r w:rsidRPr="00EA7870">
        <w:rPr>
          <w:bCs/>
          <w:sz w:val="20"/>
          <w:szCs w:val="20"/>
          <w:lang w:val="es-AR"/>
        </w:rPr>
        <w:t>Negociables</w:t>
      </w:r>
      <w:r w:rsidR="00567767">
        <w:rPr>
          <w:bCs/>
          <w:sz w:val="20"/>
          <w:szCs w:val="20"/>
          <w:lang w:val="es-AR"/>
        </w:rPr>
        <w:t xml:space="preserve">, </w:t>
      </w:r>
      <w:r w:rsidR="00567767" w:rsidRPr="00F4789C">
        <w:rPr>
          <w:bCs/>
          <w:sz w:val="20"/>
          <w:szCs w:val="20"/>
          <w:lang w:val="es-AR"/>
        </w:rPr>
        <w:t>por la suma de hasta US$</w:t>
      </w:r>
      <w:r w:rsidR="00FF15BD">
        <w:rPr>
          <w:bCs/>
          <w:sz w:val="20"/>
          <w:szCs w:val="20"/>
          <w:lang w:val="es-AR"/>
        </w:rPr>
        <w:t>75</w:t>
      </w:r>
      <w:r w:rsidR="00567767" w:rsidRPr="00F4789C">
        <w:rPr>
          <w:bCs/>
          <w:sz w:val="20"/>
          <w:szCs w:val="20"/>
          <w:lang w:val="es-AR"/>
        </w:rPr>
        <w:t>.000.000 ampliable por hasta US$1</w:t>
      </w:r>
      <w:r w:rsidR="00FF15BD">
        <w:rPr>
          <w:bCs/>
          <w:sz w:val="20"/>
          <w:szCs w:val="20"/>
          <w:lang w:val="es-AR"/>
        </w:rPr>
        <w:t>2</w:t>
      </w:r>
      <w:r w:rsidR="00567767" w:rsidRPr="00F4789C">
        <w:rPr>
          <w:bCs/>
          <w:sz w:val="20"/>
          <w:szCs w:val="20"/>
          <w:lang w:val="es-AR"/>
        </w:rPr>
        <w:t>0.000.000</w:t>
      </w:r>
      <w:r w:rsidR="00416D0D">
        <w:rPr>
          <w:bCs/>
          <w:sz w:val="20"/>
          <w:szCs w:val="20"/>
          <w:lang w:val="es-AR"/>
        </w:rPr>
        <w:t>, a tasa fija y</w:t>
      </w:r>
      <w:r w:rsidR="00567767" w:rsidRPr="00F4789C">
        <w:rPr>
          <w:bCs/>
          <w:sz w:val="20"/>
          <w:szCs w:val="20"/>
          <w:lang w:val="es-AR"/>
        </w:rPr>
        <w:t xml:space="preserve"> </w:t>
      </w:r>
      <w:r w:rsidR="00416D0D">
        <w:rPr>
          <w:bCs/>
          <w:sz w:val="20"/>
          <w:szCs w:val="20"/>
          <w:lang w:val="es-AR"/>
        </w:rPr>
        <w:t>al</w:t>
      </w:r>
      <w:r w:rsidR="00567767" w:rsidRPr="00F4789C">
        <w:rPr>
          <w:bCs/>
          <w:sz w:val="20"/>
          <w:szCs w:val="20"/>
          <w:lang w:val="es-AR"/>
        </w:rPr>
        <w:t xml:space="preserve"> precio de emisión que se fije oportunamente en virtud del procedimiento aquí descripto</w:t>
      </w:r>
      <w:r w:rsidR="00416D0D">
        <w:rPr>
          <w:bCs/>
          <w:sz w:val="20"/>
          <w:szCs w:val="20"/>
          <w:lang w:val="es-AR"/>
        </w:rPr>
        <w:t xml:space="preserve"> (los cuales serán informados oportunamente en el Aviso de Resultados), la cual</w:t>
      </w:r>
      <w:r w:rsidR="001A28B3" w:rsidRPr="00EA7870">
        <w:rPr>
          <w:bCs/>
          <w:sz w:val="20"/>
          <w:szCs w:val="20"/>
          <w:lang w:val="es-AR"/>
        </w:rPr>
        <w:t xml:space="preserve"> </w:t>
      </w:r>
      <w:r w:rsidRPr="00EA7870">
        <w:rPr>
          <w:bCs/>
          <w:sz w:val="20"/>
          <w:szCs w:val="20"/>
          <w:lang w:val="es-AR"/>
        </w:rPr>
        <w:t>constará</w:t>
      </w:r>
      <w:r w:rsidR="001A28B3" w:rsidRPr="00EA7870">
        <w:rPr>
          <w:bCs/>
          <w:sz w:val="20"/>
          <w:szCs w:val="20"/>
          <w:lang w:val="es-AR"/>
        </w:rPr>
        <w:t xml:space="preserve"> </w:t>
      </w:r>
      <w:r w:rsidRPr="00EA7870">
        <w:rPr>
          <w:bCs/>
          <w:sz w:val="20"/>
          <w:szCs w:val="20"/>
          <w:lang w:val="es-AR"/>
        </w:rPr>
        <w:t>de:</w:t>
      </w:r>
      <w:r w:rsidR="001A28B3" w:rsidRPr="00EA7870">
        <w:rPr>
          <w:bCs/>
          <w:sz w:val="20"/>
          <w:szCs w:val="20"/>
          <w:lang w:val="es-AR"/>
        </w:rPr>
        <w:t xml:space="preserve"> </w:t>
      </w:r>
      <w:r w:rsidRPr="00EA7870">
        <w:rPr>
          <w:bCs/>
          <w:sz w:val="20"/>
          <w:szCs w:val="20"/>
          <w:lang w:val="es-AR"/>
        </w:rPr>
        <w:t>(i)</w:t>
      </w:r>
      <w:r w:rsidR="001A28B3" w:rsidRPr="00EA7870">
        <w:rPr>
          <w:bCs/>
          <w:sz w:val="20"/>
          <w:szCs w:val="20"/>
          <w:lang w:val="es-AR"/>
        </w:rPr>
        <w:t xml:space="preserve"> </w:t>
      </w:r>
      <w:r w:rsidRPr="00EA7870">
        <w:rPr>
          <w:bCs/>
          <w:sz w:val="20"/>
          <w:szCs w:val="20"/>
          <w:lang w:val="es-AR"/>
        </w:rPr>
        <w:t>una</w:t>
      </w:r>
      <w:r w:rsidR="001A28B3" w:rsidRPr="00EA7870">
        <w:rPr>
          <w:bCs/>
          <w:sz w:val="20"/>
          <w:szCs w:val="20"/>
          <w:lang w:val="es-AR"/>
        </w:rPr>
        <w:t xml:space="preserve"> </w:t>
      </w:r>
      <w:r w:rsidRPr="00EA7870">
        <w:rPr>
          <w:bCs/>
          <w:sz w:val="20"/>
          <w:szCs w:val="20"/>
          <w:lang w:val="es-AR"/>
        </w:rPr>
        <w:t>oferta</w:t>
      </w:r>
      <w:r w:rsidR="001A28B3" w:rsidRPr="00EA7870">
        <w:rPr>
          <w:bCs/>
          <w:sz w:val="20"/>
          <w:szCs w:val="20"/>
          <w:lang w:val="es-AR"/>
        </w:rPr>
        <w:t xml:space="preserve"> </w:t>
      </w:r>
      <w:r w:rsidR="008615C4" w:rsidRPr="00EA7870">
        <w:rPr>
          <w:bCs/>
          <w:sz w:val="20"/>
          <w:szCs w:val="20"/>
          <w:lang w:val="es-AR"/>
        </w:rPr>
        <w:t xml:space="preserve">pública </w:t>
      </w:r>
      <w:r w:rsidRPr="00EA7870">
        <w:rPr>
          <w:bCs/>
          <w:sz w:val="20"/>
          <w:szCs w:val="20"/>
          <w:lang w:val="es-AR"/>
        </w:rPr>
        <w:t>dirigida</w:t>
      </w:r>
      <w:r w:rsidR="001A28B3" w:rsidRPr="00EA7870">
        <w:rPr>
          <w:bCs/>
          <w:sz w:val="20"/>
          <w:szCs w:val="20"/>
          <w:lang w:val="es-AR"/>
        </w:rPr>
        <w:t xml:space="preserve"> </w:t>
      </w:r>
      <w:r w:rsidRPr="00EA7870">
        <w:rPr>
          <w:bCs/>
          <w:sz w:val="20"/>
          <w:szCs w:val="20"/>
          <w:lang w:val="es-AR"/>
        </w:rPr>
        <w:t>a</w:t>
      </w:r>
      <w:r w:rsidR="001A28B3" w:rsidRPr="00EA7870">
        <w:rPr>
          <w:bCs/>
          <w:sz w:val="20"/>
          <w:szCs w:val="20"/>
          <w:lang w:val="es-AR"/>
        </w:rPr>
        <w:t xml:space="preserve"> </w:t>
      </w:r>
      <w:r w:rsidR="00492C21" w:rsidRPr="00EA7870">
        <w:rPr>
          <w:bCs/>
          <w:sz w:val="20"/>
          <w:szCs w:val="20"/>
          <w:lang w:val="es-AR"/>
        </w:rPr>
        <w:t>“</w:t>
      </w:r>
      <w:r w:rsidR="002B6C29" w:rsidRPr="00EA7870">
        <w:rPr>
          <w:bCs/>
          <w:sz w:val="20"/>
          <w:szCs w:val="20"/>
          <w:lang w:val="es-AR"/>
        </w:rPr>
        <w:t>I</w:t>
      </w:r>
      <w:r w:rsidR="006B19B9" w:rsidRPr="00EA7870">
        <w:rPr>
          <w:bCs/>
          <w:sz w:val="20"/>
          <w:szCs w:val="20"/>
          <w:lang w:val="es-AR"/>
        </w:rPr>
        <w:t>nversores</w:t>
      </w:r>
      <w:r w:rsidR="001A28B3" w:rsidRPr="00EA7870">
        <w:rPr>
          <w:bCs/>
          <w:sz w:val="20"/>
          <w:szCs w:val="20"/>
          <w:lang w:val="es-AR"/>
        </w:rPr>
        <w:t xml:space="preserve"> </w:t>
      </w:r>
      <w:r w:rsidR="002B6C29" w:rsidRPr="00EA7870">
        <w:rPr>
          <w:bCs/>
          <w:sz w:val="20"/>
          <w:szCs w:val="20"/>
          <w:lang w:val="es-AR"/>
        </w:rPr>
        <w:t>C</w:t>
      </w:r>
      <w:r w:rsidR="007D46B8" w:rsidRPr="00EA7870">
        <w:rPr>
          <w:bCs/>
          <w:sz w:val="20"/>
          <w:szCs w:val="20"/>
          <w:lang w:val="es-AR"/>
        </w:rPr>
        <w:t>alificados”</w:t>
      </w:r>
      <w:r w:rsidR="001A28B3" w:rsidRPr="00EA7870">
        <w:rPr>
          <w:bCs/>
          <w:sz w:val="20"/>
          <w:szCs w:val="20"/>
          <w:lang w:val="es-AR"/>
        </w:rPr>
        <w:t xml:space="preserve"> </w:t>
      </w:r>
      <w:r w:rsidRPr="00EA7870">
        <w:rPr>
          <w:bCs/>
          <w:sz w:val="20"/>
          <w:szCs w:val="20"/>
          <w:lang w:val="es-AR"/>
        </w:rPr>
        <w:t>en</w:t>
      </w:r>
      <w:r w:rsidR="001A28B3" w:rsidRPr="00EA7870">
        <w:rPr>
          <w:bCs/>
          <w:sz w:val="20"/>
          <w:szCs w:val="20"/>
          <w:lang w:val="es-AR"/>
        </w:rPr>
        <w:t xml:space="preserve"> </w:t>
      </w:r>
      <w:r w:rsidRPr="00EA7870">
        <w:rPr>
          <w:bCs/>
          <w:sz w:val="20"/>
          <w:szCs w:val="20"/>
          <w:lang w:val="es-AR"/>
        </w:rPr>
        <w:t>la</w:t>
      </w:r>
      <w:r w:rsidR="001A28B3" w:rsidRPr="00EA7870">
        <w:rPr>
          <w:bCs/>
          <w:sz w:val="20"/>
          <w:szCs w:val="20"/>
          <w:lang w:val="es-AR"/>
        </w:rPr>
        <w:t xml:space="preserve"> </w:t>
      </w:r>
      <w:r w:rsidRPr="00EA7870">
        <w:rPr>
          <w:bCs/>
          <w:sz w:val="20"/>
          <w:szCs w:val="20"/>
          <w:lang w:val="es-AR"/>
        </w:rPr>
        <w:t>Argentina</w:t>
      </w:r>
      <w:r w:rsidR="001A28B3" w:rsidRPr="00EA7870">
        <w:rPr>
          <w:bCs/>
          <w:sz w:val="20"/>
          <w:szCs w:val="20"/>
          <w:lang w:val="es-AR"/>
        </w:rPr>
        <w:t xml:space="preserve"> </w:t>
      </w:r>
      <w:r w:rsidR="007D46B8" w:rsidRPr="00EA7870">
        <w:rPr>
          <w:bCs/>
          <w:sz w:val="20"/>
          <w:szCs w:val="20"/>
          <w:lang w:val="es-AR"/>
        </w:rPr>
        <w:t>según</w:t>
      </w:r>
      <w:r w:rsidR="001A28B3" w:rsidRPr="00EA7870">
        <w:rPr>
          <w:bCs/>
          <w:sz w:val="20"/>
          <w:szCs w:val="20"/>
          <w:lang w:val="es-AR"/>
        </w:rPr>
        <w:t xml:space="preserve"> </w:t>
      </w:r>
      <w:r w:rsidR="007D46B8" w:rsidRPr="00EA7870">
        <w:rPr>
          <w:bCs/>
          <w:sz w:val="20"/>
          <w:szCs w:val="20"/>
          <w:lang w:val="es-AR"/>
        </w:rPr>
        <w:t>se</w:t>
      </w:r>
      <w:r w:rsidR="001A28B3" w:rsidRPr="00EA7870">
        <w:rPr>
          <w:bCs/>
          <w:sz w:val="20"/>
          <w:szCs w:val="20"/>
          <w:lang w:val="es-AR"/>
        </w:rPr>
        <w:t xml:space="preserve"> </w:t>
      </w:r>
      <w:r w:rsidR="007D46B8" w:rsidRPr="00EA7870">
        <w:rPr>
          <w:bCs/>
          <w:sz w:val="20"/>
          <w:szCs w:val="20"/>
          <w:lang w:val="es-AR"/>
        </w:rPr>
        <w:t>los</w:t>
      </w:r>
      <w:r w:rsidR="001A28B3" w:rsidRPr="00EA7870">
        <w:rPr>
          <w:bCs/>
          <w:sz w:val="20"/>
          <w:szCs w:val="20"/>
          <w:lang w:val="es-AR"/>
        </w:rPr>
        <w:t xml:space="preserve"> </w:t>
      </w:r>
      <w:r w:rsidR="007D46B8" w:rsidRPr="00EA7870">
        <w:rPr>
          <w:bCs/>
          <w:sz w:val="20"/>
          <w:szCs w:val="20"/>
          <w:lang w:val="es-AR"/>
        </w:rPr>
        <w:t>define</w:t>
      </w:r>
      <w:r w:rsidR="001A28B3" w:rsidRPr="00EA7870">
        <w:rPr>
          <w:bCs/>
          <w:sz w:val="20"/>
          <w:szCs w:val="20"/>
          <w:lang w:val="es-AR"/>
        </w:rPr>
        <w:t xml:space="preserve"> </w:t>
      </w:r>
      <w:r w:rsidR="007D46B8" w:rsidRPr="00EA7870">
        <w:rPr>
          <w:bCs/>
          <w:sz w:val="20"/>
          <w:szCs w:val="20"/>
          <w:lang w:val="es-AR"/>
        </w:rPr>
        <w:t>en</w:t>
      </w:r>
      <w:r w:rsidR="001A28B3" w:rsidRPr="00EA7870">
        <w:rPr>
          <w:bCs/>
          <w:sz w:val="20"/>
          <w:szCs w:val="20"/>
          <w:lang w:val="es-AR"/>
        </w:rPr>
        <w:t xml:space="preserve"> </w:t>
      </w:r>
      <w:r w:rsidR="007D46B8" w:rsidRPr="00EA7870">
        <w:rPr>
          <w:bCs/>
          <w:sz w:val="20"/>
          <w:szCs w:val="20"/>
          <w:lang w:val="es-AR"/>
        </w:rPr>
        <w:t>el</w:t>
      </w:r>
      <w:r w:rsidR="001A28B3" w:rsidRPr="00EA7870">
        <w:rPr>
          <w:bCs/>
          <w:sz w:val="20"/>
          <w:szCs w:val="20"/>
          <w:lang w:val="es-AR"/>
        </w:rPr>
        <w:t xml:space="preserve"> </w:t>
      </w:r>
      <w:r w:rsidR="007D46B8" w:rsidRPr="00EA7870">
        <w:rPr>
          <w:bCs/>
          <w:sz w:val="20"/>
          <w:szCs w:val="20"/>
          <w:lang w:val="es-AR"/>
        </w:rPr>
        <w:t>Artículo</w:t>
      </w:r>
      <w:r w:rsidR="001A28B3" w:rsidRPr="00EA7870">
        <w:rPr>
          <w:bCs/>
          <w:sz w:val="20"/>
          <w:szCs w:val="20"/>
          <w:lang w:val="es-AR"/>
        </w:rPr>
        <w:t xml:space="preserve"> </w:t>
      </w:r>
      <w:r w:rsidR="007D46B8" w:rsidRPr="00EA7870">
        <w:rPr>
          <w:bCs/>
          <w:sz w:val="20"/>
          <w:szCs w:val="20"/>
          <w:lang w:val="es-AR"/>
        </w:rPr>
        <w:t>12,</w:t>
      </w:r>
      <w:r w:rsidR="001A28B3" w:rsidRPr="00EA7870">
        <w:rPr>
          <w:bCs/>
          <w:sz w:val="20"/>
          <w:szCs w:val="20"/>
          <w:lang w:val="es-AR"/>
        </w:rPr>
        <w:t xml:space="preserve"> </w:t>
      </w:r>
      <w:r w:rsidR="007D46B8" w:rsidRPr="00EA7870">
        <w:rPr>
          <w:bCs/>
          <w:sz w:val="20"/>
          <w:szCs w:val="20"/>
          <w:lang w:val="es-AR"/>
        </w:rPr>
        <w:t>Sección</w:t>
      </w:r>
      <w:r w:rsidR="001A28B3" w:rsidRPr="00EA7870">
        <w:rPr>
          <w:bCs/>
          <w:sz w:val="20"/>
          <w:szCs w:val="20"/>
          <w:lang w:val="es-AR"/>
        </w:rPr>
        <w:t xml:space="preserve"> </w:t>
      </w:r>
      <w:r w:rsidR="007D46B8" w:rsidRPr="00EA7870">
        <w:rPr>
          <w:bCs/>
          <w:sz w:val="20"/>
          <w:szCs w:val="20"/>
          <w:lang w:val="es-AR"/>
        </w:rPr>
        <w:t>I,</w:t>
      </w:r>
      <w:r w:rsidR="001A28B3" w:rsidRPr="00EA7870">
        <w:rPr>
          <w:bCs/>
          <w:sz w:val="20"/>
          <w:szCs w:val="20"/>
          <w:lang w:val="es-AR"/>
        </w:rPr>
        <w:t xml:space="preserve"> </w:t>
      </w:r>
      <w:r w:rsidR="007D46B8" w:rsidRPr="00EA7870">
        <w:rPr>
          <w:bCs/>
          <w:sz w:val="20"/>
          <w:szCs w:val="20"/>
          <w:lang w:val="es-AR"/>
        </w:rPr>
        <w:t>Capítulo</w:t>
      </w:r>
      <w:r w:rsidR="001A28B3" w:rsidRPr="00EA7870">
        <w:rPr>
          <w:bCs/>
          <w:sz w:val="20"/>
          <w:szCs w:val="20"/>
          <w:lang w:val="es-AR"/>
        </w:rPr>
        <w:t xml:space="preserve"> </w:t>
      </w:r>
      <w:r w:rsidR="007D46B8" w:rsidRPr="00EA7870">
        <w:rPr>
          <w:bCs/>
          <w:sz w:val="20"/>
          <w:szCs w:val="20"/>
          <w:lang w:val="es-AR"/>
        </w:rPr>
        <w:t>VI,</w:t>
      </w:r>
      <w:r w:rsidR="001A28B3" w:rsidRPr="00EA7870">
        <w:rPr>
          <w:bCs/>
          <w:sz w:val="20"/>
          <w:szCs w:val="20"/>
          <w:lang w:val="es-AR"/>
        </w:rPr>
        <w:t xml:space="preserve"> </w:t>
      </w:r>
      <w:r w:rsidR="007D46B8" w:rsidRPr="00EA7870">
        <w:rPr>
          <w:bCs/>
          <w:sz w:val="20"/>
          <w:szCs w:val="20"/>
          <w:lang w:val="es-AR"/>
        </w:rPr>
        <w:t>Título</w:t>
      </w:r>
      <w:r w:rsidR="001A28B3" w:rsidRPr="00EA7870">
        <w:rPr>
          <w:bCs/>
          <w:sz w:val="20"/>
          <w:szCs w:val="20"/>
          <w:lang w:val="es-AR"/>
        </w:rPr>
        <w:t xml:space="preserve"> </w:t>
      </w:r>
      <w:r w:rsidR="007D46B8" w:rsidRPr="00EA7870">
        <w:rPr>
          <w:bCs/>
          <w:sz w:val="20"/>
          <w:szCs w:val="20"/>
          <w:lang w:val="es-AR"/>
        </w:rPr>
        <w:t>II</w:t>
      </w:r>
      <w:r w:rsidR="001A28B3" w:rsidRPr="00EA7870">
        <w:rPr>
          <w:bCs/>
          <w:sz w:val="20"/>
          <w:szCs w:val="20"/>
          <w:lang w:val="es-AR"/>
        </w:rPr>
        <w:t xml:space="preserve"> </w:t>
      </w:r>
      <w:r w:rsidR="007D46B8" w:rsidRPr="00EA7870">
        <w:rPr>
          <w:bCs/>
          <w:sz w:val="20"/>
          <w:szCs w:val="20"/>
          <w:lang w:val="es-AR"/>
        </w:rPr>
        <w:t>de</w:t>
      </w:r>
      <w:r w:rsidR="001A28B3" w:rsidRPr="00EA7870">
        <w:rPr>
          <w:bCs/>
          <w:sz w:val="20"/>
          <w:szCs w:val="20"/>
          <w:lang w:val="es-AR"/>
        </w:rPr>
        <w:t xml:space="preserve"> </w:t>
      </w:r>
      <w:r w:rsidR="007D46B8" w:rsidRPr="00EA7870">
        <w:rPr>
          <w:bCs/>
          <w:sz w:val="20"/>
          <w:szCs w:val="20"/>
          <w:lang w:val="es-AR"/>
        </w:rPr>
        <w:t>las</w:t>
      </w:r>
      <w:r w:rsidR="001A28B3" w:rsidRPr="00EA7870">
        <w:rPr>
          <w:bCs/>
          <w:sz w:val="20"/>
          <w:szCs w:val="20"/>
          <w:lang w:val="es-AR"/>
        </w:rPr>
        <w:t xml:space="preserve"> </w:t>
      </w:r>
      <w:r w:rsidR="007D46B8" w:rsidRPr="00EA7870">
        <w:rPr>
          <w:bCs/>
          <w:sz w:val="20"/>
          <w:szCs w:val="20"/>
          <w:lang w:val="es-AR"/>
        </w:rPr>
        <w:t>Normas</w:t>
      </w:r>
      <w:r w:rsidR="001A28B3" w:rsidRPr="00EA7870">
        <w:rPr>
          <w:bCs/>
          <w:sz w:val="20"/>
          <w:szCs w:val="20"/>
          <w:lang w:val="es-AR"/>
        </w:rPr>
        <w:t xml:space="preserve"> </w:t>
      </w:r>
      <w:r w:rsidR="007D46B8" w:rsidRPr="00EA7870">
        <w:rPr>
          <w:bCs/>
          <w:sz w:val="20"/>
          <w:szCs w:val="20"/>
          <w:lang w:val="es-AR"/>
        </w:rPr>
        <w:t>de</w:t>
      </w:r>
      <w:r w:rsidR="001A28B3" w:rsidRPr="00EA7870">
        <w:rPr>
          <w:bCs/>
          <w:sz w:val="20"/>
          <w:szCs w:val="20"/>
          <w:lang w:val="es-AR"/>
        </w:rPr>
        <w:t xml:space="preserve"> </w:t>
      </w:r>
      <w:r w:rsidR="007D46B8" w:rsidRPr="00EA7870">
        <w:rPr>
          <w:bCs/>
          <w:sz w:val="20"/>
          <w:szCs w:val="20"/>
          <w:lang w:val="es-AR"/>
        </w:rPr>
        <w:t>la</w:t>
      </w:r>
      <w:r w:rsidR="001A28B3" w:rsidRPr="00EA7870">
        <w:rPr>
          <w:bCs/>
          <w:sz w:val="20"/>
          <w:szCs w:val="20"/>
          <w:lang w:val="es-AR"/>
        </w:rPr>
        <w:t xml:space="preserve"> </w:t>
      </w:r>
      <w:r w:rsidR="007D46B8" w:rsidRPr="00EA7870">
        <w:rPr>
          <w:bCs/>
          <w:sz w:val="20"/>
          <w:szCs w:val="20"/>
          <w:lang w:val="es-AR"/>
        </w:rPr>
        <w:t>CNV</w:t>
      </w:r>
      <w:r w:rsidR="00633D77">
        <w:rPr>
          <w:bCs/>
          <w:sz w:val="20"/>
          <w:szCs w:val="20"/>
          <w:lang w:val="es-AR"/>
        </w:rPr>
        <w:t>, que sean residentes argentinos</w:t>
      </w:r>
      <w:r w:rsidR="001A28B3" w:rsidRPr="00EA7870">
        <w:rPr>
          <w:bCs/>
          <w:sz w:val="20"/>
          <w:szCs w:val="20"/>
          <w:lang w:val="es-AR"/>
        </w:rPr>
        <w:t xml:space="preserve"> </w:t>
      </w:r>
      <w:r w:rsidRPr="00EA7870">
        <w:rPr>
          <w:bCs/>
          <w:sz w:val="20"/>
          <w:szCs w:val="20"/>
          <w:lang w:val="es-AR"/>
        </w:rPr>
        <w:t>(la</w:t>
      </w:r>
      <w:r w:rsidR="001A28B3" w:rsidRPr="00EA7870">
        <w:rPr>
          <w:bCs/>
          <w:sz w:val="20"/>
          <w:szCs w:val="20"/>
          <w:lang w:val="es-AR"/>
        </w:rPr>
        <w:t xml:space="preserve"> </w:t>
      </w:r>
      <w:r w:rsidRPr="00EA7870">
        <w:rPr>
          <w:bCs/>
          <w:sz w:val="20"/>
          <w:szCs w:val="20"/>
          <w:lang w:val="es-AR"/>
        </w:rPr>
        <w:t>“</w:t>
      </w:r>
      <w:r w:rsidRPr="00EA7870">
        <w:rPr>
          <w:b/>
          <w:bCs/>
          <w:sz w:val="20"/>
          <w:szCs w:val="20"/>
          <w:lang w:val="es-AR"/>
        </w:rPr>
        <w:t>Oferta</w:t>
      </w:r>
      <w:r w:rsidR="001A28B3" w:rsidRPr="00EA7870">
        <w:rPr>
          <w:b/>
          <w:bCs/>
          <w:sz w:val="20"/>
          <w:szCs w:val="20"/>
          <w:lang w:val="es-AR"/>
        </w:rPr>
        <w:t xml:space="preserve"> </w:t>
      </w:r>
      <w:r w:rsidRPr="00EA7870">
        <w:rPr>
          <w:b/>
          <w:bCs/>
          <w:sz w:val="20"/>
          <w:szCs w:val="20"/>
          <w:lang w:val="es-AR"/>
        </w:rPr>
        <w:t>Local</w:t>
      </w:r>
      <w:r w:rsidRPr="00EA7870">
        <w:rPr>
          <w:bCs/>
          <w:sz w:val="20"/>
          <w:szCs w:val="20"/>
          <w:lang w:val="es-AR"/>
        </w:rPr>
        <w:t>”),</w:t>
      </w:r>
      <w:r w:rsidR="001A28B3" w:rsidRPr="00EA7870">
        <w:rPr>
          <w:bCs/>
          <w:sz w:val="20"/>
          <w:szCs w:val="20"/>
          <w:lang w:val="es-AR"/>
        </w:rPr>
        <w:t xml:space="preserve"> </w:t>
      </w:r>
      <w:r w:rsidRPr="00EA7870">
        <w:rPr>
          <w:bCs/>
          <w:sz w:val="20"/>
          <w:szCs w:val="20"/>
          <w:lang w:val="es-AR"/>
        </w:rPr>
        <w:t>que</w:t>
      </w:r>
      <w:r w:rsidR="001A28B3" w:rsidRPr="00EA7870">
        <w:rPr>
          <w:bCs/>
          <w:sz w:val="20"/>
          <w:szCs w:val="20"/>
          <w:lang w:val="es-AR"/>
        </w:rPr>
        <w:t xml:space="preserve"> </w:t>
      </w:r>
      <w:r w:rsidRPr="00EA7870">
        <w:rPr>
          <w:bCs/>
          <w:sz w:val="20"/>
          <w:szCs w:val="20"/>
          <w:lang w:val="es-AR"/>
        </w:rPr>
        <w:t>será</w:t>
      </w:r>
      <w:r w:rsidR="001A28B3" w:rsidRPr="00EA7870">
        <w:rPr>
          <w:bCs/>
          <w:sz w:val="20"/>
          <w:szCs w:val="20"/>
          <w:lang w:val="es-AR"/>
        </w:rPr>
        <w:t xml:space="preserve"> </w:t>
      </w:r>
      <w:r w:rsidRPr="00EA7870">
        <w:rPr>
          <w:bCs/>
          <w:sz w:val="20"/>
          <w:szCs w:val="20"/>
          <w:lang w:val="es-AR"/>
        </w:rPr>
        <w:t>realizada</w:t>
      </w:r>
      <w:r w:rsidR="001A28B3" w:rsidRPr="00EA7870">
        <w:rPr>
          <w:bCs/>
          <w:sz w:val="20"/>
          <w:szCs w:val="20"/>
          <w:lang w:val="es-AR"/>
        </w:rPr>
        <w:t xml:space="preserve"> </w:t>
      </w:r>
      <w:r w:rsidRPr="00EA7870">
        <w:rPr>
          <w:bCs/>
          <w:sz w:val="20"/>
          <w:szCs w:val="20"/>
          <w:lang w:val="es-AR"/>
        </w:rPr>
        <w:t>por</w:t>
      </w:r>
      <w:r w:rsidR="001A28B3" w:rsidRPr="00EA7870">
        <w:rPr>
          <w:bCs/>
          <w:sz w:val="20"/>
          <w:szCs w:val="20"/>
          <w:lang w:val="es-AR"/>
        </w:rPr>
        <w:t xml:space="preserve"> </w:t>
      </w:r>
      <w:r w:rsidRPr="00EA7870">
        <w:rPr>
          <w:bCs/>
          <w:sz w:val="20"/>
          <w:szCs w:val="20"/>
          <w:lang w:val="es-AR"/>
        </w:rPr>
        <w:t>intermedio</w:t>
      </w:r>
      <w:r w:rsidR="001A28B3" w:rsidRPr="00EA7870">
        <w:rPr>
          <w:bCs/>
          <w:sz w:val="20"/>
          <w:szCs w:val="20"/>
          <w:lang w:val="es-AR"/>
        </w:rPr>
        <w:t xml:space="preserve"> </w:t>
      </w:r>
      <w:r w:rsidRPr="00EA7870">
        <w:rPr>
          <w:bCs/>
          <w:sz w:val="20"/>
          <w:szCs w:val="20"/>
          <w:lang w:val="es-AR"/>
        </w:rPr>
        <w:t>de</w:t>
      </w:r>
      <w:r w:rsidR="007B2387" w:rsidRPr="00EA7870">
        <w:rPr>
          <w:bCs/>
          <w:sz w:val="20"/>
          <w:szCs w:val="20"/>
          <w:lang w:val="es-AR"/>
        </w:rPr>
        <w:t xml:space="preserve">l </w:t>
      </w:r>
      <w:r w:rsidR="007B2387" w:rsidRPr="00EA7870">
        <w:rPr>
          <w:sz w:val="20"/>
          <w:szCs w:val="20"/>
          <w:lang w:val="es-AR"/>
        </w:rPr>
        <w:t>Colocador Local</w:t>
      </w:r>
      <w:r w:rsidR="001A28B3" w:rsidRPr="00EA7870">
        <w:rPr>
          <w:bCs/>
          <w:sz w:val="20"/>
          <w:szCs w:val="20"/>
          <w:lang w:val="es-AR"/>
        </w:rPr>
        <w:t xml:space="preserve"> </w:t>
      </w:r>
      <w:r w:rsidRPr="00EA7870">
        <w:rPr>
          <w:bCs/>
          <w:sz w:val="20"/>
          <w:szCs w:val="20"/>
          <w:lang w:val="es-AR"/>
        </w:rPr>
        <w:t>de</w:t>
      </w:r>
      <w:r w:rsidR="001A28B3" w:rsidRPr="00EA7870">
        <w:rPr>
          <w:bCs/>
          <w:sz w:val="20"/>
          <w:szCs w:val="20"/>
          <w:lang w:val="es-AR"/>
        </w:rPr>
        <w:t xml:space="preserve"> </w:t>
      </w:r>
      <w:r w:rsidRPr="00EA7870">
        <w:rPr>
          <w:bCs/>
          <w:sz w:val="20"/>
          <w:szCs w:val="20"/>
          <w:lang w:val="es-AR"/>
        </w:rPr>
        <w:t>conformidad</w:t>
      </w:r>
      <w:r w:rsidR="001A28B3" w:rsidRPr="00EA7870">
        <w:rPr>
          <w:bCs/>
          <w:sz w:val="20"/>
          <w:szCs w:val="20"/>
          <w:lang w:val="es-AR"/>
        </w:rPr>
        <w:t xml:space="preserve"> </w:t>
      </w:r>
      <w:r w:rsidRPr="00EA7870">
        <w:rPr>
          <w:bCs/>
          <w:sz w:val="20"/>
          <w:szCs w:val="20"/>
          <w:lang w:val="es-AR"/>
        </w:rPr>
        <w:t>con,</w:t>
      </w:r>
      <w:r w:rsidR="001A28B3" w:rsidRPr="00EA7870">
        <w:rPr>
          <w:bCs/>
          <w:sz w:val="20"/>
          <w:szCs w:val="20"/>
          <w:lang w:val="es-AR"/>
        </w:rPr>
        <w:t xml:space="preserve"> </w:t>
      </w:r>
      <w:r w:rsidRPr="00EA7870">
        <w:rPr>
          <w:bCs/>
          <w:sz w:val="20"/>
          <w:szCs w:val="20"/>
          <w:lang w:val="es-AR"/>
        </w:rPr>
        <w:t>y</w:t>
      </w:r>
      <w:r w:rsidR="001A28B3" w:rsidRPr="00EA7870">
        <w:rPr>
          <w:bCs/>
          <w:sz w:val="20"/>
          <w:szCs w:val="20"/>
          <w:lang w:val="es-AR"/>
        </w:rPr>
        <w:t xml:space="preserve"> </w:t>
      </w:r>
      <w:r w:rsidRPr="00EA7870">
        <w:rPr>
          <w:bCs/>
          <w:sz w:val="20"/>
          <w:szCs w:val="20"/>
          <w:lang w:val="es-AR"/>
        </w:rPr>
        <w:t>sujeto</w:t>
      </w:r>
      <w:r w:rsidR="001A28B3" w:rsidRPr="00EA7870">
        <w:rPr>
          <w:bCs/>
          <w:sz w:val="20"/>
          <w:szCs w:val="20"/>
          <w:lang w:val="es-AR"/>
        </w:rPr>
        <w:t xml:space="preserve"> </w:t>
      </w:r>
      <w:r w:rsidRPr="00EA7870">
        <w:rPr>
          <w:bCs/>
          <w:sz w:val="20"/>
          <w:szCs w:val="20"/>
          <w:lang w:val="es-AR"/>
        </w:rPr>
        <w:t>a,</w:t>
      </w:r>
      <w:r w:rsidR="001A28B3" w:rsidRPr="00EA7870">
        <w:rPr>
          <w:bCs/>
          <w:sz w:val="20"/>
          <w:szCs w:val="20"/>
          <w:lang w:val="es-AR"/>
        </w:rPr>
        <w:t xml:space="preserve"> </w:t>
      </w:r>
      <w:r w:rsidRPr="00EA7870">
        <w:rPr>
          <w:bCs/>
          <w:sz w:val="20"/>
          <w:szCs w:val="20"/>
          <w:lang w:val="es-AR"/>
        </w:rPr>
        <w:t>los</w:t>
      </w:r>
      <w:r w:rsidR="001A28B3" w:rsidRPr="00EA7870">
        <w:rPr>
          <w:bCs/>
          <w:sz w:val="20"/>
          <w:szCs w:val="20"/>
          <w:lang w:val="es-AR"/>
        </w:rPr>
        <w:t xml:space="preserve"> </w:t>
      </w:r>
      <w:r w:rsidRPr="00EA7870">
        <w:rPr>
          <w:bCs/>
          <w:sz w:val="20"/>
          <w:szCs w:val="20"/>
          <w:lang w:val="es-AR"/>
        </w:rPr>
        <w:t>términos</w:t>
      </w:r>
      <w:r w:rsidR="001A28B3" w:rsidRPr="00EA7870">
        <w:rPr>
          <w:bCs/>
          <w:sz w:val="20"/>
          <w:szCs w:val="20"/>
          <w:lang w:val="es-AR"/>
        </w:rPr>
        <w:t xml:space="preserve"> </w:t>
      </w:r>
      <w:r w:rsidRPr="00EA7870">
        <w:rPr>
          <w:bCs/>
          <w:sz w:val="20"/>
          <w:szCs w:val="20"/>
          <w:lang w:val="es-AR"/>
        </w:rPr>
        <w:t>y</w:t>
      </w:r>
      <w:r w:rsidR="001A28B3" w:rsidRPr="00EA7870">
        <w:rPr>
          <w:bCs/>
          <w:sz w:val="20"/>
          <w:szCs w:val="20"/>
          <w:lang w:val="es-AR"/>
        </w:rPr>
        <w:t xml:space="preserve"> </w:t>
      </w:r>
      <w:r w:rsidRPr="00EA7870">
        <w:rPr>
          <w:bCs/>
          <w:sz w:val="20"/>
          <w:szCs w:val="20"/>
          <w:lang w:val="es-AR"/>
        </w:rPr>
        <w:t>condiciones</w:t>
      </w:r>
      <w:r w:rsidR="001A28B3" w:rsidRPr="00EA7870">
        <w:rPr>
          <w:bCs/>
          <w:sz w:val="20"/>
          <w:szCs w:val="20"/>
          <w:lang w:val="es-AR"/>
        </w:rPr>
        <w:t xml:space="preserve"> </w:t>
      </w:r>
      <w:r w:rsidRPr="00EA7870">
        <w:rPr>
          <w:bCs/>
          <w:sz w:val="20"/>
          <w:szCs w:val="20"/>
          <w:lang w:val="es-AR"/>
        </w:rPr>
        <w:t>previstos</w:t>
      </w:r>
      <w:r w:rsidR="001A28B3" w:rsidRPr="00EA7870">
        <w:rPr>
          <w:bCs/>
          <w:sz w:val="20"/>
          <w:szCs w:val="20"/>
          <w:lang w:val="es-AR"/>
        </w:rPr>
        <w:t xml:space="preserve"> </w:t>
      </w:r>
      <w:r w:rsidRPr="00EA7870">
        <w:rPr>
          <w:bCs/>
          <w:sz w:val="20"/>
          <w:szCs w:val="20"/>
          <w:lang w:val="es-AR"/>
        </w:rPr>
        <w:t>en</w:t>
      </w:r>
      <w:r w:rsidR="001A28B3" w:rsidRPr="00EA7870">
        <w:rPr>
          <w:bCs/>
          <w:sz w:val="20"/>
          <w:szCs w:val="20"/>
          <w:lang w:val="es-AR"/>
        </w:rPr>
        <w:t xml:space="preserve"> </w:t>
      </w:r>
      <w:r w:rsidRPr="00EA7870">
        <w:rPr>
          <w:bCs/>
          <w:sz w:val="20"/>
          <w:szCs w:val="20"/>
          <w:lang w:val="es-AR"/>
        </w:rPr>
        <w:t>el</w:t>
      </w:r>
      <w:r w:rsidR="001A28B3" w:rsidRPr="00EA7870">
        <w:rPr>
          <w:bCs/>
          <w:sz w:val="20"/>
          <w:szCs w:val="20"/>
          <w:lang w:val="es-AR"/>
        </w:rPr>
        <w:t xml:space="preserve"> </w:t>
      </w:r>
      <w:r w:rsidRPr="00EA7870">
        <w:rPr>
          <w:bCs/>
          <w:sz w:val="20"/>
          <w:szCs w:val="20"/>
          <w:lang w:val="es-AR"/>
        </w:rPr>
        <w:t>presente</w:t>
      </w:r>
      <w:r w:rsidR="001A28B3" w:rsidRPr="00EA7870">
        <w:rPr>
          <w:bCs/>
          <w:sz w:val="20"/>
          <w:szCs w:val="20"/>
          <w:lang w:val="es-AR"/>
        </w:rPr>
        <w:t xml:space="preserve"> </w:t>
      </w:r>
      <w:r w:rsidRPr="00EA7870">
        <w:rPr>
          <w:bCs/>
          <w:sz w:val="20"/>
          <w:szCs w:val="20"/>
          <w:lang w:val="es-AR"/>
        </w:rPr>
        <w:t>y</w:t>
      </w:r>
      <w:r w:rsidR="001A28B3" w:rsidRPr="00EA7870">
        <w:rPr>
          <w:bCs/>
          <w:sz w:val="20"/>
          <w:szCs w:val="20"/>
          <w:lang w:val="es-AR"/>
        </w:rPr>
        <w:t xml:space="preserve"> </w:t>
      </w:r>
      <w:r w:rsidRPr="00EA7870">
        <w:rPr>
          <w:bCs/>
          <w:sz w:val="20"/>
          <w:szCs w:val="20"/>
          <w:lang w:val="es-AR"/>
        </w:rPr>
        <w:t>en</w:t>
      </w:r>
      <w:r w:rsidR="001A28B3" w:rsidRPr="00EA7870">
        <w:rPr>
          <w:bCs/>
          <w:sz w:val="20"/>
          <w:szCs w:val="20"/>
          <w:lang w:val="es-AR"/>
        </w:rPr>
        <w:t xml:space="preserve"> </w:t>
      </w:r>
      <w:r w:rsidRPr="00EA7870">
        <w:rPr>
          <w:bCs/>
          <w:sz w:val="20"/>
          <w:szCs w:val="20"/>
          <w:lang w:val="es-AR"/>
        </w:rPr>
        <w:t>el</w:t>
      </w:r>
      <w:r w:rsidR="001A28B3" w:rsidRPr="00EA7870">
        <w:rPr>
          <w:bCs/>
          <w:sz w:val="20"/>
          <w:szCs w:val="20"/>
          <w:lang w:val="es-AR"/>
        </w:rPr>
        <w:t xml:space="preserve"> </w:t>
      </w:r>
      <w:r w:rsidRPr="00EA7870">
        <w:rPr>
          <w:bCs/>
          <w:sz w:val="20"/>
          <w:szCs w:val="20"/>
          <w:lang w:val="es-AR"/>
        </w:rPr>
        <w:t>contrato</w:t>
      </w:r>
      <w:r w:rsidR="001A28B3" w:rsidRPr="00EA7870">
        <w:rPr>
          <w:bCs/>
          <w:sz w:val="20"/>
          <w:szCs w:val="20"/>
          <w:lang w:val="es-AR"/>
        </w:rPr>
        <w:t xml:space="preserve"> </w:t>
      </w:r>
      <w:r w:rsidRPr="00EA7870">
        <w:rPr>
          <w:bCs/>
          <w:sz w:val="20"/>
          <w:szCs w:val="20"/>
          <w:lang w:val="es-AR"/>
        </w:rPr>
        <w:t>a</w:t>
      </w:r>
      <w:r w:rsidR="001A28B3" w:rsidRPr="00EA7870">
        <w:rPr>
          <w:bCs/>
          <w:sz w:val="20"/>
          <w:szCs w:val="20"/>
          <w:lang w:val="es-AR"/>
        </w:rPr>
        <w:t xml:space="preserve"> </w:t>
      </w:r>
      <w:r w:rsidRPr="00EA7870">
        <w:rPr>
          <w:bCs/>
          <w:sz w:val="20"/>
          <w:szCs w:val="20"/>
          <w:lang w:val="es-AR"/>
        </w:rPr>
        <w:t>ser</w:t>
      </w:r>
      <w:r w:rsidR="001A28B3" w:rsidRPr="00EA7870">
        <w:rPr>
          <w:bCs/>
          <w:sz w:val="20"/>
          <w:szCs w:val="20"/>
          <w:lang w:val="es-AR"/>
        </w:rPr>
        <w:t xml:space="preserve"> </w:t>
      </w:r>
      <w:r w:rsidRPr="00EA7870">
        <w:rPr>
          <w:bCs/>
          <w:sz w:val="20"/>
          <w:szCs w:val="20"/>
          <w:lang w:val="es-AR"/>
        </w:rPr>
        <w:t>firmado</w:t>
      </w:r>
      <w:r w:rsidR="001A28B3" w:rsidRPr="00EA7870">
        <w:rPr>
          <w:bCs/>
          <w:sz w:val="20"/>
          <w:szCs w:val="20"/>
          <w:lang w:val="es-AR"/>
        </w:rPr>
        <w:t xml:space="preserve"> </w:t>
      </w:r>
      <w:r w:rsidRPr="00EA7870">
        <w:rPr>
          <w:bCs/>
          <w:sz w:val="20"/>
          <w:szCs w:val="20"/>
          <w:lang w:val="es-AR"/>
        </w:rPr>
        <w:t>entre</w:t>
      </w:r>
      <w:r w:rsidR="001A28B3" w:rsidRPr="00EA7870">
        <w:rPr>
          <w:bCs/>
          <w:sz w:val="20"/>
          <w:szCs w:val="20"/>
          <w:lang w:val="es-AR"/>
        </w:rPr>
        <w:t xml:space="preserve"> </w:t>
      </w:r>
      <w:r w:rsidR="007B2387" w:rsidRPr="00EA7870">
        <w:rPr>
          <w:bCs/>
          <w:sz w:val="20"/>
          <w:szCs w:val="20"/>
          <w:lang w:val="es-AR"/>
        </w:rPr>
        <w:t xml:space="preserve">el </w:t>
      </w:r>
      <w:r w:rsidR="007B2387" w:rsidRPr="00EA7870">
        <w:rPr>
          <w:sz w:val="20"/>
          <w:szCs w:val="20"/>
          <w:lang w:val="es-AR"/>
        </w:rPr>
        <w:t>Colocador Local</w:t>
      </w:r>
      <w:r w:rsidR="001A28B3" w:rsidRPr="00EA7870">
        <w:rPr>
          <w:bCs/>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bCs/>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w:t>
      </w:r>
      <w:r w:rsidRPr="00EA7870">
        <w:rPr>
          <w:b/>
          <w:sz w:val="20"/>
          <w:szCs w:val="20"/>
          <w:lang w:val="es-AR"/>
        </w:rPr>
        <w:t>Contrato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Colocación</w:t>
      </w:r>
      <w:r w:rsidR="001A28B3" w:rsidRPr="00EA7870">
        <w:rPr>
          <w:b/>
          <w:sz w:val="20"/>
          <w:szCs w:val="20"/>
          <w:lang w:val="es-AR"/>
        </w:rPr>
        <w:t xml:space="preserve"> </w:t>
      </w:r>
      <w:r w:rsidRPr="00EA7870">
        <w:rPr>
          <w:b/>
          <w:sz w:val="20"/>
          <w:szCs w:val="20"/>
          <w:lang w:val="es-AR"/>
        </w:rPr>
        <w:t>Local</w:t>
      </w:r>
      <w:r w:rsidRPr="00EA7870">
        <w:rPr>
          <w:sz w:val="20"/>
          <w:szCs w:val="20"/>
          <w:lang w:val="es-AR"/>
        </w:rPr>
        <w:t>”)</w:t>
      </w:r>
      <w:r w:rsidRPr="00EA7870">
        <w:rPr>
          <w:bCs/>
          <w:sz w:val="20"/>
          <w:szCs w:val="20"/>
          <w:lang w:val="es-AR"/>
        </w:rPr>
        <w:t>;</w:t>
      </w:r>
      <w:r w:rsidR="001A28B3" w:rsidRPr="00EA7870">
        <w:rPr>
          <w:bCs/>
          <w:sz w:val="20"/>
          <w:szCs w:val="20"/>
          <w:lang w:val="es-AR"/>
        </w:rPr>
        <w:t xml:space="preserve"> </w:t>
      </w:r>
      <w:r w:rsidRPr="00EA7870">
        <w:rPr>
          <w:bCs/>
          <w:sz w:val="20"/>
          <w:szCs w:val="20"/>
          <w:lang w:val="es-AR"/>
        </w:rPr>
        <w:t>y</w:t>
      </w:r>
      <w:r w:rsidR="001A28B3" w:rsidRPr="00EA7870">
        <w:rPr>
          <w:bCs/>
          <w:sz w:val="20"/>
          <w:szCs w:val="20"/>
          <w:lang w:val="es-AR"/>
        </w:rPr>
        <w:t xml:space="preserve"> </w:t>
      </w:r>
      <w:r w:rsidRPr="00EA7870">
        <w:rPr>
          <w:bCs/>
          <w:sz w:val="20"/>
          <w:szCs w:val="20"/>
          <w:lang w:val="es-AR"/>
        </w:rPr>
        <w:t>(ii)</w:t>
      </w:r>
      <w:r w:rsidR="001A28B3" w:rsidRPr="00EA7870">
        <w:rPr>
          <w:bCs/>
          <w:sz w:val="20"/>
          <w:szCs w:val="20"/>
          <w:lang w:val="es-AR"/>
        </w:rPr>
        <w:t xml:space="preserve"> </w:t>
      </w:r>
      <w:r w:rsidR="006A36E9" w:rsidRPr="00EA7870">
        <w:rPr>
          <w:bCs/>
          <w:sz w:val="20"/>
          <w:szCs w:val="20"/>
          <w:lang w:val="es-AR"/>
        </w:rPr>
        <w:t>una</w:t>
      </w:r>
      <w:r w:rsidR="001A28B3" w:rsidRPr="00EA7870">
        <w:rPr>
          <w:bCs/>
          <w:sz w:val="20"/>
          <w:szCs w:val="20"/>
          <w:lang w:val="es-AR"/>
        </w:rPr>
        <w:t xml:space="preserve"> </w:t>
      </w:r>
      <w:r w:rsidR="006A36E9" w:rsidRPr="00EA7870">
        <w:rPr>
          <w:bCs/>
          <w:sz w:val="20"/>
          <w:szCs w:val="20"/>
          <w:lang w:val="es-AR"/>
        </w:rPr>
        <w:t>oferta</w:t>
      </w:r>
      <w:r w:rsidR="001A28B3" w:rsidRPr="00EA7870">
        <w:rPr>
          <w:bCs/>
          <w:sz w:val="20"/>
          <w:szCs w:val="20"/>
          <w:lang w:val="es-AR"/>
        </w:rPr>
        <w:t xml:space="preserve"> </w:t>
      </w:r>
      <w:r w:rsidR="006A36E9" w:rsidRPr="00EA7870">
        <w:rPr>
          <w:bCs/>
          <w:sz w:val="20"/>
          <w:szCs w:val="20"/>
          <w:lang w:val="es-AR"/>
        </w:rPr>
        <w:t>internacional</w:t>
      </w:r>
      <w:r w:rsidR="001A28B3" w:rsidRPr="00EA7870">
        <w:rPr>
          <w:bCs/>
          <w:sz w:val="20"/>
          <w:szCs w:val="20"/>
          <w:lang w:val="es-AR"/>
        </w:rPr>
        <w:t xml:space="preserve"> </w:t>
      </w:r>
      <w:r w:rsidR="006A36E9" w:rsidRPr="00EA7870">
        <w:rPr>
          <w:bCs/>
          <w:sz w:val="20"/>
          <w:szCs w:val="20"/>
          <w:lang w:val="es-AR"/>
        </w:rPr>
        <w:t>no</w:t>
      </w:r>
      <w:r w:rsidR="001A28B3" w:rsidRPr="00EA7870">
        <w:rPr>
          <w:bCs/>
          <w:sz w:val="20"/>
          <w:szCs w:val="20"/>
          <w:lang w:val="es-AR"/>
        </w:rPr>
        <w:t xml:space="preserve"> </w:t>
      </w:r>
      <w:r w:rsidR="006A36E9" w:rsidRPr="00EA7870">
        <w:rPr>
          <w:bCs/>
          <w:sz w:val="20"/>
          <w:szCs w:val="20"/>
          <w:lang w:val="es-AR"/>
        </w:rPr>
        <w:t>sujeta</w:t>
      </w:r>
      <w:r w:rsidR="001A28B3" w:rsidRPr="00EA7870">
        <w:rPr>
          <w:bCs/>
          <w:sz w:val="20"/>
          <w:szCs w:val="20"/>
          <w:lang w:val="es-AR"/>
        </w:rPr>
        <w:t xml:space="preserve"> </w:t>
      </w:r>
      <w:r w:rsidR="006A36E9" w:rsidRPr="00EA7870">
        <w:rPr>
          <w:bCs/>
          <w:sz w:val="20"/>
          <w:szCs w:val="20"/>
          <w:lang w:val="es-AR"/>
        </w:rPr>
        <w:t>a</w:t>
      </w:r>
      <w:r w:rsidR="001A28B3" w:rsidRPr="00EA7870">
        <w:rPr>
          <w:bCs/>
          <w:sz w:val="20"/>
          <w:szCs w:val="20"/>
          <w:lang w:val="es-AR"/>
        </w:rPr>
        <w:t xml:space="preserve"> </w:t>
      </w:r>
      <w:r w:rsidR="006A36E9" w:rsidRPr="00EA7870">
        <w:rPr>
          <w:bCs/>
          <w:sz w:val="20"/>
          <w:szCs w:val="20"/>
          <w:lang w:val="es-AR"/>
        </w:rPr>
        <w:t>los</w:t>
      </w:r>
      <w:r w:rsidR="001A28B3" w:rsidRPr="00EA7870">
        <w:rPr>
          <w:bCs/>
          <w:sz w:val="20"/>
          <w:szCs w:val="20"/>
          <w:lang w:val="es-AR"/>
        </w:rPr>
        <w:t xml:space="preserve"> </w:t>
      </w:r>
      <w:r w:rsidR="006A36E9" w:rsidRPr="00EA7870">
        <w:rPr>
          <w:bCs/>
          <w:sz w:val="20"/>
          <w:szCs w:val="20"/>
          <w:lang w:val="es-AR"/>
        </w:rPr>
        <w:t>requisitos</w:t>
      </w:r>
      <w:r w:rsidR="001A28B3" w:rsidRPr="00EA7870">
        <w:rPr>
          <w:bCs/>
          <w:sz w:val="20"/>
          <w:szCs w:val="20"/>
          <w:lang w:val="es-AR"/>
        </w:rPr>
        <w:t xml:space="preserve"> </w:t>
      </w:r>
      <w:r w:rsidR="006A36E9" w:rsidRPr="00EA7870">
        <w:rPr>
          <w:bCs/>
          <w:sz w:val="20"/>
          <w:szCs w:val="20"/>
          <w:lang w:val="es-AR"/>
        </w:rPr>
        <w:t>de</w:t>
      </w:r>
      <w:r w:rsidR="001A28B3" w:rsidRPr="00EA7870">
        <w:rPr>
          <w:bCs/>
          <w:sz w:val="20"/>
          <w:szCs w:val="20"/>
          <w:lang w:val="es-AR"/>
        </w:rPr>
        <w:t xml:space="preserve"> </w:t>
      </w:r>
      <w:r w:rsidR="006A36E9" w:rsidRPr="00EA7870">
        <w:rPr>
          <w:bCs/>
          <w:sz w:val="20"/>
          <w:szCs w:val="20"/>
          <w:lang w:val="es-AR"/>
        </w:rPr>
        <w:t>registro</w:t>
      </w:r>
      <w:r w:rsidR="001A28B3" w:rsidRPr="00EA7870">
        <w:rPr>
          <w:bCs/>
          <w:sz w:val="20"/>
          <w:szCs w:val="20"/>
          <w:lang w:val="es-AR"/>
        </w:rPr>
        <w:t xml:space="preserve"> </w:t>
      </w:r>
      <w:r w:rsidR="006A36E9" w:rsidRPr="00EA7870">
        <w:rPr>
          <w:bCs/>
          <w:sz w:val="20"/>
          <w:szCs w:val="20"/>
          <w:lang w:val="es-AR"/>
        </w:rPr>
        <w:t>de</w:t>
      </w:r>
      <w:r w:rsidR="001A28B3" w:rsidRPr="00EA7870">
        <w:rPr>
          <w:bCs/>
          <w:sz w:val="20"/>
          <w:szCs w:val="20"/>
          <w:lang w:val="es-AR"/>
        </w:rPr>
        <w:t xml:space="preserve"> </w:t>
      </w:r>
      <w:r w:rsidR="006A36E9" w:rsidRPr="00EA7870">
        <w:rPr>
          <w:bCs/>
          <w:sz w:val="20"/>
          <w:szCs w:val="20"/>
          <w:lang w:val="es-AR"/>
        </w:rPr>
        <w:t>la</w:t>
      </w:r>
      <w:r w:rsidR="001A28B3" w:rsidRPr="00EA7870">
        <w:rPr>
          <w:bCs/>
          <w:sz w:val="20"/>
          <w:szCs w:val="20"/>
          <w:lang w:val="es-AR"/>
        </w:rPr>
        <w:t xml:space="preserve"> </w:t>
      </w:r>
      <w:r w:rsidR="006A36E9" w:rsidRPr="00EA7870">
        <w:rPr>
          <w:bCs/>
          <w:sz w:val="20"/>
          <w:szCs w:val="20"/>
          <w:lang w:val="es-AR"/>
        </w:rPr>
        <w:t>Ley</w:t>
      </w:r>
      <w:r w:rsidR="001A28B3" w:rsidRPr="00EA7870">
        <w:rPr>
          <w:bCs/>
          <w:sz w:val="20"/>
          <w:szCs w:val="20"/>
          <w:lang w:val="es-AR"/>
        </w:rPr>
        <w:t xml:space="preserve"> </w:t>
      </w:r>
      <w:r w:rsidR="006A36E9" w:rsidRPr="00EA7870">
        <w:rPr>
          <w:bCs/>
          <w:sz w:val="20"/>
          <w:szCs w:val="20"/>
          <w:lang w:val="es-AR"/>
        </w:rPr>
        <w:t>de</w:t>
      </w:r>
      <w:r w:rsidR="001A28B3" w:rsidRPr="00EA7870">
        <w:rPr>
          <w:bCs/>
          <w:sz w:val="20"/>
          <w:szCs w:val="20"/>
          <w:lang w:val="es-AR"/>
        </w:rPr>
        <w:t xml:space="preserve"> </w:t>
      </w:r>
      <w:r w:rsidR="006A36E9" w:rsidRPr="00EA7870">
        <w:rPr>
          <w:bCs/>
          <w:sz w:val="20"/>
          <w:szCs w:val="20"/>
          <w:lang w:val="es-AR"/>
        </w:rPr>
        <w:t>Títulos</w:t>
      </w:r>
      <w:r w:rsidR="001A28B3" w:rsidRPr="00EA7870">
        <w:rPr>
          <w:bCs/>
          <w:sz w:val="20"/>
          <w:szCs w:val="20"/>
          <w:lang w:val="es-AR"/>
        </w:rPr>
        <w:t xml:space="preserve"> </w:t>
      </w:r>
      <w:r w:rsidR="006A36E9" w:rsidRPr="00EA7870">
        <w:rPr>
          <w:bCs/>
          <w:sz w:val="20"/>
          <w:szCs w:val="20"/>
          <w:lang w:val="es-AR"/>
        </w:rPr>
        <w:t>Valores</w:t>
      </w:r>
      <w:r w:rsidR="001A28B3" w:rsidRPr="00EA7870">
        <w:rPr>
          <w:bCs/>
          <w:sz w:val="20"/>
          <w:szCs w:val="20"/>
          <w:lang w:val="es-AR"/>
        </w:rPr>
        <w:t xml:space="preserve"> </w:t>
      </w:r>
      <w:r w:rsidR="006A36E9" w:rsidRPr="00EA7870">
        <w:rPr>
          <w:bCs/>
          <w:sz w:val="20"/>
          <w:szCs w:val="20"/>
          <w:lang w:val="es-AR"/>
        </w:rPr>
        <w:t>Estadounidense</w:t>
      </w:r>
      <w:r w:rsidR="00E14800" w:rsidRPr="00EA7870">
        <w:rPr>
          <w:bCs/>
          <w:sz w:val="20"/>
          <w:szCs w:val="20"/>
          <w:lang w:val="es-AR"/>
        </w:rPr>
        <w:t xml:space="preserve"> </w:t>
      </w:r>
      <w:r w:rsidR="00112DC3" w:rsidRPr="00EA7870">
        <w:rPr>
          <w:bCs/>
          <w:sz w:val="20"/>
          <w:szCs w:val="20"/>
          <w:lang w:val="es-AR"/>
        </w:rPr>
        <w:t xml:space="preserve">en </w:t>
      </w:r>
      <w:r w:rsidR="00E14800" w:rsidRPr="00EA7870">
        <w:rPr>
          <w:bCs/>
          <w:sz w:val="20"/>
          <w:szCs w:val="20"/>
          <w:lang w:val="es-AR"/>
        </w:rPr>
        <w:t xml:space="preserve">la </w:t>
      </w:r>
      <w:r w:rsidR="00E14800" w:rsidRPr="00EA7870">
        <w:rPr>
          <w:bCs/>
          <w:i/>
          <w:iCs/>
          <w:sz w:val="20"/>
          <w:szCs w:val="20"/>
          <w:lang w:val="es-AR"/>
        </w:rPr>
        <w:t>Securities and Exchange Commission</w:t>
      </w:r>
      <w:r w:rsidR="006A36E9" w:rsidRPr="00EA7870">
        <w:rPr>
          <w:bCs/>
          <w:sz w:val="20"/>
          <w:szCs w:val="20"/>
          <w:lang w:val="es-AR"/>
        </w:rPr>
        <w:t>,</w:t>
      </w:r>
      <w:r w:rsidR="001A28B3" w:rsidRPr="00EA7870">
        <w:rPr>
          <w:bCs/>
          <w:sz w:val="20"/>
          <w:szCs w:val="20"/>
          <w:lang w:val="es-AR"/>
        </w:rPr>
        <w:t xml:space="preserve"> </w:t>
      </w:r>
      <w:r w:rsidR="006A36E9" w:rsidRPr="00EA7870">
        <w:rPr>
          <w:bCs/>
          <w:sz w:val="20"/>
          <w:szCs w:val="20"/>
          <w:lang w:val="es-AR"/>
        </w:rPr>
        <w:t>que</w:t>
      </w:r>
      <w:r w:rsidR="001A28B3" w:rsidRPr="00EA7870">
        <w:rPr>
          <w:bCs/>
          <w:sz w:val="20"/>
          <w:szCs w:val="20"/>
          <w:lang w:val="es-AR"/>
        </w:rPr>
        <w:t xml:space="preserve"> </w:t>
      </w:r>
      <w:r w:rsidR="006A36E9" w:rsidRPr="00EA7870">
        <w:rPr>
          <w:bCs/>
          <w:sz w:val="20"/>
          <w:szCs w:val="20"/>
          <w:lang w:val="es-AR"/>
        </w:rPr>
        <w:t>estará</w:t>
      </w:r>
      <w:r w:rsidR="001A28B3" w:rsidRPr="00EA7870">
        <w:rPr>
          <w:bCs/>
          <w:sz w:val="20"/>
          <w:szCs w:val="20"/>
          <w:lang w:val="es-AR"/>
        </w:rPr>
        <w:t xml:space="preserve"> </w:t>
      </w:r>
      <w:r w:rsidR="006A36E9" w:rsidRPr="00EA7870">
        <w:rPr>
          <w:bCs/>
          <w:sz w:val="20"/>
          <w:szCs w:val="20"/>
          <w:lang w:val="es-AR"/>
        </w:rPr>
        <w:t>dirigida</w:t>
      </w:r>
      <w:r w:rsidR="00AB4C51" w:rsidRPr="00EA7870">
        <w:rPr>
          <w:bCs/>
          <w:sz w:val="20"/>
          <w:szCs w:val="20"/>
          <w:lang w:val="es-AR"/>
        </w:rPr>
        <w:t xml:space="preserve"> a:</w:t>
      </w:r>
      <w:r w:rsidR="001A28B3" w:rsidRPr="00EA7870">
        <w:rPr>
          <w:bCs/>
          <w:sz w:val="20"/>
          <w:szCs w:val="20"/>
          <w:lang w:val="es-AR"/>
        </w:rPr>
        <w:t xml:space="preserve"> </w:t>
      </w:r>
      <w:r w:rsidRPr="00EA7870">
        <w:rPr>
          <w:sz w:val="20"/>
          <w:szCs w:val="20"/>
          <w:lang w:val="es-AR"/>
        </w:rPr>
        <w:t>(</w:t>
      </w:r>
      <w:r w:rsidR="00AB4C51" w:rsidRPr="00EA7870">
        <w:rPr>
          <w:sz w:val="20"/>
          <w:szCs w:val="20"/>
          <w:lang w:val="es-AR"/>
        </w:rPr>
        <w:t>a</w:t>
      </w:r>
      <w:r w:rsidRPr="00EA7870">
        <w:rPr>
          <w:sz w:val="20"/>
          <w:szCs w:val="20"/>
          <w:lang w:val="es-AR"/>
        </w:rPr>
        <w:t>)</w:t>
      </w:r>
      <w:bookmarkStart w:id="136" w:name="_Hlk22137668"/>
      <w:r w:rsidR="001A28B3" w:rsidRPr="00EA7870">
        <w:rPr>
          <w:sz w:val="20"/>
          <w:szCs w:val="20"/>
          <w:lang w:val="es-AR"/>
        </w:rPr>
        <w:t xml:space="preserve"> </w:t>
      </w:r>
      <w:r w:rsidR="001E019F" w:rsidRPr="00EA7870">
        <w:rPr>
          <w:sz w:val="20"/>
          <w:szCs w:val="20"/>
          <w:lang w:val="es-AR"/>
        </w:rPr>
        <w:t>inversores</w:t>
      </w:r>
      <w:r w:rsidR="001A28B3" w:rsidRPr="00EA7870">
        <w:rPr>
          <w:sz w:val="20"/>
          <w:szCs w:val="20"/>
          <w:lang w:val="es-AR"/>
        </w:rPr>
        <w:t xml:space="preserve"> </w:t>
      </w:r>
      <w:r w:rsidR="001E019F" w:rsidRPr="00EA7870">
        <w:rPr>
          <w:sz w:val="20"/>
          <w:szCs w:val="20"/>
          <w:lang w:val="es-AR"/>
        </w:rPr>
        <w:t>acreditados</w:t>
      </w:r>
      <w:r w:rsidR="001A28B3" w:rsidRPr="00EA7870">
        <w:rPr>
          <w:sz w:val="20"/>
          <w:szCs w:val="20"/>
          <w:lang w:val="es-AR"/>
        </w:rPr>
        <w:t xml:space="preserve"> </w:t>
      </w:r>
      <w:r w:rsidR="001E019F" w:rsidRPr="00EA7870">
        <w:rPr>
          <w:sz w:val="20"/>
          <w:szCs w:val="20"/>
          <w:lang w:val="es-AR"/>
        </w:rPr>
        <w:t>(“</w:t>
      </w:r>
      <w:r w:rsidR="001E019F" w:rsidRPr="00EA7870">
        <w:rPr>
          <w:i/>
          <w:sz w:val="20"/>
          <w:szCs w:val="20"/>
          <w:lang w:val="es-AR"/>
        </w:rPr>
        <w:t>accredited</w:t>
      </w:r>
      <w:r w:rsidR="001A28B3" w:rsidRPr="00EA7870">
        <w:rPr>
          <w:i/>
          <w:sz w:val="20"/>
          <w:szCs w:val="20"/>
          <w:lang w:val="es-AR"/>
        </w:rPr>
        <w:t xml:space="preserve"> </w:t>
      </w:r>
      <w:r w:rsidR="001E019F" w:rsidRPr="00EA7870">
        <w:rPr>
          <w:i/>
          <w:sz w:val="20"/>
          <w:szCs w:val="20"/>
          <w:lang w:val="es-AR"/>
        </w:rPr>
        <w:t>investors</w:t>
      </w:r>
      <w:r w:rsidR="001E019F" w:rsidRPr="00EA7870">
        <w:rPr>
          <w:sz w:val="20"/>
          <w:szCs w:val="20"/>
          <w:lang w:val="es-AR"/>
        </w:rPr>
        <w:t>”</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define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Regla</w:t>
      </w:r>
      <w:r w:rsidR="001A28B3" w:rsidRPr="00EA7870">
        <w:rPr>
          <w:sz w:val="20"/>
          <w:szCs w:val="20"/>
          <w:lang w:val="es-AR"/>
        </w:rPr>
        <w:t xml:space="preserve"> </w:t>
      </w:r>
      <w:r w:rsidR="001E019F" w:rsidRPr="00EA7870">
        <w:rPr>
          <w:sz w:val="20"/>
          <w:szCs w:val="20"/>
          <w:lang w:val="es-AR"/>
        </w:rPr>
        <w:t>501(a)</w:t>
      </w:r>
      <w:r w:rsidR="001A28B3" w:rsidRPr="00EA7870">
        <w:rPr>
          <w:sz w:val="20"/>
          <w:szCs w:val="20"/>
          <w:lang w:val="es-AR"/>
        </w:rPr>
        <w:t xml:space="preserve"> </w:t>
      </w:r>
      <w:r w:rsidR="001E019F" w:rsidRPr="00EA7870">
        <w:rPr>
          <w:sz w:val="20"/>
          <w:szCs w:val="20"/>
          <w:lang w:val="es-AR"/>
        </w:rPr>
        <w:t>bajo</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Regulación</w:t>
      </w:r>
      <w:r w:rsidR="001A28B3" w:rsidRPr="00EA7870">
        <w:rPr>
          <w:sz w:val="20"/>
          <w:szCs w:val="20"/>
          <w:lang w:val="es-AR"/>
        </w:rPr>
        <w:t xml:space="preserve"> </w:t>
      </w:r>
      <w:r w:rsidR="001E019F" w:rsidRPr="00EA7870">
        <w:rPr>
          <w:sz w:val="20"/>
          <w:szCs w:val="20"/>
          <w:lang w:val="es-AR"/>
        </w:rPr>
        <w:t>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E8198D" w:rsidRPr="00EA7870">
        <w:rPr>
          <w:sz w:val="20"/>
          <w:szCs w:val="20"/>
          <w:lang w:val="es-AR"/>
        </w:rPr>
        <w:t>Ley</w:t>
      </w:r>
      <w:r w:rsidR="001A28B3" w:rsidRPr="00EA7870">
        <w:rPr>
          <w:sz w:val="20"/>
          <w:szCs w:val="20"/>
          <w:lang w:val="es-AR"/>
        </w:rPr>
        <w:t xml:space="preserve"> </w:t>
      </w:r>
      <w:r w:rsidR="00E8198D" w:rsidRPr="00EA7870">
        <w:rPr>
          <w:sz w:val="20"/>
          <w:szCs w:val="20"/>
          <w:lang w:val="es-AR"/>
        </w:rPr>
        <w:t>de</w:t>
      </w:r>
      <w:r w:rsidR="001A28B3" w:rsidRPr="00EA7870">
        <w:rPr>
          <w:sz w:val="20"/>
          <w:szCs w:val="20"/>
          <w:lang w:val="es-AR"/>
        </w:rPr>
        <w:t xml:space="preserve"> </w:t>
      </w:r>
      <w:r w:rsidR="00E8198D" w:rsidRPr="00EA7870">
        <w:rPr>
          <w:sz w:val="20"/>
          <w:szCs w:val="20"/>
          <w:lang w:val="es-AR"/>
        </w:rPr>
        <w:t>Títulos</w:t>
      </w:r>
      <w:r w:rsidR="001A28B3" w:rsidRPr="00EA7870">
        <w:rPr>
          <w:sz w:val="20"/>
          <w:szCs w:val="20"/>
          <w:lang w:val="es-AR"/>
        </w:rPr>
        <w:t xml:space="preserve"> </w:t>
      </w:r>
      <w:r w:rsidR="00E8198D" w:rsidRPr="00EA7870">
        <w:rPr>
          <w:sz w:val="20"/>
          <w:szCs w:val="20"/>
          <w:lang w:val="es-AR"/>
        </w:rPr>
        <w:t>Valores</w:t>
      </w:r>
      <w:r w:rsidR="001A28B3" w:rsidRPr="00EA7870">
        <w:rPr>
          <w:sz w:val="20"/>
          <w:szCs w:val="20"/>
          <w:lang w:val="es-AR"/>
        </w:rPr>
        <w:t xml:space="preserve"> </w:t>
      </w:r>
      <w:r w:rsidR="00E8198D" w:rsidRPr="00EA7870">
        <w:rPr>
          <w:sz w:val="20"/>
          <w:szCs w:val="20"/>
          <w:lang w:val="es-AR"/>
        </w:rPr>
        <w:t>de</w:t>
      </w:r>
      <w:r w:rsidR="001A28B3" w:rsidRPr="00EA7870">
        <w:rPr>
          <w:sz w:val="20"/>
          <w:szCs w:val="20"/>
          <w:lang w:val="es-AR"/>
        </w:rPr>
        <w:t xml:space="preserve"> </w:t>
      </w:r>
      <w:r w:rsidR="00E8198D" w:rsidRPr="00EA7870">
        <w:rPr>
          <w:sz w:val="20"/>
          <w:szCs w:val="20"/>
          <w:lang w:val="es-AR"/>
        </w:rPr>
        <w:t>los</w:t>
      </w:r>
      <w:r w:rsidR="001A28B3" w:rsidRPr="00EA7870">
        <w:rPr>
          <w:sz w:val="20"/>
          <w:szCs w:val="20"/>
          <w:lang w:val="es-AR"/>
        </w:rPr>
        <w:t xml:space="preserve"> </w:t>
      </w:r>
      <w:r w:rsidR="00E8198D" w:rsidRPr="00EA7870">
        <w:rPr>
          <w:sz w:val="20"/>
          <w:szCs w:val="20"/>
          <w:lang w:val="es-AR"/>
        </w:rPr>
        <w:t>Estados</w:t>
      </w:r>
      <w:r w:rsidR="001A28B3" w:rsidRPr="00EA7870">
        <w:rPr>
          <w:sz w:val="20"/>
          <w:szCs w:val="20"/>
          <w:lang w:val="es-AR"/>
        </w:rPr>
        <w:t xml:space="preserve"> </w:t>
      </w:r>
      <w:r w:rsidR="00E8198D" w:rsidRPr="00EA7870">
        <w:rPr>
          <w:sz w:val="20"/>
          <w:szCs w:val="20"/>
          <w:lang w:val="es-AR"/>
        </w:rPr>
        <w:t>Unidos</w:t>
      </w:r>
      <w:r w:rsidRPr="00EA7870">
        <w:rPr>
          <w:sz w:val="20"/>
          <w:szCs w:val="20"/>
          <w:lang w:val="es-AR"/>
        </w:rPr>
        <w:t>)</w:t>
      </w:r>
      <w:bookmarkEnd w:id="136"/>
      <w:r w:rsidR="00680F89" w:rsidRPr="00EA7870">
        <w:rPr>
          <w:sz w:val="20"/>
          <w:szCs w:val="20"/>
          <w:lang w:val="es-AR"/>
        </w:rPr>
        <w:t xml:space="preserve"> institucionales</w:t>
      </w:r>
      <w:r w:rsidRPr="00EA7870">
        <w:rPr>
          <w:sz w:val="20"/>
          <w:szCs w:val="20"/>
          <w:lang w:val="es-AR"/>
        </w:rPr>
        <w:t>;</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(b)</w:t>
      </w:r>
      <w:bookmarkStart w:id="137" w:name="_Hlk22137746"/>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operaciones</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base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Regulación</w:t>
      </w:r>
      <w:r w:rsidR="001A28B3" w:rsidRPr="00EA7870">
        <w:rPr>
          <w:sz w:val="20"/>
          <w:szCs w:val="20"/>
          <w:lang w:val="es-AR"/>
        </w:rPr>
        <w:t xml:space="preserve"> </w:t>
      </w:r>
      <w:r w:rsidRPr="00EA7870">
        <w:rPr>
          <w:sz w:val="20"/>
          <w:szCs w:val="20"/>
          <w:lang w:val="es-AR"/>
        </w:rPr>
        <w:t>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E8198D" w:rsidRPr="00EA7870">
        <w:rPr>
          <w:sz w:val="20"/>
          <w:szCs w:val="20"/>
          <w:lang w:val="es-AR"/>
        </w:rPr>
        <w:t>Ley</w:t>
      </w:r>
      <w:r w:rsidR="001A28B3" w:rsidRPr="00EA7870">
        <w:rPr>
          <w:sz w:val="20"/>
          <w:szCs w:val="20"/>
          <w:lang w:val="es-AR"/>
        </w:rPr>
        <w:t xml:space="preserve"> </w:t>
      </w:r>
      <w:r w:rsidR="00E8198D" w:rsidRPr="00EA7870">
        <w:rPr>
          <w:sz w:val="20"/>
          <w:szCs w:val="20"/>
          <w:lang w:val="es-AR"/>
        </w:rPr>
        <w:t>de</w:t>
      </w:r>
      <w:r w:rsidR="001A28B3" w:rsidRPr="00EA7870">
        <w:rPr>
          <w:sz w:val="20"/>
          <w:szCs w:val="20"/>
          <w:lang w:val="es-AR"/>
        </w:rPr>
        <w:t xml:space="preserve"> </w:t>
      </w:r>
      <w:r w:rsidR="00E8198D" w:rsidRPr="00EA7870">
        <w:rPr>
          <w:sz w:val="20"/>
          <w:szCs w:val="20"/>
          <w:lang w:val="es-AR"/>
        </w:rPr>
        <w:t>Títulos</w:t>
      </w:r>
      <w:r w:rsidR="001A28B3" w:rsidRPr="00EA7870">
        <w:rPr>
          <w:sz w:val="20"/>
          <w:szCs w:val="20"/>
          <w:lang w:val="es-AR"/>
        </w:rPr>
        <w:t xml:space="preserve"> </w:t>
      </w:r>
      <w:r w:rsidR="00E8198D" w:rsidRPr="00EA7870">
        <w:rPr>
          <w:sz w:val="20"/>
          <w:szCs w:val="20"/>
          <w:lang w:val="es-AR"/>
        </w:rPr>
        <w:t>Valores</w:t>
      </w:r>
      <w:r w:rsidR="001A28B3" w:rsidRPr="00EA7870">
        <w:rPr>
          <w:sz w:val="20"/>
          <w:szCs w:val="20"/>
          <w:lang w:val="es-AR"/>
        </w:rPr>
        <w:t xml:space="preserve"> </w:t>
      </w:r>
      <w:r w:rsidR="00E8198D" w:rsidRPr="00EA7870">
        <w:rPr>
          <w:sz w:val="20"/>
          <w:szCs w:val="20"/>
          <w:lang w:val="es-AR"/>
        </w:rPr>
        <w:t>de</w:t>
      </w:r>
      <w:r w:rsidR="001A28B3" w:rsidRPr="00EA7870">
        <w:rPr>
          <w:sz w:val="20"/>
          <w:szCs w:val="20"/>
          <w:lang w:val="es-AR"/>
        </w:rPr>
        <w:t xml:space="preserve"> </w:t>
      </w:r>
      <w:r w:rsidR="00E8198D" w:rsidRPr="00EA7870">
        <w:rPr>
          <w:sz w:val="20"/>
          <w:szCs w:val="20"/>
          <w:lang w:val="es-AR"/>
        </w:rPr>
        <w:t>los</w:t>
      </w:r>
      <w:r w:rsidR="001A28B3" w:rsidRPr="00EA7870">
        <w:rPr>
          <w:sz w:val="20"/>
          <w:szCs w:val="20"/>
          <w:lang w:val="es-AR"/>
        </w:rPr>
        <w:t xml:space="preserve"> </w:t>
      </w:r>
      <w:r w:rsidR="00E8198D" w:rsidRPr="00EA7870">
        <w:rPr>
          <w:sz w:val="20"/>
          <w:szCs w:val="20"/>
          <w:lang w:val="es-AR"/>
        </w:rPr>
        <w:t>Estados</w:t>
      </w:r>
      <w:r w:rsidR="001A28B3" w:rsidRPr="00EA7870">
        <w:rPr>
          <w:sz w:val="20"/>
          <w:szCs w:val="20"/>
          <w:lang w:val="es-AR"/>
        </w:rPr>
        <w:t xml:space="preserve"> </w:t>
      </w:r>
      <w:r w:rsidR="00E8198D" w:rsidRPr="00EA7870">
        <w:rPr>
          <w:sz w:val="20"/>
          <w:szCs w:val="20"/>
          <w:lang w:val="es-AR"/>
        </w:rPr>
        <w:t>Unidos</w:t>
      </w:r>
      <w:bookmarkEnd w:id="137"/>
      <w:r w:rsidRPr="00EA7870">
        <w:rPr>
          <w:sz w:val="20"/>
          <w:szCs w:val="20"/>
          <w:lang w:val="es-AR"/>
        </w:rPr>
        <w:t>,</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realizada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intermedio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Internacional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Local,</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w:t>
      </w:r>
      <w:r w:rsidRPr="00EA7870">
        <w:rPr>
          <w:b/>
          <w:sz w:val="20"/>
          <w:szCs w:val="20"/>
          <w:lang w:val="es-AR"/>
        </w:rPr>
        <w:t>Oferta</w:t>
      </w:r>
      <w:r w:rsidRPr="00EA7870">
        <w:rPr>
          <w:sz w:val="20"/>
          <w:szCs w:val="20"/>
          <w:lang w:val="es-AR"/>
        </w:rPr>
        <w:t>”)</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sujeto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condiciones</w:t>
      </w:r>
      <w:r w:rsidR="001A28B3" w:rsidRPr="00EA7870">
        <w:rPr>
          <w:sz w:val="20"/>
          <w:szCs w:val="20"/>
          <w:lang w:val="es-AR"/>
        </w:rPr>
        <w:t xml:space="preserve"> </w:t>
      </w:r>
      <w:r w:rsidRPr="00EA7870">
        <w:rPr>
          <w:sz w:val="20"/>
          <w:szCs w:val="20"/>
          <w:lang w:val="es-AR"/>
        </w:rPr>
        <w:t>previstos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5F343E" w:rsidRPr="00EA7870">
        <w:rPr>
          <w:sz w:val="20"/>
          <w:szCs w:val="20"/>
          <w:lang w:val="es-AR"/>
        </w:rPr>
        <w:t>c</w:t>
      </w:r>
      <w:r w:rsidRPr="00EA7870">
        <w:rPr>
          <w:sz w:val="20"/>
          <w:szCs w:val="20"/>
          <w:lang w:val="es-AR"/>
        </w:rPr>
        <w:t>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1E019F" w:rsidRPr="00EA7870">
        <w:rPr>
          <w:sz w:val="20"/>
          <w:szCs w:val="20"/>
          <w:lang w:val="es-AR"/>
        </w:rPr>
        <w:t>colocación</w:t>
      </w:r>
      <w:r w:rsidR="001A28B3" w:rsidRPr="00EA7870">
        <w:rPr>
          <w:sz w:val="20"/>
          <w:szCs w:val="20"/>
          <w:lang w:val="es-AR"/>
        </w:rPr>
        <w:t xml:space="preserve"> </w:t>
      </w:r>
      <w:r w:rsidR="008615C4" w:rsidRPr="00EA7870">
        <w:rPr>
          <w:sz w:val="20"/>
          <w:szCs w:val="20"/>
          <w:lang w:val="es-AR"/>
        </w:rPr>
        <w:t xml:space="preserve">internacional </w:t>
      </w:r>
      <w:r w:rsidRPr="00EA7870">
        <w:rPr>
          <w:sz w:val="20"/>
          <w:szCs w:val="20"/>
          <w:lang w:val="es-AR"/>
        </w:rPr>
        <w:t>(</w:t>
      </w:r>
      <w:r w:rsidR="001E019F" w:rsidRPr="00EA7870">
        <w:rPr>
          <w:i/>
          <w:sz w:val="20"/>
          <w:szCs w:val="20"/>
          <w:lang w:val="es-AR"/>
        </w:rPr>
        <w:t>placement</w:t>
      </w:r>
      <w:r w:rsidR="001A28B3" w:rsidRPr="00EA7870">
        <w:rPr>
          <w:i/>
          <w:sz w:val="20"/>
          <w:szCs w:val="20"/>
          <w:lang w:val="es-AR"/>
        </w:rPr>
        <w:t xml:space="preserve"> </w:t>
      </w:r>
      <w:r w:rsidR="00530683" w:rsidRPr="00EA7870">
        <w:rPr>
          <w:i/>
          <w:sz w:val="20"/>
          <w:szCs w:val="20"/>
          <w:lang w:val="es-AR"/>
        </w:rPr>
        <w:t xml:space="preserve">agency </w:t>
      </w:r>
      <w:r w:rsidRPr="00EA7870">
        <w:rPr>
          <w:i/>
          <w:sz w:val="20"/>
          <w:szCs w:val="20"/>
          <w:lang w:val="es-AR"/>
        </w:rPr>
        <w:t>agreement</w:t>
      </w:r>
      <w:r w:rsidRPr="00EA7870">
        <w:rPr>
          <w:sz w:val="20"/>
          <w:szCs w:val="20"/>
          <w:lang w:val="es-AR"/>
        </w:rPr>
        <w:t>)</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firmado</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bCs/>
          <w:sz w:val="20"/>
          <w:szCs w:val="20"/>
          <w:lang w:val="es-AR"/>
        </w:rPr>
        <w:t>los</w:t>
      </w:r>
      <w:r w:rsidR="001A28B3" w:rsidRPr="00EA7870">
        <w:rPr>
          <w:bCs/>
          <w:sz w:val="20"/>
          <w:szCs w:val="20"/>
          <w:lang w:val="es-AR"/>
        </w:rPr>
        <w:t xml:space="preserve"> </w:t>
      </w:r>
      <w:r w:rsidR="007E43A2" w:rsidRPr="00EA7870">
        <w:rPr>
          <w:bCs/>
          <w:sz w:val="20"/>
          <w:szCs w:val="20"/>
          <w:lang w:val="es-AR"/>
        </w:rPr>
        <w:t>Colocadores</w:t>
      </w:r>
      <w:r w:rsidR="001A28B3" w:rsidRPr="00EA7870">
        <w:rPr>
          <w:bCs/>
          <w:sz w:val="20"/>
          <w:szCs w:val="20"/>
          <w:lang w:val="es-AR"/>
        </w:rPr>
        <w:t xml:space="preserve"> </w:t>
      </w:r>
      <w:r w:rsidR="007E43A2" w:rsidRPr="00EA7870">
        <w:rPr>
          <w:bCs/>
          <w:sz w:val="20"/>
          <w:szCs w:val="20"/>
          <w:lang w:val="es-AR"/>
        </w:rPr>
        <w:t>Internacionales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bCs/>
          <w:sz w:val="20"/>
          <w:szCs w:val="20"/>
          <w:lang w:val="es-AR"/>
        </w:rPr>
        <w:t>la</w:t>
      </w:r>
      <w:r w:rsidR="001A28B3" w:rsidRPr="00EA7870">
        <w:rPr>
          <w:bCs/>
          <w:sz w:val="20"/>
          <w:szCs w:val="20"/>
          <w:lang w:val="es-AR"/>
        </w:rPr>
        <w:t xml:space="preserve"> </w:t>
      </w:r>
      <w:r w:rsidRPr="00EA7870">
        <w:rPr>
          <w:bCs/>
          <w:sz w:val="20"/>
          <w:szCs w:val="20"/>
          <w:lang w:val="es-AR"/>
        </w:rPr>
        <w:t>Emisora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w:t>
      </w:r>
      <w:r w:rsidRPr="00EA7870">
        <w:rPr>
          <w:b/>
          <w:sz w:val="20"/>
          <w:szCs w:val="20"/>
          <w:lang w:val="es-AR"/>
        </w:rPr>
        <w:t>Contrato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001E019F" w:rsidRPr="00EA7870">
        <w:rPr>
          <w:b/>
          <w:sz w:val="20"/>
          <w:szCs w:val="20"/>
          <w:lang w:val="es-AR"/>
        </w:rPr>
        <w:t>Colocación</w:t>
      </w:r>
      <w:r w:rsidR="001A28B3" w:rsidRPr="00EA7870">
        <w:rPr>
          <w:b/>
          <w:sz w:val="20"/>
          <w:szCs w:val="20"/>
          <w:lang w:val="es-AR"/>
        </w:rPr>
        <w:t xml:space="preserve"> </w:t>
      </w:r>
      <w:r w:rsidR="001E019F" w:rsidRPr="00EA7870">
        <w:rPr>
          <w:b/>
          <w:sz w:val="20"/>
          <w:szCs w:val="20"/>
          <w:lang w:val="es-AR"/>
        </w:rPr>
        <w:t>Internacional</w:t>
      </w:r>
      <w:r w:rsidRPr="00EA7870">
        <w:rPr>
          <w:sz w:val="20"/>
          <w:szCs w:val="20"/>
          <w:lang w:val="es-AR"/>
        </w:rPr>
        <w:t>”)</w:t>
      </w:r>
      <w:r w:rsidRPr="00EA7870">
        <w:rPr>
          <w:bCs/>
          <w:sz w:val="20"/>
          <w:szCs w:val="20"/>
          <w:lang w:val="es-AR"/>
        </w:rPr>
        <w:t>.</w:t>
      </w:r>
      <w:r w:rsidR="001A28B3" w:rsidRPr="00EA7870">
        <w:rPr>
          <w:bCs/>
          <w:sz w:val="20"/>
          <w:szCs w:val="20"/>
          <w:lang w:val="es-AR"/>
        </w:rPr>
        <w:t xml:space="preserve"> </w:t>
      </w:r>
      <w:r w:rsidR="008A6420" w:rsidRPr="00EA7870">
        <w:rPr>
          <w:bCs/>
          <w:sz w:val="20"/>
          <w:szCs w:val="20"/>
          <w:lang w:val="es-AR"/>
        </w:rPr>
        <w:t>Citigroup Global Markets Inc.</w:t>
      </w:r>
      <w:r w:rsidR="008615C4" w:rsidRPr="00EA7870">
        <w:rPr>
          <w:bCs/>
          <w:sz w:val="20"/>
          <w:szCs w:val="20"/>
          <w:lang w:val="es-AR"/>
        </w:rPr>
        <w:t xml:space="preserve"> </w:t>
      </w:r>
      <w:r w:rsidR="008A6420" w:rsidRPr="00EA7870">
        <w:rPr>
          <w:bCs/>
          <w:sz w:val="20"/>
          <w:szCs w:val="20"/>
          <w:lang w:val="es-AR"/>
        </w:rPr>
        <w:t xml:space="preserve">e Itau BBA USA Securities, Inc. </w:t>
      </w:r>
      <w:r w:rsidR="006A36E9" w:rsidRPr="00EA7870">
        <w:rPr>
          <w:bCs/>
          <w:sz w:val="20"/>
          <w:szCs w:val="20"/>
          <w:lang w:val="es-AR"/>
        </w:rPr>
        <w:t>actuarán</w:t>
      </w:r>
      <w:r w:rsidR="001A28B3" w:rsidRPr="00EA7870">
        <w:rPr>
          <w:bCs/>
          <w:sz w:val="20"/>
          <w:szCs w:val="20"/>
          <w:lang w:val="es-AR"/>
        </w:rPr>
        <w:t xml:space="preserve"> </w:t>
      </w:r>
      <w:r w:rsidR="006A36E9" w:rsidRPr="00EA7870">
        <w:rPr>
          <w:bCs/>
          <w:sz w:val="20"/>
          <w:szCs w:val="20"/>
          <w:lang w:val="es-AR"/>
        </w:rPr>
        <w:t>como</w:t>
      </w:r>
      <w:r w:rsidR="001A28B3" w:rsidRPr="00EA7870">
        <w:rPr>
          <w:bCs/>
          <w:sz w:val="20"/>
          <w:szCs w:val="20"/>
          <w:lang w:val="es-AR"/>
        </w:rPr>
        <w:t xml:space="preserve"> </w:t>
      </w:r>
      <w:r w:rsidR="006A36E9" w:rsidRPr="00EA7870">
        <w:rPr>
          <w:bCs/>
          <w:sz w:val="20"/>
          <w:szCs w:val="20"/>
          <w:lang w:val="es-AR"/>
        </w:rPr>
        <w:t>agentes</w:t>
      </w:r>
      <w:r w:rsidR="001A28B3" w:rsidRPr="00EA7870">
        <w:rPr>
          <w:bCs/>
          <w:sz w:val="20"/>
          <w:szCs w:val="20"/>
          <w:lang w:val="es-AR"/>
        </w:rPr>
        <w:t xml:space="preserve"> </w:t>
      </w:r>
      <w:r w:rsidR="006A36E9" w:rsidRPr="00EA7870">
        <w:rPr>
          <w:bCs/>
          <w:sz w:val="20"/>
          <w:szCs w:val="20"/>
          <w:lang w:val="es-AR"/>
        </w:rPr>
        <w:t>colocadores</w:t>
      </w:r>
      <w:r w:rsidR="001A28B3" w:rsidRPr="00EA7870">
        <w:rPr>
          <w:bCs/>
          <w:sz w:val="20"/>
          <w:szCs w:val="20"/>
          <w:lang w:val="es-AR"/>
        </w:rPr>
        <w:t xml:space="preserve"> </w:t>
      </w:r>
      <w:r w:rsidR="006A36E9" w:rsidRPr="00EA7870">
        <w:rPr>
          <w:bCs/>
          <w:sz w:val="20"/>
          <w:szCs w:val="20"/>
          <w:lang w:val="es-AR"/>
        </w:rPr>
        <w:t>internacionales</w:t>
      </w:r>
      <w:r w:rsidR="001A28B3" w:rsidRPr="00EA7870">
        <w:rPr>
          <w:bCs/>
          <w:sz w:val="20"/>
          <w:szCs w:val="20"/>
          <w:lang w:val="es-AR"/>
        </w:rPr>
        <w:t xml:space="preserve"> </w:t>
      </w:r>
      <w:r w:rsidR="006A36E9" w:rsidRPr="00EA7870">
        <w:rPr>
          <w:bCs/>
          <w:sz w:val="20"/>
          <w:szCs w:val="20"/>
          <w:lang w:val="es-AR"/>
        </w:rPr>
        <w:t>(</w:t>
      </w:r>
      <w:r w:rsidR="006A36E9" w:rsidRPr="00EA7870">
        <w:rPr>
          <w:bCs/>
          <w:i/>
          <w:iCs/>
          <w:sz w:val="20"/>
          <w:szCs w:val="20"/>
          <w:lang w:val="es-AR"/>
        </w:rPr>
        <w:t>placement</w:t>
      </w:r>
      <w:r w:rsidR="001A28B3" w:rsidRPr="00EA7870">
        <w:rPr>
          <w:bCs/>
          <w:i/>
          <w:iCs/>
          <w:sz w:val="20"/>
          <w:szCs w:val="20"/>
          <w:lang w:val="es-AR"/>
        </w:rPr>
        <w:t xml:space="preserve"> </w:t>
      </w:r>
      <w:r w:rsidR="006A36E9" w:rsidRPr="00EA7870">
        <w:rPr>
          <w:bCs/>
          <w:i/>
          <w:iCs/>
          <w:sz w:val="20"/>
          <w:szCs w:val="20"/>
          <w:lang w:val="es-AR"/>
        </w:rPr>
        <w:t>agents</w:t>
      </w:r>
      <w:r w:rsidR="006A36E9" w:rsidRPr="00EA7870">
        <w:rPr>
          <w:bCs/>
          <w:sz w:val="20"/>
          <w:szCs w:val="20"/>
          <w:lang w:val="es-AR"/>
        </w:rPr>
        <w:t>)</w:t>
      </w:r>
      <w:r w:rsidR="001A28B3" w:rsidRPr="00EA7870">
        <w:rPr>
          <w:bCs/>
          <w:sz w:val="20"/>
          <w:szCs w:val="20"/>
          <w:lang w:val="es-AR"/>
        </w:rPr>
        <w:t xml:space="preserve"> </w:t>
      </w:r>
      <w:r w:rsidR="006A36E9" w:rsidRPr="00EA7870">
        <w:rPr>
          <w:bCs/>
          <w:sz w:val="20"/>
          <w:szCs w:val="20"/>
          <w:lang w:val="es-AR"/>
        </w:rPr>
        <w:t>de</w:t>
      </w:r>
      <w:r w:rsidR="001A28B3" w:rsidRPr="00EA7870">
        <w:rPr>
          <w:bCs/>
          <w:sz w:val="20"/>
          <w:szCs w:val="20"/>
          <w:lang w:val="es-AR"/>
        </w:rPr>
        <w:t xml:space="preserve"> </w:t>
      </w:r>
      <w:r w:rsidR="006A36E9" w:rsidRPr="00EA7870">
        <w:rPr>
          <w:bCs/>
          <w:sz w:val="20"/>
          <w:szCs w:val="20"/>
          <w:lang w:val="es-AR"/>
        </w:rPr>
        <w:t>la</w:t>
      </w:r>
      <w:r w:rsidR="001A28B3" w:rsidRPr="00EA7870">
        <w:rPr>
          <w:bCs/>
          <w:sz w:val="20"/>
          <w:szCs w:val="20"/>
          <w:lang w:val="es-AR"/>
        </w:rPr>
        <w:t xml:space="preserve"> </w:t>
      </w:r>
      <w:r w:rsidR="006A36E9" w:rsidRPr="00EA7870">
        <w:rPr>
          <w:bCs/>
          <w:sz w:val="20"/>
          <w:szCs w:val="20"/>
          <w:lang w:val="es-AR"/>
        </w:rPr>
        <w:t>Oferta</w:t>
      </w:r>
      <w:r w:rsidR="001A28B3" w:rsidRPr="00EA7870">
        <w:rPr>
          <w:bCs/>
          <w:sz w:val="20"/>
          <w:szCs w:val="20"/>
          <w:lang w:val="es-AR"/>
        </w:rPr>
        <w:t xml:space="preserve"> </w:t>
      </w:r>
      <w:r w:rsidR="006A36E9" w:rsidRPr="00EA7870">
        <w:rPr>
          <w:bCs/>
          <w:sz w:val="20"/>
          <w:szCs w:val="20"/>
          <w:lang w:val="es-AR"/>
        </w:rPr>
        <w:t>Internacional</w:t>
      </w:r>
      <w:r w:rsidR="001A28B3" w:rsidRPr="00EA7870">
        <w:rPr>
          <w:bCs/>
          <w:sz w:val="20"/>
          <w:szCs w:val="20"/>
          <w:lang w:val="es-AR"/>
        </w:rPr>
        <w:t xml:space="preserve"> </w:t>
      </w:r>
      <w:r w:rsidR="006A36E9" w:rsidRPr="00EA7870">
        <w:rPr>
          <w:bCs/>
          <w:sz w:val="20"/>
          <w:szCs w:val="20"/>
          <w:lang w:val="es-AR"/>
        </w:rPr>
        <w:t>(los</w:t>
      </w:r>
      <w:r w:rsidR="001A28B3" w:rsidRPr="00EA7870">
        <w:rPr>
          <w:bCs/>
          <w:sz w:val="20"/>
          <w:szCs w:val="20"/>
          <w:lang w:val="es-AR"/>
        </w:rPr>
        <w:t xml:space="preserve"> </w:t>
      </w:r>
      <w:r w:rsidR="006A36E9" w:rsidRPr="00EA7870">
        <w:rPr>
          <w:bCs/>
          <w:sz w:val="20"/>
          <w:szCs w:val="20"/>
          <w:lang w:val="es-AR"/>
        </w:rPr>
        <w:t>“</w:t>
      </w:r>
      <w:r w:rsidR="006A36E9" w:rsidRPr="00EA7870">
        <w:rPr>
          <w:b/>
          <w:sz w:val="20"/>
          <w:szCs w:val="20"/>
          <w:lang w:val="es-AR"/>
        </w:rPr>
        <w:t>Colocadores</w:t>
      </w:r>
      <w:r w:rsidR="001A28B3" w:rsidRPr="00EA7870">
        <w:rPr>
          <w:b/>
          <w:sz w:val="20"/>
          <w:szCs w:val="20"/>
          <w:lang w:val="es-AR"/>
        </w:rPr>
        <w:t xml:space="preserve"> </w:t>
      </w:r>
      <w:r w:rsidR="006A36E9" w:rsidRPr="00EA7870">
        <w:rPr>
          <w:b/>
          <w:sz w:val="20"/>
          <w:szCs w:val="20"/>
          <w:lang w:val="es-AR"/>
        </w:rPr>
        <w:t>Internacionales</w:t>
      </w:r>
      <w:r w:rsidR="006A36E9" w:rsidRPr="00EA7870">
        <w:rPr>
          <w:bCs/>
          <w:sz w:val="20"/>
          <w:szCs w:val="20"/>
          <w:lang w:val="es-AR"/>
        </w:rPr>
        <w:t>”).</w:t>
      </w:r>
      <w:r w:rsidR="007761FA" w:rsidRPr="00EA7870">
        <w:rPr>
          <w:bCs/>
          <w:sz w:val="20"/>
          <w:szCs w:val="20"/>
          <w:lang w:val="es-AR"/>
        </w:rPr>
        <w:t xml:space="preserve"> </w:t>
      </w:r>
      <w:r w:rsidR="008615C4" w:rsidRPr="00EA7870">
        <w:rPr>
          <w:sz w:val="20"/>
          <w:szCs w:val="20"/>
          <w:lang w:val="es-AR"/>
        </w:rPr>
        <w:t>Los Colocadores Internacionales no actuarán como colocadores en firme (</w:t>
      </w:r>
      <w:r w:rsidR="008615C4" w:rsidRPr="00EA7870">
        <w:rPr>
          <w:i/>
          <w:sz w:val="20"/>
          <w:szCs w:val="20"/>
          <w:lang w:val="es-AR"/>
        </w:rPr>
        <w:t>underwriters</w:t>
      </w:r>
      <w:r w:rsidR="008615C4" w:rsidRPr="00EA7870">
        <w:rPr>
          <w:sz w:val="20"/>
          <w:szCs w:val="20"/>
          <w:lang w:val="es-AR"/>
        </w:rPr>
        <w:t xml:space="preserve">) ni como compradores iniciales </w:t>
      </w:r>
      <w:r w:rsidR="008615C4" w:rsidRPr="00EA7870">
        <w:rPr>
          <w:i/>
          <w:sz w:val="20"/>
          <w:szCs w:val="20"/>
          <w:lang w:val="es-AR"/>
        </w:rPr>
        <w:t xml:space="preserve">(initial purchasers) </w:t>
      </w:r>
      <w:r w:rsidR="008615C4" w:rsidRPr="00EA7870">
        <w:rPr>
          <w:sz w:val="20"/>
          <w:szCs w:val="20"/>
          <w:lang w:val="es-AR"/>
        </w:rPr>
        <w:t>de las Obligaciones Negociables en el marco de</w:t>
      </w:r>
      <w:r w:rsidR="00062222" w:rsidRPr="00EA7870">
        <w:rPr>
          <w:sz w:val="20"/>
          <w:szCs w:val="20"/>
          <w:lang w:val="es-AR"/>
        </w:rPr>
        <w:t>l</w:t>
      </w:r>
      <w:r w:rsidR="008615C4" w:rsidRPr="00EA7870">
        <w:rPr>
          <w:sz w:val="20"/>
          <w:szCs w:val="20"/>
          <w:lang w:val="es-AR"/>
        </w:rPr>
        <w:t xml:space="preserve"> </w:t>
      </w:r>
      <w:r w:rsidR="00062222" w:rsidRPr="00EA7870">
        <w:rPr>
          <w:sz w:val="20"/>
          <w:szCs w:val="20"/>
          <w:lang w:val="es-AR"/>
        </w:rPr>
        <w:t>Contrato de Colocación Internacional</w:t>
      </w:r>
      <w:r w:rsidR="008615C4" w:rsidRPr="00EA7870">
        <w:rPr>
          <w:sz w:val="20"/>
          <w:szCs w:val="20"/>
          <w:lang w:val="es-AR"/>
        </w:rPr>
        <w:t>. Por lo tanto, los Colocadores Internacionales no adquirirán ni realizarán venta previa de las Obligaciones Negociables.</w:t>
      </w:r>
    </w:p>
    <w:p w14:paraId="73A94EC3" w14:textId="77777777" w:rsidR="002E11C8" w:rsidRPr="00EA7870" w:rsidRDefault="002E11C8" w:rsidP="00836A2B">
      <w:pPr>
        <w:overflowPunct w:val="0"/>
        <w:autoSpaceDE w:val="0"/>
        <w:autoSpaceDN w:val="0"/>
        <w:adjustRightInd w:val="0"/>
        <w:jc w:val="both"/>
        <w:textAlignment w:val="baseline"/>
        <w:rPr>
          <w:bCs/>
          <w:sz w:val="20"/>
          <w:szCs w:val="20"/>
          <w:lang w:val="es-AR"/>
        </w:rPr>
      </w:pPr>
    </w:p>
    <w:p w14:paraId="413F8587" w14:textId="735C786F" w:rsidR="002E11C8" w:rsidRPr="00EA7870" w:rsidRDefault="002E11C8" w:rsidP="00836A2B">
      <w:pPr>
        <w:jc w:val="both"/>
        <w:rPr>
          <w:sz w:val="20"/>
          <w:szCs w:val="20"/>
        </w:rPr>
      </w:pPr>
      <w:r w:rsidRPr="00EA7870">
        <w:rPr>
          <w:sz w:val="20"/>
          <w:szCs w:val="20"/>
        </w:rPr>
        <w:t>Las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se</w:t>
      </w:r>
      <w:r w:rsidR="001A28B3" w:rsidRPr="00EA7870">
        <w:rPr>
          <w:sz w:val="20"/>
          <w:szCs w:val="20"/>
        </w:rPr>
        <w:t xml:space="preserve"> </w:t>
      </w:r>
      <w:r w:rsidRPr="00EA7870">
        <w:rPr>
          <w:sz w:val="20"/>
          <w:szCs w:val="20"/>
        </w:rPr>
        <w:t>ofrecen</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conformidad</w:t>
      </w:r>
      <w:r w:rsidR="001A28B3" w:rsidRPr="00EA7870">
        <w:rPr>
          <w:sz w:val="20"/>
          <w:szCs w:val="20"/>
        </w:rPr>
        <w:t xml:space="preserve"> </w:t>
      </w:r>
      <w:r w:rsidRPr="00EA7870">
        <w:rPr>
          <w:sz w:val="20"/>
          <w:szCs w:val="20"/>
        </w:rPr>
        <w:t>con</w:t>
      </w:r>
      <w:r w:rsidR="001A28B3" w:rsidRPr="00EA7870">
        <w:rPr>
          <w:sz w:val="20"/>
          <w:szCs w:val="20"/>
        </w:rPr>
        <w:t xml:space="preserve"> </w:t>
      </w:r>
      <w:r w:rsidRPr="00EA7870">
        <w:rPr>
          <w:sz w:val="20"/>
          <w:szCs w:val="20"/>
        </w:rPr>
        <w:t>este</w:t>
      </w:r>
      <w:r w:rsidR="001A28B3" w:rsidRPr="00EA7870">
        <w:rPr>
          <w:sz w:val="20"/>
          <w:szCs w:val="20"/>
        </w:rPr>
        <w:t xml:space="preserve"> </w:t>
      </w:r>
      <w:r w:rsidRPr="00EA7870">
        <w:rPr>
          <w:sz w:val="20"/>
          <w:szCs w:val="20"/>
        </w:rPr>
        <w:t>Suplemento</w:t>
      </w:r>
      <w:r w:rsidR="001A28B3" w:rsidRPr="00EA7870">
        <w:rPr>
          <w:sz w:val="20"/>
          <w:szCs w:val="20"/>
        </w:rPr>
        <w:t xml:space="preserve"> </w:t>
      </w:r>
      <w:r w:rsidRPr="00EA7870">
        <w:rPr>
          <w:sz w:val="20"/>
          <w:szCs w:val="20"/>
        </w:rPr>
        <w:t>no</w:t>
      </w:r>
      <w:r w:rsidR="001A28B3" w:rsidRPr="00EA7870">
        <w:rPr>
          <w:sz w:val="20"/>
          <w:szCs w:val="20"/>
        </w:rPr>
        <w:t xml:space="preserve"> </w:t>
      </w:r>
      <w:r w:rsidRPr="00EA7870">
        <w:rPr>
          <w:sz w:val="20"/>
          <w:szCs w:val="20"/>
        </w:rPr>
        <w:t>han</w:t>
      </w:r>
      <w:r w:rsidR="001A28B3" w:rsidRPr="00EA7870">
        <w:rPr>
          <w:sz w:val="20"/>
          <w:szCs w:val="20"/>
        </w:rPr>
        <w:t xml:space="preserve"> </w:t>
      </w:r>
      <w:r w:rsidRPr="00EA7870">
        <w:rPr>
          <w:sz w:val="20"/>
          <w:szCs w:val="20"/>
        </w:rPr>
        <w:t>sido</w:t>
      </w:r>
      <w:r w:rsidR="001A28B3" w:rsidRPr="00EA7870">
        <w:rPr>
          <w:sz w:val="20"/>
          <w:szCs w:val="20"/>
        </w:rPr>
        <w:t xml:space="preserve"> </w:t>
      </w:r>
      <w:r w:rsidRPr="00EA7870">
        <w:rPr>
          <w:sz w:val="20"/>
          <w:szCs w:val="20"/>
        </w:rPr>
        <w:t>registradas</w:t>
      </w:r>
      <w:r w:rsidR="001A28B3" w:rsidRPr="00EA7870">
        <w:rPr>
          <w:sz w:val="20"/>
          <w:szCs w:val="20"/>
        </w:rPr>
        <w:t xml:space="preserve"> </w:t>
      </w:r>
      <w:r w:rsidRPr="00EA7870">
        <w:rPr>
          <w:sz w:val="20"/>
          <w:szCs w:val="20"/>
        </w:rPr>
        <w:t>bajo</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Ley</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Títulos</w:t>
      </w:r>
      <w:r w:rsidR="001A28B3" w:rsidRPr="00EA7870">
        <w:rPr>
          <w:sz w:val="20"/>
          <w:szCs w:val="20"/>
        </w:rPr>
        <w:t xml:space="preserve"> </w:t>
      </w:r>
      <w:r w:rsidRPr="00EA7870">
        <w:rPr>
          <w:sz w:val="20"/>
          <w:szCs w:val="20"/>
        </w:rPr>
        <w:t>Valores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no</w:t>
      </w:r>
      <w:r w:rsidR="001A28B3" w:rsidRPr="00EA7870">
        <w:rPr>
          <w:sz w:val="20"/>
          <w:szCs w:val="20"/>
        </w:rPr>
        <w:t xml:space="preserve"> </w:t>
      </w:r>
      <w:r w:rsidRPr="00EA7870">
        <w:rPr>
          <w:sz w:val="20"/>
          <w:szCs w:val="20"/>
        </w:rPr>
        <w:t>podrán</w:t>
      </w:r>
      <w:r w:rsidR="001A28B3" w:rsidRPr="00EA7870">
        <w:rPr>
          <w:sz w:val="20"/>
          <w:szCs w:val="20"/>
        </w:rPr>
        <w:t xml:space="preserve"> </w:t>
      </w:r>
      <w:r w:rsidRPr="00EA7870">
        <w:rPr>
          <w:sz w:val="20"/>
          <w:szCs w:val="20"/>
        </w:rPr>
        <w:t>ser</w:t>
      </w:r>
      <w:r w:rsidR="001A28B3" w:rsidRPr="00EA7870">
        <w:rPr>
          <w:sz w:val="20"/>
          <w:szCs w:val="20"/>
        </w:rPr>
        <w:t xml:space="preserve"> </w:t>
      </w:r>
      <w:r w:rsidRPr="00EA7870">
        <w:rPr>
          <w:sz w:val="20"/>
          <w:szCs w:val="20"/>
        </w:rPr>
        <w:t>ofrecidas</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vendidas</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bCs/>
          <w:sz w:val="20"/>
          <w:szCs w:val="20"/>
          <w:lang w:val="es-AR"/>
        </w:rPr>
        <w:t>o</w:t>
      </w:r>
      <w:r w:rsidR="001A28B3" w:rsidRPr="00EA7870">
        <w:rPr>
          <w:bCs/>
          <w:sz w:val="20"/>
          <w:szCs w:val="20"/>
          <w:lang w:val="es-AR"/>
        </w:rPr>
        <w:t xml:space="preserve"> </w:t>
      </w:r>
      <w:r w:rsidRPr="00EA7870">
        <w:rPr>
          <w:bCs/>
          <w:sz w:val="20"/>
          <w:szCs w:val="20"/>
          <w:lang w:val="es-AR"/>
        </w:rPr>
        <w:t>a</w:t>
      </w:r>
      <w:r w:rsidR="001A28B3" w:rsidRPr="00EA7870">
        <w:rPr>
          <w:bCs/>
          <w:sz w:val="20"/>
          <w:szCs w:val="20"/>
          <w:lang w:val="es-AR"/>
        </w:rPr>
        <w:t xml:space="preserve"> </w:t>
      </w:r>
      <w:r w:rsidRPr="00EA7870">
        <w:rPr>
          <w:bCs/>
          <w:sz w:val="20"/>
          <w:szCs w:val="20"/>
          <w:lang w:val="es-AR"/>
        </w:rPr>
        <w:t>personas</w:t>
      </w:r>
      <w:r w:rsidR="001A28B3" w:rsidRPr="00EA7870">
        <w:rPr>
          <w:bCs/>
          <w:sz w:val="20"/>
          <w:szCs w:val="20"/>
          <w:lang w:val="es-AR"/>
        </w:rPr>
        <w:t xml:space="preserve"> </w:t>
      </w:r>
      <w:r w:rsidRPr="00EA7870">
        <w:rPr>
          <w:bCs/>
          <w:sz w:val="20"/>
          <w:szCs w:val="20"/>
          <w:lang w:val="es-AR"/>
        </w:rPr>
        <w:t>estadounidenses,</w:t>
      </w:r>
      <w:r w:rsidR="001A28B3" w:rsidRPr="00EA7870">
        <w:rPr>
          <w:bCs/>
          <w:sz w:val="20"/>
          <w:szCs w:val="20"/>
          <w:lang w:val="es-AR"/>
        </w:rPr>
        <w:t xml:space="preserve"> </w:t>
      </w:r>
      <w:r w:rsidRPr="00EA7870">
        <w:rPr>
          <w:sz w:val="20"/>
          <w:szCs w:val="20"/>
        </w:rPr>
        <w:t>excepto</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se</w:t>
      </w:r>
      <w:r w:rsidR="001A28B3" w:rsidRPr="00EA7870">
        <w:rPr>
          <w:sz w:val="20"/>
          <w:szCs w:val="20"/>
        </w:rPr>
        <w:t xml:space="preserve"> </w:t>
      </w:r>
      <w:r w:rsidRPr="00EA7870">
        <w:rPr>
          <w:sz w:val="20"/>
          <w:szCs w:val="20"/>
        </w:rPr>
        <w:t>trate</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inversores</w:t>
      </w:r>
      <w:r w:rsidR="001A28B3" w:rsidRPr="00EA7870">
        <w:rPr>
          <w:sz w:val="20"/>
          <w:szCs w:val="20"/>
        </w:rPr>
        <w:t xml:space="preserve"> </w:t>
      </w:r>
      <w:r w:rsidRPr="00EA7870">
        <w:rPr>
          <w:sz w:val="20"/>
          <w:szCs w:val="20"/>
        </w:rPr>
        <w:t>acreditados</w:t>
      </w:r>
      <w:r w:rsidR="001A28B3" w:rsidRPr="00EA7870">
        <w:rPr>
          <w:sz w:val="20"/>
          <w:szCs w:val="20"/>
        </w:rPr>
        <w:t xml:space="preserve"> </w:t>
      </w:r>
      <w:r w:rsidRPr="00EA7870">
        <w:rPr>
          <w:sz w:val="20"/>
          <w:szCs w:val="20"/>
        </w:rPr>
        <w:t>(“</w:t>
      </w:r>
      <w:r w:rsidRPr="00EA7870">
        <w:rPr>
          <w:i/>
          <w:sz w:val="20"/>
          <w:szCs w:val="20"/>
        </w:rPr>
        <w:t>accredited</w:t>
      </w:r>
      <w:r w:rsidR="001A28B3" w:rsidRPr="00EA7870">
        <w:rPr>
          <w:i/>
          <w:sz w:val="20"/>
          <w:szCs w:val="20"/>
        </w:rPr>
        <w:t xml:space="preserve"> </w:t>
      </w:r>
      <w:r w:rsidRPr="00EA7870">
        <w:rPr>
          <w:i/>
          <w:sz w:val="20"/>
          <w:szCs w:val="20"/>
        </w:rPr>
        <w:t>investors</w:t>
      </w:r>
      <w:r w:rsidRPr="00EA7870">
        <w:rPr>
          <w:sz w:val="20"/>
          <w:szCs w:val="20"/>
        </w:rPr>
        <w:t>”</w:t>
      </w:r>
      <w:r w:rsidR="001A28B3" w:rsidRPr="00EA7870">
        <w:rPr>
          <w:sz w:val="20"/>
          <w:szCs w:val="20"/>
        </w:rPr>
        <w:t xml:space="preserve"> </w:t>
      </w:r>
      <w:r w:rsidRPr="00EA7870">
        <w:rPr>
          <w:sz w:val="20"/>
          <w:szCs w:val="20"/>
        </w:rPr>
        <w:t>según</w:t>
      </w:r>
      <w:r w:rsidR="001A28B3" w:rsidRPr="00EA7870">
        <w:rPr>
          <w:sz w:val="20"/>
          <w:szCs w:val="20"/>
        </w:rPr>
        <w:t xml:space="preserve"> </w:t>
      </w:r>
      <w:r w:rsidRPr="00EA7870">
        <w:rPr>
          <w:sz w:val="20"/>
          <w:szCs w:val="20"/>
        </w:rPr>
        <w:t>se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define</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Regla</w:t>
      </w:r>
      <w:r w:rsidR="001A28B3" w:rsidRPr="00EA7870">
        <w:rPr>
          <w:sz w:val="20"/>
          <w:szCs w:val="20"/>
        </w:rPr>
        <w:t xml:space="preserve"> </w:t>
      </w:r>
      <w:r w:rsidRPr="00EA7870">
        <w:rPr>
          <w:sz w:val="20"/>
          <w:szCs w:val="20"/>
        </w:rPr>
        <w:t>501(a)</w:t>
      </w:r>
      <w:r w:rsidR="001A28B3" w:rsidRPr="00EA7870">
        <w:rPr>
          <w:sz w:val="20"/>
          <w:szCs w:val="20"/>
        </w:rPr>
        <w:t xml:space="preserve"> </w:t>
      </w:r>
      <w:r w:rsidRPr="00EA7870">
        <w:rPr>
          <w:sz w:val="20"/>
          <w:szCs w:val="20"/>
        </w:rPr>
        <w:t>bajo</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Regulación</w:t>
      </w:r>
      <w:r w:rsidR="001A28B3" w:rsidRPr="00EA7870">
        <w:rPr>
          <w:sz w:val="20"/>
          <w:szCs w:val="20"/>
        </w:rPr>
        <w:t xml:space="preserve"> </w:t>
      </w:r>
      <w:r w:rsidRPr="00EA7870">
        <w:rPr>
          <w:sz w:val="20"/>
          <w:szCs w:val="20"/>
        </w:rPr>
        <w:t>D</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Ley</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Títulos</w:t>
      </w:r>
      <w:r w:rsidR="001A28B3" w:rsidRPr="00EA7870">
        <w:rPr>
          <w:sz w:val="20"/>
          <w:szCs w:val="20"/>
        </w:rPr>
        <w:t xml:space="preserve"> </w:t>
      </w:r>
      <w:r w:rsidRPr="00EA7870">
        <w:rPr>
          <w:sz w:val="20"/>
          <w:szCs w:val="20"/>
        </w:rPr>
        <w:t>Valores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00680F89" w:rsidRPr="00EA7870">
        <w:rPr>
          <w:sz w:val="20"/>
          <w:szCs w:val="20"/>
        </w:rPr>
        <w:t xml:space="preserve">institucionales </w:t>
      </w:r>
      <w:r w:rsidRPr="00EA7870">
        <w:rPr>
          <w:sz w:val="20"/>
          <w:szCs w:val="20"/>
        </w:rPr>
        <w:t>en</w:t>
      </w:r>
      <w:r w:rsidR="001A28B3" w:rsidRPr="00EA7870">
        <w:rPr>
          <w:sz w:val="20"/>
          <w:szCs w:val="20"/>
        </w:rPr>
        <w:t xml:space="preserve"> </w:t>
      </w:r>
      <w:r w:rsidRPr="00EA7870">
        <w:rPr>
          <w:sz w:val="20"/>
          <w:szCs w:val="20"/>
        </w:rPr>
        <w:t>base</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exención</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requisitos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registro</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Ley</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Títulos</w:t>
      </w:r>
      <w:r w:rsidR="001A28B3" w:rsidRPr="00EA7870">
        <w:rPr>
          <w:sz w:val="20"/>
          <w:szCs w:val="20"/>
        </w:rPr>
        <w:t xml:space="preserve"> </w:t>
      </w:r>
      <w:r w:rsidRPr="00EA7870">
        <w:rPr>
          <w:sz w:val="20"/>
          <w:szCs w:val="20"/>
        </w:rPr>
        <w:t>Valores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prevista</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Sección</w:t>
      </w:r>
      <w:r w:rsidR="001A28B3" w:rsidRPr="00EA7870">
        <w:rPr>
          <w:sz w:val="20"/>
          <w:szCs w:val="20"/>
        </w:rPr>
        <w:t xml:space="preserve"> </w:t>
      </w:r>
      <w:r w:rsidRPr="00EA7870">
        <w:rPr>
          <w:sz w:val="20"/>
          <w:szCs w:val="20"/>
        </w:rPr>
        <w:t>4(a)(2)</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Ley</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Títulos</w:t>
      </w:r>
      <w:r w:rsidR="001A28B3" w:rsidRPr="00EA7870">
        <w:rPr>
          <w:sz w:val="20"/>
          <w:szCs w:val="20"/>
        </w:rPr>
        <w:t xml:space="preserve"> </w:t>
      </w:r>
      <w:r w:rsidRPr="00EA7870">
        <w:rPr>
          <w:sz w:val="20"/>
          <w:szCs w:val="20"/>
        </w:rPr>
        <w:t>Valores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fuera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Argentina</w:t>
      </w:r>
      <w:r w:rsidR="001A28B3" w:rsidRPr="00EA7870">
        <w:rPr>
          <w:sz w:val="20"/>
          <w:szCs w:val="20"/>
        </w:rPr>
        <w:t xml:space="preserve"> </w:t>
      </w:r>
      <w:r w:rsidRPr="00EA7870">
        <w:rPr>
          <w:sz w:val="20"/>
          <w:szCs w:val="20"/>
        </w:rPr>
        <w:t>sólo</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personas</w:t>
      </w:r>
      <w:r w:rsidR="001A28B3" w:rsidRPr="00EA7870">
        <w:rPr>
          <w:sz w:val="20"/>
          <w:szCs w:val="20"/>
        </w:rPr>
        <w:t xml:space="preserve"> </w:t>
      </w:r>
      <w:r w:rsidRPr="00EA7870">
        <w:rPr>
          <w:sz w:val="20"/>
          <w:szCs w:val="20"/>
        </w:rPr>
        <w:t>no</w:t>
      </w:r>
      <w:r w:rsidR="001A28B3" w:rsidRPr="00EA7870">
        <w:rPr>
          <w:sz w:val="20"/>
          <w:szCs w:val="20"/>
        </w:rPr>
        <w:t xml:space="preserve"> </w:t>
      </w:r>
      <w:r w:rsidRPr="00EA7870">
        <w:rPr>
          <w:sz w:val="20"/>
          <w:szCs w:val="20"/>
        </w:rPr>
        <w:t>estadounidenses</w:t>
      </w:r>
      <w:r w:rsidR="001A28B3" w:rsidRPr="00EA7870">
        <w:rPr>
          <w:sz w:val="20"/>
          <w:szCs w:val="20"/>
        </w:rPr>
        <w:t xml:space="preserve"> </w:t>
      </w:r>
      <w:r w:rsidRPr="00EA7870">
        <w:rPr>
          <w:sz w:val="20"/>
          <w:szCs w:val="20"/>
        </w:rPr>
        <w:t>en</w:t>
      </w:r>
      <w:r w:rsidR="001A28B3" w:rsidRPr="00EA7870">
        <w:rPr>
          <w:sz w:val="20"/>
          <w:szCs w:val="20"/>
        </w:rPr>
        <w:t xml:space="preserve"> </w:t>
      </w:r>
      <w:r w:rsidRPr="00EA7870">
        <w:rPr>
          <w:sz w:val="20"/>
          <w:szCs w:val="20"/>
        </w:rPr>
        <w:t>operaciones</w:t>
      </w:r>
      <w:r w:rsidR="001A28B3" w:rsidRPr="00EA7870">
        <w:rPr>
          <w:sz w:val="20"/>
          <w:szCs w:val="20"/>
        </w:rPr>
        <w:t xml:space="preserve"> </w:t>
      </w:r>
      <w:r w:rsidRPr="00EA7870">
        <w:rPr>
          <w:sz w:val="20"/>
          <w:szCs w:val="20"/>
        </w:rPr>
        <w:t>fuera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sobre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base</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Regulación</w:t>
      </w:r>
      <w:r w:rsidR="001A28B3" w:rsidRPr="00EA7870">
        <w:rPr>
          <w:sz w:val="20"/>
          <w:szCs w:val="20"/>
        </w:rPr>
        <w:t xml:space="preserve"> </w:t>
      </w:r>
      <w:r w:rsidRPr="00EA7870">
        <w:rPr>
          <w:sz w:val="20"/>
          <w:szCs w:val="20"/>
        </w:rPr>
        <w:t>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Ley</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Títulos</w:t>
      </w:r>
      <w:r w:rsidR="001A28B3" w:rsidRPr="00EA7870">
        <w:rPr>
          <w:sz w:val="20"/>
          <w:szCs w:val="20"/>
        </w:rPr>
        <w:t xml:space="preserve"> </w:t>
      </w:r>
      <w:r w:rsidRPr="00EA7870">
        <w:rPr>
          <w:sz w:val="20"/>
          <w:szCs w:val="20"/>
        </w:rPr>
        <w:t>Valores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vendidas</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inversores</w:t>
      </w:r>
      <w:r w:rsidR="001A28B3" w:rsidRPr="00EA7870">
        <w:rPr>
          <w:sz w:val="20"/>
          <w:szCs w:val="20"/>
        </w:rPr>
        <w:t xml:space="preserve"> </w:t>
      </w:r>
      <w:r w:rsidRPr="00EA7870">
        <w:rPr>
          <w:sz w:val="20"/>
          <w:szCs w:val="20"/>
        </w:rPr>
        <w:t>acreditados</w:t>
      </w:r>
      <w:r w:rsidR="001A28B3" w:rsidRPr="00EA7870">
        <w:rPr>
          <w:sz w:val="20"/>
          <w:szCs w:val="20"/>
        </w:rPr>
        <w:t xml:space="preserve"> </w:t>
      </w:r>
      <w:r w:rsidRPr="00EA7870">
        <w:rPr>
          <w:sz w:val="20"/>
          <w:szCs w:val="20"/>
        </w:rPr>
        <w:t>(“</w:t>
      </w:r>
      <w:r w:rsidRPr="00EA7870">
        <w:rPr>
          <w:i/>
          <w:sz w:val="20"/>
          <w:szCs w:val="20"/>
        </w:rPr>
        <w:t>accredited</w:t>
      </w:r>
      <w:r w:rsidR="001A28B3" w:rsidRPr="00EA7870">
        <w:rPr>
          <w:i/>
          <w:sz w:val="20"/>
          <w:szCs w:val="20"/>
        </w:rPr>
        <w:t xml:space="preserve"> </w:t>
      </w:r>
      <w:r w:rsidRPr="00EA7870">
        <w:rPr>
          <w:i/>
          <w:sz w:val="20"/>
          <w:szCs w:val="20"/>
        </w:rPr>
        <w:t>investors</w:t>
      </w:r>
      <w:r w:rsidRPr="00EA7870">
        <w:rPr>
          <w:sz w:val="20"/>
          <w:szCs w:val="20"/>
        </w:rPr>
        <w:t>”)</w:t>
      </w:r>
      <w:r w:rsidR="00680F89" w:rsidRPr="00EA7870">
        <w:rPr>
          <w:sz w:val="20"/>
          <w:szCs w:val="20"/>
        </w:rPr>
        <w:t xml:space="preserve"> institucionales</w:t>
      </w:r>
      <w:r w:rsidR="001A28B3" w:rsidRPr="00EA7870">
        <w:rPr>
          <w:sz w:val="20"/>
          <w:szCs w:val="20"/>
        </w:rPr>
        <w:t xml:space="preserve"> </w:t>
      </w:r>
      <w:r w:rsidRPr="00EA7870">
        <w:rPr>
          <w:sz w:val="20"/>
          <w:szCs w:val="20"/>
        </w:rPr>
        <w:t>conforme</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Regulación</w:t>
      </w:r>
      <w:r w:rsidR="001A28B3" w:rsidRPr="00EA7870">
        <w:rPr>
          <w:sz w:val="20"/>
          <w:szCs w:val="20"/>
        </w:rPr>
        <w:t xml:space="preserve"> </w:t>
      </w:r>
      <w:r w:rsidRPr="00EA7870">
        <w:rPr>
          <w:sz w:val="20"/>
          <w:szCs w:val="20"/>
        </w:rPr>
        <w:t>D</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Ley</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Títulos</w:t>
      </w:r>
      <w:r w:rsidR="001A28B3" w:rsidRPr="00EA7870">
        <w:rPr>
          <w:sz w:val="20"/>
          <w:szCs w:val="20"/>
        </w:rPr>
        <w:t xml:space="preserve"> </w:t>
      </w:r>
      <w:r w:rsidRPr="00EA7870">
        <w:rPr>
          <w:sz w:val="20"/>
          <w:szCs w:val="20"/>
        </w:rPr>
        <w:t>Valores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estarán</w:t>
      </w:r>
      <w:r w:rsidR="001A28B3" w:rsidRPr="00EA7870">
        <w:rPr>
          <w:sz w:val="20"/>
          <w:szCs w:val="20"/>
        </w:rPr>
        <w:t xml:space="preserve"> </w:t>
      </w:r>
      <w:r w:rsidRPr="00EA7870">
        <w:rPr>
          <w:sz w:val="20"/>
          <w:szCs w:val="20"/>
        </w:rPr>
        <w:t>representadas</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una</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más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globales</w:t>
      </w:r>
      <w:r w:rsidR="001A28B3" w:rsidRPr="00EA7870">
        <w:rPr>
          <w:sz w:val="20"/>
          <w:szCs w:val="20"/>
        </w:rPr>
        <w:t xml:space="preserve"> </w:t>
      </w:r>
      <w:r w:rsidRPr="00EA7870">
        <w:rPr>
          <w:sz w:val="20"/>
          <w:szCs w:val="20"/>
        </w:rPr>
        <w:t>y</w:t>
      </w:r>
      <w:r w:rsidR="001A28B3" w:rsidRPr="00EA7870">
        <w:rPr>
          <w:sz w:val="20"/>
          <w:szCs w:val="20"/>
        </w:rPr>
        <w:t xml:space="preserve"> </w:t>
      </w:r>
      <w:r w:rsidRPr="00EA7870">
        <w:rPr>
          <w:sz w:val="20"/>
          <w:szCs w:val="20"/>
        </w:rPr>
        <w:t>l</w:t>
      </w:r>
      <w:r w:rsidR="00AB4C51" w:rsidRPr="00EA7870">
        <w:rPr>
          <w:sz w:val="20"/>
          <w:szCs w:val="20"/>
        </w:rPr>
        <w:t>a</w:t>
      </w:r>
      <w:r w:rsidRPr="00EA7870">
        <w:rPr>
          <w:sz w:val="20"/>
          <w:szCs w:val="20"/>
        </w:rPr>
        <w:t>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vendidas</w:t>
      </w:r>
      <w:r w:rsidR="001A28B3" w:rsidRPr="00EA7870">
        <w:rPr>
          <w:sz w:val="20"/>
          <w:szCs w:val="20"/>
        </w:rPr>
        <w:t xml:space="preserve"> </w:t>
      </w:r>
      <w:r w:rsidRPr="00EA7870">
        <w:rPr>
          <w:sz w:val="20"/>
          <w:szCs w:val="20"/>
        </w:rPr>
        <w:t>fuera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personas</w:t>
      </w:r>
      <w:r w:rsidR="001A28B3" w:rsidRPr="00EA7870">
        <w:rPr>
          <w:sz w:val="20"/>
          <w:szCs w:val="20"/>
        </w:rPr>
        <w:t xml:space="preserve"> </w:t>
      </w:r>
      <w:r w:rsidRPr="00EA7870">
        <w:rPr>
          <w:sz w:val="20"/>
          <w:szCs w:val="20"/>
        </w:rPr>
        <w:t>que</w:t>
      </w:r>
      <w:r w:rsidR="001A28B3" w:rsidRPr="00EA7870">
        <w:rPr>
          <w:sz w:val="20"/>
          <w:szCs w:val="20"/>
        </w:rPr>
        <w:t xml:space="preserve"> </w:t>
      </w:r>
      <w:r w:rsidRPr="00EA7870">
        <w:rPr>
          <w:sz w:val="20"/>
          <w:szCs w:val="20"/>
        </w:rPr>
        <w:t>no</w:t>
      </w:r>
      <w:r w:rsidR="001A28B3" w:rsidRPr="00EA7870">
        <w:rPr>
          <w:sz w:val="20"/>
          <w:szCs w:val="20"/>
        </w:rPr>
        <w:t xml:space="preserve"> </w:t>
      </w:r>
      <w:r w:rsidRPr="00EA7870">
        <w:rPr>
          <w:sz w:val="20"/>
          <w:szCs w:val="20"/>
        </w:rPr>
        <w:t>sean</w:t>
      </w:r>
      <w:r w:rsidR="001A28B3" w:rsidRPr="00EA7870">
        <w:rPr>
          <w:sz w:val="20"/>
          <w:szCs w:val="20"/>
        </w:rPr>
        <w:t xml:space="preserve"> </w:t>
      </w:r>
      <w:r w:rsidRPr="00EA7870">
        <w:rPr>
          <w:sz w:val="20"/>
          <w:szCs w:val="20"/>
        </w:rPr>
        <w:t>estadounidenses</w:t>
      </w:r>
      <w:r w:rsidR="001A28B3" w:rsidRPr="00EA7870">
        <w:rPr>
          <w:sz w:val="20"/>
          <w:szCs w:val="20"/>
        </w:rPr>
        <w:t xml:space="preserve"> </w:t>
      </w:r>
      <w:r w:rsidRPr="00EA7870">
        <w:rPr>
          <w:sz w:val="20"/>
          <w:szCs w:val="20"/>
        </w:rPr>
        <w:t>sobre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base</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Regulación</w:t>
      </w:r>
      <w:r w:rsidR="001A28B3" w:rsidRPr="00EA7870">
        <w:rPr>
          <w:sz w:val="20"/>
          <w:szCs w:val="20"/>
        </w:rPr>
        <w:t xml:space="preserve"> </w:t>
      </w:r>
      <w:r w:rsidRPr="00EA7870">
        <w:rPr>
          <w:sz w:val="20"/>
          <w:szCs w:val="20"/>
        </w:rPr>
        <w:t>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la</w:t>
      </w:r>
      <w:r w:rsidR="001A28B3" w:rsidRPr="00EA7870">
        <w:rPr>
          <w:sz w:val="20"/>
          <w:szCs w:val="20"/>
        </w:rPr>
        <w:t xml:space="preserve"> </w:t>
      </w:r>
      <w:r w:rsidRPr="00EA7870">
        <w:rPr>
          <w:sz w:val="20"/>
          <w:szCs w:val="20"/>
        </w:rPr>
        <w:t>Ley</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Títulos</w:t>
      </w:r>
      <w:r w:rsidR="001A28B3" w:rsidRPr="00EA7870">
        <w:rPr>
          <w:sz w:val="20"/>
          <w:szCs w:val="20"/>
        </w:rPr>
        <w:t xml:space="preserve"> </w:t>
      </w:r>
      <w:r w:rsidRPr="00EA7870">
        <w:rPr>
          <w:sz w:val="20"/>
          <w:szCs w:val="20"/>
        </w:rPr>
        <w:t>Valores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los</w:t>
      </w:r>
      <w:r w:rsidR="001A28B3" w:rsidRPr="00EA7870">
        <w:rPr>
          <w:sz w:val="20"/>
          <w:szCs w:val="20"/>
        </w:rPr>
        <w:t xml:space="preserve"> </w:t>
      </w:r>
      <w:r w:rsidRPr="00EA7870">
        <w:rPr>
          <w:sz w:val="20"/>
          <w:szCs w:val="20"/>
        </w:rPr>
        <w:t>Estados</w:t>
      </w:r>
      <w:r w:rsidR="001A28B3" w:rsidRPr="00EA7870">
        <w:rPr>
          <w:sz w:val="20"/>
          <w:szCs w:val="20"/>
        </w:rPr>
        <w:t xml:space="preserve"> </w:t>
      </w:r>
      <w:r w:rsidRPr="00EA7870">
        <w:rPr>
          <w:sz w:val="20"/>
          <w:szCs w:val="20"/>
        </w:rPr>
        <w:t>Unidos</w:t>
      </w:r>
      <w:r w:rsidR="001A28B3" w:rsidRPr="00EA7870">
        <w:rPr>
          <w:sz w:val="20"/>
          <w:szCs w:val="20"/>
        </w:rPr>
        <w:t xml:space="preserve"> </w:t>
      </w:r>
      <w:r w:rsidRPr="00EA7870">
        <w:rPr>
          <w:sz w:val="20"/>
          <w:szCs w:val="20"/>
        </w:rPr>
        <w:t>estarán</w:t>
      </w:r>
      <w:r w:rsidR="001A28B3" w:rsidRPr="00EA7870">
        <w:rPr>
          <w:sz w:val="20"/>
          <w:szCs w:val="20"/>
        </w:rPr>
        <w:t xml:space="preserve"> </w:t>
      </w:r>
      <w:r w:rsidRPr="00EA7870">
        <w:rPr>
          <w:sz w:val="20"/>
          <w:szCs w:val="20"/>
        </w:rPr>
        <w:t>representad</w:t>
      </w:r>
      <w:r w:rsidR="00AB4C51" w:rsidRPr="00EA7870">
        <w:rPr>
          <w:sz w:val="20"/>
          <w:szCs w:val="20"/>
        </w:rPr>
        <w:t>a</w:t>
      </w:r>
      <w:r w:rsidRPr="00EA7870">
        <w:rPr>
          <w:sz w:val="20"/>
          <w:szCs w:val="20"/>
        </w:rPr>
        <w:t>s</w:t>
      </w:r>
      <w:r w:rsidR="001A28B3" w:rsidRPr="00EA7870">
        <w:rPr>
          <w:sz w:val="20"/>
          <w:szCs w:val="20"/>
        </w:rPr>
        <w:t xml:space="preserve"> </w:t>
      </w:r>
      <w:r w:rsidRPr="00EA7870">
        <w:rPr>
          <w:sz w:val="20"/>
          <w:szCs w:val="20"/>
        </w:rPr>
        <w:t>por</w:t>
      </w:r>
      <w:r w:rsidR="001A28B3" w:rsidRPr="00EA7870">
        <w:rPr>
          <w:sz w:val="20"/>
          <w:szCs w:val="20"/>
        </w:rPr>
        <w:t xml:space="preserve"> </w:t>
      </w:r>
      <w:r w:rsidRPr="00EA7870">
        <w:rPr>
          <w:sz w:val="20"/>
          <w:szCs w:val="20"/>
        </w:rPr>
        <w:t>una</w:t>
      </w:r>
      <w:r w:rsidR="001A28B3" w:rsidRPr="00EA7870">
        <w:rPr>
          <w:sz w:val="20"/>
          <w:szCs w:val="20"/>
        </w:rPr>
        <w:t xml:space="preserve"> </w:t>
      </w:r>
      <w:r w:rsidRPr="00EA7870">
        <w:rPr>
          <w:sz w:val="20"/>
          <w:szCs w:val="20"/>
        </w:rPr>
        <w:t>o</w:t>
      </w:r>
      <w:r w:rsidR="001A28B3" w:rsidRPr="00EA7870">
        <w:rPr>
          <w:sz w:val="20"/>
          <w:szCs w:val="20"/>
        </w:rPr>
        <w:t xml:space="preserve"> </w:t>
      </w:r>
      <w:r w:rsidRPr="00EA7870">
        <w:rPr>
          <w:sz w:val="20"/>
          <w:szCs w:val="20"/>
        </w:rPr>
        <w:t>más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globales.</w:t>
      </w:r>
      <w:r w:rsidR="001A28B3" w:rsidRPr="00EA7870">
        <w:rPr>
          <w:sz w:val="20"/>
          <w:szCs w:val="20"/>
        </w:rPr>
        <w:t xml:space="preserve"> </w:t>
      </w:r>
      <w:r w:rsidRPr="00EA7870">
        <w:rPr>
          <w:sz w:val="20"/>
          <w:szCs w:val="20"/>
        </w:rPr>
        <w:t>Las</w:t>
      </w:r>
      <w:r w:rsidR="001A28B3" w:rsidRPr="00EA7870">
        <w:rPr>
          <w:sz w:val="20"/>
          <w:szCs w:val="20"/>
        </w:rPr>
        <w:t xml:space="preserve"> </w:t>
      </w:r>
      <w:r w:rsidRPr="00EA7870">
        <w:rPr>
          <w:sz w:val="20"/>
          <w:szCs w:val="20"/>
        </w:rPr>
        <w:t>Obligaciones</w:t>
      </w:r>
      <w:r w:rsidR="001A28B3" w:rsidRPr="00EA7870">
        <w:rPr>
          <w:sz w:val="20"/>
          <w:szCs w:val="20"/>
        </w:rPr>
        <w:t xml:space="preserve"> </w:t>
      </w:r>
      <w:r w:rsidRPr="00EA7870">
        <w:rPr>
          <w:sz w:val="20"/>
          <w:szCs w:val="20"/>
        </w:rPr>
        <w:t>Negociables</w:t>
      </w:r>
      <w:r w:rsidR="001A28B3" w:rsidRPr="00EA7870">
        <w:rPr>
          <w:sz w:val="20"/>
          <w:szCs w:val="20"/>
        </w:rPr>
        <w:t xml:space="preserve"> </w:t>
      </w:r>
      <w:r w:rsidRPr="00EA7870">
        <w:rPr>
          <w:sz w:val="20"/>
          <w:szCs w:val="20"/>
        </w:rPr>
        <w:t>estarán</w:t>
      </w:r>
      <w:r w:rsidR="001A28B3" w:rsidRPr="00EA7870">
        <w:rPr>
          <w:sz w:val="20"/>
          <w:szCs w:val="20"/>
        </w:rPr>
        <w:t xml:space="preserve"> </w:t>
      </w:r>
      <w:r w:rsidRPr="00EA7870">
        <w:rPr>
          <w:sz w:val="20"/>
          <w:szCs w:val="20"/>
        </w:rPr>
        <w:t>sujetas</w:t>
      </w:r>
      <w:r w:rsidR="001A28B3" w:rsidRPr="00EA7870">
        <w:rPr>
          <w:sz w:val="20"/>
          <w:szCs w:val="20"/>
        </w:rPr>
        <w:t xml:space="preserve"> </w:t>
      </w:r>
      <w:r w:rsidRPr="00EA7870">
        <w:rPr>
          <w:sz w:val="20"/>
          <w:szCs w:val="20"/>
        </w:rPr>
        <w:t>a</w:t>
      </w:r>
      <w:r w:rsidR="001A28B3" w:rsidRPr="00EA7870">
        <w:rPr>
          <w:sz w:val="20"/>
          <w:szCs w:val="20"/>
        </w:rPr>
        <w:t xml:space="preserve"> </w:t>
      </w:r>
      <w:r w:rsidRPr="00EA7870">
        <w:rPr>
          <w:sz w:val="20"/>
          <w:szCs w:val="20"/>
        </w:rPr>
        <w:t>restricciones</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transferencia.</w:t>
      </w:r>
      <w:r w:rsidR="001A28B3" w:rsidRPr="00EA7870">
        <w:rPr>
          <w:sz w:val="20"/>
          <w:szCs w:val="20"/>
        </w:rPr>
        <w:t xml:space="preserve"> </w:t>
      </w:r>
    </w:p>
    <w:p w14:paraId="3CF266A2" w14:textId="77777777" w:rsidR="002E11C8" w:rsidRPr="00EA7870" w:rsidRDefault="002E11C8" w:rsidP="00836A2B">
      <w:pPr>
        <w:overflowPunct w:val="0"/>
        <w:autoSpaceDE w:val="0"/>
        <w:autoSpaceDN w:val="0"/>
        <w:adjustRightInd w:val="0"/>
        <w:jc w:val="both"/>
        <w:textAlignment w:val="baseline"/>
        <w:rPr>
          <w:bCs/>
          <w:sz w:val="20"/>
          <w:szCs w:val="20"/>
        </w:rPr>
      </w:pPr>
    </w:p>
    <w:p w14:paraId="3A581F7B" w14:textId="7FCDAB92" w:rsidR="00E06527" w:rsidRPr="00EA7870" w:rsidRDefault="00E06527" w:rsidP="00836A2B">
      <w:pPr>
        <w:overflowPunct w:val="0"/>
        <w:autoSpaceDE w:val="0"/>
        <w:autoSpaceDN w:val="0"/>
        <w:adjustRightInd w:val="0"/>
        <w:jc w:val="both"/>
        <w:textAlignment w:val="baseline"/>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colocación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realizada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detallado</w:t>
      </w:r>
      <w:r w:rsidR="001A28B3" w:rsidRPr="00EA7870">
        <w:rPr>
          <w:sz w:val="20"/>
          <w:szCs w:val="20"/>
          <w:lang w:val="es-AR"/>
        </w:rPr>
        <w:t xml:space="preserve"> </w:t>
      </w:r>
      <w:r w:rsidRPr="00EA7870">
        <w:rPr>
          <w:sz w:val="20"/>
          <w:szCs w:val="20"/>
          <w:lang w:val="es-AR"/>
        </w:rPr>
        <w:t>más</w:t>
      </w:r>
      <w:r w:rsidR="001A28B3" w:rsidRPr="00EA7870">
        <w:rPr>
          <w:sz w:val="20"/>
          <w:szCs w:val="20"/>
          <w:lang w:val="es-AR"/>
        </w:rPr>
        <w:t xml:space="preserve"> </w:t>
      </w:r>
      <w:r w:rsidRPr="00EA7870">
        <w:rPr>
          <w:sz w:val="20"/>
          <w:szCs w:val="20"/>
          <w:lang w:val="es-AR"/>
        </w:rPr>
        <w:t>adelante</w:t>
      </w:r>
      <w:r w:rsidR="001A28B3" w:rsidRPr="00EA7870">
        <w:rPr>
          <w:sz w:val="20"/>
          <w:szCs w:val="20"/>
          <w:lang w:val="es-AR"/>
        </w:rPr>
        <w:t xml:space="preserve"> </w:t>
      </w:r>
      <w:r w:rsidRPr="00EA7870">
        <w:rPr>
          <w:sz w:val="20"/>
          <w:szCs w:val="20"/>
          <w:lang w:val="es-AR"/>
        </w:rPr>
        <w:t>bajo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w:t>
      </w:r>
      <w:r w:rsidRPr="00EA7870">
        <w:rPr>
          <w:i/>
          <w:sz w:val="20"/>
          <w:szCs w:val="20"/>
          <w:lang w:val="es-AR"/>
        </w:rPr>
        <w:t>Esfuerzos</w:t>
      </w:r>
      <w:r w:rsidR="001A28B3" w:rsidRPr="00EA7870">
        <w:rPr>
          <w:i/>
          <w:sz w:val="20"/>
          <w:szCs w:val="20"/>
          <w:lang w:val="es-AR"/>
        </w:rPr>
        <w:t xml:space="preserve"> </w:t>
      </w:r>
      <w:r w:rsidRPr="00EA7870">
        <w:rPr>
          <w:i/>
          <w:sz w:val="20"/>
          <w:szCs w:val="20"/>
          <w:lang w:val="es-AR"/>
        </w:rPr>
        <w:t>de</w:t>
      </w:r>
      <w:r w:rsidR="001A28B3" w:rsidRPr="00EA7870">
        <w:rPr>
          <w:i/>
          <w:sz w:val="20"/>
          <w:szCs w:val="20"/>
          <w:lang w:val="es-AR"/>
        </w:rPr>
        <w:t xml:space="preserve"> </w:t>
      </w:r>
      <w:r w:rsidRPr="00EA7870">
        <w:rPr>
          <w:i/>
          <w:sz w:val="20"/>
          <w:szCs w:val="20"/>
          <w:lang w:val="es-AR"/>
        </w:rPr>
        <w:t>Colocación</w:t>
      </w:r>
      <w:r w:rsidRPr="00EA7870">
        <w:rPr>
          <w:sz w:val="20"/>
          <w:szCs w:val="20"/>
          <w:lang w:val="es-AR"/>
        </w:rPr>
        <w:t>”</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capítulo</w:t>
      </w:r>
      <w:r w:rsidR="001A28B3" w:rsidRPr="00EA7870">
        <w:rPr>
          <w:sz w:val="20"/>
          <w:szCs w:val="20"/>
          <w:lang w:val="es-AR"/>
        </w:rPr>
        <w:t xml:space="preserve"> </w:t>
      </w:r>
      <w:r w:rsidR="004C785D" w:rsidRPr="00EA7870">
        <w:rPr>
          <w:sz w:val="20"/>
          <w:szCs w:val="20"/>
          <w:lang w:val="es-AR"/>
        </w:rPr>
        <w:t>exclusivamente</w:t>
      </w:r>
      <w:r w:rsidR="001A28B3" w:rsidRPr="00EA7870">
        <w:rPr>
          <w:sz w:val="20"/>
          <w:szCs w:val="20"/>
          <w:lang w:val="es-AR"/>
        </w:rPr>
        <w:t xml:space="preserve"> </w:t>
      </w:r>
      <w:r w:rsidR="004C785D" w:rsidRPr="00EA7870">
        <w:rPr>
          <w:sz w:val="20"/>
          <w:szCs w:val="20"/>
          <w:lang w:val="es-AR"/>
        </w:rPr>
        <w:t>entre</w:t>
      </w:r>
      <w:r w:rsidR="001A28B3" w:rsidRPr="00EA7870">
        <w:rPr>
          <w:sz w:val="20"/>
          <w:szCs w:val="20"/>
          <w:lang w:val="es-AR"/>
        </w:rPr>
        <w:t xml:space="preserve"> </w:t>
      </w:r>
      <w:r w:rsidR="002B6C29" w:rsidRPr="00EA7870">
        <w:rPr>
          <w:sz w:val="20"/>
          <w:szCs w:val="20"/>
          <w:lang w:val="es-AR"/>
        </w:rPr>
        <w:t>I</w:t>
      </w:r>
      <w:r w:rsidR="004C785D" w:rsidRPr="00EA7870">
        <w:rPr>
          <w:sz w:val="20"/>
          <w:szCs w:val="20"/>
          <w:lang w:val="es-AR"/>
        </w:rPr>
        <w:t>nversores</w:t>
      </w:r>
      <w:r w:rsidR="001A28B3" w:rsidRPr="00EA7870">
        <w:rPr>
          <w:sz w:val="20"/>
          <w:szCs w:val="20"/>
          <w:lang w:val="es-AR"/>
        </w:rPr>
        <w:t xml:space="preserve"> </w:t>
      </w:r>
      <w:r w:rsidR="002B6C29" w:rsidRPr="00EA7870">
        <w:rPr>
          <w:sz w:val="20"/>
          <w:szCs w:val="20"/>
          <w:lang w:val="es-AR"/>
        </w:rPr>
        <w:t>C</w:t>
      </w:r>
      <w:r w:rsidR="004C785D" w:rsidRPr="00EA7870">
        <w:rPr>
          <w:sz w:val="20"/>
          <w:szCs w:val="20"/>
          <w:lang w:val="es-AR"/>
        </w:rPr>
        <w:t>alificados</w:t>
      </w:r>
      <w:r w:rsidR="00633D77">
        <w:rPr>
          <w:sz w:val="20"/>
          <w:szCs w:val="20"/>
          <w:lang w:val="es-AR"/>
        </w:rPr>
        <w:t xml:space="preserve"> que sean residentes argentinos</w:t>
      </w:r>
      <w:r w:rsidRPr="00EA7870">
        <w:rPr>
          <w:sz w:val="20"/>
          <w:szCs w:val="20"/>
          <w:lang w:val="es-AR"/>
        </w:rPr>
        <w:t>.</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perjuicio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ello,</w:t>
      </w:r>
      <w:r w:rsidR="001A28B3" w:rsidRPr="00EA7870">
        <w:rPr>
          <w:sz w:val="20"/>
          <w:szCs w:val="20"/>
          <w:lang w:val="es-AR"/>
        </w:rPr>
        <w:t xml:space="preserve"> </w:t>
      </w:r>
      <w:r w:rsidRPr="00EA7870">
        <w:rPr>
          <w:sz w:val="20"/>
          <w:szCs w:val="20"/>
          <w:lang w:val="es-AR"/>
        </w:rPr>
        <w:t>fuera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ofrecidas</w:t>
      </w:r>
      <w:r w:rsidR="001A28B3" w:rsidRPr="00EA7870">
        <w:rPr>
          <w:sz w:val="20"/>
          <w:szCs w:val="20"/>
          <w:lang w:val="es-AR"/>
        </w:rPr>
        <w:t xml:space="preserve"> </w:t>
      </w:r>
      <w:r w:rsidRPr="00EA7870">
        <w:rPr>
          <w:sz w:val="20"/>
          <w:szCs w:val="20"/>
          <w:lang w:val="es-AR"/>
        </w:rPr>
        <w:t>únicamente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acuerdo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jurisdicciones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establecen</w:t>
      </w:r>
      <w:r w:rsidR="001A28B3" w:rsidRPr="00EA7870">
        <w:rPr>
          <w:sz w:val="20"/>
          <w:szCs w:val="20"/>
          <w:lang w:val="es-AR"/>
        </w:rPr>
        <w:t xml:space="preserve"> </w:t>
      </w:r>
      <w:r w:rsidRPr="00EA7870">
        <w:rPr>
          <w:sz w:val="20"/>
          <w:szCs w:val="20"/>
          <w:lang w:val="es-AR"/>
        </w:rPr>
        <w:t>excepciones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requerimientos</w:t>
      </w:r>
      <w:r w:rsidR="001A28B3" w:rsidRPr="00EA7870">
        <w:rPr>
          <w:sz w:val="20"/>
          <w:szCs w:val="20"/>
          <w:lang w:val="es-AR"/>
        </w:rPr>
        <w:t xml:space="preserve"> </w:t>
      </w:r>
      <w:r w:rsidRPr="00EA7870">
        <w:rPr>
          <w:sz w:val="20"/>
          <w:szCs w:val="20"/>
          <w:lang w:val="es-AR"/>
        </w:rPr>
        <w:t>relacionados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obligación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registración.</w:t>
      </w:r>
    </w:p>
    <w:p w14:paraId="61BC8839" w14:textId="77777777" w:rsidR="002E11C8" w:rsidRPr="00EA7870" w:rsidRDefault="002E11C8" w:rsidP="00836A2B">
      <w:pPr>
        <w:overflowPunct w:val="0"/>
        <w:autoSpaceDE w:val="0"/>
        <w:autoSpaceDN w:val="0"/>
        <w:adjustRightInd w:val="0"/>
        <w:jc w:val="both"/>
        <w:textAlignment w:val="baseline"/>
        <w:rPr>
          <w:sz w:val="20"/>
          <w:szCs w:val="20"/>
          <w:lang w:val="es-AR"/>
        </w:rPr>
      </w:pPr>
    </w:p>
    <w:p w14:paraId="18C2EB0B" w14:textId="77777777" w:rsidR="00E06527" w:rsidRPr="00EA7870" w:rsidRDefault="00E06527" w:rsidP="00836A2B">
      <w:pPr>
        <w:overflowPunct w:val="0"/>
        <w:autoSpaceDE w:val="0"/>
        <w:autoSpaceDN w:val="0"/>
        <w:adjustRightInd w:val="0"/>
        <w:jc w:val="both"/>
        <w:textAlignment w:val="baseline"/>
        <w:rPr>
          <w:sz w:val="20"/>
          <w:szCs w:val="20"/>
          <w:lang w:val="es-AR"/>
        </w:rPr>
      </w:pP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Contrato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Colocación</w:t>
      </w:r>
      <w:r w:rsidR="001A28B3" w:rsidRPr="00EA7870">
        <w:rPr>
          <w:sz w:val="20"/>
          <w:szCs w:val="20"/>
          <w:lang w:val="es-AR"/>
        </w:rPr>
        <w:t xml:space="preserve"> </w:t>
      </w:r>
      <w:r w:rsidRPr="00EA7870">
        <w:rPr>
          <w:sz w:val="20"/>
          <w:szCs w:val="20"/>
          <w:lang w:val="es-AR"/>
        </w:rPr>
        <w:t>Local,</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Pr="00EA7870">
        <w:rPr>
          <w:sz w:val="20"/>
          <w:szCs w:val="20"/>
          <w:lang w:val="es-AR"/>
        </w:rPr>
        <w:t>acordará</w:t>
      </w:r>
      <w:r w:rsidR="001A28B3" w:rsidRPr="00EA7870">
        <w:rPr>
          <w:sz w:val="20"/>
          <w:szCs w:val="20"/>
          <w:lang w:val="es-AR"/>
        </w:rPr>
        <w:t xml:space="preserve"> </w:t>
      </w:r>
      <w:r w:rsidRPr="00EA7870">
        <w:rPr>
          <w:sz w:val="20"/>
          <w:szCs w:val="20"/>
          <w:lang w:val="es-AR"/>
        </w:rPr>
        <w:t>realizar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serie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esfuerzos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comercialización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colocación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sujeción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Capitales,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demás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aplicables.</w:t>
      </w:r>
    </w:p>
    <w:p w14:paraId="08BFD3E6" w14:textId="77777777" w:rsidR="008F40DA" w:rsidRPr="00EA7870" w:rsidRDefault="008F40DA" w:rsidP="00836A2B">
      <w:pPr>
        <w:overflowPunct w:val="0"/>
        <w:autoSpaceDE w:val="0"/>
        <w:autoSpaceDN w:val="0"/>
        <w:adjustRightInd w:val="0"/>
        <w:jc w:val="both"/>
        <w:textAlignment w:val="baseline"/>
        <w:rPr>
          <w:sz w:val="20"/>
          <w:szCs w:val="20"/>
        </w:rPr>
      </w:pPr>
    </w:p>
    <w:p w14:paraId="4230DC4C" w14:textId="77777777" w:rsidR="008F40DA" w:rsidRPr="00EA7870" w:rsidRDefault="008F40DA" w:rsidP="008F40DA">
      <w:pPr>
        <w:spacing w:after="240"/>
        <w:jc w:val="both"/>
        <w:rPr>
          <w:rFonts w:ascii="TimesNewRoman" w:hAnsi="TimesNewRoman"/>
          <w:sz w:val="20"/>
          <w:szCs w:val="20"/>
          <w:lang w:val="es-AR"/>
        </w:rPr>
      </w:pPr>
      <w:r w:rsidRPr="00EA7870">
        <w:rPr>
          <w:rFonts w:ascii="TimesNewRoman" w:hAnsi="TimesNewRoman"/>
          <w:sz w:val="20"/>
          <w:szCs w:val="20"/>
          <w:lang w:val="es-AR"/>
        </w:rPr>
        <w:t>Con respecto a la oferta de las Obligaciones Negociables, los Colocadores Internacionales</w:t>
      </w:r>
      <w:r w:rsidRPr="00EA7870" w:rsidDel="005829A4">
        <w:rPr>
          <w:rFonts w:ascii="TimesNewRoman" w:hAnsi="TimesNewRoman"/>
          <w:sz w:val="20"/>
          <w:szCs w:val="20"/>
          <w:lang w:val="es-AR"/>
        </w:rPr>
        <w:t xml:space="preserve"> </w:t>
      </w:r>
      <w:r w:rsidRPr="00EA7870">
        <w:rPr>
          <w:rFonts w:ascii="TimesNewRoman" w:hAnsi="TimesNewRoman"/>
          <w:sz w:val="20"/>
          <w:szCs w:val="20"/>
          <w:lang w:val="es-AR"/>
        </w:rPr>
        <w:t xml:space="preserve">y </w:t>
      </w:r>
      <w:r w:rsidR="007B2387" w:rsidRPr="00EA7870">
        <w:rPr>
          <w:rFonts w:ascii="TimesNewRoman" w:hAnsi="TimesNewRoman"/>
          <w:sz w:val="20"/>
          <w:szCs w:val="20"/>
          <w:lang w:val="es-AR"/>
        </w:rPr>
        <w:t xml:space="preserve">el </w:t>
      </w:r>
      <w:r w:rsidR="007B2387" w:rsidRPr="00EA7870">
        <w:rPr>
          <w:sz w:val="20"/>
          <w:szCs w:val="20"/>
          <w:lang w:val="es-AR"/>
        </w:rPr>
        <w:t>Colocador Local</w:t>
      </w:r>
      <w:r w:rsidRPr="00EA7870">
        <w:rPr>
          <w:rFonts w:ascii="TimesNewRoman" w:hAnsi="TimesNewRoman"/>
          <w:sz w:val="20"/>
          <w:szCs w:val="20"/>
          <w:lang w:val="es-AR"/>
        </w:rPr>
        <w:t xml:space="preserve"> podrán participar en operaciones de sobre-adjudicación, estabilización y de cobertura. Las operaciones de sobre-adjudicación involucran ventas mayores al tamaño de la oferta, lo que crea una posición corta para los Colocadores Internacionales</w:t>
      </w:r>
      <w:r w:rsidR="008615C4" w:rsidRPr="00EA7870">
        <w:rPr>
          <w:rFonts w:ascii="TimesNewRoman" w:hAnsi="TimesNewRoman"/>
          <w:sz w:val="20"/>
          <w:szCs w:val="20"/>
          <w:lang w:val="es-AR"/>
        </w:rPr>
        <w:t xml:space="preserve"> y el Colocador Local</w:t>
      </w:r>
      <w:r w:rsidRPr="00EA7870">
        <w:rPr>
          <w:rFonts w:ascii="TimesNewRoman" w:hAnsi="TimesNewRoman"/>
          <w:sz w:val="20"/>
          <w:szCs w:val="20"/>
          <w:lang w:val="es-AR"/>
        </w:rPr>
        <w:t>. Las operaciones de estabilización involucran ofertas de compra de Obligaciones Negociables en el mercado abierto con el fin de vincular, fijar o mantener el precio de las Obligaciones Negociables. Las operaciones de cobertura involucran compras de Obligaciones Negociables en el mercado abierto una vez que ha finalizado la distribución para cubrir posiciones cortas. Las operaciones de estabilización, las operaciones de cobertura y las operaciones de sobre-adjudicación pueden tener el efecto de impedir o demorar una baja en el precio de mercado de las Obligaciones Negociables o hacer que el precio de las Obligaciones Negociables sea mayor que el que estaría vigente en ausencia de dichas operaciones. Si los Colocadores Internacionales</w:t>
      </w:r>
      <w:r w:rsidRPr="00EA7870" w:rsidDel="005829A4">
        <w:rPr>
          <w:rFonts w:ascii="TimesNewRoman" w:hAnsi="TimesNewRoman"/>
          <w:sz w:val="20"/>
          <w:szCs w:val="20"/>
          <w:lang w:val="es-AR"/>
        </w:rPr>
        <w:t xml:space="preserve"> </w:t>
      </w:r>
      <w:r w:rsidRPr="00EA7870">
        <w:rPr>
          <w:rFonts w:ascii="TimesNewRoman" w:hAnsi="TimesNewRoman"/>
          <w:sz w:val="20"/>
          <w:szCs w:val="20"/>
          <w:lang w:val="es-AR"/>
        </w:rPr>
        <w:t xml:space="preserve">o </w:t>
      </w:r>
      <w:r w:rsidR="007B2387" w:rsidRPr="00EA7870">
        <w:rPr>
          <w:rFonts w:ascii="TimesNewRoman" w:hAnsi="TimesNewRoman"/>
          <w:sz w:val="20"/>
          <w:szCs w:val="20"/>
          <w:lang w:val="es-AR"/>
        </w:rPr>
        <w:t xml:space="preserve">el </w:t>
      </w:r>
      <w:r w:rsidR="007B2387" w:rsidRPr="00EA7870">
        <w:rPr>
          <w:sz w:val="20"/>
          <w:szCs w:val="20"/>
          <w:lang w:val="es-AR"/>
        </w:rPr>
        <w:t>Colocador Local</w:t>
      </w:r>
      <w:r w:rsidRPr="00EA7870">
        <w:rPr>
          <w:rFonts w:ascii="TimesNewRoman" w:hAnsi="TimesNewRoman"/>
          <w:sz w:val="20"/>
          <w:szCs w:val="20"/>
          <w:lang w:val="es-AR"/>
        </w:rPr>
        <w:t xml:space="preserve"> participan en operaciones de estabilización, cobertura o sobre-adjudicación, podrán discontinuarlas en cualquier momento. Tales operaciones de estabilización, cobertura o sobre-adjudicación estarán sujetas a los límites impuestos por las leyes y reglamentaciones aplicables, incluyendo las Normas de la CNV. </w:t>
      </w:r>
    </w:p>
    <w:p w14:paraId="67801CDC" w14:textId="77777777" w:rsidR="00587A97" w:rsidRPr="00EA7870" w:rsidRDefault="00AB4C51" w:rsidP="00836A2B">
      <w:pPr>
        <w:jc w:val="both"/>
        <w:rPr>
          <w:sz w:val="20"/>
          <w:szCs w:val="20"/>
          <w:lang w:val="es-AR"/>
        </w:rPr>
      </w:pPr>
      <w:r w:rsidRPr="00EA7870">
        <w:rPr>
          <w:sz w:val="20"/>
          <w:szCs w:val="20"/>
          <w:lang w:val="es-AR"/>
        </w:rPr>
        <w:t>E</w:t>
      </w:r>
      <w:r w:rsidR="00E06527" w:rsidRPr="00EA7870">
        <w:rPr>
          <w:sz w:val="20"/>
          <w:szCs w:val="20"/>
          <w:lang w:val="es-AR"/>
        </w:rPr>
        <w:t>n</w:t>
      </w:r>
      <w:r w:rsidR="001A28B3" w:rsidRPr="00EA7870">
        <w:rPr>
          <w:sz w:val="20"/>
          <w:szCs w:val="20"/>
          <w:lang w:val="es-AR"/>
        </w:rPr>
        <w:t xml:space="preserve"> </w:t>
      </w:r>
      <w:r w:rsidR="00E06527" w:rsidRPr="00EA7870">
        <w:rPr>
          <w:sz w:val="20"/>
          <w:szCs w:val="20"/>
          <w:lang w:val="es-AR"/>
        </w:rPr>
        <w:t>el</w:t>
      </w:r>
      <w:r w:rsidR="001A28B3" w:rsidRPr="00EA7870">
        <w:rPr>
          <w:sz w:val="20"/>
          <w:szCs w:val="20"/>
          <w:lang w:val="es-AR"/>
        </w:rPr>
        <w:t xml:space="preserve"> </w:t>
      </w:r>
      <w:r w:rsidR="00E06527" w:rsidRPr="00EA7870">
        <w:rPr>
          <w:sz w:val="20"/>
          <w:szCs w:val="20"/>
          <w:lang w:val="es-AR"/>
        </w:rPr>
        <w:t>curso</w:t>
      </w:r>
      <w:r w:rsidR="001A28B3" w:rsidRPr="00EA7870">
        <w:rPr>
          <w:sz w:val="20"/>
          <w:szCs w:val="20"/>
          <w:lang w:val="es-AR"/>
        </w:rPr>
        <w:t xml:space="preserve"> </w:t>
      </w:r>
      <w:r w:rsidR="00E06527" w:rsidRPr="00EA7870">
        <w:rPr>
          <w:sz w:val="20"/>
          <w:szCs w:val="20"/>
          <w:lang w:val="es-AR"/>
        </w:rPr>
        <w:t>ordinario</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actividades</w:t>
      </w:r>
      <w:r w:rsidR="001A28B3" w:rsidRPr="00EA7870">
        <w:rPr>
          <w:sz w:val="20"/>
          <w:szCs w:val="20"/>
          <w:lang w:val="es-AR"/>
        </w:rPr>
        <w:t xml:space="preserve"> </w:t>
      </w:r>
      <w:r w:rsidR="00E06527" w:rsidRPr="00EA7870">
        <w:rPr>
          <w:sz w:val="20"/>
          <w:szCs w:val="20"/>
          <w:lang w:val="es-AR"/>
        </w:rPr>
        <w:t>comerciales,</w:t>
      </w:r>
      <w:r w:rsidR="001A28B3" w:rsidRPr="00EA7870">
        <w:rPr>
          <w:sz w:val="20"/>
          <w:szCs w:val="20"/>
          <w:lang w:val="es-AR"/>
        </w:rPr>
        <w:t xml:space="preserve"> </w:t>
      </w:r>
      <w:r w:rsidR="00E06527"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E06527" w:rsidRPr="00EA7870">
        <w:rPr>
          <w:sz w:val="20"/>
          <w:szCs w:val="20"/>
          <w:lang w:val="es-AR"/>
        </w:rPr>
        <w:t>,</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00E06527" w:rsidRPr="00EA7870">
        <w:rPr>
          <w:sz w:val="20"/>
          <w:szCs w:val="20"/>
          <w:lang w:val="es-AR"/>
        </w:rPr>
        <w:t>y</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respectivas</w:t>
      </w:r>
      <w:r w:rsidR="001A28B3" w:rsidRPr="00EA7870">
        <w:rPr>
          <w:sz w:val="20"/>
          <w:szCs w:val="20"/>
          <w:lang w:val="es-AR"/>
        </w:rPr>
        <w:t xml:space="preserve"> </w:t>
      </w:r>
      <w:r w:rsidR="00E06527" w:rsidRPr="00EA7870">
        <w:rPr>
          <w:sz w:val="20"/>
          <w:szCs w:val="20"/>
          <w:lang w:val="es-AR"/>
        </w:rPr>
        <w:t>afiliadas</w:t>
      </w:r>
      <w:r w:rsidR="001A28B3" w:rsidRPr="00EA7870">
        <w:rPr>
          <w:sz w:val="20"/>
          <w:szCs w:val="20"/>
          <w:lang w:val="es-AR"/>
        </w:rPr>
        <w:t xml:space="preserve"> </w:t>
      </w:r>
      <w:r w:rsidR="00E06527" w:rsidRPr="00EA7870">
        <w:rPr>
          <w:sz w:val="20"/>
          <w:szCs w:val="20"/>
          <w:lang w:val="es-AR"/>
        </w:rPr>
        <w:t>podrán</w:t>
      </w:r>
      <w:r w:rsidR="001A28B3" w:rsidRPr="00EA7870">
        <w:rPr>
          <w:sz w:val="20"/>
          <w:szCs w:val="20"/>
          <w:lang w:val="es-AR"/>
        </w:rPr>
        <w:t xml:space="preserve"> </w:t>
      </w:r>
      <w:r w:rsidR="00E06527" w:rsidRPr="00EA7870">
        <w:rPr>
          <w:sz w:val="20"/>
          <w:szCs w:val="20"/>
          <w:lang w:val="es-AR"/>
        </w:rPr>
        <w:t>realizar</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mantener</w:t>
      </w:r>
      <w:r w:rsidR="001A28B3" w:rsidRPr="00EA7870">
        <w:rPr>
          <w:sz w:val="20"/>
          <w:szCs w:val="20"/>
          <w:lang w:val="es-AR"/>
        </w:rPr>
        <w:t xml:space="preserve"> </w:t>
      </w:r>
      <w:r w:rsidR="00E06527" w:rsidRPr="00EA7870">
        <w:rPr>
          <w:sz w:val="20"/>
          <w:szCs w:val="20"/>
          <w:lang w:val="es-AR"/>
        </w:rPr>
        <w:t>una</w:t>
      </w:r>
      <w:r w:rsidR="001A28B3" w:rsidRPr="00EA7870">
        <w:rPr>
          <w:sz w:val="20"/>
          <w:szCs w:val="20"/>
          <w:lang w:val="es-AR"/>
        </w:rPr>
        <w:t xml:space="preserve"> </w:t>
      </w:r>
      <w:r w:rsidR="00E06527" w:rsidRPr="00EA7870">
        <w:rPr>
          <w:sz w:val="20"/>
          <w:szCs w:val="20"/>
          <w:lang w:val="es-AR"/>
        </w:rPr>
        <w:t>amplia</w:t>
      </w:r>
      <w:r w:rsidR="001A28B3" w:rsidRPr="00EA7870">
        <w:rPr>
          <w:sz w:val="20"/>
          <w:szCs w:val="20"/>
          <w:lang w:val="es-AR"/>
        </w:rPr>
        <w:t xml:space="preserve"> </w:t>
      </w:r>
      <w:r w:rsidR="00E06527" w:rsidRPr="00EA7870">
        <w:rPr>
          <w:sz w:val="20"/>
          <w:szCs w:val="20"/>
          <w:lang w:val="es-AR"/>
        </w:rPr>
        <w:t>variedad</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inversiones</w:t>
      </w:r>
      <w:r w:rsidR="001A28B3" w:rsidRPr="00EA7870">
        <w:rPr>
          <w:sz w:val="20"/>
          <w:szCs w:val="20"/>
          <w:lang w:val="es-AR"/>
        </w:rPr>
        <w:t xml:space="preserve"> </w:t>
      </w:r>
      <w:r w:rsidR="00E06527" w:rsidRPr="00EA7870">
        <w:rPr>
          <w:sz w:val="20"/>
          <w:szCs w:val="20"/>
          <w:lang w:val="es-AR"/>
        </w:rPr>
        <w:t>y</w:t>
      </w:r>
      <w:r w:rsidR="001A28B3" w:rsidRPr="00EA7870">
        <w:rPr>
          <w:sz w:val="20"/>
          <w:szCs w:val="20"/>
          <w:lang w:val="es-AR"/>
        </w:rPr>
        <w:t xml:space="preserve"> </w:t>
      </w:r>
      <w:r w:rsidR="00E06527" w:rsidRPr="00EA7870">
        <w:rPr>
          <w:sz w:val="20"/>
          <w:szCs w:val="20"/>
          <w:lang w:val="es-AR"/>
        </w:rPr>
        <w:t>negociar</w:t>
      </w:r>
      <w:r w:rsidR="001A28B3" w:rsidRPr="00EA7870">
        <w:rPr>
          <w:sz w:val="20"/>
          <w:szCs w:val="20"/>
          <w:lang w:val="es-AR"/>
        </w:rPr>
        <w:t xml:space="preserve"> </w:t>
      </w:r>
      <w:r w:rsidR="00E06527" w:rsidRPr="00EA7870">
        <w:rPr>
          <w:sz w:val="20"/>
          <w:szCs w:val="20"/>
          <w:lang w:val="es-AR"/>
        </w:rPr>
        <w:t>activamente</w:t>
      </w:r>
      <w:r w:rsidR="001A28B3" w:rsidRPr="00EA7870">
        <w:rPr>
          <w:sz w:val="20"/>
          <w:szCs w:val="20"/>
          <w:lang w:val="es-AR"/>
        </w:rPr>
        <w:t xml:space="preserve"> </w:t>
      </w:r>
      <w:r w:rsidR="00E06527" w:rsidRPr="00EA7870">
        <w:rPr>
          <w:sz w:val="20"/>
          <w:szCs w:val="20"/>
          <w:lang w:val="es-AR"/>
        </w:rPr>
        <w:t>títulos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deuda</w:t>
      </w:r>
      <w:r w:rsidR="001A28B3" w:rsidRPr="00EA7870">
        <w:rPr>
          <w:sz w:val="20"/>
          <w:szCs w:val="20"/>
          <w:lang w:val="es-AR"/>
        </w:rPr>
        <w:t xml:space="preserve"> </w:t>
      </w:r>
      <w:r w:rsidR="00E06527" w:rsidRPr="00EA7870">
        <w:rPr>
          <w:sz w:val="20"/>
          <w:szCs w:val="20"/>
          <w:lang w:val="es-AR"/>
        </w:rPr>
        <w:t>y</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participación</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títulos</w:t>
      </w:r>
      <w:r w:rsidR="001A28B3" w:rsidRPr="00EA7870">
        <w:rPr>
          <w:sz w:val="20"/>
          <w:szCs w:val="20"/>
          <w:lang w:val="es-AR"/>
        </w:rPr>
        <w:t xml:space="preserve"> </w:t>
      </w:r>
      <w:r w:rsidR="00E06527" w:rsidRPr="00EA7870">
        <w:rPr>
          <w:sz w:val="20"/>
          <w:szCs w:val="20"/>
          <w:lang w:val="es-AR"/>
        </w:rPr>
        <w:t>derivados</w:t>
      </w:r>
      <w:r w:rsidR="001A28B3" w:rsidRPr="00EA7870">
        <w:rPr>
          <w:sz w:val="20"/>
          <w:szCs w:val="20"/>
          <w:lang w:val="es-AR"/>
        </w:rPr>
        <w:t xml:space="preserve"> </w:t>
      </w:r>
      <w:r w:rsidR="00E06527" w:rsidRPr="00EA7870">
        <w:rPr>
          <w:sz w:val="20"/>
          <w:szCs w:val="20"/>
          <w:lang w:val="es-AR"/>
        </w:rPr>
        <w:t>relacionados)</w:t>
      </w:r>
      <w:r w:rsidR="001A28B3" w:rsidRPr="00EA7870">
        <w:rPr>
          <w:sz w:val="20"/>
          <w:szCs w:val="20"/>
          <w:lang w:val="es-AR"/>
        </w:rPr>
        <w:t xml:space="preserve"> </w:t>
      </w:r>
      <w:r w:rsidR="00E06527" w:rsidRPr="00EA7870">
        <w:rPr>
          <w:sz w:val="20"/>
          <w:szCs w:val="20"/>
          <w:lang w:val="es-AR"/>
        </w:rPr>
        <w:t>e</w:t>
      </w:r>
      <w:r w:rsidR="001A28B3" w:rsidRPr="00EA7870">
        <w:rPr>
          <w:sz w:val="20"/>
          <w:szCs w:val="20"/>
          <w:lang w:val="es-AR"/>
        </w:rPr>
        <w:t xml:space="preserve"> </w:t>
      </w:r>
      <w:r w:rsidR="00E06527" w:rsidRPr="00EA7870">
        <w:rPr>
          <w:sz w:val="20"/>
          <w:szCs w:val="20"/>
          <w:lang w:val="es-AR"/>
        </w:rPr>
        <w:t>instrumentos</w:t>
      </w:r>
      <w:r w:rsidR="001A28B3" w:rsidRPr="00EA7870">
        <w:rPr>
          <w:sz w:val="20"/>
          <w:szCs w:val="20"/>
          <w:lang w:val="es-AR"/>
        </w:rPr>
        <w:t xml:space="preserve"> </w:t>
      </w:r>
      <w:r w:rsidR="00E06527" w:rsidRPr="00EA7870">
        <w:rPr>
          <w:sz w:val="20"/>
          <w:szCs w:val="20"/>
          <w:lang w:val="es-AR"/>
        </w:rPr>
        <w:t>financieros</w:t>
      </w:r>
      <w:r w:rsidR="001A28B3" w:rsidRPr="00EA7870">
        <w:rPr>
          <w:sz w:val="20"/>
          <w:szCs w:val="20"/>
          <w:lang w:val="es-AR"/>
        </w:rPr>
        <w:t xml:space="preserve"> </w:t>
      </w:r>
      <w:r w:rsidR="00E06527" w:rsidRPr="00EA7870">
        <w:rPr>
          <w:sz w:val="20"/>
          <w:szCs w:val="20"/>
          <w:lang w:val="es-AR"/>
        </w:rPr>
        <w:t>(incluyendo</w:t>
      </w:r>
      <w:r w:rsidR="001A28B3" w:rsidRPr="00EA7870">
        <w:rPr>
          <w:sz w:val="20"/>
          <w:szCs w:val="20"/>
          <w:lang w:val="es-AR"/>
        </w:rPr>
        <w:t xml:space="preserve"> </w:t>
      </w:r>
      <w:r w:rsidR="00E06527" w:rsidRPr="00EA7870">
        <w:rPr>
          <w:sz w:val="20"/>
          <w:szCs w:val="20"/>
          <w:lang w:val="es-AR"/>
        </w:rPr>
        <w:t>préstamos</w:t>
      </w:r>
      <w:r w:rsidR="001A28B3" w:rsidRPr="00EA7870">
        <w:rPr>
          <w:sz w:val="20"/>
          <w:szCs w:val="20"/>
          <w:lang w:val="es-AR"/>
        </w:rPr>
        <w:t xml:space="preserve"> </w:t>
      </w:r>
      <w:r w:rsidR="00E06527" w:rsidRPr="00EA7870">
        <w:rPr>
          <w:sz w:val="20"/>
          <w:szCs w:val="20"/>
          <w:lang w:val="es-AR"/>
        </w:rPr>
        <w:t>bancarios)</w:t>
      </w:r>
      <w:r w:rsidR="001A28B3" w:rsidRPr="00EA7870">
        <w:rPr>
          <w:sz w:val="20"/>
          <w:szCs w:val="20"/>
          <w:lang w:val="es-AR"/>
        </w:rPr>
        <w:t xml:space="preserve"> </w:t>
      </w:r>
      <w:r w:rsidR="00E06527" w:rsidRPr="00EA7870">
        <w:rPr>
          <w:sz w:val="20"/>
          <w:szCs w:val="20"/>
          <w:lang w:val="es-AR"/>
        </w:rPr>
        <w:t>por</w:t>
      </w:r>
      <w:r w:rsidR="001A28B3" w:rsidRPr="00EA7870">
        <w:rPr>
          <w:sz w:val="20"/>
          <w:szCs w:val="20"/>
          <w:lang w:val="es-AR"/>
        </w:rPr>
        <w:t xml:space="preserve"> </w:t>
      </w:r>
      <w:r w:rsidR="00E06527" w:rsidRPr="00EA7870">
        <w:rPr>
          <w:sz w:val="20"/>
          <w:szCs w:val="20"/>
          <w:lang w:val="es-AR"/>
        </w:rPr>
        <w:t>cuenta</w:t>
      </w:r>
      <w:r w:rsidR="001A28B3" w:rsidRPr="00EA7870">
        <w:rPr>
          <w:sz w:val="20"/>
          <w:szCs w:val="20"/>
          <w:lang w:val="es-AR"/>
        </w:rPr>
        <w:t xml:space="preserve"> </w:t>
      </w:r>
      <w:r w:rsidR="00E06527" w:rsidRPr="00EA7870">
        <w:rPr>
          <w:sz w:val="20"/>
          <w:szCs w:val="20"/>
          <w:lang w:val="es-AR"/>
        </w:rPr>
        <w:t>propia</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por</w:t>
      </w:r>
      <w:r w:rsidR="001A28B3" w:rsidRPr="00EA7870">
        <w:rPr>
          <w:sz w:val="20"/>
          <w:szCs w:val="20"/>
          <w:lang w:val="es-AR"/>
        </w:rPr>
        <w:t xml:space="preserve"> </w:t>
      </w:r>
      <w:r w:rsidR="00E06527" w:rsidRPr="00EA7870">
        <w:rPr>
          <w:sz w:val="20"/>
          <w:szCs w:val="20"/>
          <w:lang w:val="es-AR"/>
        </w:rPr>
        <w:t>cuenta</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clientes.</w:t>
      </w:r>
      <w:r w:rsidR="001A28B3" w:rsidRPr="00EA7870">
        <w:rPr>
          <w:sz w:val="20"/>
          <w:szCs w:val="20"/>
          <w:lang w:val="es-AR"/>
        </w:rPr>
        <w:t xml:space="preserve"> </w:t>
      </w:r>
      <w:r w:rsidR="00E06527" w:rsidRPr="00EA7870">
        <w:rPr>
          <w:sz w:val="20"/>
          <w:szCs w:val="20"/>
          <w:lang w:val="es-AR"/>
        </w:rPr>
        <w:t>Dichas</w:t>
      </w:r>
      <w:r w:rsidR="001A28B3" w:rsidRPr="00EA7870">
        <w:rPr>
          <w:sz w:val="20"/>
          <w:szCs w:val="20"/>
          <w:lang w:val="es-AR"/>
        </w:rPr>
        <w:t xml:space="preserve"> </w:t>
      </w:r>
      <w:r w:rsidR="00E06527" w:rsidRPr="00EA7870">
        <w:rPr>
          <w:sz w:val="20"/>
          <w:szCs w:val="20"/>
          <w:lang w:val="es-AR"/>
        </w:rPr>
        <w:t>inversiones</w:t>
      </w:r>
      <w:r w:rsidR="001A28B3" w:rsidRPr="00EA7870">
        <w:rPr>
          <w:sz w:val="20"/>
          <w:szCs w:val="20"/>
          <w:lang w:val="es-AR"/>
        </w:rPr>
        <w:t xml:space="preserve"> </w:t>
      </w:r>
      <w:r w:rsidR="00E06527" w:rsidRPr="00EA7870">
        <w:rPr>
          <w:sz w:val="20"/>
          <w:szCs w:val="20"/>
          <w:lang w:val="es-AR"/>
        </w:rPr>
        <w:t>y</w:t>
      </w:r>
      <w:r w:rsidR="001A28B3" w:rsidRPr="00EA7870">
        <w:rPr>
          <w:sz w:val="20"/>
          <w:szCs w:val="20"/>
          <w:lang w:val="es-AR"/>
        </w:rPr>
        <w:t xml:space="preserve"> </w:t>
      </w:r>
      <w:r w:rsidR="00E06527" w:rsidRPr="00EA7870">
        <w:rPr>
          <w:sz w:val="20"/>
          <w:szCs w:val="20"/>
          <w:lang w:val="es-AR"/>
        </w:rPr>
        <w:t>actividades</w:t>
      </w:r>
      <w:r w:rsidR="001A28B3" w:rsidRPr="00EA7870">
        <w:rPr>
          <w:sz w:val="20"/>
          <w:szCs w:val="20"/>
          <w:lang w:val="es-AR"/>
        </w:rPr>
        <w:t xml:space="preserve"> </w:t>
      </w:r>
      <w:r w:rsidR="00E06527" w:rsidRPr="00EA7870">
        <w:rPr>
          <w:sz w:val="20"/>
          <w:szCs w:val="20"/>
          <w:lang w:val="es-AR"/>
        </w:rPr>
        <w:t>relacionadas</w:t>
      </w:r>
      <w:r w:rsidR="001A28B3" w:rsidRPr="00EA7870">
        <w:rPr>
          <w:sz w:val="20"/>
          <w:szCs w:val="20"/>
          <w:lang w:val="es-AR"/>
        </w:rPr>
        <w:t xml:space="preserve"> </w:t>
      </w:r>
      <w:r w:rsidR="00E06527" w:rsidRPr="00EA7870">
        <w:rPr>
          <w:sz w:val="20"/>
          <w:szCs w:val="20"/>
          <w:lang w:val="es-AR"/>
        </w:rPr>
        <w:t>con</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títulos</w:t>
      </w:r>
      <w:r w:rsidR="001A28B3" w:rsidRPr="00EA7870">
        <w:rPr>
          <w:sz w:val="20"/>
          <w:szCs w:val="20"/>
          <w:lang w:val="es-AR"/>
        </w:rPr>
        <w:t xml:space="preserve"> </w:t>
      </w:r>
      <w:r w:rsidR="00E06527" w:rsidRPr="00EA7870">
        <w:rPr>
          <w:sz w:val="20"/>
          <w:szCs w:val="20"/>
          <w:lang w:val="es-AR"/>
        </w:rPr>
        <w:t>podrán</w:t>
      </w:r>
      <w:r w:rsidR="001A28B3" w:rsidRPr="00EA7870">
        <w:rPr>
          <w:sz w:val="20"/>
          <w:szCs w:val="20"/>
          <w:lang w:val="es-AR"/>
        </w:rPr>
        <w:t xml:space="preserve"> </w:t>
      </w:r>
      <w:r w:rsidR="00E06527" w:rsidRPr="00EA7870">
        <w:rPr>
          <w:sz w:val="20"/>
          <w:szCs w:val="20"/>
          <w:lang w:val="es-AR"/>
        </w:rPr>
        <w:t>incluir</w:t>
      </w:r>
      <w:r w:rsidR="001A28B3" w:rsidRPr="00EA7870">
        <w:rPr>
          <w:sz w:val="20"/>
          <w:szCs w:val="20"/>
          <w:lang w:val="es-AR"/>
        </w:rPr>
        <w:t xml:space="preserve"> </w:t>
      </w:r>
      <w:r w:rsidR="00E06527" w:rsidRPr="00EA7870">
        <w:rPr>
          <w:sz w:val="20"/>
          <w:szCs w:val="20"/>
          <w:lang w:val="es-AR"/>
        </w:rPr>
        <w:t>a</w:t>
      </w:r>
      <w:r w:rsidR="001A28B3" w:rsidRPr="00EA7870">
        <w:rPr>
          <w:sz w:val="20"/>
          <w:szCs w:val="20"/>
          <w:lang w:val="es-AR"/>
        </w:rPr>
        <w:t xml:space="preserve"> </w:t>
      </w:r>
      <w:r w:rsidR="00E06527" w:rsidRPr="00EA7870">
        <w:rPr>
          <w:sz w:val="20"/>
          <w:szCs w:val="20"/>
          <w:lang w:val="es-AR"/>
        </w:rPr>
        <w:t>los</w:t>
      </w:r>
      <w:r w:rsidR="001A28B3" w:rsidRPr="00EA7870">
        <w:rPr>
          <w:sz w:val="20"/>
          <w:szCs w:val="20"/>
          <w:lang w:val="es-AR"/>
        </w:rPr>
        <w:t xml:space="preserve"> </w:t>
      </w:r>
      <w:r w:rsidR="00E06527" w:rsidRPr="00EA7870">
        <w:rPr>
          <w:sz w:val="20"/>
          <w:szCs w:val="20"/>
          <w:lang w:val="es-AR"/>
        </w:rPr>
        <w:t>títulos</w:t>
      </w:r>
      <w:r w:rsidR="001A28B3" w:rsidRPr="00EA7870">
        <w:rPr>
          <w:sz w:val="20"/>
          <w:szCs w:val="20"/>
          <w:lang w:val="es-AR"/>
        </w:rPr>
        <w:t xml:space="preserve"> </w:t>
      </w:r>
      <w:r w:rsidR="00E06527" w:rsidRPr="00EA7870">
        <w:rPr>
          <w:sz w:val="20"/>
          <w:szCs w:val="20"/>
          <w:lang w:val="es-AR"/>
        </w:rPr>
        <w:t>y/o</w:t>
      </w:r>
      <w:r w:rsidR="001A28B3" w:rsidRPr="00EA7870">
        <w:rPr>
          <w:sz w:val="20"/>
          <w:szCs w:val="20"/>
          <w:lang w:val="es-AR"/>
        </w:rPr>
        <w:t xml:space="preserve"> </w:t>
      </w:r>
      <w:r w:rsidR="00E06527" w:rsidRPr="00EA7870">
        <w:rPr>
          <w:sz w:val="20"/>
          <w:szCs w:val="20"/>
          <w:lang w:val="es-AR"/>
        </w:rPr>
        <w:t>instrumentos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8F40DA" w:rsidRPr="00EA7870">
        <w:rPr>
          <w:sz w:val="20"/>
          <w:szCs w:val="20"/>
          <w:lang w:val="es-AR"/>
        </w:rPr>
        <w:t xml:space="preserve">respectivas </w:t>
      </w:r>
      <w:r w:rsidR="00E06527" w:rsidRPr="00EA7870">
        <w:rPr>
          <w:sz w:val="20"/>
          <w:szCs w:val="20"/>
          <w:lang w:val="es-AR"/>
        </w:rPr>
        <w:t>afiliadas.</w:t>
      </w:r>
      <w:r w:rsidR="001A28B3" w:rsidRPr="00EA7870">
        <w:rPr>
          <w:sz w:val="20"/>
          <w:szCs w:val="20"/>
          <w:lang w:val="es-AR"/>
        </w:rPr>
        <w:t xml:space="preserve"> </w:t>
      </w:r>
      <w:r w:rsidR="00E06527" w:rsidRPr="00EA7870">
        <w:rPr>
          <w:sz w:val="20"/>
          <w:szCs w:val="20"/>
          <w:lang w:val="es-AR"/>
        </w:rPr>
        <w:t>Si</w:t>
      </w:r>
      <w:r w:rsidR="001A28B3" w:rsidRPr="00EA7870">
        <w:rPr>
          <w:sz w:val="20"/>
          <w:szCs w:val="20"/>
          <w:lang w:val="es-AR"/>
        </w:rPr>
        <w:t xml:space="preserve"> </w:t>
      </w:r>
      <w:r w:rsidR="00E06527" w:rsidRPr="00EA7870">
        <w:rPr>
          <w:sz w:val="20"/>
          <w:szCs w:val="20"/>
          <w:lang w:val="es-AR"/>
        </w:rPr>
        <w:t>alguno</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E06527" w:rsidRPr="00EA7870">
        <w:rPr>
          <w:sz w:val="20"/>
          <w:szCs w:val="20"/>
          <w:lang w:val="es-AR"/>
        </w:rPr>
        <w:t>,</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afiliadas</w:t>
      </w:r>
      <w:r w:rsidR="001A28B3" w:rsidRPr="00EA7870">
        <w:rPr>
          <w:sz w:val="20"/>
          <w:szCs w:val="20"/>
          <w:lang w:val="es-AR"/>
        </w:rPr>
        <w:t xml:space="preserve"> </w:t>
      </w:r>
      <w:r w:rsidR="00E06527" w:rsidRPr="00EA7870">
        <w:rPr>
          <w:sz w:val="20"/>
          <w:szCs w:val="20"/>
          <w:lang w:val="es-AR"/>
        </w:rPr>
        <w:t>posee</w:t>
      </w:r>
      <w:r w:rsidR="001A28B3" w:rsidRPr="00EA7870">
        <w:rPr>
          <w:sz w:val="20"/>
          <w:szCs w:val="20"/>
          <w:lang w:val="es-AR"/>
        </w:rPr>
        <w:t xml:space="preserve"> </w:t>
      </w:r>
      <w:r w:rsidR="00E06527" w:rsidRPr="00EA7870">
        <w:rPr>
          <w:sz w:val="20"/>
          <w:szCs w:val="20"/>
          <w:lang w:val="es-AR"/>
        </w:rPr>
        <w:t>una</w:t>
      </w:r>
      <w:r w:rsidR="001A28B3" w:rsidRPr="00EA7870">
        <w:rPr>
          <w:sz w:val="20"/>
          <w:szCs w:val="20"/>
          <w:lang w:val="es-AR"/>
        </w:rPr>
        <w:t xml:space="preserve"> </w:t>
      </w:r>
      <w:r w:rsidR="00E06527" w:rsidRPr="00EA7870">
        <w:rPr>
          <w:sz w:val="20"/>
          <w:szCs w:val="20"/>
          <w:lang w:val="es-AR"/>
        </w:rPr>
        <w:t>relación</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préstamo</w:t>
      </w:r>
      <w:r w:rsidR="001A28B3" w:rsidRPr="00EA7870">
        <w:rPr>
          <w:sz w:val="20"/>
          <w:szCs w:val="20"/>
          <w:lang w:val="es-AR"/>
        </w:rPr>
        <w:t xml:space="preserve"> </w:t>
      </w:r>
      <w:r w:rsidR="00E06527" w:rsidRPr="00EA7870">
        <w:rPr>
          <w:sz w:val="20"/>
          <w:szCs w:val="20"/>
          <w:lang w:val="es-AR"/>
        </w:rPr>
        <w:t>con</w:t>
      </w:r>
      <w:r w:rsidR="001A28B3" w:rsidRPr="00EA7870">
        <w:rPr>
          <w:sz w:val="20"/>
          <w:szCs w:val="20"/>
          <w:lang w:val="es-AR"/>
        </w:rPr>
        <w:t xml:space="preserve"> </w:t>
      </w:r>
      <w:r w:rsidR="00E06527"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00E06527" w:rsidRPr="00EA7870">
        <w:rPr>
          <w:sz w:val="20"/>
          <w:szCs w:val="20"/>
          <w:lang w:val="es-AR"/>
        </w:rPr>
        <w:t>,</w:t>
      </w:r>
      <w:r w:rsidR="001A28B3" w:rsidRPr="00EA7870">
        <w:rPr>
          <w:sz w:val="20"/>
          <w:szCs w:val="20"/>
          <w:lang w:val="es-AR"/>
        </w:rPr>
        <w:t xml:space="preserve"> </w:t>
      </w:r>
      <w:r w:rsidR="00E06527" w:rsidRPr="00EA7870">
        <w:rPr>
          <w:sz w:val="20"/>
          <w:szCs w:val="20"/>
          <w:lang w:val="es-AR"/>
        </w:rPr>
        <w:t>algunos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8F40DA" w:rsidRPr="00EA7870">
        <w:rPr>
          <w:sz w:val="20"/>
          <w:szCs w:val="20"/>
          <w:lang w:val="es-AR"/>
        </w:rPr>
        <w:t xml:space="preserve">los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E06527" w:rsidRPr="00EA7870">
        <w:rPr>
          <w:sz w:val="20"/>
          <w:szCs w:val="20"/>
          <w:lang w:val="es-AR"/>
        </w:rPr>
        <w:t>,</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8F40DA" w:rsidRPr="00EA7870">
        <w:rPr>
          <w:sz w:val="20"/>
          <w:szCs w:val="20"/>
          <w:lang w:val="es-AR"/>
        </w:rPr>
        <w:t xml:space="preserve">respectivas </w:t>
      </w:r>
      <w:r w:rsidR="00E06527" w:rsidRPr="00EA7870">
        <w:rPr>
          <w:sz w:val="20"/>
          <w:szCs w:val="20"/>
          <w:lang w:val="es-AR"/>
        </w:rPr>
        <w:t>afiliadas</w:t>
      </w:r>
      <w:r w:rsidR="001A28B3" w:rsidRPr="00EA7870">
        <w:rPr>
          <w:sz w:val="20"/>
          <w:szCs w:val="20"/>
          <w:lang w:val="es-AR"/>
        </w:rPr>
        <w:t xml:space="preserve"> </w:t>
      </w:r>
      <w:r w:rsidR="00E06527" w:rsidRPr="00EA7870">
        <w:rPr>
          <w:sz w:val="20"/>
          <w:szCs w:val="20"/>
          <w:lang w:val="es-AR"/>
        </w:rPr>
        <w:t>habitualmente</w:t>
      </w:r>
      <w:r w:rsidR="001A28B3" w:rsidRPr="00EA7870">
        <w:rPr>
          <w:sz w:val="20"/>
          <w:szCs w:val="20"/>
          <w:lang w:val="es-AR"/>
        </w:rPr>
        <w:t xml:space="preserve"> </w:t>
      </w:r>
      <w:r w:rsidR="00E06527" w:rsidRPr="00EA7870">
        <w:rPr>
          <w:sz w:val="20"/>
          <w:szCs w:val="20"/>
          <w:lang w:val="es-AR"/>
        </w:rPr>
        <w:t>cubren,</w:t>
      </w:r>
      <w:r w:rsidR="001A28B3" w:rsidRPr="00EA7870">
        <w:rPr>
          <w:sz w:val="20"/>
          <w:szCs w:val="20"/>
          <w:lang w:val="es-AR"/>
        </w:rPr>
        <w:t xml:space="preserve"> </w:t>
      </w:r>
      <w:r w:rsidR="00E06527" w:rsidRPr="00EA7870">
        <w:rPr>
          <w:sz w:val="20"/>
          <w:szCs w:val="20"/>
          <w:lang w:val="es-AR"/>
        </w:rPr>
        <w:t>y</w:t>
      </w:r>
      <w:r w:rsidR="001A28B3" w:rsidRPr="00EA7870">
        <w:rPr>
          <w:sz w:val="20"/>
          <w:szCs w:val="20"/>
          <w:lang w:val="es-AR"/>
        </w:rPr>
        <w:t xml:space="preserve"> </w:t>
      </w:r>
      <w:r w:rsidR="00E06527" w:rsidRPr="00EA7870">
        <w:rPr>
          <w:sz w:val="20"/>
          <w:szCs w:val="20"/>
          <w:lang w:val="es-AR"/>
        </w:rPr>
        <w:t>algunos</w:t>
      </w:r>
      <w:r w:rsidR="001A28B3" w:rsidRPr="00EA7870">
        <w:rPr>
          <w:sz w:val="20"/>
          <w:szCs w:val="20"/>
          <w:lang w:val="es-AR"/>
        </w:rPr>
        <w:t xml:space="preserve"> </w:t>
      </w:r>
      <w:r w:rsidR="00E06527" w:rsidRPr="00EA7870">
        <w:rPr>
          <w:sz w:val="20"/>
          <w:szCs w:val="20"/>
          <w:lang w:val="es-AR"/>
        </w:rPr>
        <w:t>otros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esos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E06527" w:rsidRPr="00EA7870">
        <w:rPr>
          <w:sz w:val="20"/>
          <w:szCs w:val="20"/>
          <w:lang w:val="es-AR"/>
        </w:rPr>
        <w:t>,</w:t>
      </w:r>
      <w:r w:rsidR="001A28B3" w:rsidRPr="00EA7870">
        <w:rPr>
          <w:sz w:val="20"/>
          <w:szCs w:val="20"/>
          <w:lang w:val="es-AR"/>
        </w:rPr>
        <w:t xml:space="preserve"> </w:t>
      </w:r>
      <w:r w:rsidR="007B2387" w:rsidRPr="00EA7870">
        <w:rPr>
          <w:sz w:val="20"/>
          <w:szCs w:val="20"/>
          <w:lang w:val="es-AR"/>
        </w:rPr>
        <w:t>ese Colocador Local</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afiliadas</w:t>
      </w:r>
      <w:r w:rsidR="00AC1B5F" w:rsidRPr="00EA7870">
        <w:rPr>
          <w:sz w:val="20"/>
          <w:szCs w:val="20"/>
          <w:lang w:val="es-AR"/>
        </w:rPr>
        <w:t>,</w:t>
      </w:r>
      <w:r w:rsidR="001A28B3" w:rsidRPr="00EA7870">
        <w:rPr>
          <w:sz w:val="20"/>
          <w:szCs w:val="20"/>
          <w:lang w:val="es-AR"/>
        </w:rPr>
        <w:t xml:space="preserve"> </w:t>
      </w:r>
      <w:r w:rsidR="00E06527" w:rsidRPr="00EA7870">
        <w:rPr>
          <w:sz w:val="20"/>
          <w:szCs w:val="20"/>
          <w:lang w:val="es-AR"/>
        </w:rPr>
        <w:t>podrán</w:t>
      </w:r>
      <w:r w:rsidR="001A28B3" w:rsidRPr="00EA7870">
        <w:rPr>
          <w:sz w:val="20"/>
          <w:szCs w:val="20"/>
          <w:lang w:val="es-AR"/>
        </w:rPr>
        <w:t xml:space="preserve"> </w:t>
      </w:r>
      <w:r w:rsidR="00E06527" w:rsidRPr="00EA7870">
        <w:rPr>
          <w:sz w:val="20"/>
          <w:szCs w:val="20"/>
          <w:lang w:val="es-AR"/>
        </w:rPr>
        <w:t>cubrir</w:t>
      </w:r>
      <w:r w:rsidR="001A28B3" w:rsidRPr="00EA7870">
        <w:rPr>
          <w:sz w:val="20"/>
          <w:szCs w:val="20"/>
          <w:lang w:val="es-AR"/>
        </w:rPr>
        <w:t xml:space="preserve"> </w:t>
      </w:r>
      <w:r w:rsidR="00E06527" w:rsidRPr="00EA7870">
        <w:rPr>
          <w:sz w:val="20"/>
          <w:szCs w:val="20"/>
          <w:lang w:val="es-AR"/>
        </w:rPr>
        <w:t>su</w:t>
      </w:r>
      <w:r w:rsidR="001A28B3" w:rsidRPr="00EA7870">
        <w:rPr>
          <w:sz w:val="20"/>
          <w:szCs w:val="20"/>
          <w:lang w:val="es-AR"/>
        </w:rPr>
        <w:t xml:space="preserve"> </w:t>
      </w:r>
      <w:r w:rsidR="00E06527" w:rsidRPr="00EA7870">
        <w:rPr>
          <w:sz w:val="20"/>
          <w:szCs w:val="20"/>
          <w:lang w:val="es-AR"/>
        </w:rPr>
        <w:t>riesgo</w:t>
      </w:r>
      <w:r w:rsidR="001A28B3" w:rsidRPr="00EA7870">
        <w:rPr>
          <w:sz w:val="20"/>
          <w:szCs w:val="20"/>
          <w:lang w:val="es-AR"/>
        </w:rPr>
        <w:t xml:space="preserve"> </w:t>
      </w:r>
      <w:r w:rsidR="00E06527" w:rsidRPr="00EA7870">
        <w:rPr>
          <w:sz w:val="20"/>
          <w:szCs w:val="20"/>
          <w:lang w:val="es-AR"/>
        </w:rPr>
        <w:t>crediticio</w:t>
      </w:r>
      <w:r w:rsidR="001A28B3" w:rsidRPr="00EA7870">
        <w:rPr>
          <w:sz w:val="20"/>
          <w:szCs w:val="20"/>
          <w:lang w:val="es-AR"/>
        </w:rPr>
        <w:t xml:space="preserve"> </w:t>
      </w:r>
      <w:r w:rsidR="00E06527" w:rsidRPr="00EA7870">
        <w:rPr>
          <w:sz w:val="20"/>
          <w:szCs w:val="20"/>
          <w:lang w:val="es-AR"/>
        </w:rPr>
        <w:t>respecto</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modo</w:t>
      </w:r>
      <w:r w:rsidR="001A28B3" w:rsidRPr="00EA7870">
        <w:rPr>
          <w:sz w:val="20"/>
          <w:szCs w:val="20"/>
          <w:lang w:val="es-AR"/>
        </w:rPr>
        <w:t xml:space="preserve"> </w:t>
      </w:r>
      <w:r w:rsidR="00E06527" w:rsidRPr="00EA7870">
        <w:rPr>
          <w:sz w:val="20"/>
          <w:szCs w:val="20"/>
          <w:lang w:val="es-AR"/>
        </w:rPr>
        <w:t>consistente</w:t>
      </w:r>
      <w:r w:rsidR="001A28B3" w:rsidRPr="00EA7870">
        <w:rPr>
          <w:sz w:val="20"/>
          <w:szCs w:val="20"/>
          <w:lang w:val="es-AR"/>
        </w:rPr>
        <w:t xml:space="preserve"> </w:t>
      </w:r>
      <w:r w:rsidR="00E06527" w:rsidRPr="00EA7870">
        <w:rPr>
          <w:sz w:val="20"/>
          <w:szCs w:val="20"/>
          <w:lang w:val="es-AR"/>
        </w:rPr>
        <w:t>con</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políticas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gestión</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riesgo</w:t>
      </w:r>
      <w:r w:rsidR="001A28B3" w:rsidRPr="00EA7870">
        <w:rPr>
          <w:sz w:val="20"/>
          <w:szCs w:val="20"/>
          <w:lang w:val="es-AR"/>
        </w:rPr>
        <w:t xml:space="preserve"> </w:t>
      </w:r>
      <w:r w:rsidR="00E06527" w:rsidRPr="00EA7870">
        <w:rPr>
          <w:sz w:val="20"/>
          <w:szCs w:val="20"/>
          <w:lang w:val="es-AR"/>
        </w:rPr>
        <w:t>habituales.</w:t>
      </w:r>
      <w:r w:rsidR="001A28B3" w:rsidRPr="00EA7870">
        <w:rPr>
          <w:sz w:val="20"/>
          <w:szCs w:val="20"/>
          <w:lang w:val="es-AR"/>
        </w:rPr>
        <w:t xml:space="preserve"> </w:t>
      </w:r>
      <w:r w:rsidR="00E06527" w:rsidRPr="00EA7870">
        <w:rPr>
          <w:sz w:val="20"/>
          <w:szCs w:val="20"/>
          <w:lang w:val="es-AR"/>
        </w:rPr>
        <w:t>Por</w:t>
      </w:r>
      <w:r w:rsidR="001A28B3" w:rsidRPr="00EA7870">
        <w:rPr>
          <w:sz w:val="20"/>
          <w:szCs w:val="20"/>
          <w:lang w:val="es-AR"/>
        </w:rPr>
        <w:t xml:space="preserve"> </w:t>
      </w:r>
      <w:r w:rsidR="00E06527" w:rsidRPr="00EA7870">
        <w:rPr>
          <w:sz w:val="20"/>
          <w:szCs w:val="20"/>
          <w:lang w:val="es-AR"/>
        </w:rPr>
        <w:t>lo</w:t>
      </w:r>
      <w:r w:rsidR="001A28B3" w:rsidRPr="00EA7870">
        <w:rPr>
          <w:sz w:val="20"/>
          <w:szCs w:val="20"/>
          <w:lang w:val="es-AR"/>
        </w:rPr>
        <w:t xml:space="preserve"> </w:t>
      </w:r>
      <w:r w:rsidR="00E06527" w:rsidRPr="00EA7870">
        <w:rPr>
          <w:sz w:val="20"/>
          <w:szCs w:val="20"/>
          <w:lang w:val="es-AR"/>
        </w:rPr>
        <w:t>general,</w:t>
      </w:r>
      <w:r w:rsidR="001A28B3" w:rsidRPr="00EA7870">
        <w:rPr>
          <w:sz w:val="20"/>
          <w:szCs w:val="20"/>
          <w:lang w:val="es-AR"/>
        </w:rPr>
        <w:t xml:space="preserve"> </w:t>
      </w:r>
      <w:r w:rsidR="00AE0D8E"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E06527" w:rsidRPr="00EA7870">
        <w:rPr>
          <w:sz w:val="20"/>
          <w:szCs w:val="20"/>
          <w:lang w:val="es-AR"/>
        </w:rPr>
        <w:t>,</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00E06527" w:rsidRPr="00EA7870">
        <w:rPr>
          <w:sz w:val="20"/>
          <w:szCs w:val="20"/>
          <w:lang w:val="es-AR"/>
        </w:rPr>
        <w:t>y</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afiliadas</w:t>
      </w:r>
      <w:r w:rsidR="001A28B3" w:rsidRPr="00EA7870">
        <w:rPr>
          <w:sz w:val="20"/>
          <w:szCs w:val="20"/>
          <w:lang w:val="es-AR"/>
        </w:rPr>
        <w:t xml:space="preserve"> </w:t>
      </w:r>
      <w:r w:rsidR="00E06527" w:rsidRPr="00EA7870">
        <w:rPr>
          <w:sz w:val="20"/>
          <w:szCs w:val="20"/>
          <w:lang w:val="es-AR"/>
        </w:rPr>
        <w:t>cubrirían</w:t>
      </w:r>
      <w:r w:rsidR="001A28B3" w:rsidRPr="00EA7870">
        <w:rPr>
          <w:sz w:val="20"/>
          <w:szCs w:val="20"/>
          <w:lang w:val="es-AR"/>
        </w:rPr>
        <w:t xml:space="preserve"> </w:t>
      </w:r>
      <w:r w:rsidR="00E06527" w:rsidRPr="00EA7870">
        <w:rPr>
          <w:sz w:val="20"/>
          <w:szCs w:val="20"/>
          <w:lang w:val="es-AR"/>
        </w:rPr>
        <w:t>su</w:t>
      </w:r>
      <w:r w:rsidR="001A28B3" w:rsidRPr="00EA7870">
        <w:rPr>
          <w:sz w:val="20"/>
          <w:szCs w:val="20"/>
          <w:lang w:val="es-AR"/>
        </w:rPr>
        <w:t xml:space="preserve"> </w:t>
      </w:r>
      <w:r w:rsidR="00E06527" w:rsidRPr="00EA7870">
        <w:rPr>
          <w:sz w:val="20"/>
          <w:szCs w:val="20"/>
          <w:lang w:val="es-AR"/>
        </w:rPr>
        <w:t>riesgo</w:t>
      </w:r>
      <w:r w:rsidR="001A28B3" w:rsidRPr="00EA7870">
        <w:rPr>
          <w:sz w:val="20"/>
          <w:szCs w:val="20"/>
          <w:lang w:val="es-AR"/>
        </w:rPr>
        <w:t xml:space="preserve"> </w:t>
      </w:r>
      <w:r w:rsidR="00E06527" w:rsidRPr="00EA7870">
        <w:rPr>
          <w:sz w:val="20"/>
          <w:szCs w:val="20"/>
          <w:lang w:val="es-AR"/>
        </w:rPr>
        <w:t>al</w:t>
      </w:r>
      <w:r w:rsidR="001A28B3" w:rsidRPr="00EA7870">
        <w:rPr>
          <w:sz w:val="20"/>
          <w:szCs w:val="20"/>
          <w:lang w:val="es-AR"/>
        </w:rPr>
        <w:t xml:space="preserve"> </w:t>
      </w:r>
      <w:r w:rsidR="00E06527" w:rsidRPr="00EA7870">
        <w:rPr>
          <w:sz w:val="20"/>
          <w:szCs w:val="20"/>
          <w:lang w:val="es-AR"/>
        </w:rPr>
        <w:t>celebrar</w:t>
      </w:r>
      <w:r w:rsidR="001A28B3" w:rsidRPr="00EA7870">
        <w:rPr>
          <w:sz w:val="20"/>
          <w:szCs w:val="20"/>
          <w:lang w:val="es-AR"/>
        </w:rPr>
        <w:t xml:space="preserve"> </w:t>
      </w:r>
      <w:r w:rsidR="00E06527" w:rsidRPr="00EA7870">
        <w:rPr>
          <w:sz w:val="20"/>
          <w:szCs w:val="20"/>
          <w:lang w:val="es-AR"/>
        </w:rPr>
        <w:t>transacciones</w:t>
      </w:r>
      <w:r w:rsidR="001A28B3" w:rsidRPr="00EA7870">
        <w:rPr>
          <w:sz w:val="20"/>
          <w:szCs w:val="20"/>
          <w:lang w:val="es-AR"/>
        </w:rPr>
        <w:t xml:space="preserve"> </w:t>
      </w:r>
      <w:r w:rsidR="00E06527" w:rsidRPr="00EA7870">
        <w:rPr>
          <w:sz w:val="20"/>
          <w:szCs w:val="20"/>
          <w:lang w:val="es-AR"/>
        </w:rPr>
        <w:t>que</w:t>
      </w:r>
      <w:r w:rsidR="001A28B3" w:rsidRPr="00EA7870">
        <w:rPr>
          <w:sz w:val="20"/>
          <w:szCs w:val="20"/>
          <w:lang w:val="es-AR"/>
        </w:rPr>
        <w:t xml:space="preserve"> </w:t>
      </w:r>
      <w:r w:rsidR="00E06527" w:rsidRPr="00EA7870">
        <w:rPr>
          <w:sz w:val="20"/>
          <w:szCs w:val="20"/>
          <w:lang w:val="es-AR"/>
        </w:rPr>
        <w:t>consisten</w:t>
      </w:r>
      <w:r w:rsidR="001A28B3" w:rsidRPr="00EA7870">
        <w:rPr>
          <w:sz w:val="20"/>
          <w:szCs w:val="20"/>
          <w:lang w:val="es-AR"/>
        </w:rPr>
        <w:t xml:space="preserve"> </w:t>
      </w:r>
      <w:r w:rsidR="00E06527" w:rsidRPr="00EA7870">
        <w:rPr>
          <w:sz w:val="20"/>
          <w:szCs w:val="20"/>
          <w:lang w:val="es-AR"/>
        </w:rPr>
        <w:t>tanto</w:t>
      </w:r>
      <w:r w:rsidR="001A28B3" w:rsidRPr="00EA7870">
        <w:rPr>
          <w:sz w:val="20"/>
          <w:szCs w:val="20"/>
          <w:lang w:val="es-AR"/>
        </w:rPr>
        <w:t xml:space="preserve"> </w:t>
      </w:r>
      <w:r w:rsidR="00E06527" w:rsidRPr="00EA7870">
        <w:rPr>
          <w:sz w:val="20"/>
          <w:szCs w:val="20"/>
          <w:lang w:val="es-AR"/>
        </w:rPr>
        <w:t>en</w:t>
      </w:r>
      <w:r w:rsidR="001A28B3" w:rsidRPr="00EA7870">
        <w:rPr>
          <w:sz w:val="20"/>
          <w:szCs w:val="20"/>
          <w:lang w:val="es-AR"/>
        </w:rPr>
        <w:t xml:space="preserve"> </w:t>
      </w:r>
      <w:r w:rsidR="00E06527" w:rsidRPr="00EA7870">
        <w:rPr>
          <w:sz w:val="20"/>
          <w:szCs w:val="20"/>
          <w:lang w:val="es-AR"/>
        </w:rPr>
        <w:t>la</w:t>
      </w:r>
      <w:r w:rsidR="001A28B3" w:rsidRPr="00EA7870">
        <w:rPr>
          <w:sz w:val="20"/>
          <w:szCs w:val="20"/>
          <w:lang w:val="es-AR"/>
        </w:rPr>
        <w:t xml:space="preserve"> </w:t>
      </w:r>
      <w:r w:rsidR="00E06527" w:rsidRPr="00EA7870">
        <w:rPr>
          <w:sz w:val="20"/>
          <w:szCs w:val="20"/>
          <w:lang w:val="es-AR"/>
        </w:rPr>
        <w:t>compra</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canjes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créditos</w:t>
      </w:r>
      <w:r w:rsidR="001A28B3" w:rsidRPr="00EA7870">
        <w:rPr>
          <w:sz w:val="20"/>
          <w:szCs w:val="20"/>
          <w:lang w:val="es-AR"/>
        </w:rPr>
        <w:t xml:space="preserve"> </w:t>
      </w:r>
      <w:r w:rsidR="00E06527" w:rsidRPr="00EA7870">
        <w:rPr>
          <w:sz w:val="20"/>
          <w:szCs w:val="20"/>
          <w:lang w:val="es-AR"/>
        </w:rPr>
        <w:t>en</w:t>
      </w:r>
      <w:r w:rsidR="001A28B3" w:rsidRPr="00EA7870">
        <w:rPr>
          <w:sz w:val="20"/>
          <w:szCs w:val="20"/>
          <w:lang w:val="es-AR"/>
        </w:rPr>
        <w:t xml:space="preserve"> </w:t>
      </w:r>
      <w:r w:rsidR="00E06527" w:rsidRPr="00EA7870">
        <w:rPr>
          <w:sz w:val="20"/>
          <w:szCs w:val="20"/>
          <w:lang w:val="es-AR"/>
        </w:rPr>
        <w:t>mora</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la</w:t>
      </w:r>
      <w:r w:rsidR="001A28B3" w:rsidRPr="00EA7870">
        <w:rPr>
          <w:sz w:val="20"/>
          <w:szCs w:val="20"/>
          <w:lang w:val="es-AR"/>
        </w:rPr>
        <w:t xml:space="preserve"> </w:t>
      </w:r>
      <w:r w:rsidR="00E06527" w:rsidRPr="00EA7870">
        <w:rPr>
          <w:sz w:val="20"/>
          <w:szCs w:val="20"/>
          <w:lang w:val="es-AR"/>
        </w:rPr>
        <w:t>creación</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posiciones</w:t>
      </w:r>
      <w:r w:rsidR="001A28B3" w:rsidRPr="00EA7870">
        <w:rPr>
          <w:sz w:val="20"/>
          <w:szCs w:val="20"/>
          <w:lang w:val="es-AR"/>
        </w:rPr>
        <w:t xml:space="preserve"> </w:t>
      </w:r>
      <w:r w:rsidR="00E06527" w:rsidRPr="00EA7870">
        <w:rPr>
          <w:sz w:val="20"/>
          <w:szCs w:val="20"/>
          <w:lang w:val="es-AR"/>
        </w:rPr>
        <w:t>cortas</w:t>
      </w:r>
      <w:r w:rsidR="001A28B3" w:rsidRPr="00EA7870">
        <w:rPr>
          <w:sz w:val="20"/>
          <w:szCs w:val="20"/>
          <w:lang w:val="es-AR"/>
        </w:rPr>
        <w:t xml:space="preserve"> </w:t>
      </w:r>
      <w:r w:rsidR="00E06527" w:rsidRPr="00EA7870">
        <w:rPr>
          <w:sz w:val="20"/>
          <w:szCs w:val="20"/>
          <w:lang w:val="es-AR"/>
        </w:rPr>
        <w:t>en</w:t>
      </w:r>
      <w:r w:rsidR="001A28B3" w:rsidRPr="00EA7870">
        <w:rPr>
          <w:sz w:val="20"/>
          <w:szCs w:val="20"/>
          <w:lang w:val="es-AR"/>
        </w:rPr>
        <w:t xml:space="preserve"> </w:t>
      </w:r>
      <w:r w:rsidR="00E06527" w:rsidRPr="00EA7870">
        <w:rPr>
          <w:sz w:val="20"/>
          <w:szCs w:val="20"/>
          <w:lang w:val="es-AR"/>
        </w:rPr>
        <w:t>los</w:t>
      </w:r>
      <w:r w:rsidR="001A28B3" w:rsidRPr="00EA7870">
        <w:rPr>
          <w:sz w:val="20"/>
          <w:szCs w:val="20"/>
          <w:lang w:val="es-AR"/>
        </w:rPr>
        <w:t xml:space="preserve"> </w:t>
      </w:r>
      <w:r w:rsidR="00E06527" w:rsidRPr="00EA7870">
        <w:rPr>
          <w:sz w:val="20"/>
          <w:szCs w:val="20"/>
          <w:lang w:val="es-AR"/>
        </w:rPr>
        <w:t>títulos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participación</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00E06527" w:rsidRPr="00EA7870">
        <w:rPr>
          <w:sz w:val="20"/>
          <w:szCs w:val="20"/>
          <w:lang w:val="es-AR"/>
        </w:rPr>
        <w:t>,</w:t>
      </w:r>
      <w:r w:rsidR="001A28B3" w:rsidRPr="00EA7870">
        <w:rPr>
          <w:sz w:val="20"/>
          <w:szCs w:val="20"/>
          <w:lang w:val="es-AR"/>
        </w:rPr>
        <w:t xml:space="preserve"> </w:t>
      </w:r>
      <w:r w:rsidR="00E06527" w:rsidRPr="00EA7870">
        <w:rPr>
          <w:sz w:val="20"/>
          <w:szCs w:val="20"/>
          <w:lang w:val="es-AR"/>
        </w:rPr>
        <w:t>incluyendo</w:t>
      </w:r>
      <w:r w:rsidR="001A28B3" w:rsidRPr="00EA7870">
        <w:rPr>
          <w:sz w:val="20"/>
          <w:szCs w:val="20"/>
          <w:lang w:val="es-AR"/>
        </w:rPr>
        <w:t xml:space="preserve"> </w:t>
      </w:r>
      <w:r w:rsidR="00E06527" w:rsidRPr="00EA7870">
        <w:rPr>
          <w:sz w:val="20"/>
          <w:szCs w:val="20"/>
          <w:lang w:val="es-AR"/>
        </w:rPr>
        <w:t>las</w:t>
      </w:r>
      <w:r w:rsidR="001A28B3" w:rsidRPr="00EA7870">
        <w:rPr>
          <w:sz w:val="20"/>
          <w:szCs w:val="20"/>
          <w:lang w:val="es-AR"/>
        </w:rPr>
        <w:t xml:space="preserve"> </w:t>
      </w:r>
      <w:r w:rsidR="00E06527" w:rsidRPr="00EA7870">
        <w:rPr>
          <w:sz w:val="20"/>
          <w:szCs w:val="20"/>
          <w:lang w:val="es-AR"/>
        </w:rPr>
        <w:t>obligaciones</w:t>
      </w:r>
      <w:r w:rsidR="001A28B3" w:rsidRPr="00EA7870">
        <w:rPr>
          <w:sz w:val="20"/>
          <w:szCs w:val="20"/>
          <w:lang w:val="es-AR"/>
        </w:rPr>
        <w:t xml:space="preserve"> </w:t>
      </w:r>
      <w:r w:rsidR="00E06527" w:rsidRPr="00EA7870">
        <w:rPr>
          <w:sz w:val="20"/>
          <w:szCs w:val="20"/>
          <w:lang w:val="es-AR"/>
        </w:rPr>
        <w:t>negociables</w:t>
      </w:r>
      <w:r w:rsidR="001A28B3" w:rsidRPr="00EA7870">
        <w:rPr>
          <w:sz w:val="20"/>
          <w:szCs w:val="20"/>
          <w:lang w:val="es-AR"/>
        </w:rPr>
        <w:t xml:space="preserve"> </w:t>
      </w:r>
      <w:r w:rsidR="00E06527" w:rsidRPr="00EA7870">
        <w:rPr>
          <w:sz w:val="20"/>
          <w:szCs w:val="20"/>
          <w:lang w:val="es-AR"/>
        </w:rPr>
        <w:t>ofrecidas</w:t>
      </w:r>
      <w:r w:rsidR="001A28B3" w:rsidRPr="00EA7870">
        <w:rPr>
          <w:sz w:val="20"/>
          <w:szCs w:val="20"/>
          <w:lang w:val="es-AR"/>
        </w:rPr>
        <w:t xml:space="preserve"> </w:t>
      </w:r>
      <w:r w:rsidR="00E06527" w:rsidRPr="00EA7870">
        <w:rPr>
          <w:sz w:val="20"/>
          <w:szCs w:val="20"/>
          <w:lang w:val="es-AR"/>
        </w:rPr>
        <w:t>por</w:t>
      </w:r>
      <w:r w:rsidR="001A28B3" w:rsidRPr="00EA7870">
        <w:rPr>
          <w:sz w:val="20"/>
          <w:szCs w:val="20"/>
          <w:lang w:val="es-AR"/>
        </w:rPr>
        <w:t xml:space="preserve"> </w:t>
      </w:r>
      <w:r w:rsidR="00E06527" w:rsidRPr="00EA7870">
        <w:rPr>
          <w:sz w:val="20"/>
          <w:szCs w:val="20"/>
          <w:lang w:val="es-AR"/>
        </w:rPr>
        <w:t>el</w:t>
      </w:r>
      <w:r w:rsidR="001A28B3" w:rsidRPr="00EA7870">
        <w:rPr>
          <w:sz w:val="20"/>
          <w:szCs w:val="20"/>
          <w:lang w:val="es-AR"/>
        </w:rPr>
        <w:t xml:space="preserve"> </w:t>
      </w:r>
      <w:r w:rsidR="00E06527" w:rsidRPr="00EA7870">
        <w:rPr>
          <w:sz w:val="20"/>
          <w:szCs w:val="20"/>
          <w:lang w:val="es-AR"/>
        </w:rPr>
        <w:t>presente.</w:t>
      </w:r>
      <w:r w:rsidR="001A28B3" w:rsidRPr="00EA7870">
        <w:rPr>
          <w:sz w:val="20"/>
          <w:szCs w:val="20"/>
          <w:lang w:val="es-AR"/>
        </w:rPr>
        <w:t xml:space="preserve"> </w:t>
      </w:r>
      <w:r w:rsidR="00E06527" w:rsidRPr="00EA7870">
        <w:rPr>
          <w:sz w:val="20"/>
          <w:szCs w:val="20"/>
          <w:lang w:val="es-AR"/>
        </w:rPr>
        <w:t>Tales</w:t>
      </w:r>
      <w:r w:rsidR="001A28B3" w:rsidRPr="00EA7870">
        <w:rPr>
          <w:sz w:val="20"/>
          <w:szCs w:val="20"/>
          <w:lang w:val="es-AR"/>
        </w:rPr>
        <w:t xml:space="preserve"> </w:t>
      </w:r>
      <w:r w:rsidR="00E06527" w:rsidRPr="00EA7870">
        <w:rPr>
          <w:sz w:val="20"/>
          <w:szCs w:val="20"/>
          <w:lang w:val="es-AR"/>
        </w:rPr>
        <w:t>canjes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créditos</w:t>
      </w:r>
      <w:r w:rsidR="001A28B3" w:rsidRPr="00EA7870">
        <w:rPr>
          <w:sz w:val="20"/>
          <w:szCs w:val="20"/>
          <w:lang w:val="es-AR"/>
        </w:rPr>
        <w:t xml:space="preserve"> </w:t>
      </w:r>
      <w:r w:rsidR="00E06527" w:rsidRPr="00EA7870">
        <w:rPr>
          <w:sz w:val="20"/>
          <w:szCs w:val="20"/>
          <w:lang w:val="es-AR"/>
        </w:rPr>
        <w:t>en</w:t>
      </w:r>
      <w:r w:rsidR="001A28B3" w:rsidRPr="00EA7870">
        <w:rPr>
          <w:sz w:val="20"/>
          <w:szCs w:val="20"/>
          <w:lang w:val="es-AR"/>
        </w:rPr>
        <w:t xml:space="preserve"> </w:t>
      </w:r>
      <w:r w:rsidR="00E06527" w:rsidRPr="00EA7870">
        <w:rPr>
          <w:sz w:val="20"/>
          <w:szCs w:val="20"/>
          <w:lang w:val="es-AR"/>
        </w:rPr>
        <w:t>mora</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posiciones</w:t>
      </w:r>
      <w:r w:rsidR="001A28B3" w:rsidRPr="00EA7870">
        <w:rPr>
          <w:sz w:val="20"/>
          <w:szCs w:val="20"/>
          <w:lang w:val="es-AR"/>
        </w:rPr>
        <w:t xml:space="preserve"> </w:t>
      </w:r>
      <w:r w:rsidR="00E06527" w:rsidRPr="00EA7870">
        <w:rPr>
          <w:sz w:val="20"/>
          <w:szCs w:val="20"/>
          <w:lang w:val="es-AR"/>
        </w:rPr>
        <w:t>cortas</w:t>
      </w:r>
      <w:r w:rsidR="001A28B3" w:rsidRPr="00EA7870">
        <w:rPr>
          <w:sz w:val="20"/>
          <w:szCs w:val="20"/>
          <w:lang w:val="es-AR"/>
        </w:rPr>
        <w:t xml:space="preserve"> </w:t>
      </w:r>
      <w:r w:rsidR="00E06527" w:rsidRPr="00EA7870">
        <w:rPr>
          <w:sz w:val="20"/>
          <w:szCs w:val="20"/>
          <w:lang w:val="es-AR"/>
        </w:rPr>
        <w:t>podrían</w:t>
      </w:r>
      <w:r w:rsidR="001A28B3" w:rsidRPr="00EA7870">
        <w:rPr>
          <w:sz w:val="20"/>
          <w:szCs w:val="20"/>
          <w:lang w:val="es-AR"/>
        </w:rPr>
        <w:t xml:space="preserve"> </w:t>
      </w:r>
      <w:r w:rsidR="00E06527" w:rsidRPr="00EA7870">
        <w:rPr>
          <w:sz w:val="20"/>
          <w:szCs w:val="20"/>
          <w:lang w:val="es-AR"/>
        </w:rPr>
        <w:t>afectar</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modo</w:t>
      </w:r>
      <w:r w:rsidR="001A28B3" w:rsidRPr="00EA7870">
        <w:rPr>
          <w:sz w:val="20"/>
          <w:szCs w:val="20"/>
          <w:lang w:val="es-AR"/>
        </w:rPr>
        <w:t xml:space="preserve"> </w:t>
      </w:r>
      <w:r w:rsidR="00E06527" w:rsidRPr="00EA7870">
        <w:rPr>
          <w:sz w:val="20"/>
          <w:szCs w:val="20"/>
          <w:lang w:val="es-AR"/>
        </w:rPr>
        <w:t>negativo</w:t>
      </w:r>
      <w:r w:rsidR="001A28B3" w:rsidRPr="00EA7870">
        <w:rPr>
          <w:sz w:val="20"/>
          <w:szCs w:val="20"/>
          <w:lang w:val="es-AR"/>
        </w:rPr>
        <w:t xml:space="preserve"> </w:t>
      </w:r>
      <w:r w:rsidR="00E06527" w:rsidRPr="00EA7870">
        <w:rPr>
          <w:sz w:val="20"/>
          <w:szCs w:val="20"/>
          <w:lang w:val="es-AR"/>
        </w:rPr>
        <w:t>los</w:t>
      </w:r>
      <w:r w:rsidR="001A28B3" w:rsidRPr="00EA7870">
        <w:rPr>
          <w:sz w:val="20"/>
          <w:szCs w:val="20"/>
          <w:lang w:val="es-AR"/>
        </w:rPr>
        <w:t xml:space="preserve"> </w:t>
      </w:r>
      <w:r w:rsidR="00E06527" w:rsidRPr="00EA7870">
        <w:rPr>
          <w:sz w:val="20"/>
          <w:szCs w:val="20"/>
          <w:lang w:val="es-AR"/>
        </w:rPr>
        <w:t>precios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comercialización</w:t>
      </w:r>
      <w:r w:rsidR="001A28B3" w:rsidRPr="00EA7870">
        <w:rPr>
          <w:sz w:val="20"/>
          <w:szCs w:val="20"/>
          <w:lang w:val="es-AR"/>
        </w:rPr>
        <w:t xml:space="preserve"> </w:t>
      </w:r>
      <w:r w:rsidR="00E06527" w:rsidRPr="00EA7870">
        <w:rPr>
          <w:sz w:val="20"/>
          <w:szCs w:val="20"/>
          <w:lang w:val="es-AR"/>
        </w:rPr>
        <w:t>futuros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las</w:t>
      </w:r>
      <w:r w:rsidR="001A28B3" w:rsidRPr="00EA7870">
        <w:rPr>
          <w:sz w:val="20"/>
          <w:szCs w:val="20"/>
          <w:lang w:val="es-AR"/>
        </w:rPr>
        <w:t xml:space="preserve"> </w:t>
      </w:r>
      <w:r w:rsidR="00E06527" w:rsidRPr="00EA7870">
        <w:rPr>
          <w:sz w:val="20"/>
          <w:szCs w:val="20"/>
          <w:lang w:val="es-AR"/>
        </w:rPr>
        <w:t>obligaciones</w:t>
      </w:r>
      <w:r w:rsidR="001A28B3" w:rsidRPr="00EA7870">
        <w:rPr>
          <w:sz w:val="20"/>
          <w:szCs w:val="20"/>
          <w:lang w:val="es-AR"/>
        </w:rPr>
        <w:t xml:space="preserve"> </w:t>
      </w:r>
      <w:r w:rsidR="00E06527" w:rsidRPr="00EA7870">
        <w:rPr>
          <w:sz w:val="20"/>
          <w:szCs w:val="20"/>
          <w:lang w:val="es-AR"/>
        </w:rPr>
        <w:t>negociables</w:t>
      </w:r>
      <w:r w:rsidR="001A28B3" w:rsidRPr="00EA7870">
        <w:rPr>
          <w:sz w:val="20"/>
          <w:szCs w:val="20"/>
          <w:lang w:val="es-AR"/>
        </w:rPr>
        <w:t xml:space="preserve"> </w:t>
      </w:r>
      <w:r w:rsidR="00E06527" w:rsidRPr="00EA7870">
        <w:rPr>
          <w:sz w:val="20"/>
          <w:szCs w:val="20"/>
          <w:lang w:val="es-AR"/>
        </w:rPr>
        <w:t>que</w:t>
      </w:r>
      <w:r w:rsidR="001A28B3" w:rsidRPr="00EA7870">
        <w:rPr>
          <w:sz w:val="20"/>
          <w:szCs w:val="20"/>
          <w:lang w:val="es-AR"/>
        </w:rPr>
        <w:t xml:space="preserve"> </w:t>
      </w:r>
      <w:r w:rsidR="00E06527" w:rsidRPr="00EA7870">
        <w:rPr>
          <w:sz w:val="20"/>
          <w:szCs w:val="20"/>
          <w:lang w:val="es-AR"/>
        </w:rPr>
        <w:t>se</w:t>
      </w:r>
      <w:r w:rsidR="001A28B3" w:rsidRPr="00EA7870">
        <w:rPr>
          <w:sz w:val="20"/>
          <w:szCs w:val="20"/>
          <w:lang w:val="es-AR"/>
        </w:rPr>
        <w:t xml:space="preserve"> </w:t>
      </w:r>
      <w:r w:rsidR="00E06527" w:rsidRPr="00EA7870">
        <w:rPr>
          <w:sz w:val="20"/>
          <w:szCs w:val="20"/>
          <w:lang w:val="es-AR"/>
        </w:rPr>
        <w:t>ofertan</w:t>
      </w:r>
      <w:r w:rsidR="001A28B3" w:rsidRPr="00EA7870">
        <w:rPr>
          <w:sz w:val="20"/>
          <w:szCs w:val="20"/>
          <w:lang w:val="es-AR"/>
        </w:rPr>
        <w:t xml:space="preserve"> </w:t>
      </w:r>
      <w:r w:rsidR="00E06527" w:rsidRPr="00EA7870">
        <w:rPr>
          <w:sz w:val="20"/>
          <w:szCs w:val="20"/>
          <w:lang w:val="es-AR"/>
        </w:rPr>
        <w:t>en</w:t>
      </w:r>
      <w:r w:rsidR="001A28B3" w:rsidRPr="00EA7870">
        <w:rPr>
          <w:sz w:val="20"/>
          <w:szCs w:val="20"/>
          <w:lang w:val="es-AR"/>
        </w:rPr>
        <w:t xml:space="preserve"> </w:t>
      </w:r>
      <w:r w:rsidR="00E06527" w:rsidRPr="00EA7870">
        <w:rPr>
          <w:sz w:val="20"/>
          <w:szCs w:val="20"/>
          <w:lang w:val="es-AR"/>
        </w:rPr>
        <w:t>este</w:t>
      </w:r>
      <w:r w:rsidR="001A28B3" w:rsidRPr="00EA7870">
        <w:rPr>
          <w:sz w:val="20"/>
          <w:szCs w:val="20"/>
          <w:lang w:val="es-AR"/>
        </w:rPr>
        <w:t xml:space="preserve"> </w:t>
      </w:r>
      <w:r w:rsidR="00E06527" w:rsidRPr="00EA7870">
        <w:rPr>
          <w:sz w:val="20"/>
          <w:szCs w:val="20"/>
          <w:lang w:val="es-AR"/>
        </w:rPr>
        <w:t>documento.</w:t>
      </w:r>
      <w:r w:rsidR="001A28B3" w:rsidRPr="00EA7870">
        <w:rPr>
          <w:sz w:val="20"/>
          <w:szCs w:val="20"/>
          <w:lang w:val="es-AR"/>
        </w:rPr>
        <w:t xml:space="preserve"> </w:t>
      </w:r>
      <w:r w:rsidR="00E06527"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E06527" w:rsidRPr="00EA7870">
        <w:rPr>
          <w:sz w:val="20"/>
          <w:szCs w:val="20"/>
          <w:lang w:val="es-AR"/>
        </w:rPr>
        <w:t>,</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00E06527" w:rsidRPr="00EA7870">
        <w:rPr>
          <w:sz w:val="20"/>
          <w:szCs w:val="20"/>
          <w:lang w:val="es-AR"/>
        </w:rPr>
        <w:t>y</w:t>
      </w:r>
      <w:r w:rsidR="001A28B3" w:rsidRPr="00EA7870">
        <w:rPr>
          <w:sz w:val="20"/>
          <w:szCs w:val="20"/>
          <w:lang w:val="es-AR"/>
        </w:rPr>
        <w:t xml:space="preserve"> </w:t>
      </w:r>
      <w:r w:rsidR="00E06527" w:rsidRPr="00EA7870">
        <w:rPr>
          <w:sz w:val="20"/>
          <w:szCs w:val="20"/>
          <w:lang w:val="es-AR"/>
        </w:rPr>
        <w:t>sus</w:t>
      </w:r>
      <w:r w:rsidR="001A28B3" w:rsidRPr="00EA7870">
        <w:rPr>
          <w:sz w:val="20"/>
          <w:szCs w:val="20"/>
          <w:lang w:val="es-AR"/>
        </w:rPr>
        <w:t xml:space="preserve"> </w:t>
      </w:r>
      <w:r w:rsidR="00E06527" w:rsidRPr="00EA7870">
        <w:rPr>
          <w:sz w:val="20"/>
          <w:szCs w:val="20"/>
          <w:lang w:val="es-AR"/>
        </w:rPr>
        <w:t>afiliadas</w:t>
      </w:r>
      <w:r w:rsidR="001A28B3" w:rsidRPr="00EA7870">
        <w:rPr>
          <w:sz w:val="20"/>
          <w:szCs w:val="20"/>
          <w:lang w:val="es-AR"/>
        </w:rPr>
        <w:t xml:space="preserve"> </w:t>
      </w:r>
      <w:r w:rsidR="00E06527" w:rsidRPr="00EA7870">
        <w:rPr>
          <w:sz w:val="20"/>
          <w:szCs w:val="20"/>
          <w:lang w:val="es-AR"/>
        </w:rPr>
        <w:t>podrán</w:t>
      </w:r>
      <w:r w:rsidR="001A28B3" w:rsidRPr="00EA7870">
        <w:rPr>
          <w:sz w:val="20"/>
          <w:szCs w:val="20"/>
          <w:lang w:val="es-AR"/>
        </w:rPr>
        <w:t xml:space="preserve"> </w:t>
      </w:r>
      <w:r w:rsidR="00E06527" w:rsidRPr="00EA7870">
        <w:rPr>
          <w:sz w:val="20"/>
          <w:szCs w:val="20"/>
          <w:lang w:val="es-AR"/>
        </w:rPr>
        <w:t>también</w:t>
      </w:r>
      <w:r w:rsidR="001A28B3" w:rsidRPr="00EA7870">
        <w:rPr>
          <w:sz w:val="20"/>
          <w:szCs w:val="20"/>
          <w:lang w:val="es-AR"/>
        </w:rPr>
        <w:t xml:space="preserve"> </w:t>
      </w:r>
      <w:r w:rsidR="00E06527" w:rsidRPr="00EA7870">
        <w:rPr>
          <w:sz w:val="20"/>
          <w:szCs w:val="20"/>
          <w:lang w:val="es-AR"/>
        </w:rPr>
        <w:t>recomendar</w:t>
      </w:r>
      <w:r w:rsidR="001A28B3" w:rsidRPr="00EA7870">
        <w:rPr>
          <w:sz w:val="20"/>
          <w:szCs w:val="20"/>
          <w:lang w:val="es-AR"/>
        </w:rPr>
        <w:t xml:space="preserve"> </w:t>
      </w:r>
      <w:r w:rsidR="00E06527" w:rsidRPr="00EA7870">
        <w:rPr>
          <w:sz w:val="20"/>
          <w:szCs w:val="20"/>
          <w:lang w:val="es-AR"/>
        </w:rPr>
        <w:t>inversiones</w:t>
      </w:r>
      <w:r w:rsidR="001A28B3" w:rsidRPr="00EA7870">
        <w:rPr>
          <w:sz w:val="20"/>
          <w:szCs w:val="20"/>
          <w:lang w:val="es-AR"/>
        </w:rPr>
        <w:t xml:space="preserve"> </w:t>
      </w:r>
      <w:r w:rsidR="00E06527" w:rsidRPr="00EA7870">
        <w:rPr>
          <w:sz w:val="20"/>
          <w:szCs w:val="20"/>
          <w:lang w:val="es-AR"/>
        </w:rPr>
        <w:t>y/o</w:t>
      </w:r>
      <w:r w:rsidR="001A28B3" w:rsidRPr="00EA7870">
        <w:rPr>
          <w:sz w:val="20"/>
          <w:szCs w:val="20"/>
          <w:lang w:val="es-AR"/>
        </w:rPr>
        <w:t xml:space="preserve"> </w:t>
      </w:r>
      <w:r w:rsidR="00E06527" w:rsidRPr="00EA7870">
        <w:rPr>
          <w:sz w:val="20"/>
          <w:szCs w:val="20"/>
          <w:lang w:val="es-AR"/>
        </w:rPr>
        <w:t>publicar</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expresar</w:t>
      </w:r>
      <w:r w:rsidR="001A28B3" w:rsidRPr="00EA7870">
        <w:rPr>
          <w:sz w:val="20"/>
          <w:szCs w:val="20"/>
          <w:lang w:val="es-AR"/>
        </w:rPr>
        <w:t xml:space="preserve"> </w:t>
      </w:r>
      <w:r w:rsidR="00E06527" w:rsidRPr="00EA7870">
        <w:rPr>
          <w:sz w:val="20"/>
          <w:szCs w:val="20"/>
          <w:lang w:val="es-AR"/>
        </w:rPr>
        <w:t>puntos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vista</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investigaciones</w:t>
      </w:r>
      <w:r w:rsidR="001A28B3" w:rsidRPr="00EA7870">
        <w:rPr>
          <w:sz w:val="20"/>
          <w:szCs w:val="20"/>
          <w:lang w:val="es-AR"/>
        </w:rPr>
        <w:t xml:space="preserve"> </w:t>
      </w:r>
      <w:r w:rsidR="00E06527" w:rsidRPr="00EA7870">
        <w:rPr>
          <w:sz w:val="20"/>
          <w:szCs w:val="20"/>
          <w:lang w:val="es-AR"/>
        </w:rPr>
        <w:t>independientes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dichos</w:t>
      </w:r>
      <w:r w:rsidR="001A28B3" w:rsidRPr="00EA7870">
        <w:rPr>
          <w:sz w:val="20"/>
          <w:szCs w:val="20"/>
          <w:lang w:val="es-AR"/>
        </w:rPr>
        <w:t xml:space="preserve"> </w:t>
      </w:r>
      <w:r w:rsidR="00E06527" w:rsidRPr="00EA7870">
        <w:rPr>
          <w:sz w:val="20"/>
          <w:szCs w:val="20"/>
          <w:lang w:val="es-AR"/>
        </w:rPr>
        <w:t>títulos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deuda</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instrumentos</w:t>
      </w:r>
      <w:r w:rsidR="001A28B3" w:rsidRPr="00EA7870">
        <w:rPr>
          <w:sz w:val="20"/>
          <w:szCs w:val="20"/>
          <w:lang w:val="es-AR"/>
        </w:rPr>
        <w:t xml:space="preserve"> </w:t>
      </w:r>
      <w:r w:rsidR="00E06527" w:rsidRPr="00EA7870">
        <w:rPr>
          <w:sz w:val="20"/>
          <w:szCs w:val="20"/>
          <w:lang w:val="es-AR"/>
        </w:rPr>
        <w:t>financieros</w:t>
      </w:r>
      <w:r w:rsidR="001A28B3" w:rsidRPr="00EA7870">
        <w:rPr>
          <w:sz w:val="20"/>
          <w:szCs w:val="20"/>
          <w:lang w:val="es-AR"/>
        </w:rPr>
        <w:t xml:space="preserve"> </w:t>
      </w:r>
      <w:r w:rsidR="00E06527" w:rsidRPr="00EA7870">
        <w:rPr>
          <w:sz w:val="20"/>
          <w:szCs w:val="20"/>
          <w:lang w:val="es-AR"/>
        </w:rPr>
        <w:t>y</w:t>
      </w:r>
      <w:r w:rsidR="001A28B3" w:rsidRPr="00EA7870">
        <w:rPr>
          <w:sz w:val="20"/>
          <w:szCs w:val="20"/>
          <w:lang w:val="es-AR"/>
        </w:rPr>
        <w:t xml:space="preserve"> </w:t>
      </w:r>
      <w:r w:rsidR="00E06527" w:rsidRPr="00EA7870">
        <w:rPr>
          <w:sz w:val="20"/>
          <w:szCs w:val="20"/>
          <w:lang w:val="es-AR"/>
        </w:rPr>
        <w:t>podrán</w:t>
      </w:r>
      <w:r w:rsidR="001A28B3" w:rsidRPr="00EA7870">
        <w:rPr>
          <w:sz w:val="20"/>
          <w:szCs w:val="20"/>
          <w:lang w:val="es-AR"/>
        </w:rPr>
        <w:t xml:space="preserve"> </w:t>
      </w:r>
      <w:r w:rsidR="00E06527" w:rsidRPr="00EA7870">
        <w:rPr>
          <w:sz w:val="20"/>
          <w:szCs w:val="20"/>
          <w:lang w:val="es-AR"/>
        </w:rPr>
        <w:t>mantener</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recomendarle</w:t>
      </w:r>
      <w:r w:rsidR="001A28B3" w:rsidRPr="00EA7870">
        <w:rPr>
          <w:sz w:val="20"/>
          <w:szCs w:val="20"/>
          <w:lang w:val="es-AR"/>
        </w:rPr>
        <w:t xml:space="preserve"> </w:t>
      </w:r>
      <w:r w:rsidR="00E06527" w:rsidRPr="00EA7870">
        <w:rPr>
          <w:sz w:val="20"/>
          <w:szCs w:val="20"/>
          <w:lang w:val="es-AR"/>
        </w:rPr>
        <w:t>a</w:t>
      </w:r>
      <w:r w:rsidR="001A28B3" w:rsidRPr="00EA7870">
        <w:rPr>
          <w:sz w:val="20"/>
          <w:szCs w:val="20"/>
          <w:lang w:val="es-AR"/>
        </w:rPr>
        <w:t xml:space="preserve"> </w:t>
      </w:r>
      <w:r w:rsidR="00E06527" w:rsidRPr="00EA7870">
        <w:rPr>
          <w:sz w:val="20"/>
          <w:szCs w:val="20"/>
          <w:lang w:val="es-AR"/>
        </w:rPr>
        <w:t>los</w:t>
      </w:r>
      <w:r w:rsidR="001A28B3" w:rsidRPr="00EA7870">
        <w:rPr>
          <w:sz w:val="20"/>
          <w:szCs w:val="20"/>
          <w:lang w:val="es-AR"/>
        </w:rPr>
        <w:t xml:space="preserve"> </w:t>
      </w:r>
      <w:r w:rsidR="00E06527" w:rsidRPr="00EA7870">
        <w:rPr>
          <w:sz w:val="20"/>
          <w:szCs w:val="20"/>
          <w:lang w:val="es-AR"/>
        </w:rPr>
        <w:t>clientes</w:t>
      </w:r>
      <w:r w:rsidR="001A28B3" w:rsidRPr="00EA7870">
        <w:rPr>
          <w:sz w:val="20"/>
          <w:szCs w:val="20"/>
          <w:lang w:val="es-AR"/>
        </w:rPr>
        <w:t xml:space="preserve"> </w:t>
      </w:r>
      <w:r w:rsidR="00E06527" w:rsidRPr="00EA7870">
        <w:rPr>
          <w:sz w:val="20"/>
          <w:szCs w:val="20"/>
          <w:lang w:val="es-AR"/>
        </w:rPr>
        <w:t>que</w:t>
      </w:r>
      <w:r w:rsidR="001A28B3" w:rsidRPr="00EA7870">
        <w:rPr>
          <w:sz w:val="20"/>
          <w:szCs w:val="20"/>
          <w:lang w:val="es-AR"/>
        </w:rPr>
        <w:t xml:space="preserve"> </w:t>
      </w:r>
      <w:r w:rsidR="00E06527" w:rsidRPr="00EA7870">
        <w:rPr>
          <w:sz w:val="20"/>
          <w:szCs w:val="20"/>
          <w:lang w:val="es-AR"/>
        </w:rPr>
        <w:t>adquieran,</w:t>
      </w:r>
      <w:r w:rsidR="001A28B3" w:rsidRPr="00EA7870">
        <w:rPr>
          <w:sz w:val="20"/>
          <w:szCs w:val="20"/>
          <w:lang w:val="es-AR"/>
        </w:rPr>
        <w:t xml:space="preserve"> </w:t>
      </w:r>
      <w:r w:rsidR="00E06527" w:rsidRPr="00EA7870">
        <w:rPr>
          <w:sz w:val="20"/>
          <w:szCs w:val="20"/>
          <w:lang w:val="es-AR"/>
        </w:rPr>
        <w:t>las</w:t>
      </w:r>
      <w:r w:rsidR="001A28B3" w:rsidRPr="00EA7870">
        <w:rPr>
          <w:sz w:val="20"/>
          <w:szCs w:val="20"/>
          <w:lang w:val="es-AR"/>
        </w:rPr>
        <w:t xml:space="preserve"> </w:t>
      </w:r>
      <w:r w:rsidR="00E06527" w:rsidRPr="00EA7870">
        <w:rPr>
          <w:sz w:val="20"/>
          <w:szCs w:val="20"/>
          <w:lang w:val="es-AR"/>
        </w:rPr>
        <w:t>posiciones</w:t>
      </w:r>
      <w:r w:rsidR="001A28B3" w:rsidRPr="00EA7870">
        <w:rPr>
          <w:sz w:val="20"/>
          <w:szCs w:val="20"/>
          <w:lang w:val="es-AR"/>
        </w:rPr>
        <w:t xml:space="preserve"> </w:t>
      </w:r>
      <w:r w:rsidR="00E06527" w:rsidRPr="00EA7870">
        <w:rPr>
          <w:sz w:val="20"/>
          <w:szCs w:val="20"/>
          <w:lang w:val="es-AR"/>
        </w:rPr>
        <w:t>largas</w:t>
      </w:r>
      <w:r w:rsidR="001A28B3" w:rsidRPr="00EA7870">
        <w:rPr>
          <w:sz w:val="20"/>
          <w:szCs w:val="20"/>
          <w:lang w:val="es-AR"/>
        </w:rPr>
        <w:t xml:space="preserve"> </w:t>
      </w:r>
      <w:r w:rsidR="00E06527" w:rsidRPr="00EA7870">
        <w:rPr>
          <w:sz w:val="20"/>
          <w:szCs w:val="20"/>
          <w:lang w:val="es-AR"/>
        </w:rPr>
        <w:t>y/o</w:t>
      </w:r>
      <w:r w:rsidR="001A28B3" w:rsidRPr="00EA7870">
        <w:rPr>
          <w:sz w:val="20"/>
          <w:szCs w:val="20"/>
          <w:lang w:val="es-AR"/>
        </w:rPr>
        <w:t xml:space="preserve"> </w:t>
      </w:r>
      <w:r w:rsidR="00E06527" w:rsidRPr="00EA7870">
        <w:rPr>
          <w:sz w:val="20"/>
          <w:szCs w:val="20"/>
          <w:lang w:val="es-AR"/>
        </w:rPr>
        <w:t>cortas</w:t>
      </w:r>
      <w:r w:rsidR="001A28B3" w:rsidRPr="00EA7870">
        <w:rPr>
          <w:sz w:val="20"/>
          <w:szCs w:val="20"/>
          <w:lang w:val="es-AR"/>
        </w:rPr>
        <w:t xml:space="preserve"> </w:t>
      </w:r>
      <w:r w:rsidR="00E06527" w:rsidRPr="00EA7870">
        <w:rPr>
          <w:sz w:val="20"/>
          <w:szCs w:val="20"/>
          <w:lang w:val="es-AR"/>
        </w:rPr>
        <w:t>en</w:t>
      </w:r>
      <w:r w:rsidR="001A28B3" w:rsidRPr="00EA7870">
        <w:rPr>
          <w:sz w:val="20"/>
          <w:szCs w:val="20"/>
          <w:lang w:val="es-AR"/>
        </w:rPr>
        <w:t xml:space="preserve"> </w:t>
      </w:r>
      <w:r w:rsidR="00E06527" w:rsidRPr="00EA7870">
        <w:rPr>
          <w:sz w:val="20"/>
          <w:szCs w:val="20"/>
          <w:lang w:val="es-AR"/>
        </w:rPr>
        <w:t>tales</w:t>
      </w:r>
      <w:r w:rsidR="001A28B3" w:rsidRPr="00EA7870">
        <w:rPr>
          <w:sz w:val="20"/>
          <w:szCs w:val="20"/>
          <w:lang w:val="es-AR"/>
        </w:rPr>
        <w:t xml:space="preserve"> </w:t>
      </w:r>
      <w:r w:rsidR="00E06527" w:rsidRPr="00EA7870">
        <w:rPr>
          <w:sz w:val="20"/>
          <w:szCs w:val="20"/>
          <w:lang w:val="es-AR"/>
        </w:rPr>
        <w:t>títulos</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instrumentos.</w:t>
      </w:r>
      <w:r w:rsidR="001A28B3" w:rsidRPr="00EA7870">
        <w:rPr>
          <w:sz w:val="20"/>
          <w:szCs w:val="20"/>
          <w:lang w:val="es-AR"/>
        </w:rPr>
        <w:t xml:space="preserve"> </w:t>
      </w:r>
      <w:r w:rsidR="00FC4ECA" w:rsidRPr="00EA7870">
        <w:rPr>
          <w:sz w:val="20"/>
          <w:szCs w:val="20"/>
          <w:lang w:val="es-AR"/>
        </w:rPr>
        <w:t>Adicionalmente,</w:t>
      </w:r>
      <w:r w:rsidR="001A28B3" w:rsidRPr="00EA7870">
        <w:rPr>
          <w:sz w:val="20"/>
          <w:szCs w:val="20"/>
          <w:lang w:val="es-AR"/>
        </w:rPr>
        <w:t xml:space="preserve"> </w:t>
      </w:r>
      <w:r w:rsidR="00FC4ECA" w:rsidRPr="00EA7870">
        <w:rPr>
          <w:sz w:val="20"/>
          <w:szCs w:val="20"/>
          <w:lang w:val="es-AR"/>
        </w:rPr>
        <w:t>los</w:t>
      </w:r>
      <w:r w:rsidR="001A28B3" w:rsidRPr="00EA7870">
        <w:rPr>
          <w:sz w:val="20"/>
          <w:szCs w:val="20"/>
          <w:lang w:val="es-AR"/>
        </w:rPr>
        <w:t xml:space="preserve"> </w:t>
      </w:r>
      <w:r w:rsidR="00FC4ECA" w:rsidRPr="00EA7870">
        <w:rPr>
          <w:sz w:val="20"/>
          <w:szCs w:val="20"/>
          <w:lang w:val="es-AR"/>
        </w:rPr>
        <w:t>Colocadores</w:t>
      </w:r>
      <w:r w:rsidR="001A28B3" w:rsidRPr="00EA7870">
        <w:rPr>
          <w:sz w:val="20"/>
          <w:szCs w:val="20"/>
          <w:lang w:val="es-AR"/>
        </w:rPr>
        <w:t xml:space="preserve"> </w:t>
      </w:r>
      <w:r w:rsidR="00FC4ECA" w:rsidRPr="00EA7870">
        <w:rPr>
          <w:sz w:val="20"/>
          <w:szCs w:val="20"/>
          <w:lang w:val="es-AR"/>
        </w:rPr>
        <w:t>Internacionales,</w:t>
      </w:r>
      <w:r w:rsidR="001A28B3" w:rsidRPr="00EA7870">
        <w:rPr>
          <w:sz w:val="20"/>
          <w:szCs w:val="20"/>
          <w:lang w:val="es-AR"/>
        </w:rPr>
        <w:t xml:space="preserve"> </w:t>
      </w:r>
      <w:r w:rsidR="007B2387" w:rsidRPr="00EA7870">
        <w:rPr>
          <w:sz w:val="20"/>
          <w:szCs w:val="20"/>
          <w:lang w:val="es-AR"/>
        </w:rPr>
        <w:t xml:space="preserve">el Colocador Local </w:t>
      </w:r>
      <w:r w:rsidR="00FC4ECA" w:rsidRPr="00EA7870">
        <w:rPr>
          <w:sz w:val="20"/>
          <w:szCs w:val="20"/>
          <w:lang w:val="es-AR"/>
        </w:rPr>
        <w:t>o</w:t>
      </w:r>
      <w:r w:rsidR="001A28B3" w:rsidRPr="00EA7870">
        <w:rPr>
          <w:sz w:val="20"/>
          <w:szCs w:val="20"/>
          <w:lang w:val="es-AR"/>
        </w:rPr>
        <w:t xml:space="preserve"> </w:t>
      </w:r>
      <w:r w:rsidR="00FC4ECA" w:rsidRPr="00EA7870">
        <w:rPr>
          <w:sz w:val="20"/>
          <w:szCs w:val="20"/>
          <w:lang w:val="es-AR"/>
        </w:rPr>
        <w:t>sus</w:t>
      </w:r>
      <w:r w:rsidR="001A28B3" w:rsidRPr="00EA7870">
        <w:rPr>
          <w:sz w:val="20"/>
          <w:szCs w:val="20"/>
          <w:lang w:val="es-AR"/>
        </w:rPr>
        <w:t xml:space="preserve"> </w:t>
      </w:r>
      <w:r w:rsidR="00FC4ECA" w:rsidRPr="00EA7870">
        <w:rPr>
          <w:sz w:val="20"/>
          <w:szCs w:val="20"/>
          <w:lang w:val="es-AR"/>
        </w:rPr>
        <w:t>afiliadas</w:t>
      </w:r>
      <w:r w:rsidR="001A28B3" w:rsidRPr="00EA7870">
        <w:rPr>
          <w:sz w:val="20"/>
          <w:szCs w:val="20"/>
          <w:lang w:val="es-AR"/>
        </w:rPr>
        <w:t xml:space="preserve"> </w:t>
      </w:r>
      <w:r w:rsidR="00FC4ECA" w:rsidRPr="00EA7870">
        <w:rPr>
          <w:sz w:val="20"/>
          <w:szCs w:val="20"/>
          <w:lang w:val="es-AR"/>
        </w:rPr>
        <w:t>son</w:t>
      </w:r>
      <w:r w:rsidR="001A28B3" w:rsidRPr="00EA7870">
        <w:rPr>
          <w:sz w:val="20"/>
          <w:szCs w:val="20"/>
          <w:lang w:val="es-AR"/>
        </w:rPr>
        <w:t xml:space="preserve"> </w:t>
      </w:r>
      <w:r w:rsidR="00FC4ECA" w:rsidRPr="00EA7870">
        <w:rPr>
          <w:sz w:val="20"/>
          <w:szCs w:val="20"/>
          <w:lang w:val="es-AR"/>
        </w:rPr>
        <w:t>o</w:t>
      </w:r>
      <w:r w:rsidR="001A28B3" w:rsidRPr="00EA7870">
        <w:rPr>
          <w:sz w:val="20"/>
          <w:szCs w:val="20"/>
          <w:lang w:val="es-AR"/>
        </w:rPr>
        <w:t xml:space="preserve"> </w:t>
      </w:r>
      <w:r w:rsidR="00FC4ECA" w:rsidRPr="00EA7870">
        <w:rPr>
          <w:sz w:val="20"/>
          <w:szCs w:val="20"/>
          <w:lang w:val="es-AR"/>
        </w:rPr>
        <w:t>podrán</w:t>
      </w:r>
      <w:r w:rsidR="001A28B3" w:rsidRPr="00EA7870">
        <w:rPr>
          <w:sz w:val="20"/>
          <w:szCs w:val="20"/>
          <w:lang w:val="es-AR"/>
        </w:rPr>
        <w:t xml:space="preserve"> </w:t>
      </w:r>
      <w:r w:rsidR="00FC4ECA" w:rsidRPr="00EA7870">
        <w:rPr>
          <w:sz w:val="20"/>
          <w:szCs w:val="20"/>
          <w:lang w:val="es-AR"/>
        </w:rPr>
        <w:t>ser</w:t>
      </w:r>
      <w:r w:rsidR="001A28B3" w:rsidRPr="00EA7870">
        <w:rPr>
          <w:sz w:val="20"/>
          <w:szCs w:val="20"/>
          <w:lang w:val="es-AR"/>
        </w:rPr>
        <w:t xml:space="preserve"> </w:t>
      </w:r>
      <w:r w:rsidR="00FC4ECA" w:rsidRPr="00EA7870">
        <w:rPr>
          <w:sz w:val="20"/>
          <w:szCs w:val="20"/>
          <w:lang w:val="es-AR"/>
        </w:rPr>
        <w:t>prestamistas,</w:t>
      </w:r>
      <w:r w:rsidR="001A28B3" w:rsidRPr="00EA7870">
        <w:rPr>
          <w:sz w:val="20"/>
          <w:szCs w:val="20"/>
          <w:lang w:val="es-AR"/>
        </w:rPr>
        <w:t xml:space="preserve"> </w:t>
      </w:r>
      <w:r w:rsidR="00FC4ECA" w:rsidRPr="00EA7870">
        <w:rPr>
          <w:sz w:val="20"/>
          <w:szCs w:val="20"/>
          <w:lang w:val="es-AR"/>
        </w:rPr>
        <w:t>y</w:t>
      </w:r>
      <w:r w:rsidR="001A28B3" w:rsidRPr="00EA7870">
        <w:rPr>
          <w:sz w:val="20"/>
          <w:szCs w:val="20"/>
          <w:lang w:val="es-AR"/>
        </w:rPr>
        <w:t xml:space="preserve"> </w:t>
      </w:r>
      <w:r w:rsidR="00FC4ECA" w:rsidRPr="00EA7870">
        <w:rPr>
          <w:sz w:val="20"/>
          <w:szCs w:val="20"/>
          <w:lang w:val="es-AR"/>
        </w:rPr>
        <w:t>en</w:t>
      </w:r>
      <w:r w:rsidR="001A28B3" w:rsidRPr="00EA7870">
        <w:rPr>
          <w:sz w:val="20"/>
          <w:szCs w:val="20"/>
          <w:lang w:val="es-AR"/>
        </w:rPr>
        <w:t xml:space="preserve"> </w:t>
      </w:r>
      <w:r w:rsidR="00FC4ECA" w:rsidRPr="00EA7870">
        <w:rPr>
          <w:sz w:val="20"/>
          <w:szCs w:val="20"/>
          <w:lang w:val="es-AR"/>
        </w:rPr>
        <w:t>algunos</w:t>
      </w:r>
      <w:r w:rsidR="001A28B3" w:rsidRPr="00EA7870">
        <w:rPr>
          <w:sz w:val="20"/>
          <w:szCs w:val="20"/>
          <w:lang w:val="es-AR"/>
        </w:rPr>
        <w:t xml:space="preserve"> </w:t>
      </w:r>
      <w:r w:rsidR="00FC4ECA" w:rsidRPr="00EA7870">
        <w:rPr>
          <w:sz w:val="20"/>
          <w:szCs w:val="20"/>
          <w:lang w:val="es-AR"/>
        </w:rPr>
        <w:t>casos</w:t>
      </w:r>
      <w:r w:rsidR="001A28B3" w:rsidRPr="00EA7870">
        <w:rPr>
          <w:sz w:val="20"/>
          <w:szCs w:val="20"/>
          <w:lang w:val="es-AR"/>
        </w:rPr>
        <w:t xml:space="preserve"> </w:t>
      </w:r>
      <w:r w:rsidR="00FC4ECA" w:rsidRPr="00EA7870">
        <w:rPr>
          <w:sz w:val="20"/>
          <w:szCs w:val="20"/>
          <w:lang w:val="es-AR"/>
        </w:rPr>
        <w:t>agentes</w:t>
      </w:r>
      <w:r w:rsidR="001A28B3" w:rsidRPr="00EA7870">
        <w:rPr>
          <w:sz w:val="20"/>
          <w:szCs w:val="20"/>
          <w:lang w:val="es-AR"/>
        </w:rPr>
        <w:t xml:space="preserve"> </w:t>
      </w:r>
      <w:r w:rsidR="00FC4ECA" w:rsidRPr="00EA7870">
        <w:rPr>
          <w:sz w:val="20"/>
          <w:szCs w:val="20"/>
          <w:lang w:val="es-AR"/>
        </w:rPr>
        <w:t>de</w:t>
      </w:r>
      <w:r w:rsidR="001A28B3" w:rsidRPr="00EA7870">
        <w:rPr>
          <w:sz w:val="20"/>
          <w:szCs w:val="20"/>
          <w:lang w:val="es-AR"/>
        </w:rPr>
        <w:t xml:space="preserve"> </w:t>
      </w:r>
      <w:r w:rsidR="00FC4ECA" w:rsidRPr="00EA7870">
        <w:rPr>
          <w:sz w:val="20"/>
          <w:szCs w:val="20"/>
          <w:lang w:val="es-AR"/>
        </w:rPr>
        <w:t>los</w:t>
      </w:r>
      <w:r w:rsidR="001A28B3" w:rsidRPr="00EA7870">
        <w:rPr>
          <w:sz w:val="20"/>
          <w:szCs w:val="20"/>
          <w:lang w:val="es-AR"/>
        </w:rPr>
        <w:t xml:space="preserve"> </w:t>
      </w:r>
      <w:r w:rsidR="00FC4ECA" w:rsidRPr="00EA7870">
        <w:rPr>
          <w:sz w:val="20"/>
          <w:szCs w:val="20"/>
          <w:lang w:val="es-AR"/>
        </w:rPr>
        <w:t>prestamistas,</w:t>
      </w:r>
      <w:r w:rsidR="001A28B3" w:rsidRPr="00EA7870">
        <w:rPr>
          <w:sz w:val="20"/>
          <w:szCs w:val="20"/>
          <w:lang w:val="es-AR"/>
        </w:rPr>
        <w:t xml:space="preserve"> </w:t>
      </w:r>
      <w:r w:rsidR="00FC4ECA" w:rsidRPr="00EA7870">
        <w:rPr>
          <w:sz w:val="20"/>
          <w:szCs w:val="20"/>
          <w:lang w:val="es-AR"/>
        </w:rPr>
        <w:t>en</w:t>
      </w:r>
      <w:r w:rsidR="001A28B3" w:rsidRPr="00EA7870">
        <w:rPr>
          <w:sz w:val="20"/>
          <w:szCs w:val="20"/>
          <w:lang w:val="es-AR"/>
        </w:rPr>
        <w:t xml:space="preserve"> </w:t>
      </w:r>
      <w:r w:rsidR="00FC4ECA" w:rsidRPr="00EA7870">
        <w:rPr>
          <w:sz w:val="20"/>
          <w:szCs w:val="20"/>
          <w:lang w:val="es-AR"/>
        </w:rPr>
        <w:t>operaciones</w:t>
      </w:r>
      <w:r w:rsidR="001A28B3" w:rsidRPr="00EA7870">
        <w:rPr>
          <w:sz w:val="20"/>
          <w:szCs w:val="20"/>
          <w:lang w:val="es-AR"/>
        </w:rPr>
        <w:t xml:space="preserve"> </w:t>
      </w:r>
      <w:r w:rsidR="00FC4ECA" w:rsidRPr="00EA7870">
        <w:rPr>
          <w:sz w:val="20"/>
          <w:szCs w:val="20"/>
          <w:lang w:val="es-AR"/>
        </w:rPr>
        <w:t>financieras</w:t>
      </w:r>
      <w:r w:rsidR="001A28B3" w:rsidRPr="00EA7870">
        <w:rPr>
          <w:sz w:val="20"/>
          <w:szCs w:val="20"/>
          <w:lang w:val="es-AR"/>
        </w:rPr>
        <w:t xml:space="preserve"> </w:t>
      </w:r>
      <w:r w:rsidR="00FC4ECA" w:rsidRPr="00EA7870">
        <w:rPr>
          <w:sz w:val="20"/>
          <w:szCs w:val="20"/>
          <w:lang w:val="es-AR"/>
        </w:rPr>
        <w:t>realizadas</w:t>
      </w:r>
      <w:r w:rsidR="001A28B3" w:rsidRPr="00EA7870">
        <w:rPr>
          <w:sz w:val="20"/>
          <w:szCs w:val="20"/>
          <w:lang w:val="es-AR"/>
        </w:rPr>
        <w:t xml:space="preserve"> </w:t>
      </w:r>
      <w:r w:rsidR="00FC4ECA" w:rsidRPr="00EA7870">
        <w:rPr>
          <w:sz w:val="20"/>
          <w:szCs w:val="20"/>
          <w:lang w:val="es-AR"/>
        </w:rPr>
        <w:t>a</w:t>
      </w:r>
      <w:r w:rsidR="001A28B3" w:rsidRPr="00EA7870">
        <w:rPr>
          <w:sz w:val="20"/>
          <w:szCs w:val="20"/>
          <w:lang w:val="es-AR"/>
        </w:rPr>
        <w:t xml:space="preserve"> </w:t>
      </w:r>
      <w:r w:rsidR="00FC4ECA" w:rsidRPr="00EA7870">
        <w:rPr>
          <w:sz w:val="20"/>
          <w:szCs w:val="20"/>
          <w:lang w:val="es-AR"/>
        </w:rPr>
        <w:t>la</w:t>
      </w:r>
      <w:r w:rsidR="001A28B3" w:rsidRPr="00EA7870">
        <w:rPr>
          <w:sz w:val="20"/>
          <w:szCs w:val="20"/>
          <w:lang w:val="es-AR"/>
        </w:rPr>
        <w:t xml:space="preserve"> </w:t>
      </w:r>
      <w:r w:rsidR="00FC4ECA" w:rsidRPr="00EA7870">
        <w:rPr>
          <w:sz w:val="20"/>
          <w:szCs w:val="20"/>
          <w:lang w:val="es-AR"/>
        </w:rPr>
        <w:t>Emisora.</w:t>
      </w:r>
      <w:r w:rsidR="00051A26" w:rsidRPr="00EA7870">
        <w:rPr>
          <w:sz w:val="20"/>
          <w:szCs w:val="20"/>
          <w:lang w:val="es-AR"/>
        </w:rPr>
        <w:t xml:space="preserve"> </w:t>
      </w:r>
      <w:r w:rsidR="002B6C29" w:rsidRPr="00EA7870">
        <w:rPr>
          <w:sz w:val="20"/>
          <w:szCs w:val="20"/>
          <w:lang w:val="es-AR"/>
        </w:rPr>
        <w:t>En</w:t>
      </w:r>
      <w:r w:rsidR="001A28B3" w:rsidRPr="00EA7870">
        <w:rPr>
          <w:sz w:val="20"/>
          <w:szCs w:val="20"/>
          <w:lang w:val="es-AR"/>
        </w:rPr>
        <w:t xml:space="preserve"> </w:t>
      </w:r>
      <w:r w:rsidR="002B6C29" w:rsidRPr="00EA7870">
        <w:rPr>
          <w:sz w:val="20"/>
          <w:szCs w:val="20"/>
          <w:lang w:val="es-AR"/>
        </w:rPr>
        <w:t>consecuencia,</w:t>
      </w:r>
      <w:r w:rsidR="001A28B3" w:rsidRPr="00EA7870">
        <w:rPr>
          <w:sz w:val="20"/>
          <w:szCs w:val="20"/>
          <w:lang w:val="es-AR"/>
        </w:rPr>
        <w:t xml:space="preserve"> </w:t>
      </w:r>
      <w:r w:rsidR="003E6614" w:rsidRPr="00EA7870">
        <w:rPr>
          <w:sz w:val="20"/>
          <w:szCs w:val="20"/>
          <w:lang w:val="es-AR"/>
        </w:rPr>
        <w:t xml:space="preserve">los Colocadores Internacionales y el Colocador Local </w:t>
      </w:r>
      <w:r w:rsidR="002B6C29" w:rsidRPr="00EA7870">
        <w:rPr>
          <w:sz w:val="20"/>
          <w:szCs w:val="20"/>
          <w:lang w:val="es-AR"/>
        </w:rPr>
        <w:t>han</w:t>
      </w:r>
      <w:r w:rsidR="001A28B3" w:rsidRPr="00EA7870">
        <w:rPr>
          <w:sz w:val="20"/>
          <w:szCs w:val="20"/>
          <w:lang w:val="es-AR"/>
        </w:rPr>
        <w:t xml:space="preserve"> </w:t>
      </w:r>
      <w:r w:rsidR="002B6C29" w:rsidRPr="00EA7870">
        <w:rPr>
          <w:sz w:val="20"/>
          <w:szCs w:val="20"/>
          <w:lang w:val="es-AR"/>
        </w:rPr>
        <w:t>recibido,</w:t>
      </w:r>
      <w:r w:rsidR="001A28B3" w:rsidRPr="00EA7870">
        <w:rPr>
          <w:sz w:val="20"/>
          <w:szCs w:val="20"/>
          <w:lang w:val="es-AR"/>
        </w:rPr>
        <w:t xml:space="preserve"> </w:t>
      </w:r>
      <w:r w:rsidR="002B6C29" w:rsidRPr="00EA7870">
        <w:rPr>
          <w:sz w:val="20"/>
          <w:szCs w:val="20"/>
          <w:lang w:val="es-AR"/>
        </w:rPr>
        <w:t>o</w:t>
      </w:r>
      <w:r w:rsidR="001A28B3" w:rsidRPr="00EA7870">
        <w:rPr>
          <w:sz w:val="20"/>
          <w:szCs w:val="20"/>
          <w:lang w:val="es-AR"/>
        </w:rPr>
        <w:t xml:space="preserve"> </w:t>
      </w:r>
      <w:r w:rsidR="002B6C29" w:rsidRPr="00EA7870">
        <w:rPr>
          <w:sz w:val="20"/>
          <w:szCs w:val="20"/>
          <w:lang w:val="es-AR"/>
        </w:rPr>
        <w:t>pueden</w:t>
      </w:r>
      <w:r w:rsidR="001A28B3" w:rsidRPr="00EA7870">
        <w:rPr>
          <w:sz w:val="20"/>
          <w:szCs w:val="20"/>
          <w:lang w:val="es-AR"/>
        </w:rPr>
        <w:t xml:space="preserve"> </w:t>
      </w:r>
      <w:r w:rsidR="002B6C29" w:rsidRPr="00EA7870">
        <w:rPr>
          <w:sz w:val="20"/>
          <w:szCs w:val="20"/>
          <w:lang w:val="es-AR"/>
        </w:rPr>
        <w:t>recibir</w:t>
      </w:r>
      <w:r w:rsidR="001A28B3" w:rsidRPr="00EA7870">
        <w:rPr>
          <w:sz w:val="20"/>
          <w:szCs w:val="20"/>
          <w:lang w:val="es-AR"/>
        </w:rPr>
        <w:t xml:space="preserve"> </w:t>
      </w:r>
      <w:r w:rsidR="002B6C29" w:rsidRPr="00EA7870">
        <w:rPr>
          <w:sz w:val="20"/>
          <w:szCs w:val="20"/>
          <w:lang w:val="es-AR"/>
        </w:rPr>
        <w:t>en</w:t>
      </w:r>
      <w:r w:rsidR="001A28B3" w:rsidRPr="00EA7870">
        <w:rPr>
          <w:sz w:val="20"/>
          <w:szCs w:val="20"/>
          <w:lang w:val="es-AR"/>
        </w:rPr>
        <w:t xml:space="preserve"> </w:t>
      </w:r>
      <w:r w:rsidR="002B6C29" w:rsidRPr="00EA7870">
        <w:rPr>
          <w:sz w:val="20"/>
          <w:szCs w:val="20"/>
          <w:lang w:val="es-AR"/>
        </w:rPr>
        <w:t>el</w:t>
      </w:r>
      <w:r w:rsidR="001A28B3" w:rsidRPr="00EA7870">
        <w:rPr>
          <w:sz w:val="20"/>
          <w:szCs w:val="20"/>
          <w:lang w:val="es-AR"/>
        </w:rPr>
        <w:t xml:space="preserve"> </w:t>
      </w:r>
      <w:r w:rsidR="002B6C29" w:rsidRPr="00EA7870">
        <w:rPr>
          <w:sz w:val="20"/>
          <w:szCs w:val="20"/>
          <w:lang w:val="es-AR"/>
        </w:rPr>
        <w:t>futuro,</w:t>
      </w:r>
      <w:r w:rsidR="001A28B3" w:rsidRPr="00EA7870">
        <w:rPr>
          <w:sz w:val="20"/>
          <w:szCs w:val="20"/>
          <w:lang w:val="es-AR"/>
        </w:rPr>
        <w:t xml:space="preserve"> </w:t>
      </w:r>
      <w:r w:rsidR="002B6C29" w:rsidRPr="00EA7870">
        <w:rPr>
          <w:sz w:val="20"/>
          <w:szCs w:val="20"/>
          <w:lang w:val="es-AR"/>
        </w:rPr>
        <w:t>honorarios,</w:t>
      </w:r>
      <w:r w:rsidR="001A28B3" w:rsidRPr="00EA7870">
        <w:rPr>
          <w:sz w:val="20"/>
          <w:szCs w:val="20"/>
          <w:lang w:val="es-AR"/>
        </w:rPr>
        <w:t xml:space="preserve"> </w:t>
      </w:r>
      <w:r w:rsidR="002B6C29" w:rsidRPr="00EA7870">
        <w:rPr>
          <w:sz w:val="20"/>
          <w:szCs w:val="20"/>
          <w:lang w:val="es-AR"/>
        </w:rPr>
        <w:t>intereses</w:t>
      </w:r>
      <w:r w:rsidR="001A28B3" w:rsidRPr="00EA7870">
        <w:rPr>
          <w:sz w:val="20"/>
          <w:szCs w:val="20"/>
          <w:lang w:val="es-AR"/>
        </w:rPr>
        <w:t xml:space="preserve"> </w:t>
      </w:r>
      <w:r w:rsidR="002B6C29" w:rsidRPr="00EA7870">
        <w:rPr>
          <w:sz w:val="20"/>
          <w:szCs w:val="20"/>
          <w:lang w:val="es-AR"/>
        </w:rPr>
        <w:t>y</w:t>
      </w:r>
      <w:r w:rsidR="001A28B3" w:rsidRPr="00EA7870">
        <w:rPr>
          <w:sz w:val="20"/>
          <w:szCs w:val="20"/>
          <w:lang w:val="es-AR"/>
        </w:rPr>
        <w:t xml:space="preserve"> </w:t>
      </w:r>
      <w:r w:rsidR="002B6C29" w:rsidRPr="00EA7870">
        <w:rPr>
          <w:sz w:val="20"/>
          <w:szCs w:val="20"/>
          <w:lang w:val="es-AR"/>
        </w:rPr>
        <w:t>comisiones</w:t>
      </w:r>
      <w:r w:rsidR="001A28B3" w:rsidRPr="00EA7870">
        <w:rPr>
          <w:sz w:val="20"/>
          <w:szCs w:val="20"/>
          <w:lang w:val="es-AR"/>
        </w:rPr>
        <w:t xml:space="preserve"> </w:t>
      </w:r>
      <w:r w:rsidR="002B6C29" w:rsidRPr="00EA7870">
        <w:rPr>
          <w:sz w:val="20"/>
          <w:szCs w:val="20"/>
          <w:lang w:val="es-AR"/>
        </w:rPr>
        <w:t>habituales</w:t>
      </w:r>
      <w:r w:rsidR="001A28B3" w:rsidRPr="00EA7870">
        <w:rPr>
          <w:sz w:val="20"/>
          <w:szCs w:val="20"/>
          <w:lang w:val="es-AR"/>
        </w:rPr>
        <w:t xml:space="preserve"> </w:t>
      </w:r>
      <w:r w:rsidR="002B6C29" w:rsidRPr="00EA7870">
        <w:rPr>
          <w:sz w:val="20"/>
          <w:szCs w:val="20"/>
          <w:lang w:val="es-AR"/>
        </w:rPr>
        <w:t>con</w:t>
      </w:r>
      <w:r w:rsidR="001A28B3" w:rsidRPr="00EA7870">
        <w:rPr>
          <w:sz w:val="20"/>
          <w:szCs w:val="20"/>
          <w:lang w:val="es-AR"/>
        </w:rPr>
        <w:t xml:space="preserve"> </w:t>
      </w:r>
      <w:r w:rsidR="002B6C29" w:rsidRPr="00EA7870">
        <w:rPr>
          <w:sz w:val="20"/>
          <w:szCs w:val="20"/>
          <w:lang w:val="es-AR"/>
        </w:rPr>
        <w:t>respecto</w:t>
      </w:r>
      <w:r w:rsidR="001A28B3" w:rsidRPr="00EA7870">
        <w:rPr>
          <w:sz w:val="20"/>
          <w:szCs w:val="20"/>
          <w:lang w:val="es-AR"/>
        </w:rPr>
        <w:t xml:space="preserve"> </w:t>
      </w:r>
      <w:r w:rsidR="002B6C29" w:rsidRPr="00EA7870">
        <w:rPr>
          <w:sz w:val="20"/>
          <w:szCs w:val="20"/>
          <w:lang w:val="es-AR"/>
        </w:rPr>
        <w:t>a</w:t>
      </w:r>
      <w:r w:rsidR="001A28B3" w:rsidRPr="00EA7870">
        <w:rPr>
          <w:sz w:val="20"/>
          <w:szCs w:val="20"/>
          <w:lang w:val="es-AR"/>
        </w:rPr>
        <w:t xml:space="preserve"> </w:t>
      </w:r>
      <w:r w:rsidR="002B6C29" w:rsidRPr="00EA7870">
        <w:rPr>
          <w:sz w:val="20"/>
          <w:szCs w:val="20"/>
          <w:lang w:val="es-AR"/>
        </w:rPr>
        <w:t>estas</w:t>
      </w:r>
      <w:r w:rsidR="001A28B3" w:rsidRPr="00EA7870">
        <w:rPr>
          <w:sz w:val="20"/>
          <w:szCs w:val="20"/>
          <w:lang w:val="es-AR"/>
        </w:rPr>
        <w:t xml:space="preserve"> </w:t>
      </w:r>
      <w:r w:rsidR="002B6C29" w:rsidRPr="00EA7870">
        <w:rPr>
          <w:sz w:val="20"/>
          <w:szCs w:val="20"/>
          <w:lang w:val="es-AR"/>
        </w:rPr>
        <w:t>operaciones.</w:t>
      </w:r>
    </w:p>
    <w:p w14:paraId="38E0082D" w14:textId="77777777" w:rsidR="00BD19EB" w:rsidRPr="00EA7870" w:rsidRDefault="00BD19EB" w:rsidP="00836A2B">
      <w:pPr>
        <w:jc w:val="both"/>
        <w:rPr>
          <w:sz w:val="20"/>
          <w:szCs w:val="20"/>
          <w:lang w:val="es-AR"/>
        </w:rPr>
      </w:pPr>
    </w:p>
    <w:p w14:paraId="05A6818A" w14:textId="77777777" w:rsidR="00BD19EB" w:rsidRPr="00EA7870" w:rsidRDefault="00BD19EB" w:rsidP="00836A2B">
      <w:pPr>
        <w:jc w:val="both"/>
        <w:rPr>
          <w:b/>
          <w:bCs/>
          <w:sz w:val="20"/>
          <w:szCs w:val="20"/>
          <w:lang w:val="es-AR"/>
        </w:rPr>
      </w:pPr>
      <w:r w:rsidRPr="00EA7870">
        <w:rPr>
          <w:b/>
          <w:bCs/>
          <w:sz w:val="20"/>
          <w:szCs w:val="20"/>
          <w:lang w:val="es-AR"/>
        </w:rPr>
        <w:t>Nueva emisión de Obligaciones Negociables</w:t>
      </w:r>
    </w:p>
    <w:p w14:paraId="5FC440C8" w14:textId="77777777" w:rsidR="00BD19EB" w:rsidRPr="00EA7870" w:rsidRDefault="00BD19EB" w:rsidP="00836A2B">
      <w:pPr>
        <w:jc w:val="both"/>
        <w:rPr>
          <w:b/>
          <w:bCs/>
          <w:sz w:val="20"/>
          <w:szCs w:val="20"/>
          <w:lang w:val="es-AR"/>
        </w:rPr>
      </w:pPr>
    </w:p>
    <w:p w14:paraId="06F61499" w14:textId="77777777" w:rsidR="00932260" w:rsidRPr="00EA7870" w:rsidRDefault="00BD19EB" w:rsidP="00BD19EB">
      <w:pPr>
        <w:overflowPunct w:val="0"/>
        <w:autoSpaceDE w:val="0"/>
        <w:autoSpaceDN w:val="0"/>
        <w:adjustRightInd w:val="0"/>
        <w:jc w:val="both"/>
        <w:textAlignment w:val="baseline"/>
        <w:rPr>
          <w:sz w:val="20"/>
          <w:szCs w:val="20"/>
          <w:lang w:val="es-AR"/>
        </w:rPr>
      </w:pPr>
      <w:r w:rsidRPr="00EA7870">
        <w:rPr>
          <w:sz w:val="20"/>
          <w:szCs w:val="20"/>
          <w:lang w:val="es-AR"/>
        </w:rPr>
        <w:t xml:space="preserve">Las Obligaciones Negociables constituyen una nueva emisión de títulos valores y actualmente no existe un mercado para las Obligaciones Negociables. Asimismo, las Obligaciones Negociables están sujetas a ciertas restricciones a la reventa y a la transferencia. </w:t>
      </w:r>
    </w:p>
    <w:p w14:paraId="2980E030" w14:textId="77777777" w:rsidR="00932260" w:rsidRPr="00EA7870" w:rsidRDefault="00932260" w:rsidP="00BD19EB">
      <w:pPr>
        <w:overflowPunct w:val="0"/>
        <w:autoSpaceDE w:val="0"/>
        <w:autoSpaceDN w:val="0"/>
        <w:adjustRightInd w:val="0"/>
        <w:jc w:val="both"/>
        <w:textAlignment w:val="baseline"/>
        <w:rPr>
          <w:sz w:val="20"/>
          <w:szCs w:val="20"/>
          <w:lang w:val="es-AR"/>
        </w:rPr>
      </w:pPr>
    </w:p>
    <w:p w14:paraId="50256A87" w14:textId="77777777" w:rsidR="00BD19EB" w:rsidRPr="00EA7870" w:rsidRDefault="00BD19EB" w:rsidP="00BD19EB">
      <w:pPr>
        <w:overflowPunct w:val="0"/>
        <w:autoSpaceDE w:val="0"/>
        <w:autoSpaceDN w:val="0"/>
        <w:adjustRightInd w:val="0"/>
        <w:jc w:val="both"/>
        <w:textAlignment w:val="baseline"/>
        <w:rPr>
          <w:sz w:val="20"/>
          <w:szCs w:val="20"/>
          <w:lang w:val="es-AR"/>
        </w:rPr>
      </w:pPr>
      <w:r w:rsidRPr="00EA7870">
        <w:rPr>
          <w:sz w:val="20"/>
          <w:szCs w:val="20"/>
          <w:lang w:val="es-AR"/>
        </w:rPr>
        <w:t xml:space="preserve">No es posible asegurar que se desarrollará un mercado de negociación pública líquido o activo para las Obligaciones Negociables o, si se desarrolla, que continúe existiendo. Si no se desarrolla o persiste un mercado activo de negociación de las Obligaciones Negociables, el precio de mercado y la liquidez de las Obligaciones Negociables podrán verse afectados negativamente. Si las Obligaciones Negociables se negocian, pueden negociarse con un descuento sobre el precio de oferta, dependiendo de los tipos de interés vigentes, del mercado de valores similares, de las condiciones económicas generales y de otros factores. </w:t>
      </w:r>
    </w:p>
    <w:p w14:paraId="467495C2" w14:textId="77777777" w:rsidR="00BD19EB" w:rsidRPr="00EA7870" w:rsidRDefault="00BD19EB" w:rsidP="00BD19EB">
      <w:pPr>
        <w:overflowPunct w:val="0"/>
        <w:autoSpaceDE w:val="0"/>
        <w:autoSpaceDN w:val="0"/>
        <w:adjustRightInd w:val="0"/>
        <w:jc w:val="both"/>
        <w:textAlignment w:val="baseline"/>
        <w:rPr>
          <w:sz w:val="20"/>
          <w:szCs w:val="20"/>
          <w:lang w:val="es-AR"/>
        </w:rPr>
      </w:pPr>
    </w:p>
    <w:p w14:paraId="01A20FB8" w14:textId="77777777" w:rsidR="00BD19EB" w:rsidRPr="00EA7870" w:rsidRDefault="00932260" w:rsidP="00BD19EB">
      <w:pPr>
        <w:overflowPunct w:val="0"/>
        <w:autoSpaceDE w:val="0"/>
        <w:autoSpaceDN w:val="0"/>
        <w:adjustRightInd w:val="0"/>
        <w:jc w:val="both"/>
        <w:textAlignment w:val="baseline"/>
        <w:rPr>
          <w:sz w:val="20"/>
          <w:szCs w:val="20"/>
        </w:rPr>
      </w:pPr>
      <w:r w:rsidRPr="00EA7870">
        <w:rPr>
          <w:sz w:val="20"/>
          <w:szCs w:val="20"/>
          <w:lang w:val="es-AR"/>
        </w:rPr>
        <w:t>Si bien l</w:t>
      </w:r>
      <w:r w:rsidR="00BD19EB" w:rsidRPr="00EA7870">
        <w:rPr>
          <w:sz w:val="20"/>
          <w:szCs w:val="20"/>
          <w:lang w:val="es-AR"/>
        </w:rPr>
        <w:t>a Emisora ha presentado una solicitud ante la BCBA para listar y negociar las Obligaciones</w:t>
      </w:r>
      <w:r w:rsidR="00BD19EB" w:rsidRPr="00EA7870">
        <w:rPr>
          <w:sz w:val="20"/>
          <w:szCs w:val="20"/>
          <w:lang w:val="es-AR" w:eastAsia="es-AR"/>
        </w:rPr>
        <w:t xml:space="preserve"> Negociables en BYMA y para que sean admitidas para su negociación en el MAE</w:t>
      </w:r>
      <w:r w:rsidR="004F49AE" w:rsidRPr="00EA7870">
        <w:rPr>
          <w:sz w:val="20"/>
          <w:szCs w:val="20"/>
          <w:lang w:val="es-AR" w:eastAsia="es-AR"/>
        </w:rPr>
        <w:t>,</w:t>
      </w:r>
      <w:r w:rsidR="00BD19EB" w:rsidRPr="00EA7870">
        <w:rPr>
          <w:sz w:val="20"/>
          <w:szCs w:val="20"/>
          <w:lang w:val="es-AR" w:eastAsia="es-AR"/>
        </w:rPr>
        <w:t xml:space="preserve"> </w:t>
      </w:r>
      <w:r w:rsidR="004F49AE" w:rsidRPr="00EA7870">
        <w:rPr>
          <w:sz w:val="20"/>
          <w:szCs w:val="20"/>
          <w:lang w:val="es-AR" w:eastAsia="es-AR"/>
        </w:rPr>
        <w:t>l</w:t>
      </w:r>
      <w:r w:rsidR="00BD19EB" w:rsidRPr="00EA7870">
        <w:rPr>
          <w:sz w:val="20"/>
          <w:szCs w:val="20"/>
        </w:rPr>
        <w:t>a Emisora no puede asegurar que dichas autorizaciones serán otorgadas o que, una vez otorgadas, las Obligaciones Negociables continuarán listando y/o negociándose en dichos mercados.</w:t>
      </w:r>
    </w:p>
    <w:p w14:paraId="4141A9F6" w14:textId="77777777" w:rsidR="00932260" w:rsidRPr="00EA7870" w:rsidRDefault="00932260" w:rsidP="00BD19EB">
      <w:pPr>
        <w:overflowPunct w:val="0"/>
        <w:autoSpaceDE w:val="0"/>
        <w:autoSpaceDN w:val="0"/>
        <w:adjustRightInd w:val="0"/>
        <w:jc w:val="both"/>
        <w:textAlignment w:val="baseline"/>
        <w:rPr>
          <w:sz w:val="20"/>
          <w:szCs w:val="20"/>
        </w:rPr>
      </w:pPr>
    </w:p>
    <w:p w14:paraId="0F220AFA" w14:textId="77777777" w:rsidR="008564E2" w:rsidRPr="00EA7870" w:rsidRDefault="008564E2" w:rsidP="008564E2">
      <w:pPr>
        <w:keepNext/>
        <w:jc w:val="both"/>
        <w:rPr>
          <w:b/>
          <w:bCs/>
          <w:sz w:val="20"/>
          <w:szCs w:val="20"/>
          <w:lang w:val="es-AR"/>
        </w:rPr>
      </w:pPr>
      <w:r w:rsidRPr="00EA7870">
        <w:rPr>
          <w:b/>
          <w:bCs/>
          <w:sz w:val="20"/>
          <w:szCs w:val="20"/>
          <w:lang w:val="es-AR"/>
        </w:rPr>
        <w:t>Otras Relaciones</w:t>
      </w:r>
    </w:p>
    <w:p w14:paraId="280BD823" w14:textId="77777777" w:rsidR="008564E2" w:rsidRPr="00EA7870" w:rsidRDefault="008564E2" w:rsidP="008564E2">
      <w:pPr>
        <w:keepNext/>
        <w:jc w:val="both"/>
        <w:rPr>
          <w:sz w:val="20"/>
          <w:szCs w:val="20"/>
          <w:lang w:val="es-AR"/>
        </w:rPr>
      </w:pPr>
    </w:p>
    <w:p w14:paraId="696F7CD8" w14:textId="77777777" w:rsidR="008564E2" w:rsidRPr="00EA7870" w:rsidRDefault="008564E2" w:rsidP="008564E2">
      <w:pPr>
        <w:suppressAutoHyphens/>
        <w:jc w:val="both"/>
        <w:rPr>
          <w:sz w:val="20"/>
          <w:szCs w:val="20"/>
          <w:lang w:val="es-AR"/>
        </w:rPr>
      </w:pPr>
      <w:r w:rsidRPr="00EA7870">
        <w:rPr>
          <w:sz w:val="20"/>
          <w:szCs w:val="20"/>
          <w:lang w:val="es-AR"/>
        </w:rPr>
        <w:t>Los Colocadores Internacionales, el Colocador Local y sus respectivas afiliadas han llevado a cabo, y podrán llevar</w:t>
      </w:r>
      <w:r w:rsidR="00CD7B31" w:rsidRPr="00EA7870">
        <w:rPr>
          <w:sz w:val="20"/>
          <w:szCs w:val="20"/>
          <w:lang w:val="es-AR"/>
        </w:rPr>
        <w:t>lo</w:t>
      </w:r>
      <w:r w:rsidRPr="00EA7870">
        <w:rPr>
          <w:sz w:val="20"/>
          <w:szCs w:val="20"/>
          <w:lang w:val="es-AR"/>
        </w:rPr>
        <w:t xml:space="preserve"> a cabo en el futuro, negocios de banca de inversión y otros negocios comerciales en el curso ordinario de sus actividades con la Emisora, la Garante y/o sus afiliadas. En consecuencia, han recibido, o podrán recibir en el futuro, los honorarios, intereses y comisiones habituales de estas operaciones.</w:t>
      </w:r>
    </w:p>
    <w:p w14:paraId="75156B44" w14:textId="77777777" w:rsidR="008564E2" w:rsidRPr="00EA7870" w:rsidRDefault="008564E2" w:rsidP="008564E2">
      <w:pPr>
        <w:keepNext/>
        <w:jc w:val="both"/>
        <w:rPr>
          <w:sz w:val="20"/>
          <w:szCs w:val="20"/>
          <w:lang w:val="es-AR"/>
        </w:rPr>
      </w:pPr>
    </w:p>
    <w:p w14:paraId="51C1191F" w14:textId="77777777" w:rsidR="008564E2" w:rsidRPr="00EA7870" w:rsidRDefault="008564E2" w:rsidP="008564E2">
      <w:pPr>
        <w:jc w:val="both"/>
        <w:rPr>
          <w:sz w:val="20"/>
          <w:szCs w:val="20"/>
          <w:lang w:val="es-AR"/>
        </w:rPr>
      </w:pPr>
      <w:r w:rsidRPr="00EA7870">
        <w:rPr>
          <w:sz w:val="20"/>
          <w:szCs w:val="20"/>
          <w:lang w:val="es-AR"/>
        </w:rPr>
        <w:t xml:space="preserve">Además, en el desenvolvimiento normal de las actividades comerciales, los Colocadores Internacionales y el Colocador Local y sus respectivas afiliadas podrán hacer o mantener una amplia variedad de inversiones, deuda comercial activa, títulos de participación de deuda privada (u otros títulos de participación derivados) e instrumentos financieros (incluyendo préstamos bancarios) por cuenta propia o por cuenta de sus clientes. Dichas inversiones y actividades relacionadas con sus títulos de participación podrán incluir a los títulos y/o instrumentos de la Emisora o de sus respectivas afiliados. Si alguno de los Colocadores Internacionales o del Colocador Local o sus respectivas afiliados posee una relación de préstamo con la Emisora, estos habitualmente cubren, o podrán cubrir, su riesgo crediticio de modo consistente con sus políticas de administración de riesgo habituales. Por lo general, estos Colocadores Internacionales, este Colocador Local y sus afiliadas cubrirán su riesgo al celebrar transacciones que consisten tanto en la compra de canjes de créditos en mora o la creación de posiciones cortas en los títulos de participación de la Emisora. Cualquiera de estos canjes de créditos en mora o posiciones cortas podrían afectar de modo negativo los precios de comercialización futuros de las Obligaciones Negociables que se ofertan en este documento. Los Colocadores Internacionales, el Colocador Local y sus respectivas afiliadas podrán también recomendar inversiones y/o publicar o expresar puntos de vista de investigaciones independientes de dichos títulos de deuda o instrumentos financieros y podrán mantener o recomendarle a los clientes que adquieran las posiciones largas y/o cortas en tales títulos o instrumentos. Además, los Colocadores Internacionales, el Colocador Local y/o sus respectivas afiliadas son o podrán ser prestamistas, y en algunos casos agentes o gerentes de los prestamistas en virtud de líneas de créditos que facilite a la Emisora. </w:t>
      </w:r>
    </w:p>
    <w:p w14:paraId="77ED9931" w14:textId="77777777" w:rsidR="00932260" w:rsidRPr="00EA7870" w:rsidRDefault="008564E2" w:rsidP="00836A2B">
      <w:pPr>
        <w:keepNext/>
        <w:jc w:val="both"/>
        <w:rPr>
          <w:b/>
          <w:sz w:val="20"/>
          <w:szCs w:val="20"/>
          <w:lang w:val="es-AR"/>
        </w:rPr>
      </w:pPr>
      <w:r w:rsidRPr="00EA7870" w:rsidDel="008564E2">
        <w:rPr>
          <w:b/>
          <w:sz w:val="20"/>
          <w:szCs w:val="20"/>
          <w:lang w:val="es-AR"/>
        </w:rPr>
        <w:t xml:space="preserve"> </w:t>
      </w:r>
    </w:p>
    <w:p w14:paraId="711AF252" w14:textId="77777777" w:rsidR="00E06527" w:rsidRPr="00EA7870" w:rsidRDefault="00E06527" w:rsidP="00836A2B">
      <w:pPr>
        <w:keepNext/>
        <w:jc w:val="both"/>
        <w:rPr>
          <w:b/>
          <w:sz w:val="20"/>
          <w:szCs w:val="20"/>
          <w:lang w:val="es-AR"/>
        </w:rPr>
      </w:pPr>
      <w:r w:rsidRPr="00EA7870">
        <w:rPr>
          <w:b/>
          <w:sz w:val="20"/>
          <w:szCs w:val="20"/>
          <w:lang w:val="es-AR"/>
        </w:rPr>
        <w:t>Oferta</w:t>
      </w:r>
      <w:r w:rsidR="001A28B3" w:rsidRPr="00EA7870">
        <w:rPr>
          <w:b/>
          <w:sz w:val="20"/>
          <w:szCs w:val="20"/>
          <w:lang w:val="es-AR"/>
        </w:rPr>
        <w:t xml:space="preserve"> </w:t>
      </w:r>
      <w:r w:rsidRPr="00EA7870">
        <w:rPr>
          <w:b/>
          <w:sz w:val="20"/>
          <w:szCs w:val="20"/>
          <w:lang w:val="es-AR"/>
        </w:rPr>
        <w:t>Internacional</w:t>
      </w:r>
      <w:r w:rsidR="001A28B3" w:rsidRPr="00EA7870">
        <w:rPr>
          <w:b/>
          <w:sz w:val="20"/>
          <w:szCs w:val="20"/>
          <w:lang w:val="es-AR"/>
        </w:rPr>
        <w:t xml:space="preserve"> </w:t>
      </w:r>
    </w:p>
    <w:p w14:paraId="31CF2801" w14:textId="77777777" w:rsidR="00836A2B" w:rsidRPr="00EA7870" w:rsidRDefault="00836A2B" w:rsidP="00836A2B">
      <w:pPr>
        <w:keepNext/>
        <w:jc w:val="both"/>
        <w:rPr>
          <w:b/>
          <w:sz w:val="20"/>
          <w:szCs w:val="20"/>
          <w:lang w:val="es-AR"/>
        </w:rPr>
      </w:pPr>
    </w:p>
    <w:p w14:paraId="733E7DB6" w14:textId="3B5A5259" w:rsidR="001E019F" w:rsidRPr="00EA7870" w:rsidRDefault="00932260" w:rsidP="00FC4ECA">
      <w:pPr>
        <w:jc w:val="both"/>
        <w:rPr>
          <w:sz w:val="20"/>
          <w:szCs w:val="20"/>
          <w:lang w:val="es-AR"/>
        </w:rPr>
      </w:pPr>
      <w:r w:rsidRPr="00EA7870">
        <w:rPr>
          <w:sz w:val="20"/>
          <w:szCs w:val="20"/>
          <w:lang w:val="es-AR"/>
        </w:rPr>
        <w:t>L</w:t>
      </w:r>
      <w:r w:rsidR="001E019F" w:rsidRPr="00EA7870">
        <w:rPr>
          <w:sz w:val="20"/>
          <w:szCs w:val="20"/>
          <w:lang w:val="es-AR"/>
        </w:rPr>
        <w:t>a</w:t>
      </w:r>
      <w:r w:rsidR="001A28B3" w:rsidRPr="00EA7870">
        <w:rPr>
          <w:sz w:val="20"/>
          <w:szCs w:val="20"/>
          <w:lang w:val="es-AR"/>
        </w:rPr>
        <w:t xml:space="preserve"> </w:t>
      </w:r>
      <w:r w:rsidR="001E019F" w:rsidRPr="00EA7870">
        <w:rPr>
          <w:sz w:val="20"/>
          <w:szCs w:val="20"/>
          <w:lang w:val="es-AR"/>
        </w:rPr>
        <w:t>Oferta</w:t>
      </w:r>
      <w:r w:rsidR="001A28B3" w:rsidRPr="00EA7870">
        <w:rPr>
          <w:sz w:val="20"/>
          <w:szCs w:val="20"/>
          <w:lang w:val="es-AR"/>
        </w:rPr>
        <w:t xml:space="preserve"> </w:t>
      </w:r>
      <w:r w:rsidR="001E019F" w:rsidRPr="00EA7870">
        <w:rPr>
          <w:sz w:val="20"/>
          <w:szCs w:val="20"/>
          <w:lang w:val="es-AR"/>
        </w:rPr>
        <w:t>Internacional</w:t>
      </w:r>
      <w:r w:rsidR="001A28B3" w:rsidRPr="00EA7870">
        <w:rPr>
          <w:sz w:val="20"/>
          <w:szCs w:val="20"/>
          <w:lang w:val="es-AR"/>
        </w:rPr>
        <w:t xml:space="preserve"> </w:t>
      </w:r>
      <w:r w:rsidR="001E019F" w:rsidRPr="00EA7870">
        <w:rPr>
          <w:sz w:val="20"/>
          <w:szCs w:val="20"/>
          <w:lang w:val="es-AR"/>
        </w:rPr>
        <w:t>consistirá</w:t>
      </w:r>
      <w:r w:rsidR="001A28B3" w:rsidRPr="00EA7870">
        <w:rPr>
          <w:sz w:val="20"/>
          <w:szCs w:val="20"/>
          <w:lang w:val="es-AR"/>
        </w:rPr>
        <w:t xml:space="preserve"> </w:t>
      </w:r>
      <w:r w:rsidR="001E019F" w:rsidRPr="00EA7870">
        <w:rPr>
          <w:sz w:val="20"/>
          <w:szCs w:val="20"/>
          <w:lang w:val="es-AR"/>
        </w:rPr>
        <w:t>en</w:t>
      </w:r>
      <w:r w:rsidR="001A28B3" w:rsidRPr="00EA7870">
        <w:rPr>
          <w:sz w:val="20"/>
          <w:szCs w:val="20"/>
          <w:lang w:val="es-AR"/>
        </w:rPr>
        <w:t xml:space="preserve"> </w:t>
      </w:r>
      <w:r w:rsidR="001E019F" w:rsidRPr="00EA7870">
        <w:rPr>
          <w:sz w:val="20"/>
          <w:szCs w:val="20"/>
          <w:lang w:val="es-AR"/>
        </w:rPr>
        <w:t>una</w:t>
      </w:r>
      <w:r w:rsidR="001A28B3" w:rsidRPr="00EA7870">
        <w:rPr>
          <w:sz w:val="20"/>
          <w:szCs w:val="20"/>
          <w:lang w:val="es-AR"/>
        </w:rPr>
        <w:t xml:space="preserve"> </w:t>
      </w:r>
      <w:r w:rsidR="001E019F" w:rsidRPr="00EA7870">
        <w:rPr>
          <w:sz w:val="20"/>
          <w:szCs w:val="20"/>
          <w:lang w:val="es-AR"/>
        </w:rPr>
        <w:t>oferta</w:t>
      </w:r>
      <w:r w:rsidR="001A28B3" w:rsidRPr="00EA7870">
        <w:rPr>
          <w:sz w:val="20"/>
          <w:szCs w:val="20"/>
          <w:lang w:val="es-AR"/>
        </w:rPr>
        <w:t xml:space="preserve"> </w:t>
      </w:r>
      <w:r w:rsidR="001E019F" w:rsidRPr="00EA7870">
        <w:rPr>
          <w:sz w:val="20"/>
          <w:szCs w:val="20"/>
          <w:lang w:val="es-AR"/>
        </w:rPr>
        <w:t>internacional</w:t>
      </w:r>
      <w:r w:rsidR="001A28B3" w:rsidRPr="00EA7870">
        <w:rPr>
          <w:sz w:val="20"/>
          <w:szCs w:val="20"/>
          <w:lang w:val="es-AR"/>
        </w:rPr>
        <w:t xml:space="preserve"> </w:t>
      </w:r>
      <w:r w:rsidR="001E019F" w:rsidRPr="00EA7870">
        <w:rPr>
          <w:sz w:val="20"/>
          <w:szCs w:val="20"/>
          <w:lang w:val="es-AR"/>
        </w:rPr>
        <w:t>no</w:t>
      </w:r>
      <w:r w:rsidR="001A28B3" w:rsidRPr="00EA7870">
        <w:rPr>
          <w:sz w:val="20"/>
          <w:szCs w:val="20"/>
          <w:lang w:val="es-AR"/>
        </w:rPr>
        <w:t xml:space="preserve"> </w:t>
      </w:r>
      <w:r w:rsidR="001E019F" w:rsidRPr="00EA7870">
        <w:rPr>
          <w:sz w:val="20"/>
          <w:szCs w:val="20"/>
          <w:lang w:val="es-AR"/>
        </w:rPr>
        <w:t>sujeta</w:t>
      </w:r>
      <w:r w:rsidR="001A28B3" w:rsidRPr="00EA7870">
        <w:rPr>
          <w:sz w:val="20"/>
          <w:szCs w:val="20"/>
          <w:lang w:val="es-AR"/>
        </w:rPr>
        <w:t xml:space="preserve"> </w:t>
      </w:r>
      <w:r w:rsidR="001E019F" w:rsidRPr="00EA7870">
        <w:rPr>
          <w:sz w:val="20"/>
          <w:szCs w:val="20"/>
          <w:lang w:val="es-AR"/>
        </w:rPr>
        <w:t>a</w:t>
      </w:r>
      <w:r w:rsidR="001A28B3" w:rsidRPr="00EA7870">
        <w:rPr>
          <w:sz w:val="20"/>
          <w:szCs w:val="20"/>
          <w:lang w:val="es-AR"/>
        </w:rPr>
        <w:t xml:space="preserve"> </w:t>
      </w:r>
      <w:r w:rsidR="001E019F" w:rsidRPr="00EA7870">
        <w:rPr>
          <w:sz w:val="20"/>
          <w:szCs w:val="20"/>
          <w:lang w:val="es-AR"/>
        </w:rPr>
        <w:t>los</w:t>
      </w:r>
      <w:r w:rsidR="001A28B3" w:rsidRPr="00EA7870">
        <w:rPr>
          <w:sz w:val="20"/>
          <w:szCs w:val="20"/>
          <w:lang w:val="es-AR"/>
        </w:rPr>
        <w:t xml:space="preserve"> </w:t>
      </w:r>
      <w:r w:rsidR="001E019F" w:rsidRPr="00EA7870">
        <w:rPr>
          <w:sz w:val="20"/>
          <w:szCs w:val="20"/>
          <w:lang w:val="es-AR"/>
        </w:rPr>
        <w:t>requisitos</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registro</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Ley</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Títulos</w:t>
      </w:r>
      <w:r w:rsidR="001A28B3" w:rsidRPr="00EA7870">
        <w:rPr>
          <w:sz w:val="20"/>
          <w:szCs w:val="20"/>
          <w:lang w:val="es-AR"/>
        </w:rPr>
        <w:t xml:space="preserve"> </w:t>
      </w:r>
      <w:r w:rsidR="001E019F" w:rsidRPr="00EA7870">
        <w:rPr>
          <w:sz w:val="20"/>
          <w:szCs w:val="20"/>
          <w:lang w:val="es-AR"/>
        </w:rPr>
        <w:t>Valores</w:t>
      </w:r>
      <w:r w:rsidR="001A28B3" w:rsidRPr="00EA7870">
        <w:rPr>
          <w:sz w:val="20"/>
          <w:szCs w:val="20"/>
          <w:lang w:val="es-AR"/>
        </w:rPr>
        <w:t xml:space="preserve"> </w:t>
      </w:r>
      <w:r w:rsidR="001E019F" w:rsidRPr="00EA7870">
        <w:rPr>
          <w:sz w:val="20"/>
          <w:szCs w:val="20"/>
          <w:lang w:val="es-AR"/>
        </w:rPr>
        <w:t>Estadounidense</w:t>
      </w:r>
      <w:r w:rsidR="001A28B3" w:rsidRPr="00EA7870">
        <w:rPr>
          <w:sz w:val="20"/>
          <w:szCs w:val="20"/>
          <w:lang w:val="es-AR"/>
        </w:rPr>
        <w:t xml:space="preserve"> </w:t>
      </w:r>
      <w:r w:rsidR="001E019F" w:rsidRPr="00EA7870">
        <w:rPr>
          <w:sz w:val="20"/>
          <w:szCs w:val="20"/>
          <w:lang w:val="es-AR"/>
        </w:rPr>
        <w:t>en</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cual</w:t>
      </w:r>
      <w:r w:rsidR="001A28B3" w:rsidRPr="00EA7870">
        <w:rPr>
          <w:sz w:val="20"/>
          <w:szCs w:val="20"/>
          <w:lang w:val="es-AR"/>
        </w:rPr>
        <w:t xml:space="preserve"> </w:t>
      </w:r>
      <w:r w:rsidR="001E019F" w:rsidRPr="00EA7870">
        <w:rPr>
          <w:sz w:val="20"/>
          <w:szCs w:val="20"/>
          <w:lang w:val="es-AR"/>
        </w:rPr>
        <w:t>los</w:t>
      </w:r>
      <w:r w:rsidR="001A28B3" w:rsidRPr="00EA7870">
        <w:rPr>
          <w:sz w:val="20"/>
          <w:szCs w:val="20"/>
          <w:lang w:val="es-AR"/>
        </w:rPr>
        <w:t xml:space="preserve"> </w:t>
      </w:r>
      <w:r w:rsidR="001E019F" w:rsidRPr="00EA7870">
        <w:rPr>
          <w:sz w:val="20"/>
          <w:szCs w:val="20"/>
          <w:lang w:val="es-AR"/>
        </w:rPr>
        <w:t>Colocadores</w:t>
      </w:r>
      <w:r w:rsidR="001A28B3" w:rsidRPr="00EA7870">
        <w:rPr>
          <w:sz w:val="20"/>
          <w:szCs w:val="20"/>
          <w:lang w:val="es-AR"/>
        </w:rPr>
        <w:t xml:space="preserve"> </w:t>
      </w:r>
      <w:r w:rsidR="001E019F" w:rsidRPr="00EA7870">
        <w:rPr>
          <w:sz w:val="20"/>
          <w:szCs w:val="20"/>
          <w:lang w:val="es-AR"/>
        </w:rPr>
        <w:t>Internacionales</w:t>
      </w:r>
      <w:r w:rsidR="001A28B3" w:rsidRPr="00EA7870">
        <w:rPr>
          <w:sz w:val="20"/>
          <w:szCs w:val="20"/>
          <w:lang w:val="es-AR"/>
        </w:rPr>
        <w:t xml:space="preserve"> </w:t>
      </w:r>
      <w:r w:rsidR="001E019F" w:rsidRPr="00EA7870">
        <w:rPr>
          <w:sz w:val="20"/>
          <w:szCs w:val="20"/>
          <w:lang w:val="es-AR"/>
        </w:rPr>
        <w:t>actuarán</w:t>
      </w:r>
      <w:r w:rsidR="001A28B3" w:rsidRPr="00EA7870">
        <w:rPr>
          <w:sz w:val="20"/>
          <w:szCs w:val="20"/>
          <w:lang w:val="es-AR"/>
        </w:rPr>
        <w:t xml:space="preserve"> </w:t>
      </w:r>
      <w:r w:rsidR="001E019F" w:rsidRPr="00EA7870">
        <w:rPr>
          <w:sz w:val="20"/>
          <w:szCs w:val="20"/>
          <w:lang w:val="es-AR"/>
        </w:rPr>
        <w:t>como</w:t>
      </w:r>
      <w:r w:rsidR="001A28B3" w:rsidRPr="00EA7870">
        <w:rPr>
          <w:sz w:val="20"/>
          <w:szCs w:val="20"/>
          <w:lang w:val="es-AR"/>
        </w:rPr>
        <w:t xml:space="preserve"> </w:t>
      </w:r>
      <w:r w:rsidR="001E019F" w:rsidRPr="00EA7870">
        <w:rPr>
          <w:sz w:val="20"/>
          <w:szCs w:val="20"/>
          <w:lang w:val="es-AR"/>
        </w:rPr>
        <w:t>agentes</w:t>
      </w:r>
      <w:r w:rsidR="001A28B3" w:rsidRPr="00EA7870">
        <w:rPr>
          <w:sz w:val="20"/>
          <w:szCs w:val="20"/>
          <w:lang w:val="es-AR"/>
        </w:rPr>
        <w:t xml:space="preserve"> </w:t>
      </w:r>
      <w:r w:rsidR="001E019F" w:rsidRPr="00EA7870">
        <w:rPr>
          <w:sz w:val="20"/>
          <w:szCs w:val="20"/>
          <w:lang w:val="es-AR"/>
        </w:rPr>
        <w:t>colocadores</w:t>
      </w:r>
      <w:r w:rsidR="001A28B3" w:rsidRPr="00EA7870">
        <w:rPr>
          <w:sz w:val="20"/>
          <w:szCs w:val="20"/>
          <w:lang w:val="es-AR"/>
        </w:rPr>
        <w:t xml:space="preserve"> </w:t>
      </w:r>
      <w:r w:rsidR="001E019F" w:rsidRPr="00EA7870">
        <w:rPr>
          <w:sz w:val="20"/>
          <w:szCs w:val="20"/>
          <w:lang w:val="es-AR"/>
        </w:rPr>
        <w:t>(“</w:t>
      </w:r>
      <w:r w:rsidR="001E019F" w:rsidRPr="00EA7870">
        <w:rPr>
          <w:i/>
          <w:sz w:val="20"/>
          <w:szCs w:val="20"/>
          <w:lang w:val="es-AR"/>
        </w:rPr>
        <w:t>placement</w:t>
      </w:r>
      <w:r w:rsidR="001A28B3" w:rsidRPr="00EA7870">
        <w:rPr>
          <w:i/>
          <w:sz w:val="20"/>
          <w:szCs w:val="20"/>
          <w:lang w:val="es-AR"/>
        </w:rPr>
        <w:t xml:space="preserve"> </w:t>
      </w:r>
      <w:r w:rsidR="001E019F" w:rsidRPr="00EA7870">
        <w:rPr>
          <w:i/>
          <w:sz w:val="20"/>
          <w:szCs w:val="20"/>
          <w:lang w:val="es-AR"/>
        </w:rPr>
        <w:t>agents”</w:t>
      </w:r>
      <w:r w:rsidR="001E019F" w:rsidRPr="00EA7870">
        <w:rPr>
          <w:sz w:val="20"/>
          <w:szCs w:val="20"/>
          <w:lang w:val="es-AR"/>
        </w:rPr>
        <w:t>)</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dicha</w:t>
      </w:r>
      <w:r w:rsidR="001A28B3" w:rsidRPr="00EA7870">
        <w:rPr>
          <w:sz w:val="20"/>
          <w:szCs w:val="20"/>
          <w:lang w:val="es-AR"/>
        </w:rPr>
        <w:t xml:space="preserve"> </w:t>
      </w:r>
      <w:r w:rsidR="001E019F" w:rsidRPr="00EA7870">
        <w:rPr>
          <w:sz w:val="20"/>
          <w:szCs w:val="20"/>
          <w:lang w:val="es-AR"/>
        </w:rPr>
        <w:t>oferta,</w:t>
      </w:r>
      <w:r w:rsidR="001A28B3" w:rsidRPr="00EA7870">
        <w:rPr>
          <w:sz w:val="20"/>
          <w:szCs w:val="20"/>
          <w:lang w:val="es-AR"/>
        </w:rPr>
        <w:t xml:space="preserve"> </w:t>
      </w:r>
      <w:r w:rsidR="001E019F" w:rsidRPr="00EA7870">
        <w:rPr>
          <w:sz w:val="20"/>
          <w:szCs w:val="20"/>
          <w:lang w:val="es-AR"/>
        </w:rPr>
        <w:t>que</w:t>
      </w:r>
      <w:r w:rsidR="001A28B3" w:rsidRPr="00EA7870">
        <w:rPr>
          <w:sz w:val="20"/>
          <w:szCs w:val="20"/>
          <w:lang w:val="es-AR"/>
        </w:rPr>
        <w:t xml:space="preserve"> </w:t>
      </w:r>
      <w:r w:rsidR="001E019F" w:rsidRPr="00EA7870">
        <w:rPr>
          <w:sz w:val="20"/>
          <w:szCs w:val="20"/>
          <w:lang w:val="es-AR"/>
        </w:rPr>
        <w:t>estará</w:t>
      </w:r>
      <w:r w:rsidR="001A28B3" w:rsidRPr="00EA7870">
        <w:rPr>
          <w:sz w:val="20"/>
          <w:szCs w:val="20"/>
          <w:lang w:val="es-AR"/>
        </w:rPr>
        <w:t xml:space="preserve"> </w:t>
      </w:r>
      <w:r w:rsidR="001E019F" w:rsidRPr="00EA7870">
        <w:rPr>
          <w:sz w:val="20"/>
          <w:szCs w:val="20"/>
          <w:lang w:val="es-AR"/>
        </w:rPr>
        <w:t>dirigida</w:t>
      </w:r>
      <w:r w:rsidR="001A28B3" w:rsidRPr="00EA7870">
        <w:rPr>
          <w:sz w:val="20"/>
          <w:szCs w:val="20"/>
          <w:lang w:val="es-AR"/>
        </w:rPr>
        <w:t xml:space="preserve"> </w:t>
      </w:r>
      <w:r w:rsidR="001E019F" w:rsidRPr="00EA7870">
        <w:rPr>
          <w:sz w:val="20"/>
          <w:szCs w:val="20"/>
          <w:lang w:val="es-AR"/>
        </w:rPr>
        <w:t>(1)</w:t>
      </w:r>
      <w:r w:rsidR="001A28B3" w:rsidRPr="00EA7870">
        <w:rPr>
          <w:sz w:val="20"/>
          <w:szCs w:val="20"/>
          <w:lang w:val="es-AR"/>
        </w:rPr>
        <w:t xml:space="preserve"> </w:t>
      </w:r>
      <w:r w:rsidR="001E019F" w:rsidRPr="00EA7870">
        <w:rPr>
          <w:sz w:val="20"/>
          <w:szCs w:val="20"/>
          <w:lang w:val="es-AR"/>
        </w:rPr>
        <w:t>en</w:t>
      </w:r>
      <w:r w:rsidR="001A28B3" w:rsidRPr="00EA7870">
        <w:rPr>
          <w:sz w:val="20"/>
          <w:szCs w:val="20"/>
          <w:lang w:val="es-AR"/>
        </w:rPr>
        <w:t xml:space="preserve"> </w:t>
      </w:r>
      <w:r w:rsidR="001E019F" w:rsidRPr="00EA7870">
        <w:rPr>
          <w:sz w:val="20"/>
          <w:szCs w:val="20"/>
          <w:lang w:val="es-AR"/>
        </w:rPr>
        <w:t>los</w:t>
      </w:r>
      <w:r w:rsidR="001A28B3" w:rsidRPr="00EA7870">
        <w:rPr>
          <w:sz w:val="20"/>
          <w:szCs w:val="20"/>
          <w:lang w:val="es-AR"/>
        </w:rPr>
        <w:t xml:space="preserve"> </w:t>
      </w:r>
      <w:r w:rsidR="001E019F" w:rsidRPr="00EA7870">
        <w:rPr>
          <w:sz w:val="20"/>
          <w:szCs w:val="20"/>
          <w:lang w:val="es-AR"/>
        </w:rPr>
        <w:t>Estados</w:t>
      </w:r>
      <w:r w:rsidR="001A28B3" w:rsidRPr="00EA7870">
        <w:rPr>
          <w:sz w:val="20"/>
          <w:szCs w:val="20"/>
          <w:lang w:val="es-AR"/>
        </w:rPr>
        <w:t xml:space="preserve"> </w:t>
      </w:r>
      <w:r w:rsidR="001E019F" w:rsidRPr="00EA7870">
        <w:rPr>
          <w:sz w:val="20"/>
          <w:szCs w:val="20"/>
          <w:lang w:val="es-AR"/>
        </w:rPr>
        <w:t>Unidos,</w:t>
      </w:r>
      <w:r w:rsidR="001A28B3" w:rsidRPr="00EA7870">
        <w:rPr>
          <w:sz w:val="20"/>
          <w:szCs w:val="20"/>
          <w:lang w:val="es-AR"/>
        </w:rPr>
        <w:t xml:space="preserve"> </w:t>
      </w:r>
      <w:r w:rsidR="001E019F" w:rsidRPr="00EA7870">
        <w:rPr>
          <w:sz w:val="20"/>
          <w:szCs w:val="20"/>
          <w:lang w:val="es-AR"/>
        </w:rPr>
        <w:t>a</w:t>
      </w:r>
      <w:r w:rsidR="001A28B3" w:rsidRPr="00EA7870">
        <w:rPr>
          <w:sz w:val="20"/>
          <w:szCs w:val="20"/>
          <w:lang w:val="es-AR"/>
        </w:rPr>
        <w:t xml:space="preserve"> </w:t>
      </w:r>
      <w:r w:rsidR="001E019F" w:rsidRPr="00EA7870">
        <w:rPr>
          <w:sz w:val="20"/>
          <w:szCs w:val="20"/>
          <w:lang w:val="es-AR"/>
        </w:rPr>
        <w:t>ciertos</w:t>
      </w:r>
      <w:r w:rsidR="001A28B3" w:rsidRPr="00EA7870">
        <w:rPr>
          <w:sz w:val="20"/>
          <w:szCs w:val="20"/>
          <w:lang w:val="es-AR"/>
        </w:rPr>
        <w:t xml:space="preserve"> </w:t>
      </w:r>
      <w:r w:rsidR="001E019F" w:rsidRPr="00EA7870">
        <w:rPr>
          <w:sz w:val="20"/>
          <w:szCs w:val="20"/>
          <w:lang w:val="es-AR"/>
        </w:rPr>
        <w:t>inversores</w:t>
      </w:r>
      <w:r w:rsidR="001A28B3" w:rsidRPr="00EA7870">
        <w:rPr>
          <w:sz w:val="20"/>
          <w:szCs w:val="20"/>
          <w:lang w:val="es-AR"/>
        </w:rPr>
        <w:t xml:space="preserve"> </w:t>
      </w:r>
      <w:r w:rsidR="001E019F" w:rsidRPr="00EA7870">
        <w:rPr>
          <w:sz w:val="20"/>
          <w:szCs w:val="20"/>
          <w:lang w:val="es-AR"/>
        </w:rPr>
        <w:t>acreditados</w:t>
      </w:r>
      <w:r w:rsidR="001A28B3" w:rsidRPr="00EA7870">
        <w:rPr>
          <w:sz w:val="20"/>
          <w:szCs w:val="20"/>
          <w:lang w:val="es-AR"/>
        </w:rPr>
        <w:t xml:space="preserve"> </w:t>
      </w:r>
      <w:r w:rsidR="001E019F" w:rsidRPr="00EA7870">
        <w:rPr>
          <w:sz w:val="20"/>
          <w:szCs w:val="20"/>
          <w:lang w:val="es-AR"/>
        </w:rPr>
        <w:t>(“</w:t>
      </w:r>
      <w:r w:rsidR="001E019F" w:rsidRPr="00EA7870">
        <w:rPr>
          <w:i/>
          <w:sz w:val="20"/>
          <w:szCs w:val="20"/>
          <w:lang w:val="es-AR"/>
        </w:rPr>
        <w:t>accredited</w:t>
      </w:r>
      <w:r w:rsidR="001A28B3" w:rsidRPr="00EA7870">
        <w:rPr>
          <w:i/>
          <w:sz w:val="20"/>
          <w:szCs w:val="20"/>
          <w:lang w:val="es-AR"/>
        </w:rPr>
        <w:t xml:space="preserve"> </w:t>
      </w:r>
      <w:r w:rsidR="001E019F" w:rsidRPr="00EA7870">
        <w:rPr>
          <w:i/>
          <w:sz w:val="20"/>
          <w:szCs w:val="20"/>
          <w:lang w:val="es-AR"/>
        </w:rPr>
        <w:t>investors”</w:t>
      </w:r>
      <w:r w:rsidR="001E019F" w:rsidRPr="00EA7870">
        <w:rPr>
          <w:sz w:val="20"/>
          <w:szCs w:val="20"/>
          <w:lang w:val="es-AR"/>
        </w:rPr>
        <w:t>)</w:t>
      </w:r>
      <w:r w:rsidR="001A28B3" w:rsidRPr="00EA7870">
        <w:rPr>
          <w:sz w:val="20"/>
          <w:szCs w:val="20"/>
          <w:lang w:val="es-AR"/>
        </w:rPr>
        <w:t xml:space="preserve"> </w:t>
      </w:r>
      <w:r w:rsidR="001E019F" w:rsidRPr="00EA7870">
        <w:rPr>
          <w:sz w:val="20"/>
          <w:szCs w:val="20"/>
          <w:lang w:val="es-AR"/>
        </w:rPr>
        <w:t>institucionales</w:t>
      </w:r>
      <w:r w:rsidR="001A28B3" w:rsidRPr="00EA7870">
        <w:rPr>
          <w:sz w:val="20"/>
          <w:szCs w:val="20"/>
          <w:lang w:val="es-AR"/>
        </w:rPr>
        <w:t xml:space="preserve"> </w:t>
      </w:r>
      <w:r w:rsidR="001E019F" w:rsidRPr="00EA7870">
        <w:rPr>
          <w:sz w:val="20"/>
          <w:szCs w:val="20"/>
          <w:lang w:val="es-AR"/>
        </w:rPr>
        <w:t>(conforme</w:t>
      </w:r>
      <w:r w:rsidR="001A28B3" w:rsidRPr="00EA7870">
        <w:rPr>
          <w:sz w:val="20"/>
          <w:szCs w:val="20"/>
          <w:lang w:val="es-AR"/>
        </w:rPr>
        <w:t xml:space="preserve"> </w:t>
      </w:r>
      <w:r w:rsidR="001E019F" w:rsidRPr="00EA7870">
        <w:rPr>
          <w:sz w:val="20"/>
          <w:szCs w:val="20"/>
          <w:lang w:val="es-AR"/>
        </w:rPr>
        <w:t>se</w:t>
      </w:r>
      <w:r w:rsidR="001A28B3" w:rsidRPr="00EA7870">
        <w:rPr>
          <w:sz w:val="20"/>
          <w:szCs w:val="20"/>
          <w:lang w:val="es-AR"/>
        </w:rPr>
        <w:t xml:space="preserve"> </w:t>
      </w:r>
      <w:r w:rsidR="001E019F" w:rsidRPr="00EA7870">
        <w:rPr>
          <w:sz w:val="20"/>
          <w:szCs w:val="20"/>
          <w:lang w:val="es-AR"/>
        </w:rPr>
        <w:t>define</w:t>
      </w:r>
      <w:r w:rsidR="001A28B3" w:rsidRPr="00EA7870">
        <w:rPr>
          <w:sz w:val="20"/>
          <w:szCs w:val="20"/>
          <w:lang w:val="es-AR"/>
        </w:rPr>
        <w:t xml:space="preserve"> </w:t>
      </w:r>
      <w:r w:rsidR="001E019F" w:rsidRPr="00EA7870">
        <w:rPr>
          <w:sz w:val="20"/>
          <w:szCs w:val="20"/>
          <w:lang w:val="es-AR"/>
        </w:rPr>
        <w:t>en</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Regla</w:t>
      </w:r>
      <w:r w:rsidR="001A28B3" w:rsidRPr="00EA7870">
        <w:rPr>
          <w:sz w:val="20"/>
          <w:szCs w:val="20"/>
          <w:lang w:val="es-AR"/>
        </w:rPr>
        <w:t xml:space="preserve"> </w:t>
      </w:r>
      <w:r w:rsidR="008B5191" w:rsidRPr="00EA7870">
        <w:rPr>
          <w:sz w:val="20"/>
          <w:szCs w:val="20"/>
          <w:lang w:val="es-AR"/>
        </w:rPr>
        <w:t>501(a)</w:t>
      </w:r>
      <w:r w:rsidR="001A28B3" w:rsidRPr="00EA7870">
        <w:rPr>
          <w:sz w:val="20"/>
          <w:szCs w:val="20"/>
          <w:lang w:val="es-AR"/>
        </w:rPr>
        <w:t xml:space="preserve"> </w:t>
      </w:r>
      <w:r w:rsidR="001E019F" w:rsidRPr="00EA7870">
        <w:rPr>
          <w:sz w:val="20"/>
          <w:szCs w:val="20"/>
          <w:lang w:val="es-AR"/>
        </w:rPr>
        <w:t>bajo</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Regulación</w:t>
      </w:r>
      <w:r w:rsidR="001A28B3" w:rsidRPr="00EA7870">
        <w:rPr>
          <w:sz w:val="20"/>
          <w:szCs w:val="20"/>
          <w:lang w:val="es-AR"/>
        </w:rPr>
        <w:t xml:space="preserve"> </w:t>
      </w:r>
      <w:r w:rsidR="001E019F" w:rsidRPr="00EA7870">
        <w:rPr>
          <w:sz w:val="20"/>
          <w:szCs w:val="20"/>
          <w:lang w:val="es-AR"/>
        </w:rPr>
        <w:t>D</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Ley</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Títulos</w:t>
      </w:r>
      <w:r w:rsidR="001A28B3" w:rsidRPr="00EA7870">
        <w:rPr>
          <w:sz w:val="20"/>
          <w:szCs w:val="20"/>
          <w:lang w:val="es-AR"/>
        </w:rPr>
        <w:t xml:space="preserve"> </w:t>
      </w:r>
      <w:r w:rsidR="001E019F" w:rsidRPr="00EA7870">
        <w:rPr>
          <w:sz w:val="20"/>
          <w:szCs w:val="20"/>
          <w:lang w:val="es-AR"/>
        </w:rPr>
        <w:t>Valores</w:t>
      </w:r>
      <w:r w:rsidR="001A28B3" w:rsidRPr="00EA7870">
        <w:rPr>
          <w:sz w:val="20"/>
          <w:szCs w:val="20"/>
          <w:lang w:val="es-AR"/>
        </w:rPr>
        <w:t xml:space="preserve"> </w:t>
      </w:r>
      <w:r w:rsidR="001E019F" w:rsidRPr="00EA7870">
        <w:rPr>
          <w:sz w:val="20"/>
          <w:szCs w:val="20"/>
          <w:lang w:val="es-AR"/>
        </w:rPr>
        <w:t>Estadounidense),</w:t>
      </w:r>
      <w:r w:rsidR="001A28B3" w:rsidRPr="00EA7870">
        <w:rPr>
          <w:sz w:val="20"/>
          <w:szCs w:val="20"/>
          <w:lang w:val="es-AR"/>
        </w:rPr>
        <w:t xml:space="preserve"> </w:t>
      </w:r>
      <w:r w:rsidR="001E019F" w:rsidRPr="00EA7870">
        <w:rPr>
          <w:sz w:val="20"/>
          <w:szCs w:val="20"/>
          <w:lang w:val="es-AR"/>
        </w:rPr>
        <w:t>en</w:t>
      </w:r>
      <w:r w:rsidR="001A28B3" w:rsidRPr="00EA7870">
        <w:rPr>
          <w:sz w:val="20"/>
          <w:szCs w:val="20"/>
          <w:lang w:val="es-AR"/>
        </w:rPr>
        <w:t xml:space="preserve"> </w:t>
      </w:r>
      <w:r w:rsidR="001E019F" w:rsidRPr="00EA7870">
        <w:rPr>
          <w:sz w:val="20"/>
          <w:szCs w:val="20"/>
          <w:lang w:val="es-AR"/>
        </w:rPr>
        <w:t>virtud</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exención</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los</w:t>
      </w:r>
      <w:r w:rsidR="001A28B3" w:rsidRPr="00EA7870">
        <w:rPr>
          <w:sz w:val="20"/>
          <w:szCs w:val="20"/>
          <w:lang w:val="es-AR"/>
        </w:rPr>
        <w:t xml:space="preserve"> </w:t>
      </w:r>
      <w:r w:rsidR="001E019F" w:rsidRPr="00EA7870">
        <w:rPr>
          <w:sz w:val="20"/>
          <w:szCs w:val="20"/>
          <w:lang w:val="es-AR"/>
        </w:rPr>
        <w:t>requisitos</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registro</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Ley</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Títulos</w:t>
      </w:r>
      <w:r w:rsidR="001A28B3" w:rsidRPr="00EA7870">
        <w:rPr>
          <w:sz w:val="20"/>
          <w:szCs w:val="20"/>
          <w:lang w:val="es-AR"/>
        </w:rPr>
        <w:t xml:space="preserve"> </w:t>
      </w:r>
      <w:r w:rsidR="001E019F" w:rsidRPr="00EA7870">
        <w:rPr>
          <w:sz w:val="20"/>
          <w:szCs w:val="20"/>
          <w:lang w:val="es-AR"/>
        </w:rPr>
        <w:t>Valores</w:t>
      </w:r>
      <w:r w:rsidR="001A28B3" w:rsidRPr="00EA7870">
        <w:rPr>
          <w:sz w:val="20"/>
          <w:szCs w:val="20"/>
          <w:lang w:val="es-AR"/>
        </w:rPr>
        <w:t xml:space="preserve"> </w:t>
      </w:r>
      <w:r w:rsidR="001E019F" w:rsidRPr="00EA7870">
        <w:rPr>
          <w:sz w:val="20"/>
          <w:szCs w:val="20"/>
          <w:lang w:val="es-AR"/>
        </w:rPr>
        <w:t>Estadounidense</w:t>
      </w:r>
      <w:r w:rsidR="001A28B3" w:rsidRPr="00EA7870">
        <w:rPr>
          <w:sz w:val="20"/>
          <w:szCs w:val="20"/>
          <w:lang w:val="es-AR"/>
        </w:rPr>
        <w:t xml:space="preserve"> </w:t>
      </w:r>
      <w:r w:rsidR="001E019F" w:rsidRPr="00EA7870">
        <w:rPr>
          <w:sz w:val="20"/>
          <w:szCs w:val="20"/>
          <w:lang w:val="es-AR"/>
        </w:rPr>
        <w:t>sobre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base</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Regla</w:t>
      </w:r>
      <w:r w:rsidR="001A28B3" w:rsidRPr="00EA7870">
        <w:rPr>
          <w:sz w:val="20"/>
          <w:szCs w:val="20"/>
          <w:lang w:val="es-AR"/>
        </w:rPr>
        <w:t xml:space="preserve"> </w:t>
      </w:r>
      <w:r w:rsidR="001E019F" w:rsidRPr="00EA7870">
        <w:rPr>
          <w:sz w:val="20"/>
          <w:szCs w:val="20"/>
          <w:lang w:val="es-AR"/>
        </w:rPr>
        <w:t>4(a)(2)</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dicha</w:t>
      </w:r>
      <w:r w:rsidR="001A28B3" w:rsidRPr="00EA7870">
        <w:rPr>
          <w:sz w:val="20"/>
          <w:szCs w:val="20"/>
          <w:lang w:val="es-AR"/>
        </w:rPr>
        <w:t xml:space="preserve"> </w:t>
      </w:r>
      <w:r w:rsidR="001E019F" w:rsidRPr="00EA7870">
        <w:rPr>
          <w:sz w:val="20"/>
          <w:szCs w:val="20"/>
          <w:lang w:val="es-AR"/>
        </w:rPr>
        <w:t>ley,</w:t>
      </w:r>
      <w:r w:rsidR="001A28B3" w:rsidRPr="00EA7870">
        <w:rPr>
          <w:sz w:val="20"/>
          <w:szCs w:val="20"/>
          <w:lang w:val="es-AR"/>
        </w:rPr>
        <w:t xml:space="preserve"> </w:t>
      </w:r>
      <w:r w:rsidR="001E019F" w:rsidRPr="00EA7870">
        <w:rPr>
          <w:sz w:val="20"/>
          <w:szCs w:val="20"/>
          <w:lang w:val="es-AR"/>
        </w:rPr>
        <w:t>y</w:t>
      </w:r>
      <w:r w:rsidR="001A28B3" w:rsidRPr="00EA7870">
        <w:rPr>
          <w:sz w:val="20"/>
          <w:szCs w:val="20"/>
          <w:lang w:val="es-AR"/>
        </w:rPr>
        <w:t xml:space="preserve"> </w:t>
      </w:r>
      <w:r w:rsidR="001E019F" w:rsidRPr="00EA7870">
        <w:rPr>
          <w:sz w:val="20"/>
          <w:szCs w:val="20"/>
          <w:lang w:val="es-AR"/>
        </w:rPr>
        <w:t>(2)</w:t>
      </w:r>
      <w:r w:rsidR="001A28B3" w:rsidRPr="00EA7870">
        <w:rPr>
          <w:sz w:val="20"/>
          <w:szCs w:val="20"/>
          <w:lang w:val="es-AR"/>
        </w:rPr>
        <w:t xml:space="preserve"> </w:t>
      </w:r>
      <w:r w:rsidR="001E019F" w:rsidRPr="00EA7870">
        <w:rPr>
          <w:sz w:val="20"/>
          <w:szCs w:val="20"/>
          <w:lang w:val="es-AR"/>
        </w:rPr>
        <w:t>fuera</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los</w:t>
      </w:r>
      <w:r w:rsidR="001A28B3" w:rsidRPr="00EA7870">
        <w:rPr>
          <w:sz w:val="20"/>
          <w:szCs w:val="20"/>
          <w:lang w:val="es-AR"/>
        </w:rPr>
        <w:t xml:space="preserve"> </w:t>
      </w:r>
      <w:r w:rsidR="001E019F" w:rsidRPr="00EA7870">
        <w:rPr>
          <w:sz w:val="20"/>
          <w:szCs w:val="20"/>
          <w:lang w:val="es-AR"/>
        </w:rPr>
        <w:t>Estados</w:t>
      </w:r>
      <w:r w:rsidR="001A28B3" w:rsidRPr="00EA7870">
        <w:rPr>
          <w:sz w:val="20"/>
          <w:szCs w:val="20"/>
          <w:lang w:val="es-AR"/>
        </w:rPr>
        <w:t xml:space="preserve"> </w:t>
      </w:r>
      <w:r w:rsidR="001E019F" w:rsidRPr="00EA7870">
        <w:rPr>
          <w:sz w:val="20"/>
          <w:szCs w:val="20"/>
          <w:lang w:val="es-AR"/>
        </w:rPr>
        <w:t>Unidos</w:t>
      </w:r>
      <w:r w:rsidR="001A28B3" w:rsidRPr="00EA7870">
        <w:rPr>
          <w:sz w:val="20"/>
          <w:szCs w:val="20"/>
          <w:lang w:val="es-AR"/>
        </w:rPr>
        <w:t xml:space="preserve"> </w:t>
      </w:r>
      <w:r w:rsidR="001E019F" w:rsidRPr="00EA7870">
        <w:rPr>
          <w:sz w:val="20"/>
          <w:szCs w:val="20"/>
          <w:lang w:val="es-AR"/>
        </w:rPr>
        <w:t>y</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República</w:t>
      </w:r>
      <w:r w:rsidR="001A28B3" w:rsidRPr="00EA7870">
        <w:rPr>
          <w:sz w:val="20"/>
          <w:szCs w:val="20"/>
          <w:lang w:val="es-AR"/>
        </w:rPr>
        <w:t xml:space="preserve"> </w:t>
      </w:r>
      <w:r w:rsidR="001E019F" w:rsidRPr="00EA7870">
        <w:rPr>
          <w:sz w:val="20"/>
          <w:szCs w:val="20"/>
          <w:lang w:val="es-AR"/>
        </w:rPr>
        <w:t>Argentina,</w:t>
      </w:r>
      <w:r w:rsidR="001A28B3" w:rsidRPr="00EA7870">
        <w:rPr>
          <w:sz w:val="20"/>
          <w:szCs w:val="20"/>
          <w:lang w:val="es-AR"/>
        </w:rPr>
        <w:t xml:space="preserve"> </w:t>
      </w:r>
      <w:r w:rsidR="001E019F" w:rsidRPr="00EA7870">
        <w:rPr>
          <w:sz w:val="20"/>
          <w:szCs w:val="20"/>
          <w:lang w:val="es-AR"/>
        </w:rPr>
        <w:t>a</w:t>
      </w:r>
      <w:r w:rsidR="001A28B3" w:rsidRPr="00EA7870">
        <w:rPr>
          <w:sz w:val="20"/>
          <w:szCs w:val="20"/>
          <w:lang w:val="es-AR"/>
        </w:rPr>
        <w:t xml:space="preserve"> </w:t>
      </w:r>
      <w:r w:rsidR="001E019F" w:rsidRPr="00EA7870">
        <w:rPr>
          <w:sz w:val="20"/>
          <w:szCs w:val="20"/>
          <w:lang w:val="es-AR"/>
        </w:rPr>
        <w:t>personas</w:t>
      </w:r>
      <w:r w:rsidR="001A28B3" w:rsidRPr="00EA7870">
        <w:rPr>
          <w:sz w:val="20"/>
          <w:szCs w:val="20"/>
          <w:lang w:val="es-AR"/>
        </w:rPr>
        <w:t xml:space="preserve"> </w:t>
      </w:r>
      <w:r w:rsidR="001E019F" w:rsidRPr="00EA7870">
        <w:rPr>
          <w:sz w:val="20"/>
          <w:szCs w:val="20"/>
          <w:lang w:val="es-AR"/>
        </w:rPr>
        <w:t>no</w:t>
      </w:r>
      <w:r w:rsidR="001A28B3" w:rsidRPr="00EA7870">
        <w:rPr>
          <w:sz w:val="20"/>
          <w:szCs w:val="20"/>
          <w:lang w:val="es-AR"/>
        </w:rPr>
        <w:t xml:space="preserve"> </w:t>
      </w:r>
      <w:r w:rsidR="001E019F" w:rsidRPr="00EA7870">
        <w:rPr>
          <w:sz w:val="20"/>
          <w:szCs w:val="20"/>
          <w:lang w:val="es-AR"/>
        </w:rPr>
        <w:t>estadounidenses</w:t>
      </w:r>
      <w:r w:rsidR="001A28B3" w:rsidRPr="00EA7870">
        <w:rPr>
          <w:sz w:val="20"/>
          <w:szCs w:val="20"/>
          <w:lang w:val="es-AR"/>
        </w:rPr>
        <w:t xml:space="preserve"> </w:t>
      </w:r>
      <w:r w:rsidR="001E019F" w:rsidRPr="00EA7870">
        <w:rPr>
          <w:sz w:val="20"/>
          <w:szCs w:val="20"/>
          <w:lang w:val="es-AR"/>
        </w:rPr>
        <w:t>(“</w:t>
      </w:r>
      <w:r w:rsidR="001E019F" w:rsidRPr="00EA7870">
        <w:rPr>
          <w:i/>
          <w:sz w:val="20"/>
          <w:szCs w:val="20"/>
          <w:lang w:val="es-AR"/>
        </w:rPr>
        <w:t>non-U.S.</w:t>
      </w:r>
      <w:r w:rsidR="001A28B3" w:rsidRPr="00EA7870">
        <w:rPr>
          <w:i/>
          <w:sz w:val="20"/>
          <w:szCs w:val="20"/>
          <w:lang w:val="es-AR"/>
        </w:rPr>
        <w:t xml:space="preserve"> </w:t>
      </w:r>
      <w:r w:rsidR="001E019F" w:rsidRPr="00EA7870">
        <w:rPr>
          <w:i/>
          <w:sz w:val="20"/>
          <w:szCs w:val="20"/>
          <w:lang w:val="es-AR"/>
        </w:rPr>
        <w:t>persons</w:t>
      </w:r>
      <w:r w:rsidR="001E019F" w:rsidRPr="00EA7870">
        <w:rPr>
          <w:sz w:val="20"/>
          <w:szCs w:val="20"/>
          <w:lang w:val="es-AR"/>
        </w:rPr>
        <w:t>”)</w:t>
      </w:r>
      <w:r w:rsidR="001A28B3" w:rsidRPr="00EA7870">
        <w:rPr>
          <w:sz w:val="20"/>
          <w:szCs w:val="20"/>
          <w:lang w:val="es-AR"/>
        </w:rPr>
        <w:t xml:space="preserve"> </w:t>
      </w:r>
      <w:r w:rsidR="001E019F" w:rsidRPr="00EA7870">
        <w:rPr>
          <w:sz w:val="20"/>
          <w:szCs w:val="20"/>
          <w:lang w:val="es-AR"/>
        </w:rPr>
        <w:t>en</w:t>
      </w:r>
      <w:r w:rsidR="001A28B3" w:rsidRPr="00EA7870">
        <w:rPr>
          <w:sz w:val="20"/>
          <w:szCs w:val="20"/>
          <w:lang w:val="es-AR"/>
        </w:rPr>
        <w:t xml:space="preserve"> </w:t>
      </w:r>
      <w:r w:rsidR="001E019F" w:rsidRPr="00EA7870">
        <w:rPr>
          <w:sz w:val="20"/>
          <w:szCs w:val="20"/>
          <w:lang w:val="es-AR"/>
        </w:rPr>
        <w:t>transacciones</w:t>
      </w:r>
      <w:r w:rsidR="001A28B3" w:rsidRPr="00EA7870">
        <w:rPr>
          <w:sz w:val="20"/>
          <w:szCs w:val="20"/>
          <w:lang w:val="es-AR"/>
        </w:rPr>
        <w:t xml:space="preserve"> </w:t>
      </w:r>
      <w:r w:rsidR="001E019F" w:rsidRPr="00EA7870">
        <w:rPr>
          <w:sz w:val="20"/>
          <w:szCs w:val="20"/>
          <w:lang w:val="es-AR"/>
        </w:rPr>
        <w:t>fuera</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los</w:t>
      </w:r>
      <w:r w:rsidR="001A28B3" w:rsidRPr="00EA7870">
        <w:rPr>
          <w:sz w:val="20"/>
          <w:szCs w:val="20"/>
          <w:lang w:val="es-AR"/>
        </w:rPr>
        <w:t xml:space="preserve"> </w:t>
      </w:r>
      <w:r w:rsidR="001E019F" w:rsidRPr="00EA7870">
        <w:rPr>
          <w:sz w:val="20"/>
          <w:szCs w:val="20"/>
          <w:lang w:val="es-AR"/>
        </w:rPr>
        <w:t>Estados</w:t>
      </w:r>
      <w:r w:rsidR="001A28B3" w:rsidRPr="00EA7870">
        <w:rPr>
          <w:sz w:val="20"/>
          <w:szCs w:val="20"/>
          <w:lang w:val="es-AR"/>
        </w:rPr>
        <w:t xml:space="preserve"> </w:t>
      </w:r>
      <w:r w:rsidR="001E019F" w:rsidRPr="00EA7870">
        <w:rPr>
          <w:sz w:val="20"/>
          <w:szCs w:val="20"/>
          <w:lang w:val="es-AR"/>
        </w:rPr>
        <w:t>Unidos</w:t>
      </w:r>
      <w:r w:rsidR="001A28B3" w:rsidRPr="00EA7870">
        <w:rPr>
          <w:sz w:val="20"/>
          <w:szCs w:val="20"/>
          <w:lang w:val="es-AR"/>
        </w:rPr>
        <w:t xml:space="preserve"> </w:t>
      </w:r>
      <w:r w:rsidR="001E019F" w:rsidRPr="00EA7870">
        <w:rPr>
          <w:sz w:val="20"/>
          <w:szCs w:val="20"/>
          <w:lang w:val="es-AR"/>
        </w:rPr>
        <w:t>(“</w:t>
      </w:r>
      <w:r w:rsidR="001E019F" w:rsidRPr="00EA7870">
        <w:rPr>
          <w:i/>
          <w:sz w:val="20"/>
          <w:szCs w:val="20"/>
          <w:lang w:val="es-AR"/>
        </w:rPr>
        <w:t>offshore</w:t>
      </w:r>
      <w:r w:rsidR="001A28B3" w:rsidRPr="00EA7870">
        <w:rPr>
          <w:i/>
          <w:sz w:val="20"/>
          <w:szCs w:val="20"/>
          <w:lang w:val="es-AR"/>
        </w:rPr>
        <w:t xml:space="preserve"> </w:t>
      </w:r>
      <w:r w:rsidR="001E019F" w:rsidRPr="00EA7870">
        <w:rPr>
          <w:i/>
          <w:sz w:val="20"/>
          <w:szCs w:val="20"/>
          <w:lang w:val="es-AR"/>
        </w:rPr>
        <w:t>transactions</w:t>
      </w:r>
      <w:r w:rsidR="001E019F" w:rsidRPr="00EA7870">
        <w:rPr>
          <w:sz w:val="20"/>
          <w:szCs w:val="20"/>
          <w:lang w:val="es-AR"/>
        </w:rPr>
        <w:t>”)</w:t>
      </w:r>
      <w:r w:rsidR="001A28B3" w:rsidRPr="00EA7870">
        <w:rPr>
          <w:sz w:val="20"/>
          <w:szCs w:val="20"/>
          <w:lang w:val="es-AR"/>
        </w:rPr>
        <w:t xml:space="preserve"> </w:t>
      </w:r>
      <w:r w:rsidR="001E019F" w:rsidRPr="00EA7870">
        <w:rPr>
          <w:sz w:val="20"/>
          <w:szCs w:val="20"/>
          <w:lang w:val="es-AR"/>
        </w:rPr>
        <w:t>en</w:t>
      </w:r>
      <w:r w:rsidR="001A28B3" w:rsidRPr="00EA7870">
        <w:rPr>
          <w:sz w:val="20"/>
          <w:szCs w:val="20"/>
          <w:lang w:val="es-AR"/>
        </w:rPr>
        <w:t xml:space="preserve"> </w:t>
      </w:r>
      <w:r w:rsidR="001E019F" w:rsidRPr="00EA7870">
        <w:rPr>
          <w:sz w:val="20"/>
          <w:szCs w:val="20"/>
          <w:lang w:val="es-AR"/>
        </w:rPr>
        <w:t>virtud</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exención</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los</w:t>
      </w:r>
      <w:r w:rsidR="001A28B3" w:rsidRPr="00EA7870">
        <w:rPr>
          <w:sz w:val="20"/>
          <w:szCs w:val="20"/>
          <w:lang w:val="es-AR"/>
        </w:rPr>
        <w:t xml:space="preserve"> </w:t>
      </w:r>
      <w:r w:rsidR="001E019F" w:rsidRPr="00EA7870">
        <w:rPr>
          <w:sz w:val="20"/>
          <w:szCs w:val="20"/>
          <w:lang w:val="es-AR"/>
        </w:rPr>
        <w:t>requisitos</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registro</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Ley</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Títulos</w:t>
      </w:r>
      <w:r w:rsidR="001A28B3" w:rsidRPr="00EA7870">
        <w:rPr>
          <w:sz w:val="20"/>
          <w:szCs w:val="20"/>
          <w:lang w:val="es-AR"/>
        </w:rPr>
        <w:t xml:space="preserve"> </w:t>
      </w:r>
      <w:r w:rsidR="001E019F" w:rsidRPr="00EA7870">
        <w:rPr>
          <w:sz w:val="20"/>
          <w:szCs w:val="20"/>
          <w:lang w:val="es-AR"/>
        </w:rPr>
        <w:t>Valores</w:t>
      </w:r>
      <w:r w:rsidR="001A28B3" w:rsidRPr="00EA7870">
        <w:rPr>
          <w:sz w:val="20"/>
          <w:szCs w:val="20"/>
          <w:lang w:val="es-AR"/>
        </w:rPr>
        <w:t xml:space="preserve"> </w:t>
      </w:r>
      <w:r w:rsidR="001E019F" w:rsidRPr="00EA7870">
        <w:rPr>
          <w:sz w:val="20"/>
          <w:szCs w:val="20"/>
          <w:lang w:val="es-AR"/>
        </w:rPr>
        <w:t>Estadounidense</w:t>
      </w:r>
      <w:r w:rsidR="001A28B3" w:rsidRPr="00EA7870">
        <w:rPr>
          <w:sz w:val="20"/>
          <w:szCs w:val="20"/>
          <w:lang w:val="es-AR"/>
        </w:rPr>
        <w:t xml:space="preserve"> </w:t>
      </w:r>
      <w:r w:rsidR="001E019F" w:rsidRPr="00EA7870">
        <w:rPr>
          <w:sz w:val="20"/>
          <w:szCs w:val="20"/>
          <w:lang w:val="es-AR"/>
        </w:rPr>
        <w:t>sobre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base</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la</w:t>
      </w:r>
      <w:r w:rsidR="001A28B3" w:rsidRPr="00EA7870">
        <w:rPr>
          <w:sz w:val="20"/>
          <w:szCs w:val="20"/>
          <w:lang w:val="es-AR"/>
        </w:rPr>
        <w:t xml:space="preserve"> </w:t>
      </w:r>
      <w:r w:rsidR="001E019F" w:rsidRPr="00EA7870">
        <w:rPr>
          <w:sz w:val="20"/>
          <w:szCs w:val="20"/>
          <w:lang w:val="es-AR"/>
        </w:rPr>
        <w:t>Regulación</w:t>
      </w:r>
      <w:r w:rsidR="001A28B3" w:rsidRPr="00EA7870">
        <w:rPr>
          <w:sz w:val="20"/>
          <w:szCs w:val="20"/>
          <w:lang w:val="es-AR"/>
        </w:rPr>
        <w:t xml:space="preserve"> </w:t>
      </w:r>
      <w:r w:rsidR="001E019F" w:rsidRPr="00EA7870">
        <w:rPr>
          <w:sz w:val="20"/>
          <w:szCs w:val="20"/>
          <w:lang w:val="es-AR"/>
        </w:rPr>
        <w:t>S</w:t>
      </w:r>
      <w:r w:rsidR="001A28B3" w:rsidRPr="00EA7870">
        <w:rPr>
          <w:sz w:val="20"/>
          <w:szCs w:val="20"/>
          <w:lang w:val="es-AR"/>
        </w:rPr>
        <w:t xml:space="preserve"> </w:t>
      </w:r>
      <w:r w:rsidR="001E019F" w:rsidRPr="00EA7870">
        <w:rPr>
          <w:sz w:val="20"/>
          <w:szCs w:val="20"/>
          <w:lang w:val="es-AR"/>
        </w:rPr>
        <w:t>de</w:t>
      </w:r>
      <w:r w:rsidR="001A28B3" w:rsidRPr="00EA7870">
        <w:rPr>
          <w:sz w:val="20"/>
          <w:szCs w:val="20"/>
          <w:lang w:val="es-AR"/>
        </w:rPr>
        <w:t xml:space="preserve"> </w:t>
      </w:r>
      <w:r w:rsidR="001E019F" w:rsidRPr="00EA7870">
        <w:rPr>
          <w:sz w:val="20"/>
          <w:szCs w:val="20"/>
          <w:lang w:val="es-AR"/>
        </w:rPr>
        <w:t>dicha</w:t>
      </w:r>
      <w:r w:rsidR="001A28B3" w:rsidRPr="00EA7870">
        <w:rPr>
          <w:sz w:val="20"/>
          <w:szCs w:val="20"/>
          <w:lang w:val="es-AR"/>
        </w:rPr>
        <w:t xml:space="preserve"> </w:t>
      </w:r>
      <w:r w:rsidR="001E019F" w:rsidRPr="00EA7870">
        <w:rPr>
          <w:sz w:val="20"/>
          <w:szCs w:val="20"/>
          <w:lang w:val="es-AR"/>
        </w:rPr>
        <w:t>ley.</w:t>
      </w:r>
      <w:r w:rsidR="001A28B3" w:rsidRPr="00EA7870">
        <w:rPr>
          <w:sz w:val="20"/>
          <w:szCs w:val="20"/>
          <w:lang w:val="es-AR"/>
        </w:rPr>
        <w:t xml:space="preserve"> </w:t>
      </w:r>
    </w:p>
    <w:p w14:paraId="3F6996AB" w14:textId="77777777" w:rsidR="001E019F" w:rsidRPr="00EA7870" w:rsidRDefault="001E019F" w:rsidP="001E019F">
      <w:pPr>
        <w:jc w:val="both"/>
        <w:rPr>
          <w:sz w:val="20"/>
          <w:szCs w:val="20"/>
          <w:lang w:val="es-AR"/>
        </w:rPr>
      </w:pPr>
    </w:p>
    <w:p w14:paraId="50C5F929" w14:textId="77777777" w:rsidR="004F49AE" w:rsidRPr="00EA7870" w:rsidRDefault="004F49AE" w:rsidP="004F49AE">
      <w:pPr>
        <w:jc w:val="both"/>
        <w:rPr>
          <w:sz w:val="20"/>
          <w:szCs w:val="20"/>
          <w:lang w:val="es-AR"/>
        </w:rPr>
      </w:pPr>
      <w:r w:rsidRPr="00EA7870">
        <w:rPr>
          <w:sz w:val="20"/>
          <w:szCs w:val="20"/>
          <w:lang w:val="es-AR"/>
        </w:rPr>
        <w:t>Las Obligaciones Negociables no han sido ni serán registradas bajo la Ley de Títulos Valores de Estadounidense ni bajo ninguna ley de títulos valores vigente en cualquier estado de los Estados Unidos y no podrán ser ofrecidas ni vendidas dentro de los Estados Unidos o a personas estadounidenses, salvo en virtud de una excepción a los requisitos de registro de la Ley de Títulos Valores Estadounidense (y de las leyes de títulos valores vigentes en cualquier estado de los Estados Unidos) o en operaciones no sujetas a tales requisitos.</w:t>
      </w:r>
    </w:p>
    <w:p w14:paraId="55F467F8" w14:textId="77777777" w:rsidR="004F49AE" w:rsidRPr="00EA7870" w:rsidRDefault="004F49AE" w:rsidP="004F49AE">
      <w:pPr>
        <w:jc w:val="both"/>
        <w:rPr>
          <w:sz w:val="20"/>
          <w:szCs w:val="20"/>
          <w:lang w:val="es-AR"/>
        </w:rPr>
      </w:pPr>
    </w:p>
    <w:p w14:paraId="1C457946" w14:textId="72046BBE" w:rsidR="004F49AE" w:rsidRPr="00EA7870" w:rsidRDefault="004F49AE" w:rsidP="004F49AE">
      <w:pPr>
        <w:pStyle w:val="BodyText2Sgl"/>
        <w:jc w:val="both"/>
        <w:rPr>
          <w:rFonts w:ascii="Times New Roman" w:hAnsi="Times New Roman"/>
          <w:sz w:val="20"/>
          <w:szCs w:val="20"/>
          <w:lang w:val="es-AR"/>
        </w:rPr>
      </w:pPr>
      <w:r w:rsidRPr="00EA7870">
        <w:rPr>
          <w:rFonts w:ascii="Times New Roman" w:hAnsi="Times New Roman"/>
          <w:sz w:val="20"/>
          <w:szCs w:val="20"/>
          <w:lang w:val="es-AR"/>
        </w:rPr>
        <w:t>En la Oferta Internacional: (i) las Obligaciones Negociables serán colocadas por los Colocadores Internacionales fuera de Argentina a través de documentos redactado en idioma inglés (</w:t>
      </w:r>
      <w:r w:rsidRPr="00EA7870">
        <w:rPr>
          <w:rFonts w:ascii="Times New Roman" w:hAnsi="Times New Roman"/>
          <w:i/>
          <w:sz w:val="20"/>
          <w:szCs w:val="20"/>
          <w:lang w:val="es-AR"/>
        </w:rPr>
        <w:t>placement memorandum</w:t>
      </w:r>
      <w:r w:rsidRPr="00EA7870">
        <w:rPr>
          <w:rFonts w:ascii="Times New Roman" w:hAnsi="Times New Roman"/>
          <w:sz w:val="20"/>
          <w:szCs w:val="20"/>
          <w:lang w:val="es-AR"/>
        </w:rPr>
        <w:t xml:space="preserve">) que la Emisora y los Colocadores Internacionales pondrán a disposición de los potenciales inversores y que serán en términos sustancialmente similares al Suplemento y al Prospecto (dicho documento no se encuentra sujeto a la revisión ni conforme de la CNV); y (ii) las Manifestaciones de Interés que correspondan a inversores interesados en adquirir las Obligaciones Negociables a través de la Oferta Internacional, y se presenten fuera de la Argentina, tendrán la forma de un </w:t>
      </w:r>
      <w:r w:rsidR="00A57CE4" w:rsidRPr="00EA7870">
        <w:rPr>
          <w:rFonts w:ascii="Times New Roman" w:hAnsi="Times New Roman"/>
          <w:sz w:val="20"/>
          <w:szCs w:val="20"/>
          <w:lang w:val="es-AR"/>
        </w:rPr>
        <w:t>A</w:t>
      </w:r>
      <w:r w:rsidRPr="00EA7870">
        <w:rPr>
          <w:rFonts w:ascii="Times New Roman" w:hAnsi="Times New Roman"/>
          <w:sz w:val="20"/>
          <w:szCs w:val="20"/>
          <w:lang w:val="es-AR"/>
        </w:rPr>
        <w:t xml:space="preserve">cuerdo de </w:t>
      </w:r>
      <w:r w:rsidR="00A57CE4" w:rsidRPr="00EA7870">
        <w:rPr>
          <w:rFonts w:ascii="Times New Roman" w:hAnsi="Times New Roman"/>
          <w:sz w:val="20"/>
          <w:szCs w:val="20"/>
          <w:lang w:val="es-AR"/>
        </w:rPr>
        <w:t>C</w:t>
      </w:r>
      <w:r w:rsidRPr="00EA7870">
        <w:rPr>
          <w:rFonts w:ascii="Times New Roman" w:hAnsi="Times New Roman"/>
          <w:sz w:val="20"/>
          <w:szCs w:val="20"/>
          <w:lang w:val="es-AR"/>
        </w:rPr>
        <w:t>ompra de Obligaciones Negociables (</w:t>
      </w:r>
      <w:r w:rsidRPr="00EA7870">
        <w:rPr>
          <w:rFonts w:ascii="Times New Roman" w:hAnsi="Times New Roman"/>
          <w:i/>
          <w:iCs/>
          <w:sz w:val="20"/>
          <w:szCs w:val="20"/>
          <w:lang w:val="es-AR"/>
        </w:rPr>
        <w:t>note purchase agreement</w:t>
      </w:r>
      <w:r w:rsidRPr="00EA7870">
        <w:rPr>
          <w:rFonts w:ascii="Times New Roman" w:hAnsi="Times New Roman"/>
          <w:sz w:val="20"/>
          <w:szCs w:val="20"/>
          <w:lang w:val="es-AR"/>
        </w:rPr>
        <w:t xml:space="preserve">) celebrado con la Emisora que será puesto a disposición de dichos inversores interesados fuera de la Argentina. </w:t>
      </w:r>
    </w:p>
    <w:p w14:paraId="304A46A6" w14:textId="77777777" w:rsidR="004F49AE" w:rsidRPr="00EA7870" w:rsidRDefault="004F49AE" w:rsidP="004F49AE">
      <w:pPr>
        <w:pStyle w:val="BodyText2Sgl"/>
        <w:jc w:val="both"/>
        <w:rPr>
          <w:rFonts w:ascii="Times New Roman" w:hAnsi="Times New Roman"/>
          <w:sz w:val="20"/>
          <w:szCs w:val="20"/>
          <w:lang w:val="es-AR"/>
        </w:rPr>
      </w:pPr>
    </w:p>
    <w:p w14:paraId="2C852E70" w14:textId="77777777" w:rsidR="004F49AE" w:rsidRPr="00EA7870" w:rsidRDefault="004F49AE" w:rsidP="004F49AE">
      <w:pPr>
        <w:pStyle w:val="BodyText2Sgl"/>
        <w:jc w:val="both"/>
        <w:rPr>
          <w:rFonts w:ascii="Times New Roman" w:hAnsi="Times New Roman"/>
          <w:sz w:val="20"/>
          <w:szCs w:val="20"/>
          <w:lang w:val="es-AR"/>
        </w:rPr>
      </w:pPr>
      <w:r w:rsidRPr="00EA7870">
        <w:rPr>
          <w:rFonts w:ascii="Times New Roman" w:hAnsi="Times New Roman"/>
          <w:sz w:val="20"/>
          <w:szCs w:val="20"/>
          <w:lang w:val="es-AR"/>
        </w:rPr>
        <w:t>Los Colocadores Internacionales no actuarán como colocadores en firme (</w:t>
      </w:r>
      <w:r w:rsidRPr="00EA7870">
        <w:rPr>
          <w:rFonts w:ascii="Times New Roman" w:hAnsi="Times New Roman"/>
          <w:i/>
          <w:sz w:val="20"/>
          <w:szCs w:val="20"/>
          <w:lang w:val="es-AR"/>
        </w:rPr>
        <w:t>underwriters</w:t>
      </w:r>
      <w:r w:rsidRPr="00EA7870">
        <w:rPr>
          <w:rFonts w:ascii="Times New Roman" w:hAnsi="Times New Roman"/>
          <w:sz w:val="20"/>
          <w:szCs w:val="20"/>
          <w:lang w:val="es-AR"/>
        </w:rPr>
        <w:t xml:space="preserve">) ni como compradores iniciales </w:t>
      </w:r>
      <w:r w:rsidRPr="00EA7870">
        <w:rPr>
          <w:rFonts w:ascii="Times New Roman" w:hAnsi="Times New Roman"/>
          <w:i/>
          <w:sz w:val="20"/>
          <w:szCs w:val="20"/>
          <w:lang w:val="es-AR"/>
        </w:rPr>
        <w:t xml:space="preserve">(initial purchasers) </w:t>
      </w:r>
      <w:r w:rsidRPr="00EA7870">
        <w:rPr>
          <w:rFonts w:ascii="Times New Roman" w:hAnsi="Times New Roman"/>
          <w:sz w:val="20"/>
          <w:szCs w:val="20"/>
          <w:lang w:val="es-AR"/>
        </w:rPr>
        <w:t>de las Obligaciones Negociables en el marco de un contrato de compra internacional. Por lo tanto, los Colocadores Internacionales no adquirirán ni realizarán venta previa de las Obligaciones Negociables.</w:t>
      </w:r>
    </w:p>
    <w:p w14:paraId="0C535A41" w14:textId="77777777" w:rsidR="00E839C2" w:rsidRPr="00EA7870" w:rsidRDefault="00E839C2" w:rsidP="00AC1B5F">
      <w:pPr>
        <w:jc w:val="both"/>
        <w:rPr>
          <w:b/>
          <w:sz w:val="20"/>
          <w:szCs w:val="20"/>
          <w:lang w:val="es-AR"/>
        </w:rPr>
      </w:pPr>
    </w:p>
    <w:p w14:paraId="74BA21BD" w14:textId="77777777" w:rsidR="00E06527" w:rsidRPr="00EA7870" w:rsidRDefault="00E06527" w:rsidP="00AC1B5F">
      <w:pPr>
        <w:jc w:val="both"/>
        <w:rPr>
          <w:b/>
          <w:sz w:val="20"/>
          <w:szCs w:val="20"/>
          <w:lang w:val="es-AR"/>
        </w:rPr>
      </w:pPr>
      <w:r w:rsidRPr="00EA7870">
        <w:rPr>
          <w:b/>
          <w:sz w:val="20"/>
          <w:szCs w:val="20"/>
          <w:lang w:val="es-AR"/>
        </w:rPr>
        <w:t>Oferta</w:t>
      </w:r>
      <w:r w:rsidR="001A28B3" w:rsidRPr="00EA7870">
        <w:rPr>
          <w:b/>
          <w:sz w:val="20"/>
          <w:szCs w:val="20"/>
          <w:lang w:val="es-AR"/>
        </w:rPr>
        <w:t xml:space="preserve"> </w:t>
      </w:r>
      <w:r w:rsidRPr="00EA7870">
        <w:rPr>
          <w:b/>
          <w:sz w:val="20"/>
          <w:szCs w:val="20"/>
          <w:lang w:val="es-AR"/>
        </w:rPr>
        <w:t>Local</w:t>
      </w:r>
    </w:p>
    <w:p w14:paraId="23AD3D5B" w14:textId="77777777" w:rsidR="00AC1B5F" w:rsidRPr="00EA7870" w:rsidRDefault="00AC1B5F" w:rsidP="004A5A75">
      <w:pPr>
        <w:jc w:val="both"/>
        <w:rPr>
          <w:b/>
          <w:sz w:val="20"/>
          <w:szCs w:val="20"/>
          <w:lang w:val="es-AR"/>
        </w:rPr>
      </w:pPr>
    </w:p>
    <w:p w14:paraId="4817A2E6" w14:textId="77777777" w:rsidR="003C1D60" w:rsidRPr="00EA7870" w:rsidRDefault="00E06527" w:rsidP="003C1D60">
      <w:pPr>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colocadas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B9035E"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medio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cumplirá</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todos</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pública,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BD19EB" w:rsidRPr="00EA7870">
        <w:rPr>
          <w:sz w:val="20"/>
          <w:szCs w:val="20"/>
          <w:lang w:val="es-AR"/>
        </w:rPr>
        <w:t xml:space="preserve">, la </w:t>
      </w:r>
      <w:r w:rsidR="00D22F7D" w:rsidRPr="00EA7870">
        <w:rPr>
          <w:sz w:val="20"/>
          <w:szCs w:val="20"/>
          <w:lang w:val="es-AR"/>
        </w:rPr>
        <w:t xml:space="preserve">Ley de Mercado de Capitales,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demás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00B9035E" w:rsidRPr="00EA7870">
        <w:rPr>
          <w:sz w:val="20"/>
          <w:szCs w:val="20"/>
          <w:lang w:val="es-AR"/>
        </w:rPr>
        <w:t>y</w:t>
      </w:r>
      <w:r w:rsidR="001A28B3" w:rsidRPr="00EA7870">
        <w:rPr>
          <w:sz w:val="20"/>
          <w:szCs w:val="20"/>
          <w:lang w:val="es-AR"/>
        </w:rPr>
        <w:t xml:space="preserve"> </w:t>
      </w:r>
      <w:r w:rsidR="00B9035E" w:rsidRPr="00EA7870">
        <w:rPr>
          <w:sz w:val="20"/>
          <w:szCs w:val="20"/>
          <w:lang w:val="es-AR"/>
        </w:rPr>
        <w:t>regulaciones</w:t>
      </w:r>
      <w:r w:rsidR="001A28B3" w:rsidRPr="00EA7870">
        <w:rPr>
          <w:sz w:val="20"/>
          <w:szCs w:val="20"/>
          <w:lang w:val="es-AR"/>
        </w:rPr>
        <w:t xml:space="preserve"> </w:t>
      </w:r>
      <w:r w:rsidRPr="00EA7870">
        <w:rPr>
          <w:sz w:val="20"/>
          <w:szCs w:val="20"/>
          <w:lang w:val="es-AR"/>
        </w:rPr>
        <w:t>argentinas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tal</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00AA46FF" w:rsidRPr="00EA7870">
        <w:rPr>
          <w:sz w:val="20"/>
          <w:szCs w:val="20"/>
          <w:lang w:val="es-AR"/>
        </w:rPr>
        <w:t>la</w:t>
      </w:r>
      <w:r w:rsidR="001A28B3" w:rsidRPr="00EA7870">
        <w:rPr>
          <w:sz w:val="20"/>
          <w:szCs w:val="20"/>
          <w:lang w:val="es-AR"/>
        </w:rPr>
        <w:t xml:space="preserve"> </w:t>
      </w:r>
      <w:r w:rsidR="00AA46FF" w:rsidRPr="00EA7870">
        <w:rPr>
          <w:sz w:val="20"/>
          <w:szCs w:val="20"/>
          <w:lang w:val="es-AR"/>
        </w:rPr>
        <w:t>creación</w:t>
      </w:r>
      <w:r w:rsidR="001A28B3" w:rsidRPr="00EA7870">
        <w:rPr>
          <w:sz w:val="20"/>
          <w:szCs w:val="20"/>
          <w:lang w:val="es-AR"/>
        </w:rPr>
        <w:t xml:space="preserve"> </w:t>
      </w:r>
      <w:r w:rsidR="00AA46FF" w:rsidRPr="00EA7870">
        <w:rPr>
          <w:sz w:val="20"/>
          <w:szCs w:val="20"/>
          <w:lang w:val="es-AR"/>
        </w:rPr>
        <w:t>del</w:t>
      </w:r>
      <w:r w:rsidR="001A28B3" w:rsidRPr="00EA7870">
        <w:rPr>
          <w:sz w:val="20"/>
          <w:szCs w:val="20"/>
          <w:lang w:val="es-AR"/>
        </w:rPr>
        <w:t xml:space="preserve"> </w:t>
      </w:r>
      <w:r w:rsidR="00AA46FF" w:rsidRPr="00EA7870">
        <w:rPr>
          <w:sz w:val="20"/>
          <w:szCs w:val="20"/>
          <w:lang w:val="es-AR"/>
        </w:rPr>
        <w:t>Programa</w:t>
      </w:r>
      <w:r w:rsidR="001A28B3" w:rsidRPr="00EA7870">
        <w:rPr>
          <w:sz w:val="20"/>
          <w:szCs w:val="20"/>
          <w:lang w:val="es-AR"/>
        </w:rPr>
        <w:t xml:space="preserve"> </w:t>
      </w:r>
      <w:r w:rsidR="00AA46FF" w:rsidRPr="00EA7870">
        <w:rPr>
          <w:sz w:val="20"/>
          <w:szCs w:val="20"/>
          <w:lang w:val="es-AR"/>
        </w:rPr>
        <w:t>y</w:t>
      </w:r>
      <w:r w:rsidR="001A28B3" w:rsidRPr="00EA7870">
        <w:rPr>
          <w:sz w:val="20"/>
          <w:szCs w:val="20"/>
          <w:lang w:val="es-AR"/>
        </w:rPr>
        <w:t xml:space="preserve"> </w:t>
      </w:r>
      <w:r w:rsidR="00AA46FF" w:rsidRPr="00EA7870">
        <w:rPr>
          <w:sz w:val="20"/>
          <w:szCs w:val="20"/>
          <w:lang w:val="es-AR"/>
        </w:rPr>
        <w:t>la</w:t>
      </w:r>
      <w:r w:rsidR="001A28B3" w:rsidRPr="00EA7870">
        <w:rPr>
          <w:sz w:val="20"/>
          <w:szCs w:val="20"/>
          <w:lang w:val="es-AR"/>
        </w:rPr>
        <w:t xml:space="preserve"> </w:t>
      </w:r>
      <w:r w:rsidR="00AA46FF" w:rsidRPr="00EA7870">
        <w:rPr>
          <w:sz w:val="20"/>
          <w:szCs w:val="20"/>
          <w:lang w:val="es-AR"/>
        </w:rPr>
        <w:t>oferta</w:t>
      </w:r>
      <w:r w:rsidR="001A28B3" w:rsidRPr="00EA7870">
        <w:rPr>
          <w:sz w:val="20"/>
          <w:szCs w:val="20"/>
          <w:lang w:val="es-AR"/>
        </w:rPr>
        <w:t xml:space="preserve"> </w:t>
      </w:r>
      <w:r w:rsidR="00AA46FF" w:rsidRPr="00EA7870">
        <w:rPr>
          <w:sz w:val="20"/>
          <w:szCs w:val="20"/>
          <w:lang w:val="es-AR"/>
        </w:rPr>
        <w:t>pública</w:t>
      </w:r>
      <w:r w:rsidR="001A28B3" w:rsidRPr="00EA7870">
        <w:rPr>
          <w:sz w:val="20"/>
          <w:szCs w:val="20"/>
          <w:lang w:val="es-AR"/>
        </w:rPr>
        <w:t xml:space="preserve"> </w:t>
      </w:r>
      <w:r w:rsidR="00AA46FF" w:rsidRPr="00EA7870">
        <w:rPr>
          <w:sz w:val="20"/>
          <w:szCs w:val="20"/>
          <w:lang w:val="es-AR"/>
        </w:rPr>
        <w:t>de</w:t>
      </w:r>
      <w:r w:rsidR="001A28B3" w:rsidRPr="00EA7870">
        <w:rPr>
          <w:sz w:val="20"/>
          <w:szCs w:val="20"/>
          <w:lang w:val="es-AR"/>
        </w:rPr>
        <w:t xml:space="preserve"> </w:t>
      </w:r>
      <w:r w:rsidR="00AA46FF" w:rsidRPr="00EA7870">
        <w:rPr>
          <w:sz w:val="20"/>
          <w:szCs w:val="20"/>
          <w:lang w:val="es-AR"/>
        </w:rPr>
        <w:t>los</w:t>
      </w:r>
      <w:r w:rsidR="001A28B3" w:rsidRPr="00EA7870">
        <w:rPr>
          <w:sz w:val="20"/>
          <w:szCs w:val="20"/>
          <w:lang w:val="es-AR"/>
        </w:rPr>
        <w:t xml:space="preserve"> </w:t>
      </w:r>
      <w:r w:rsidR="00AA46FF" w:rsidRPr="00EA7870">
        <w:rPr>
          <w:sz w:val="20"/>
          <w:szCs w:val="20"/>
          <w:lang w:val="es-AR"/>
        </w:rPr>
        <w:t>títulos</w:t>
      </w:r>
      <w:r w:rsidR="001A28B3" w:rsidRPr="00EA7870">
        <w:rPr>
          <w:sz w:val="20"/>
          <w:szCs w:val="20"/>
          <w:lang w:val="es-AR"/>
        </w:rPr>
        <w:t xml:space="preserve"> </w:t>
      </w:r>
      <w:r w:rsidR="00AA46FF" w:rsidRPr="00EA7870">
        <w:rPr>
          <w:sz w:val="20"/>
          <w:szCs w:val="20"/>
          <w:lang w:val="es-AR"/>
        </w:rPr>
        <w:t>a</w:t>
      </w:r>
      <w:r w:rsidR="001A28B3" w:rsidRPr="00EA7870">
        <w:rPr>
          <w:sz w:val="20"/>
          <w:szCs w:val="20"/>
          <w:lang w:val="es-AR"/>
        </w:rPr>
        <w:t xml:space="preserve"> </w:t>
      </w:r>
      <w:r w:rsidR="00AA46FF" w:rsidRPr="00EA7870">
        <w:rPr>
          <w:sz w:val="20"/>
          <w:szCs w:val="20"/>
          <w:lang w:val="es-AR"/>
        </w:rPr>
        <w:t>ser</w:t>
      </w:r>
      <w:r w:rsidR="001A28B3" w:rsidRPr="00EA7870">
        <w:rPr>
          <w:sz w:val="20"/>
          <w:szCs w:val="20"/>
          <w:lang w:val="es-AR"/>
        </w:rPr>
        <w:t xml:space="preserve"> </w:t>
      </w:r>
      <w:r w:rsidR="00AA46FF" w:rsidRPr="00EA7870">
        <w:rPr>
          <w:sz w:val="20"/>
          <w:szCs w:val="20"/>
          <w:lang w:val="es-AR"/>
        </w:rPr>
        <w:t>emitidos</w:t>
      </w:r>
      <w:r w:rsidR="001A28B3" w:rsidRPr="00EA7870">
        <w:rPr>
          <w:sz w:val="20"/>
          <w:szCs w:val="20"/>
          <w:lang w:val="es-AR"/>
        </w:rPr>
        <w:t xml:space="preserve"> </w:t>
      </w:r>
      <w:r w:rsidR="00AA46FF" w:rsidRPr="00EA7870">
        <w:rPr>
          <w:sz w:val="20"/>
          <w:szCs w:val="20"/>
          <w:lang w:val="es-AR"/>
        </w:rPr>
        <w:t>bajo</w:t>
      </w:r>
      <w:r w:rsidR="001A28B3" w:rsidRPr="00EA7870">
        <w:rPr>
          <w:sz w:val="20"/>
          <w:szCs w:val="20"/>
          <w:lang w:val="es-AR"/>
        </w:rPr>
        <w:t xml:space="preserve"> </w:t>
      </w:r>
      <w:r w:rsidR="00AA46FF" w:rsidRPr="00EA7870">
        <w:rPr>
          <w:sz w:val="20"/>
          <w:szCs w:val="20"/>
          <w:lang w:val="es-AR"/>
        </w:rPr>
        <w:t>el</w:t>
      </w:r>
      <w:r w:rsidR="001A28B3" w:rsidRPr="00EA7870">
        <w:rPr>
          <w:sz w:val="20"/>
          <w:szCs w:val="20"/>
          <w:lang w:val="es-AR"/>
        </w:rPr>
        <w:t xml:space="preserve"> </w:t>
      </w:r>
      <w:r w:rsidR="00AA46FF" w:rsidRPr="00EA7870">
        <w:rPr>
          <w:sz w:val="20"/>
          <w:szCs w:val="20"/>
          <w:lang w:val="es-AR"/>
        </w:rPr>
        <w:t>mismo</w:t>
      </w:r>
      <w:r w:rsidR="001A28B3" w:rsidRPr="00EA7870">
        <w:rPr>
          <w:sz w:val="20"/>
          <w:szCs w:val="20"/>
          <w:lang w:val="es-AR"/>
        </w:rPr>
        <w:t xml:space="preserve"> </w:t>
      </w:r>
      <w:r w:rsidR="00AA46FF" w:rsidRPr="00EA7870">
        <w:rPr>
          <w:sz w:val="20"/>
          <w:szCs w:val="20"/>
          <w:lang w:val="es-AR"/>
        </w:rPr>
        <w:t>ha</w:t>
      </w:r>
      <w:r w:rsidR="001A28B3" w:rsidRPr="00EA7870">
        <w:rPr>
          <w:sz w:val="20"/>
          <w:szCs w:val="20"/>
          <w:lang w:val="es-AR"/>
        </w:rPr>
        <w:t xml:space="preserve"> </w:t>
      </w:r>
      <w:r w:rsidR="00AA46FF" w:rsidRPr="00EA7870">
        <w:rPr>
          <w:sz w:val="20"/>
          <w:szCs w:val="20"/>
          <w:lang w:val="es-AR"/>
        </w:rPr>
        <w:t>sido</w:t>
      </w:r>
      <w:r w:rsidR="001A28B3" w:rsidRPr="00EA7870">
        <w:rPr>
          <w:sz w:val="20"/>
          <w:szCs w:val="20"/>
          <w:lang w:val="es-AR"/>
        </w:rPr>
        <w:t xml:space="preserve"> </w:t>
      </w:r>
      <w:r w:rsidR="00AA46FF" w:rsidRPr="00EA7870">
        <w:rPr>
          <w:sz w:val="20"/>
          <w:szCs w:val="20"/>
          <w:lang w:val="es-AR"/>
        </w:rPr>
        <w:t>autorizada</w:t>
      </w:r>
      <w:r w:rsidR="001A28B3" w:rsidRPr="00EA7870">
        <w:rPr>
          <w:sz w:val="20"/>
          <w:szCs w:val="20"/>
          <w:lang w:val="es-AR"/>
        </w:rPr>
        <w:t xml:space="preserve"> </w:t>
      </w:r>
      <w:r w:rsidR="00AA46FF" w:rsidRPr="00EA7870">
        <w:rPr>
          <w:sz w:val="20"/>
          <w:szCs w:val="20"/>
          <w:lang w:val="es-AR"/>
        </w:rPr>
        <w:t>por</w:t>
      </w:r>
      <w:r w:rsidR="001A28B3" w:rsidRPr="00EA7870">
        <w:rPr>
          <w:sz w:val="20"/>
          <w:szCs w:val="20"/>
          <w:lang w:val="es-AR"/>
        </w:rPr>
        <w:t xml:space="preserve"> </w:t>
      </w:r>
      <w:r w:rsidR="00AA46FF" w:rsidRPr="00EA7870">
        <w:rPr>
          <w:sz w:val="20"/>
          <w:szCs w:val="20"/>
          <w:lang w:val="es-AR"/>
        </w:rPr>
        <w:t>la</w:t>
      </w:r>
      <w:r w:rsidR="001A28B3" w:rsidRPr="00EA7870">
        <w:rPr>
          <w:sz w:val="20"/>
          <w:szCs w:val="20"/>
          <w:lang w:val="es-AR"/>
        </w:rPr>
        <w:t xml:space="preserve"> </w:t>
      </w:r>
      <w:r w:rsidR="00AA46FF" w:rsidRPr="00EA7870">
        <w:rPr>
          <w:sz w:val="20"/>
          <w:szCs w:val="20"/>
          <w:lang w:val="es-AR"/>
        </w:rPr>
        <w:t>CNV,</w:t>
      </w:r>
      <w:r w:rsidR="001A28B3" w:rsidRPr="00EA7870">
        <w:rPr>
          <w:sz w:val="20"/>
          <w:szCs w:val="20"/>
          <w:lang w:val="es-AR"/>
        </w:rPr>
        <w:t xml:space="preserve"> </w:t>
      </w:r>
      <w:r w:rsidR="00AA46FF" w:rsidRPr="00EA7870">
        <w:rPr>
          <w:sz w:val="20"/>
          <w:szCs w:val="20"/>
          <w:lang w:val="es-AR"/>
        </w:rPr>
        <w:t>mediante</w:t>
      </w:r>
      <w:r w:rsidR="001A28B3" w:rsidRPr="00EA7870">
        <w:rPr>
          <w:sz w:val="20"/>
          <w:szCs w:val="20"/>
          <w:lang w:val="es-AR"/>
        </w:rPr>
        <w:t xml:space="preserve"> </w:t>
      </w:r>
      <w:r w:rsidR="00AA46FF" w:rsidRPr="00EA7870">
        <w:rPr>
          <w:sz w:val="20"/>
          <w:szCs w:val="20"/>
          <w:lang w:val="es-AR"/>
        </w:rPr>
        <w:t>la</w:t>
      </w:r>
      <w:r w:rsidR="001A28B3" w:rsidRPr="00EA7870">
        <w:rPr>
          <w:sz w:val="20"/>
          <w:szCs w:val="20"/>
          <w:lang w:val="es-AR"/>
        </w:rPr>
        <w:t xml:space="preserve"> </w:t>
      </w:r>
      <w:r w:rsidR="00AA46FF" w:rsidRPr="00EA7870">
        <w:rPr>
          <w:sz w:val="20"/>
          <w:szCs w:val="20"/>
          <w:lang w:val="es-AR"/>
        </w:rPr>
        <w:t>Resolución</w:t>
      </w:r>
      <w:r w:rsidR="001A28B3" w:rsidRPr="00EA7870">
        <w:rPr>
          <w:sz w:val="20"/>
          <w:szCs w:val="20"/>
          <w:lang w:val="es-AR"/>
        </w:rPr>
        <w:t xml:space="preserve"> </w:t>
      </w:r>
      <w:r w:rsidR="00AA46FF" w:rsidRPr="00EA7870">
        <w:rPr>
          <w:sz w:val="20"/>
          <w:szCs w:val="20"/>
          <w:lang w:val="es-AR"/>
        </w:rPr>
        <w:t>N°17.197</w:t>
      </w:r>
      <w:r w:rsidR="001A28B3" w:rsidRPr="00EA7870">
        <w:rPr>
          <w:sz w:val="20"/>
          <w:szCs w:val="20"/>
          <w:lang w:val="es-AR"/>
        </w:rPr>
        <w:t xml:space="preserve"> </w:t>
      </w:r>
      <w:r w:rsidR="00AA46FF" w:rsidRPr="00EA7870">
        <w:rPr>
          <w:sz w:val="20"/>
          <w:szCs w:val="20"/>
          <w:lang w:val="es-AR"/>
        </w:rPr>
        <w:t>de</w:t>
      </w:r>
      <w:r w:rsidR="001A28B3" w:rsidRPr="00EA7870">
        <w:rPr>
          <w:sz w:val="20"/>
          <w:szCs w:val="20"/>
          <w:lang w:val="es-AR"/>
        </w:rPr>
        <w:t xml:space="preserve"> </w:t>
      </w:r>
      <w:r w:rsidR="00AA46FF" w:rsidRPr="00EA7870">
        <w:rPr>
          <w:sz w:val="20"/>
          <w:szCs w:val="20"/>
          <w:lang w:val="es-AR"/>
        </w:rPr>
        <w:t>fecha</w:t>
      </w:r>
      <w:r w:rsidR="001A28B3" w:rsidRPr="00EA7870">
        <w:rPr>
          <w:sz w:val="20"/>
          <w:szCs w:val="20"/>
          <w:lang w:val="es-AR"/>
        </w:rPr>
        <w:t xml:space="preserve"> </w:t>
      </w:r>
      <w:r w:rsidR="00AA46FF" w:rsidRPr="00EA7870">
        <w:rPr>
          <w:sz w:val="20"/>
          <w:szCs w:val="20"/>
          <w:lang w:val="es-AR"/>
        </w:rPr>
        <w:t>1</w:t>
      </w:r>
      <w:r w:rsidR="00C6514C" w:rsidRPr="00EA7870">
        <w:rPr>
          <w:sz w:val="20"/>
          <w:szCs w:val="20"/>
          <w:lang w:val="es-AR"/>
        </w:rPr>
        <w:t>0</w:t>
      </w:r>
      <w:r w:rsidR="001A28B3" w:rsidRPr="00EA7870">
        <w:rPr>
          <w:sz w:val="20"/>
          <w:szCs w:val="20"/>
          <w:lang w:val="es-AR"/>
        </w:rPr>
        <w:t xml:space="preserve"> </w:t>
      </w:r>
      <w:r w:rsidR="00AA46FF" w:rsidRPr="00EA7870">
        <w:rPr>
          <w:sz w:val="20"/>
          <w:szCs w:val="20"/>
          <w:lang w:val="es-AR"/>
        </w:rPr>
        <w:t>de</w:t>
      </w:r>
      <w:r w:rsidR="001A28B3" w:rsidRPr="00EA7870">
        <w:rPr>
          <w:sz w:val="20"/>
          <w:szCs w:val="20"/>
          <w:lang w:val="es-AR"/>
        </w:rPr>
        <w:t xml:space="preserve"> </w:t>
      </w:r>
      <w:r w:rsidR="00AA46FF" w:rsidRPr="00EA7870">
        <w:rPr>
          <w:sz w:val="20"/>
          <w:szCs w:val="20"/>
          <w:lang w:val="es-AR"/>
        </w:rPr>
        <w:t>octubre</w:t>
      </w:r>
      <w:r w:rsidR="001A28B3" w:rsidRPr="00EA7870">
        <w:rPr>
          <w:sz w:val="20"/>
          <w:szCs w:val="20"/>
          <w:lang w:val="es-AR"/>
        </w:rPr>
        <w:t xml:space="preserve"> </w:t>
      </w:r>
      <w:r w:rsidR="00AA46FF" w:rsidRPr="00EA7870">
        <w:rPr>
          <w:sz w:val="20"/>
          <w:szCs w:val="20"/>
          <w:lang w:val="es-AR"/>
        </w:rPr>
        <w:t>de</w:t>
      </w:r>
      <w:r w:rsidR="001A28B3" w:rsidRPr="00EA7870">
        <w:rPr>
          <w:sz w:val="20"/>
          <w:szCs w:val="20"/>
          <w:lang w:val="es-AR"/>
        </w:rPr>
        <w:t xml:space="preserve"> </w:t>
      </w:r>
      <w:r w:rsidR="00AA46FF" w:rsidRPr="00EA7870">
        <w:rPr>
          <w:sz w:val="20"/>
          <w:szCs w:val="20"/>
          <w:lang w:val="es-AR"/>
        </w:rPr>
        <w:t>2013</w:t>
      </w:r>
      <w:r w:rsidR="003C1D60" w:rsidRPr="00EA7870">
        <w:rPr>
          <w:sz w:val="20"/>
          <w:szCs w:val="20"/>
          <w:lang w:val="es-AR"/>
        </w:rPr>
        <w:t>, mientras que la prórroga del período de vigencia del Programa fue autorizada por Disposición N°DI – 2018 – 49 – APN–GE#CNV de fecha 21 de septiembre de 2018 de la Gerente de Emisoras de la CNV.</w:t>
      </w:r>
    </w:p>
    <w:p w14:paraId="4DD13F66" w14:textId="77777777" w:rsidR="003C1D60" w:rsidRPr="00EA7870" w:rsidRDefault="003C1D60" w:rsidP="00AC1B5F">
      <w:pPr>
        <w:jc w:val="both"/>
        <w:rPr>
          <w:sz w:val="20"/>
          <w:szCs w:val="20"/>
          <w:lang w:val="es-AR"/>
        </w:rPr>
      </w:pPr>
    </w:p>
    <w:p w14:paraId="6F7A10D5" w14:textId="103BFCF3" w:rsidR="00E06527" w:rsidRPr="00EA7870" w:rsidRDefault="003C1D60" w:rsidP="00AC1B5F">
      <w:pPr>
        <w:jc w:val="both"/>
        <w:rPr>
          <w:sz w:val="20"/>
          <w:szCs w:val="20"/>
          <w:lang w:val="es-AR"/>
        </w:rPr>
      </w:pPr>
      <w:r w:rsidRPr="00EA7870">
        <w:rPr>
          <w:sz w:val="20"/>
          <w:szCs w:val="20"/>
          <w:lang w:val="es-AR"/>
        </w:rPr>
        <w:t>L</w:t>
      </w:r>
      <w:r w:rsidR="00994215" w:rsidRPr="00EA7870">
        <w:rPr>
          <w:sz w:val="20"/>
          <w:szCs w:val="20"/>
          <w:lang w:val="es-AR"/>
        </w:rPr>
        <w:t>a</w:t>
      </w:r>
      <w:r w:rsidR="001A28B3" w:rsidRPr="00EA7870">
        <w:rPr>
          <w:sz w:val="20"/>
          <w:szCs w:val="20"/>
          <w:lang w:val="es-AR"/>
        </w:rPr>
        <w:t xml:space="preserve"> </w:t>
      </w:r>
      <w:r w:rsidR="00994215" w:rsidRPr="00EA7870">
        <w:rPr>
          <w:sz w:val="20"/>
          <w:szCs w:val="20"/>
          <w:lang w:val="es-AR"/>
        </w:rPr>
        <w:t>Oferta</w:t>
      </w:r>
      <w:r w:rsidR="001A28B3" w:rsidRPr="00EA7870">
        <w:rPr>
          <w:sz w:val="20"/>
          <w:szCs w:val="20"/>
          <w:lang w:val="es-AR"/>
        </w:rPr>
        <w:t xml:space="preserve"> </w:t>
      </w:r>
      <w:r w:rsidR="00994215" w:rsidRPr="00EA7870">
        <w:rPr>
          <w:sz w:val="20"/>
          <w:szCs w:val="20"/>
          <w:lang w:val="es-AR"/>
        </w:rPr>
        <w:t>Local</w:t>
      </w:r>
      <w:r w:rsidR="001A28B3" w:rsidRPr="00EA7870">
        <w:rPr>
          <w:sz w:val="20"/>
          <w:szCs w:val="20"/>
          <w:lang w:val="es-AR"/>
        </w:rPr>
        <w:t xml:space="preserve"> </w:t>
      </w:r>
      <w:r w:rsidR="00994215" w:rsidRPr="00EA7870">
        <w:rPr>
          <w:sz w:val="20"/>
          <w:szCs w:val="20"/>
          <w:lang w:val="es-AR"/>
        </w:rPr>
        <w:t>de</w:t>
      </w:r>
      <w:r w:rsidR="001A28B3" w:rsidRPr="00EA7870">
        <w:rPr>
          <w:sz w:val="20"/>
          <w:szCs w:val="20"/>
          <w:lang w:val="es-AR"/>
        </w:rPr>
        <w:t xml:space="preserve"> </w:t>
      </w:r>
      <w:r w:rsidR="00994215" w:rsidRPr="00EA7870">
        <w:rPr>
          <w:sz w:val="20"/>
          <w:szCs w:val="20"/>
          <w:lang w:val="es-AR"/>
        </w:rPr>
        <w:t>las</w:t>
      </w:r>
      <w:r w:rsidR="001A28B3" w:rsidRPr="00EA7870">
        <w:rPr>
          <w:sz w:val="20"/>
          <w:szCs w:val="20"/>
          <w:lang w:val="es-AR"/>
        </w:rPr>
        <w:t xml:space="preserve"> </w:t>
      </w:r>
      <w:r w:rsidR="00994215" w:rsidRPr="00EA7870">
        <w:rPr>
          <w:sz w:val="20"/>
          <w:szCs w:val="20"/>
          <w:lang w:val="es-AR"/>
        </w:rPr>
        <w:t>Obligaciones</w:t>
      </w:r>
      <w:r w:rsidR="001A28B3" w:rsidRPr="00EA7870">
        <w:rPr>
          <w:sz w:val="20"/>
          <w:szCs w:val="20"/>
          <w:lang w:val="es-AR"/>
        </w:rPr>
        <w:t xml:space="preserve"> </w:t>
      </w:r>
      <w:r w:rsidR="00994215" w:rsidRPr="00EA7870">
        <w:rPr>
          <w:sz w:val="20"/>
          <w:szCs w:val="20"/>
          <w:lang w:val="es-AR"/>
        </w:rPr>
        <w:t>Negociables</w:t>
      </w:r>
      <w:r w:rsidR="001A28B3" w:rsidRPr="00EA7870">
        <w:rPr>
          <w:sz w:val="20"/>
          <w:szCs w:val="20"/>
          <w:lang w:val="es-AR"/>
        </w:rPr>
        <w:t xml:space="preserve"> </w:t>
      </w:r>
      <w:r w:rsidR="00994215" w:rsidRPr="00EA7870">
        <w:rPr>
          <w:sz w:val="20"/>
          <w:szCs w:val="20"/>
          <w:lang w:val="es-AR"/>
        </w:rPr>
        <w:t>estará</w:t>
      </w:r>
      <w:r w:rsidR="001A28B3" w:rsidRPr="00EA7870">
        <w:rPr>
          <w:sz w:val="20"/>
          <w:szCs w:val="20"/>
          <w:lang w:val="es-AR"/>
        </w:rPr>
        <w:t xml:space="preserve"> </w:t>
      </w:r>
      <w:r w:rsidR="00994215" w:rsidRPr="00EA7870">
        <w:rPr>
          <w:sz w:val="20"/>
          <w:szCs w:val="20"/>
          <w:lang w:val="es-AR"/>
        </w:rPr>
        <w:t>dirigida</w:t>
      </w:r>
      <w:r w:rsidR="001A28B3" w:rsidRPr="00EA7870">
        <w:rPr>
          <w:sz w:val="20"/>
          <w:szCs w:val="20"/>
          <w:lang w:val="es-AR"/>
        </w:rPr>
        <w:t xml:space="preserve"> </w:t>
      </w:r>
      <w:r w:rsidR="00994215" w:rsidRPr="00EA7870">
        <w:rPr>
          <w:sz w:val="20"/>
          <w:szCs w:val="20"/>
          <w:lang w:val="es-AR"/>
        </w:rPr>
        <w:t>exclusivamente</w:t>
      </w:r>
      <w:r w:rsidR="001A28B3" w:rsidRPr="00EA7870">
        <w:rPr>
          <w:sz w:val="20"/>
          <w:szCs w:val="20"/>
          <w:lang w:val="es-AR"/>
        </w:rPr>
        <w:t xml:space="preserve"> </w:t>
      </w:r>
      <w:r w:rsidR="00994215" w:rsidRPr="00EA7870">
        <w:rPr>
          <w:sz w:val="20"/>
          <w:szCs w:val="20"/>
          <w:lang w:val="es-AR"/>
        </w:rPr>
        <w:t>a</w:t>
      </w:r>
      <w:r w:rsidR="001A28B3" w:rsidRPr="00EA7870">
        <w:rPr>
          <w:sz w:val="20"/>
          <w:szCs w:val="20"/>
          <w:lang w:val="es-AR"/>
        </w:rPr>
        <w:t xml:space="preserve"> </w:t>
      </w:r>
      <w:r w:rsidR="002B6C29" w:rsidRPr="00EA7870">
        <w:rPr>
          <w:sz w:val="20"/>
          <w:szCs w:val="20"/>
          <w:lang w:val="es-AR"/>
        </w:rPr>
        <w:t>I</w:t>
      </w:r>
      <w:r w:rsidR="00994215" w:rsidRPr="00EA7870">
        <w:rPr>
          <w:sz w:val="20"/>
          <w:szCs w:val="20"/>
          <w:lang w:val="es-AR"/>
        </w:rPr>
        <w:t>nversores</w:t>
      </w:r>
      <w:r w:rsidR="001A28B3" w:rsidRPr="00EA7870">
        <w:rPr>
          <w:sz w:val="20"/>
          <w:szCs w:val="20"/>
          <w:lang w:val="es-AR"/>
        </w:rPr>
        <w:t xml:space="preserve"> </w:t>
      </w:r>
      <w:r w:rsidR="002B6C29" w:rsidRPr="00EA7870">
        <w:rPr>
          <w:sz w:val="20"/>
          <w:szCs w:val="20"/>
          <w:lang w:val="es-AR"/>
        </w:rPr>
        <w:t>C</w:t>
      </w:r>
      <w:r w:rsidR="00994215" w:rsidRPr="00EA7870">
        <w:rPr>
          <w:sz w:val="20"/>
          <w:szCs w:val="20"/>
          <w:lang w:val="es-AR"/>
        </w:rPr>
        <w:t>alificados</w:t>
      </w:r>
      <w:r w:rsidR="00633D77">
        <w:rPr>
          <w:sz w:val="20"/>
          <w:szCs w:val="20"/>
          <w:lang w:val="es-AR"/>
        </w:rPr>
        <w:t xml:space="preserve"> que sean residentes argentinos</w:t>
      </w:r>
      <w:r w:rsidR="002B6C29" w:rsidRPr="00EA7870">
        <w:rPr>
          <w:sz w:val="20"/>
          <w:szCs w:val="20"/>
          <w:lang w:val="es-AR"/>
        </w:rPr>
        <w:t>,</w:t>
      </w:r>
      <w:r w:rsidR="001A28B3" w:rsidRPr="00EA7870">
        <w:rPr>
          <w:sz w:val="20"/>
          <w:szCs w:val="20"/>
          <w:lang w:val="es-AR"/>
        </w:rPr>
        <w:t xml:space="preserve"> </w:t>
      </w:r>
      <w:r w:rsidR="002B6C29" w:rsidRPr="00EA7870">
        <w:rPr>
          <w:sz w:val="20"/>
          <w:szCs w:val="20"/>
          <w:lang w:val="es-AR"/>
        </w:rPr>
        <w:t>según</w:t>
      </w:r>
      <w:r w:rsidR="001A28B3" w:rsidRPr="00EA7870">
        <w:rPr>
          <w:sz w:val="20"/>
          <w:szCs w:val="20"/>
          <w:lang w:val="es-AR"/>
        </w:rPr>
        <w:t xml:space="preserve"> </w:t>
      </w:r>
      <w:r w:rsidR="002B6C29" w:rsidRPr="00EA7870">
        <w:rPr>
          <w:sz w:val="20"/>
          <w:szCs w:val="20"/>
          <w:lang w:val="es-AR"/>
        </w:rPr>
        <w:t>se</w:t>
      </w:r>
      <w:r w:rsidR="001A28B3" w:rsidRPr="00EA7870">
        <w:rPr>
          <w:sz w:val="20"/>
          <w:szCs w:val="20"/>
          <w:lang w:val="es-AR"/>
        </w:rPr>
        <w:t xml:space="preserve"> </w:t>
      </w:r>
      <w:r w:rsidR="002B6C29" w:rsidRPr="00EA7870">
        <w:rPr>
          <w:sz w:val="20"/>
          <w:szCs w:val="20"/>
          <w:lang w:val="es-AR"/>
        </w:rPr>
        <w:t>los</w:t>
      </w:r>
      <w:r w:rsidR="001A28B3" w:rsidRPr="00EA7870">
        <w:rPr>
          <w:sz w:val="20"/>
          <w:szCs w:val="20"/>
          <w:lang w:val="es-AR"/>
        </w:rPr>
        <w:t xml:space="preserve"> </w:t>
      </w:r>
      <w:r w:rsidR="002B6C29" w:rsidRPr="00EA7870">
        <w:rPr>
          <w:sz w:val="20"/>
          <w:szCs w:val="20"/>
          <w:lang w:val="es-AR"/>
        </w:rPr>
        <w:t>define</w:t>
      </w:r>
      <w:r w:rsidR="001A28B3" w:rsidRPr="00EA7870">
        <w:rPr>
          <w:sz w:val="20"/>
          <w:szCs w:val="20"/>
          <w:lang w:val="es-AR"/>
        </w:rPr>
        <w:t xml:space="preserve"> </w:t>
      </w:r>
      <w:r w:rsidR="002B6C29" w:rsidRPr="00EA7870">
        <w:rPr>
          <w:sz w:val="20"/>
          <w:szCs w:val="20"/>
          <w:lang w:val="es-AR"/>
        </w:rPr>
        <w:t>en</w:t>
      </w:r>
      <w:r w:rsidR="001A28B3" w:rsidRPr="00EA7870">
        <w:rPr>
          <w:sz w:val="20"/>
          <w:szCs w:val="20"/>
          <w:lang w:val="es-AR"/>
        </w:rPr>
        <w:t xml:space="preserve"> </w:t>
      </w:r>
      <w:r w:rsidR="002B6C29" w:rsidRPr="00EA7870">
        <w:rPr>
          <w:sz w:val="20"/>
          <w:szCs w:val="20"/>
          <w:lang w:val="es-AR"/>
        </w:rPr>
        <w:t>el</w:t>
      </w:r>
      <w:r w:rsidR="001A28B3" w:rsidRPr="00EA7870">
        <w:rPr>
          <w:sz w:val="20"/>
          <w:szCs w:val="20"/>
          <w:lang w:val="es-AR"/>
        </w:rPr>
        <w:t xml:space="preserve"> </w:t>
      </w:r>
      <w:r w:rsidR="002B6C29" w:rsidRPr="00EA7870">
        <w:rPr>
          <w:rStyle w:val="DeltaViewInsertion"/>
          <w:b w:val="0"/>
          <w:sz w:val="20"/>
          <w:szCs w:val="20"/>
          <w:u w:val="none"/>
        </w:rPr>
        <w:t>Artículo</w:t>
      </w:r>
      <w:r w:rsidR="001A28B3" w:rsidRPr="00EA7870">
        <w:rPr>
          <w:rStyle w:val="DeltaViewInsertion"/>
          <w:b w:val="0"/>
          <w:sz w:val="20"/>
          <w:szCs w:val="20"/>
          <w:u w:val="none"/>
        </w:rPr>
        <w:t xml:space="preserve"> </w:t>
      </w:r>
      <w:r w:rsidR="002B6C29" w:rsidRPr="00EA7870">
        <w:rPr>
          <w:rStyle w:val="DeltaViewInsertion"/>
          <w:b w:val="0"/>
          <w:sz w:val="20"/>
          <w:szCs w:val="20"/>
          <w:u w:val="none"/>
        </w:rPr>
        <w:t>12,</w:t>
      </w:r>
      <w:r w:rsidR="001A28B3" w:rsidRPr="00EA7870">
        <w:rPr>
          <w:rStyle w:val="DeltaViewInsertion"/>
          <w:b w:val="0"/>
          <w:sz w:val="20"/>
          <w:szCs w:val="20"/>
          <w:u w:val="none"/>
        </w:rPr>
        <w:t xml:space="preserve"> </w:t>
      </w:r>
      <w:r w:rsidR="002B6C29" w:rsidRPr="00EA7870">
        <w:rPr>
          <w:rStyle w:val="DeltaViewInsertion"/>
          <w:b w:val="0"/>
          <w:sz w:val="20"/>
          <w:szCs w:val="20"/>
          <w:u w:val="none"/>
        </w:rPr>
        <w:t>Sección</w:t>
      </w:r>
      <w:r w:rsidR="001A28B3" w:rsidRPr="00EA7870">
        <w:rPr>
          <w:rStyle w:val="DeltaViewInsertion"/>
          <w:b w:val="0"/>
          <w:sz w:val="20"/>
          <w:szCs w:val="20"/>
          <w:u w:val="none"/>
        </w:rPr>
        <w:t xml:space="preserve"> </w:t>
      </w:r>
      <w:r w:rsidR="002B6C29" w:rsidRPr="00EA7870">
        <w:rPr>
          <w:rStyle w:val="DeltaViewInsertion"/>
          <w:b w:val="0"/>
          <w:sz w:val="20"/>
          <w:szCs w:val="20"/>
          <w:u w:val="none"/>
        </w:rPr>
        <w:t>I,</w:t>
      </w:r>
      <w:r w:rsidR="001A28B3" w:rsidRPr="00EA7870">
        <w:rPr>
          <w:rStyle w:val="DeltaViewInsertion"/>
          <w:b w:val="0"/>
          <w:sz w:val="20"/>
          <w:szCs w:val="20"/>
          <w:u w:val="none"/>
        </w:rPr>
        <w:t xml:space="preserve"> </w:t>
      </w:r>
      <w:r w:rsidR="002B6C29" w:rsidRPr="00EA7870">
        <w:rPr>
          <w:rStyle w:val="DeltaViewInsertion"/>
          <w:b w:val="0"/>
          <w:sz w:val="20"/>
          <w:szCs w:val="20"/>
          <w:u w:val="none"/>
        </w:rPr>
        <w:t>Capítulo</w:t>
      </w:r>
      <w:r w:rsidR="001A28B3" w:rsidRPr="00EA7870">
        <w:rPr>
          <w:rStyle w:val="DeltaViewInsertion"/>
          <w:b w:val="0"/>
          <w:sz w:val="20"/>
          <w:szCs w:val="20"/>
          <w:u w:val="none"/>
        </w:rPr>
        <w:t xml:space="preserve"> </w:t>
      </w:r>
      <w:r w:rsidR="002B6C29" w:rsidRPr="00EA7870">
        <w:rPr>
          <w:rStyle w:val="DeltaViewInsertion"/>
          <w:b w:val="0"/>
          <w:sz w:val="20"/>
          <w:szCs w:val="20"/>
          <w:u w:val="none"/>
        </w:rPr>
        <w:t>VI,</w:t>
      </w:r>
      <w:r w:rsidR="001A28B3" w:rsidRPr="00EA7870">
        <w:rPr>
          <w:rStyle w:val="DeltaViewInsertion"/>
          <w:b w:val="0"/>
          <w:sz w:val="20"/>
          <w:szCs w:val="20"/>
          <w:u w:val="none"/>
        </w:rPr>
        <w:t xml:space="preserve"> </w:t>
      </w:r>
      <w:r w:rsidR="002B6C29" w:rsidRPr="00EA7870">
        <w:rPr>
          <w:rStyle w:val="DeltaViewInsertion"/>
          <w:b w:val="0"/>
          <w:sz w:val="20"/>
          <w:szCs w:val="20"/>
          <w:u w:val="none"/>
        </w:rPr>
        <w:t>Título</w:t>
      </w:r>
      <w:r w:rsidR="001A28B3" w:rsidRPr="00EA7870">
        <w:rPr>
          <w:rStyle w:val="DeltaViewInsertion"/>
          <w:b w:val="0"/>
          <w:sz w:val="20"/>
          <w:szCs w:val="20"/>
          <w:u w:val="none"/>
        </w:rPr>
        <w:t xml:space="preserve"> </w:t>
      </w:r>
      <w:r w:rsidR="002B6C29" w:rsidRPr="00EA7870">
        <w:rPr>
          <w:rStyle w:val="DeltaViewInsertion"/>
          <w:b w:val="0"/>
          <w:sz w:val="20"/>
          <w:szCs w:val="20"/>
          <w:u w:val="none"/>
        </w:rPr>
        <w:t>II</w:t>
      </w:r>
      <w:r w:rsidR="001A28B3" w:rsidRPr="00EA7870">
        <w:rPr>
          <w:rStyle w:val="DeltaViewInsertion"/>
          <w:b w:val="0"/>
          <w:sz w:val="20"/>
          <w:szCs w:val="20"/>
          <w:u w:val="none"/>
        </w:rPr>
        <w:t xml:space="preserve"> </w:t>
      </w:r>
      <w:r w:rsidR="002B6C29" w:rsidRPr="00EA7870">
        <w:rPr>
          <w:rStyle w:val="DeltaViewInsertion"/>
          <w:b w:val="0"/>
          <w:sz w:val="20"/>
          <w:szCs w:val="20"/>
          <w:u w:val="none"/>
        </w:rPr>
        <w:t>de</w:t>
      </w:r>
      <w:r w:rsidR="001A28B3" w:rsidRPr="00EA7870">
        <w:rPr>
          <w:rStyle w:val="DeltaViewInsertion"/>
          <w:b w:val="0"/>
          <w:sz w:val="20"/>
          <w:szCs w:val="20"/>
          <w:u w:val="none"/>
        </w:rPr>
        <w:t xml:space="preserve"> </w:t>
      </w:r>
      <w:r w:rsidR="002B6C29" w:rsidRPr="00EA7870">
        <w:rPr>
          <w:rStyle w:val="DeltaViewInsertion"/>
          <w:b w:val="0"/>
          <w:sz w:val="20"/>
          <w:szCs w:val="20"/>
          <w:u w:val="none"/>
        </w:rPr>
        <w:t>las</w:t>
      </w:r>
      <w:r w:rsidR="001A28B3" w:rsidRPr="00EA7870">
        <w:rPr>
          <w:rStyle w:val="DeltaViewInsertion"/>
          <w:b w:val="0"/>
          <w:sz w:val="20"/>
          <w:szCs w:val="20"/>
          <w:u w:val="none"/>
        </w:rPr>
        <w:t xml:space="preserve"> </w:t>
      </w:r>
      <w:r w:rsidR="002B6C29" w:rsidRPr="00EA7870">
        <w:rPr>
          <w:rStyle w:val="DeltaViewInsertion"/>
          <w:b w:val="0"/>
          <w:sz w:val="20"/>
          <w:szCs w:val="20"/>
          <w:u w:val="none"/>
        </w:rPr>
        <w:t>Normas</w:t>
      </w:r>
      <w:r w:rsidR="001A28B3" w:rsidRPr="00EA7870">
        <w:rPr>
          <w:rStyle w:val="DeltaViewInsertion"/>
          <w:b w:val="0"/>
          <w:sz w:val="20"/>
          <w:szCs w:val="20"/>
          <w:u w:val="none"/>
        </w:rPr>
        <w:t xml:space="preserve"> </w:t>
      </w:r>
      <w:r w:rsidR="002B6C29" w:rsidRPr="00EA7870">
        <w:rPr>
          <w:rStyle w:val="DeltaViewInsertion"/>
          <w:b w:val="0"/>
          <w:sz w:val="20"/>
          <w:szCs w:val="20"/>
          <w:u w:val="none"/>
        </w:rPr>
        <w:t>de</w:t>
      </w:r>
      <w:r w:rsidR="001A28B3" w:rsidRPr="00EA7870">
        <w:rPr>
          <w:rStyle w:val="DeltaViewInsertion"/>
          <w:b w:val="0"/>
          <w:sz w:val="20"/>
          <w:szCs w:val="20"/>
          <w:u w:val="none"/>
        </w:rPr>
        <w:t xml:space="preserve"> </w:t>
      </w:r>
      <w:r w:rsidR="002B6C29" w:rsidRPr="00EA7870">
        <w:rPr>
          <w:rStyle w:val="DeltaViewInsertion"/>
          <w:b w:val="0"/>
          <w:sz w:val="20"/>
          <w:szCs w:val="20"/>
          <w:u w:val="none"/>
        </w:rPr>
        <w:t>la</w:t>
      </w:r>
      <w:r w:rsidR="001A28B3" w:rsidRPr="00EA7870">
        <w:rPr>
          <w:rStyle w:val="DeltaViewInsertion"/>
          <w:b w:val="0"/>
          <w:sz w:val="20"/>
          <w:szCs w:val="20"/>
          <w:u w:val="none"/>
        </w:rPr>
        <w:t xml:space="preserve"> </w:t>
      </w:r>
      <w:r w:rsidR="002B6C29" w:rsidRPr="00EA7870">
        <w:rPr>
          <w:rStyle w:val="DeltaViewInsertion"/>
          <w:b w:val="0"/>
          <w:sz w:val="20"/>
          <w:szCs w:val="20"/>
          <w:u w:val="none"/>
        </w:rPr>
        <w:t>CNV</w:t>
      </w:r>
      <w:r w:rsidR="00BD19EB" w:rsidRPr="00EA7870">
        <w:rPr>
          <w:rStyle w:val="DeltaViewInsertion"/>
          <w:b w:val="0"/>
          <w:sz w:val="20"/>
          <w:szCs w:val="20"/>
          <w:u w:val="none"/>
        </w:rPr>
        <w:t>, y se realizará a través de este Suplemento y del Prospecto</w:t>
      </w:r>
      <w:r w:rsidR="007761FA" w:rsidRPr="00EA7870">
        <w:rPr>
          <w:rStyle w:val="DeltaViewInsertion"/>
          <w:b w:val="0"/>
          <w:sz w:val="20"/>
          <w:szCs w:val="20"/>
          <w:u w:val="none"/>
        </w:rPr>
        <w:t>, y sus versiones resumidas</w:t>
      </w:r>
      <w:r w:rsidR="00BD19EB" w:rsidRPr="00EA7870">
        <w:rPr>
          <w:rStyle w:val="DeltaViewInsertion"/>
          <w:b w:val="0"/>
          <w:sz w:val="20"/>
          <w:szCs w:val="20"/>
          <w:u w:val="none"/>
        </w:rPr>
        <w:t xml:space="preserve"> (los “</w:t>
      </w:r>
      <w:r w:rsidR="003E6614" w:rsidRPr="00EA7870">
        <w:rPr>
          <w:rStyle w:val="DeltaViewInsertion"/>
          <w:bCs/>
          <w:sz w:val="20"/>
          <w:szCs w:val="20"/>
          <w:u w:val="none"/>
        </w:rPr>
        <w:t>Documentos de la Oferta Argentina</w:t>
      </w:r>
      <w:r w:rsidR="00BD19EB" w:rsidRPr="00EA7870">
        <w:rPr>
          <w:rStyle w:val="DeltaViewInsertion"/>
          <w:b w:val="0"/>
          <w:sz w:val="20"/>
          <w:szCs w:val="20"/>
          <w:u w:val="none"/>
        </w:rPr>
        <w:t>”) los cuales han sido preparados de acuerdo con las Normas de la CNV</w:t>
      </w:r>
      <w:r w:rsidR="00994215" w:rsidRPr="00EA7870">
        <w:rPr>
          <w:sz w:val="20"/>
          <w:szCs w:val="20"/>
          <w:lang w:val="es-AR"/>
        </w:rPr>
        <w:t>.</w:t>
      </w:r>
    </w:p>
    <w:p w14:paraId="38E4A0FC" w14:textId="77777777" w:rsidR="00AC1B5F" w:rsidRPr="00EA7870" w:rsidRDefault="00AC1B5F" w:rsidP="004A5A75">
      <w:pPr>
        <w:jc w:val="both"/>
        <w:rPr>
          <w:sz w:val="20"/>
          <w:szCs w:val="20"/>
          <w:lang w:val="es-AR"/>
        </w:rPr>
      </w:pPr>
    </w:p>
    <w:p w14:paraId="3600A2B6" w14:textId="77777777" w:rsidR="003C1D60" w:rsidRPr="00EA7870" w:rsidRDefault="00AC1B5F" w:rsidP="00AC1B5F">
      <w:pPr>
        <w:jc w:val="both"/>
        <w:rPr>
          <w:bCs/>
          <w:sz w:val="20"/>
          <w:szCs w:val="20"/>
        </w:rPr>
      </w:pPr>
      <w:r w:rsidRPr="00EA7870">
        <w:rPr>
          <w:bCs/>
          <w:sz w:val="20"/>
          <w:szCs w:val="20"/>
        </w:rPr>
        <w:t xml:space="preserve">La oferta pública de las Obligaciones Negociables que se describen en este Suplemento en la Argentina se encuentra comprendida dentro de la autorización de oferta pública otorgada por la CNV al Programa, en el marco de lo establecido por el artículo 41 del Título II del Capítulo V de las Normas de la CNV. </w:t>
      </w:r>
    </w:p>
    <w:p w14:paraId="516EFEAD" w14:textId="77777777" w:rsidR="003C1D60" w:rsidRPr="00EA7870" w:rsidRDefault="003C1D60" w:rsidP="00AC1B5F">
      <w:pPr>
        <w:jc w:val="both"/>
        <w:rPr>
          <w:sz w:val="20"/>
          <w:szCs w:val="20"/>
          <w:lang w:val="es-AR"/>
        </w:rPr>
      </w:pPr>
    </w:p>
    <w:p w14:paraId="2A2D1588" w14:textId="77777777" w:rsidR="00E06527" w:rsidRPr="00EA7870" w:rsidRDefault="00BD19EB" w:rsidP="00AC1B5F">
      <w:pPr>
        <w:jc w:val="both"/>
        <w:rPr>
          <w:sz w:val="20"/>
          <w:szCs w:val="20"/>
          <w:lang w:val="es-AR"/>
        </w:rPr>
      </w:pPr>
      <w:r w:rsidRPr="00EA7870">
        <w:rPr>
          <w:sz w:val="20"/>
          <w:szCs w:val="20"/>
          <w:lang w:val="es-AR"/>
        </w:rPr>
        <w:t xml:space="preserve">El </w:t>
      </w:r>
      <w:r w:rsidR="00E06527" w:rsidRPr="00EA7870">
        <w:rPr>
          <w:sz w:val="20"/>
          <w:szCs w:val="20"/>
          <w:lang w:val="es-AR"/>
        </w:rPr>
        <w:t>Colocador</w:t>
      </w:r>
      <w:r w:rsidR="001A28B3" w:rsidRPr="00EA7870">
        <w:rPr>
          <w:sz w:val="20"/>
          <w:szCs w:val="20"/>
          <w:lang w:val="es-AR"/>
        </w:rPr>
        <w:t xml:space="preserve"> </w:t>
      </w:r>
      <w:r w:rsidR="00E06527" w:rsidRPr="00EA7870">
        <w:rPr>
          <w:sz w:val="20"/>
          <w:szCs w:val="20"/>
          <w:lang w:val="es-AR"/>
        </w:rPr>
        <w:t>Local</w:t>
      </w:r>
      <w:r w:rsidR="001A28B3" w:rsidRPr="00EA7870">
        <w:rPr>
          <w:sz w:val="20"/>
          <w:szCs w:val="20"/>
          <w:lang w:val="es-AR"/>
        </w:rPr>
        <w:t xml:space="preserve"> </w:t>
      </w:r>
      <w:r w:rsidR="00E06527" w:rsidRPr="00EA7870">
        <w:rPr>
          <w:sz w:val="20"/>
          <w:szCs w:val="20"/>
          <w:lang w:val="es-AR"/>
        </w:rPr>
        <w:t>sólo</w:t>
      </w:r>
      <w:r w:rsidR="001A28B3" w:rsidRPr="00EA7870">
        <w:rPr>
          <w:sz w:val="20"/>
          <w:szCs w:val="20"/>
          <w:lang w:val="es-AR"/>
        </w:rPr>
        <w:t xml:space="preserve"> </w:t>
      </w:r>
      <w:r w:rsidR="00E06527" w:rsidRPr="00EA7870">
        <w:rPr>
          <w:sz w:val="20"/>
          <w:szCs w:val="20"/>
          <w:lang w:val="es-AR"/>
        </w:rPr>
        <w:t>podrá</w:t>
      </w:r>
      <w:r w:rsidR="001A28B3" w:rsidRPr="00EA7870">
        <w:rPr>
          <w:sz w:val="20"/>
          <w:szCs w:val="20"/>
          <w:lang w:val="es-AR"/>
        </w:rPr>
        <w:t xml:space="preserve"> </w:t>
      </w:r>
      <w:r w:rsidR="00E06527" w:rsidRPr="00EA7870">
        <w:rPr>
          <w:sz w:val="20"/>
          <w:szCs w:val="20"/>
          <w:lang w:val="es-AR"/>
        </w:rPr>
        <w:t>solicitar</w:t>
      </w:r>
      <w:r w:rsidR="001A28B3" w:rsidRPr="00EA7870">
        <w:rPr>
          <w:sz w:val="20"/>
          <w:szCs w:val="20"/>
          <w:lang w:val="es-AR"/>
        </w:rPr>
        <w:t xml:space="preserve"> </w:t>
      </w:r>
      <w:r w:rsidR="00E06527" w:rsidRPr="00EA7870">
        <w:rPr>
          <w:sz w:val="20"/>
          <w:szCs w:val="20"/>
          <w:lang w:val="es-AR"/>
        </w:rPr>
        <w:t>o</w:t>
      </w:r>
      <w:r w:rsidR="001A28B3" w:rsidRPr="00EA7870">
        <w:rPr>
          <w:sz w:val="20"/>
          <w:szCs w:val="20"/>
          <w:lang w:val="es-AR"/>
        </w:rPr>
        <w:t xml:space="preserve"> </w:t>
      </w:r>
      <w:r w:rsidR="00E06527" w:rsidRPr="00EA7870">
        <w:rPr>
          <w:sz w:val="20"/>
          <w:szCs w:val="20"/>
          <w:lang w:val="es-AR"/>
        </w:rPr>
        <w:t>recibir</w:t>
      </w:r>
      <w:r w:rsidR="001A28B3" w:rsidRPr="00EA7870">
        <w:rPr>
          <w:sz w:val="20"/>
          <w:szCs w:val="20"/>
          <w:lang w:val="es-AR"/>
        </w:rPr>
        <w:t xml:space="preserve"> </w:t>
      </w:r>
      <w:r w:rsidRPr="00EA7870">
        <w:rPr>
          <w:sz w:val="20"/>
          <w:szCs w:val="20"/>
          <w:lang w:val="es-AR"/>
        </w:rPr>
        <w:t>Manifestaciones de Interés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inversores</w:t>
      </w:r>
      <w:r w:rsidR="001A28B3" w:rsidRPr="00EA7870">
        <w:rPr>
          <w:sz w:val="20"/>
          <w:szCs w:val="20"/>
          <w:lang w:val="es-AR"/>
        </w:rPr>
        <w:t xml:space="preserve"> </w:t>
      </w:r>
      <w:r w:rsidR="00E06527" w:rsidRPr="00EA7870">
        <w:rPr>
          <w:sz w:val="20"/>
          <w:szCs w:val="20"/>
          <w:lang w:val="es-AR"/>
        </w:rPr>
        <w:t>que</w:t>
      </w:r>
      <w:r w:rsidR="001A28B3" w:rsidRPr="00EA7870">
        <w:rPr>
          <w:sz w:val="20"/>
          <w:szCs w:val="20"/>
          <w:lang w:val="es-AR"/>
        </w:rPr>
        <w:t xml:space="preserve"> </w:t>
      </w:r>
      <w:r w:rsidR="00E06527" w:rsidRPr="00EA7870">
        <w:rPr>
          <w:sz w:val="20"/>
          <w:szCs w:val="20"/>
          <w:lang w:val="es-AR"/>
        </w:rPr>
        <w:t>sean</w:t>
      </w:r>
      <w:r w:rsidR="001A28B3" w:rsidRPr="00EA7870">
        <w:rPr>
          <w:sz w:val="20"/>
          <w:szCs w:val="20"/>
          <w:lang w:val="es-AR"/>
        </w:rPr>
        <w:t xml:space="preserve"> </w:t>
      </w:r>
      <w:r w:rsidR="00E06527" w:rsidRPr="00EA7870">
        <w:rPr>
          <w:sz w:val="20"/>
          <w:szCs w:val="20"/>
          <w:lang w:val="es-AR"/>
        </w:rPr>
        <w:t>residentes</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B9035E" w:rsidRPr="00EA7870">
        <w:rPr>
          <w:sz w:val="20"/>
          <w:szCs w:val="20"/>
          <w:lang w:val="es-AR"/>
        </w:rPr>
        <w:t>la</w:t>
      </w:r>
      <w:r w:rsidR="001A28B3" w:rsidRPr="00EA7870">
        <w:rPr>
          <w:sz w:val="20"/>
          <w:szCs w:val="20"/>
          <w:lang w:val="es-AR"/>
        </w:rPr>
        <w:t xml:space="preserve"> </w:t>
      </w:r>
      <w:r w:rsidR="00E06527" w:rsidRPr="00EA7870">
        <w:rPr>
          <w:sz w:val="20"/>
          <w:szCs w:val="20"/>
          <w:lang w:val="es-AR"/>
        </w:rPr>
        <w:t>Argentina</w:t>
      </w:r>
      <w:r w:rsidRPr="00EA7870">
        <w:rPr>
          <w:sz w:val="20"/>
          <w:szCs w:val="20"/>
          <w:lang w:val="es-AR"/>
        </w:rPr>
        <w:t>, de conformidad con la Ley de Mercado de Capitales, las Normas de la CNV y toda otra normativa que resulte aplicable</w:t>
      </w:r>
      <w:r w:rsidR="00E06527" w:rsidRPr="00EA7870">
        <w:rPr>
          <w:sz w:val="20"/>
          <w:szCs w:val="20"/>
          <w:lang w:val="es-AR"/>
        </w:rPr>
        <w:t>.</w:t>
      </w:r>
      <w:r w:rsidR="001A28B3" w:rsidRPr="00EA7870">
        <w:rPr>
          <w:sz w:val="20"/>
          <w:szCs w:val="20"/>
          <w:lang w:val="es-AR"/>
        </w:rPr>
        <w:t xml:space="preserve"> </w:t>
      </w:r>
    </w:p>
    <w:p w14:paraId="1E9FBE5A" w14:textId="77777777" w:rsidR="00AC1B5F" w:rsidRPr="00EA7870" w:rsidRDefault="00AC1B5F" w:rsidP="00AC1B5F">
      <w:pPr>
        <w:jc w:val="both"/>
        <w:rPr>
          <w:sz w:val="20"/>
          <w:szCs w:val="20"/>
          <w:lang w:val="es-AR"/>
        </w:rPr>
      </w:pPr>
    </w:p>
    <w:p w14:paraId="71564228" w14:textId="77777777" w:rsidR="00543FFE" w:rsidRPr="00EA7870" w:rsidRDefault="00543FFE" w:rsidP="00AC1B5F">
      <w:pPr>
        <w:spacing w:after="240"/>
        <w:jc w:val="both"/>
        <w:rPr>
          <w:b/>
          <w:sz w:val="20"/>
          <w:szCs w:val="20"/>
          <w:lang w:val="es-AR"/>
        </w:rPr>
      </w:pPr>
      <w:r w:rsidRPr="00EA7870">
        <w:rPr>
          <w:b/>
          <w:sz w:val="20"/>
          <w:szCs w:val="20"/>
          <w:lang w:val="es-AR"/>
        </w:rPr>
        <w:t>Esfuerzos de Colocación y Adjudicación</w:t>
      </w:r>
    </w:p>
    <w:p w14:paraId="1534F2F8" w14:textId="77777777" w:rsidR="00AC1B5F" w:rsidRPr="00EA7870" w:rsidRDefault="00AC1B5F" w:rsidP="00AC1B5F">
      <w:pPr>
        <w:spacing w:after="240"/>
        <w:jc w:val="both"/>
        <w:rPr>
          <w:b/>
          <w:i/>
          <w:sz w:val="20"/>
          <w:szCs w:val="20"/>
          <w:lang w:val="es-AR"/>
        </w:rPr>
      </w:pPr>
      <w:r w:rsidRPr="00EA7870">
        <w:rPr>
          <w:b/>
          <w:i/>
          <w:sz w:val="20"/>
          <w:szCs w:val="20"/>
          <w:lang w:val="es-AR"/>
        </w:rPr>
        <w:t>Esfuerzos de colocación</w:t>
      </w:r>
    </w:p>
    <w:p w14:paraId="2B59C014" w14:textId="6863A1F5" w:rsidR="00AC1B5F" w:rsidRPr="00EA7870" w:rsidRDefault="00AC1B5F" w:rsidP="00AC1B5F">
      <w:pPr>
        <w:spacing w:after="240"/>
        <w:jc w:val="both"/>
        <w:rPr>
          <w:sz w:val="20"/>
          <w:szCs w:val="20"/>
          <w:lang w:val="es-AR"/>
        </w:rPr>
      </w:pPr>
      <w:r w:rsidRPr="00EA7870">
        <w:rPr>
          <w:sz w:val="20"/>
          <w:szCs w:val="20"/>
          <w:lang w:val="es-AR"/>
        </w:rPr>
        <w:t xml:space="preserve">La Emisora y </w:t>
      </w:r>
      <w:r w:rsidR="007B2387" w:rsidRPr="00EA7870">
        <w:rPr>
          <w:sz w:val="20"/>
          <w:szCs w:val="20"/>
          <w:lang w:val="es-AR"/>
        </w:rPr>
        <w:t>el Colocador Local</w:t>
      </w:r>
      <w:r w:rsidRPr="00EA7870">
        <w:rPr>
          <w:sz w:val="20"/>
          <w:szCs w:val="20"/>
          <w:lang w:val="es-AR"/>
        </w:rPr>
        <w:t xml:space="preserve"> efectuarán esfuerzos de colocación</w:t>
      </w:r>
      <w:r w:rsidR="00E250D1" w:rsidRPr="00EA7870">
        <w:rPr>
          <w:sz w:val="20"/>
          <w:szCs w:val="20"/>
          <w:lang w:val="es-AR"/>
        </w:rPr>
        <w:t>,</w:t>
      </w:r>
      <w:r w:rsidRPr="00EA7870">
        <w:rPr>
          <w:sz w:val="20"/>
          <w:szCs w:val="20"/>
          <w:lang w:val="es-AR"/>
        </w:rPr>
        <w:t xml:space="preserve"> y ofrecerán las Obligaciones Negociables</w:t>
      </w:r>
      <w:r w:rsidR="00E250D1" w:rsidRPr="00EA7870">
        <w:rPr>
          <w:sz w:val="20"/>
          <w:szCs w:val="20"/>
          <w:lang w:val="es-AR"/>
        </w:rPr>
        <w:t xml:space="preserve"> </w:t>
      </w:r>
      <w:r w:rsidR="00543FFE" w:rsidRPr="00EA7870">
        <w:rPr>
          <w:sz w:val="20"/>
          <w:szCs w:val="20"/>
          <w:lang w:val="es-AR"/>
        </w:rPr>
        <w:t>a través</w:t>
      </w:r>
      <w:r w:rsidRPr="00EA7870">
        <w:rPr>
          <w:sz w:val="20"/>
          <w:szCs w:val="20"/>
          <w:lang w:val="es-AR"/>
        </w:rPr>
        <w:t xml:space="preserve"> de una oferta pública en la Argentina </w:t>
      </w:r>
      <w:r w:rsidR="00BB6894" w:rsidRPr="00EA7870">
        <w:rPr>
          <w:sz w:val="20"/>
          <w:szCs w:val="20"/>
          <w:lang w:val="es-AR"/>
        </w:rPr>
        <w:t xml:space="preserve">dirigida </w:t>
      </w:r>
      <w:r w:rsidRPr="00EA7870">
        <w:rPr>
          <w:sz w:val="20"/>
          <w:szCs w:val="20"/>
          <w:lang w:val="es-AR"/>
        </w:rPr>
        <w:t>a</w:t>
      </w:r>
      <w:r w:rsidR="00633D77">
        <w:rPr>
          <w:sz w:val="20"/>
          <w:szCs w:val="20"/>
          <w:lang w:val="es-AR"/>
        </w:rPr>
        <w:t xml:space="preserve"> residentes argentinos que sean</w:t>
      </w:r>
      <w:r w:rsidRPr="00EA7870">
        <w:rPr>
          <w:sz w:val="20"/>
          <w:szCs w:val="20"/>
          <w:lang w:val="es-AR"/>
        </w:rPr>
        <w:t xml:space="preserve"> Inversores Calificados (según se los define en el </w:t>
      </w:r>
      <w:r w:rsidRPr="00EA7870">
        <w:rPr>
          <w:rStyle w:val="DeltaViewInsertion"/>
          <w:b w:val="0"/>
          <w:sz w:val="20"/>
          <w:szCs w:val="20"/>
          <w:u w:val="none"/>
        </w:rPr>
        <w:t>Artículo 12, Sección I, Capítulo VI, Título II de las Normas de la CNV</w:t>
      </w:r>
      <w:r w:rsidRPr="00EA7870">
        <w:rPr>
          <w:sz w:val="20"/>
          <w:szCs w:val="20"/>
          <w:lang w:val="es-AR"/>
        </w:rPr>
        <w:t>) de conformidad con la Ley de Obligaciones Negociables, la Ley de Mercado de Capitales, las Normas de la CNV y las demás leyes y regulaciones argentinas aplicables, incluyendo, entre otras, el Capítulo IV del Título VI de las Normas de la CNV.</w:t>
      </w:r>
      <w:r w:rsidR="007761FA" w:rsidRPr="00EA7870">
        <w:rPr>
          <w:sz w:val="20"/>
          <w:szCs w:val="20"/>
          <w:lang w:val="es-AR"/>
        </w:rPr>
        <w:t xml:space="preserve"> </w:t>
      </w:r>
    </w:p>
    <w:p w14:paraId="2D2A8AA5" w14:textId="77777777" w:rsidR="007415AA" w:rsidRPr="00EA7870" w:rsidRDefault="007415AA" w:rsidP="00AC1B5F">
      <w:pPr>
        <w:spacing w:after="240"/>
        <w:jc w:val="both"/>
        <w:rPr>
          <w:sz w:val="20"/>
          <w:szCs w:val="20"/>
          <w:lang w:val="es-AR"/>
        </w:rPr>
      </w:pPr>
      <w:r w:rsidRPr="00EA7870">
        <w:rPr>
          <w:sz w:val="20"/>
          <w:szCs w:val="20"/>
          <w:lang w:val="es-AR"/>
        </w:rPr>
        <w:t>Adicionalmente, la Emisora y los Colocadores Internacionales (de acuerdo con las instrucciones de la Emisora) realizará</w:t>
      </w:r>
      <w:r w:rsidR="003E6614" w:rsidRPr="00EA7870">
        <w:rPr>
          <w:sz w:val="20"/>
          <w:szCs w:val="20"/>
          <w:lang w:val="es-AR"/>
        </w:rPr>
        <w:t>n</w:t>
      </w:r>
      <w:r w:rsidRPr="00EA7870">
        <w:rPr>
          <w:sz w:val="20"/>
          <w:szCs w:val="20"/>
          <w:lang w:val="es-AR"/>
        </w:rPr>
        <w:t xml:space="preserve"> esfuerzo</w:t>
      </w:r>
      <w:r w:rsidR="003E6614" w:rsidRPr="00EA7870">
        <w:rPr>
          <w:sz w:val="20"/>
          <w:szCs w:val="20"/>
          <w:lang w:val="es-AR"/>
        </w:rPr>
        <w:t>s</w:t>
      </w:r>
      <w:r w:rsidRPr="00EA7870">
        <w:rPr>
          <w:sz w:val="20"/>
          <w:szCs w:val="20"/>
          <w:lang w:val="es-AR"/>
        </w:rPr>
        <w:t xml:space="preserve"> de comercialización para la colocación de las Obligaciones Negociables fuera de Argentina, de acuerdo a la normativa aplicable en la respectiva jurisdicción.</w:t>
      </w:r>
    </w:p>
    <w:p w14:paraId="5415AB70" w14:textId="45050032" w:rsidR="00AC1B5F" w:rsidRPr="00EA7870" w:rsidRDefault="00AC1B5F" w:rsidP="00AC1B5F">
      <w:pPr>
        <w:spacing w:after="240"/>
        <w:jc w:val="both"/>
        <w:rPr>
          <w:sz w:val="20"/>
          <w:szCs w:val="20"/>
          <w:lang w:val="es-AR"/>
        </w:rPr>
      </w:pPr>
      <w:r w:rsidRPr="00EA7870">
        <w:rPr>
          <w:sz w:val="20"/>
          <w:szCs w:val="20"/>
          <w:lang w:val="es-AR"/>
        </w:rPr>
        <w:t>Los esfuerzos de colocación consistirán en diversos métodos y actividades de comercialización comúnmente implementados en operaciones de este tipo. Dichos esfuerzos de comercialización pueden incluir</w:t>
      </w:r>
      <w:r w:rsidR="00BB6894" w:rsidRPr="00EA7870">
        <w:rPr>
          <w:sz w:val="20"/>
          <w:szCs w:val="20"/>
          <w:lang w:val="es-AR"/>
        </w:rPr>
        <w:t>, entre otros</w:t>
      </w:r>
      <w:r w:rsidRPr="00EA7870">
        <w:rPr>
          <w:sz w:val="20"/>
          <w:szCs w:val="20"/>
          <w:lang w:val="es-AR"/>
        </w:rPr>
        <w:t xml:space="preserve">: (i) </w:t>
      </w:r>
      <w:r w:rsidRPr="00EA7870">
        <w:rPr>
          <w:i/>
          <w:sz w:val="20"/>
          <w:szCs w:val="20"/>
          <w:lang w:val="es-AR"/>
        </w:rPr>
        <w:t>roadshows</w:t>
      </w:r>
      <w:r w:rsidRPr="00EA7870">
        <w:rPr>
          <w:sz w:val="20"/>
          <w:szCs w:val="20"/>
          <w:lang w:val="es-AR"/>
        </w:rPr>
        <w:t xml:space="preserve"> </w:t>
      </w:r>
      <w:r w:rsidR="007415AA" w:rsidRPr="00EA7870">
        <w:rPr>
          <w:sz w:val="20"/>
          <w:szCs w:val="20"/>
          <w:lang w:val="es-AR"/>
        </w:rPr>
        <w:t xml:space="preserve">locales </w:t>
      </w:r>
      <w:r w:rsidR="00BB6894" w:rsidRPr="00EA7870">
        <w:rPr>
          <w:sz w:val="20"/>
          <w:szCs w:val="20"/>
          <w:lang w:val="es-AR"/>
        </w:rPr>
        <w:t>y/</w:t>
      </w:r>
      <w:r w:rsidR="007415AA" w:rsidRPr="00EA7870">
        <w:rPr>
          <w:sz w:val="20"/>
          <w:szCs w:val="20"/>
          <w:lang w:val="es-AR"/>
        </w:rPr>
        <w:t xml:space="preserve">o internacionales </w:t>
      </w:r>
      <w:r w:rsidRPr="00EA7870">
        <w:rPr>
          <w:sz w:val="20"/>
          <w:szCs w:val="20"/>
          <w:lang w:val="es-AR"/>
        </w:rPr>
        <w:t xml:space="preserve">con inversores institucionales; (ii) conversaciones telefónicas grupales y/o individuales con inversores institucionales, en las que estos tendrán la oportunidad de formular preguntas sobre las operaciones y negocios de la Emisora y </w:t>
      </w:r>
      <w:r w:rsidR="00BB6894" w:rsidRPr="00EA7870">
        <w:rPr>
          <w:sz w:val="20"/>
          <w:szCs w:val="20"/>
          <w:lang w:val="es-AR"/>
        </w:rPr>
        <w:t xml:space="preserve">sobre </w:t>
      </w:r>
      <w:r w:rsidRPr="00EA7870">
        <w:rPr>
          <w:sz w:val="20"/>
          <w:szCs w:val="20"/>
          <w:lang w:val="es-AR"/>
        </w:rPr>
        <w:t>las Obligaciones Negociables; (iii) presentaciones electrónicas; (iv) la publicación de</w:t>
      </w:r>
      <w:r w:rsidR="00837682" w:rsidRPr="00EA7870">
        <w:rPr>
          <w:sz w:val="20"/>
          <w:szCs w:val="20"/>
          <w:lang w:val="es-AR"/>
        </w:rPr>
        <w:t xml:space="preserve"> las versiones resumidas y/o completas de</w:t>
      </w:r>
      <w:r w:rsidR="00E250D1" w:rsidRPr="00EA7870">
        <w:rPr>
          <w:sz w:val="20"/>
          <w:szCs w:val="20"/>
          <w:lang w:val="es-AR"/>
        </w:rPr>
        <w:t xml:space="preserve"> </w:t>
      </w:r>
      <w:r w:rsidR="00BB6894" w:rsidRPr="00EA7870">
        <w:rPr>
          <w:sz w:val="20"/>
          <w:szCs w:val="20"/>
          <w:lang w:val="es-AR"/>
        </w:rPr>
        <w:t>l</w:t>
      </w:r>
      <w:r w:rsidR="00E250D1" w:rsidRPr="00EA7870">
        <w:rPr>
          <w:sz w:val="20"/>
          <w:szCs w:val="20"/>
          <w:lang w:val="es-AR"/>
        </w:rPr>
        <w:t>os</w:t>
      </w:r>
      <w:r w:rsidR="00BB6894" w:rsidRPr="00EA7870">
        <w:rPr>
          <w:sz w:val="20"/>
          <w:szCs w:val="20"/>
          <w:lang w:val="es-AR"/>
        </w:rPr>
        <w:t xml:space="preserve"> Documentos de la Oferta Argentina</w:t>
      </w:r>
      <w:r w:rsidRPr="00EA7870">
        <w:rPr>
          <w:sz w:val="20"/>
          <w:szCs w:val="20"/>
          <w:lang w:val="es-AR"/>
        </w:rPr>
        <w:t xml:space="preserve"> en </w:t>
      </w:r>
      <w:r w:rsidR="004401EE" w:rsidRPr="00EA7870">
        <w:rPr>
          <w:sz w:val="20"/>
          <w:szCs w:val="20"/>
          <w:lang w:val="es-AR"/>
        </w:rPr>
        <w:t>la AIF</w:t>
      </w:r>
      <w:r w:rsidRPr="00EA7870">
        <w:rPr>
          <w:sz w:val="20"/>
          <w:szCs w:val="20"/>
          <w:lang w:val="es-AR"/>
        </w:rPr>
        <w:t xml:space="preserve"> y </w:t>
      </w:r>
      <w:r w:rsidR="003A37B5" w:rsidRPr="00EA7870">
        <w:rPr>
          <w:sz w:val="20"/>
          <w:szCs w:val="20"/>
          <w:lang w:val="es-AR"/>
        </w:rPr>
        <w:t xml:space="preserve">su </w:t>
      </w:r>
      <w:r w:rsidRPr="00EA7870">
        <w:rPr>
          <w:sz w:val="20"/>
          <w:szCs w:val="20"/>
          <w:lang w:val="es-AR"/>
        </w:rPr>
        <w:t xml:space="preserve">publicación </w:t>
      </w:r>
      <w:r w:rsidR="003A37B5" w:rsidRPr="00EA7870">
        <w:rPr>
          <w:sz w:val="20"/>
          <w:szCs w:val="20"/>
          <w:lang w:val="es-AR"/>
        </w:rPr>
        <w:t xml:space="preserve">y la </w:t>
      </w:r>
      <w:r w:rsidRPr="00EA7870">
        <w:rPr>
          <w:sz w:val="20"/>
          <w:szCs w:val="20"/>
          <w:lang w:val="es-AR"/>
        </w:rPr>
        <w:t>de otras notificaciones en periódicos y boletines; (v) la distribución (electrónica o en soporte físico) de</w:t>
      </w:r>
      <w:r w:rsidR="007415AA" w:rsidRPr="00EA7870">
        <w:rPr>
          <w:sz w:val="20"/>
          <w:szCs w:val="20"/>
          <w:lang w:val="es-AR"/>
        </w:rPr>
        <w:t xml:space="preserve"> </w:t>
      </w:r>
      <w:r w:rsidRPr="00EA7870">
        <w:rPr>
          <w:sz w:val="20"/>
          <w:szCs w:val="20"/>
          <w:lang w:val="es-AR"/>
        </w:rPr>
        <w:t>l</w:t>
      </w:r>
      <w:r w:rsidR="007415AA" w:rsidRPr="00EA7870">
        <w:rPr>
          <w:sz w:val="20"/>
          <w:szCs w:val="20"/>
          <w:lang w:val="es-AR"/>
        </w:rPr>
        <w:t>os Documentos de la Oferta Argentina</w:t>
      </w:r>
      <w:r w:rsidRPr="00EA7870">
        <w:rPr>
          <w:sz w:val="20"/>
          <w:szCs w:val="20"/>
          <w:lang w:val="es-AR"/>
        </w:rPr>
        <w:t xml:space="preserve">; (vi) </w:t>
      </w:r>
      <w:r w:rsidR="00BB6894" w:rsidRPr="00EA7870">
        <w:rPr>
          <w:sz w:val="20"/>
          <w:szCs w:val="20"/>
          <w:lang w:val="es-AR"/>
        </w:rPr>
        <w:t xml:space="preserve">puesta a disposición de </w:t>
      </w:r>
      <w:r w:rsidRPr="00EA7870">
        <w:rPr>
          <w:sz w:val="20"/>
          <w:szCs w:val="20"/>
          <w:lang w:val="es-AR"/>
        </w:rPr>
        <w:t>copias físicas de</w:t>
      </w:r>
      <w:r w:rsidR="007415AA" w:rsidRPr="00EA7870">
        <w:rPr>
          <w:sz w:val="20"/>
          <w:szCs w:val="20"/>
          <w:lang w:val="es-AR"/>
        </w:rPr>
        <w:t xml:space="preserve"> </w:t>
      </w:r>
      <w:r w:rsidRPr="00EA7870">
        <w:rPr>
          <w:sz w:val="20"/>
          <w:szCs w:val="20"/>
          <w:lang w:val="es-AR"/>
        </w:rPr>
        <w:t>l</w:t>
      </w:r>
      <w:r w:rsidR="007415AA" w:rsidRPr="00EA7870">
        <w:rPr>
          <w:sz w:val="20"/>
          <w:szCs w:val="20"/>
          <w:lang w:val="es-AR"/>
        </w:rPr>
        <w:t>os Documentos de la Oferta Argentina</w:t>
      </w:r>
      <w:r w:rsidRPr="00EA7870">
        <w:rPr>
          <w:sz w:val="20"/>
          <w:szCs w:val="20"/>
          <w:lang w:val="es-AR"/>
        </w:rPr>
        <w:t xml:space="preserve"> en las oficinas de la Emisora y </w:t>
      </w:r>
      <w:r w:rsidR="007B2387" w:rsidRPr="00EA7870">
        <w:rPr>
          <w:sz w:val="20"/>
          <w:szCs w:val="20"/>
          <w:lang w:val="es-AR"/>
        </w:rPr>
        <w:t>del Colocador Local</w:t>
      </w:r>
      <w:r w:rsidR="007415AA" w:rsidRPr="00EA7870">
        <w:rPr>
          <w:sz w:val="20"/>
          <w:szCs w:val="20"/>
          <w:lang w:val="es-AR"/>
        </w:rPr>
        <w:t xml:space="preserve">; (vii) la publicación de avisos en diarios de </w:t>
      </w:r>
      <w:r w:rsidR="003E6614" w:rsidRPr="00EA7870">
        <w:rPr>
          <w:sz w:val="20"/>
          <w:szCs w:val="20"/>
          <w:lang w:val="es-AR"/>
        </w:rPr>
        <w:t xml:space="preserve">amplia </w:t>
      </w:r>
      <w:r w:rsidR="007415AA" w:rsidRPr="00EA7870">
        <w:rPr>
          <w:sz w:val="20"/>
          <w:szCs w:val="20"/>
          <w:lang w:val="es-AR"/>
        </w:rPr>
        <w:t xml:space="preserve">circulación en </w:t>
      </w:r>
      <w:r w:rsidR="00BB6894" w:rsidRPr="00EA7870">
        <w:rPr>
          <w:sz w:val="20"/>
          <w:szCs w:val="20"/>
          <w:lang w:val="es-AR"/>
        </w:rPr>
        <w:t xml:space="preserve">la </w:t>
      </w:r>
      <w:r w:rsidR="007415AA" w:rsidRPr="00EA7870">
        <w:rPr>
          <w:sz w:val="20"/>
          <w:szCs w:val="20"/>
          <w:lang w:val="es-AR"/>
        </w:rPr>
        <w:t>A</w:t>
      </w:r>
      <w:r w:rsidR="003E6614" w:rsidRPr="00EA7870">
        <w:rPr>
          <w:sz w:val="20"/>
          <w:szCs w:val="20"/>
          <w:lang w:val="es-AR"/>
        </w:rPr>
        <w:t>r</w:t>
      </w:r>
      <w:r w:rsidR="007415AA" w:rsidRPr="00EA7870">
        <w:rPr>
          <w:sz w:val="20"/>
          <w:szCs w:val="20"/>
          <w:lang w:val="es-AR"/>
        </w:rPr>
        <w:t>gentina, incluyendo avisos relacionados al comienzo del Período de la Oferta y al resultado de la colocación de las Obligaciones Negociables; y (viii) cualquier otra actividad que el Colocador Local y/o los Colocadores Internacionales consideren pertinentes</w:t>
      </w:r>
      <w:r w:rsidRPr="00EA7870">
        <w:rPr>
          <w:sz w:val="20"/>
          <w:szCs w:val="20"/>
          <w:lang w:val="es-AR"/>
        </w:rPr>
        <w:t>.</w:t>
      </w:r>
    </w:p>
    <w:p w14:paraId="5E5EDD2C" w14:textId="77777777" w:rsidR="00E06527" w:rsidRPr="00EA7870" w:rsidRDefault="00E06527" w:rsidP="00C15E47">
      <w:pPr>
        <w:spacing w:after="240"/>
        <w:jc w:val="both"/>
        <w:rPr>
          <w:b/>
          <w:sz w:val="20"/>
          <w:szCs w:val="20"/>
          <w:lang w:val="es-AR"/>
        </w:rPr>
      </w:pPr>
      <w:r w:rsidRPr="00EA7870">
        <w:rPr>
          <w:b/>
          <w:sz w:val="20"/>
          <w:szCs w:val="20"/>
          <w:lang w:val="es-AR"/>
        </w:rPr>
        <w:t>Colocación</w:t>
      </w:r>
      <w:r w:rsidR="001A28B3" w:rsidRPr="00EA7870">
        <w:rPr>
          <w:b/>
          <w:sz w:val="20"/>
          <w:szCs w:val="20"/>
          <w:lang w:val="es-AR"/>
        </w:rPr>
        <w:t xml:space="preserve"> </w:t>
      </w:r>
      <w:r w:rsidR="00BB6894" w:rsidRPr="00EA7870">
        <w:rPr>
          <w:b/>
          <w:sz w:val="20"/>
          <w:szCs w:val="20"/>
          <w:lang w:val="es-AR"/>
        </w:rPr>
        <w:t xml:space="preserve">Primaria </w:t>
      </w:r>
      <w:r w:rsidRPr="00EA7870">
        <w:rPr>
          <w:b/>
          <w:sz w:val="20"/>
          <w:szCs w:val="20"/>
          <w:lang w:val="es-AR"/>
        </w:rPr>
        <w:t>y</w:t>
      </w:r>
      <w:r w:rsidR="001A28B3" w:rsidRPr="00EA7870">
        <w:rPr>
          <w:b/>
          <w:sz w:val="20"/>
          <w:szCs w:val="20"/>
          <w:lang w:val="es-AR"/>
        </w:rPr>
        <w:t xml:space="preserve"> </w:t>
      </w:r>
      <w:r w:rsidRPr="00EA7870">
        <w:rPr>
          <w:b/>
          <w:sz w:val="20"/>
          <w:szCs w:val="20"/>
          <w:lang w:val="es-AR"/>
        </w:rPr>
        <w:t>Adjudicación</w:t>
      </w:r>
    </w:p>
    <w:p w14:paraId="7857D9FE" w14:textId="77777777" w:rsidR="00E06527" w:rsidRPr="00EA7870" w:rsidRDefault="00E06527" w:rsidP="00E06527">
      <w:pPr>
        <w:keepNext/>
        <w:spacing w:after="240"/>
        <w:jc w:val="both"/>
        <w:rPr>
          <w:b/>
          <w:i/>
          <w:sz w:val="20"/>
          <w:szCs w:val="20"/>
          <w:lang w:val="es-AR"/>
        </w:rPr>
      </w:pPr>
      <w:r w:rsidRPr="00EA7870">
        <w:rPr>
          <w:b/>
          <w:i/>
          <w:sz w:val="20"/>
          <w:szCs w:val="20"/>
          <w:lang w:val="es-AR"/>
        </w:rPr>
        <w:t>Book-Building</w:t>
      </w:r>
      <w:r w:rsidR="001A28B3" w:rsidRPr="00EA7870">
        <w:rPr>
          <w:b/>
          <w:i/>
          <w:sz w:val="20"/>
          <w:szCs w:val="20"/>
          <w:lang w:val="es-AR"/>
        </w:rPr>
        <w:t xml:space="preserve"> </w:t>
      </w:r>
    </w:p>
    <w:p w14:paraId="5D52CC86" w14:textId="77777777" w:rsidR="00901E5D" w:rsidRPr="00EA7870" w:rsidRDefault="004C3E75" w:rsidP="00901E5D">
      <w:pPr>
        <w:spacing w:after="240"/>
        <w:jc w:val="both"/>
        <w:rPr>
          <w:sz w:val="20"/>
          <w:szCs w:val="20"/>
          <w:lang w:val="es-AR"/>
        </w:rPr>
      </w:pPr>
      <w:r w:rsidRPr="00EA7870">
        <w:rPr>
          <w:sz w:val="20"/>
          <w:szCs w:val="20"/>
          <w:lang w:val="es-AR"/>
        </w:rPr>
        <w:t xml:space="preserve">En virtud con lo establecido por </w:t>
      </w:r>
      <w:r w:rsidR="002B6C29" w:rsidRPr="00EA7870">
        <w:rPr>
          <w:sz w:val="20"/>
          <w:szCs w:val="20"/>
          <w:lang w:val="es-AR"/>
        </w:rPr>
        <w:t>el</w:t>
      </w:r>
      <w:r w:rsidR="001A28B3" w:rsidRPr="00EA7870">
        <w:rPr>
          <w:sz w:val="20"/>
          <w:szCs w:val="20"/>
          <w:lang w:val="es-AR"/>
        </w:rPr>
        <w:t xml:space="preserve"> </w:t>
      </w:r>
      <w:r w:rsidR="002B6C29" w:rsidRPr="00EA7870">
        <w:rPr>
          <w:sz w:val="20"/>
          <w:szCs w:val="20"/>
          <w:lang w:val="es-AR"/>
        </w:rPr>
        <w:t>Artículo</w:t>
      </w:r>
      <w:r w:rsidR="001A28B3" w:rsidRPr="00EA7870">
        <w:rPr>
          <w:sz w:val="20"/>
          <w:szCs w:val="20"/>
          <w:lang w:val="es-AR"/>
        </w:rPr>
        <w:t xml:space="preserve"> </w:t>
      </w:r>
      <w:r w:rsidR="002B6C29" w:rsidRPr="00EA7870">
        <w:rPr>
          <w:sz w:val="20"/>
          <w:szCs w:val="20"/>
          <w:lang w:val="es-AR"/>
        </w:rPr>
        <w:t>27</w:t>
      </w:r>
      <w:r w:rsidR="00B35270" w:rsidRPr="00EA7870">
        <w:rPr>
          <w:sz w:val="20"/>
          <w:szCs w:val="20"/>
          <w:lang w:val="es-AR"/>
        </w:rPr>
        <w:t>,</w:t>
      </w:r>
      <w:r w:rsidR="001A28B3" w:rsidRPr="00EA7870">
        <w:rPr>
          <w:sz w:val="20"/>
          <w:szCs w:val="20"/>
          <w:lang w:val="es-AR"/>
        </w:rPr>
        <w:t xml:space="preserve"> </w:t>
      </w:r>
      <w:r w:rsidR="00B35270" w:rsidRPr="00EA7870">
        <w:rPr>
          <w:sz w:val="20"/>
          <w:szCs w:val="20"/>
          <w:lang w:val="es-AR"/>
        </w:rPr>
        <w:t>Sección</w:t>
      </w:r>
      <w:r w:rsidR="001A28B3" w:rsidRPr="00EA7870">
        <w:rPr>
          <w:sz w:val="20"/>
          <w:szCs w:val="20"/>
          <w:lang w:val="es-AR"/>
        </w:rPr>
        <w:t xml:space="preserve"> </w:t>
      </w:r>
      <w:r w:rsidR="00B35270" w:rsidRPr="00EA7870">
        <w:rPr>
          <w:sz w:val="20"/>
          <w:szCs w:val="20"/>
          <w:lang w:val="es-AR"/>
        </w:rPr>
        <w:t>IV,</w:t>
      </w:r>
      <w:r w:rsidR="001A28B3" w:rsidRPr="00EA7870">
        <w:rPr>
          <w:sz w:val="20"/>
          <w:szCs w:val="20"/>
          <w:lang w:val="es-AR"/>
        </w:rPr>
        <w:t xml:space="preserve"> </w:t>
      </w:r>
      <w:r w:rsidR="002B6C29" w:rsidRPr="00EA7870">
        <w:rPr>
          <w:sz w:val="20"/>
          <w:szCs w:val="20"/>
          <w:lang w:val="es-AR"/>
        </w:rPr>
        <w:t>Capítulo</w:t>
      </w:r>
      <w:r w:rsidR="001A28B3" w:rsidRPr="00EA7870">
        <w:rPr>
          <w:sz w:val="20"/>
          <w:szCs w:val="20"/>
          <w:lang w:val="es-AR"/>
        </w:rPr>
        <w:t xml:space="preserve"> </w:t>
      </w:r>
      <w:r w:rsidR="002B6C29" w:rsidRPr="00EA7870">
        <w:rPr>
          <w:sz w:val="20"/>
          <w:szCs w:val="20"/>
          <w:lang w:val="es-AR"/>
        </w:rPr>
        <w:t>V</w:t>
      </w:r>
      <w:r w:rsidR="00B35270" w:rsidRPr="00EA7870">
        <w:rPr>
          <w:sz w:val="20"/>
          <w:szCs w:val="20"/>
          <w:lang w:val="es-AR"/>
        </w:rPr>
        <w:t>,</w:t>
      </w:r>
      <w:r w:rsidR="001A28B3" w:rsidRPr="00EA7870">
        <w:rPr>
          <w:sz w:val="20"/>
          <w:szCs w:val="20"/>
          <w:lang w:val="es-AR"/>
        </w:rPr>
        <w:t xml:space="preserve"> </w:t>
      </w:r>
      <w:r w:rsidR="002B6C29" w:rsidRPr="00EA7870">
        <w:rPr>
          <w:sz w:val="20"/>
          <w:szCs w:val="20"/>
          <w:lang w:val="es-AR"/>
        </w:rPr>
        <w:t>Título</w:t>
      </w:r>
      <w:r w:rsidR="001A28B3" w:rsidRPr="00EA7870">
        <w:rPr>
          <w:sz w:val="20"/>
          <w:szCs w:val="20"/>
          <w:lang w:val="es-AR"/>
        </w:rPr>
        <w:t xml:space="preserve"> </w:t>
      </w:r>
      <w:r w:rsidR="002B6C29" w:rsidRPr="00EA7870">
        <w:rPr>
          <w:sz w:val="20"/>
          <w:szCs w:val="20"/>
          <w:lang w:val="es-AR"/>
        </w:rPr>
        <w:t>II</w:t>
      </w:r>
      <w:r w:rsidR="001A28B3" w:rsidRPr="00EA7870">
        <w:rPr>
          <w:sz w:val="20"/>
          <w:szCs w:val="20"/>
          <w:lang w:val="es-AR"/>
        </w:rPr>
        <w:t xml:space="preserve"> </w:t>
      </w:r>
      <w:r w:rsidR="002B6C29" w:rsidRPr="00EA7870">
        <w:rPr>
          <w:sz w:val="20"/>
          <w:szCs w:val="20"/>
          <w:lang w:val="es-AR"/>
        </w:rPr>
        <w:t>de</w:t>
      </w:r>
      <w:r w:rsidR="001A28B3" w:rsidRPr="00EA7870">
        <w:rPr>
          <w:sz w:val="20"/>
          <w:szCs w:val="20"/>
          <w:lang w:val="es-AR"/>
        </w:rPr>
        <w:t xml:space="preserve"> </w:t>
      </w:r>
      <w:r w:rsidR="002B6C29" w:rsidRPr="00EA7870">
        <w:rPr>
          <w:sz w:val="20"/>
          <w:szCs w:val="20"/>
          <w:lang w:val="es-AR"/>
        </w:rPr>
        <w:t>las</w:t>
      </w:r>
      <w:r w:rsidR="001A28B3" w:rsidRPr="00EA7870">
        <w:rPr>
          <w:sz w:val="20"/>
          <w:szCs w:val="20"/>
          <w:lang w:val="es-AR"/>
        </w:rPr>
        <w:t xml:space="preserve"> </w:t>
      </w:r>
      <w:r w:rsidR="002B6C29" w:rsidRPr="00EA7870">
        <w:rPr>
          <w:sz w:val="20"/>
          <w:szCs w:val="20"/>
          <w:lang w:val="es-AR"/>
        </w:rPr>
        <w:t>Normas</w:t>
      </w:r>
      <w:r w:rsidR="001A28B3" w:rsidRPr="00EA7870">
        <w:rPr>
          <w:sz w:val="20"/>
          <w:szCs w:val="20"/>
          <w:lang w:val="es-AR"/>
        </w:rPr>
        <w:t xml:space="preserve"> </w:t>
      </w:r>
      <w:r w:rsidR="002B6C29" w:rsidRPr="00EA7870">
        <w:rPr>
          <w:sz w:val="20"/>
          <w:szCs w:val="20"/>
          <w:lang w:val="es-AR"/>
        </w:rPr>
        <w:t>de</w:t>
      </w:r>
      <w:r w:rsidR="001A28B3" w:rsidRPr="00EA7870">
        <w:rPr>
          <w:sz w:val="20"/>
          <w:szCs w:val="20"/>
          <w:lang w:val="es-AR"/>
        </w:rPr>
        <w:t xml:space="preserve"> </w:t>
      </w:r>
      <w:r w:rsidR="002B6C29" w:rsidRPr="00EA7870">
        <w:rPr>
          <w:sz w:val="20"/>
          <w:szCs w:val="20"/>
          <w:lang w:val="es-AR"/>
        </w:rPr>
        <w:t>la</w:t>
      </w:r>
      <w:r w:rsidR="001A28B3" w:rsidRPr="00EA7870">
        <w:rPr>
          <w:sz w:val="20"/>
          <w:szCs w:val="20"/>
          <w:lang w:val="es-AR"/>
        </w:rPr>
        <w:t xml:space="preserve"> </w:t>
      </w:r>
      <w:r w:rsidR="002B6C29" w:rsidRPr="00EA7870">
        <w:rPr>
          <w:sz w:val="20"/>
          <w:szCs w:val="20"/>
          <w:lang w:val="es-AR"/>
        </w:rPr>
        <w:t>CNV,</w:t>
      </w:r>
      <w:r w:rsidR="001A28B3" w:rsidRPr="00EA7870">
        <w:rPr>
          <w:sz w:val="20"/>
          <w:szCs w:val="20"/>
          <w:lang w:val="es-AR"/>
        </w:rPr>
        <w:t xml:space="preserve"> </w:t>
      </w:r>
      <w:r w:rsidR="002B6C29" w:rsidRPr="00EA7870">
        <w:rPr>
          <w:sz w:val="20"/>
          <w:szCs w:val="20"/>
          <w:lang w:val="es-AR"/>
        </w:rPr>
        <w:t>la</w:t>
      </w:r>
      <w:r w:rsidR="001A28B3" w:rsidRPr="00EA7870">
        <w:rPr>
          <w:sz w:val="20"/>
          <w:szCs w:val="20"/>
          <w:lang w:val="es-AR"/>
        </w:rPr>
        <w:t xml:space="preserve"> </w:t>
      </w:r>
      <w:r w:rsidR="002B6C29" w:rsidRPr="00EA7870">
        <w:rPr>
          <w:sz w:val="20"/>
          <w:szCs w:val="20"/>
          <w:lang w:val="es-AR"/>
        </w:rPr>
        <w:t>colocación</w:t>
      </w:r>
      <w:r w:rsidRPr="00EA7870">
        <w:rPr>
          <w:sz w:val="20"/>
          <w:szCs w:val="20"/>
          <w:lang w:val="es-AR"/>
        </w:rPr>
        <w:t xml:space="preserve"> primaria</w:t>
      </w:r>
      <w:r w:rsidR="001A28B3" w:rsidRPr="00EA7870">
        <w:rPr>
          <w:sz w:val="20"/>
          <w:szCs w:val="20"/>
          <w:lang w:val="es-AR"/>
        </w:rPr>
        <w:t xml:space="preserve"> </w:t>
      </w:r>
      <w:r w:rsidR="002B6C29" w:rsidRPr="00EA7870">
        <w:rPr>
          <w:sz w:val="20"/>
          <w:szCs w:val="20"/>
          <w:lang w:val="es-AR"/>
        </w:rPr>
        <w:t>de</w:t>
      </w:r>
      <w:r w:rsidR="001A28B3" w:rsidRPr="00EA7870">
        <w:rPr>
          <w:sz w:val="20"/>
          <w:szCs w:val="20"/>
          <w:lang w:val="es-AR"/>
        </w:rPr>
        <w:t xml:space="preserve"> </w:t>
      </w:r>
      <w:r w:rsidR="002B6C29" w:rsidRPr="00EA7870">
        <w:rPr>
          <w:sz w:val="20"/>
          <w:szCs w:val="20"/>
          <w:lang w:val="es-AR"/>
        </w:rPr>
        <w:t>obligaciones</w:t>
      </w:r>
      <w:r w:rsidR="001A28B3" w:rsidRPr="00EA7870">
        <w:rPr>
          <w:sz w:val="20"/>
          <w:szCs w:val="20"/>
          <w:lang w:val="es-AR"/>
        </w:rPr>
        <w:t xml:space="preserve"> </w:t>
      </w:r>
      <w:r w:rsidR="002B6C29" w:rsidRPr="00EA7870">
        <w:rPr>
          <w:sz w:val="20"/>
          <w:szCs w:val="20"/>
          <w:lang w:val="es-AR"/>
        </w:rPr>
        <w:t>negociables</w:t>
      </w:r>
      <w:r w:rsidR="001A28B3" w:rsidRPr="00EA7870">
        <w:rPr>
          <w:sz w:val="20"/>
          <w:szCs w:val="20"/>
          <w:lang w:val="es-AR"/>
        </w:rPr>
        <w:t xml:space="preserve"> </w:t>
      </w:r>
      <w:r w:rsidR="002B6C29" w:rsidRPr="00EA7870">
        <w:rPr>
          <w:sz w:val="20"/>
          <w:szCs w:val="20"/>
          <w:lang w:val="es-AR"/>
        </w:rPr>
        <w:t>en</w:t>
      </w:r>
      <w:r w:rsidR="001A28B3" w:rsidRPr="00EA7870">
        <w:rPr>
          <w:sz w:val="20"/>
          <w:szCs w:val="20"/>
          <w:lang w:val="es-AR"/>
        </w:rPr>
        <w:t xml:space="preserve"> </w:t>
      </w:r>
      <w:r w:rsidR="002B6C29" w:rsidRPr="00EA7870">
        <w:rPr>
          <w:sz w:val="20"/>
          <w:szCs w:val="20"/>
          <w:lang w:val="es-AR"/>
        </w:rPr>
        <w:t>la</w:t>
      </w:r>
      <w:r w:rsidR="001A28B3" w:rsidRPr="00EA7870">
        <w:rPr>
          <w:sz w:val="20"/>
          <w:szCs w:val="20"/>
          <w:lang w:val="es-AR"/>
        </w:rPr>
        <w:t xml:space="preserve"> </w:t>
      </w:r>
      <w:r w:rsidR="002B6C29" w:rsidRPr="00EA7870">
        <w:rPr>
          <w:sz w:val="20"/>
          <w:szCs w:val="20"/>
          <w:lang w:val="es-AR"/>
        </w:rPr>
        <w:t>Argentina</w:t>
      </w:r>
      <w:r w:rsidR="001A28B3" w:rsidRPr="00EA7870">
        <w:rPr>
          <w:sz w:val="20"/>
          <w:szCs w:val="20"/>
          <w:lang w:val="es-AR"/>
        </w:rPr>
        <w:t xml:space="preserve"> </w:t>
      </w:r>
      <w:r w:rsidR="002B6C29" w:rsidRPr="00EA7870">
        <w:rPr>
          <w:sz w:val="20"/>
          <w:szCs w:val="20"/>
          <w:lang w:val="es-AR"/>
        </w:rPr>
        <w:t>debe</w:t>
      </w:r>
      <w:r w:rsidR="001A28B3" w:rsidRPr="00EA7870">
        <w:rPr>
          <w:sz w:val="20"/>
          <w:szCs w:val="20"/>
          <w:lang w:val="es-AR"/>
        </w:rPr>
        <w:t xml:space="preserve"> </w:t>
      </w:r>
      <w:r w:rsidR="002B6C29" w:rsidRPr="00EA7870">
        <w:rPr>
          <w:sz w:val="20"/>
          <w:szCs w:val="20"/>
          <w:lang w:val="es-AR"/>
        </w:rPr>
        <w:t>realizarse</w:t>
      </w:r>
      <w:r w:rsidR="001A28B3" w:rsidRPr="00EA7870">
        <w:rPr>
          <w:sz w:val="20"/>
          <w:szCs w:val="20"/>
          <w:lang w:val="es-AR"/>
        </w:rPr>
        <w:t xml:space="preserve"> </w:t>
      </w:r>
      <w:r w:rsidR="002B6C29" w:rsidRPr="00EA7870">
        <w:rPr>
          <w:sz w:val="20"/>
          <w:szCs w:val="20"/>
          <w:lang w:val="es-AR"/>
        </w:rPr>
        <w:t>de</w:t>
      </w:r>
      <w:r w:rsidR="001A28B3" w:rsidRPr="00EA7870">
        <w:rPr>
          <w:sz w:val="20"/>
          <w:szCs w:val="20"/>
          <w:lang w:val="es-AR"/>
        </w:rPr>
        <w:t xml:space="preserve"> </w:t>
      </w:r>
      <w:r w:rsidR="002B6C29" w:rsidRPr="00EA7870">
        <w:rPr>
          <w:sz w:val="20"/>
          <w:szCs w:val="20"/>
          <w:lang w:val="es-AR"/>
        </w:rPr>
        <w:t>conformidad</w:t>
      </w:r>
      <w:r w:rsidR="001A28B3" w:rsidRPr="00EA7870">
        <w:rPr>
          <w:sz w:val="20"/>
          <w:szCs w:val="20"/>
          <w:lang w:val="es-AR"/>
        </w:rPr>
        <w:t xml:space="preserve"> </w:t>
      </w:r>
      <w:r w:rsidR="002B6C29" w:rsidRPr="00EA7870">
        <w:rPr>
          <w:sz w:val="20"/>
          <w:szCs w:val="20"/>
          <w:lang w:val="es-AR"/>
        </w:rPr>
        <w:t>con</w:t>
      </w:r>
      <w:r w:rsidR="000A111F" w:rsidRPr="00EA7870">
        <w:rPr>
          <w:sz w:val="20"/>
          <w:szCs w:val="20"/>
          <w:lang w:val="es-AR"/>
        </w:rPr>
        <w:t xml:space="preserve"> alguno de</w:t>
      </w:r>
      <w:r w:rsidR="001A28B3" w:rsidRPr="00EA7870">
        <w:rPr>
          <w:sz w:val="20"/>
          <w:szCs w:val="20"/>
          <w:lang w:val="es-AR"/>
        </w:rPr>
        <w:t xml:space="preserve"> </w:t>
      </w:r>
      <w:r w:rsidR="002B6C29" w:rsidRPr="00EA7870">
        <w:rPr>
          <w:sz w:val="20"/>
          <w:szCs w:val="20"/>
          <w:lang w:val="es-AR"/>
        </w:rPr>
        <w:t>los</w:t>
      </w:r>
      <w:r w:rsidR="001A28B3" w:rsidRPr="00EA7870">
        <w:rPr>
          <w:sz w:val="20"/>
          <w:szCs w:val="20"/>
          <w:lang w:val="es-AR"/>
        </w:rPr>
        <w:t xml:space="preserve"> </w:t>
      </w:r>
      <w:r w:rsidR="002B6C29" w:rsidRPr="00EA7870">
        <w:rPr>
          <w:sz w:val="20"/>
          <w:szCs w:val="20"/>
          <w:lang w:val="es-AR"/>
        </w:rPr>
        <w:t>mecanismos</w:t>
      </w:r>
      <w:r w:rsidR="001A28B3" w:rsidRPr="00EA7870">
        <w:rPr>
          <w:sz w:val="20"/>
          <w:szCs w:val="20"/>
          <w:lang w:val="es-AR"/>
        </w:rPr>
        <w:t xml:space="preserve"> </w:t>
      </w:r>
      <w:r w:rsidR="002B6C29" w:rsidRPr="00EA7870">
        <w:rPr>
          <w:sz w:val="20"/>
          <w:szCs w:val="20"/>
          <w:lang w:val="es-AR"/>
        </w:rPr>
        <w:t>previstos</w:t>
      </w:r>
      <w:r w:rsidR="001A28B3" w:rsidRPr="00EA7870">
        <w:rPr>
          <w:sz w:val="20"/>
          <w:szCs w:val="20"/>
          <w:lang w:val="es-AR"/>
        </w:rPr>
        <w:t xml:space="preserve"> </w:t>
      </w:r>
      <w:r w:rsidR="002B6C29" w:rsidRPr="00EA7870">
        <w:rPr>
          <w:sz w:val="20"/>
          <w:szCs w:val="20"/>
          <w:lang w:val="es-AR"/>
        </w:rPr>
        <w:t>en</w:t>
      </w:r>
      <w:r w:rsidR="001A28B3" w:rsidRPr="00EA7870">
        <w:rPr>
          <w:sz w:val="20"/>
          <w:szCs w:val="20"/>
          <w:lang w:val="es-AR"/>
        </w:rPr>
        <w:t xml:space="preserve"> </w:t>
      </w:r>
      <w:r w:rsidR="002B6C29" w:rsidRPr="00EA7870">
        <w:rPr>
          <w:sz w:val="20"/>
          <w:szCs w:val="20"/>
          <w:lang w:val="es-AR"/>
        </w:rPr>
        <w:t>el</w:t>
      </w:r>
      <w:r w:rsidR="001A28B3" w:rsidRPr="00EA7870">
        <w:rPr>
          <w:sz w:val="20"/>
          <w:szCs w:val="20"/>
          <w:lang w:val="es-AR"/>
        </w:rPr>
        <w:t xml:space="preserve"> </w:t>
      </w:r>
      <w:r w:rsidR="002B6C29" w:rsidRPr="00EA7870">
        <w:rPr>
          <w:sz w:val="20"/>
          <w:szCs w:val="20"/>
          <w:lang w:val="es-AR"/>
        </w:rPr>
        <w:t>Capítulo</w:t>
      </w:r>
      <w:r w:rsidR="001A28B3" w:rsidRPr="00EA7870">
        <w:rPr>
          <w:sz w:val="20"/>
          <w:szCs w:val="20"/>
          <w:lang w:val="es-AR"/>
        </w:rPr>
        <w:t xml:space="preserve"> </w:t>
      </w:r>
      <w:r w:rsidR="002B6C29" w:rsidRPr="00EA7870">
        <w:rPr>
          <w:sz w:val="20"/>
          <w:szCs w:val="20"/>
          <w:lang w:val="es-AR"/>
        </w:rPr>
        <w:t>IV</w:t>
      </w:r>
      <w:r w:rsidR="001A28B3" w:rsidRPr="00EA7870">
        <w:rPr>
          <w:sz w:val="20"/>
          <w:szCs w:val="20"/>
          <w:lang w:val="es-AR"/>
        </w:rPr>
        <w:t xml:space="preserve"> </w:t>
      </w:r>
      <w:r w:rsidR="002B6C29" w:rsidRPr="00EA7870">
        <w:rPr>
          <w:sz w:val="20"/>
          <w:szCs w:val="20"/>
          <w:lang w:val="es-AR"/>
        </w:rPr>
        <w:t>del</w:t>
      </w:r>
      <w:r w:rsidR="001A28B3" w:rsidRPr="00EA7870">
        <w:rPr>
          <w:sz w:val="20"/>
          <w:szCs w:val="20"/>
          <w:lang w:val="es-AR"/>
        </w:rPr>
        <w:t xml:space="preserve"> </w:t>
      </w:r>
      <w:r w:rsidR="002B6C29" w:rsidRPr="00EA7870">
        <w:rPr>
          <w:sz w:val="20"/>
          <w:szCs w:val="20"/>
          <w:lang w:val="es-AR"/>
        </w:rPr>
        <w:t>Título</w:t>
      </w:r>
      <w:r w:rsidR="001A28B3" w:rsidRPr="00EA7870">
        <w:rPr>
          <w:sz w:val="20"/>
          <w:szCs w:val="20"/>
          <w:lang w:val="es-AR"/>
        </w:rPr>
        <w:t xml:space="preserve"> </w:t>
      </w:r>
      <w:r w:rsidR="002B6C29" w:rsidRPr="00EA7870">
        <w:rPr>
          <w:sz w:val="20"/>
          <w:szCs w:val="20"/>
          <w:lang w:val="es-AR"/>
        </w:rPr>
        <w:t>VI</w:t>
      </w:r>
      <w:r w:rsidR="001A28B3" w:rsidRPr="00EA7870">
        <w:rPr>
          <w:sz w:val="20"/>
          <w:szCs w:val="20"/>
          <w:lang w:val="es-AR"/>
        </w:rPr>
        <w:t xml:space="preserve"> </w:t>
      </w:r>
      <w:r w:rsidR="002B6C29" w:rsidRPr="00EA7870">
        <w:rPr>
          <w:sz w:val="20"/>
          <w:szCs w:val="20"/>
          <w:lang w:val="es-AR"/>
        </w:rPr>
        <w:t>de</w:t>
      </w:r>
      <w:r w:rsidR="001A28B3" w:rsidRPr="00EA7870">
        <w:rPr>
          <w:sz w:val="20"/>
          <w:szCs w:val="20"/>
          <w:lang w:val="es-AR"/>
        </w:rPr>
        <w:t xml:space="preserve"> </w:t>
      </w:r>
      <w:r w:rsidR="002B6C29" w:rsidRPr="00EA7870">
        <w:rPr>
          <w:sz w:val="20"/>
          <w:szCs w:val="20"/>
          <w:lang w:val="es-AR"/>
        </w:rPr>
        <w:t>las</w:t>
      </w:r>
      <w:r w:rsidR="001A28B3" w:rsidRPr="00EA7870">
        <w:rPr>
          <w:sz w:val="20"/>
          <w:szCs w:val="20"/>
          <w:lang w:val="es-AR"/>
        </w:rPr>
        <w:t xml:space="preserve"> </w:t>
      </w:r>
      <w:r w:rsidR="002B6C29" w:rsidRPr="00EA7870">
        <w:rPr>
          <w:sz w:val="20"/>
          <w:szCs w:val="20"/>
          <w:lang w:val="es-AR"/>
        </w:rPr>
        <w:t>Normas</w:t>
      </w:r>
      <w:r w:rsidR="001A28B3" w:rsidRPr="00EA7870">
        <w:rPr>
          <w:sz w:val="20"/>
          <w:szCs w:val="20"/>
          <w:lang w:val="es-AR"/>
        </w:rPr>
        <w:t xml:space="preserve"> </w:t>
      </w:r>
      <w:r w:rsidR="002B6C29" w:rsidRPr="00EA7870">
        <w:rPr>
          <w:sz w:val="20"/>
          <w:szCs w:val="20"/>
          <w:lang w:val="es-AR"/>
        </w:rPr>
        <w:t>de</w:t>
      </w:r>
      <w:r w:rsidR="001A28B3" w:rsidRPr="00EA7870">
        <w:rPr>
          <w:sz w:val="20"/>
          <w:szCs w:val="20"/>
          <w:lang w:val="es-AR"/>
        </w:rPr>
        <w:t xml:space="preserve"> </w:t>
      </w:r>
      <w:r w:rsidR="002B6C29" w:rsidRPr="00EA7870">
        <w:rPr>
          <w:sz w:val="20"/>
          <w:szCs w:val="20"/>
          <w:lang w:val="es-AR"/>
        </w:rPr>
        <w:t>la</w:t>
      </w:r>
      <w:r w:rsidR="001A28B3" w:rsidRPr="00EA7870">
        <w:rPr>
          <w:sz w:val="20"/>
          <w:szCs w:val="20"/>
          <w:lang w:val="es-AR"/>
        </w:rPr>
        <w:t xml:space="preserve"> </w:t>
      </w:r>
      <w:r w:rsidR="002B6C29" w:rsidRPr="00EA7870">
        <w:rPr>
          <w:sz w:val="20"/>
          <w:szCs w:val="20"/>
          <w:lang w:val="es-AR"/>
        </w:rPr>
        <w:t>CNV.</w:t>
      </w:r>
      <w:r w:rsidR="001A28B3" w:rsidRPr="00EA7870">
        <w:rPr>
          <w:sz w:val="20"/>
          <w:szCs w:val="20"/>
          <w:lang w:val="es-AR"/>
        </w:rPr>
        <w:t xml:space="preserve"> </w:t>
      </w:r>
      <w:r w:rsidR="00B35270" w:rsidRPr="00EA7870">
        <w:rPr>
          <w:sz w:val="20"/>
          <w:szCs w:val="20"/>
          <w:lang w:val="es-AR"/>
        </w:rPr>
        <w:t>En</w:t>
      </w:r>
      <w:r w:rsidR="001A28B3" w:rsidRPr="00EA7870">
        <w:rPr>
          <w:sz w:val="20"/>
          <w:szCs w:val="20"/>
          <w:lang w:val="es-AR"/>
        </w:rPr>
        <w:t xml:space="preserve"> </w:t>
      </w:r>
      <w:r w:rsidR="00B35270" w:rsidRPr="00EA7870">
        <w:rPr>
          <w:sz w:val="20"/>
          <w:szCs w:val="20"/>
          <w:lang w:val="es-AR"/>
        </w:rPr>
        <w:t>tal</w:t>
      </w:r>
      <w:r w:rsidR="001A28B3" w:rsidRPr="00EA7870">
        <w:rPr>
          <w:sz w:val="20"/>
          <w:szCs w:val="20"/>
          <w:lang w:val="es-AR"/>
        </w:rPr>
        <w:t xml:space="preserve"> </w:t>
      </w:r>
      <w:r w:rsidR="00B35270" w:rsidRPr="00EA7870">
        <w:rPr>
          <w:sz w:val="20"/>
          <w:szCs w:val="20"/>
          <w:lang w:val="es-AR"/>
        </w:rPr>
        <w:t>sentido</w:t>
      </w:r>
      <w:r w:rsidR="002B6C29" w:rsidRPr="00EA7870">
        <w:rPr>
          <w:sz w:val="20"/>
          <w:szCs w:val="20"/>
          <w:lang w:val="es-AR"/>
        </w:rPr>
        <w:t>,</w:t>
      </w:r>
      <w:r w:rsidR="001A28B3" w:rsidRPr="00EA7870">
        <w:rPr>
          <w:sz w:val="20"/>
          <w:szCs w:val="20"/>
          <w:lang w:val="es-AR"/>
        </w:rPr>
        <w:t xml:space="preserve"> </w:t>
      </w:r>
      <w:r w:rsidR="002B6C29" w:rsidRPr="00EA7870">
        <w:rPr>
          <w:sz w:val="20"/>
          <w:szCs w:val="20"/>
          <w:lang w:val="es-AR"/>
        </w:rPr>
        <w:t>el</w:t>
      </w:r>
      <w:r w:rsidR="001A28B3" w:rsidRPr="00EA7870">
        <w:rPr>
          <w:sz w:val="20"/>
          <w:szCs w:val="20"/>
          <w:lang w:val="es-AR"/>
        </w:rPr>
        <w:t xml:space="preserve"> </w:t>
      </w:r>
      <w:r w:rsidR="002B6C29" w:rsidRPr="00EA7870">
        <w:rPr>
          <w:sz w:val="20"/>
          <w:szCs w:val="20"/>
          <w:lang w:val="es-AR"/>
        </w:rPr>
        <w:t>Artículo</w:t>
      </w:r>
      <w:r w:rsidR="001A28B3" w:rsidRPr="00EA7870">
        <w:rPr>
          <w:sz w:val="20"/>
          <w:szCs w:val="20"/>
          <w:lang w:val="es-AR"/>
        </w:rPr>
        <w:t xml:space="preserve"> </w:t>
      </w:r>
      <w:r w:rsidR="002B6C29" w:rsidRPr="00EA7870">
        <w:rPr>
          <w:sz w:val="20"/>
          <w:szCs w:val="20"/>
          <w:lang w:val="es-AR"/>
        </w:rPr>
        <w:t>1</w:t>
      </w:r>
      <w:r w:rsidR="00B35270" w:rsidRPr="00EA7870">
        <w:rPr>
          <w:sz w:val="20"/>
          <w:szCs w:val="20"/>
          <w:lang w:val="es-AR"/>
        </w:rPr>
        <w:t>,</w:t>
      </w:r>
      <w:r w:rsidR="001A28B3" w:rsidRPr="00EA7870">
        <w:rPr>
          <w:sz w:val="20"/>
          <w:szCs w:val="20"/>
          <w:lang w:val="es-AR"/>
        </w:rPr>
        <w:t xml:space="preserve"> </w:t>
      </w:r>
      <w:r w:rsidR="002B6C29" w:rsidRPr="00EA7870">
        <w:rPr>
          <w:sz w:val="20"/>
          <w:szCs w:val="20"/>
          <w:lang w:val="es-AR"/>
        </w:rPr>
        <w:t>Sección</w:t>
      </w:r>
      <w:r w:rsidR="001A28B3" w:rsidRPr="00EA7870">
        <w:rPr>
          <w:sz w:val="20"/>
          <w:szCs w:val="20"/>
          <w:lang w:val="es-AR"/>
        </w:rPr>
        <w:t xml:space="preserve"> </w:t>
      </w:r>
      <w:r w:rsidR="002B6C29" w:rsidRPr="00EA7870">
        <w:rPr>
          <w:sz w:val="20"/>
          <w:szCs w:val="20"/>
          <w:lang w:val="es-AR"/>
        </w:rPr>
        <w:t>I</w:t>
      </w:r>
      <w:r w:rsidR="00B35270" w:rsidRPr="00EA7870">
        <w:rPr>
          <w:sz w:val="20"/>
          <w:szCs w:val="20"/>
          <w:lang w:val="es-AR"/>
        </w:rPr>
        <w:t>,</w:t>
      </w:r>
      <w:r w:rsidR="001A28B3" w:rsidRPr="00EA7870">
        <w:rPr>
          <w:sz w:val="20"/>
          <w:szCs w:val="20"/>
          <w:lang w:val="es-AR"/>
        </w:rPr>
        <w:t xml:space="preserve"> </w:t>
      </w:r>
      <w:r w:rsidR="002B6C29" w:rsidRPr="00EA7870">
        <w:rPr>
          <w:sz w:val="20"/>
          <w:szCs w:val="20"/>
          <w:lang w:val="es-AR"/>
        </w:rPr>
        <w:t>Capítulo</w:t>
      </w:r>
      <w:r w:rsidR="001A28B3" w:rsidRPr="00EA7870">
        <w:rPr>
          <w:sz w:val="20"/>
          <w:szCs w:val="20"/>
          <w:lang w:val="es-AR"/>
        </w:rPr>
        <w:t xml:space="preserve"> </w:t>
      </w:r>
      <w:r w:rsidR="002B6C29" w:rsidRPr="00EA7870">
        <w:rPr>
          <w:sz w:val="20"/>
          <w:szCs w:val="20"/>
          <w:lang w:val="es-AR"/>
        </w:rPr>
        <w:t>IV</w:t>
      </w:r>
      <w:r w:rsidR="00B35270" w:rsidRPr="00EA7870">
        <w:rPr>
          <w:sz w:val="20"/>
          <w:szCs w:val="20"/>
          <w:lang w:val="es-AR"/>
        </w:rPr>
        <w:t>,</w:t>
      </w:r>
      <w:r w:rsidR="001A28B3" w:rsidRPr="00EA7870">
        <w:rPr>
          <w:sz w:val="20"/>
          <w:szCs w:val="20"/>
          <w:lang w:val="es-AR"/>
        </w:rPr>
        <w:t xml:space="preserve"> </w:t>
      </w:r>
      <w:r w:rsidR="002B6C29" w:rsidRPr="00EA7870">
        <w:rPr>
          <w:sz w:val="20"/>
          <w:szCs w:val="20"/>
          <w:lang w:val="es-AR"/>
        </w:rPr>
        <w:t>Título</w:t>
      </w:r>
      <w:r w:rsidR="001A28B3" w:rsidRPr="00EA7870">
        <w:rPr>
          <w:sz w:val="20"/>
          <w:szCs w:val="20"/>
          <w:lang w:val="es-AR"/>
        </w:rPr>
        <w:t xml:space="preserve"> </w:t>
      </w:r>
      <w:r w:rsidR="002B6C29" w:rsidRPr="00EA7870">
        <w:rPr>
          <w:sz w:val="20"/>
          <w:szCs w:val="20"/>
          <w:lang w:val="es-AR"/>
        </w:rPr>
        <w:t>VI</w:t>
      </w:r>
      <w:r w:rsidR="001A28B3" w:rsidRPr="00EA7870">
        <w:rPr>
          <w:sz w:val="20"/>
          <w:szCs w:val="20"/>
          <w:lang w:val="es-AR"/>
        </w:rPr>
        <w:t xml:space="preserve"> </w:t>
      </w:r>
      <w:r w:rsidR="002B6C29" w:rsidRPr="00EA7870">
        <w:rPr>
          <w:sz w:val="20"/>
          <w:szCs w:val="20"/>
          <w:lang w:val="es-AR"/>
        </w:rPr>
        <w:t>de</w:t>
      </w:r>
      <w:r w:rsidR="001A28B3" w:rsidRPr="00EA7870">
        <w:rPr>
          <w:sz w:val="20"/>
          <w:szCs w:val="20"/>
          <w:lang w:val="es-AR"/>
        </w:rPr>
        <w:t xml:space="preserve"> </w:t>
      </w:r>
      <w:r w:rsidR="002B6C29" w:rsidRPr="00EA7870">
        <w:rPr>
          <w:sz w:val="20"/>
          <w:szCs w:val="20"/>
          <w:lang w:val="es-AR"/>
        </w:rPr>
        <w:t>las</w:t>
      </w:r>
      <w:r w:rsidR="001A28B3" w:rsidRPr="00EA7870">
        <w:rPr>
          <w:sz w:val="20"/>
          <w:szCs w:val="20"/>
          <w:lang w:val="es-AR"/>
        </w:rPr>
        <w:t xml:space="preserve"> </w:t>
      </w:r>
      <w:r w:rsidR="002B6C29" w:rsidRPr="00EA7870">
        <w:rPr>
          <w:sz w:val="20"/>
          <w:szCs w:val="20"/>
          <w:lang w:val="es-AR"/>
        </w:rPr>
        <w:t>Normas</w:t>
      </w:r>
      <w:r w:rsidR="001A28B3" w:rsidRPr="00EA7870">
        <w:rPr>
          <w:sz w:val="20"/>
          <w:szCs w:val="20"/>
          <w:lang w:val="es-AR"/>
        </w:rPr>
        <w:t xml:space="preserve"> </w:t>
      </w:r>
      <w:r w:rsidR="002B6C29" w:rsidRPr="00EA7870">
        <w:rPr>
          <w:sz w:val="20"/>
          <w:szCs w:val="20"/>
          <w:lang w:val="es-AR"/>
        </w:rPr>
        <w:t>de</w:t>
      </w:r>
      <w:r w:rsidR="001A28B3" w:rsidRPr="00EA7870">
        <w:rPr>
          <w:sz w:val="20"/>
          <w:szCs w:val="20"/>
          <w:lang w:val="es-AR"/>
        </w:rPr>
        <w:t xml:space="preserve"> </w:t>
      </w:r>
      <w:r w:rsidR="002B6C29" w:rsidRPr="00EA7870">
        <w:rPr>
          <w:sz w:val="20"/>
          <w:szCs w:val="20"/>
          <w:lang w:val="es-AR"/>
        </w:rPr>
        <w:t>la</w:t>
      </w:r>
      <w:r w:rsidR="001A28B3" w:rsidRPr="00EA7870">
        <w:rPr>
          <w:sz w:val="20"/>
          <w:szCs w:val="20"/>
          <w:lang w:val="es-AR"/>
        </w:rPr>
        <w:t xml:space="preserve"> </w:t>
      </w:r>
      <w:r w:rsidR="002B6C29" w:rsidRPr="00EA7870">
        <w:rPr>
          <w:sz w:val="20"/>
          <w:szCs w:val="20"/>
          <w:lang w:val="es-AR"/>
        </w:rPr>
        <w:t>CNV</w:t>
      </w:r>
      <w:r w:rsidR="001A28B3" w:rsidRPr="00EA7870">
        <w:rPr>
          <w:sz w:val="20"/>
          <w:szCs w:val="20"/>
          <w:lang w:val="es-AR"/>
        </w:rPr>
        <w:t xml:space="preserve"> </w:t>
      </w:r>
      <w:r w:rsidR="002B6C29" w:rsidRPr="00EA7870">
        <w:rPr>
          <w:sz w:val="20"/>
          <w:szCs w:val="20"/>
          <w:lang w:val="es-AR"/>
        </w:rPr>
        <w:t>establece</w:t>
      </w:r>
      <w:r w:rsidR="001A28B3" w:rsidRPr="00EA7870">
        <w:rPr>
          <w:sz w:val="20"/>
          <w:szCs w:val="20"/>
          <w:lang w:val="es-AR"/>
        </w:rPr>
        <w:t xml:space="preserve"> </w:t>
      </w:r>
      <w:r w:rsidR="002B6C29" w:rsidRPr="00EA7870">
        <w:rPr>
          <w:sz w:val="20"/>
          <w:szCs w:val="20"/>
          <w:lang w:val="es-AR"/>
        </w:rPr>
        <w:t>que</w:t>
      </w:r>
      <w:r w:rsidR="001A28B3" w:rsidRPr="00EA7870">
        <w:rPr>
          <w:sz w:val="20"/>
          <w:szCs w:val="20"/>
          <w:lang w:val="es-AR"/>
        </w:rPr>
        <w:t xml:space="preserve"> </w:t>
      </w:r>
      <w:r w:rsidR="00B35270" w:rsidRPr="00EA7870">
        <w:rPr>
          <w:sz w:val="20"/>
          <w:szCs w:val="20"/>
          <w:lang w:val="es-AR"/>
        </w:rPr>
        <w:t>la</w:t>
      </w:r>
      <w:r w:rsidR="001A28B3" w:rsidRPr="00EA7870">
        <w:rPr>
          <w:sz w:val="20"/>
          <w:szCs w:val="20"/>
          <w:lang w:val="es-AR"/>
        </w:rPr>
        <w:t xml:space="preserve"> </w:t>
      </w:r>
      <w:r w:rsidR="00B35270" w:rsidRPr="00EA7870">
        <w:rPr>
          <w:sz w:val="20"/>
          <w:szCs w:val="20"/>
          <w:lang w:val="es-AR"/>
        </w:rPr>
        <w:t>colocación</w:t>
      </w:r>
      <w:r w:rsidR="001A28B3" w:rsidRPr="00EA7870">
        <w:rPr>
          <w:sz w:val="20"/>
          <w:szCs w:val="20"/>
          <w:lang w:val="es-AR"/>
        </w:rPr>
        <w:t xml:space="preserve"> </w:t>
      </w:r>
      <w:r w:rsidR="00B35270" w:rsidRPr="00EA7870">
        <w:rPr>
          <w:sz w:val="20"/>
          <w:szCs w:val="20"/>
          <w:lang w:val="es-AR"/>
        </w:rPr>
        <w:t>primaria</w:t>
      </w:r>
      <w:r w:rsidR="001A28B3" w:rsidRPr="00EA7870">
        <w:rPr>
          <w:sz w:val="20"/>
          <w:szCs w:val="20"/>
          <w:lang w:val="es-AR"/>
        </w:rPr>
        <w:t xml:space="preserve"> </w:t>
      </w:r>
      <w:r w:rsidR="00B35270" w:rsidRPr="00EA7870">
        <w:rPr>
          <w:sz w:val="20"/>
          <w:szCs w:val="20"/>
          <w:lang w:val="es-AR"/>
        </w:rPr>
        <w:t>de</w:t>
      </w:r>
      <w:r w:rsidR="001A28B3" w:rsidRPr="00EA7870">
        <w:rPr>
          <w:sz w:val="20"/>
          <w:szCs w:val="20"/>
          <w:lang w:val="es-AR"/>
        </w:rPr>
        <w:t xml:space="preserve"> </w:t>
      </w:r>
      <w:r w:rsidR="00B35270" w:rsidRPr="00EA7870">
        <w:rPr>
          <w:sz w:val="20"/>
          <w:szCs w:val="20"/>
          <w:lang w:val="es-AR"/>
        </w:rPr>
        <w:t>valores</w:t>
      </w:r>
      <w:r w:rsidR="001A28B3" w:rsidRPr="00EA7870">
        <w:rPr>
          <w:sz w:val="20"/>
          <w:szCs w:val="20"/>
          <w:lang w:val="es-AR"/>
        </w:rPr>
        <w:t xml:space="preserve"> </w:t>
      </w:r>
      <w:r w:rsidR="00B35270" w:rsidRPr="00EA7870">
        <w:rPr>
          <w:sz w:val="20"/>
          <w:szCs w:val="20"/>
          <w:lang w:val="es-AR"/>
        </w:rPr>
        <w:t>negociables</w:t>
      </w:r>
      <w:r w:rsidR="001A28B3" w:rsidRPr="00EA7870">
        <w:rPr>
          <w:sz w:val="20"/>
          <w:szCs w:val="20"/>
          <w:lang w:val="es-AR"/>
        </w:rPr>
        <w:t xml:space="preserve"> </w:t>
      </w:r>
      <w:r w:rsidR="00B35270" w:rsidRPr="00EA7870">
        <w:rPr>
          <w:sz w:val="20"/>
          <w:szCs w:val="20"/>
          <w:lang w:val="es-AR"/>
        </w:rPr>
        <w:t>podrá</w:t>
      </w:r>
      <w:r w:rsidR="001A28B3" w:rsidRPr="00EA7870">
        <w:rPr>
          <w:sz w:val="20"/>
          <w:szCs w:val="20"/>
          <w:lang w:val="es-AR"/>
        </w:rPr>
        <w:t xml:space="preserve"> </w:t>
      </w:r>
      <w:r w:rsidR="00B35270" w:rsidRPr="00EA7870">
        <w:rPr>
          <w:sz w:val="20"/>
          <w:szCs w:val="20"/>
          <w:lang w:val="es-AR"/>
        </w:rPr>
        <w:t>realizarse</w:t>
      </w:r>
      <w:r w:rsidR="001A28B3" w:rsidRPr="00EA7870">
        <w:rPr>
          <w:sz w:val="20"/>
          <w:szCs w:val="20"/>
          <w:lang w:val="es-AR"/>
        </w:rPr>
        <w:t xml:space="preserve"> </w:t>
      </w:r>
      <w:r w:rsidR="00B35270" w:rsidRPr="00EA7870">
        <w:rPr>
          <w:sz w:val="20"/>
          <w:szCs w:val="20"/>
          <w:lang w:val="es-AR"/>
        </w:rPr>
        <w:t>por</w:t>
      </w:r>
      <w:r w:rsidR="001A28B3" w:rsidRPr="00EA7870">
        <w:rPr>
          <w:sz w:val="20"/>
          <w:szCs w:val="20"/>
          <w:lang w:val="es-AR"/>
        </w:rPr>
        <w:t xml:space="preserve"> </w:t>
      </w:r>
      <w:r w:rsidR="00B35270" w:rsidRPr="00EA7870">
        <w:rPr>
          <w:sz w:val="20"/>
          <w:szCs w:val="20"/>
          <w:lang w:val="es-AR"/>
        </w:rPr>
        <w:t>los</w:t>
      </w:r>
      <w:r w:rsidR="001A28B3" w:rsidRPr="00EA7870">
        <w:rPr>
          <w:sz w:val="20"/>
          <w:szCs w:val="20"/>
          <w:lang w:val="es-AR"/>
        </w:rPr>
        <w:t xml:space="preserve"> </w:t>
      </w:r>
      <w:r w:rsidR="00B35270" w:rsidRPr="00EA7870">
        <w:rPr>
          <w:sz w:val="20"/>
          <w:szCs w:val="20"/>
          <w:lang w:val="es-AR"/>
        </w:rPr>
        <w:t>mecanismos</w:t>
      </w:r>
      <w:r w:rsidR="001A28B3" w:rsidRPr="00EA7870">
        <w:rPr>
          <w:sz w:val="20"/>
          <w:szCs w:val="20"/>
          <w:lang w:val="es-AR"/>
        </w:rPr>
        <w:t xml:space="preserve"> </w:t>
      </w:r>
      <w:r w:rsidR="00B35270" w:rsidRPr="00EA7870">
        <w:rPr>
          <w:sz w:val="20"/>
          <w:szCs w:val="20"/>
          <w:lang w:val="es-AR"/>
        </w:rPr>
        <w:t>de:</w:t>
      </w:r>
      <w:r w:rsidR="001A28B3" w:rsidRPr="00EA7870">
        <w:rPr>
          <w:sz w:val="20"/>
          <w:szCs w:val="20"/>
          <w:lang w:val="es-AR"/>
        </w:rPr>
        <w:t xml:space="preserve"> </w:t>
      </w:r>
      <w:r w:rsidR="00B35270" w:rsidRPr="00EA7870">
        <w:rPr>
          <w:sz w:val="20"/>
          <w:szCs w:val="20"/>
          <w:lang w:val="es-AR"/>
        </w:rPr>
        <w:t>(i)</w:t>
      </w:r>
      <w:r w:rsidR="001A28B3" w:rsidRPr="00EA7870">
        <w:rPr>
          <w:sz w:val="20"/>
          <w:szCs w:val="20"/>
          <w:lang w:val="es-AR"/>
        </w:rPr>
        <w:t xml:space="preserve"> </w:t>
      </w:r>
      <w:r w:rsidR="00B35270" w:rsidRPr="00EA7870">
        <w:rPr>
          <w:sz w:val="20"/>
          <w:szCs w:val="20"/>
          <w:lang w:val="es-AR"/>
        </w:rPr>
        <w:t>formación</w:t>
      </w:r>
      <w:r w:rsidR="001A28B3" w:rsidRPr="00EA7870">
        <w:rPr>
          <w:sz w:val="20"/>
          <w:szCs w:val="20"/>
          <w:lang w:val="es-AR"/>
        </w:rPr>
        <w:t xml:space="preserve"> </w:t>
      </w:r>
      <w:r w:rsidR="00B35270" w:rsidRPr="00EA7870">
        <w:rPr>
          <w:sz w:val="20"/>
          <w:szCs w:val="20"/>
          <w:lang w:val="es-AR"/>
        </w:rPr>
        <w:t>de</w:t>
      </w:r>
      <w:r w:rsidR="001A28B3" w:rsidRPr="00EA7870">
        <w:rPr>
          <w:sz w:val="20"/>
          <w:szCs w:val="20"/>
          <w:lang w:val="es-AR"/>
        </w:rPr>
        <w:t xml:space="preserve"> </w:t>
      </w:r>
      <w:r w:rsidR="00B35270" w:rsidRPr="00EA7870">
        <w:rPr>
          <w:sz w:val="20"/>
          <w:szCs w:val="20"/>
          <w:lang w:val="es-AR"/>
        </w:rPr>
        <w:t>libro,</w:t>
      </w:r>
      <w:r w:rsidR="001A28B3" w:rsidRPr="00EA7870">
        <w:rPr>
          <w:sz w:val="20"/>
          <w:szCs w:val="20"/>
          <w:lang w:val="es-AR"/>
        </w:rPr>
        <w:t xml:space="preserve"> </w:t>
      </w:r>
      <w:r w:rsidR="00B35270" w:rsidRPr="00EA7870">
        <w:rPr>
          <w:sz w:val="20"/>
          <w:szCs w:val="20"/>
          <w:lang w:val="es-AR"/>
        </w:rPr>
        <w:t>o</w:t>
      </w:r>
      <w:r w:rsidR="001A28B3" w:rsidRPr="00EA7870">
        <w:rPr>
          <w:sz w:val="20"/>
          <w:szCs w:val="20"/>
          <w:lang w:val="es-AR"/>
        </w:rPr>
        <w:t xml:space="preserve"> </w:t>
      </w:r>
      <w:r w:rsidR="00B35270" w:rsidRPr="00EA7870">
        <w:rPr>
          <w:sz w:val="20"/>
          <w:szCs w:val="20"/>
          <w:lang w:val="es-AR"/>
        </w:rPr>
        <w:t>(ii)</w:t>
      </w:r>
      <w:r w:rsidR="001A28B3" w:rsidRPr="00EA7870">
        <w:rPr>
          <w:sz w:val="20"/>
          <w:szCs w:val="20"/>
          <w:lang w:val="es-AR"/>
        </w:rPr>
        <w:t xml:space="preserve"> </w:t>
      </w:r>
      <w:r w:rsidR="00B35270" w:rsidRPr="00EA7870">
        <w:rPr>
          <w:sz w:val="20"/>
          <w:szCs w:val="20"/>
          <w:lang w:val="es-AR"/>
        </w:rPr>
        <w:t>subasta</w:t>
      </w:r>
      <w:r w:rsidR="001A28B3" w:rsidRPr="00EA7870">
        <w:rPr>
          <w:sz w:val="20"/>
          <w:szCs w:val="20"/>
          <w:lang w:val="es-AR"/>
        </w:rPr>
        <w:t xml:space="preserve"> </w:t>
      </w:r>
      <w:r w:rsidR="00B35270" w:rsidRPr="00EA7870">
        <w:rPr>
          <w:sz w:val="20"/>
          <w:szCs w:val="20"/>
          <w:lang w:val="es-AR"/>
        </w:rPr>
        <w:t>o</w:t>
      </w:r>
      <w:r w:rsidR="001A28B3" w:rsidRPr="00EA7870">
        <w:rPr>
          <w:sz w:val="20"/>
          <w:szCs w:val="20"/>
          <w:lang w:val="es-AR"/>
        </w:rPr>
        <w:t xml:space="preserve"> </w:t>
      </w:r>
      <w:r w:rsidR="00B35270" w:rsidRPr="00EA7870">
        <w:rPr>
          <w:sz w:val="20"/>
          <w:szCs w:val="20"/>
          <w:lang w:val="es-AR"/>
        </w:rPr>
        <w:t>licitación</w:t>
      </w:r>
      <w:r w:rsidR="001A28B3" w:rsidRPr="00EA7870">
        <w:rPr>
          <w:sz w:val="20"/>
          <w:szCs w:val="20"/>
          <w:lang w:val="es-AR"/>
        </w:rPr>
        <w:t xml:space="preserve"> </w:t>
      </w:r>
      <w:r w:rsidR="00B35270" w:rsidRPr="00EA7870">
        <w:rPr>
          <w:sz w:val="20"/>
          <w:szCs w:val="20"/>
          <w:lang w:val="es-AR"/>
        </w:rPr>
        <w:t>pública</w:t>
      </w:r>
      <w:r w:rsidR="000A111F" w:rsidRPr="00EA7870">
        <w:rPr>
          <w:sz w:val="20"/>
          <w:szCs w:val="20"/>
          <w:lang w:val="es-AR"/>
        </w:rPr>
        <w:t>.</w:t>
      </w:r>
      <w:r w:rsidRPr="00EA7870">
        <w:rPr>
          <w:sz w:val="20"/>
          <w:szCs w:val="20"/>
          <w:lang w:val="es-AR"/>
        </w:rPr>
        <w:t xml:space="preserve"> L</w:t>
      </w:r>
      <w:r w:rsidR="00E06527" w:rsidRPr="00EA7870">
        <w:rPr>
          <w:sz w:val="20"/>
          <w:szCs w:val="20"/>
          <w:lang w:val="es-AR"/>
        </w:rPr>
        <w:t>a</w:t>
      </w:r>
      <w:r w:rsidR="001A28B3" w:rsidRPr="00EA7870">
        <w:rPr>
          <w:sz w:val="20"/>
          <w:szCs w:val="20"/>
          <w:lang w:val="es-AR"/>
        </w:rPr>
        <w:t xml:space="preserve"> </w:t>
      </w:r>
      <w:r w:rsidR="00E06527" w:rsidRPr="00EA7870">
        <w:rPr>
          <w:sz w:val="20"/>
          <w:szCs w:val="20"/>
          <w:lang w:val="es-AR"/>
        </w:rPr>
        <w:t>colocación</w:t>
      </w:r>
      <w:r w:rsidR="001A28B3" w:rsidRPr="00EA7870">
        <w:rPr>
          <w:sz w:val="20"/>
          <w:szCs w:val="20"/>
          <w:lang w:val="es-AR"/>
        </w:rPr>
        <w:t xml:space="preserve"> </w:t>
      </w:r>
      <w:r w:rsidRPr="00EA7870">
        <w:rPr>
          <w:sz w:val="20"/>
          <w:szCs w:val="20"/>
          <w:lang w:val="es-AR"/>
        </w:rPr>
        <w:t xml:space="preserve">primaria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las</w:t>
      </w:r>
      <w:r w:rsidR="001A28B3" w:rsidRPr="00EA7870">
        <w:rPr>
          <w:sz w:val="20"/>
          <w:szCs w:val="20"/>
          <w:lang w:val="es-AR"/>
        </w:rPr>
        <w:t xml:space="preserve"> </w:t>
      </w:r>
      <w:r w:rsidR="00E06527" w:rsidRPr="00EA7870">
        <w:rPr>
          <w:sz w:val="20"/>
          <w:szCs w:val="20"/>
          <w:lang w:val="es-AR"/>
        </w:rPr>
        <w:t>Obligaciones</w:t>
      </w:r>
      <w:r w:rsidR="001A28B3" w:rsidRPr="00EA7870">
        <w:rPr>
          <w:sz w:val="20"/>
          <w:szCs w:val="20"/>
          <w:lang w:val="es-AR"/>
        </w:rPr>
        <w:t xml:space="preserve"> </w:t>
      </w:r>
      <w:r w:rsidR="00E06527" w:rsidRPr="00EA7870">
        <w:rPr>
          <w:sz w:val="20"/>
          <w:szCs w:val="20"/>
          <w:lang w:val="es-AR"/>
        </w:rPr>
        <w:t>Negociables</w:t>
      </w:r>
      <w:r w:rsidR="001A28B3" w:rsidRPr="00EA7870">
        <w:rPr>
          <w:sz w:val="20"/>
          <w:szCs w:val="20"/>
          <w:lang w:val="es-AR"/>
        </w:rPr>
        <w:t xml:space="preserve"> </w:t>
      </w:r>
      <w:r w:rsidR="00E06527" w:rsidRPr="00EA7870">
        <w:rPr>
          <w:sz w:val="20"/>
          <w:szCs w:val="20"/>
          <w:lang w:val="es-AR"/>
        </w:rPr>
        <w:t>se</w:t>
      </w:r>
      <w:r w:rsidR="001A28B3" w:rsidRPr="00EA7870">
        <w:rPr>
          <w:sz w:val="20"/>
          <w:szCs w:val="20"/>
          <w:lang w:val="es-AR"/>
        </w:rPr>
        <w:t xml:space="preserve"> </w:t>
      </w:r>
      <w:r w:rsidR="00E06527" w:rsidRPr="00EA7870">
        <w:rPr>
          <w:sz w:val="20"/>
          <w:szCs w:val="20"/>
          <w:lang w:val="es-AR"/>
        </w:rPr>
        <w:t>realizará</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conformidad</w:t>
      </w:r>
      <w:r w:rsidR="001A28B3" w:rsidRPr="00EA7870">
        <w:rPr>
          <w:sz w:val="20"/>
          <w:szCs w:val="20"/>
          <w:lang w:val="es-AR"/>
        </w:rPr>
        <w:t xml:space="preserve"> </w:t>
      </w:r>
      <w:r w:rsidR="00E06527" w:rsidRPr="00EA7870">
        <w:rPr>
          <w:sz w:val="20"/>
          <w:szCs w:val="20"/>
          <w:lang w:val="es-AR"/>
        </w:rPr>
        <w:t>con</w:t>
      </w:r>
      <w:r w:rsidR="001A28B3" w:rsidRPr="00EA7870">
        <w:rPr>
          <w:sz w:val="20"/>
          <w:szCs w:val="20"/>
          <w:lang w:val="es-AR"/>
        </w:rPr>
        <w:t xml:space="preserve"> </w:t>
      </w:r>
      <w:r w:rsidR="00E06527" w:rsidRPr="00EA7870">
        <w:rPr>
          <w:sz w:val="20"/>
          <w:szCs w:val="20"/>
          <w:lang w:val="es-AR"/>
        </w:rPr>
        <w:t>el</w:t>
      </w:r>
      <w:r w:rsidR="001A28B3" w:rsidRPr="00EA7870">
        <w:rPr>
          <w:sz w:val="20"/>
          <w:szCs w:val="20"/>
          <w:lang w:val="es-AR"/>
        </w:rPr>
        <w:t xml:space="preserve"> </w:t>
      </w:r>
      <w:r w:rsidR="00DB0AC3" w:rsidRPr="00EA7870">
        <w:rPr>
          <w:sz w:val="20"/>
          <w:szCs w:val="20"/>
          <w:lang w:val="es-AR"/>
        </w:rPr>
        <w:t>mecanismo</w:t>
      </w:r>
      <w:r w:rsidR="001A28B3" w:rsidRPr="00EA7870">
        <w:rPr>
          <w:sz w:val="20"/>
          <w:szCs w:val="20"/>
          <w:lang w:val="es-AR"/>
        </w:rPr>
        <w:t xml:space="preserve"> </w:t>
      </w:r>
      <w:r w:rsidR="00E06527" w:rsidRPr="00EA7870">
        <w:rPr>
          <w:sz w:val="20"/>
          <w:szCs w:val="20"/>
          <w:lang w:val="es-AR"/>
        </w:rPr>
        <w:t>de</w:t>
      </w:r>
      <w:r w:rsidR="001A28B3" w:rsidRPr="00EA7870">
        <w:rPr>
          <w:i/>
          <w:sz w:val="20"/>
          <w:szCs w:val="20"/>
          <w:lang w:val="es-AR"/>
        </w:rPr>
        <w:t xml:space="preserve"> </w:t>
      </w:r>
      <w:r w:rsidR="00DB0AC3" w:rsidRPr="00EA7870">
        <w:rPr>
          <w:sz w:val="20"/>
          <w:szCs w:val="20"/>
          <w:lang w:val="es-AR"/>
        </w:rPr>
        <w:t>formación</w:t>
      </w:r>
      <w:r w:rsidR="001A28B3" w:rsidRPr="00EA7870">
        <w:rPr>
          <w:sz w:val="20"/>
          <w:szCs w:val="20"/>
          <w:lang w:val="es-AR"/>
        </w:rPr>
        <w:t xml:space="preserve"> </w:t>
      </w:r>
      <w:r w:rsidR="00DB0AC3" w:rsidRPr="00EA7870">
        <w:rPr>
          <w:sz w:val="20"/>
          <w:szCs w:val="20"/>
          <w:lang w:val="es-AR"/>
        </w:rPr>
        <w:t>de</w:t>
      </w:r>
      <w:r w:rsidR="001A28B3" w:rsidRPr="00EA7870">
        <w:rPr>
          <w:sz w:val="20"/>
          <w:szCs w:val="20"/>
          <w:lang w:val="es-AR"/>
        </w:rPr>
        <w:t xml:space="preserve"> </w:t>
      </w:r>
      <w:r w:rsidR="00DB0AC3" w:rsidRPr="00EA7870">
        <w:rPr>
          <w:sz w:val="20"/>
          <w:szCs w:val="20"/>
          <w:lang w:val="es-AR"/>
        </w:rPr>
        <w:t>libro</w:t>
      </w:r>
      <w:r w:rsidR="001A28B3" w:rsidRPr="00EA7870">
        <w:rPr>
          <w:i/>
          <w:sz w:val="20"/>
          <w:szCs w:val="20"/>
          <w:lang w:val="es-AR"/>
        </w:rPr>
        <w:t xml:space="preserve"> </w:t>
      </w:r>
      <w:r w:rsidR="00DB0AC3" w:rsidRPr="00EA7870">
        <w:rPr>
          <w:i/>
          <w:sz w:val="20"/>
          <w:szCs w:val="20"/>
          <w:lang w:val="es-AR"/>
        </w:rPr>
        <w:t>(</w:t>
      </w:r>
      <w:r w:rsidR="00E06527" w:rsidRPr="00EA7870">
        <w:rPr>
          <w:i/>
          <w:sz w:val="20"/>
          <w:szCs w:val="20"/>
          <w:lang w:val="es-AR"/>
        </w:rPr>
        <w:t>book-building</w:t>
      </w:r>
      <w:r w:rsidR="00DB0AC3" w:rsidRPr="00EA7870">
        <w:rPr>
          <w:i/>
          <w:sz w:val="20"/>
          <w:szCs w:val="20"/>
          <w:lang w:val="es-AR"/>
        </w:rPr>
        <w:t>)</w:t>
      </w:r>
      <w:r w:rsidR="00901E5D" w:rsidRPr="00EA7870">
        <w:rPr>
          <w:sz w:val="20"/>
          <w:szCs w:val="20"/>
          <w:lang w:val="es-AR"/>
        </w:rPr>
        <w:t>,</w:t>
      </w:r>
      <w:r w:rsidR="001A28B3" w:rsidRPr="00EA7870">
        <w:rPr>
          <w:sz w:val="20"/>
          <w:szCs w:val="20"/>
          <w:lang w:val="es-AR"/>
        </w:rPr>
        <w:t xml:space="preserve"> </w:t>
      </w:r>
      <w:r w:rsidR="00901E5D" w:rsidRPr="00EA7870">
        <w:rPr>
          <w:sz w:val="20"/>
          <w:szCs w:val="20"/>
          <w:lang w:val="es-AR"/>
        </w:rPr>
        <w:t>que</w:t>
      </w:r>
      <w:r w:rsidR="001A28B3" w:rsidRPr="00EA7870">
        <w:rPr>
          <w:sz w:val="20"/>
          <w:szCs w:val="20"/>
          <w:lang w:val="es-AR"/>
        </w:rPr>
        <w:t xml:space="preserve"> </w:t>
      </w:r>
      <w:r w:rsidR="00901E5D" w:rsidRPr="00EA7870">
        <w:rPr>
          <w:sz w:val="20"/>
          <w:szCs w:val="20"/>
          <w:lang w:val="es-AR"/>
        </w:rPr>
        <w:t>estará</w:t>
      </w:r>
      <w:r w:rsidR="001A28B3" w:rsidRPr="00EA7870">
        <w:rPr>
          <w:sz w:val="20"/>
          <w:szCs w:val="20"/>
          <w:lang w:val="es-AR"/>
        </w:rPr>
        <w:t xml:space="preserve"> </w:t>
      </w:r>
      <w:r w:rsidR="00901E5D" w:rsidRPr="00EA7870">
        <w:rPr>
          <w:sz w:val="20"/>
          <w:szCs w:val="20"/>
          <w:lang w:val="es-AR"/>
        </w:rPr>
        <w:t>a</w:t>
      </w:r>
      <w:r w:rsidR="001A28B3" w:rsidRPr="00EA7870">
        <w:rPr>
          <w:sz w:val="20"/>
          <w:szCs w:val="20"/>
          <w:lang w:val="es-AR"/>
        </w:rPr>
        <w:t xml:space="preserve"> </w:t>
      </w:r>
      <w:r w:rsidR="00901E5D" w:rsidRPr="00EA7870">
        <w:rPr>
          <w:sz w:val="20"/>
          <w:szCs w:val="20"/>
          <w:lang w:val="es-AR"/>
        </w:rPr>
        <w:t>cargo</w:t>
      </w:r>
      <w:r w:rsidR="001A28B3" w:rsidRPr="00EA7870">
        <w:rPr>
          <w:sz w:val="20"/>
          <w:szCs w:val="20"/>
          <w:lang w:val="es-AR"/>
        </w:rPr>
        <w:t xml:space="preserve"> </w:t>
      </w:r>
      <w:r w:rsidR="00901E5D" w:rsidRPr="00EA7870">
        <w:rPr>
          <w:sz w:val="20"/>
          <w:szCs w:val="20"/>
          <w:lang w:val="es-AR"/>
        </w:rPr>
        <w:t>de</w:t>
      </w:r>
      <w:r w:rsidR="001A28B3" w:rsidRPr="00EA7870">
        <w:rPr>
          <w:sz w:val="20"/>
          <w:szCs w:val="20"/>
          <w:lang w:val="es-AR"/>
        </w:rPr>
        <w:t xml:space="preserve"> </w:t>
      </w:r>
      <w:r w:rsidR="00901E5D" w:rsidRPr="00EA7870">
        <w:rPr>
          <w:sz w:val="20"/>
          <w:szCs w:val="20"/>
          <w:lang w:val="es-AR"/>
        </w:rPr>
        <w:t>la</w:t>
      </w:r>
      <w:r w:rsidR="001A28B3" w:rsidRPr="00EA7870">
        <w:rPr>
          <w:sz w:val="20"/>
          <w:szCs w:val="20"/>
          <w:lang w:val="es-AR"/>
        </w:rPr>
        <w:t xml:space="preserve"> </w:t>
      </w:r>
      <w:r w:rsidR="00901E5D" w:rsidRPr="00EA7870">
        <w:rPr>
          <w:sz w:val="20"/>
          <w:szCs w:val="20"/>
          <w:lang w:val="es-AR"/>
        </w:rPr>
        <w:t>Emisora</w:t>
      </w:r>
      <w:r w:rsidR="00B85FAF" w:rsidRPr="00EA7870">
        <w:rPr>
          <w:sz w:val="20"/>
          <w:szCs w:val="20"/>
          <w:lang w:val="es-AR"/>
        </w:rPr>
        <w:t xml:space="preserve"> </w:t>
      </w:r>
      <w:r w:rsidR="00901E5D" w:rsidRPr="00EA7870">
        <w:rPr>
          <w:sz w:val="20"/>
          <w:szCs w:val="20"/>
          <w:lang w:val="es-AR"/>
        </w:rPr>
        <w:t>en</w:t>
      </w:r>
      <w:r w:rsidR="001A28B3" w:rsidRPr="00EA7870">
        <w:rPr>
          <w:sz w:val="20"/>
          <w:szCs w:val="20"/>
          <w:lang w:val="es-AR"/>
        </w:rPr>
        <w:t xml:space="preserve"> </w:t>
      </w:r>
      <w:r w:rsidR="00901E5D" w:rsidRPr="00EA7870">
        <w:rPr>
          <w:sz w:val="20"/>
          <w:szCs w:val="20"/>
          <w:lang w:val="es-AR"/>
        </w:rPr>
        <w:t>función</w:t>
      </w:r>
      <w:r w:rsidR="001A28B3" w:rsidRPr="00EA7870">
        <w:rPr>
          <w:sz w:val="20"/>
          <w:szCs w:val="20"/>
          <w:lang w:val="es-AR"/>
        </w:rPr>
        <w:t xml:space="preserve"> </w:t>
      </w:r>
      <w:r w:rsidR="00901E5D" w:rsidRPr="00EA7870">
        <w:rPr>
          <w:sz w:val="20"/>
          <w:szCs w:val="20"/>
          <w:lang w:val="es-AR"/>
        </w:rPr>
        <w:t>de</w:t>
      </w:r>
      <w:r w:rsidR="001A28B3" w:rsidRPr="00EA7870">
        <w:rPr>
          <w:sz w:val="20"/>
          <w:szCs w:val="20"/>
          <w:lang w:val="es-AR"/>
        </w:rPr>
        <w:t xml:space="preserve"> </w:t>
      </w:r>
      <w:r w:rsidR="00901E5D" w:rsidRPr="00EA7870">
        <w:rPr>
          <w:sz w:val="20"/>
          <w:szCs w:val="20"/>
          <w:lang w:val="es-AR"/>
        </w:rPr>
        <w:t>la</w:t>
      </w:r>
      <w:r w:rsidR="001A28B3" w:rsidRPr="00EA7870">
        <w:rPr>
          <w:sz w:val="20"/>
          <w:szCs w:val="20"/>
          <w:lang w:val="es-AR"/>
        </w:rPr>
        <w:t xml:space="preserve"> </w:t>
      </w:r>
      <w:r w:rsidR="00901E5D" w:rsidRPr="00EA7870">
        <w:rPr>
          <w:sz w:val="20"/>
          <w:szCs w:val="20"/>
          <w:lang w:val="es-AR"/>
        </w:rPr>
        <w:t>información</w:t>
      </w:r>
      <w:r w:rsidR="001A28B3" w:rsidRPr="00EA7870">
        <w:rPr>
          <w:sz w:val="20"/>
          <w:szCs w:val="20"/>
          <w:lang w:val="es-AR"/>
        </w:rPr>
        <w:t xml:space="preserve"> </w:t>
      </w:r>
      <w:r w:rsidR="00901E5D" w:rsidRPr="00EA7870">
        <w:rPr>
          <w:sz w:val="20"/>
          <w:szCs w:val="20"/>
          <w:lang w:val="es-AR"/>
        </w:rPr>
        <w:t>que</w:t>
      </w:r>
      <w:r w:rsidR="001A28B3" w:rsidRPr="00EA7870">
        <w:rPr>
          <w:sz w:val="20"/>
          <w:szCs w:val="20"/>
          <w:lang w:val="es-AR"/>
        </w:rPr>
        <w:t xml:space="preserve"> </w:t>
      </w:r>
      <w:r w:rsidR="00901E5D" w:rsidRPr="00EA7870">
        <w:rPr>
          <w:sz w:val="20"/>
          <w:szCs w:val="20"/>
          <w:lang w:val="es-AR"/>
        </w:rPr>
        <w:t>entregarán</w:t>
      </w:r>
      <w:r w:rsidR="001A28B3" w:rsidRPr="00EA7870">
        <w:rPr>
          <w:sz w:val="20"/>
          <w:szCs w:val="20"/>
          <w:lang w:val="es-AR"/>
        </w:rPr>
        <w:t xml:space="preserve"> </w:t>
      </w:r>
      <w:r w:rsidR="00901E5D" w:rsidRPr="00EA7870">
        <w:rPr>
          <w:sz w:val="20"/>
          <w:szCs w:val="20"/>
          <w:lang w:val="es-AR"/>
        </w:rPr>
        <w:t>los</w:t>
      </w:r>
      <w:r w:rsidR="001A28B3" w:rsidRPr="00EA7870">
        <w:rPr>
          <w:sz w:val="20"/>
          <w:szCs w:val="20"/>
          <w:lang w:val="es-AR"/>
        </w:rPr>
        <w:t xml:space="preserve"> </w:t>
      </w:r>
      <w:r w:rsidR="00901E5D" w:rsidRPr="00EA7870">
        <w:rPr>
          <w:sz w:val="20"/>
          <w:szCs w:val="20"/>
          <w:lang w:val="es-AR"/>
        </w:rPr>
        <w:t>Colocadores</w:t>
      </w:r>
      <w:r w:rsidR="001A28B3" w:rsidRPr="00EA7870">
        <w:rPr>
          <w:sz w:val="20"/>
          <w:szCs w:val="20"/>
          <w:lang w:val="es-AR"/>
        </w:rPr>
        <w:t xml:space="preserve"> </w:t>
      </w:r>
      <w:r w:rsidR="00901E5D" w:rsidRPr="00EA7870">
        <w:rPr>
          <w:sz w:val="20"/>
          <w:szCs w:val="20"/>
          <w:lang w:val="es-AR"/>
        </w:rPr>
        <w:t>Internacionales</w:t>
      </w:r>
      <w:r w:rsidR="001A28B3" w:rsidRPr="00EA7870">
        <w:rPr>
          <w:sz w:val="20"/>
          <w:szCs w:val="20"/>
          <w:lang w:val="es-AR"/>
        </w:rPr>
        <w:t xml:space="preserve"> </w:t>
      </w:r>
      <w:r w:rsidR="00901E5D" w:rsidRPr="00EA7870">
        <w:rPr>
          <w:sz w:val="20"/>
          <w:szCs w:val="20"/>
          <w:lang w:val="es-AR"/>
        </w:rPr>
        <w:t>en</w:t>
      </w:r>
      <w:r w:rsidR="001A28B3" w:rsidRPr="00EA7870">
        <w:rPr>
          <w:sz w:val="20"/>
          <w:szCs w:val="20"/>
          <w:lang w:val="es-AR"/>
        </w:rPr>
        <w:t xml:space="preserve"> </w:t>
      </w:r>
      <w:r w:rsidR="00901E5D" w:rsidRPr="00EA7870">
        <w:rPr>
          <w:sz w:val="20"/>
          <w:szCs w:val="20"/>
          <w:lang w:val="es-AR"/>
        </w:rPr>
        <w:t>base</w:t>
      </w:r>
      <w:r w:rsidR="001A28B3" w:rsidRPr="00EA7870">
        <w:rPr>
          <w:sz w:val="20"/>
          <w:szCs w:val="20"/>
          <w:lang w:val="es-AR"/>
        </w:rPr>
        <w:t xml:space="preserve"> </w:t>
      </w:r>
      <w:r w:rsidR="00901E5D" w:rsidRPr="00EA7870">
        <w:rPr>
          <w:sz w:val="20"/>
          <w:szCs w:val="20"/>
          <w:lang w:val="es-AR"/>
        </w:rPr>
        <w:t>a</w:t>
      </w:r>
      <w:r w:rsidR="001A28B3" w:rsidRPr="00EA7870">
        <w:rPr>
          <w:sz w:val="20"/>
          <w:szCs w:val="20"/>
          <w:lang w:val="es-AR"/>
        </w:rPr>
        <w:t xml:space="preserve"> </w:t>
      </w:r>
      <w:r w:rsidR="00901E5D" w:rsidRPr="00EA7870">
        <w:rPr>
          <w:sz w:val="20"/>
          <w:szCs w:val="20"/>
          <w:lang w:val="es-AR"/>
        </w:rPr>
        <w:t>la</w:t>
      </w:r>
      <w:r w:rsidR="001A28B3" w:rsidRPr="00EA7870">
        <w:rPr>
          <w:sz w:val="20"/>
          <w:szCs w:val="20"/>
          <w:lang w:val="es-AR"/>
        </w:rPr>
        <w:t xml:space="preserve"> </w:t>
      </w:r>
      <w:r w:rsidR="00901E5D" w:rsidRPr="00EA7870">
        <w:rPr>
          <w:sz w:val="20"/>
          <w:szCs w:val="20"/>
          <w:lang w:val="es-AR"/>
        </w:rPr>
        <w:t>demanda</w:t>
      </w:r>
      <w:r w:rsidR="001A28B3" w:rsidRPr="00EA7870">
        <w:rPr>
          <w:sz w:val="20"/>
          <w:szCs w:val="20"/>
          <w:lang w:val="es-AR"/>
        </w:rPr>
        <w:t xml:space="preserve"> </w:t>
      </w:r>
      <w:r w:rsidR="00901E5D" w:rsidRPr="00EA7870">
        <w:rPr>
          <w:sz w:val="20"/>
          <w:szCs w:val="20"/>
          <w:lang w:val="es-AR"/>
        </w:rPr>
        <w:t>recibida</w:t>
      </w:r>
      <w:r w:rsidR="001A28B3" w:rsidRPr="00EA7870">
        <w:rPr>
          <w:sz w:val="20"/>
          <w:szCs w:val="20"/>
          <w:lang w:val="es-AR"/>
        </w:rPr>
        <w:t xml:space="preserve"> </w:t>
      </w:r>
      <w:r w:rsidR="00901E5D" w:rsidRPr="00EA7870">
        <w:rPr>
          <w:sz w:val="20"/>
          <w:szCs w:val="20"/>
          <w:lang w:val="es-AR"/>
        </w:rPr>
        <w:t>de</w:t>
      </w:r>
      <w:r w:rsidR="001A28B3" w:rsidRPr="00EA7870">
        <w:rPr>
          <w:sz w:val="20"/>
          <w:szCs w:val="20"/>
          <w:lang w:val="es-AR"/>
        </w:rPr>
        <w:t xml:space="preserve"> </w:t>
      </w:r>
      <w:r w:rsidR="00901E5D" w:rsidRPr="00EA7870">
        <w:rPr>
          <w:sz w:val="20"/>
          <w:szCs w:val="20"/>
          <w:lang w:val="es-AR"/>
        </w:rPr>
        <w:t>los</w:t>
      </w:r>
      <w:r w:rsidR="001A28B3" w:rsidRPr="00EA7870">
        <w:rPr>
          <w:sz w:val="20"/>
          <w:szCs w:val="20"/>
          <w:lang w:val="es-AR"/>
        </w:rPr>
        <w:t xml:space="preserve"> </w:t>
      </w:r>
      <w:r w:rsidR="00901E5D" w:rsidRPr="00EA7870">
        <w:rPr>
          <w:sz w:val="20"/>
          <w:szCs w:val="20"/>
          <w:lang w:val="es-AR"/>
        </w:rPr>
        <w:t>inversores.</w:t>
      </w:r>
      <w:r w:rsidR="001A28B3" w:rsidRPr="00EA7870">
        <w:rPr>
          <w:sz w:val="20"/>
          <w:szCs w:val="20"/>
          <w:lang w:val="es-AR"/>
        </w:rPr>
        <w:t xml:space="preserve"> </w:t>
      </w:r>
    </w:p>
    <w:p w14:paraId="4C7D1635" w14:textId="77777777" w:rsidR="004C3E75" w:rsidRPr="00EA7870" w:rsidRDefault="00E06527" w:rsidP="004C3E75">
      <w:pPr>
        <w:spacing w:after="240"/>
        <w:jc w:val="both"/>
        <w:rPr>
          <w:sz w:val="20"/>
          <w:szCs w:val="20"/>
          <w:lang w:val="es-AR"/>
        </w:rPr>
      </w:pPr>
      <w:r w:rsidRPr="00EA7870">
        <w:rPr>
          <w:sz w:val="20"/>
          <w:szCs w:val="20"/>
          <w:lang w:val="es-AR"/>
        </w:rPr>
        <w:t>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interesados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adquirir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deberán</w:t>
      </w:r>
      <w:r w:rsidR="001A28B3" w:rsidRPr="00EA7870">
        <w:rPr>
          <w:sz w:val="20"/>
          <w:szCs w:val="20"/>
          <w:lang w:val="es-AR"/>
        </w:rPr>
        <w:t xml:space="preserve"> </w:t>
      </w:r>
      <w:r w:rsidRPr="00EA7870">
        <w:rPr>
          <w:sz w:val="20"/>
          <w:szCs w:val="20"/>
          <w:lang w:val="es-AR"/>
        </w:rPr>
        <w:t>presentar</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(cada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w:t>
      </w:r>
      <w:r w:rsidRPr="00EA7870">
        <w:rPr>
          <w:b/>
          <w:sz w:val="20"/>
          <w:szCs w:val="20"/>
          <w:lang w:val="es-AR"/>
        </w:rPr>
        <w:t>Manifestación</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Interés</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especifiquen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deseen</w:t>
      </w:r>
      <w:r w:rsidR="001A28B3" w:rsidRPr="00EA7870">
        <w:rPr>
          <w:sz w:val="20"/>
          <w:szCs w:val="20"/>
          <w:lang w:val="es-AR"/>
        </w:rPr>
        <w:t xml:space="preserve"> </w:t>
      </w:r>
      <w:r w:rsidRPr="00EA7870">
        <w:rPr>
          <w:sz w:val="20"/>
          <w:szCs w:val="20"/>
          <w:lang w:val="es-AR"/>
        </w:rPr>
        <w:t>adquirir</w:t>
      </w:r>
      <w:r w:rsidR="008F0DFA" w:rsidRPr="00EA7870">
        <w:rPr>
          <w:sz w:val="20"/>
          <w:szCs w:val="20"/>
          <w:lang w:val="es-AR"/>
        </w:rPr>
        <w:t>, el cual no podrá ser menor a US$150.000</w:t>
      </w:r>
      <w:r w:rsidRPr="00EA7870">
        <w:rPr>
          <w:sz w:val="20"/>
          <w:szCs w:val="20"/>
          <w:lang w:val="es-AR"/>
        </w:rPr>
        <w:t>.</w:t>
      </w:r>
      <w:r w:rsidR="004C3E75" w:rsidRPr="00EA7870" w:rsidDel="004C3E75">
        <w:rPr>
          <w:sz w:val="20"/>
          <w:szCs w:val="20"/>
          <w:lang w:val="es-AR"/>
        </w:rPr>
        <w:t xml:space="preserve"> </w:t>
      </w:r>
      <w:r w:rsidR="00A57CE4" w:rsidRPr="00EA7870">
        <w:rPr>
          <w:sz w:val="20"/>
          <w:szCs w:val="20"/>
          <w:lang w:val="es-AR"/>
        </w:rPr>
        <w:t xml:space="preserve">Las </w:t>
      </w:r>
      <w:r w:rsidR="004C3E75" w:rsidRPr="00EA7870">
        <w:rPr>
          <w:sz w:val="20"/>
          <w:szCs w:val="20"/>
          <w:lang w:val="es-AR"/>
        </w:rPr>
        <w:t xml:space="preserve">Manifestaciones de Interés que sean presentadas en el marco de la Oferta Internacional deberán ser otorgadas a través de la presentación de un </w:t>
      </w:r>
      <w:r w:rsidR="00A57CE4" w:rsidRPr="00EA7870">
        <w:rPr>
          <w:sz w:val="20"/>
          <w:szCs w:val="20"/>
          <w:lang w:val="es-AR"/>
        </w:rPr>
        <w:t>A</w:t>
      </w:r>
      <w:r w:rsidR="004C3E75" w:rsidRPr="00EA7870">
        <w:rPr>
          <w:sz w:val="20"/>
          <w:szCs w:val="20"/>
          <w:lang w:val="es-AR"/>
        </w:rPr>
        <w:t xml:space="preserve">cuerdo de </w:t>
      </w:r>
      <w:r w:rsidR="00A57CE4" w:rsidRPr="00EA7870">
        <w:rPr>
          <w:sz w:val="20"/>
          <w:szCs w:val="20"/>
          <w:lang w:val="es-AR"/>
        </w:rPr>
        <w:t>C</w:t>
      </w:r>
      <w:r w:rsidR="004C3E75" w:rsidRPr="00EA7870">
        <w:rPr>
          <w:sz w:val="20"/>
          <w:szCs w:val="20"/>
          <w:lang w:val="es-AR"/>
        </w:rPr>
        <w:t>ompra de Obligaciones Negociables (</w:t>
      </w:r>
      <w:r w:rsidR="004C3E75" w:rsidRPr="00EA7870">
        <w:rPr>
          <w:i/>
          <w:iCs/>
          <w:sz w:val="20"/>
          <w:szCs w:val="20"/>
          <w:lang w:val="es-AR"/>
        </w:rPr>
        <w:t>note purchase agreement</w:t>
      </w:r>
      <w:r w:rsidR="004C3E75" w:rsidRPr="00EA7870">
        <w:rPr>
          <w:sz w:val="20"/>
          <w:szCs w:val="20"/>
          <w:lang w:val="es-AR"/>
        </w:rPr>
        <w:t>) celebrado con la Emisora que será puesto a disposición de dichos inversores interesados fuera de la Argentina</w:t>
      </w:r>
      <w:r w:rsidR="00A57CE4" w:rsidRPr="00EA7870">
        <w:rPr>
          <w:sz w:val="20"/>
          <w:szCs w:val="20"/>
          <w:lang w:val="es-AR"/>
        </w:rPr>
        <w:t>.</w:t>
      </w:r>
    </w:p>
    <w:p w14:paraId="75C9CDCF" w14:textId="01C8746C" w:rsidR="008F0DFA" w:rsidRPr="00EA7870" w:rsidRDefault="008F0DFA" w:rsidP="008F0DFA">
      <w:pPr>
        <w:spacing w:after="240"/>
        <w:jc w:val="both"/>
        <w:rPr>
          <w:sz w:val="20"/>
          <w:szCs w:val="20"/>
          <w:lang w:val="es-AR"/>
        </w:rPr>
      </w:pPr>
      <w:r w:rsidRPr="00EA7870">
        <w:rPr>
          <w:sz w:val="20"/>
          <w:szCs w:val="20"/>
          <w:lang w:val="es-AR"/>
        </w:rPr>
        <w:t xml:space="preserve">Tal como se describe más adelante, se registrarán las Manifestaciones de Interés recibidas de los inversores, </w:t>
      </w:r>
      <w:r w:rsidR="003E6614" w:rsidRPr="00EA7870">
        <w:rPr>
          <w:sz w:val="20"/>
          <w:szCs w:val="20"/>
          <w:lang w:val="es-AR"/>
        </w:rPr>
        <w:t xml:space="preserve">a través </w:t>
      </w:r>
      <w:r w:rsidR="007B2387" w:rsidRPr="00EA7870">
        <w:rPr>
          <w:sz w:val="20"/>
          <w:szCs w:val="20"/>
          <w:lang w:val="es-AR"/>
        </w:rPr>
        <w:t>del Colocador Local</w:t>
      </w:r>
      <w:r w:rsidRPr="00EA7870">
        <w:rPr>
          <w:sz w:val="20"/>
          <w:szCs w:val="20"/>
          <w:lang w:val="es-AR"/>
        </w:rPr>
        <w:t xml:space="preserve"> e</w:t>
      </w:r>
      <w:r w:rsidR="003E6614" w:rsidRPr="00EA7870">
        <w:rPr>
          <w:sz w:val="20"/>
          <w:szCs w:val="20"/>
          <w:lang w:val="es-AR"/>
        </w:rPr>
        <w:t>n</w:t>
      </w:r>
      <w:r w:rsidRPr="00EA7870">
        <w:rPr>
          <w:sz w:val="20"/>
          <w:szCs w:val="20"/>
          <w:lang w:val="es-AR"/>
        </w:rPr>
        <w:t xml:space="preserve"> Argentina y de los Colocadores Internacionales fuera de Argentina, respectivamente, que serán ingresadas por la Emisora en base a la demanda recibida de los inversores en un libro de registro electrónico llevado en la Ciudad de Nueva York, de conformidad con las prácticas habituales para este tipo de oferta internacional en los Estados Unidos y las reglas aplicables de conformidad con el Artículo 1, Sección I, Capítulo IV, Título VI de las Normas de la CNV. Tal como se describe más adelante, en la Fecha de Adjudicación, tras el cierre del registro electrónico por la Emisora</w:t>
      </w:r>
      <w:r w:rsidRPr="00FC57D6">
        <w:rPr>
          <w:sz w:val="20"/>
          <w:szCs w:val="20"/>
          <w:lang w:val="es-AR"/>
        </w:rPr>
        <w:t xml:space="preserve">, </w:t>
      </w:r>
      <w:r w:rsidRPr="00FC57D6">
        <w:rPr>
          <w:sz w:val="20"/>
          <w:lang w:val="es-AR"/>
        </w:rPr>
        <w:t>ésta determinará el monto de las Obligaciones Negociables a emitir</w:t>
      </w:r>
      <w:r w:rsidRPr="00EA7870">
        <w:rPr>
          <w:sz w:val="20"/>
          <w:szCs w:val="20"/>
          <w:lang w:val="es-AR"/>
        </w:rPr>
        <w:t>, en función de las ofertas recibidas y de conformidad con el proceso de</w:t>
      </w:r>
      <w:r w:rsidRPr="00EA7870">
        <w:rPr>
          <w:i/>
          <w:iCs/>
          <w:sz w:val="20"/>
          <w:szCs w:val="20"/>
          <w:lang w:val="es-AR"/>
        </w:rPr>
        <w:t xml:space="preserve"> </w:t>
      </w:r>
      <w:r w:rsidR="003E6614" w:rsidRPr="00EA7870">
        <w:rPr>
          <w:sz w:val="20"/>
          <w:szCs w:val="20"/>
          <w:lang w:val="es-AR"/>
        </w:rPr>
        <w:t>formación de libro</w:t>
      </w:r>
      <w:r w:rsidRPr="00EA7870">
        <w:rPr>
          <w:i/>
          <w:iCs/>
          <w:sz w:val="20"/>
          <w:szCs w:val="20"/>
          <w:lang w:val="es-AR"/>
        </w:rPr>
        <w:t xml:space="preserve"> </w:t>
      </w:r>
      <w:r w:rsidRPr="00EA7870">
        <w:rPr>
          <w:sz w:val="20"/>
          <w:szCs w:val="20"/>
          <w:lang w:val="es-AR"/>
        </w:rPr>
        <w:t>que será informado mediante el Aviso de Resultados.</w:t>
      </w:r>
    </w:p>
    <w:p w14:paraId="59E9873E" w14:textId="77777777" w:rsidR="00E06527" w:rsidRPr="00EA7870" w:rsidRDefault="00E06527" w:rsidP="00E06527">
      <w:pPr>
        <w:spacing w:after="240"/>
        <w:jc w:val="both"/>
        <w:rPr>
          <w:sz w:val="20"/>
          <w:szCs w:val="20"/>
          <w:lang w:val="es-AR"/>
        </w:rPr>
      </w:pPr>
      <w:r w:rsidRPr="00EA7870">
        <w:rPr>
          <w:sz w:val="20"/>
          <w:szCs w:val="20"/>
          <w:lang w:val="es-AR"/>
        </w:rPr>
        <w:t>Sujeto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establecido</w:t>
      </w:r>
      <w:r w:rsidR="001A28B3" w:rsidRPr="00EA7870">
        <w:rPr>
          <w:sz w:val="20"/>
          <w:szCs w:val="20"/>
          <w:lang w:val="es-AR"/>
        </w:rPr>
        <w:t xml:space="preserve"> </w:t>
      </w:r>
      <w:r w:rsidR="004C3E75" w:rsidRPr="00EA7870">
        <w:rPr>
          <w:sz w:val="20"/>
          <w:szCs w:val="20"/>
          <w:lang w:val="es-AR"/>
        </w:rPr>
        <w:t xml:space="preserve">por </w:t>
      </w:r>
      <w:r w:rsidRPr="00EA7870">
        <w:rPr>
          <w:sz w:val="20"/>
          <w:szCs w:val="20"/>
          <w:lang w:val="es-AR"/>
        </w:rPr>
        <w:t>la</w:t>
      </w:r>
      <w:r w:rsidR="001A28B3" w:rsidRPr="00EA7870">
        <w:rPr>
          <w:sz w:val="20"/>
          <w:szCs w:val="20"/>
          <w:lang w:val="es-AR"/>
        </w:rPr>
        <w:t xml:space="preserve"> </w:t>
      </w:r>
      <w:r w:rsidRPr="00EA7870">
        <w:rPr>
          <w:sz w:val="20"/>
          <w:szCs w:val="20"/>
          <w:lang w:val="es-AR"/>
        </w:rPr>
        <w:t>Ley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demás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reglamentaciones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transparencia,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Pr="00EA7870">
        <w:rPr>
          <w:sz w:val="20"/>
          <w:szCs w:val="20"/>
          <w:lang w:val="es-AR"/>
        </w:rPr>
        <w:t>,</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reservan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retirar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rechazar,</w:t>
      </w:r>
      <w:r w:rsidR="001A28B3" w:rsidRPr="00EA7870">
        <w:rPr>
          <w:sz w:val="20"/>
          <w:szCs w:val="20"/>
          <w:lang w:val="es-AR"/>
        </w:rPr>
        <w:t xml:space="preserve"> </w:t>
      </w:r>
      <w:r w:rsidRPr="00EA7870">
        <w:rPr>
          <w:sz w:val="20"/>
          <w:szCs w:val="20"/>
          <w:lang w:val="es-AR"/>
        </w:rPr>
        <w:t>total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parcialmente,</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Manifestación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errores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omisiones,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cumpla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adjudicar</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adjudicar</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cantidad</w:t>
      </w:r>
      <w:r w:rsidR="001A28B3" w:rsidRPr="00EA7870">
        <w:rPr>
          <w:sz w:val="20"/>
          <w:szCs w:val="20"/>
          <w:lang w:val="es-AR"/>
        </w:rPr>
        <w:t xml:space="preserve"> </w:t>
      </w:r>
      <w:r w:rsidRPr="00EA7870">
        <w:rPr>
          <w:sz w:val="20"/>
          <w:szCs w:val="20"/>
          <w:lang w:val="es-AR"/>
        </w:rPr>
        <w:t>menor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solicitada</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inversor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Manifestación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procesos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adjudicación</w:t>
      </w:r>
      <w:r w:rsidR="001A28B3" w:rsidRPr="00EA7870">
        <w:rPr>
          <w:sz w:val="20"/>
          <w:szCs w:val="20"/>
          <w:lang w:val="es-AR"/>
        </w:rPr>
        <w:t xml:space="preserve"> </w:t>
      </w:r>
      <w:r w:rsidRPr="00EA7870">
        <w:rPr>
          <w:sz w:val="20"/>
          <w:szCs w:val="20"/>
          <w:lang w:val="es-AR"/>
        </w:rPr>
        <w:t>establecidos</w:t>
      </w:r>
      <w:r w:rsidR="001A28B3" w:rsidRPr="00EA7870">
        <w:rPr>
          <w:sz w:val="20"/>
          <w:szCs w:val="20"/>
          <w:lang w:val="es-AR"/>
        </w:rPr>
        <w:t xml:space="preserve"> </w:t>
      </w:r>
      <w:r w:rsidR="008E5B95" w:rsidRPr="00EA7870">
        <w:rPr>
          <w:sz w:val="20"/>
          <w:szCs w:val="20"/>
          <w:lang w:val="es-AR"/>
        </w:rPr>
        <w:t>más</w:t>
      </w:r>
      <w:r w:rsidR="001A28B3" w:rsidRPr="00EA7870">
        <w:rPr>
          <w:sz w:val="20"/>
          <w:szCs w:val="20"/>
          <w:lang w:val="es-AR"/>
        </w:rPr>
        <w:t xml:space="preserve"> </w:t>
      </w:r>
      <w:r w:rsidR="008E5B95" w:rsidRPr="00EA7870">
        <w:rPr>
          <w:sz w:val="20"/>
          <w:szCs w:val="20"/>
          <w:lang w:val="es-AR"/>
        </w:rPr>
        <w:t>adelante</w:t>
      </w:r>
      <w:r w:rsidRPr="00EA7870">
        <w:rPr>
          <w:sz w:val="20"/>
          <w:szCs w:val="20"/>
          <w:lang w:val="es-AR"/>
        </w:rPr>
        <w:t>.</w:t>
      </w:r>
      <w:r w:rsidR="001A28B3" w:rsidRPr="00EA7870">
        <w:rPr>
          <w:sz w:val="20"/>
          <w:szCs w:val="20"/>
          <w:lang w:val="es-AR"/>
        </w:rPr>
        <w:t xml:space="preserve"> </w:t>
      </w:r>
      <w:r w:rsidRPr="00EA7870">
        <w:rPr>
          <w:sz w:val="20"/>
          <w:szCs w:val="20"/>
          <w:lang w:val="es-AR"/>
        </w:rPr>
        <w:t>Asimismo,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reservan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rechazar</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resultado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incumplimiento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requisitos</w:t>
      </w:r>
      <w:r w:rsidR="001A28B3" w:rsidRPr="00EA7870">
        <w:rPr>
          <w:sz w:val="20"/>
          <w:szCs w:val="20"/>
          <w:lang w:val="es-AR"/>
        </w:rPr>
        <w:t xml:space="preserve"> </w:t>
      </w:r>
      <w:r w:rsidRPr="00EA7870">
        <w:rPr>
          <w:sz w:val="20"/>
          <w:szCs w:val="20"/>
          <w:lang w:val="es-AR"/>
        </w:rPr>
        <w:t>establecidos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002043EF" w:rsidRPr="00EA7870">
        <w:rPr>
          <w:sz w:val="20"/>
          <w:szCs w:val="20"/>
          <w:lang w:val="es-AR"/>
        </w:rPr>
        <w:t>relativas</w:t>
      </w:r>
      <w:r w:rsidR="001A28B3" w:rsidRPr="00EA7870">
        <w:rPr>
          <w:sz w:val="20"/>
          <w:szCs w:val="20"/>
          <w:lang w:val="es-AR"/>
        </w:rPr>
        <w:t xml:space="preserve"> </w:t>
      </w:r>
      <w:r w:rsidR="002043EF" w:rsidRPr="00EA7870">
        <w:rPr>
          <w:sz w:val="20"/>
          <w:szCs w:val="20"/>
          <w:lang w:val="es-AR"/>
        </w:rPr>
        <w:t>a</w:t>
      </w:r>
      <w:r w:rsidR="001A28B3" w:rsidRPr="00EA7870">
        <w:rPr>
          <w:sz w:val="20"/>
          <w:szCs w:val="20"/>
          <w:lang w:val="es-AR"/>
        </w:rPr>
        <w:t xml:space="preserve"> </w:t>
      </w:r>
      <w:r w:rsidR="002043EF" w:rsidRPr="00EA7870">
        <w:rPr>
          <w:sz w:val="20"/>
          <w:szCs w:val="20"/>
          <w:lang w:val="es-AR"/>
        </w:rPr>
        <w:t>la</w:t>
      </w:r>
      <w:r w:rsidR="001A28B3" w:rsidRPr="00EA7870">
        <w:rPr>
          <w:sz w:val="20"/>
          <w:szCs w:val="20"/>
          <w:lang w:val="es-AR"/>
        </w:rPr>
        <w:t xml:space="preserve"> </w:t>
      </w:r>
      <w:r w:rsidR="002043EF" w:rsidRPr="00EA7870">
        <w:rPr>
          <w:sz w:val="20"/>
          <w:szCs w:val="20"/>
          <w:lang w:val="es-AR"/>
        </w:rPr>
        <w:t>prevención</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lavado</w:t>
      </w:r>
      <w:r w:rsidR="001A28B3" w:rsidRPr="00EA7870">
        <w:rPr>
          <w:sz w:val="20"/>
          <w:szCs w:val="20"/>
          <w:lang w:val="es-AR"/>
        </w:rPr>
        <w:t xml:space="preserve"> </w:t>
      </w:r>
      <w:r w:rsidR="002043EF" w:rsidRPr="00EA7870">
        <w:rPr>
          <w:sz w:val="20"/>
          <w:szCs w:val="20"/>
          <w:lang w:val="es-AR"/>
        </w:rPr>
        <w:t>de</w:t>
      </w:r>
      <w:r w:rsidR="001A28B3" w:rsidRPr="00EA7870">
        <w:rPr>
          <w:sz w:val="20"/>
          <w:szCs w:val="20"/>
          <w:lang w:val="es-AR"/>
        </w:rPr>
        <w:t xml:space="preserve"> </w:t>
      </w:r>
      <w:r w:rsidR="002043EF" w:rsidRPr="00EA7870">
        <w:rPr>
          <w:sz w:val="20"/>
          <w:szCs w:val="20"/>
          <w:lang w:val="es-AR"/>
        </w:rPr>
        <w:t>activos,</w:t>
      </w:r>
      <w:r w:rsidR="001A28B3" w:rsidRPr="00EA7870">
        <w:rPr>
          <w:sz w:val="20"/>
          <w:szCs w:val="20"/>
          <w:lang w:val="es-AR"/>
        </w:rPr>
        <w:t xml:space="preserve"> </w:t>
      </w:r>
      <w:r w:rsidR="002043EF" w:rsidRPr="00EA7870">
        <w:rPr>
          <w:sz w:val="20"/>
          <w:szCs w:val="20"/>
          <w:lang w:val="es-AR"/>
        </w:rPr>
        <w:t>financiamiento</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terrorismo</w:t>
      </w:r>
      <w:r w:rsidR="001A28B3" w:rsidRPr="00EA7870">
        <w:rPr>
          <w:sz w:val="20"/>
          <w:szCs w:val="20"/>
          <w:lang w:val="es-AR"/>
        </w:rPr>
        <w:t xml:space="preserve"> </w:t>
      </w:r>
      <w:r w:rsidR="002043EF" w:rsidRPr="00EA7870">
        <w:rPr>
          <w:sz w:val="20"/>
          <w:szCs w:val="20"/>
          <w:lang w:val="es-AR"/>
        </w:rPr>
        <w:t>y</w:t>
      </w:r>
      <w:r w:rsidR="001A28B3" w:rsidRPr="00EA7870">
        <w:rPr>
          <w:sz w:val="20"/>
          <w:szCs w:val="20"/>
          <w:lang w:val="es-AR"/>
        </w:rPr>
        <w:t xml:space="preserve"> </w:t>
      </w:r>
      <w:r w:rsidR="002043EF" w:rsidRPr="00EA7870">
        <w:rPr>
          <w:sz w:val="20"/>
          <w:szCs w:val="20"/>
          <w:lang w:val="es-AR"/>
        </w:rPr>
        <w:t>otras</w:t>
      </w:r>
      <w:r w:rsidR="001A28B3" w:rsidRPr="00EA7870">
        <w:rPr>
          <w:sz w:val="20"/>
          <w:szCs w:val="20"/>
          <w:lang w:val="es-AR"/>
        </w:rPr>
        <w:t xml:space="preserve"> </w:t>
      </w:r>
      <w:r w:rsidR="002043EF" w:rsidRPr="00EA7870">
        <w:rPr>
          <w:sz w:val="20"/>
          <w:szCs w:val="20"/>
          <w:lang w:val="es-AR"/>
        </w:rPr>
        <w:t>actividades</w:t>
      </w:r>
      <w:r w:rsidR="001A28B3" w:rsidRPr="00EA7870">
        <w:rPr>
          <w:sz w:val="20"/>
          <w:szCs w:val="20"/>
          <w:lang w:val="es-AR"/>
        </w:rPr>
        <w:t xml:space="preserve"> </w:t>
      </w:r>
      <w:r w:rsidR="002043EF" w:rsidRPr="00EA7870">
        <w:rPr>
          <w:sz w:val="20"/>
          <w:szCs w:val="20"/>
          <w:lang w:val="es-AR"/>
        </w:rPr>
        <w:t>ilícitas</w:t>
      </w:r>
      <w:r w:rsidRPr="00EA7870">
        <w:rPr>
          <w:sz w:val="20"/>
          <w:szCs w:val="20"/>
          <w:lang w:val="es-AR"/>
        </w:rPr>
        <w:t>.</w:t>
      </w:r>
      <w:r w:rsidR="001A28B3" w:rsidRPr="00EA7870">
        <w:rPr>
          <w:sz w:val="20"/>
          <w:szCs w:val="20"/>
          <w:lang w:val="es-AR"/>
        </w:rPr>
        <w:t xml:space="preserve"> </w:t>
      </w:r>
    </w:p>
    <w:p w14:paraId="6EF637E7" w14:textId="77777777" w:rsidR="00E06527" w:rsidRPr="00EA7870" w:rsidRDefault="00E06527" w:rsidP="00E06527">
      <w:pPr>
        <w:keepNext/>
        <w:spacing w:after="240"/>
        <w:jc w:val="both"/>
        <w:rPr>
          <w:b/>
          <w:i/>
          <w:sz w:val="20"/>
          <w:szCs w:val="20"/>
          <w:lang w:val="es-AR"/>
        </w:rPr>
      </w:pPr>
      <w:r w:rsidRPr="00EA7870">
        <w:rPr>
          <w:b/>
          <w:i/>
          <w:sz w:val="20"/>
          <w:szCs w:val="20"/>
          <w:lang w:val="es-AR"/>
        </w:rPr>
        <w:t>Período</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la</w:t>
      </w:r>
      <w:r w:rsidR="001A28B3" w:rsidRPr="00EA7870">
        <w:rPr>
          <w:b/>
          <w:i/>
          <w:sz w:val="20"/>
          <w:szCs w:val="20"/>
          <w:lang w:val="es-AR"/>
        </w:rPr>
        <w:t xml:space="preserve"> </w:t>
      </w:r>
      <w:r w:rsidRPr="00EA7870">
        <w:rPr>
          <w:b/>
          <w:i/>
          <w:sz w:val="20"/>
          <w:szCs w:val="20"/>
          <w:lang w:val="es-AR"/>
        </w:rPr>
        <w:t>Oferta</w:t>
      </w:r>
    </w:p>
    <w:p w14:paraId="76CB85B6" w14:textId="6BE54FFC" w:rsidR="005F5459" w:rsidRPr="00EA7870" w:rsidRDefault="005F5459" w:rsidP="005F5459">
      <w:pPr>
        <w:spacing w:after="240"/>
        <w:jc w:val="both"/>
        <w:rPr>
          <w:sz w:val="20"/>
          <w:szCs w:val="20"/>
          <w:lang w:val="es-AR"/>
        </w:rPr>
      </w:pPr>
      <w:r w:rsidRPr="00EA7870">
        <w:rPr>
          <w:sz w:val="20"/>
          <w:szCs w:val="20"/>
          <w:lang w:val="es-AR"/>
        </w:rPr>
        <w:t>En la Argentina, las Manifestaciones de Interés deberán ser entregadas al Colocador Local, quien las remitirá a los Colocadores Internacionales de conformidad con los procedimientos determinados por éstos. Sujeto a las Normas de la CNV y demás reglamentaciones aplicables, el Colocador Local podrá solicitar que los inversores de la Argentina que realicen Manifestaciones de Interés brinden garantías de pago con respecto a sus órdenes solicitadas y pedir la información correspondiente para cumplir con sus obligaciones regulatorias. En la Oferta Internacional las Manifestaciones de Interés deberán ser presentadas a la Emisora (con copia a los Colocadores Internacionales) en forma de Acuerdo de Compra</w:t>
      </w:r>
      <w:r w:rsidR="003A37B5" w:rsidRPr="00EA7870">
        <w:rPr>
          <w:sz w:val="20"/>
          <w:szCs w:val="20"/>
          <w:lang w:val="es-AR"/>
        </w:rPr>
        <w:t xml:space="preserve"> de Obligaciones Negociables</w:t>
      </w:r>
      <w:r w:rsidRPr="00EA7870">
        <w:rPr>
          <w:sz w:val="20"/>
          <w:szCs w:val="20"/>
          <w:lang w:val="es-AR"/>
        </w:rPr>
        <w:t xml:space="preserve">. </w:t>
      </w:r>
    </w:p>
    <w:p w14:paraId="78D58D6D" w14:textId="19D05F0D" w:rsidR="00E06527" w:rsidRPr="00EA7870" w:rsidRDefault="00E06527" w:rsidP="00994215">
      <w:pPr>
        <w:spacing w:after="240"/>
        <w:jc w:val="both"/>
        <w:rPr>
          <w:sz w:val="20"/>
          <w:szCs w:val="20"/>
          <w:lang w:val="es-AR"/>
        </w:rPr>
      </w:pPr>
      <w:r w:rsidRPr="00EA7870">
        <w:rPr>
          <w:sz w:val="20"/>
          <w:szCs w:val="20"/>
          <w:lang w:val="es-AR"/>
        </w:rPr>
        <w:t>Sólo</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presentarse</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00587A97" w:rsidRPr="00EA7870">
        <w:rPr>
          <w:sz w:val="20"/>
          <w:szCs w:val="20"/>
          <w:lang w:val="es-AR"/>
        </w:rPr>
        <w:t>de</w:t>
      </w:r>
      <w:r w:rsidR="001A28B3" w:rsidRPr="00EA7870">
        <w:rPr>
          <w:sz w:val="20"/>
          <w:szCs w:val="20"/>
          <w:lang w:val="es-AR"/>
        </w:rPr>
        <w:t xml:space="preserve"> </w:t>
      </w:r>
      <w:r w:rsidR="000A111F" w:rsidRPr="00EA7870">
        <w:rPr>
          <w:sz w:val="20"/>
          <w:szCs w:val="20"/>
          <w:lang w:val="es-AR"/>
        </w:rPr>
        <w:t>dos</w:t>
      </w:r>
      <w:r w:rsidR="001A28B3" w:rsidRPr="00EA7870">
        <w:rPr>
          <w:sz w:val="20"/>
          <w:szCs w:val="20"/>
          <w:lang w:val="es-AR"/>
        </w:rPr>
        <w:t xml:space="preserve"> </w:t>
      </w:r>
      <w:r w:rsidR="00587A97" w:rsidRPr="00EA7870">
        <w:rPr>
          <w:sz w:val="20"/>
          <w:szCs w:val="20"/>
          <w:lang w:val="es-AR"/>
        </w:rPr>
        <w:t>Días</w:t>
      </w:r>
      <w:r w:rsidR="001A28B3" w:rsidRPr="00EA7870">
        <w:rPr>
          <w:sz w:val="20"/>
          <w:szCs w:val="20"/>
          <w:lang w:val="es-AR"/>
        </w:rPr>
        <w:t xml:space="preserve"> </w:t>
      </w:r>
      <w:r w:rsidR="00587A97" w:rsidRPr="00EA7870">
        <w:rPr>
          <w:sz w:val="20"/>
          <w:szCs w:val="20"/>
          <w:lang w:val="es-AR"/>
        </w:rPr>
        <w:t>Hábiles</w:t>
      </w:r>
      <w:r w:rsidR="00C4654E" w:rsidRPr="00EA7870">
        <w:rPr>
          <w:sz w:val="20"/>
          <w:szCs w:val="20"/>
          <w:lang w:val="es-AR"/>
        </w:rPr>
        <w:t xml:space="preserve"> Bursátiles</w:t>
      </w:r>
      <w:r w:rsidR="008F0DFA" w:rsidRPr="00EA7870">
        <w:rPr>
          <w:sz w:val="20"/>
          <w:szCs w:val="20"/>
          <w:lang w:val="es-AR"/>
        </w:rPr>
        <w:t>, conforme la autorización otorgada por la CNV mediante</w:t>
      </w:r>
      <w:r w:rsidR="0096263D" w:rsidRPr="00EA7870">
        <w:rPr>
          <w:sz w:val="20"/>
          <w:szCs w:val="20"/>
          <w:lang w:val="es-AR"/>
        </w:rPr>
        <w:t xml:space="preserve"> las</w:t>
      </w:r>
      <w:r w:rsidR="008F0DFA" w:rsidRPr="00EA7870">
        <w:rPr>
          <w:sz w:val="20"/>
          <w:szCs w:val="20"/>
          <w:lang w:val="es-AR"/>
        </w:rPr>
        <w:t xml:space="preserve"> Nota</w:t>
      </w:r>
      <w:r w:rsidR="0096263D" w:rsidRPr="00EA7870">
        <w:rPr>
          <w:sz w:val="20"/>
          <w:szCs w:val="20"/>
          <w:lang w:val="es-AR"/>
        </w:rPr>
        <w:t>s</w:t>
      </w:r>
      <w:r w:rsidR="008F0DFA" w:rsidRPr="00EA7870">
        <w:rPr>
          <w:sz w:val="20"/>
          <w:szCs w:val="20"/>
          <w:lang w:val="es-AR"/>
        </w:rPr>
        <w:t xml:space="preserve"> N°14758/2019</w:t>
      </w:r>
      <w:r w:rsidR="0096263D" w:rsidRPr="00EA7870">
        <w:rPr>
          <w:sz w:val="20"/>
          <w:szCs w:val="20"/>
          <w:lang w:val="es-AR"/>
        </w:rPr>
        <w:t xml:space="preserve"> y N° 15170/2019</w:t>
      </w:r>
      <w:r w:rsidR="008F0DFA"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comenzará</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finalizará</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fechas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hora</w:t>
      </w:r>
      <w:r w:rsidR="001A28B3" w:rsidRPr="00EA7870">
        <w:rPr>
          <w:sz w:val="20"/>
          <w:szCs w:val="20"/>
          <w:lang w:val="es-AR"/>
        </w:rPr>
        <w:t xml:space="preserve"> </w:t>
      </w:r>
      <w:r w:rsidRPr="00EA7870">
        <w:rPr>
          <w:sz w:val="20"/>
          <w:szCs w:val="20"/>
          <w:lang w:val="es-AR"/>
        </w:rPr>
        <w:t>indicadas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aviso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suscripción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w:t>
      </w:r>
      <w:r w:rsidRPr="00EA7870">
        <w:rPr>
          <w:b/>
          <w:sz w:val="20"/>
          <w:szCs w:val="20"/>
          <w:lang w:val="es-AR"/>
        </w:rPr>
        <w:t>Aviso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Suscripción</w:t>
      </w:r>
      <w:r w:rsidRPr="00EA7870">
        <w:rPr>
          <w:sz w:val="20"/>
          <w:szCs w:val="20"/>
          <w:lang w:val="es-AR"/>
        </w:rPr>
        <w:t>”)</w:t>
      </w:r>
      <w:r w:rsidR="00E17590" w:rsidRPr="00EA7870">
        <w:rPr>
          <w:sz w:val="20"/>
          <w:szCs w:val="20"/>
          <w:lang w:val="es-AR"/>
        </w:rPr>
        <w:t>,</w:t>
      </w:r>
      <w:r w:rsidR="001A28B3" w:rsidRPr="00EA7870">
        <w:rPr>
          <w:sz w:val="20"/>
          <w:szCs w:val="20"/>
          <w:lang w:val="es-AR"/>
        </w:rPr>
        <w:t xml:space="preserve"> </w:t>
      </w:r>
      <w:r w:rsidR="00FE6EC4" w:rsidRPr="00EA7870">
        <w:rPr>
          <w:sz w:val="20"/>
          <w:szCs w:val="20"/>
          <w:lang w:val="es-AR"/>
        </w:rPr>
        <w:t>período</w:t>
      </w:r>
      <w:r w:rsidR="001A28B3" w:rsidRPr="00EA7870">
        <w:rPr>
          <w:sz w:val="20"/>
          <w:szCs w:val="20"/>
          <w:lang w:val="es-AR"/>
        </w:rPr>
        <w:t xml:space="preserve"> </w:t>
      </w:r>
      <w:r w:rsidR="00732952" w:rsidRPr="00EA7870">
        <w:rPr>
          <w:sz w:val="20"/>
          <w:szCs w:val="20"/>
          <w:lang w:val="es-AR"/>
        </w:rPr>
        <w:t>que</w:t>
      </w:r>
      <w:r w:rsidR="001A28B3" w:rsidRPr="00EA7870">
        <w:rPr>
          <w:sz w:val="20"/>
          <w:szCs w:val="20"/>
          <w:lang w:val="es-AR"/>
        </w:rPr>
        <w:t xml:space="preserve"> </w:t>
      </w:r>
      <w:r w:rsidR="00732952" w:rsidRPr="00EA7870">
        <w:rPr>
          <w:sz w:val="20"/>
          <w:szCs w:val="20"/>
          <w:lang w:val="es-AR"/>
        </w:rPr>
        <w:t>consistirá</w:t>
      </w:r>
      <w:r w:rsidR="001A28B3" w:rsidRPr="00EA7870">
        <w:rPr>
          <w:sz w:val="20"/>
          <w:szCs w:val="20"/>
          <w:lang w:val="es-AR"/>
        </w:rPr>
        <w:t xml:space="preserve"> </w:t>
      </w:r>
      <w:r w:rsidR="00732952" w:rsidRPr="00EA7870">
        <w:rPr>
          <w:sz w:val="20"/>
          <w:szCs w:val="20"/>
          <w:lang w:val="es-AR"/>
        </w:rPr>
        <w:t>en</w:t>
      </w:r>
      <w:r w:rsidR="001A28B3" w:rsidRPr="00EA7870">
        <w:rPr>
          <w:sz w:val="20"/>
          <w:szCs w:val="20"/>
          <w:lang w:val="es-AR"/>
        </w:rPr>
        <w:t xml:space="preserve"> </w:t>
      </w:r>
      <w:r w:rsidR="00732952" w:rsidRPr="00EA7870">
        <w:rPr>
          <w:sz w:val="20"/>
          <w:szCs w:val="20"/>
          <w:lang w:val="es-AR"/>
        </w:rPr>
        <w:t>un</w:t>
      </w:r>
      <w:r w:rsidR="001A28B3" w:rsidRPr="00EA7870">
        <w:rPr>
          <w:sz w:val="20"/>
          <w:szCs w:val="20"/>
          <w:lang w:val="es-AR"/>
        </w:rPr>
        <w:t xml:space="preserve"> </w:t>
      </w:r>
      <w:r w:rsidR="00D65F61" w:rsidRPr="00EA7870">
        <w:rPr>
          <w:sz w:val="20"/>
          <w:szCs w:val="20"/>
          <w:lang w:val="es-AR"/>
        </w:rPr>
        <w:t>plazo</w:t>
      </w:r>
      <w:r w:rsidR="001A28B3" w:rsidRPr="00EA7870">
        <w:rPr>
          <w:sz w:val="20"/>
          <w:szCs w:val="20"/>
          <w:lang w:val="es-AR"/>
        </w:rPr>
        <w:t xml:space="preserve"> </w:t>
      </w:r>
      <w:r w:rsidR="00D65F61" w:rsidRPr="00EA7870">
        <w:rPr>
          <w:sz w:val="20"/>
          <w:szCs w:val="20"/>
          <w:lang w:val="es-AR"/>
        </w:rPr>
        <w:t>mínimo</w:t>
      </w:r>
      <w:r w:rsidR="001A28B3" w:rsidRPr="00EA7870">
        <w:rPr>
          <w:sz w:val="20"/>
          <w:szCs w:val="20"/>
          <w:lang w:val="es-AR"/>
        </w:rPr>
        <w:t xml:space="preserve"> </w:t>
      </w:r>
      <w:r w:rsidR="00E17590" w:rsidRPr="00EA7870">
        <w:rPr>
          <w:sz w:val="20"/>
          <w:szCs w:val="20"/>
          <w:lang w:val="es-AR"/>
        </w:rPr>
        <w:t>de</w:t>
      </w:r>
      <w:r w:rsidR="001A28B3" w:rsidRPr="00EA7870">
        <w:rPr>
          <w:sz w:val="20"/>
          <w:szCs w:val="20"/>
          <w:lang w:val="es-AR"/>
        </w:rPr>
        <w:t xml:space="preserve"> </w:t>
      </w:r>
      <w:r w:rsidR="000A111F" w:rsidRPr="00EA7870">
        <w:rPr>
          <w:sz w:val="20"/>
          <w:szCs w:val="20"/>
          <w:lang w:val="es-AR"/>
        </w:rPr>
        <w:t>un</w:t>
      </w:r>
      <w:r w:rsidR="001A28B3" w:rsidRPr="00EA7870">
        <w:rPr>
          <w:sz w:val="20"/>
          <w:szCs w:val="20"/>
          <w:lang w:val="es-AR"/>
        </w:rPr>
        <w:t xml:space="preserve"> </w:t>
      </w:r>
      <w:r w:rsidR="00193AF4" w:rsidRPr="00EA7870">
        <w:rPr>
          <w:sz w:val="20"/>
          <w:szCs w:val="20"/>
          <w:lang w:val="es-AR"/>
        </w:rPr>
        <w:t>D</w:t>
      </w:r>
      <w:r w:rsidR="00E17590" w:rsidRPr="00EA7870">
        <w:rPr>
          <w:sz w:val="20"/>
          <w:szCs w:val="20"/>
          <w:lang w:val="es-AR"/>
        </w:rPr>
        <w:t>ía</w:t>
      </w:r>
      <w:r w:rsidR="001A28B3" w:rsidRPr="00EA7870">
        <w:rPr>
          <w:sz w:val="20"/>
          <w:szCs w:val="20"/>
          <w:lang w:val="es-AR"/>
        </w:rPr>
        <w:t xml:space="preserve"> </w:t>
      </w:r>
      <w:r w:rsidR="00193AF4" w:rsidRPr="00EA7870">
        <w:rPr>
          <w:sz w:val="20"/>
          <w:szCs w:val="20"/>
          <w:lang w:val="es-AR"/>
        </w:rPr>
        <w:t>Hábil</w:t>
      </w:r>
      <w:r w:rsidR="001A28B3" w:rsidRPr="00EA7870">
        <w:rPr>
          <w:sz w:val="20"/>
          <w:szCs w:val="20"/>
          <w:lang w:val="es-AR"/>
        </w:rPr>
        <w:t xml:space="preserve"> </w:t>
      </w:r>
      <w:r w:rsidR="00C4654E" w:rsidRPr="00EA7870">
        <w:rPr>
          <w:sz w:val="20"/>
          <w:szCs w:val="20"/>
          <w:lang w:val="es-AR"/>
        </w:rPr>
        <w:t xml:space="preserve">Bursátil </w:t>
      </w:r>
      <w:r w:rsidR="00E17590" w:rsidRPr="00EA7870">
        <w:rPr>
          <w:sz w:val="20"/>
          <w:szCs w:val="20"/>
          <w:lang w:val="es-AR"/>
        </w:rPr>
        <w:t>de</w:t>
      </w:r>
      <w:r w:rsidR="001A28B3" w:rsidRPr="00EA7870">
        <w:rPr>
          <w:sz w:val="20"/>
          <w:szCs w:val="20"/>
          <w:lang w:val="es-AR"/>
        </w:rPr>
        <w:t xml:space="preserve"> </w:t>
      </w:r>
      <w:r w:rsidR="00E17590" w:rsidRPr="00EA7870">
        <w:rPr>
          <w:sz w:val="20"/>
          <w:szCs w:val="20"/>
          <w:lang w:val="es-AR"/>
        </w:rPr>
        <w:t>difusión</w:t>
      </w:r>
      <w:r w:rsidR="001A28B3" w:rsidRPr="00EA7870">
        <w:rPr>
          <w:sz w:val="20"/>
          <w:szCs w:val="20"/>
          <w:lang w:val="es-AR"/>
        </w:rPr>
        <w:t xml:space="preserve"> </w:t>
      </w:r>
      <w:r w:rsidR="00D65F61" w:rsidRPr="00EA7870">
        <w:rPr>
          <w:sz w:val="20"/>
          <w:szCs w:val="20"/>
          <w:lang w:val="es-AR"/>
        </w:rPr>
        <w:t>con</w:t>
      </w:r>
      <w:r w:rsidR="001A28B3" w:rsidRPr="00EA7870">
        <w:rPr>
          <w:sz w:val="20"/>
          <w:szCs w:val="20"/>
          <w:lang w:val="es-AR"/>
        </w:rPr>
        <w:t xml:space="preserve"> </w:t>
      </w:r>
      <w:r w:rsidR="00D65F61" w:rsidRPr="00EA7870">
        <w:rPr>
          <w:sz w:val="20"/>
          <w:szCs w:val="20"/>
          <w:lang w:val="es-AR"/>
        </w:rPr>
        <w:t>anterioridad</w:t>
      </w:r>
      <w:r w:rsidR="001A28B3" w:rsidRPr="00EA7870">
        <w:rPr>
          <w:sz w:val="20"/>
          <w:szCs w:val="20"/>
          <w:lang w:val="es-AR"/>
        </w:rPr>
        <w:t xml:space="preserve"> </w:t>
      </w:r>
      <w:r w:rsidR="00D65F61" w:rsidRPr="00EA7870">
        <w:rPr>
          <w:sz w:val="20"/>
          <w:szCs w:val="20"/>
          <w:lang w:val="es-AR"/>
        </w:rPr>
        <w:t>a</w:t>
      </w:r>
      <w:r w:rsidR="001A28B3" w:rsidRPr="00EA7870">
        <w:rPr>
          <w:sz w:val="20"/>
          <w:szCs w:val="20"/>
          <w:lang w:val="es-AR"/>
        </w:rPr>
        <w:t xml:space="preserve"> </w:t>
      </w:r>
      <w:r w:rsidR="00D65F61" w:rsidRPr="00EA7870">
        <w:rPr>
          <w:sz w:val="20"/>
          <w:szCs w:val="20"/>
          <w:lang w:val="es-AR"/>
        </w:rPr>
        <w:t>la</w:t>
      </w:r>
      <w:r w:rsidR="001A28B3" w:rsidRPr="00EA7870">
        <w:rPr>
          <w:sz w:val="20"/>
          <w:szCs w:val="20"/>
          <w:lang w:val="es-AR"/>
        </w:rPr>
        <w:t xml:space="preserve"> </w:t>
      </w:r>
      <w:r w:rsidR="00D65F61" w:rsidRPr="00EA7870">
        <w:rPr>
          <w:sz w:val="20"/>
          <w:szCs w:val="20"/>
          <w:lang w:val="es-AR"/>
        </w:rPr>
        <w:t>fecha</w:t>
      </w:r>
      <w:r w:rsidR="001A28B3" w:rsidRPr="00EA7870">
        <w:rPr>
          <w:sz w:val="20"/>
          <w:szCs w:val="20"/>
          <w:lang w:val="es-AR"/>
        </w:rPr>
        <w:t xml:space="preserve"> </w:t>
      </w:r>
      <w:r w:rsidR="00D65F61" w:rsidRPr="00EA7870">
        <w:rPr>
          <w:sz w:val="20"/>
          <w:szCs w:val="20"/>
          <w:lang w:val="es-AR"/>
        </w:rPr>
        <w:t>de</w:t>
      </w:r>
      <w:r w:rsidR="001A28B3" w:rsidRPr="00EA7870">
        <w:rPr>
          <w:sz w:val="20"/>
          <w:szCs w:val="20"/>
          <w:lang w:val="es-AR"/>
        </w:rPr>
        <w:t xml:space="preserve"> </w:t>
      </w:r>
      <w:r w:rsidR="00994215" w:rsidRPr="00EA7870">
        <w:rPr>
          <w:sz w:val="20"/>
          <w:szCs w:val="20"/>
          <w:lang w:val="es-AR"/>
        </w:rPr>
        <w:t>adjudicación</w:t>
      </w:r>
      <w:r w:rsidR="001A28B3" w:rsidRPr="00EA7870">
        <w:rPr>
          <w:sz w:val="20"/>
          <w:szCs w:val="20"/>
          <w:lang w:val="es-AR"/>
        </w:rPr>
        <w:t xml:space="preserve"> </w:t>
      </w:r>
      <w:r w:rsidR="00994215" w:rsidRPr="00EA7870">
        <w:rPr>
          <w:sz w:val="20"/>
          <w:szCs w:val="20"/>
          <w:lang w:val="es-AR"/>
        </w:rPr>
        <w:t>que</w:t>
      </w:r>
      <w:r w:rsidR="001A28B3" w:rsidRPr="00EA7870">
        <w:rPr>
          <w:sz w:val="20"/>
          <w:szCs w:val="20"/>
          <w:lang w:val="es-AR"/>
        </w:rPr>
        <w:t xml:space="preserve"> </w:t>
      </w:r>
      <w:r w:rsidR="00994215" w:rsidRPr="00EA7870">
        <w:rPr>
          <w:sz w:val="20"/>
          <w:szCs w:val="20"/>
          <w:lang w:val="es-AR"/>
        </w:rPr>
        <w:t>será</w:t>
      </w:r>
      <w:r w:rsidR="001A28B3" w:rsidRPr="00EA7870">
        <w:rPr>
          <w:sz w:val="20"/>
          <w:szCs w:val="20"/>
          <w:lang w:val="es-AR"/>
        </w:rPr>
        <w:t xml:space="preserve"> </w:t>
      </w:r>
      <w:r w:rsidR="00994215" w:rsidRPr="00EA7870">
        <w:rPr>
          <w:sz w:val="20"/>
          <w:szCs w:val="20"/>
          <w:lang w:val="es-AR"/>
        </w:rPr>
        <w:t>de</w:t>
      </w:r>
      <w:r w:rsidR="001A28B3" w:rsidRPr="00EA7870">
        <w:rPr>
          <w:sz w:val="20"/>
          <w:szCs w:val="20"/>
          <w:lang w:val="es-AR"/>
        </w:rPr>
        <w:t xml:space="preserve"> </w:t>
      </w:r>
      <w:r w:rsidR="00994215" w:rsidRPr="00EA7870">
        <w:rPr>
          <w:sz w:val="20"/>
          <w:szCs w:val="20"/>
          <w:lang w:val="es-AR"/>
        </w:rPr>
        <w:t>al</w:t>
      </w:r>
      <w:r w:rsidR="001A28B3" w:rsidRPr="00EA7870">
        <w:rPr>
          <w:sz w:val="20"/>
          <w:szCs w:val="20"/>
          <w:lang w:val="es-AR"/>
        </w:rPr>
        <w:t xml:space="preserve"> </w:t>
      </w:r>
      <w:r w:rsidR="00994215" w:rsidRPr="00EA7870">
        <w:rPr>
          <w:sz w:val="20"/>
          <w:szCs w:val="20"/>
          <w:lang w:val="es-AR"/>
        </w:rPr>
        <w:t>menos</w:t>
      </w:r>
      <w:r w:rsidR="001A28B3" w:rsidRPr="00EA7870">
        <w:rPr>
          <w:sz w:val="20"/>
          <w:szCs w:val="20"/>
          <w:lang w:val="es-AR"/>
        </w:rPr>
        <w:t xml:space="preserve"> </w:t>
      </w:r>
      <w:r w:rsidR="00994215" w:rsidRPr="00EA7870">
        <w:rPr>
          <w:sz w:val="20"/>
          <w:szCs w:val="20"/>
          <w:lang w:val="es-AR"/>
        </w:rPr>
        <w:t>un</w:t>
      </w:r>
      <w:r w:rsidR="001A28B3" w:rsidRPr="00EA7870">
        <w:rPr>
          <w:sz w:val="20"/>
          <w:szCs w:val="20"/>
          <w:lang w:val="es-AR"/>
        </w:rPr>
        <w:t xml:space="preserve"> </w:t>
      </w:r>
      <w:r w:rsidR="00994215" w:rsidRPr="00EA7870">
        <w:rPr>
          <w:sz w:val="20"/>
          <w:szCs w:val="20"/>
          <w:lang w:val="es-AR"/>
        </w:rPr>
        <w:t>Día</w:t>
      </w:r>
      <w:r w:rsidR="001A28B3" w:rsidRPr="00EA7870">
        <w:rPr>
          <w:sz w:val="20"/>
          <w:szCs w:val="20"/>
          <w:lang w:val="es-AR"/>
        </w:rPr>
        <w:t xml:space="preserve"> </w:t>
      </w:r>
      <w:r w:rsidR="00994215" w:rsidRPr="00EA7870">
        <w:rPr>
          <w:sz w:val="20"/>
          <w:szCs w:val="20"/>
          <w:lang w:val="es-AR"/>
        </w:rPr>
        <w:t>Hábil</w:t>
      </w:r>
      <w:r w:rsidR="001A28B3" w:rsidRPr="00EA7870">
        <w:rPr>
          <w:sz w:val="20"/>
          <w:szCs w:val="20"/>
          <w:lang w:val="es-AR"/>
        </w:rPr>
        <w:t xml:space="preserve"> </w:t>
      </w:r>
      <w:r w:rsidR="00C4654E" w:rsidRPr="00EA7870">
        <w:rPr>
          <w:sz w:val="20"/>
          <w:szCs w:val="20"/>
          <w:lang w:val="es-AR"/>
        </w:rPr>
        <w:t>Bursátil</w:t>
      </w:r>
      <w:r w:rsidR="00AD76BB"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Capítulo</w:t>
      </w:r>
      <w:r w:rsidR="001A28B3" w:rsidRPr="00EA7870">
        <w:rPr>
          <w:sz w:val="20"/>
          <w:szCs w:val="20"/>
          <w:lang w:val="es-AR"/>
        </w:rPr>
        <w:t xml:space="preserve"> </w:t>
      </w:r>
      <w:r w:rsidRPr="00EA7870">
        <w:rPr>
          <w:sz w:val="20"/>
          <w:szCs w:val="20"/>
          <w:lang w:val="es-AR"/>
        </w:rPr>
        <w:t>IV,</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VI</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oportunamente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publicará</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2D00ED" w:rsidRPr="00EA7870">
        <w:rPr>
          <w:sz w:val="20"/>
          <w:szCs w:val="20"/>
          <w:lang w:val="es-AR"/>
        </w:rPr>
        <w:t>AIF</w:t>
      </w:r>
      <w:r w:rsidRPr="00EA7870">
        <w:rPr>
          <w:sz w:val="20"/>
          <w:szCs w:val="20"/>
          <w:lang w:val="es-AR"/>
        </w:rPr>
        <w:t>,</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00AE5672" w:rsidRPr="00EA7870">
        <w:rPr>
          <w:sz w:val="20"/>
          <w:szCs w:val="20"/>
          <w:lang w:val="es-AR"/>
        </w:rPr>
        <w:t>el</w:t>
      </w:r>
      <w:r w:rsidR="001A28B3" w:rsidRPr="00EA7870">
        <w:rPr>
          <w:sz w:val="20"/>
          <w:szCs w:val="20"/>
          <w:lang w:val="es-AR"/>
        </w:rPr>
        <w:t xml:space="preserve"> </w:t>
      </w:r>
      <w:r w:rsidR="00AE5672" w:rsidRPr="00EA7870">
        <w:rPr>
          <w:sz w:val="20"/>
          <w:szCs w:val="20"/>
        </w:rPr>
        <w:t>sitio</w:t>
      </w:r>
      <w:r w:rsidR="001A28B3" w:rsidRPr="00EA7870">
        <w:rPr>
          <w:sz w:val="20"/>
          <w:szCs w:val="20"/>
        </w:rPr>
        <w:t xml:space="preserve"> </w:t>
      </w:r>
      <w:r w:rsidR="00AE5672" w:rsidRPr="00EA7870">
        <w:rPr>
          <w:i/>
          <w:iCs/>
          <w:sz w:val="20"/>
          <w:szCs w:val="20"/>
        </w:rPr>
        <w:t>web</w:t>
      </w:r>
      <w:r w:rsidR="001A28B3" w:rsidRPr="00EA7870">
        <w:rPr>
          <w:sz w:val="20"/>
          <w:szCs w:val="20"/>
        </w:rPr>
        <w:t xml:space="preserve"> </w:t>
      </w:r>
      <w:r w:rsidR="00AE5672" w:rsidRPr="00EA7870">
        <w:rPr>
          <w:sz w:val="20"/>
          <w:szCs w:val="20"/>
        </w:rPr>
        <w:t>institucional</w:t>
      </w:r>
      <w:r w:rsidR="001A28B3" w:rsidRPr="00EA7870">
        <w:rPr>
          <w:sz w:val="20"/>
          <w:szCs w:val="20"/>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001A28B3" w:rsidRPr="00EA7870">
        <w:rPr>
          <w:sz w:val="20"/>
          <w:szCs w:val="20"/>
          <w:lang w:val="es-AR"/>
        </w:rPr>
        <w:t xml:space="preserve"> </w:t>
      </w:r>
      <w:r w:rsidRPr="00EA7870">
        <w:rPr>
          <w:sz w:val="20"/>
          <w:szCs w:val="20"/>
          <w:lang w:val="es-AR"/>
        </w:rPr>
        <w:t>(</w:t>
      </w:r>
      <w:hyperlink r:id="rId17">
        <w:r w:rsidR="008E0224" w:rsidRPr="00EA7870">
          <w:rPr>
            <w:rStyle w:val="Hipervnculo"/>
            <w:sz w:val="20"/>
            <w:szCs w:val="20"/>
            <w:lang w:val="es-AR"/>
          </w:rPr>
          <w:t>www.pan-energy.com</w:t>
        </w:r>
      </w:hyperlink>
      <w:r w:rsidRPr="00EA7870">
        <w:rPr>
          <w:sz w:val="20"/>
          <w:szCs w:val="20"/>
          <w:lang w:val="es-AR"/>
        </w:rPr>
        <w:t>)</w:t>
      </w:r>
      <w:r w:rsidR="00DC0885" w:rsidRPr="00EA7870">
        <w:rPr>
          <w:sz w:val="20"/>
          <w:szCs w:val="20"/>
          <w:lang w:val="es-AR"/>
        </w:rPr>
        <w:t>; y (iii)</w:t>
      </w:r>
      <w:r w:rsidR="001A28B3" w:rsidRPr="00EA7870">
        <w:rPr>
          <w:sz w:val="20"/>
          <w:szCs w:val="20"/>
          <w:lang w:val="es-AR"/>
        </w:rPr>
        <w:t xml:space="preserve"> </w:t>
      </w:r>
      <w:r w:rsidR="00DC0885" w:rsidRPr="00EA7870">
        <w:rPr>
          <w:sz w:val="20"/>
          <w:szCs w:val="20"/>
          <w:lang w:val="es-AR"/>
        </w:rPr>
        <w:t xml:space="preserve">en el sitio </w:t>
      </w:r>
      <w:r w:rsidR="00DC0885" w:rsidRPr="00EA7870">
        <w:rPr>
          <w:i/>
          <w:iCs/>
          <w:sz w:val="20"/>
          <w:szCs w:val="20"/>
          <w:lang w:val="es-AR"/>
        </w:rPr>
        <w:t>web</w:t>
      </w:r>
      <w:r w:rsidR="00DC0885" w:rsidRPr="00EA7870">
        <w:rPr>
          <w:sz w:val="20"/>
          <w:szCs w:val="20"/>
          <w:lang w:val="es-AR"/>
        </w:rPr>
        <w:t xml:space="preserve"> del MAE (http://www.mae.com.ar) </w:t>
      </w:r>
      <w:r w:rsidRPr="00EA7870">
        <w:rPr>
          <w:sz w:val="20"/>
          <w:szCs w:val="20"/>
          <w:lang w:val="es-AR"/>
        </w:rPr>
        <w:t>(en</w:t>
      </w:r>
      <w:r w:rsidR="001A28B3" w:rsidRPr="00EA7870">
        <w:rPr>
          <w:sz w:val="20"/>
          <w:szCs w:val="20"/>
          <w:lang w:val="es-AR"/>
        </w:rPr>
        <w:t xml:space="preserve"> </w:t>
      </w:r>
      <w:r w:rsidRPr="00EA7870">
        <w:rPr>
          <w:sz w:val="20"/>
          <w:szCs w:val="20"/>
          <w:lang w:val="es-AR"/>
        </w:rPr>
        <w:t>adelante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hará</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00660DD1" w:rsidRPr="00EA7870">
        <w:rPr>
          <w:sz w:val="20"/>
          <w:szCs w:val="20"/>
          <w:lang w:val="es-AR"/>
        </w:rPr>
        <w:t>período</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w:t>
      </w:r>
      <w:r w:rsidRPr="00EA7870">
        <w:rPr>
          <w:b/>
          <w:sz w:val="20"/>
          <w:szCs w:val="20"/>
          <w:lang w:val="es-AR"/>
        </w:rPr>
        <w:t>Período</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Oferta</w:t>
      </w:r>
      <w:r w:rsidRPr="00EA7870">
        <w:rPr>
          <w:sz w:val="20"/>
          <w:szCs w:val="20"/>
          <w:lang w:val="es-AR"/>
        </w:rPr>
        <w:t>”,</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hora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finalización</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w:t>
      </w:r>
      <w:r w:rsidRPr="00EA7870">
        <w:rPr>
          <w:b/>
          <w:sz w:val="20"/>
          <w:szCs w:val="20"/>
          <w:lang w:val="es-AR"/>
        </w:rPr>
        <w:t>Fecha</w:t>
      </w:r>
      <w:r w:rsidR="001A28B3" w:rsidRPr="00EA7870">
        <w:rPr>
          <w:b/>
          <w:sz w:val="20"/>
          <w:szCs w:val="20"/>
          <w:lang w:val="es-AR"/>
        </w:rPr>
        <w:t xml:space="preserve"> </w:t>
      </w:r>
      <w:r w:rsidRPr="00EA7870">
        <w:rPr>
          <w:b/>
          <w:sz w:val="20"/>
          <w:szCs w:val="20"/>
          <w:lang w:val="es-AR"/>
        </w:rPr>
        <w:t>Límite</w:t>
      </w:r>
      <w:r w:rsidR="001A28B3" w:rsidRPr="00EA7870">
        <w:rPr>
          <w:b/>
          <w:sz w:val="20"/>
          <w:szCs w:val="20"/>
          <w:lang w:val="es-AR"/>
        </w:rPr>
        <w:t xml:space="preserve"> </w:t>
      </w:r>
      <w:r w:rsidRPr="00EA7870">
        <w:rPr>
          <w:b/>
          <w:sz w:val="20"/>
          <w:szCs w:val="20"/>
          <w:lang w:val="es-AR"/>
        </w:rPr>
        <w:t>para</w:t>
      </w:r>
      <w:r w:rsidR="001A28B3" w:rsidRPr="00EA7870">
        <w:rPr>
          <w:b/>
          <w:sz w:val="20"/>
          <w:szCs w:val="20"/>
          <w:lang w:val="es-AR"/>
        </w:rPr>
        <w:t xml:space="preserve"> </w:t>
      </w:r>
      <w:r w:rsidRPr="00EA7870">
        <w:rPr>
          <w:b/>
          <w:sz w:val="20"/>
          <w:szCs w:val="20"/>
          <w:lang w:val="es-AR"/>
        </w:rPr>
        <w:t>la</w:t>
      </w:r>
      <w:r w:rsidR="001A28B3" w:rsidRPr="00EA7870">
        <w:rPr>
          <w:b/>
          <w:sz w:val="20"/>
          <w:szCs w:val="20"/>
          <w:lang w:val="es-AR"/>
        </w:rPr>
        <w:t xml:space="preserve"> </w:t>
      </w:r>
      <w:r w:rsidRPr="00EA7870">
        <w:rPr>
          <w:b/>
          <w:sz w:val="20"/>
          <w:szCs w:val="20"/>
          <w:lang w:val="es-AR"/>
        </w:rPr>
        <w:t>Presentación</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Manifestaciones</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Interés</w:t>
      </w:r>
      <w:r w:rsidRPr="00EA7870">
        <w:rPr>
          <w:sz w:val="20"/>
          <w:szCs w:val="20"/>
          <w:lang w:val="es-AR"/>
        </w:rPr>
        <w:t>”,</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último</w:t>
      </w:r>
      <w:r w:rsidR="001A28B3" w:rsidRPr="00EA7870">
        <w:rPr>
          <w:sz w:val="20"/>
          <w:szCs w:val="20"/>
          <w:lang w:val="es-AR"/>
        </w:rPr>
        <w:t xml:space="preserve"> </w:t>
      </w:r>
      <w:r w:rsidRPr="00EA7870">
        <w:rPr>
          <w:sz w:val="20"/>
          <w:szCs w:val="20"/>
          <w:lang w:val="es-AR"/>
        </w:rPr>
        <w:t>día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w:t>
      </w:r>
      <w:r w:rsidRPr="00EA7870">
        <w:rPr>
          <w:b/>
          <w:sz w:val="20"/>
          <w:szCs w:val="20"/>
          <w:lang w:val="es-AR"/>
        </w:rPr>
        <w:t>Fecha</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Adjudicación</w:t>
      </w:r>
      <w:r w:rsidRPr="00EA7870">
        <w:rPr>
          <w:sz w:val="20"/>
          <w:szCs w:val="20"/>
          <w:lang w:val="es-AR"/>
        </w:rPr>
        <w:t>”).</w:t>
      </w:r>
      <w:r w:rsidR="001A28B3" w:rsidRPr="00EA7870">
        <w:rPr>
          <w:sz w:val="20"/>
          <w:szCs w:val="20"/>
          <w:lang w:val="es-AR"/>
        </w:rPr>
        <w:t xml:space="preserve"> </w:t>
      </w:r>
      <w:r w:rsidR="00B9320F" w:rsidRPr="00EA7870">
        <w:rPr>
          <w:sz w:val="20"/>
          <w:szCs w:val="20"/>
          <w:lang w:val="es-AR"/>
        </w:rPr>
        <w:t xml:space="preserve">Adicionalmente, la Emisora podrá publicar el Aviso de Suscripción en otros medios de difusión pública que considere pertinente. </w:t>
      </w:r>
      <w:r w:rsidR="005F5459" w:rsidRPr="00EA7870">
        <w:rPr>
          <w:sz w:val="20"/>
          <w:szCs w:val="20"/>
          <w:lang w:val="es-AR"/>
        </w:rPr>
        <w:t>Una vez alcanzada la Fecha Límite para la Presentación de Manifestaciones de Interés no se registrarán nuevas Manifestaciones de Interés en el Registro.</w:t>
      </w:r>
    </w:p>
    <w:p w14:paraId="795BDB7E" w14:textId="7530206E" w:rsidR="00B22131" w:rsidRDefault="00F26A65" w:rsidP="00F26A65">
      <w:pPr>
        <w:spacing w:after="240"/>
        <w:jc w:val="both"/>
        <w:rPr>
          <w:sz w:val="20"/>
          <w:szCs w:val="20"/>
          <w:lang w:val="es-AR"/>
        </w:rPr>
      </w:pPr>
      <w:r w:rsidRPr="00EA7870">
        <w:rPr>
          <w:bCs/>
          <w:iCs/>
          <w:sz w:val="20"/>
          <w:szCs w:val="20"/>
          <w:lang w:val="es-AR"/>
        </w:rPr>
        <w:t>Las</w:t>
      </w:r>
      <w:r w:rsidR="001A28B3" w:rsidRPr="00EA7870">
        <w:rPr>
          <w:bCs/>
          <w:iCs/>
          <w:sz w:val="20"/>
          <w:szCs w:val="20"/>
          <w:lang w:val="es-AR"/>
        </w:rPr>
        <w:t xml:space="preserve"> </w:t>
      </w:r>
      <w:r w:rsidRPr="00EA7870">
        <w:rPr>
          <w:bCs/>
          <w:iCs/>
          <w:sz w:val="20"/>
          <w:szCs w:val="20"/>
          <w:lang w:val="es-AR"/>
        </w:rPr>
        <w:t>Manifestaciones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Pr="00EA7870">
        <w:rPr>
          <w:bCs/>
          <w:iCs/>
          <w:sz w:val="20"/>
          <w:szCs w:val="20"/>
          <w:lang w:val="es-AR"/>
        </w:rPr>
        <w:t>Interés</w:t>
      </w:r>
      <w:r w:rsidR="001A28B3" w:rsidRPr="00EA7870">
        <w:rPr>
          <w:bCs/>
          <w:iCs/>
          <w:sz w:val="20"/>
          <w:szCs w:val="20"/>
          <w:lang w:val="es-AR"/>
        </w:rPr>
        <w:t xml:space="preserve"> </w:t>
      </w:r>
      <w:r w:rsidRPr="00EA7870">
        <w:rPr>
          <w:bCs/>
          <w:iCs/>
          <w:sz w:val="20"/>
          <w:szCs w:val="20"/>
          <w:lang w:val="es-AR"/>
        </w:rPr>
        <w:t>recibidas</w:t>
      </w:r>
      <w:r w:rsidR="001A28B3" w:rsidRPr="00EA7870">
        <w:rPr>
          <w:bCs/>
          <w:iCs/>
          <w:sz w:val="20"/>
          <w:szCs w:val="20"/>
          <w:lang w:val="es-AR"/>
        </w:rPr>
        <w:t xml:space="preserve"> </w:t>
      </w:r>
      <w:r w:rsidRPr="00EA7870">
        <w:rPr>
          <w:bCs/>
          <w:iCs/>
          <w:sz w:val="20"/>
          <w:szCs w:val="20"/>
          <w:lang w:val="es-AR"/>
        </w:rPr>
        <w:t>por</w:t>
      </w:r>
      <w:r w:rsidR="001A28B3" w:rsidRPr="00EA7870">
        <w:rPr>
          <w:bCs/>
          <w:iCs/>
          <w:sz w:val="20"/>
          <w:szCs w:val="20"/>
          <w:lang w:val="es-AR"/>
        </w:rPr>
        <w:t xml:space="preserve"> </w:t>
      </w:r>
      <w:r w:rsidR="007B2387" w:rsidRPr="00EA7870">
        <w:rPr>
          <w:bCs/>
          <w:iCs/>
          <w:sz w:val="20"/>
          <w:szCs w:val="20"/>
          <w:lang w:val="es-AR"/>
        </w:rPr>
        <w:t xml:space="preserve">el </w:t>
      </w:r>
      <w:r w:rsidR="007B2387" w:rsidRPr="00EA7870">
        <w:rPr>
          <w:sz w:val="20"/>
          <w:szCs w:val="20"/>
          <w:lang w:val="es-AR"/>
        </w:rPr>
        <w:t>Colocador Local</w:t>
      </w:r>
      <w:r w:rsidR="001A28B3" w:rsidRPr="00EA7870">
        <w:rPr>
          <w:bCs/>
          <w:iCs/>
          <w:sz w:val="20"/>
          <w:szCs w:val="20"/>
          <w:lang w:val="es-AR"/>
        </w:rPr>
        <w:t xml:space="preserve"> </w:t>
      </w:r>
      <w:r w:rsidRPr="00EA7870">
        <w:rPr>
          <w:bCs/>
          <w:iCs/>
          <w:sz w:val="20"/>
          <w:szCs w:val="20"/>
          <w:lang w:val="es-AR"/>
        </w:rPr>
        <w:t>y/o</w:t>
      </w:r>
      <w:r w:rsidR="001A28B3" w:rsidRPr="00EA7870">
        <w:rPr>
          <w:bCs/>
          <w:iCs/>
          <w:sz w:val="20"/>
          <w:szCs w:val="20"/>
          <w:lang w:val="es-AR"/>
        </w:rPr>
        <w:t xml:space="preserve"> </w:t>
      </w:r>
      <w:r w:rsidRPr="00EA7870">
        <w:rPr>
          <w:bCs/>
          <w:iCs/>
          <w:sz w:val="20"/>
          <w:szCs w:val="20"/>
          <w:lang w:val="es-AR"/>
        </w:rPr>
        <w:t>la</w:t>
      </w:r>
      <w:r w:rsidR="001A28B3" w:rsidRPr="00EA7870">
        <w:rPr>
          <w:bCs/>
          <w:iCs/>
          <w:sz w:val="20"/>
          <w:szCs w:val="20"/>
          <w:lang w:val="es-AR"/>
        </w:rPr>
        <w:t xml:space="preserve"> </w:t>
      </w:r>
      <w:r w:rsidRPr="00EA7870">
        <w:rPr>
          <w:bCs/>
          <w:iCs/>
          <w:sz w:val="20"/>
          <w:szCs w:val="20"/>
          <w:lang w:val="es-AR"/>
        </w:rPr>
        <w:t>Emisora</w:t>
      </w:r>
      <w:r w:rsidR="001A28B3" w:rsidRPr="00EA7870">
        <w:rPr>
          <w:bCs/>
          <w:iCs/>
          <w:sz w:val="20"/>
          <w:szCs w:val="20"/>
          <w:lang w:val="es-AR"/>
        </w:rPr>
        <w:t xml:space="preserve"> </w:t>
      </w:r>
      <w:r w:rsidRPr="00EA7870">
        <w:rPr>
          <w:bCs/>
          <w:iCs/>
          <w:sz w:val="20"/>
          <w:szCs w:val="20"/>
          <w:lang w:val="es-AR"/>
        </w:rPr>
        <w:t>y</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00BA1B61" w:rsidRPr="00EA7870">
        <w:rPr>
          <w:bCs/>
          <w:iCs/>
          <w:sz w:val="20"/>
          <w:szCs w:val="20"/>
          <w:lang w:val="es-AR"/>
        </w:rPr>
        <w:t>A</w:t>
      </w:r>
      <w:r w:rsidRPr="00EA7870">
        <w:rPr>
          <w:bCs/>
          <w:iCs/>
          <w:sz w:val="20"/>
          <w:szCs w:val="20"/>
          <w:lang w:val="es-AR"/>
        </w:rPr>
        <w:t>cuerdos</w:t>
      </w:r>
      <w:r w:rsidR="001A28B3" w:rsidRPr="00EA7870">
        <w:rPr>
          <w:bCs/>
          <w:iCs/>
          <w:sz w:val="20"/>
          <w:szCs w:val="20"/>
          <w:lang w:val="es-AR"/>
        </w:rPr>
        <w:t xml:space="preserve"> </w:t>
      </w:r>
      <w:r w:rsidRPr="00EA7870">
        <w:rPr>
          <w:bCs/>
          <w:iCs/>
          <w:sz w:val="20"/>
          <w:szCs w:val="20"/>
          <w:lang w:val="es-AR"/>
        </w:rPr>
        <w:t>de</w:t>
      </w:r>
      <w:r w:rsidR="001A28B3" w:rsidRPr="00EA7870">
        <w:rPr>
          <w:bCs/>
          <w:iCs/>
          <w:sz w:val="20"/>
          <w:szCs w:val="20"/>
          <w:lang w:val="es-AR"/>
        </w:rPr>
        <w:t xml:space="preserve"> </w:t>
      </w:r>
      <w:r w:rsidR="003A37B5" w:rsidRPr="00EA7870">
        <w:rPr>
          <w:bCs/>
          <w:iCs/>
          <w:sz w:val="20"/>
          <w:szCs w:val="20"/>
          <w:lang w:val="es-AR"/>
        </w:rPr>
        <w:t xml:space="preserve">Compra de Obligaciones Negociables </w:t>
      </w:r>
      <w:r w:rsidRPr="00EA7870">
        <w:rPr>
          <w:bCs/>
          <w:iCs/>
          <w:sz w:val="20"/>
          <w:szCs w:val="20"/>
          <w:lang w:val="es-AR"/>
        </w:rPr>
        <w:t>recibidos</w:t>
      </w:r>
      <w:r w:rsidR="001A28B3" w:rsidRPr="00EA7870">
        <w:rPr>
          <w:bCs/>
          <w:iCs/>
          <w:sz w:val="20"/>
          <w:szCs w:val="20"/>
          <w:lang w:val="es-AR"/>
        </w:rPr>
        <w:t xml:space="preserve"> </w:t>
      </w:r>
      <w:r w:rsidRPr="00EA7870">
        <w:rPr>
          <w:bCs/>
          <w:iCs/>
          <w:sz w:val="20"/>
          <w:szCs w:val="20"/>
          <w:lang w:val="es-AR"/>
        </w:rPr>
        <w:t>por</w:t>
      </w:r>
      <w:r w:rsidR="001A28B3" w:rsidRPr="00EA7870">
        <w:rPr>
          <w:bCs/>
          <w:iCs/>
          <w:sz w:val="20"/>
          <w:szCs w:val="20"/>
          <w:lang w:val="es-AR"/>
        </w:rPr>
        <w:t xml:space="preserve"> </w:t>
      </w:r>
      <w:r w:rsidRPr="00EA7870">
        <w:rPr>
          <w:bCs/>
          <w:iCs/>
          <w:sz w:val="20"/>
          <w:szCs w:val="20"/>
          <w:lang w:val="es-AR"/>
        </w:rPr>
        <w:t>los</w:t>
      </w:r>
      <w:r w:rsidR="001A28B3" w:rsidRPr="00EA7870">
        <w:rPr>
          <w:bCs/>
          <w:iCs/>
          <w:sz w:val="20"/>
          <w:szCs w:val="20"/>
          <w:lang w:val="es-AR"/>
        </w:rPr>
        <w:t xml:space="preserve"> </w:t>
      </w:r>
      <w:r w:rsidRPr="00EA7870">
        <w:rPr>
          <w:bCs/>
          <w:iCs/>
          <w:sz w:val="20"/>
          <w:szCs w:val="20"/>
          <w:lang w:val="es-AR"/>
        </w:rPr>
        <w:t>Colocadores</w:t>
      </w:r>
      <w:r w:rsidR="001A28B3" w:rsidRPr="00EA7870">
        <w:rPr>
          <w:bCs/>
          <w:iCs/>
          <w:sz w:val="20"/>
          <w:szCs w:val="20"/>
          <w:lang w:val="es-AR"/>
        </w:rPr>
        <w:t xml:space="preserve"> </w:t>
      </w:r>
      <w:r w:rsidRPr="00EA7870">
        <w:rPr>
          <w:bCs/>
          <w:iCs/>
          <w:sz w:val="20"/>
          <w:szCs w:val="20"/>
          <w:lang w:val="es-AR"/>
        </w:rPr>
        <w:t>Internacionales</w:t>
      </w:r>
      <w:r w:rsidR="001A28B3" w:rsidRPr="00EA7870">
        <w:rPr>
          <w:bCs/>
          <w:iCs/>
          <w:sz w:val="20"/>
          <w:szCs w:val="20"/>
          <w:lang w:val="es-AR"/>
        </w:rPr>
        <w:t xml:space="preserve"> </w:t>
      </w:r>
      <w:r w:rsidRPr="00EA7870">
        <w:rPr>
          <w:bCs/>
          <w:iCs/>
          <w:sz w:val="20"/>
          <w:szCs w:val="20"/>
          <w:lang w:val="es-AR"/>
        </w:rPr>
        <w:t>se</w:t>
      </w:r>
      <w:r w:rsidR="001A28B3" w:rsidRPr="00EA7870">
        <w:rPr>
          <w:bCs/>
          <w:iCs/>
          <w:sz w:val="20"/>
          <w:szCs w:val="20"/>
          <w:lang w:val="es-AR"/>
        </w:rPr>
        <w:t xml:space="preserve"> </w:t>
      </w:r>
      <w:r w:rsidRPr="00EA7870">
        <w:rPr>
          <w:bCs/>
          <w:iCs/>
          <w:sz w:val="20"/>
          <w:szCs w:val="20"/>
          <w:lang w:val="es-AR"/>
        </w:rPr>
        <w:t>inscribirán</w:t>
      </w:r>
      <w:r w:rsidR="001A28B3" w:rsidRPr="00EA7870">
        <w:rPr>
          <w:bCs/>
          <w:iCs/>
          <w:sz w:val="20"/>
          <w:szCs w:val="20"/>
          <w:lang w:val="es-AR"/>
        </w:rPr>
        <w:t xml:space="preserve"> </w:t>
      </w:r>
      <w:r w:rsidRPr="00EA7870">
        <w:rPr>
          <w:bCs/>
          <w:iCs/>
          <w:sz w:val="20"/>
          <w:szCs w:val="20"/>
          <w:lang w:val="es-AR"/>
        </w:rPr>
        <w:t>en</w:t>
      </w:r>
      <w:r w:rsidR="001A28B3" w:rsidRPr="00EA7870">
        <w:rPr>
          <w:bCs/>
          <w:iCs/>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libro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electrónico</w:t>
      </w:r>
      <w:r w:rsidR="001A28B3" w:rsidRPr="00EA7870">
        <w:rPr>
          <w:sz w:val="20"/>
          <w:szCs w:val="20"/>
          <w:lang w:val="es-AR"/>
        </w:rPr>
        <w:t xml:space="preserve"> </w:t>
      </w:r>
      <w:r w:rsidRPr="00EA7870">
        <w:rPr>
          <w:sz w:val="20"/>
          <w:szCs w:val="20"/>
          <w:lang w:val="es-AR"/>
        </w:rPr>
        <w:t>llevado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Nueva</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prácticas</w:t>
      </w:r>
      <w:r w:rsidR="001A28B3" w:rsidRPr="00EA7870">
        <w:rPr>
          <w:sz w:val="20"/>
          <w:szCs w:val="20"/>
          <w:lang w:val="es-AR"/>
        </w:rPr>
        <w:t xml:space="preserve"> </w:t>
      </w:r>
      <w:r w:rsidRPr="00EA7870">
        <w:rPr>
          <w:sz w:val="20"/>
          <w:szCs w:val="20"/>
          <w:lang w:val="es-AR"/>
        </w:rPr>
        <w:t>habituales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internacional</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Estados</w:t>
      </w:r>
      <w:r w:rsidR="001A28B3" w:rsidRPr="00EA7870">
        <w:rPr>
          <w:sz w:val="20"/>
          <w:szCs w:val="20"/>
          <w:lang w:val="es-AR"/>
        </w:rPr>
        <w:t xml:space="preserve"> </w:t>
      </w:r>
      <w:r w:rsidRPr="00EA7870">
        <w:rPr>
          <w:sz w:val="20"/>
          <w:szCs w:val="20"/>
          <w:lang w:val="es-AR"/>
        </w:rPr>
        <w:t>Unidos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reglas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Artículo</w:t>
      </w:r>
      <w:r w:rsidR="001A28B3" w:rsidRPr="00EA7870">
        <w:rPr>
          <w:sz w:val="20"/>
          <w:szCs w:val="20"/>
          <w:lang w:val="es-AR"/>
        </w:rPr>
        <w:t xml:space="preserve"> </w:t>
      </w:r>
      <w:r w:rsidRPr="00EA7870">
        <w:rPr>
          <w:sz w:val="20"/>
          <w:szCs w:val="20"/>
          <w:lang w:val="es-AR"/>
        </w:rPr>
        <w:t>1,</w:t>
      </w:r>
      <w:r w:rsidR="001A28B3" w:rsidRPr="00EA7870">
        <w:rPr>
          <w:sz w:val="20"/>
          <w:szCs w:val="20"/>
          <w:lang w:val="es-AR"/>
        </w:rPr>
        <w:t xml:space="preserve"> </w:t>
      </w:r>
      <w:r w:rsidRPr="00EA7870">
        <w:rPr>
          <w:sz w:val="20"/>
          <w:szCs w:val="20"/>
          <w:lang w:val="es-AR"/>
        </w:rPr>
        <w:t>Sección</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Capítulo</w:t>
      </w:r>
      <w:r w:rsidR="001A28B3" w:rsidRPr="00EA7870">
        <w:rPr>
          <w:sz w:val="20"/>
          <w:szCs w:val="20"/>
          <w:lang w:val="es-AR"/>
        </w:rPr>
        <w:t xml:space="preserve"> </w:t>
      </w:r>
      <w:r w:rsidRPr="00EA7870">
        <w:rPr>
          <w:sz w:val="20"/>
          <w:szCs w:val="20"/>
          <w:lang w:val="es-AR"/>
        </w:rPr>
        <w:t>IV,</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VI</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B06EDF"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w:t>
      </w:r>
      <w:r w:rsidRPr="00EA7870">
        <w:rPr>
          <w:b/>
          <w:bCs/>
          <w:sz w:val="20"/>
          <w:szCs w:val="20"/>
          <w:lang w:val="es-AR"/>
        </w:rPr>
        <w:t>Registro</w:t>
      </w:r>
      <w:r w:rsidRPr="00EA7870">
        <w:rPr>
          <w:sz w:val="20"/>
          <w:szCs w:val="20"/>
          <w:lang w:val="es-AR"/>
        </w:rPr>
        <w:t>”).</w:t>
      </w:r>
      <w:r w:rsidR="001A28B3" w:rsidRPr="00EA7870">
        <w:rPr>
          <w:sz w:val="20"/>
          <w:szCs w:val="20"/>
          <w:lang w:val="es-AR"/>
        </w:rPr>
        <w:t xml:space="preserve"> </w:t>
      </w:r>
    </w:p>
    <w:p w14:paraId="339F879C" w14:textId="586A21EC" w:rsidR="00F26A65" w:rsidRPr="00EA7870" w:rsidRDefault="00F26A65" w:rsidP="00F26A65">
      <w:pPr>
        <w:spacing w:after="240"/>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Adjudicación,</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especificado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Aviso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Suscripción,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registrarán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recibidas</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Límite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luego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Colocadores</w:t>
      </w:r>
      <w:r w:rsidR="001A28B3" w:rsidRPr="00EA7870">
        <w:rPr>
          <w:sz w:val="20"/>
          <w:szCs w:val="20"/>
          <w:lang w:val="es-AR"/>
        </w:rPr>
        <w:t xml:space="preserve"> </w:t>
      </w:r>
      <w:r w:rsidRPr="00EA7870">
        <w:rPr>
          <w:sz w:val="20"/>
          <w:szCs w:val="20"/>
          <w:lang w:val="es-AR"/>
        </w:rPr>
        <w:t>Internacionales,</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realizarán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hora</w:t>
      </w:r>
      <w:r w:rsidR="001A28B3" w:rsidRPr="00EA7870">
        <w:rPr>
          <w:sz w:val="20"/>
          <w:szCs w:val="20"/>
          <w:lang w:val="es-AR"/>
        </w:rPr>
        <w:t xml:space="preserve"> </w:t>
      </w:r>
      <w:r w:rsidRPr="00EA7870">
        <w:rPr>
          <w:sz w:val="20"/>
          <w:szCs w:val="20"/>
          <w:lang w:val="es-AR"/>
        </w:rPr>
        <w:t>exacta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efectivo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determinados</w:t>
      </w:r>
      <w:r w:rsidR="003F47AD"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Colocadores</w:t>
      </w:r>
      <w:r w:rsidR="001A28B3" w:rsidRPr="00EA7870">
        <w:rPr>
          <w:sz w:val="20"/>
          <w:szCs w:val="20"/>
          <w:lang w:val="es-AR"/>
        </w:rPr>
        <w:t xml:space="preserve"> </w:t>
      </w:r>
      <w:r w:rsidRPr="00EA7870">
        <w:rPr>
          <w:sz w:val="20"/>
          <w:szCs w:val="20"/>
          <w:lang w:val="es-AR"/>
        </w:rPr>
        <w:t>Internacionales</w:t>
      </w:r>
      <w:r w:rsidR="001A28B3" w:rsidRPr="00EA7870">
        <w:rPr>
          <w:sz w:val="20"/>
          <w:szCs w:val="20"/>
          <w:lang w:val="es-AR"/>
        </w:rPr>
        <w:t xml:space="preserve"> </w:t>
      </w:r>
      <w:r w:rsidRPr="00EA7870">
        <w:rPr>
          <w:sz w:val="20"/>
          <w:szCs w:val="20"/>
          <w:lang w:val="es-AR"/>
        </w:rPr>
        <w:t>junto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entera</w:t>
      </w:r>
      <w:r w:rsidR="001A28B3" w:rsidRPr="00EA7870">
        <w:rPr>
          <w:sz w:val="20"/>
          <w:szCs w:val="20"/>
          <w:lang w:val="es-AR"/>
        </w:rPr>
        <w:t xml:space="preserve"> </w:t>
      </w:r>
      <w:r w:rsidRPr="00EA7870">
        <w:rPr>
          <w:sz w:val="20"/>
          <w:szCs w:val="20"/>
          <w:lang w:val="es-AR"/>
        </w:rPr>
        <w:t>discreción,</w:t>
      </w:r>
      <w:r w:rsidR="001A28B3" w:rsidRPr="00EA7870">
        <w:rPr>
          <w:sz w:val="20"/>
          <w:szCs w:val="20"/>
          <w:lang w:val="es-AR"/>
        </w:rPr>
        <w:t xml:space="preserve"> </w:t>
      </w:r>
      <w:r w:rsidRPr="00EA7870">
        <w:rPr>
          <w:sz w:val="20"/>
          <w:szCs w:val="20"/>
          <w:lang w:val="es-AR"/>
        </w:rPr>
        <w:t>dentro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rango</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descripto)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w:t>
      </w:r>
      <w:r w:rsidRPr="00EA7870">
        <w:rPr>
          <w:b/>
          <w:sz w:val="20"/>
          <w:szCs w:val="20"/>
          <w:lang w:val="es-AR"/>
        </w:rPr>
        <w:t>Fecha</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Cierre</w:t>
      </w:r>
      <w:r w:rsidR="001A28B3" w:rsidRPr="00EA7870">
        <w:rPr>
          <w:b/>
          <w:sz w:val="20"/>
          <w:szCs w:val="20"/>
          <w:lang w:val="es-AR"/>
        </w:rPr>
        <w:t xml:space="preserve"> </w:t>
      </w:r>
      <w:r w:rsidRPr="00EA7870">
        <w:rPr>
          <w:b/>
          <w:sz w:val="20"/>
          <w:szCs w:val="20"/>
          <w:lang w:val="es-AR"/>
        </w:rPr>
        <w:t>del</w:t>
      </w:r>
      <w:r w:rsidR="001A28B3" w:rsidRPr="00EA7870">
        <w:rPr>
          <w:b/>
          <w:sz w:val="20"/>
          <w:szCs w:val="20"/>
          <w:lang w:val="es-AR"/>
        </w:rPr>
        <w:t xml:space="preserve"> </w:t>
      </w:r>
      <w:r w:rsidRPr="00EA7870">
        <w:rPr>
          <w:b/>
          <w:sz w:val="20"/>
          <w:szCs w:val="20"/>
          <w:lang w:val="es-AR"/>
        </w:rPr>
        <w:t>Registro</w:t>
      </w:r>
      <w:r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establecerá</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Aviso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Suscripción).</w:t>
      </w:r>
      <w:r w:rsidR="00D56DD0" w:rsidRPr="00EA7870">
        <w:rPr>
          <w:sz w:val="20"/>
          <w:szCs w:val="20"/>
          <w:lang w:val="es-AR"/>
        </w:rPr>
        <w:t xml:space="preserve"> </w:t>
      </w:r>
    </w:p>
    <w:p w14:paraId="0A222CA3" w14:textId="297DC7EE" w:rsidR="00E06527" w:rsidRPr="00EA7870" w:rsidRDefault="00E06527" w:rsidP="00E06527">
      <w:pPr>
        <w:spacing w:after="240"/>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recibidas</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Límite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Presentación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vinculantes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retiradas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modificadas</w:t>
      </w:r>
      <w:r w:rsidR="001A28B3" w:rsidRPr="00EA7870">
        <w:rPr>
          <w:sz w:val="20"/>
          <w:szCs w:val="20"/>
          <w:lang w:val="es-AR"/>
        </w:rPr>
        <w:t xml:space="preserve"> </w:t>
      </w:r>
      <w:r w:rsidRPr="00EA7870">
        <w:rPr>
          <w:sz w:val="20"/>
          <w:szCs w:val="20"/>
          <w:lang w:val="es-AR"/>
        </w:rPr>
        <w:t>hasta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00824827" w:rsidRPr="00EA7870">
        <w:rPr>
          <w:sz w:val="20"/>
          <w:szCs w:val="20"/>
          <w:lang w:val="es-AR"/>
        </w:rPr>
        <w:t>(salvo</w:t>
      </w:r>
      <w:r w:rsidR="001A28B3" w:rsidRPr="00EA7870">
        <w:rPr>
          <w:sz w:val="20"/>
          <w:szCs w:val="20"/>
          <w:lang w:val="es-AR"/>
        </w:rPr>
        <w:t xml:space="preserve"> </w:t>
      </w:r>
      <w:r w:rsidR="00824827" w:rsidRPr="00EA7870">
        <w:rPr>
          <w:sz w:val="20"/>
          <w:szCs w:val="20"/>
          <w:lang w:val="es-AR"/>
        </w:rPr>
        <w:t>las</w:t>
      </w:r>
      <w:r w:rsidR="001A28B3" w:rsidRPr="00EA7870">
        <w:rPr>
          <w:sz w:val="20"/>
          <w:szCs w:val="20"/>
          <w:lang w:val="es-AR"/>
        </w:rPr>
        <w:t xml:space="preserve"> </w:t>
      </w:r>
      <w:r w:rsidR="00824827" w:rsidRPr="00EA7870">
        <w:rPr>
          <w:sz w:val="20"/>
          <w:szCs w:val="20"/>
          <w:lang w:val="es-AR"/>
        </w:rPr>
        <w:t>Manifestaciones</w:t>
      </w:r>
      <w:r w:rsidR="001A28B3" w:rsidRPr="00EA7870">
        <w:rPr>
          <w:sz w:val="20"/>
          <w:szCs w:val="20"/>
          <w:lang w:val="es-AR"/>
        </w:rPr>
        <w:t xml:space="preserve"> </w:t>
      </w:r>
      <w:r w:rsidR="00824827" w:rsidRPr="00EA7870">
        <w:rPr>
          <w:sz w:val="20"/>
          <w:szCs w:val="20"/>
          <w:lang w:val="es-AR"/>
        </w:rPr>
        <w:t>de</w:t>
      </w:r>
      <w:r w:rsidR="001A28B3" w:rsidRPr="00EA7870">
        <w:rPr>
          <w:sz w:val="20"/>
          <w:szCs w:val="20"/>
          <w:lang w:val="es-AR"/>
        </w:rPr>
        <w:t xml:space="preserve"> </w:t>
      </w:r>
      <w:r w:rsidR="00824827" w:rsidRPr="00EA7870">
        <w:rPr>
          <w:sz w:val="20"/>
          <w:szCs w:val="20"/>
          <w:lang w:val="es-AR"/>
        </w:rPr>
        <w:t>Interés</w:t>
      </w:r>
      <w:r w:rsidR="001A28B3" w:rsidRPr="00EA7870">
        <w:rPr>
          <w:sz w:val="20"/>
          <w:szCs w:val="20"/>
          <w:lang w:val="es-AR"/>
        </w:rPr>
        <w:t xml:space="preserve"> </w:t>
      </w:r>
      <w:r w:rsidR="00824827" w:rsidRPr="00EA7870">
        <w:rPr>
          <w:sz w:val="20"/>
          <w:szCs w:val="20"/>
          <w:lang w:val="es-AR"/>
        </w:rPr>
        <w:t>presentadas</w:t>
      </w:r>
      <w:r w:rsidR="001A28B3" w:rsidRPr="00EA7870">
        <w:rPr>
          <w:sz w:val="20"/>
          <w:szCs w:val="20"/>
          <w:lang w:val="es-AR"/>
        </w:rPr>
        <w:t xml:space="preserve"> </w:t>
      </w:r>
      <w:r w:rsidR="00824827" w:rsidRPr="00EA7870">
        <w:rPr>
          <w:sz w:val="20"/>
          <w:szCs w:val="20"/>
          <w:lang w:val="es-AR"/>
        </w:rPr>
        <w:t>en</w:t>
      </w:r>
      <w:r w:rsidR="001A28B3" w:rsidRPr="00EA7870">
        <w:rPr>
          <w:sz w:val="20"/>
          <w:szCs w:val="20"/>
          <w:lang w:val="es-AR"/>
        </w:rPr>
        <w:t xml:space="preserve"> </w:t>
      </w:r>
      <w:r w:rsidR="00824827" w:rsidRPr="00EA7870">
        <w:rPr>
          <w:sz w:val="20"/>
          <w:szCs w:val="20"/>
          <w:lang w:val="es-AR"/>
        </w:rPr>
        <w:t>la</w:t>
      </w:r>
      <w:r w:rsidR="001A28B3" w:rsidRPr="00EA7870">
        <w:rPr>
          <w:sz w:val="20"/>
          <w:szCs w:val="20"/>
          <w:lang w:val="es-AR"/>
        </w:rPr>
        <w:t xml:space="preserve"> </w:t>
      </w:r>
      <w:r w:rsidR="00824827" w:rsidRPr="00EA7870">
        <w:rPr>
          <w:sz w:val="20"/>
          <w:szCs w:val="20"/>
          <w:lang w:val="es-AR"/>
        </w:rPr>
        <w:t>Oferta</w:t>
      </w:r>
      <w:r w:rsidR="001A28B3" w:rsidRPr="00EA7870">
        <w:rPr>
          <w:sz w:val="20"/>
          <w:szCs w:val="20"/>
          <w:lang w:val="es-AR"/>
        </w:rPr>
        <w:t xml:space="preserve"> </w:t>
      </w:r>
      <w:r w:rsidR="00824827" w:rsidRPr="00EA7870">
        <w:rPr>
          <w:sz w:val="20"/>
          <w:szCs w:val="20"/>
          <w:lang w:val="es-AR"/>
        </w:rPr>
        <w:t>Internacional</w:t>
      </w:r>
      <w:r w:rsidR="001A28B3" w:rsidRPr="00EA7870">
        <w:rPr>
          <w:sz w:val="20"/>
          <w:szCs w:val="20"/>
          <w:lang w:val="es-AR"/>
        </w:rPr>
        <w:t xml:space="preserve"> </w:t>
      </w:r>
      <w:r w:rsidR="00824827" w:rsidRPr="00EA7870">
        <w:rPr>
          <w:sz w:val="20"/>
          <w:szCs w:val="20"/>
          <w:lang w:val="es-AR"/>
        </w:rPr>
        <w:t>que</w:t>
      </w:r>
      <w:r w:rsidR="001A28B3" w:rsidRPr="00EA7870">
        <w:rPr>
          <w:sz w:val="20"/>
          <w:szCs w:val="20"/>
          <w:lang w:val="es-AR"/>
        </w:rPr>
        <w:t xml:space="preserve"> </w:t>
      </w:r>
      <w:r w:rsidR="00824827" w:rsidRPr="00EA7870">
        <w:rPr>
          <w:sz w:val="20"/>
          <w:szCs w:val="20"/>
          <w:lang w:val="es-AR"/>
        </w:rPr>
        <w:t>solo</w:t>
      </w:r>
      <w:r w:rsidR="001A28B3" w:rsidRPr="00EA7870">
        <w:rPr>
          <w:sz w:val="20"/>
          <w:szCs w:val="20"/>
          <w:lang w:val="es-AR"/>
        </w:rPr>
        <w:t xml:space="preserve"> </w:t>
      </w:r>
      <w:r w:rsidR="00824827" w:rsidRPr="00EA7870">
        <w:rPr>
          <w:sz w:val="20"/>
          <w:szCs w:val="20"/>
          <w:lang w:val="es-AR"/>
        </w:rPr>
        <w:t>podrán</w:t>
      </w:r>
      <w:r w:rsidR="001A28B3" w:rsidRPr="00EA7870">
        <w:rPr>
          <w:sz w:val="20"/>
          <w:szCs w:val="20"/>
          <w:lang w:val="es-AR"/>
        </w:rPr>
        <w:t xml:space="preserve"> </w:t>
      </w:r>
      <w:r w:rsidR="00824827" w:rsidRPr="00EA7870">
        <w:rPr>
          <w:sz w:val="20"/>
          <w:szCs w:val="20"/>
          <w:lang w:val="es-AR"/>
        </w:rPr>
        <w:t>ser</w:t>
      </w:r>
      <w:r w:rsidR="001A28B3" w:rsidRPr="00EA7870">
        <w:rPr>
          <w:sz w:val="20"/>
          <w:szCs w:val="20"/>
          <w:lang w:val="es-AR"/>
        </w:rPr>
        <w:t xml:space="preserve"> </w:t>
      </w:r>
      <w:r w:rsidR="00824827" w:rsidRPr="00EA7870">
        <w:rPr>
          <w:sz w:val="20"/>
          <w:szCs w:val="20"/>
          <w:lang w:val="es-AR"/>
        </w:rPr>
        <w:t>retiradas</w:t>
      </w:r>
      <w:r w:rsidR="001A28B3" w:rsidRPr="00EA7870">
        <w:rPr>
          <w:sz w:val="20"/>
          <w:szCs w:val="20"/>
          <w:lang w:val="es-AR"/>
        </w:rPr>
        <w:t xml:space="preserve"> </w:t>
      </w:r>
      <w:r w:rsidR="00824827" w:rsidRPr="00EA7870">
        <w:rPr>
          <w:sz w:val="20"/>
          <w:szCs w:val="20"/>
          <w:lang w:val="es-AR"/>
        </w:rPr>
        <w:t>y/o</w:t>
      </w:r>
      <w:r w:rsidR="001A28B3" w:rsidRPr="00EA7870">
        <w:rPr>
          <w:sz w:val="20"/>
          <w:szCs w:val="20"/>
          <w:lang w:val="es-AR"/>
        </w:rPr>
        <w:t xml:space="preserve"> </w:t>
      </w:r>
      <w:r w:rsidR="00824827" w:rsidRPr="00EA7870">
        <w:rPr>
          <w:sz w:val="20"/>
          <w:szCs w:val="20"/>
          <w:lang w:val="es-AR"/>
        </w:rPr>
        <w:t>modificadas</w:t>
      </w:r>
      <w:r w:rsidR="001A28B3" w:rsidRPr="00EA7870">
        <w:rPr>
          <w:sz w:val="20"/>
          <w:szCs w:val="20"/>
          <w:lang w:val="es-AR"/>
        </w:rPr>
        <w:t xml:space="preserve"> </w:t>
      </w:r>
      <w:r w:rsidR="00824827" w:rsidRPr="00EA7870">
        <w:rPr>
          <w:sz w:val="20"/>
          <w:szCs w:val="20"/>
          <w:lang w:val="es-AR"/>
        </w:rPr>
        <w:t>según</w:t>
      </w:r>
      <w:r w:rsidR="001A28B3" w:rsidRPr="00EA7870">
        <w:rPr>
          <w:sz w:val="20"/>
          <w:szCs w:val="20"/>
          <w:lang w:val="es-AR"/>
        </w:rPr>
        <w:t xml:space="preserve"> </w:t>
      </w:r>
      <w:r w:rsidR="00824827" w:rsidRPr="00EA7870">
        <w:rPr>
          <w:sz w:val="20"/>
          <w:szCs w:val="20"/>
          <w:lang w:val="es-AR"/>
        </w:rPr>
        <w:t>se</w:t>
      </w:r>
      <w:r w:rsidR="001A28B3" w:rsidRPr="00EA7870">
        <w:rPr>
          <w:sz w:val="20"/>
          <w:szCs w:val="20"/>
          <w:lang w:val="es-AR"/>
        </w:rPr>
        <w:t xml:space="preserve"> </w:t>
      </w:r>
      <w:r w:rsidR="00824827" w:rsidRPr="00EA7870">
        <w:rPr>
          <w:sz w:val="20"/>
          <w:szCs w:val="20"/>
          <w:lang w:val="es-AR"/>
        </w:rPr>
        <w:t>establezca</w:t>
      </w:r>
      <w:r w:rsidR="001A28B3" w:rsidRPr="00EA7870">
        <w:rPr>
          <w:sz w:val="20"/>
          <w:szCs w:val="20"/>
          <w:lang w:val="es-AR"/>
        </w:rPr>
        <w:t xml:space="preserve"> </w:t>
      </w:r>
      <w:r w:rsidR="00824827" w:rsidRPr="00EA7870">
        <w:rPr>
          <w:sz w:val="20"/>
          <w:szCs w:val="20"/>
          <w:lang w:val="es-AR"/>
        </w:rPr>
        <w:t>en</w:t>
      </w:r>
      <w:r w:rsidR="001A28B3" w:rsidRPr="00EA7870">
        <w:rPr>
          <w:sz w:val="20"/>
          <w:szCs w:val="20"/>
          <w:lang w:val="es-AR"/>
        </w:rPr>
        <w:t xml:space="preserve"> </w:t>
      </w:r>
      <w:r w:rsidR="00824827" w:rsidRPr="00EA7870">
        <w:rPr>
          <w:sz w:val="20"/>
          <w:szCs w:val="20"/>
          <w:lang w:val="es-AR"/>
        </w:rPr>
        <w:t>el</w:t>
      </w:r>
      <w:r w:rsidR="001A28B3" w:rsidRPr="00EA7870">
        <w:rPr>
          <w:sz w:val="20"/>
          <w:szCs w:val="20"/>
          <w:lang w:val="es-AR"/>
        </w:rPr>
        <w:t xml:space="preserve"> </w:t>
      </w:r>
      <w:r w:rsidR="00824827" w:rsidRPr="00EA7870">
        <w:rPr>
          <w:sz w:val="20"/>
          <w:szCs w:val="20"/>
          <w:lang w:val="es-AR"/>
        </w:rPr>
        <w:t>correspondiente</w:t>
      </w:r>
      <w:r w:rsidR="001A28B3" w:rsidRPr="00EA7870">
        <w:rPr>
          <w:sz w:val="20"/>
          <w:szCs w:val="20"/>
          <w:lang w:val="es-AR"/>
        </w:rPr>
        <w:t xml:space="preserve"> </w:t>
      </w:r>
      <w:r w:rsidR="003E6614" w:rsidRPr="00EA7870">
        <w:rPr>
          <w:sz w:val="20"/>
          <w:szCs w:val="20"/>
          <w:lang w:val="es-AR"/>
        </w:rPr>
        <w:t>Acuerdo de Compra</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consecuencia,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partir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modificadas</w:t>
      </w:r>
      <w:r w:rsidR="001A28B3" w:rsidRPr="00EA7870">
        <w:rPr>
          <w:sz w:val="20"/>
          <w:szCs w:val="20"/>
          <w:lang w:val="es-AR"/>
        </w:rPr>
        <w:t xml:space="preserve"> </w:t>
      </w:r>
      <w:r w:rsidR="00824827" w:rsidRPr="00EA7870">
        <w:rPr>
          <w:sz w:val="20"/>
          <w:szCs w:val="20"/>
          <w:lang w:val="es-AR"/>
        </w:rPr>
        <w:t>ni</w:t>
      </w:r>
      <w:r w:rsidR="001A28B3" w:rsidRPr="00EA7870">
        <w:rPr>
          <w:sz w:val="20"/>
          <w:szCs w:val="20"/>
          <w:lang w:val="es-AR"/>
        </w:rPr>
        <w:t xml:space="preserve"> </w:t>
      </w:r>
      <w:r w:rsidR="00824827" w:rsidRPr="00EA7870">
        <w:rPr>
          <w:sz w:val="20"/>
          <w:szCs w:val="20"/>
          <w:lang w:val="es-AR"/>
        </w:rPr>
        <w:t>retiradas</w:t>
      </w:r>
      <w:r w:rsidRPr="00EA7870">
        <w:rPr>
          <w:sz w:val="20"/>
          <w:szCs w:val="20"/>
          <w:lang w:val="es-AR"/>
        </w:rPr>
        <w:t>.</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conformidad</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disposiciones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002043EF" w:rsidRPr="00EA7870">
        <w:rPr>
          <w:sz w:val="20"/>
          <w:szCs w:val="20"/>
          <w:lang w:val="es-AR"/>
        </w:rPr>
        <w:t>Artículo</w:t>
      </w:r>
      <w:r w:rsidR="001A28B3" w:rsidRPr="00EA7870">
        <w:rPr>
          <w:sz w:val="20"/>
          <w:szCs w:val="20"/>
          <w:lang w:val="es-AR"/>
        </w:rPr>
        <w:t xml:space="preserve"> </w:t>
      </w:r>
      <w:r w:rsidRPr="00EA7870">
        <w:rPr>
          <w:sz w:val="20"/>
          <w:szCs w:val="20"/>
          <w:lang w:val="es-AR"/>
        </w:rPr>
        <w:t>7,</w:t>
      </w:r>
      <w:r w:rsidR="001A28B3" w:rsidRPr="00EA7870">
        <w:rPr>
          <w:sz w:val="20"/>
          <w:szCs w:val="20"/>
          <w:lang w:val="es-AR"/>
        </w:rPr>
        <w:t xml:space="preserve"> </w:t>
      </w:r>
      <w:r w:rsidRPr="00EA7870">
        <w:rPr>
          <w:sz w:val="20"/>
          <w:szCs w:val="20"/>
          <w:lang w:val="es-AR"/>
        </w:rPr>
        <w:t>Sección</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Capítulo</w:t>
      </w:r>
      <w:r w:rsidR="001A28B3" w:rsidRPr="00EA7870">
        <w:rPr>
          <w:sz w:val="20"/>
          <w:szCs w:val="20"/>
          <w:lang w:val="es-AR"/>
        </w:rPr>
        <w:t xml:space="preserve"> </w:t>
      </w:r>
      <w:r w:rsidRPr="00EA7870">
        <w:rPr>
          <w:sz w:val="20"/>
          <w:szCs w:val="20"/>
          <w:lang w:val="es-AR"/>
        </w:rPr>
        <w:t>IV,</w:t>
      </w:r>
      <w:r w:rsidR="001A28B3" w:rsidRPr="00EA7870">
        <w:rPr>
          <w:sz w:val="20"/>
          <w:szCs w:val="20"/>
          <w:lang w:val="es-AR"/>
        </w:rPr>
        <w:t xml:space="preserve"> </w:t>
      </w:r>
      <w:r w:rsidRPr="00EA7870">
        <w:rPr>
          <w:sz w:val="20"/>
          <w:szCs w:val="20"/>
          <w:lang w:val="es-AR"/>
        </w:rPr>
        <w:t>Título</w:t>
      </w:r>
      <w:r w:rsidR="001A28B3" w:rsidRPr="00EA7870">
        <w:rPr>
          <w:sz w:val="20"/>
          <w:szCs w:val="20"/>
          <w:lang w:val="es-AR"/>
        </w:rPr>
        <w:t xml:space="preserve"> </w:t>
      </w:r>
      <w:r w:rsidRPr="00EA7870">
        <w:rPr>
          <w:sz w:val="20"/>
          <w:szCs w:val="20"/>
          <w:lang w:val="es-AR"/>
        </w:rPr>
        <w:t>VI</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Normas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renunciar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ratificar</w:t>
      </w:r>
      <w:r w:rsidR="001A28B3" w:rsidRPr="00EA7870">
        <w:rPr>
          <w:sz w:val="20"/>
          <w:szCs w:val="20"/>
          <w:lang w:val="es-AR"/>
        </w:rPr>
        <w:t xml:space="preserve"> </w:t>
      </w:r>
      <w:r w:rsidRPr="00EA7870">
        <w:rPr>
          <w:sz w:val="20"/>
          <w:szCs w:val="20"/>
          <w:lang w:val="es-AR"/>
        </w:rPr>
        <w:t>expresamente</w:t>
      </w:r>
      <w:r w:rsidR="001A28B3" w:rsidRPr="00EA7870">
        <w:rPr>
          <w:sz w:val="20"/>
          <w:szCs w:val="20"/>
          <w:lang w:val="es-AR"/>
        </w:rPr>
        <w:t xml:space="preserve"> </w:t>
      </w:r>
      <w:r w:rsidRPr="00EA7870">
        <w:rPr>
          <w:sz w:val="20"/>
          <w:szCs w:val="20"/>
          <w:lang w:val="es-AR"/>
        </w:rPr>
        <w:t>sus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efectos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modo,</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retiradas</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modificadas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constituirán</w:t>
      </w:r>
      <w:r w:rsidR="001A28B3" w:rsidRPr="00EA7870">
        <w:rPr>
          <w:sz w:val="20"/>
          <w:szCs w:val="20"/>
          <w:lang w:val="es-AR"/>
        </w:rPr>
        <w:t xml:space="preserve"> </w:t>
      </w:r>
      <w:r w:rsidRPr="00EA7870">
        <w:rPr>
          <w:sz w:val="20"/>
          <w:szCs w:val="20"/>
          <w:lang w:val="es-AR"/>
        </w:rPr>
        <w:t>ofertas</w:t>
      </w:r>
      <w:r w:rsidR="001A28B3" w:rsidRPr="00EA7870">
        <w:rPr>
          <w:sz w:val="20"/>
          <w:szCs w:val="20"/>
          <w:lang w:val="es-AR"/>
        </w:rPr>
        <w:t xml:space="preserve"> </w:t>
      </w:r>
      <w:r w:rsidRPr="00EA7870">
        <w:rPr>
          <w:sz w:val="20"/>
          <w:szCs w:val="20"/>
          <w:lang w:val="es-AR"/>
        </w:rPr>
        <w:t>firmes,</w:t>
      </w:r>
      <w:r w:rsidR="001A28B3" w:rsidRPr="00EA7870">
        <w:rPr>
          <w:sz w:val="20"/>
          <w:szCs w:val="20"/>
          <w:lang w:val="es-AR"/>
        </w:rPr>
        <w:t xml:space="preserve"> </w:t>
      </w:r>
      <w:r w:rsidRPr="00EA7870">
        <w:rPr>
          <w:sz w:val="20"/>
          <w:szCs w:val="20"/>
          <w:lang w:val="es-AR"/>
        </w:rPr>
        <w:t>vinculantes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definitivas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base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presentados</w:t>
      </w:r>
      <w:r w:rsidR="001A28B3" w:rsidRPr="00EA7870">
        <w:rPr>
          <w:sz w:val="20"/>
          <w:szCs w:val="20"/>
          <w:lang w:val="es-AR"/>
        </w:rPr>
        <w:t xml:space="preserve"> </w:t>
      </w:r>
      <w:r w:rsidRPr="00EA7870">
        <w:rPr>
          <w:sz w:val="20"/>
          <w:szCs w:val="20"/>
          <w:lang w:val="es-AR"/>
        </w:rPr>
        <w:t>(conforme</w:t>
      </w:r>
      <w:r w:rsidR="001A28B3" w:rsidRPr="00EA7870">
        <w:rPr>
          <w:sz w:val="20"/>
          <w:szCs w:val="20"/>
          <w:lang w:val="es-AR"/>
        </w:rPr>
        <w:t xml:space="preserve"> </w:t>
      </w:r>
      <w:r w:rsidRPr="00EA7870">
        <w:rPr>
          <w:sz w:val="20"/>
          <w:szCs w:val="20"/>
          <w:lang w:val="es-AR"/>
        </w:rPr>
        <w:t>fueran</w:t>
      </w:r>
      <w:r w:rsidR="001A28B3" w:rsidRPr="00EA7870">
        <w:rPr>
          <w:sz w:val="20"/>
          <w:szCs w:val="20"/>
          <w:lang w:val="es-AR"/>
        </w:rPr>
        <w:t xml:space="preserve"> </w:t>
      </w:r>
      <w:r w:rsidRPr="00EA7870">
        <w:rPr>
          <w:sz w:val="20"/>
          <w:szCs w:val="20"/>
          <w:lang w:val="es-AR"/>
        </w:rPr>
        <w:t>modificados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efectos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Cierre</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Registro,</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necesidad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inversor</w:t>
      </w:r>
      <w:r w:rsidR="001A28B3" w:rsidRPr="00EA7870">
        <w:rPr>
          <w:sz w:val="20"/>
          <w:szCs w:val="20"/>
          <w:lang w:val="es-AR"/>
        </w:rPr>
        <w:t xml:space="preserve"> </w:t>
      </w:r>
      <w:r w:rsidRPr="00EA7870">
        <w:rPr>
          <w:sz w:val="20"/>
          <w:szCs w:val="20"/>
          <w:lang w:val="es-AR"/>
        </w:rPr>
        <w:t>realice</w:t>
      </w:r>
      <w:r w:rsidR="001A28B3" w:rsidRPr="00EA7870">
        <w:rPr>
          <w:sz w:val="20"/>
          <w:szCs w:val="20"/>
          <w:lang w:val="es-AR"/>
        </w:rPr>
        <w:t xml:space="preserve"> </w:t>
      </w:r>
      <w:r w:rsidRPr="00EA7870">
        <w:rPr>
          <w:sz w:val="20"/>
          <w:szCs w:val="20"/>
          <w:lang w:val="es-AR"/>
        </w:rPr>
        <w:t>ninguna</w:t>
      </w:r>
      <w:r w:rsidR="001A28B3" w:rsidRPr="00EA7870">
        <w:rPr>
          <w:sz w:val="20"/>
          <w:szCs w:val="20"/>
          <w:lang w:val="es-AR"/>
        </w:rPr>
        <w:t xml:space="preserve"> </w:t>
      </w:r>
      <w:r w:rsidRPr="00EA7870">
        <w:rPr>
          <w:sz w:val="20"/>
          <w:szCs w:val="20"/>
          <w:lang w:val="es-AR"/>
        </w:rPr>
        <w:t>acción</w:t>
      </w:r>
      <w:r w:rsidR="001A28B3" w:rsidRPr="00EA7870">
        <w:rPr>
          <w:sz w:val="20"/>
          <w:szCs w:val="20"/>
          <w:lang w:val="es-AR"/>
        </w:rPr>
        <w:t xml:space="preserve"> </w:t>
      </w:r>
      <w:r w:rsidRPr="00EA7870">
        <w:rPr>
          <w:sz w:val="20"/>
          <w:szCs w:val="20"/>
          <w:lang w:val="es-AR"/>
        </w:rPr>
        <w:t>adicional.</w:t>
      </w:r>
    </w:p>
    <w:p w14:paraId="5C172F32" w14:textId="77777777" w:rsidR="00E06527" w:rsidRPr="00EA7870" w:rsidRDefault="00E06527" w:rsidP="00E45C22">
      <w:pPr>
        <w:keepNext/>
        <w:spacing w:after="240"/>
        <w:jc w:val="both"/>
        <w:rPr>
          <w:b/>
          <w:i/>
          <w:sz w:val="20"/>
          <w:szCs w:val="20"/>
          <w:lang w:val="es-AR"/>
        </w:rPr>
      </w:pPr>
      <w:r w:rsidRPr="00EA7870">
        <w:rPr>
          <w:b/>
          <w:i/>
          <w:sz w:val="20"/>
          <w:szCs w:val="20"/>
          <w:lang w:val="es-AR"/>
        </w:rPr>
        <w:t>Adjudicación</w:t>
      </w:r>
    </w:p>
    <w:p w14:paraId="007A8409" w14:textId="77777777" w:rsidR="00F26A65" w:rsidRPr="00EA7870" w:rsidRDefault="00E06527" w:rsidP="003C1E6C">
      <w:pPr>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Adjudicación,</w:t>
      </w:r>
      <w:r w:rsidR="001A28B3" w:rsidRPr="00EA7870">
        <w:rPr>
          <w:sz w:val="20"/>
          <w:szCs w:val="20"/>
          <w:lang w:val="es-AR"/>
        </w:rPr>
        <w:t xml:space="preserve"> </w:t>
      </w:r>
      <w:r w:rsidRPr="00EA7870">
        <w:rPr>
          <w:sz w:val="20"/>
          <w:szCs w:val="20"/>
          <w:lang w:val="es-AR"/>
        </w:rPr>
        <w:t>tras</w:t>
      </w:r>
      <w:r w:rsidR="001A28B3" w:rsidRPr="00EA7870">
        <w:rPr>
          <w:sz w:val="20"/>
          <w:szCs w:val="20"/>
          <w:lang w:val="es-AR"/>
        </w:rPr>
        <w:t xml:space="preserve"> </w:t>
      </w:r>
      <w:r w:rsidR="00F26A65" w:rsidRPr="00EA7870">
        <w:rPr>
          <w:sz w:val="20"/>
          <w:szCs w:val="20"/>
          <w:lang w:val="es-AR"/>
        </w:rPr>
        <w:t>el</w:t>
      </w:r>
      <w:r w:rsidR="001A28B3" w:rsidRPr="00EA7870">
        <w:rPr>
          <w:sz w:val="20"/>
          <w:szCs w:val="20"/>
          <w:lang w:val="es-AR"/>
        </w:rPr>
        <w:t xml:space="preserve"> </w:t>
      </w:r>
      <w:r w:rsidR="00F26A65" w:rsidRPr="00EA7870">
        <w:rPr>
          <w:sz w:val="20"/>
          <w:szCs w:val="20"/>
          <w:lang w:val="es-AR"/>
        </w:rPr>
        <w:t>cierre</w:t>
      </w:r>
      <w:r w:rsidR="001A28B3" w:rsidRPr="00EA7870">
        <w:rPr>
          <w:sz w:val="20"/>
          <w:szCs w:val="20"/>
          <w:lang w:val="es-AR"/>
        </w:rPr>
        <w:t xml:space="preserve"> </w:t>
      </w:r>
      <w:r w:rsidR="00F26A65" w:rsidRPr="00EA7870">
        <w:rPr>
          <w:sz w:val="20"/>
          <w:szCs w:val="20"/>
          <w:lang w:val="es-AR"/>
        </w:rPr>
        <w:t>del</w:t>
      </w:r>
      <w:r w:rsidR="001A28B3" w:rsidRPr="00EA7870">
        <w:rPr>
          <w:sz w:val="20"/>
          <w:szCs w:val="20"/>
          <w:lang w:val="es-AR"/>
        </w:rPr>
        <w:t xml:space="preserve"> </w:t>
      </w:r>
      <w:r w:rsidR="00F26A65" w:rsidRPr="00EA7870">
        <w:rPr>
          <w:sz w:val="20"/>
          <w:szCs w:val="20"/>
          <w:lang w:val="es-AR"/>
        </w:rPr>
        <w:t>Registro</w:t>
      </w:r>
      <w:r w:rsidR="001A28B3" w:rsidRPr="00EA7870">
        <w:rPr>
          <w:sz w:val="20"/>
          <w:szCs w:val="20"/>
          <w:lang w:val="es-AR"/>
        </w:rPr>
        <w:t xml:space="preserve"> </w:t>
      </w:r>
      <w:r w:rsidR="00F26A65" w:rsidRPr="00EA7870">
        <w:rPr>
          <w:sz w:val="20"/>
          <w:szCs w:val="20"/>
          <w:lang w:val="es-AR"/>
        </w:rPr>
        <w:t>en</w:t>
      </w:r>
      <w:r w:rsidR="001A28B3" w:rsidRPr="00EA7870">
        <w:rPr>
          <w:sz w:val="20"/>
          <w:szCs w:val="20"/>
          <w:lang w:val="es-AR"/>
        </w:rPr>
        <w:t xml:space="preserve"> </w:t>
      </w:r>
      <w:r w:rsidR="00F26A65" w:rsidRPr="00EA7870">
        <w:rPr>
          <w:sz w:val="20"/>
          <w:szCs w:val="20"/>
          <w:lang w:val="es-AR"/>
        </w:rPr>
        <w:t>la</w:t>
      </w:r>
      <w:r w:rsidR="001A28B3" w:rsidRPr="00EA7870">
        <w:rPr>
          <w:sz w:val="20"/>
          <w:szCs w:val="20"/>
          <w:lang w:val="es-AR"/>
        </w:rPr>
        <w:t xml:space="preserve"> </w:t>
      </w:r>
      <w:r w:rsidR="00F26A65" w:rsidRPr="00EA7870">
        <w:rPr>
          <w:sz w:val="20"/>
          <w:szCs w:val="20"/>
          <w:lang w:val="es-AR"/>
        </w:rPr>
        <w:t>Fecha</w:t>
      </w:r>
      <w:r w:rsidR="001A28B3" w:rsidRPr="00EA7870">
        <w:rPr>
          <w:sz w:val="20"/>
          <w:szCs w:val="20"/>
          <w:lang w:val="es-AR"/>
        </w:rPr>
        <w:t xml:space="preserve"> </w:t>
      </w:r>
      <w:r w:rsidR="00F26A65" w:rsidRPr="00EA7870">
        <w:rPr>
          <w:sz w:val="20"/>
          <w:szCs w:val="20"/>
          <w:lang w:val="es-AR"/>
        </w:rPr>
        <w:t>del</w:t>
      </w:r>
      <w:r w:rsidR="001A28B3" w:rsidRPr="00EA7870">
        <w:rPr>
          <w:sz w:val="20"/>
          <w:szCs w:val="20"/>
          <w:lang w:val="es-AR"/>
        </w:rPr>
        <w:t xml:space="preserve"> </w:t>
      </w:r>
      <w:r w:rsidR="00F26A65" w:rsidRPr="00EA7870">
        <w:rPr>
          <w:sz w:val="20"/>
          <w:szCs w:val="20"/>
          <w:lang w:val="es-AR"/>
        </w:rPr>
        <w:t>Cierre</w:t>
      </w:r>
      <w:r w:rsidR="001A28B3" w:rsidRPr="00EA7870">
        <w:rPr>
          <w:sz w:val="20"/>
          <w:szCs w:val="20"/>
          <w:lang w:val="es-AR"/>
        </w:rPr>
        <w:t xml:space="preserve"> </w:t>
      </w:r>
      <w:r w:rsidR="00F26A65" w:rsidRPr="00EA7870">
        <w:rPr>
          <w:sz w:val="20"/>
          <w:szCs w:val="20"/>
          <w:lang w:val="es-AR"/>
        </w:rPr>
        <w:t>del</w:t>
      </w:r>
      <w:r w:rsidR="001A28B3" w:rsidRPr="00EA7870">
        <w:rPr>
          <w:sz w:val="20"/>
          <w:szCs w:val="20"/>
          <w:lang w:val="es-AR"/>
        </w:rPr>
        <w:t xml:space="preserve"> </w:t>
      </w:r>
      <w:r w:rsidR="00F26A65" w:rsidRPr="00EA7870">
        <w:rPr>
          <w:sz w:val="20"/>
          <w:szCs w:val="20"/>
          <w:lang w:val="es-AR"/>
        </w:rPr>
        <w:t>Registro</w:t>
      </w:r>
      <w:r w:rsidR="00DB46F3" w:rsidRPr="00EA7870">
        <w:rPr>
          <w:sz w:val="20"/>
          <w:szCs w:val="20"/>
          <w:lang w:val="es-AR"/>
        </w:rPr>
        <w:t>,</w:t>
      </w:r>
      <w:r w:rsidR="001A28B3" w:rsidRPr="00EA7870">
        <w:rPr>
          <w:sz w:val="20"/>
          <w:szCs w:val="20"/>
          <w:lang w:val="es-AR"/>
        </w:rPr>
        <w:t xml:space="preserve"> </w:t>
      </w:r>
      <w:r w:rsidR="00DB46F3" w:rsidRPr="00EA7870">
        <w:rPr>
          <w:sz w:val="20"/>
          <w:szCs w:val="20"/>
          <w:lang w:val="es-AR"/>
        </w:rPr>
        <w:t>la</w:t>
      </w:r>
      <w:r w:rsidR="001A28B3" w:rsidRPr="00EA7870">
        <w:rPr>
          <w:sz w:val="20"/>
          <w:szCs w:val="20"/>
          <w:lang w:val="es-AR"/>
        </w:rPr>
        <w:t xml:space="preserve"> </w:t>
      </w:r>
      <w:r w:rsidR="00DB46F3" w:rsidRPr="00EA7870">
        <w:rPr>
          <w:sz w:val="20"/>
          <w:szCs w:val="20"/>
          <w:lang w:val="es-AR"/>
        </w:rPr>
        <w:t>Emisora</w:t>
      </w:r>
      <w:r w:rsidR="00F26A65" w:rsidRPr="00EA7870">
        <w:rPr>
          <w:sz w:val="20"/>
          <w:szCs w:val="20"/>
          <w:lang w:val="es-AR"/>
        </w:rPr>
        <w:t>,</w:t>
      </w:r>
      <w:r w:rsidR="001A28B3" w:rsidRPr="00EA7870">
        <w:rPr>
          <w:sz w:val="20"/>
          <w:szCs w:val="20"/>
          <w:lang w:val="es-AR"/>
        </w:rPr>
        <w:t xml:space="preserve"> </w:t>
      </w:r>
      <w:r w:rsidR="00F26A65" w:rsidRPr="00EA7870">
        <w:rPr>
          <w:sz w:val="20"/>
          <w:szCs w:val="20"/>
          <w:lang w:val="es-AR"/>
        </w:rPr>
        <w:t>de</w:t>
      </w:r>
      <w:r w:rsidR="001A28B3" w:rsidRPr="00EA7870">
        <w:rPr>
          <w:sz w:val="20"/>
          <w:szCs w:val="20"/>
          <w:lang w:val="es-AR"/>
        </w:rPr>
        <w:t xml:space="preserve"> </w:t>
      </w:r>
      <w:r w:rsidR="00F26A65" w:rsidRPr="00EA7870">
        <w:rPr>
          <w:sz w:val="20"/>
          <w:szCs w:val="20"/>
          <w:lang w:val="es-AR"/>
        </w:rPr>
        <w:t>conformidad</w:t>
      </w:r>
      <w:r w:rsidR="001A28B3" w:rsidRPr="00EA7870">
        <w:rPr>
          <w:sz w:val="20"/>
          <w:szCs w:val="20"/>
          <w:lang w:val="es-AR"/>
        </w:rPr>
        <w:t xml:space="preserve"> </w:t>
      </w:r>
      <w:r w:rsidR="00F26A65" w:rsidRPr="00EA7870">
        <w:rPr>
          <w:sz w:val="20"/>
          <w:szCs w:val="20"/>
          <w:lang w:val="es-AR"/>
        </w:rPr>
        <w:t>con</w:t>
      </w:r>
      <w:r w:rsidR="001A28B3" w:rsidRPr="00EA7870">
        <w:rPr>
          <w:sz w:val="20"/>
          <w:szCs w:val="20"/>
          <w:lang w:val="es-AR"/>
        </w:rPr>
        <w:t xml:space="preserve"> </w:t>
      </w:r>
      <w:r w:rsidR="00F26A65" w:rsidRPr="00EA7870">
        <w:rPr>
          <w:sz w:val="20"/>
          <w:szCs w:val="20"/>
          <w:lang w:val="es-AR"/>
        </w:rPr>
        <w:t>el</w:t>
      </w:r>
      <w:r w:rsidR="001A28B3" w:rsidRPr="00EA7870">
        <w:rPr>
          <w:sz w:val="20"/>
          <w:szCs w:val="20"/>
          <w:lang w:val="es-AR"/>
        </w:rPr>
        <w:t xml:space="preserve"> </w:t>
      </w:r>
      <w:r w:rsidR="00F26A65" w:rsidRPr="00EA7870">
        <w:rPr>
          <w:sz w:val="20"/>
          <w:szCs w:val="20"/>
          <w:lang w:val="es-AR"/>
        </w:rPr>
        <w:t>proceso</w:t>
      </w:r>
      <w:r w:rsidR="001A28B3" w:rsidRPr="00EA7870">
        <w:rPr>
          <w:sz w:val="20"/>
          <w:szCs w:val="20"/>
          <w:lang w:val="es-AR"/>
        </w:rPr>
        <w:t xml:space="preserve"> </w:t>
      </w:r>
      <w:r w:rsidR="00F26A65" w:rsidRPr="00EA7870">
        <w:rPr>
          <w:sz w:val="20"/>
          <w:szCs w:val="20"/>
          <w:lang w:val="es-AR"/>
        </w:rPr>
        <w:t>de</w:t>
      </w:r>
      <w:r w:rsidR="001A28B3" w:rsidRPr="00EA7870">
        <w:rPr>
          <w:sz w:val="20"/>
          <w:szCs w:val="20"/>
          <w:lang w:val="es-AR"/>
        </w:rPr>
        <w:t xml:space="preserve"> </w:t>
      </w:r>
      <w:r w:rsidR="00F26A65" w:rsidRPr="00EA7870">
        <w:rPr>
          <w:i/>
          <w:sz w:val="20"/>
          <w:szCs w:val="20"/>
          <w:lang w:val="es-AR"/>
        </w:rPr>
        <w:t>book-building</w:t>
      </w:r>
      <w:r w:rsidR="001A28B3" w:rsidRPr="00EA7870">
        <w:rPr>
          <w:sz w:val="20"/>
          <w:szCs w:val="20"/>
          <w:lang w:val="es-AR"/>
        </w:rPr>
        <w:t xml:space="preserve"> </w:t>
      </w:r>
      <w:r w:rsidR="00F26A65" w:rsidRPr="00EA7870">
        <w:rPr>
          <w:sz w:val="20"/>
          <w:szCs w:val="20"/>
          <w:lang w:val="es-AR"/>
        </w:rPr>
        <w:t>y</w:t>
      </w:r>
      <w:r w:rsidR="001A28B3" w:rsidRPr="00EA7870">
        <w:rPr>
          <w:sz w:val="20"/>
          <w:szCs w:val="20"/>
          <w:lang w:val="es-AR"/>
        </w:rPr>
        <w:t xml:space="preserve"> </w:t>
      </w:r>
      <w:r w:rsidR="00F26A65" w:rsidRPr="00EA7870">
        <w:rPr>
          <w:sz w:val="20"/>
          <w:szCs w:val="20"/>
          <w:lang w:val="es-AR"/>
        </w:rPr>
        <w:t>de</w:t>
      </w:r>
      <w:r w:rsidR="001A28B3" w:rsidRPr="00EA7870">
        <w:rPr>
          <w:sz w:val="20"/>
          <w:szCs w:val="20"/>
          <w:lang w:val="es-AR"/>
        </w:rPr>
        <w:t xml:space="preserve"> </w:t>
      </w:r>
      <w:r w:rsidR="00F26A65" w:rsidRPr="00EA7870">
        <w:rPr>
          <w:sz w:val="20"/>
          <w:szCs w:val="20"/>
          <w:lang w:val="es-AR"/>
        </w:rPr>
        <w:t>la</w:t>
      </w:r>
      <w:r w:rsidR="001A28B3" w:rsidRPr="00EA7870">
        <w:rPr>
          <w:sz w:val="20"/>
          <w:szCs w:val="20"/>
          <w:lang w:val="es-AR"/>
        </w:rPr>
        <w:t xml:space="preserve"> </w:t>
      </w:r>
      <w:r w:rsidR="00F26A65" w:rsidRPr="00EA7870">
        <w:rPr>
          <w:sz w:val="20"/>
          <w:szCs w:val="20"/>
          <w:lang w:val="es-AR"/>
        </w:rPr>
        <w:t>normativa</w:t>
      </w:r>
      <w:r w:rsidR="001A28B3" w:rsidRPr="00EA7870">
        <w:rPr>
          <w:sz w:val="20"/>
          <w:szCs w:val="20"/>
          <w:lang w:val="es-AR"/>
        </w:rPr>
        <w:t xml:space="preserve"> </w:t>
      </w:r>
      <w:r w:rsidR="00F26A65" w:rsidRPr="00EA7870">
        <w:rPr>
          <w:sz w:val="20"/>
          <w:szCs w:val="20"/>
          <w:lang w:val="es-AR"/>
        </w:rPr>
        <w:t>aplicable</w:t>
      </w:r>
      <w:r w:rsidR="000A111F" w:rsidRPr="00EA7870">
        <w:rPr>
          <w:sz w:val="20"/>
          <w:szCs w:val="20"/>
          <w:lang w:val="es-AR"/>
        </w:rPr>
        <w:t>,</w:t>
      </w:r>
      <w:r w:rsidR="001A28B3" w:rsidRPr="00EA7870">
        <w:rPr>
          <w:sz w:val="20"/>
          <w:szCs w:val="20"/>
          <w:lang w:val="es-AR"/>
        </w:rPr>
        <w:t xml:space="preserve"> </w:t>
      </w:r>
      <w:r w:rsidR="00DB46F3" w:rsidRPr="00EA7870">
        <w:rPr>
          <w:sz w:val="20"/>
          <w:szCs w:val="20"/>
          <w:lang w:val="es-AR"/>
        </w:rPr>
        <w:t>determinará</w:t>
      </w:r>
      <w:r w:rsidR="001A28B3" w:rsidRPr="00EA7870">
        <w:rPr>
          <w:sz w:val="20"/>
          <w:szCs w:val="20"/>
          <w:lang w:val="es-AR"/>
        </w:rPr>
        <w:t xml:space="preserve"> </w:t>
      </w:r>
      <w:r w:rsidR="00F26A65" w:rsidRPr="00EA7870">
        <w:rPr>
          <w:sz w:val="20"/>
          <w:szCs w:val="20"/>
          <w:lang w:val="es-AR"/>
        </w:rPr>
        <w:t>el</w:t>
      </w:r>
      <w:r w:rsidR="001A28B3" w:rsidRPr="00EA7870">
        <w:rPr>
          <w:sz w:val="20"/>
          <w:szCs w:val="20"/>
          <w:lang w:val="es-AR"/>
        </w:rPr>
        <w:t xml:space="preserve"> </w:t>
      </w:r>
      <w:r w:rsidR="00F26A65" w:rsidRPr="00EA7870">
        <w:rPr>
          <w:sz w:val="20"/>
          <w:szCs w:val="20"/>
          <w:lang w:val="es-AR"/>
        </w:rPr>
        <w:t>monto</w:t>
      </w:r>
      <w:r w:rsidR="001A28B3" w:rsidRPr="00EA7870">
        <w:rPr>
          <w:sz w:val="20"/>
          <w:szCs w:val="20"/>
          <w:lang w:val="es-AR"/>
        </w:rPr>
        <w:t xml:space="preserve"> </w:t>
      </w:r>
      <w:r w:rsidR="00F26A65" w:rsidRPr="00EA7870">
        <w:rPr>
          <w:sz w:val="20"/>
          <w:szCs w:val="20"/>
          <w:lang w:val="es-AR"/>
        </w:rPr>
        <w:t>de</w:t>
      </w:r>
      <w:r w:rsidR="001A28B3" w:rsidRPr="00EA7870">
        <w:rPr>
          <w:sz w:val="20"/>
          <w:szCs w:val="20"/>
          <w:lang w:val="es-AR"/>
        </w:rPr>
        <w:t xml:space="preserve"> </w:t>
      </w:r>
      <w:r w:rsidR="00F26A65" w:rsidRPr="00EA7870">
        <w:rPr>
          <w:sz w:val="20"/>
          <w:szCs w:val="20"/>
          <w:lang w:val="es-AR"/>
        </w:rPr>
        <w:t>las</w:t>
      </w:r>
      <w:r w:rsidR="001A28B3" w:rsidRPr="00EA7870">
        <w:rPr>
          <w:sz w:val="20"/>
          <w:szCs w:val="20"/>
          <w:lang w:val="es-AR"/>
        </w:rPr>
        <w:t xml:space="preserve"> </w:t>
      </w:r>
      <w:r w:rsidR="00F26A65" w:rsidRPr="00EA7870">
        <w:rPr>
          <w:sz w:val="20"/>
          <w:szCs w:val="20"/>
          <w:lang w:val="es-AR"/>
        </w:rPr>
        <w:t>Obligaciones</w:t>
      </w:r>
      <w:r w:rsidR="001A28B3" w:rsidRPr="00EA7870">
        <w:rPr>
          <w:sz w:val="20"/>
          <w:szCs w:val="20"/>
          <w:lang w:val="es-AR"/>
        </w:rPr>
        <w:t xml:space="preserve"> </w:t>
      </w:r>
      <w:r w:rsidR="00F26A65" w:rsidRPr="00EA7870">
        <w:rPr>
          <w:sz w:val="20"/>
          <w:szCs w:val="20"/>
          <w:lang w:val="es-AR"/>
        </w:rPr>
        <w:t>Negociables</w:t>
      </w:r>
      <w:r w:rsidR="001A28B3" w:rsidRPr="00EA7870">
        <w:rPr>
          <w:sz w:val="20"/>
          <w:szCs w:val="20"/>
          <w:lang w:val="es-AR"/>
        </w:rPr>
        <w:t xml:space="preserve"> </w:t>
      </w:r>
      <w:r w:rsidR="00F26A65" w:rsidRPr="00EA7870">
        <w:rPr>
          <w:sz w:val="20"/>
          <w:szCs w:val="20"/>
          <w:lang w:val="es-AR"/>
        </w:rPr>
        <w:t>a</w:t>
      </w:r>
      <w:r w:rsidR="001A28B3" w:rsidRPr="00EA7870">
        <w:rPr>
          <w:sz w:val="20"/>
          <w:szCs w:val="20"/>
          <w:lang w:val="es-AR"/>
        </w:rPr>
        <w:t xml:space="preserve"> </w:t>
      </w:r>
      <w:r w:rsidR="00F26A65" w:rsidRPr="00EA7870">
        <w:rPr>
          <w:sz w:val="20"/>
          <w:szCs w:val="20"/>
          <w:lang w:val="es-AR"/>
        </w:rPr>
        <w:t>emitir</w:t>
      </w:r>
      <w:r w:rsidR="001A28B3" w:rsidRPr="00EA7870">
        <w:rPr>
          <w:sz w:val="20"/>
          <w:szCs w:val="20"/>
          <w:lang w:val="es-AR"/>
        </w:rPr>
        <w:t xml:space="preserve"> </w:t>
      </w:r>
      <w:r w:rsidR="00F26A65" w:rsidRPr="00EA7870">
        <w:rPr>
          <w:sz w:val="20"/>
          <w:szCs w:val="20"/>
          <w:lang w:val="es-AR"/>
        </w:rPr>
        <w:t>y</w:t>
      </w:r>
      <w:r w:rsidR="001A28B3" w:rsidRPr="00EA7870">
        <w:rPr>
          <w:sz w:val="20"/>
          <w:szCs w:val="20"/>
          <w:lang w:val="es-AR"/>
        </w:rPr>
        <w:t xml:space="preserve"> </w:t>
      </w:r>
      <w:r w:rsidR="00F26A65" w:rsidRPr="00EA7870">
        <w:rPr>
          <w:sz w:val="20"/>
          <w:szCs w:val="20"/>
          <w:lang w:val="es-AR"/>
        </w:rPr>
        <w:t>las</w:t>
      </w:r>
      <w:r w:rsidR="001A28B3" w:rsidRPr="00EA7870">
        <w:rPr>
          <w:sz w:val="20"/>
          <w:szCs w:val="20"/>
          <w:lang w:val="es-AR"/>
        </w:rPr>
        <w:t xml:space="preserve"> </w:t>
      </w:r>
      <w:r w:rsidR="00F26A65" w:rsidRPr="00EA7870">
        <w:rPr>
          <w:sz w:val="20"/>
          <w:szCs w:val="20"/>
          <w:lang w:val="es-AR"/>
        </w:rPr>
        <w:t>adjudicará</w:t>
      </w:r>
      <w:r w:rsidR="001A28B3" w:rsidRPr="00EA7870">
        <w:rPr>
          <w:sz w:val="20"/>
          <w:szCs w:val="20"/>
          <w:lang w:val="es-AR"/>
        </w:rPr>
        <w:t xml:space="preserve"> </w:t>
      </w:r>
      <w:r w:rsidR="00F26A65" w:rsidRPr="00EA7870">
        <w:rPr>
          <w:sz w:val="20"/>
          <w:szCs w:val="20"/>
          <w:lang w:val="es-AR"/>
        </w:rPr>
        <w:t>entre</w:t>
      </w:r>
      <w:r w:rsidR="001A28B3" w:rsidRPr="00EA7870">
        <w:rPr>
          <w:sz w:val="20"/>
          <w:szCs w:val="20"/>
          <w:lang w:val="es-AR"/>
        </w:rPr>
        <w:t xml:space="preserve"> </w:t>
      </w:r>
      <w:r w:rsidR="00F26A65" w:rsidRPr="00EA7870">
        <w:rPr>
          <w:sz w:val="20"/>
          <w:szCs w:val="20"/>
          <w:lang w:val="es-AR"/>
        </w:rPr>
        <w:t>los</w:t>
      </w:r>
      <w:r w:rsidR="001A28B3" w:rsidRPr="00EA7870">
        <w:rPr>
          <w:sz w:val="20"/>
          <w:szCs w:val="20"/>
          <w:lang w:val="es-AR"/>
        </w:rPr>
        <w:t xml:space="preserve"> </w:t>
      </w:r>
      <w:r w:rsidR="00F26A65" w:rsidRPr="00EA7870">
        <w:rPr>
          <w:sz w:val="20"/>
          <w:szCs w:val="20"/>
          <w:lang w:val="es-AR"/>
        </w:rPr>
        <w:t>potenciales</w:t>
      </w:r>
      <w:r w:rsidR="001A28B3" w:rsidRPr="00EA7870">
        <w:rPr>
          <w:sz w:val="20"/>
          <w:szCs w:val="20"/>
          <w:lang w:val="es-AR"/>
        </w:rPr>
        <w:t xml:space="preserve"> </w:t>
      </w:r>
      <w:r w:rsidR="00F26A65" w:rsidRPr="00EA7870">
        <w:rPr>
          <w:sz w:val="20"/>
          <w:szCs w:val="20"/>
          <w:lang w:val="es-AR"/>
        </w:rPr>
        <w:t>inversores</w:t>
      </w:r>
      <w:r w:rsidR="001A28B3" w:rsidRPr="00EA7870">
        <w:rPr>
          <w:sz w:val="20"/>
          <w:szCs w:val="20"/>
          <w:lang w:val="es-AR"/>
        </w:rPr>
        <w:t xml:space="preserve"> </w:t>
      </w:r>
      <w:r w:rsidR="00F26A65" w:rsidRPr="00EA7870">
        <w:rPr>
          <w:sz w:val="20"/>
          <w:szCs w:val="20"/>
          <w:lang w:val="es-AR"/>
        </w:rPr>
        <w:t>que</w:t>
      </w:r>
      <w:r w:rsidR="001A28B3" w:rsidRPr="00EA7870">
        <w:rPr>
          <w:sz w:val="20"/>
          <w:szCs w:val="20"/>
          <w:lang w:val="es-AR"/>
        </w:rPr>
        <w:t xml:space="preserve"> </w:t>
      </w:r>
      <w:r w:rsidR="00F26A65" w:rsidRPr="00EA7870">
        <w:rPr>
          <w:sz w:val="20"/>
          <w:szCs w:val="20"/>
          <w:lang w:val="es-AR"/>
        </w:rPr>
        <w:t>presentaron</w:t>
      </w:r>
      <w:r w:rsidR="001A28B3" w:rsidRPr="00EA7870">
        <w:rPr>
          <w:sz w:val="20"/>
          <w:szCs w:val="20"/>
          <w:lang w:val="es-AR"/>
        </w:rPr>
        <w:t xml:space="preserve"> </w:t>
      </w:r>
      <w:r w:rsidR="00F26A65" w:rsidRPr="00EA7870">
        <w:rPr>
          <w:sz w:val="20"/>
          <w:szCs w:val="20"/>
          <w:lang w:val="es-AR"/>
        </w:rPr>
        <w:t>Manifestaciones</w:t>
      </w:r>
      <w:r w:rsidR="001A28B3" w:rsidRPr="00EA7870">
        <w:rPr>
          <w:sz w:val="20"/>
          <w:szCs w:val="20"/>
          <w:lang w:val="es-AR"/>
        </w:rPr>
        <w:t xml:space="preserve"> </w:t>
      </w:r>
      <w:r w:rsidR="00F26A65" w:rsidRPr="00EA7870">
        <w:rPr>
          <w:sz w:val="20"/>
          <w:szCs w:val="20"/>
          <w:lang w:val="es-AR"/>
        </w:rPr>
        <w:t>de</w:t>
      </w:r>
      <w:r w:rsidR="001A28B3" w:rsidRPr="00EA7870">
        <w:rPr>
          <w:sz w:val="20"/>
          <w:szCs w:val="20"/>
          <w:lang w:val="es-AR"/>
        </w:rPr>
        <w:t xml:space="preserve"> </w:t>
      </w:r>
      <w:r w:rsidR="00F26A65" w:rsidRPr="00EA7870">
        <w:rPr>
          <w:sz w:val="20"/>
          <w:szCs w:val="20"/>
          <w:lang w:val="es-AR"/>
        </w:rPr>
        <w:t>Interés</w:t>
      </w:r>
      <w:r w:rsidR="001A28B3" w:rsidRPr="00EA7870">
        <w:rPr>
          <w:sz w:val="20"/>
          <w:szCs w:val="20"/>
          <w:lang w:val="es-AR"/>
        </w:rPr>
        <w:t xml:space="preserve"> </w:t>
      </w:r>
      <w:r w:rsidR="00F26A65" w:rsidRPr="00EA7870">
        <w:rPr>
          <w:sz w:val="20"/>
          <w:szCs w:val="20"/>
          <w:lang w:val="es-AR"/>
        </w:rPr>
        <w:t>de</w:t>
      </w:r>
      <w:r w:rsidR="001A28B3" w:rsidRPr="00EA7870">
        <w:rPr>
          <w:sz w:val="20"/>
          <w:szCs w:val="20"/>
          <w:lang w:val="es-AR"/>
        </w:rPr>
        <w:t xml:space="preserve"> </w:t>
      </w:r>
      <w:r w:rsidR="00F26A65" w:rsidRPr="00EA7870">
        <w:rPr>
          <w:sz w:val="20"/>
          <w:szCs w:val="20"/>
          <w:lang w:val="es-AR"/>
        </w:rPr>
        <w:t>acuerdo</w:t>
      </w:r>
      <w:r w:rsidR="001A28B3" w:rsidRPr="00EA7870">
        <w:rPr>
          <w:sz w:val="20"/>
          <w:szCs w:val="20"/>
          <w:lang w:val="es-AR"/>
        </w:rPr>
        <w:t xml:space="preserve"> </w:t>
      </w:r>
      <w:r w:rsidR="00F26A65" w:rsidRPr="00EA7870">
        <w:rPr>
          <w:sz w:val="20"/>
          <w:szCs w:val="20"/>
          <w:lang w:val="es-AR"/>
        </w:rPr>
        <w:t>a</w:t>
      </w:r>
      <w:r w:rsidR="001A28B3" w:rsidRPr="00EA7870">
        <w:rPr>
          <w:sz w:val="20"/>
          <w:szCs w:val="20"/>
          <w:lang w:val="es-AR"/>
        </w:rPr>
        <w:t xml:space="preserve"> </w:t>
      </w:r>
      <w:r w:rsidR="00F26A65" w:rsidRPr="00EA7870">
        <w:rPr>
          <w:sz w:val="20"/>
          <w:szCs w:val="20"/>
          <w:lang w:val="es-AR"/>
        </w:rPr>
        <w:t>los</w:t>
      </w:r>
      <w:r w:rsidR="001A28B3" w:rsidRPr="00EA7870">
        <w:rPr>
          <w:sz w:val="20"/>
          <w:szCs w:val="20"/>
          <w:lang w:val="es-AR"/>
        </w:rPr>
        <w:t xml:space="preserve"> </w:t>
      </w:r>
      <w:r w:rsidR="00F26A65" w:rsidRPr="00EA7870">
        <w:rPr>
          <w:sz w:val="20"/>
          <w:szCs w:val="20"/>
          <w:lang w:val="es-AR"/>
        </w:rPr>
        <w:t>criterios</w:t>
      </w:r>
      <w:r w:rsidR="001A28B3" w:rsidRPr="00EA7870">
        <w:rPr>
          <w:sz w:val="20"/>
          <w:szCs w:val="20"/>
          <w:lang w:val="es-AR"/>
        </w:rPr>
        <w:t xml:space="preserve"> </w:t>
      </w:r>
      <w:r w:rsidR="00F26A65" w:rsidRPr="00EA7870">
        <w:rPr>
          <w:sz w:val="20"/>
          <w:szCs w:val="20"/>
          <w:lang w:val="es-AR"/>
        </w:rPr>
        <w:t>detallados</w:t>
      </w:r>
      <w:r w:rsidR="001A28B3" w:rsidRPr="00EA7870">
        <w:rPr>
          <w:sz w:val="20"/>
          <w:szCs w:val="20"/>
          <w:lang w:val="es-AR"/>
        </w:rPr>
        <w:t xml:space="preserve"> </w:t>
      </w:r>
      <w:r w:rsidR="007601DC" w:rsidRPr="00EA7870">
        <w:rPr>
          <w:sz w:val="20"/>
          <w:szCs w:val="20"/>
          <w:lang w:val="es-AR"/>
        </w:rPr>
        <w:t>a</w:t>
      </w:r>
      <w:r w:rsidR="001A28B3" w:rsidRPr="00EA7870">
        <w:rPr>
          <w:sz w:val="20"/>
          <w:szCs w:val="20"/>
          <w:lang w:val="es-AR"/>
        </w:rPr>
        <w:t xml:space="preserve"> </w:t>
      </w:r>
      <w:r w:rsidR="007601DC" w:rsidRPr="00EA7870">
        <w:rPr>
          <w:sz w:val="20"/>
          <w:szCs w:val="20"/>
          <w:lang w:val="es-AR"/>
        </w:rPr>
        <w:t>continuación</w:t>
      </w:r>
      <w:r w:rsidR="00F26A65" w:rsidRPr="00EA7870">
        <w:rPr>
          <w:sz w:val="20"/>
          <w:szCs w:val="20"/>
          <w:lang w:val="es-AR"/>
        </w:rPr>
        <w:t>.</w:t>
      </w:r>
      <w:r w:rsidR="001A28B3" w:rsidRPr="00EA7870">
        <w:rPr>
          <w:sz w:val="20"/>
          <w:szCs w:val="20"/>
          <w:lang w:val="es-AR"/>
        </w:rPr>
        <w:t xml:space="preserve"> </w:t>
      </w:r>
    </w:p>
    <w:p w14:paraId="7727EBD6" w14:textId="77777777" w:rsidR="008F0DFA" w:rsidRPr="00EA7870" w:rsidRDefault="008F0DFA" w:rsidP="003C1E6C">
      <w:pPr>
        <w:jc w:val="both"/>
        <w:rPr>
          <w:sz w:val="20"/>
          <w:szCs w:val="20"/>
          <w:lang w:val="es-AR"/>
        </w:rPr>
      </w:pPr>
    </w:p>
    <w:p w14:paraId="518F7524" w14:textId="35EEEC99" w:rsidR="00A57CE4" w:rsidRPr="00EA7870" w:rsidRDefault="00E12E73" w:rsidP="00E12E73">
      <w:pPr>
        <w:jc w:val="both"/>
        <w:rPr>
          <w:sz w:val="20"/>
          <w:szCs w:val="20"/>
          <w:lang w:val="es-AR"/>
        </w:rPr>
      </w:pPr>
      <w:r>
        <w:rPr>
          <w:sz w:val="20"/>
          <w:szCs w:val="20"/>
          <w:lang w:val="es-AR"/>
        </w:rPr>
        <w:t>T</w:t>
      </w:r>
      <w:r w:rsidR="008F0DFA" w:rsidRPr="00EA7870">
        <w:rPr>
          <w:sz w:val="20"/>
          <w:szCs w:val="20"/>
          <w:lang w:val="es-AR"/>
        </w:rPr>
        <w:t xml:space="preserve">ras la adjudicación definitiva de las Obligaciones Negociables, </w:t>
      </w:r>
      <w:r>
        <w:rPr>
          <w:sz w:val="20"/>
          <w:szCs w:val="20"/>
          <w:lang w:val="es-AR"/>
        </w:rPr>
        <w:t xml:space="preserve">tan pronto como sea posible, </w:t>
      </w:r>
      <w:r w:rsidR="008F0DFA" w:rsidRPr="00EA7870">
        <w:rPr>
          <w:sz w:val="20"/>
          <w:szCs w:val="20"/>
          <w:lang w:val="es-AR"/>
        </w:rPr>
        <w:t>la Emisora publicará el Aviso de Resultados</w:t>
      </w:r>
      <w:r w:rsidR="00375B6A" w:rsidRPr="00EA7870">
        <w:rPr>
          <w:sz w:val="20"/>
          <w:szCs w:val="20"/>
          <w:lang w:val="es-AR"/>
        </w:rPr>
        <w:t xml:space="preserve"> </w:t>
      </w:r>
      <w:r w:rsidRPr="00EA7870">
        <w:rPr>
          <w:sz w:val="20"/>
          <w:szCs w:val="20"/>
          <w:lang w:val="es-AR"/>
        </w:rPr>
        <w:t xml:space="preserve">en </w:t>
      </w:r>
      <w:r w:rsidRPr="00EA7870">
        <w:rPr>
          <w:sz w:val="20"/>
          <w:szCs w:val="20"/>
        </w:rPr>
        <w:t xml:space="preserve">la </w:t>
      </w:r>
      <w:r w:rsidRPr="00EA7870">
        <w:rPr>
          <w:sz w:val="20"/>
          <w:szCs w:val="20"/>
          <w:lang w:val="es-AR"/>
        </w:rPr>
        <w:t>AIF</w:t>
      </w:r>
      <w:r>
        <w:rPr>
          <w:sz w:val="20"/>
          <w:szCs w:val="20"/>
          <w:lang w:val="es-AR"/>
        </w:rPr>
        <w:t xml:space="preserve">, y tras ello, </w:t>
      </w:r>
      <w:r w:rsidRPr="00EA7870">
        <w:rPr>
          <w:sz w:val="20"/>
          <w:szCs w:val="20"/>
          <w:lang w:val="es-AR"/>
        </w:rPr>
        <w:t>en el Boletín Diario de la BCBA y en el boletín electrónico del MAE</w:t>
      </w:r>
      <w:r>
        <w:rPr>
          <w:sz w:val="20"/>
          <w:szCs w:val="20"/>
          <w:lang w:val="es-AR"/>
        </w:rPr>
        <w:t xml:space="preserve">. En el Aviso de Resultados </w:t>
      </w:r>
      <w:r w:rsidR="00375B6A" w:rsidRPr="00EA7870">
        <w:rPr>
          <w:sz w:val="20"/>
          <w:szCs w:val="20"/>
          <w:lang w:val="es-AR"/>
        </w:rPr>
        <w:t>se especificará, entre otras cuestiones, el monto de las Obligaciones Negociables a emitir, la Fecha de Emisión y Liquidación, la Fecha de Vencimiento, las Fechas de Pago de Intereses y el precio de emisión</w:t>
      </w:r>
      <w:r>
        <w:rPr>
          <w:sz w:val="20"/>
          <w:szCs w:val="20"/>
          <w:lang w:val="es-AR"/>
        </w:rPr>
        <w:t xml:space="preserve"> de las Obligaciones Negociables</w:t>
      </w:r>
      <w:r w:rsidR="00375B6A" w:rsidRPr="00EA7870">
        <w:rPr>
          <w:sz w:val="20"/>
          <w:szCs w:val="20"/>
          <w:lang w:val="es-AR"/>
        </w:rPr>
        <w:t xml:space="preserve">. </w:t>
      </w:r>
    </w:p>
    <w:p w14:paraId="078DC9F6" w14:textId="77777777" w:rsidR="00A57CE4" w:rsidRPr="00EA7870" w:rsidRDefault="00A57CE4" w:rsidP="00375B6A">
      <w:pPr>
        <w:jc w:val="both"/>
        <w:rPr>
          <w:sz w:val="20"/>
          <w:szCs w:val="20"/>
          <w:lang w:val="es-AR"/>
        </w:rPr>
      </w:pPr>
    </w:p>
    <w:p w14:paraId="65899AB6" w14:textId="77777777" w:rsidR="003C1E6C" w:rsidRPr="00EA7870" w:rsidRDefault="00F26A65" w:rsidP="00A74078">
      <w:pPr>
        <w:jc w:val="both"/>
        <w:rPr>
          <w:sz w:val="20"/>
          <w:szCs w:val="20"/>
          <w:lang w:val="es-AR"/>
        </w:rPr>
      </w:pP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otorgará</w:t>
      </w:r>
      <w:r w:rsidR="001A28B3" w:rsidRPr="00EA7870">
        <w:rPr>
          <w:sz w:val="20"/>
          <w:szCs w:val="20"/>
          <w:lang w:val="es-AR"/>
        </w:rPr>
        <w:t xml:space="preserve"> </w:t>
      </w:r>
      <w:r w:rsidRPr="00EA7870">
        <w:rPr>
          <w:sz w:val="20"/>
          <w:szCs w:val="20"/>
          <w:lang w:val="es-AR"/>
        </w:rPr>
        <w:t>preferencia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términos</w:t>
      </w:r>
      <w:r w:rsidR="001A28B3" w:rsidRPr="00EA7870">
        <w:rPr>
          <w:sz w:val="20"/>
          <w:szCs w:val="20"/>
          <w:lang w:val="es-AR"/>
        </w:rPr>
        <w:t xml:space="preserve"> </w:t>
      </w:r>
      <w:r w:rsidRPr="00EA7870">
        <w:rPr>
          <w:sz w:val="20"/>
          <w:szCs w:val="20"/>
          <w:lang w:val="es-AR"/>
        </w:rPr>
        <w:t>generales,</w:t>
      </w:r>
      <w:r w:rsidR="001A28B3" w:rsidRPr="00EA7870">
        <w:rPr>
          <w:sz w:val="20"/>
          <w:szCs w:val="20"/>
          <w:lang w:val="es-AR"/>
        </w:rPr>
        <w:t xml:space="preserve"> </w:t>
      </w:r>
      <w:r w:rsidRPr="00EA7870">
        <w:rPr>
          <w:sz w:val="20"/>
          <w:szCs w:val="20"/>
          <w:lang w:val="es-AR"/>
        </w:rPr>
        <w:t>mantengan</w:t>
      </w:r>
      <w:r w:rsidR="001A28B3" w:rsidRPr="00EA7870">
        <w:rPr>
          <w:sz w:val="20"/>
          <w:szCs w:val="20"/>
          <w:lang w:val="es-AR"/>
        </w:rPr>
        <w:t xml:space="preserve"> </w:t>
      </w:r>
      <w:r w:rsidRPr="00EA7870">
        <w:rPr>
          <w:sz w:val="20"/>
          <w:szCs w:val="20"/>
          <w:lang w:val="es-AR"/>
        </w:rPr>
        <w:t>posiciones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largo</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títulos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mismo</w:t>
      </w:r>
      <w:r w:rsidR="001A28B3" w:rsidRPr="00EA7870">
        <w:rPr>
          <w:sz w:val="20"/>
          <w:szCs w:val="20"/>
          <w:lang w:val="es-AR"/>
        </w:rPr>
        <w:t xml:space="preserve"> </w:t>
      </w:r>
      <w:r w:rsidRPr="00EA7870">
        <w:rPr>
          <w:sz w:val="20"/>
          <w:szCs w:val="20"/>
          <w:lang w:val="es-AR"/>
        </w:rPr>
        <w:t>tipo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lo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aumentará</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probabilidades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mercado</w:t>
      </w:r>
      <w:r w:rsidR="001A28B3" w:rsidRPr="00EA7870">
        <w:rPr>
          <w:sz w:val="20"/>
          <w:szCs w:val="20"/>
          <w:lang w:val="es-AR"/>
        </w:rPr>
        <w:t xml:space="preserve"> </w:t>
      </w:r>
      <w:r w:rsidRPr="00EA7870">
        <w:rPr>
          <w:sz w:val="20"/>
          <w:szCs w:val="20"/>
          <w:lang w:val="es-AR"/>
        </w:rPr>
        <w:t>secundario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beneficie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base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estable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pueda</w:t>
      </w:r>
      <w:r w:rsidR="001A28B3" w:rsidRPr="00EA7870">
        <w:rPr>
          <w:sz w:val="20"/>
          <w:szCs w:val="20"/>
          <w:lang w:val="es-AR"/>
        </w:rPr>
        <w:t xml:space="preserve"> </w:t>
      </w:r>
      <w:r w:rsidRPr="00EA7870">
        <w:rPr>
          <w:sz w:val="20"/>
          <w:szCs w:val="20"/>
          <w:lang w:val="es-AR"/>
        </w:rPr>
        <w:t>comprender</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riesgo</w:t>
      </w:r>
      <w:r w:rsidR="001A28B3" w:rsidRPr="00EA7870">
        <w:rPr>
          <w:sz w:val="20"/>
          <w:szCs w:val="20"/>
          <w:lang w:val="es-AR"/>
        </w:rPr>
        <w:t xml:space="preserve"> </w:t>
      </w:r>
      <w:r w:rsidRPr="00EA7870">
        <w:rPr>
          <w:sz w:val="20"/>
          <w:szCs w:val="20"/>
          <w:lang w:val="es-AR"/>
        </w:rPr>
        <w:t>crediticio</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tenga</w:t>
      </w:r>
      <w:r w:rsidR="001A28B3" w:rsidRPr="00EA7870">
        <w:rPr>
          <w:sz w:val="20"/>
          <w:szCs w:val="20"/>
          <w:lang w:val="es-AR"/>
        </w:rPr>
        <w:t xml:space="preserve"> </w:t>
      </w:r>
      <w:r w:rsidRPr="00EA7870">
        <w:rPr>
          <w:sz w:val="20"/>
          <w:szCs w:val="20"/>
          <w:lang w:val="es-AR"/>
        </w:rPr>
        <w:t>intenciones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mantener</w:t>
      </w:r>
      <w:r w:rsidR="001A28B3" w:rsidRPr="00EA7870">
        <w:rPr>
          <w:sz w:val="20"/>
          <w:szCs w:val="20"/>
          <w:lang w:val="es-AR"/>
        </w:rPr>
        <w:t xml:space="preserve"> </w:t>
      </w:r>
      <w:r w:rsidRPr="00EA7870">
        <w:rPr>
          <w:sz w:val="20"/>
          <w:szCs w:val="20"/>
          <w:lang w:val="es-AR"/>
        </w:rPr>
        <w:t>posiciones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largo</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sobre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Esto,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vez,</w:t>
      </w:r>
      <w:r w:rsidR="001A28B3" w:rsidRPr="00EA7870">
        <w:rPr>
          <w:sz w:val="20"/>
          <w:szCs w:val="20"/>
          <w:lang w:val="es-AR"/>
        </w:rPr>
        <w:t xml:space="preserve"> </w:t>
      </w:r>
      <w:r w:rsidRPr="00EA7870">
        <w:rPr>
          <w:sz w:val="20"/>
          <w:szCs w:val="20"/>
          <w:lang w:val="es-AR"/>
        </w:rPr>
        <w:t>ayudará</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crear</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referencia</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espera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eso</w:t>
      </w:r>
      <w:r w:rsidR="001A28B3" w:rsidRPr="00EA7870">
        <w:rPr>
          <w:sz w:val="20"/>
          <w:szCs w:val="20"/>
          <w:lang w:val="es-AR"/>
        </w:rPr>
        <w:t xml:space="preserve"> </w:t>
      </w:r>
      <w:r w:rsidRPr="00EA7870">
        <w:rPr>
          <w:sz w:val="20"/>
          <w:szCs w:val="20"/>
          <w:lang w:val="es-AR"/>
        </w:rPr>
        <w:t>facilite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acceso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mercados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capitales</w:t>
      </w:r>
      <w:r w:rsidR="001A28B3" w:rsidRPr="00EA7870">
        <w:rPr>
          <w:sz w:val="20"/>
          <w:szCs w:val="20"/>
          <w:lang w:val="es-AR"/>
        </w:rPr>
        <w:t xml:space="preserve"> </w:t>
      </w:r>
      <w:r w:rsidRPr="00EA7870">
        <w:rPr>
          <w:sz w:val="20"/>
          <w:szCs w:val="20"/>
          <w:lang w:val="es-AR"/>
        </w:rPr>
        <w:t>internacionales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futuro.</w:t>
      </w:r>
      <w:r w:rsidR="001A28B3" w:rsidRPr="00EA7870">
        <w:rPr>
          <w:sz w:val="20"/>
          <w:szCs w:val="20"/>
          <w:lang w:val="es-AR"/>
        </w:rPr>
        <w:t xml:space="preserve"> </w:t>
      </w:r>
      <w:r w:rsidRPr="00EA7870">
        <w:rPr>
          <w:sz w:val="20"/>
          <w:szCs w:val="20"/>
          <w:lang w:val="es-AR"/>
        </w:rPr>
        <w:t>Específicamente,</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otorgará</w:t>
      </w:r>
      <w:r w:rsidR="001A28B3" w:rsidRPr="00EA7870">
        <w:rPr>
          <w:sz w:val="20"/>
          <w:szCs w:val="20"/>
          <w:lang w:val="es-AR"/>
        </w:rPr>
        <w:t xml:space="preserve"> </w:t>
      </w:r>
      <w:r w:rsidRPr="00EA7870">
        <w:rPr>
          <w:sz w:val="20"/>
          <w:szCs w:val="20"/>
          <w:lang w:val="es-AR"/>
        </w:rPr>
        <w:t>preferencia</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presentadas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institucionales,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regulados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entidades</w:t>
      </w:r>
      <w:r w:rsidR="001A28B3" w:rsidRPr="00EA7870">
        <w:rPr>
          <w:sz w:val="20"/>
          <w:szCs w:val="20"/>
          <w:lang w:val="es-AR"/>
        </w:rPr>
        <w:t xml:space="preserve"> </w:t>
      </w:r>
      <w:r w:rsidRPr="00EA7870">
        <w:rPr>
          <w:sz w:val="20"/>
          <w:szCs w:val="20"/>
          <w:lang w:val="es-AR"/>
        </w:rPr>
        <w:t>financieras</w:t>
      </w:r>
      <w:r w:rsidR="001A28B3" w:rsidRPr="00EA7870">
        <w:rPr>
          <w:sz w:val="20"/>
          <w:szCs w:val="20"/>
          <w:lang w:val="es-AR"/>
        </w:rPr>
        <w:t xml:space="preserve"> </w:t>
      </w:r>
      <w:r w:rsidR="00B06EDF" w:rsidRPr="00EA7870">
        <w:rPr>
          <w:sz w:val="20"/>
          <w:szCs w:val="20"/>
          <w:lang w:val="es-AR"/>
        </w:rPr>
        <w:t>internacionales. Los</w:t>
      </w:r>
      <w:r w:rsidR="001A28B3" w:rsidRPr="00EA7870">
        <w:rPr>
          <w:sz w:val="20"/>
          <w:szCs w:val="20"/>
          <w:lang w:val="es-AR"/>
        </w:rPr>
        <w:t xml:space="preserve"> </w:t>
      </w:r>
      <w:r w:rsidRPr="00EA7870">
        <w:rPr>
          <w:sz w:val="20"/>
          <w:szCs w:val="20"/>
          <w:lang w:val="es-AR"/>
        </w:rPr>
        <w:t>criterios</w:t>
      </w:r>
      <w:r w:rsidR="001A28B3" w:rsidRPr="00EA7870">
        <w:rPr>
          <w:sz w:val="20"/>
          <w:szCs w:val="20"/>
          <w:lang w:val="es-AR"/>
        </w:rPr>
        <w:t xml:space="preserve"> </w:t>
      </w:r>
      <w:r w:rsidRPr="00EA7870">
        <w:rPr>
          <w:sz w:val="20"/>
          <w:szCs w:val="20"/>
          <w:lang w:val="es-AR"/>
        </w:rPr>
        <w:t>aplicados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adjudicación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basarán,</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otras</w:t>
      </w:r>
      <w:r w:rsidR="001A28B3" w:rsidRPr="00EA7870">
        <w:rPr>
          <w:sz w:val="20"/>
          <w:szCs w:val="20"/>
          <w:lang w:val="es-AR"/>
        </w:rPr>
        <w:t xml:space="preserve"> </w:t>
      </w:r>
      <w:r w:rsidRPr="00EA7870">
        <w:rPr>
          <w:sz w:val="20"/>
          <w:szCs w:val="20"/>
          <w:lang w:val="es-AR"/>
        </w:rPr>
        <w:t>cosas,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transacciones</w:t>
      </w:r>
      <w:r w:rsidR="001A28B3" w:rsidRPr="00EA7870">
        <w:rPr>
          <w:sz w:val="20"/>
          <w:szCs w:val="20"/>
          <w:lang w:val="es-AR"/>
        </w:rPr>
        <w:t xml:space="preserve"> </w:t>
      </w:r>
      <w:r w:rsidRPr="00EA7870">
        <w:rPr>
          <w:sz w:val="20"/>
          <w:szCs w:val="20"/>
          <w:lang w:val="es-AR"/>
        </w:rPr>
        <w:t>internacionales</w:t>
      </w:r>
      <w:r w:rsidR="001A28B3" w:rsidRPr="00EA7870">
        <w:rPr>
          <w:sz w:val="20"/>
          <w:szCs w:val="20"/>
          <w:lang w:val="es-AR"/>
        </w:rPr>
        <w:t xml:space="preserve"> </w:t>
      </w:r>
      <w:r w:rsidRPr="00EA7870">
        <w:rPr>
          <w:sz w:val="20"/>
          <w:szCs w:val="20"/>
          <w:lang w:val="es-AR"/>
        </w:rPr>
        <w:t>anteriores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incluyan</w:t>
      </w:r>
      <w:r w:rsidR="001A28B3" w:rsidRPr="00EA7870">
        <w:rPr>
          <w:sz w:val="20"/>
          <w:szCs w:val="20"/>
          <w:lang w:val="es-AR"/>
        </w:rPr>
        <w:t xml:space="preserve"> </w:t>
      </w:r>
      <w:r w:rsidRPr="00EA7870">
        <w:rPr>
          <w:sz w:val="20"/>
          <w:szCs w:val="20"/>
          <w:lang w:val="es-AR"/>
        </w:rPr>
        <w:t>emisores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mercados</w:t>
      </w:r>
      <w:r w:rsidR="001A28B3" w:rsidRPr="00EA7870">
        <w:rPr>
          <w:sz w:val="20"/>
          <w:szCs w:val="20"/>
          <w:lang w:val="es-AR"/>
        </w:rPr>
        <w:t xml:space="preserve"> </w:t>
      </w:r>
      <w:r w:rsidRPr="00EA7870">
        <w:rPr>
          <w:sz w:val="20"/>
          <w:szCs w:val="20"/>
          <w:lang w:val="es-AR"/>
        </w:rPr>
        <w:t>emergentes,</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magnitud</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Manifestación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inversor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perfil</w:t>
      </w:r>
      <w:r w:rsidR="001A28B3" w:rsidRPr="00EA7870">
        <w:rPr>
          <w:sz w:val="20"/>
          <w:szCs w:val="20"/>
          <w:lang w:val="es-AR"/>
        </w:rPr>
        <w:t xml:space="preserve"> </w:t>
      </w:r>
      <w:r w:rsidRPr="00EA7870">
        <w:rPr>
          <w:sz w:val="20"/>
          <w:szCs w:val="20"/>
          <w:lang w:val="es-AR"/>
        </w:rPr>
        <w:t>crediticio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solvencia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inversor.</w:t>
      </w:r>
      <w:r w:rsidR="00343641" w:rsidRPr="00EA7870">
        <w:rPr>
          <w:sz w:val="20"/>
          <w:szCs w:val="20"/>
          <w:lang w:val="es-AR"/>
        </w:rPr>
        <w:t xml:space="preserve"> En cuanto a las Manifestaciones de Interés, la Emisora podrá limitar el tamaño de las órdenes de los </w:t>
      </w:r>
      <w:r w:rsidR="00035AE3" w:rsidRPr="00EA7870">
        <w:rPr>
          <w:sz w:val="20"/>
          <w:szCs w:val="20"/>
          <w:lang w:val="es-AR"/>
        </w:rPr>
        <w:t>inversores</w:t>
      </w:r>
      <w:r w:rsidR="00343641" w:rsidRPr="00EA7870">
        <w:rPr>
          <w:sz w:val="20"/>
          <w:szCs w:val="20"/>
          <w:lang w:val="es-AR"/>
        </w:rPr>
        <w:t xml:space="preserve"> para lograr diversificación y una mayor liquidez de las Obligaciones Negociables. Las Manifestaciones de Interés podrán ser totalmente o parcialmente adjudicadas. Ni la Emisora, ni los Colocadores Internacionales, ni el Colocador Local tendrán obligación alguna de notificar a ningún inversor cuya Manifestación de Interés haya sido total o parcialmente.</w:t>
      </w:r>
    </w:p>
    <w:p w14:paraId="6B0128BB" w14:textId="77777777" w:rsidR="002A7BD4" w:rsidRPr="00EA7870" w:rsidRDefault="002A7BD4" w:rsidP="00A74078">
      <w:pPr>
        <w:jc w:val="both"/>
        <w:rPr>
          <w:b/>
          <w:sz w:val="20"/>
          <w:szCs w:val="20"/>
          <w:lang w:val="es-AR"/>
        </w:rPr>
      </w:pPr>
    </w:p>
    <w:p w14:paraId="26848E5D" w14:textId="77777777" w:rsidR="008D7870" w:rsidRPr="00EA7870" w:rsidRDefault="004F0A01" w:rsidP="00997F7F">
      <w:pPr>
        <w:jc w:val="both"/>
        <w:rPr>
          <w:sz w:val="20"/>
          <w:szCs w:val="20"/>
          <w:lang w:val="es-AR"/>
        </w:rPr>
      </w:pPr>
      <w:r w:rsidRPr="00EA7870">
        <w:rPr>
          <w:sz w:val="20"/>
          <w:szCs w:val="20"/>
          <w:lang w:val="es-AR"/>
        </w:rPr>
        <w:t xml:space="preserve">No podrán presentar </w:t>
      </w:r>
      <w:r w:rsidR="006E7A99" w:rsidRPr="00EA7870">
        <w:rPr>
          <w:sz w:val="20"/>
          <w:szCs w:val="20"/>
          <w:lang w:val="es-AR"/>
        </w:rPr>
        <w:t>Manifestaciones de Interés</w:t>
      </w:r>
      <w:r w:rsidRPr="00EA7870">
        <w:rPr>
          <w:sz w:val="20"/>
          <w:szCs w:val="20"/>
          <w:lang w:val="es-AR"/>
        </w:rPr>
        <w:t xml:space="preserve"> (ni </w:t>
      </w:r>
      <w:r w:rsidR="007B2387" w:rsidRPr="00EA7870">
        <w:rPr>
          <w:sz w:val="20"/>
          <w:szCs w:val="20"/>
          <w:lang w:val="es-AR"/>
        </w:rPr>
        <w:t>el Colocador Local</w:t>
      </w:r>
      <w:r w:rsidR="006E7A99" w:rsidRPr="00EA7870">
        <w:rPr>
          <w:sz w:val="20"/>
          <w:szCs w:val="20"/>
          <w:lang w:val="es-AR"/>
        </w:rPr>
        <w:t xml:space="preserve"> </w:t>
      </w:r>
      <w:r w:rsidRPr="00EA7870">
        <w:rPr>
          <w:sz w:val="20"/>
          <w:szCs w:val="20"/>
          <w:lang w:val="es-AR"/>
        </w:rPr>
        <w:t>podrá presenta</w:t>
      </w:r>
      <w:r w:rsidR="00A74078" w:rsidRPr="00EA7870">
        <w:rPr>
          <w:sz w:val="20"/>
          <w:szCs w:val="20"/>
          <w:lang w:val="es-AR"/>
        </w:rPr>
        <w:t>r</w:t>
      </w:r>
      <w:r w:rsidRPr="00EA7870">
        <w:rPr>
          <w:sz w:val="20"/>
          <w:szCs w:val="20"/>
          <w:lang w:val="es-AR"/>
        </w:rPr>
        <w:t xml:space="preserve"> </w:t>
      </w:r>
      <w:r w:rsidR="006E7A99" w:rsidRPr="00EA7870">
        <w:rPr>
          <w:sz w:val="20"/>
          <w:szCs w:val="20"/>
          <w:lang w:val="es-AR"/>
        </w:rPr>
        <w:t>Manifestaciones de Interés</w:t>
      </w:r>
      <w:r w:rsidRPr="00EA7870">
        <w:rPr>
          <w:sz w:val="20"/>
          <w:szCs w:val="20"/>
          <w:lang w:val="es-AR"/>
        </w:rPr>
        <w:t xml:space="preserve"> por cuenta de), aquellas personas o entidades con domicilio, constituidas y/o residentes de los países,</w:t>
      </w:r>
      <w:r w:rsidR="00166CD2" w:rsidRPr="00EA7870">
        <w:rPr>
          <w:sz w:val="20"/>
          <w:szCs w:val="20"/>
          <w:lang w:val="es-AR"/>
        </w:rPr>
        <w:t xml:space="preserve"> </w:t>
      </w:r>
      <w:r w:rsidRPr="00EA7870">
        <w:rPr>
          <w:sz w:val="20"/>
          <w:szCs w:val="20"/>
          <w:lang w:val="es-AR"/>
        </w:rPr>
        <w:t>dominios, jurisdicciones, territorios, estados asociados y regímenes tributarios especiales no considerados</w:t>
      </w:r>
      <w:r w:rsidR="00166CD2" w:rsidRPr="00EA7870">
        <w:rPr>
          <w:sz w:val="20"/>
          <w:szCs w:val="20"/>
          <w:lang w:val="es-AR"/>
        </w:rPr>
        <w:t xml:space="preserve"> </w:t>
      </w:r>
      <w:r w:rsidRPr="00EA7870">
        <w:rPr>
          <w:sz w:val="20"/>
          <w:szCs w:val="20"/>
          <w:lang w:val="es-AR"/>
        </w:rPr>
        <w:t>“cooperantes a los fines de la transparencia fiscal” o considerados de “baja o nula tributación”, y/o aquellas personas</w:t>
      </w:r>
      <w:r w:rsidR="00166CD2" w:rsidRPr="00EA7870">
        <w:rPr>
          <w:sz w:val="20"/>
          <w:szCs w:val="20"/>
          <w:lang w:val="es-AR"/>
        </w:rPr>
        <w:t xml:space="preserve"> </w:t>
      </w:r>
      <w:r w:rsidRPr="00EA7870">
        <w:rPr>
          <w:sz w:val="20"/>
          <w:szCs w:val="20"/>
          <w:lang w:val="es-AR"/>
        </w:rPr>
        <w:t>o entidades que, a efectos de la suscripción o integración de las Obligaciones Negociables, utilicen cuentas bancarias</w:t>
      </w:r>
      <w:r w:rsidR="00166CD2" w:rsidRPr="00EA7870">
        <w:rPr>
          <w:sz w:val="20"/>
          <w:szCs w:val="20"/>
          <w:lang w:val="es-AR"/>
        </w:rPr>
        <w:t xml:space="preserve"> </w:t>
      </w:r>
      <w:r w:rsidRPr="00EA7870">
        <w:rPr>
          <w:sz w:val="20"/>
          <w:szCs w:val="20"/>
          <w:lang w:val="es-AR"/>
        </w:rPr>
        <w:t>localizadas o abiertas en entidades financieras ubicadas en un país, dominio, jurisdicción, territorio, estado asociado</w:t>
      </w:r>
      <w:r w:rsidR="00166CD2" w:rsidRPr="00EA7870">
        <w:rPr>
          <w:sz w:val="20"/>
          <w:szCs w:val="20"/>
          <w:lang w:val="es-AR"/>
        </w:rPr>
        <w:t xml:space="preserve"> </w:t>
      </w:r>
      <w:r w:rsidRPr="00EA7870">
        <w:rPr>
          <w:sz w:val="20"/>
          <w:szCs w:val="20"/>
          <w:lang w:val="es-AR"/>
        </w:rPr>
        <w:t>o régimen tributario especial no considerados “cooperantes a los fines de la transparencia fiscal” o considerados de</w:t>
      </w:r>
      <w:r w:rsidR="006E7A99" w:rsidRPr="00EA7870">
        <w:rPr>
          <w:sz w:val="20"/>
          <w:szCs w:val="20"/>
          <w:lang w:val="es-AR"/>
        </w:rPr>
        <w:t xml:space="preserve"> </w:t>
      </w:r>
      <w:r w:rsidRPr="00EA7870">
        <w:rPr>
          <w:sz w:val="20"/>
          <w:szCs w:val="20"/>
          <w:lang w:val="es-AR"/>
        </w:rPr>
        <w:t>“baja o nula tributación”.</w:t>
      </w:r>
    </w:p>
    <w:p w14:paraId="46564626" w14:textId="77777777" w:rsidR="00611DF3" w:rsidRPr="00EA7870" w:rsidRDefault="00611DF3" w:rsidP="00997F7F">
      <w:pPr>
        <w:jc w:val="both"/>
        <w:rPr>
          <w:sz w:val="20"/>
          <w:szCs w:val="20"/>
          <w:lang w:val="es-AR"/>
        </w:rPr>
      </w:pPr>
    </w:p>
    <w:p w14:paraId="76CDFAC4" w14:textId="77777777" w:rsidR="00611DF3" w:rsidRPr="00EA7870" w:rsidRDefault="00611DF3" w:rsidP="00611DF3">
      <w:pPr>
        <w:jc w:val="both"/>
        <w:rPr>
          <w:sz w:val="20"/>
          <w:szCs w:val="20"/>
          <w:lang w:val="es-AR"/>
        </w:rPr>
      </w:pPr>
      <w:r w:rsidRPr="00EA7870">
        <w:rPr>
          <w:sz w:val="20"/>
          <w:szCs w:val="20"/>
          <w:lang w:val="es-AR"/>
        </w:rPr>
        <w:t>Adicionalmente, no podrán presentar Manifestaciones de Interés (ni el Colocador Local podrá presentar Manifestaciones de Interés por cuenta de), aquellas personas o entidades con domicilio, constituidas y/o residentes, del Reino de España. En este sentido, la Emisora podrá rechazar Manifestaciones de Interés de inversores con domicilio, constituidas y/o residentes, del Reino de España.</w:t>
      </w:r>
    </w:p>
    <w:p w14:paraId="571A1EAC" w14:textId="77777777" w:rsidR="00611DF3" w:rsidRPr="00EA7870" w:rsidRDefault="00611DF3" w:rsidP="00997F7F">
      <w:pPr>
        <w:jc w:val="both"/>
        <w:rPr>
          <w:sz w:val="20"/>
          <w:szCs w:val="20"/>
          <w:lang w:val="es-AR"/>
        </w:rPr>
      </w:pPr>
    </w:p>
    <w:p w14:paraId="201794DD" w14:textId="29F7708A" w:rsidR="00A57CE4" w:rsidRPr="00EA7870" w:rsidRDefault="00A57CE4" w:rsidP="00611DF3">
      <w:pPr>
        <w:jc w:val="both"/>
        <w:rPr>
          <w:sz w:val="20"/>
          <w:szCs w:val="20"/>
          <w:lang w:val="es-AR"/>
        </w:rPr>
      </w:pPr>
      <w:r w:rsidRPr="00EA7870">
        <w:rPr>
          <w:sz w:val="20"/>
          <w:szCs w:val="20"/>
          <w:lang w:val="es-AR"/>
        </w:rPr>
        <w:t xml:space="preserve">Asimismo, y de acuerdo con la Ley de Procedimiento Tributario Federal de la República Argentina Ley Nº11.683, según fuera modificada por Ley Nº 25.795, publicada en el Boletín Oficial el 17 de noviembre de 2003, cualquier entidad local que reciba fondos de cualquier naturaleza (es decir, préstamos, aportes de capital, entre otros) que provengan de entidades extranjeras ubicadas en jurisdicciones determinadas como de baja o nula tributación, se encontrarán sujetos al pago del impuesto a las ganancias y del impuesto al valor agregado, los cuales se calculan por referencia al 110% de los fondos recibidos, sin consecuencias directas para el tenedor de las Obligaciones Negociables. Ello surge de la presunción de que tales montos constituyen incrementos patrimoniales injustificados para la parte local que los recibe. </w:t>
      </w:r>
    </w:p>
    <w:p w14:paraId="43B696BC" w14:textId="77777777" w:rsidR="00611DF3" w:rsidRPr="00EA7870" w:rsidRDefault="00611DF3" w:rsidP="00611DF3">
      <w:pPr>
        <w:jc w:val="both"/>
        <w:rPr>
          <w:sz w:val="20"/>
          <w:szCs w:val="20"/>
          <w:lang w:val="es-AR"/>
        </w:rPr>
      </w:pPr>
    </w:p>
    <w:p w14:paraId="4EC189D4" w14:textId="77777777" w:rsidR="00A57CE4" w:rsidRPr="00EA7870" w:rsidRDefault="00A57CE4" w:rsidP="00611DF3">
      <w:pPr>
        <w:jc w:val="both"/>
        <w:rPr>
          <w:sz w:val="20"/>
          <w:szCs w:val="20"/>
          <w:lang w:val="es-AR"/>
        </w:rPr>
      </w:pPr>
      <w:r w:rsidRPr="00EA7870">
        <w:rPr>
          <w:sz w:val="20"/>
          <w:szCs w:val="20"/>
          <w:lang w:val="es-AR"/>
        </w:rPr>
        <w:t>No obstante la presunción antes mencionada, la norma legal anticipa que la Administración Federal de Ingresos Públicos podrá considerar justificados aquellos ingresos de fondos respecto de los cuales se pruebe fehacientemente que fueron originados en actividades efectivamente realizadas por un contribuyente argentino o por un tercero en dichas jurisdicciones, o que los fondos provienen de colocaciones de fondos oportunamente declarados. Aunque la presunción en cuestión parecería no ser aplicable a obligaciones negociables colocadas por oferta pública, no podemos brindar garantías que ese vaya a ser el caso.</w:t>
      </w:r>
    </w:p>
    <w:p w14:paraId="575FFD54" w14:textId="77777777" w:rsidR="00B03FCD" w:rsidRPr="00EA7870" w:rsidRDefault="00B03FCD" w:rsidP="00611DF3">
      <w:pPr>
        <w:jc w:val="both"/>
        <w:rPr>
          <w:sz w:val="20"/>
          <w:szCs w:val="20"/>
          <w:lang w:val="es-AR"/>
        </w:rPr>
      </w:pPr>
    </w:p>
    <w:p w14:paraId="71D17A8E" w14:textId="77777777" w:rsidR="00A57CE4" w:rsidRPr="00EA7870" w:rsidRDefault="00A57CE4" w:rsidP="00611DF3">
      <w:pPr>
        <w:jc w:val="both"/>
        <w:rPr>
          <w:sz w:val="20"/>
          <w:szCs w:val="20"/>
          <w:lang w:val="es-AR"/>
        </w:rPr>
      </w:pPr>
      <w:r w:rsidRPr="00EA7870">
        <w:rPr>
          <w:sz w:val="20"/>
          <w:szCs w:val="20"/>
          <w:lang w:val="es-AR"/>
        </w:rPr>
        <w:t xml:space="preserve">En este sentido, la Emisora podrá rechazar Manifestaciones de Interés de inversores residentes de, o cuyos fondos provengan de cuentas ubicadas en, jurisdicciones de baja o nula tributación ya que podría someterla a las consecuencias descriptas en el párrafo anterior. </w:t>
      </w:r>
    </w:p>
    <w:p w14:paraId="0C57930C" w14:textId="77777777" w:rsidR="00611DF3" w:rsidRPr="00EA7870" w:rsidRDefault="00611DF3" w:rsidP="00611DF3">
      <w:pPr>
        <w:jc w:val="both"/>
        <w:rPr>
          <w:sz w:val="20"/>
          <w:szCs w:val="20"/>
          <w:lang w:val="es-AR"/>
        </w:rPr>
      </w:pPr>
    </w:p>
    <w:p w14:paraId="16B0F7C6" w14:textId="14A53880" w:rsidR="00A57CE4" w:rsidRPr="00EA7870" w:rsidRDefault="00A57CE4" w:rsidP="00997F7F">
      <w:pPr>
        <w:jc w:val="both"/>
        <w:rPr>
          <w:sz w:val="20"/>
          <w:szCs w:val="20"/>
          <w:lang w:val="es-AR"/>
        </w:rPr>
      </w:pPr>
      <w:r w:rsidRPr="00EA7870">
        <w:rPr>
          <w:sz w:val="20"/>
          <w:szCs w:val="20"/>
          <w:lang w:val="es-AR"/>
        </w:rPr>
        <w:t>De acuerdo con la Ley de Impuesto a las Ganancias las jurisdicciones de baja o nula tributación son aquellos países, dominios, jurisdicciones, territorios, estados asociados o regímenes tributarios especiales que establezcan una tributación máxima a la renta empresaria inferior al 60% de la alícuota contemplada en el inciso a) del artículo 69 de esta ley, de acuerdo con el artículo incorporado a la Ley de Impuesto a las Ganancias por el artículo 12 de la Ley N°27.430.</w:t>
      </w:r>
    </w:p>
    <w:p w14:paraId="00BFC11C" w14:textId="77777777" w:rsidR="00B03FCD" w:rsidRPr="00EA7870" w:rsidRDefault="00B03FCD" w:rsidP="00997F7F">
      <w:pPr>
        <w:jc w:val="both"/>
        <w:rPr>
          <w:sz w:val="20"/>
          <w:szCs w:val="20"/>
          <w:lang w:val="es-AR"/>
        </w:rPr>
      </w:pPr>
    </w:p>
    <w:p w14:paraId="1E1E1430" w14:textId="77777777" w:rsidR="00611DF3" w:rsidRPr="00EA7870" w:rsidRDefault="00611DF3" w:rsidP="00611DF3">
      <w:pPr>
        <w:jc w:val="both"/>
        <w:rPr>
          <w:b/>
          <w:sz w:val="20"/>
          <w:szCs w:val="20"/>
          <w:lang w:val="es-AR"/>
        </w:rPr>
      </w:pPr>
      <w:r w:rsidRPr="00EA7870">
        <w:rPr>
          <w:b/>
          <w:sz w:val="20"/>
          <w:szCs w:val="20"/>
          <w:lang w:val="es-AR"/>
        </w:rPr>
        <w:t xml:space="preserve">La Emisora, los Colocadores Internacionales y el Colocador Local no pueden garantizar </w:t>
      </w:r>
      <w:r w:rsidRPr="00EA7870">
        <w:rPr>
          <w:b/>
          <w:bCs/>
          <w:iCs/>
          <w:sz w:val="20"/>
          <w:szCs w:val="20"/>
          <w:lang w:val="es-AR"/>
        </w:rPr>
        <w:t xml:space="preserve">que sus </w:t>
      </w:r>
      <w:r w:rsidRPr="00EA7870">
        <w:rPr>
          <w:b/>
          <w:sz w:val="20"/>
          <w:szCs w:val="20"/>
          <w:lang w:val="es-AR"/>
        </w:rPr>
        <w:t>Manifestaciones de Interés</w:t>
      </w:r>
      <w:r w:rsidRPr="00EA7870">
        <w:rPr>
          <w:sz w:val="20"/>
          <w:szCs w:val="20"/>
          <w:lang w:val="es-AR"/>
        </w:rPr>
        <w:t xml:space="preserve"> </w:t>
      </w:r>
      <w:r w:rsidRPr="00EA7870">
        <w:rPr>
          <w:b/>
          <w:sz w:val="20"/>
          <w:szCs w:val="20"/>
          <w:lang w:val="es-AR"/>
        </w:rPr>
        <w:t xml:space="preserve">serán adjudicadas </w:t>
      </w:r>
      <w:r w:rsidRPr="00EA7870">
        <w:rPr>
          <w:b/>
          <w:bCs/>
          <w:iCs/>
          <w:sz w:val="20"/>
          <w:szCs w:val="20"/>
          <w:lang w:val="es-AR"/>
        </w:rPr>
        <w:t xml:space="preserve">ni que, en caso de que ello suceda, se les adjudicará el monto </w:t>
      </w:r>
      <w:r w:rsidRPr="00EA7870">
        <w:rPr>
          <w:b/>
          <w:sz w:val="20"/>
          <w:szCs w:val="20"/>
          <w:lang w:val="es-AR"/>
        </w:rPr>
        <w:t xml:space="preserve">total </w:t>
      </w:r>
      <w:r w:rsidRPr="00EA7870">
        <w:rPr>
          <w:b/>
          <w:bCs/>
          <w:iCs/>
          <w:sz w:val="20"/>
          <w:szCs w:val="20"/>
          <w:lang w:val="es-AR"/>
        </w:rPr>
        <w:t>de las Obligaciones Negociables que hubieran solicitado ni que el porcentaje de adjudicación sobre el monto total solicitado entre dos Manifestaciones de Interés de igual características será el mismo</w:t>
      </w:r>
      <w:r w:rsidRPr="00EA7870">
        <w:rPr>
          <w:b/>
          <w:sz w:val="20"/>
          <w:szCs w:val="20"/>
          <w:lang w:val="es-AR"/>
        </w:rPr>
        <w:t>.</w:t>
      </w:r>
    </w:p>
    <w:p w14:paraId="02F94431" w14:textId="77777777" w:rsidR="007B2387" w:rsidRPr="00EA7870" w:rsidRDefault="007B2387" w:rsidP="00E06527">
      <w:pPr>
        <w:jc w:val="both"/>
        <w:rPr>
          <w:sz w:val="20"/>
          <w:szCs w:val="20"/>
          <w:lang w:val="es-AR"/>
        </w:rPr>
      </w:pPr>
    </w:p>
    <w:p w14:paraId="2FB9BB9B" w14:textId="77777777" w:rsidR="00E06527" w:rsidRPr="00EA7870" w:rsidRDefault="00E06527" w:rsidP="00E06527">
      <w:pPr>
        <w:keepNext/>
        <w:spacing w:after="240"/>
        <w:jc w:val="both"/>
        <w:rPr>
          <w:b/>
          <w:i/>
          <w:sz w:val="20"/>
          <w:szCs w:val="20"/>
          <w:lang w:val="es-AR"/>
        </w:rPr>
      </w:pPr>
      <w:r w:rsidRPr="00EA7870">
        <w:rPr>
          <w:b/>
          <w:i/>
          <w:sz w:val="20"/>
          <w:szCs w:val="20"/>
          <w:lang w:val="es-AR"/>
        </w:rPr>
        <w:t>Modificación,</w:t>
      </w:r>
      <w:r w:rsidR="001A28B3" w:rsidRPr="00EA7870">
        <w:rPr>
          <w:b/>
          <w:i/>
          <w:sz w:val="20"/>
          <w:szCs w:val="20"/>
          <w:lang w:val="es-AR"/>
        </w:rPr>
        <w:t xml:space="preserve"> </w:t>
      </w:r>
      <w:r w:rsidRPr="00EA7870">
        <w:rPr>
          <w:b/>
          <w:i/>
          <w:sz w:val="20"/>
          <w:szCs w:val="20"/>
          <w:lang w:val="es-AR"/>
        </w:rPr>
        <w:t>Suspensión</w:t>
      </w:r>
      <w:r w:rsidR="001A28B3" w:rsidRPr="00EA7870">
        <w:rPr>
          <w:b/>
          <w:i/>
          <w:sz w:val="20"/>
          <w:szCs w:val="20"/>
          <w:lang w:val="es-AR"/>
        </w:rPr>
        <w:t xml:space="preserve"> </w:t>
      </w:r>
      <w:r w:rsidRPr="00EA7870">
        <w:rPr>
          <w:b/>
          <w:i/>
          <w:sz w:val="20"/>
          <w:szCs w:val="20"/>
          <w:lang w:val="es-AR"/>
        </w:rPr>
        <w:t>y/o</w:t>
      </w:r>
      <w:r w:rsidR="001A28B3" w:rsidRPr="00EA7870">
        <w:rPr>
          <w:b/>
          <w:i/>
          <w:sz w:val="20"/>
          <w:szCs w:val="20"/>
          <w:lang w:val="es-AR"/>
        </w:rPr>
        <w:t xml:space="preserve"> </w:t>
      </w:r>
      <w:r w:rsidRPr="00EA7870">
        <w:rPr>
          <w:b/>
          <w:i/>
          <w:sz w:val="20"/>
          <w:szCs w:val="20"/>
          <w:lang w:val="es-AR"/>
        </w:rPr>
        <w:t>Prórroga</w:t>
      </w:r>
    </w:p>
    <w:p w14:paraId="035EFECF" w14:textId="77777777" w:rsidR="00844209" w:rsidRPr="00EA7870" w:rsidRDefault="00E06527" w:rsidP="00E06527">
      <w:pPr>
        <w:spacing w:after="240"/>
        <w:jc w:val="both"/>
        <w:rPr>
          <w:sz w:val="20"/>
          <w:szCs w:val="20"/>
          <w:lang w:val="es-AR"/>
        </w:rPr>
      </w:pPr>
      <w:r w:rsidRPr="00EA7870">
        <w:rPr>
          <w:sz w:val="20"/>
          <w:szCs w:val="20"/>
          <w:lang w:val="es-AR"/>
        </w:rPr>
        <w:t>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modificado,</w:t>
      </w:r>
      <w:r w:rsidR="001A28B3" w:rsidRPr="00EA7870">
        <w:rPr>
          <w:sz w:val="20"/>
          <w:szCs w:val="20"/>
          <w:lang w:val="es-AR"/>
        </w:rPr>
        <w:t xml:space="preserve"> </w:t>
      </w:r>
      <w:r w:rsidRPr="00EA7870">
        <w:rPr>
          <w:sz w:val="20"/>
          <w:szCs w:val="20"/>
          <w:lang w:val="es-AR"/>
        </w:rPr>
        <w:t>suspendido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prorrogado</w:t>
      </w:r>
      <w:r w:rsidR="001A28B3" w:rsidRPr="00EA7870">
        <w:rPr>
          <w:sz w:val="20"/>
          <w:szCs w:val="20"/>
          <w:lang w:val="es-AR"/>
        </w:rPr>
        <w:t xml:space="preserve"> </w:t>
      </w:r>
      <w:r w:rsidR="002043EF" w:rsidRPr="00EA7870">
        <w:rPr>
          <w:sz w:val="20"/>
          <w:szCs w:val="20"/>
          <w:lang w:val="es-AR"/>
        </w:rPr>
        <w:t>en</w:t>
      </w:r>
      <w:r w:rsidR="001A28B3" w:rsidRPr="00EA7870">
        <w:rPr>
          <w:sz w:val="20"/>
          <w:szCs w:val="20"/>
          <w:lang w:val="es-AR"/>
        </w:rPr>
        <w:t xml:space="preserve"> </w:t>
      </w:r>
      <w:r w:rsidR="002043EF" w:rsidRPr="00EA7870">
        <w:rPr>
          <w:sz w:val="20"/>
          <w:szCs w:val="20"/>
          <w:lang w:val="es-AR"/>
        </w:rPr>
        <w:t>cualquier</w:t>
      </w:r>
      <w:r w:rsidR="001A28B3" w:rsidRPr="00EA7870">
        <w:rPr>
          <w:sz w:val="20"/>
          <w:szCs w:val="20"/>
          <w:lang w:val="es-AR"/>
        </w:rPr>
        <w:t xml:space="preserve"> </w:t>
      </w:r>
      <w:r w:rsidR="002043EF" w:rsidRPr="00EA7870">
        <w:rPr>
          <w:sz w:val="20"/>
          <w:szCs w:val="20"/>
          <w:lang w:val="es-AR"/>
        </w:rPr>
        <w:t>momento</w:t>
      </w:r>
      <w:r w:rsidR="001A28B3" w:rsidRPr="00EA7870">
        <w:rPr>
          <w:sz w:val="20"/>
          <w:szCs w:val="20"/>
          <w:lang w:val="es-AR"/>
        </w:rPr>
        <w:t xml:space="preserve"> </w:t>
      </w:r>
      <w:r w:rsidRPr="00EA7870">
        <w:rPr>
          <w:sz w:val="20"/>
          <w:szCs w:val="20"/>
          <w:lang w:val="es-AR"/>
        </w:rPr>
        <w:t>antes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vencimiento</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plazo</w:t>
      </w:r>
      <w:r w:rsidR="001A28B3" w:rsidRPr="00EA7870">
        <w:rPr>
          <w:sz w:val="20"/>
          <w:szCs w:val="20"/>
          <w:lang w:val="es-AR"/>
        </w:rPr>
        <w:t xml:space="preserve"> </w:t>
      </w:r>
      <w:r w:rsidRPr="00EA7870">
        <w:rPr>
          <w:sz w:val="20"/>
          <w:szCs w:val="20"/>
          <w:lang w:val="es-AR"/>
        </w:rPr>
        <w:t>original,</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medio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002043EF" w:rsidRPr="00EA7870">
        <w:rPr>
          <w:sz w:val="20"/>
          <w:szCs w:val="20"/>
          <w:lang w:val="es-AR"/>
        </w:rPr>
        <w:t>aviso</w:t>
      </w:r>
      <w:r w:rsidR="001A28B3" w:rsidRPr="00EA7870">
        <w:rPr>
          <w:sz w:val="20"/>
          <w:szCs w:val="20"/>
          <w:lang w:val="es-AR"/>
        </w:rPr>
        <w:t xml:space="preserve"> </w:t>
      </w:r>
      <w:r w:rsidR="002043EF" w:rsidRPr="00EA7870">
        <w:rPr>
          <w:sz w:val="20"/>
          <w:szCs w:val="20"/>
          <w:lang w:val="es-AR"/>
        </w:rPr>
        <w:t>complementario</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presente</w:t>
      </w:r>
      <w:r w:rsidR="001A28B3" w:rsidRPr="00EA7870">
        <w:rPr>
          <w:sz w:val="20"/>
          <w:szCs w:val="20"/>
          <w:lang w:val="es-AR"/>
        </w:rPr>
        <w:t xml:space="preserve"> </w:t>
      </w:r>
      <w:r w:rsidR="002043EF" w:rsidRPr="00EA7870">
        <w:rPr>
          <w:sz w:val="20"/>
          <w:szCs w:val="20"/>
          <w:lang w:val="es-AR"/>
        </w:rPr>
        <w:t>Suplemento</w:t>
      </w:r>
      <w:r w:rsidRPr="00EA7870">
        <w:rPr>
          <w:sz w:val="20"/>
          <w:szCs w:val="20"/>
          <w:lang w:val="es-AR"/>
        </w:rPr>
        <w:t>.</w:t>
      </w:r>
      <w:r w:rsidR="001A28B3" w:rsidRPr="00EA7870">
        <w:rPr>
          <w:sz w:val="20"/>
          <w:szCs w:val="20"/>
          <w:lang w:val="es-AR"/>
        </w:rPr>
        <w:t xml:space="preserve"> </w:t>
      </w:r>
    </w:p>
    <w:p w14:paraId="6E61F8FA" w14:textId="77777777" w:rsidR="00844209" w:rsidRPr="00EA7870" w:rsidRDefault="00E06527" w:rsidP="00E06527">
      <w:pPr>
        <w:spacing w:after="240"/>
        <w:jc w:val="both"/>
        <w:rPr>
          <w:sz w:val="20"/>
          <w:szCs w:val="20"/>
          <w:lang w:val="es-AR"/>
        </w:rPr>
      </w:pPr>
      <w:r w:rsidRPr="00EA7870">
        <w:rPr>
          <w:sz w:val="20"/>
          <w:szCs w:val="20"/>
          <w:lang w:val="es-AR"/>
        </w:rPr>
        <w:t>Ni</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Pr="00EA7870">
        <w:rPr>
          <w:sz w:val="20"/>
          <w:szCs w:val="20"/>
          <w:lang w:val="es-AR"/>
        </w:rPr>
        <w:t>,</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007B2387" w:rsidRPr="00EA7870">
        <w:rPr>
          <w:sz w:val="20"/>
          <w:szCs w:val="20"/>
          <w:lang w:val="es-AR"/>
        </w:rPr>
        <w:t>el Colocador Local</w:t>
      </w:r>
      <w:r w:rsidRPr="00EA7870">
        <w:rPr>
          <w:sz w:val="20"/>
          <w:szCs w:val="20"/>
          <w:lang w:val="es-AR"/>
        </w:rPr>
        <w:t>,</w:t>
      </w:r>
      <w:r w:rsidR="001A28B3" w:rsidRPr="00EA7870">
        <w:rPr>
          <w:sz w:val="20"/>
          <w:szCs w:val="20"/>
          <w:lang w:val="es-AR"/>
        </w:rPr>
        <w:t xml:space="preserve"> </w:t>
      </w:r>
      <w:r w:rsidRPr="00EA7870">
        <w:rPr>
          <w:sz w:val="20"/>
          <w:szCs w:val="20"/>
          <w:lang w:val="es-AR"/>
        </w:rPr>
        <w:t>ni</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responsables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suspensión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prórroga</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Adjudicación,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aquellos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presentado</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Manifestación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tendrán</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percibir</w:t>
      </w:r>
      <w:r w:rsidR="001A28B3" w:rsidRPr="00EA7870">
        <w:rPr>
          <w:sz w:val="20"/>
          <w:szCs w:val="20"/>
          <w:lang w:val="es-AR"/>
        </w:rPr>
        <w:t xml:space="preserve"> </w:t>
      </w:r>
      <w:r w:rsidRPr="00EA7870">
        <w:rPr>
          <w:sz w:val="20"/>
          <w:szCs w:val="20"/>
          <w:lang w:val="es-AR"/>
        </w:rPr>
        <w:t>compensación</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resultado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modificación,</w:t>
      </w:r>
      <w:r w:rsidR="001A28B3" w:rsidRPr="00EA7870">
        <w:rPr>
          <w:sz w:val="20"/>
          <w:szCs w:val="20"/>
          <w:lang w:val="es-AR"/>
        </w:rPr>
        <w:t xml:space="preserve"> </w:t>
      </w:r>
      <w:r w:rsidRPr="00EA7870">
        <w:rPr>
          <w:sz w:val="20"/>
          <w:szCs w:val="20"/>
          <w:lang w:val="es-AR"/>
        </w:rPr>
        <w:t>suspensión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prórroga.</w:t>
      </w:r>
      <w:r w:rsidR="001A28B3" w:rsidRPr="00EA7870">
        <w:rPr>
          <w:sz w:val="20"/>
          <w:szCs w:val="20"/>
          <w:lang w:val="es-AR"/>
        </w:rPr>
        <w:t xml:space="preserve"> </w:t>
      </w:r>
    </w:p>
    <w:p w14:paraId="3F998E59" w14:textId="77777777" w:rsidR="00E06527" w:rsidRPr="00EA7870" w:rsidRDefault="00E06527" w:rsidP="00E06527">
      <w:pPr>
        <w:spacing w:after="240"/>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Adjudicación</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finalizada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revocada,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tome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decisión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emitir</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continuar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recibidas</w:t>
      </w:r>
      <w:r w:rsidR="001A28B3" w:rsidRPr="00EA7870">
        <w:rPr>
          <w:sz w:val="20"/>
          <w:szCs w:val="20"/>
          <w:lang w:val="es-AR"/>
        </w:rPr>
        <w:t xml:space="preserve"> </w:t>
      </w:r>
      <w:r w:rsidRPr="00EA7870">
        <w:rPr>
          <w:sz w:val="20"/>
          <w:szCs w:val="20"/>
          <w:lang w:val="es-AR"/>
        </w:rPr>
        <w:t>quedarán</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efecto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automática.</w:t>
      </w:r>
    </w:p>
    <w:p w14:paraId="00F6CC2B" w14:textId="77777777" w:rsidR="00E06527" w:rsidRPr="00EA7870" w:rsidRDefault="00E06527" w:rsidP="00E06527">
      <w:pPr>
        <w:spacing w:after="240"/>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660DD1"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suspendido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prorrogado,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presentado</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dicho</w:t>
      </w:r>
      <w:r w:rsidR="001A28B3" w:rsidRPr="00EA7870">
        <w:rPr>
          <w:sz w:val="20"/>
          <w:szCs w:val="20"/>
          <w:lang w:val="es-AR"/>
        </w:rPr>
        <w:t xml:space="preserve"> </w:t>
      </w:r>
      <w:r w:rsidR="00660DD1" w:rsidRPr="00EA7870">
        <w:rPr>
          <w:sz w:val="20"/>
          <w:szCs w:val="20"/>
          <w:lang w:val="es-AR"/>
        </w:rPr>
        <w:t>período</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entera</w:t>
      </w:r>
      <w:r w:rsidR="001A28B3" w:rsidRPr="00EA7870">
        <w:rPr>
          <w:sz w:val="20"/>
          <w:szCs w:val="20"/>
          <w:lang w:val="es-AR"/>
        </w:rPr>
        <w:t xml:space="preserve"> </w:t>
      </w:r>
      <w:r w:rsidRPr="00EA7870">
        <w:rPr>
          <w:sz w:val="20"/>
          <w:szCs w:val="20"/>
          <w:lang w:val="es-AR"/>
        </w:rPr>
        <w:t>discreción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pasibles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penalidad</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retirar</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momento</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660DD1"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suspensión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nuevo</w:t>
      </w:r>
      <w:r w:rsidR="001A28B3" w:rsidRPr="00EA7870">
        <w:rPr>
          <w:sz w:val="20"/>
          <w:szCs w:val="20"/>
          <w:lang w:val="es-AR"/>
        </w:rPr>
        <w:t xml:space="preserve"> </w:t>
      </w:r>
      <w:r w:rsidR="00660DD1"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prorrogado.</w:t>
      </w:r>
    </w:p>
    <w:p w14:paraId="17034D50" w14:textId="77777777" w:rsidR="00E06527" w:rsidRPr="00EA7870" w:rsidRDefault="00E06527" w:rsidP="00E06527">
      <w:pPr>
        <w:keepNext/>
        <w:spacing w:after="240"/>
        <w:jc w:val="both"/>
        <w:rPr>
          <w:b/>
          <w:i/>
          <w:sz w:val="20"/>
          <w:szCs w:val="20"/>
          <w:lang w:val="es-AR"/>
        </w:rPr>
      </w:pPr>
      <w:r w:rsidRPr="00EA7870">
        <w:rPr>
          <w:b/>
          <w:i/>
          <w:sz w:val="20"/>
          <w:szCs w:val="20"/>
          <w:lang w:val="es-AR"/>
        </w:rPr>
        <w:t>Rechazo</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Manifestaciones</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Interés;</w:t>
      </w:r>
      <w:r w:rsidR="001A28B3" w:rsidRPr="00EA7870">
        <w:rPr>
          <w:b/>
          <w:i/>
          <w:sz w:val="20"/>
          <w:szCs w:val="20"/>
          <w:lang w:val="es-AR"/>
        </w:rPr>
        <w:t xml:space="preserve"> </w:t>
      </w:r>
      <w:r w:rsidRPr="00EA7870">
        <w:rPr>
          <w:b/>
          <w:i/>
          <w:sz w:val="20"/>
          <w:szCs w:val="20"/>
          <w:lang w:val="es-AR"/>
        </w:rPr>
        <w:t>Terminación</w:t>
      </w:r>
      <w:r w:rsidR="001A28B3" w:rsidRPr="00EA7870">
        <w:rPr>
          <w:b/>
          <w:i/>
          <w:sz w:val="20"/>
          <w:szCs w:val="20"/>
          <w:lang w:val="es-AR"/>
        </w:rPr>
        <w:t xml:space="preserve"> </w:t>
      </w:r>
      <w:r w:rsidRPr="00EA7870">
        <w:rPr>
          <w:b/>
          <w:i/>
          <w:sz w:val="20"/>
          <w:szCs w:val="20"/>
          <w:lang w:val="es-AR"/>
        </w:rPr>
        <w:t>de</w:t>
      </w:r>
      <w:r w:rsidR="001A28B3" w:rsidRPr="00EA7870">
        <w:rPr>
          <w:b/>
          <w:i/>
          <w:sz w:val="20"/>
          <w:szCs w:val="20"/>
          <w:lang w:val="es-AR"/>
        </w:rPr>
        <w:t xml:space="preserve"> </w:t>
      </w:r>
      <w:r w:rsidRPr="00EA7870">
        <w:rPr>
          <w:b/>
          <w:i/>
          <w:sz w:val="20"/>
          <w:szCs w:val="20"/>
          <w:lang w:val="es-AR"/>
        </w:rPr>
        <w:t>la</w:t>
      </w:r>
      <w:r w:rsidR="001A28B3" w:rsidRPr="00EA7870">
        <w:rPr>
          <w:b/>
          <w:i/>
          <w:sz w:val="20"/>
          <w:szCs w:val="20"/>
          <w:lang w:val="es-AR"/>
        </w:rPr>
        <w:t xml:space="preserve"> </w:t>
      </w:r>
      <w:r w:rsidRPr="00EA7870">
        <w:rPr>
          <w:b/>
          <w:i/>
          <w:sz w:val="20"/>
          <w:szCs w:val="20"/>
          <w:lang w:val="es-AR"/>
        </w:rPr>
        <w:t>Oferta</w:t>
      </w:r>
    </w:p>
    <w:p w14:paraId="74B9B8AC" w14:textId="77777777" w:rsidR="00E06527" w:rsidRPr="00EA7870" w:rsidRDefault="00E06527" w:rsidP="00E06527">
      <w:pPr>
        <w:spacing w:after="240"/>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ser</w:t>
      </w:r>
      <w:r w:rsidR="001A28B3" w:rsidRPr="00EA7870">
        <w:rPr>
          <w:sz w:val="20"/>
          <w:szCs w:val="20"/>
          <w:lang w:val="es-AR"/>
        </w:rPr>
        <w:t xml:space="preserve"> </w:t>
      </w:r>
      <w:r w:rsidRPr="00EA7870">
        <w:rPr>
          <w:sz w:val="20"/>
          <w:szCs w:val="20"/>
          <w:lang w:val="es-AR"/>
        </w:rPr>
        <w:t>rechazadas</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contengan</w:t>
      </w:r>
      <w:r w:rsidR="001A28B3" w:rsidRPr="00EA7870">
        <w:rPr>
          <w:sz w:val="20"/>
          <w:szCs w:val="20"/>
          <w:lang w:val="es-AR"/>
        </w:rPr>
        <w:t xml:space="preserve"> </w:t>
      </w:r>
      <w:r w:rsidRPr="00EA7870">
        <w:rPr>
          <w:sz w:val="20"/>
          <w:szCs w:val="20"/>
          <w:lang w:val="es-AR"/>
        </w:rPr>
        <w:t>errores</w:t>
      </w:r>
      <w:r w:rsidR="001A28B3" w:rsidRPr="00EA7870">
        <w:rPr>
          <w:sz w:val="20"/>
          <w:szCs w:val="20"/>
          <w:lang w:val="es-AR"/>
        </w:rPr>
        <w:t xml:space="preserve"> </w:t>
      </w:r>
      <w:r w:rsidRPr="00EA7870">
        <w:rPr>
          <w:sz w:val="20"/>
          <w:szCs w:val="20"/>
          <w:lang w:val="es-AR"/>
        </w:rPr>
        <w:t>u</w:t>
      </w:r>
      <w:r w:rsidR="001A28B3" w:rsidRPr="00EA7870">
        <w:rPr>
          <w:sz w:val="20"/>
          <w:szCs w:val="20"/>
          <w:lang w:val="es-AR"/>
        </w:rPr>
        <w:t xml:space="preserve"> </w:t>
      </w:r>
      <w:r w:rsidRPr="00EA7870">
        <w:rPr>
          <w:sz w:val="20"/>
          <w:szCs w:val="20"/>
          <w:lang w:val="es-AR"/>
        </w:rPr>
        <w:t>omisiones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hagan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procesamiento</w:t>
      </w:r>
      <w:r w:rsidR="001A28B3" w:rsidRPr="00EA7870">
        <w:rPr>
          <w:sz w:val="20"/>
          <w:szCs w:val="20"/>
          <w:lang w:val="es-AR"/>
        </w:rPr>
        <w:t xml:space="preserve"> </w:t>
      </w:r>
      <w:r w:rsidRPr="00EA7870">
        <w:rPr>
          <w:sz w:val="20"/>
          <w:szCs w:val="20"/>
          <w:lang w:val="es-AR"/>
        </w:rPr>
        <w:t>indebidamente</w:t>
      </w:r>
      <w:r w:rsidR="001A28B3" w:rsidRPr="00EA7870">
        <w:rPr>
          <w:sz w:val="20"/>
          <w:szCs w:val="20"/>
          <w:lang w:val="es-AR"/>
        </w:rPr>
        <w:t xml:space="preserve"> </w:t>
      </w:r>
      <w:r w:rsidRPr="00EA7870">
        <w:rPr>
          <w:sz w:val="20"/>
          <w:szCs w:val="20"/>
          <w:lang w:val="es-AR"/>
        </w:rPr>
        <w:t>gravoso</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impidan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procesamiento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sistema,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cumplan</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según</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describe</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mayor</w:t>
      </w:r>
      <w:r w:rsidR="001A28B3" w:rsidRPr="00EA7870">
        <w:rPr>
          <w:sz w:val="20"/>
          <w:szCs w:val="20"/>
          <w:lang w:val="es-AR"/>
        </w:rPr>
        <w:t xml:space="preserve"> </w:t>
      </w:r>
      <w:r w:rsidRPr="00EA7870">
        <w:rPr>
          <w:sz w:val="20"/>
          <w:szCs w:val="20"/>
          <w:lang w:val="es-AR"/>
        </w:rPr>
        <w:t>detalle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continuación.</w:t>
      </w:r>
    </w:p>
    <w:p w14:paraId="13EE962F" w14:textId="3622916A" w:rsidR="00E06527" w:rsidRPr="00EA7870" w:rsidRDefault="00E06527" w:rsidP="00E06527">
      <w:pPr>
        <w:spacing w:after="240"/>
        <w:jc w:val="both"/>
        <w:rPr>
          <w:sz w:val="20"/>
          <w:szCs w:val="20"/>
          <w:lang w:val="es-AR"/>
        </w:rPr>
      </w:pPr>
      <w:r w:rsidRPr="00EA7870">
        <w:rPr>
          <w:sz w:val="20"/>
          <w:szCs w:val="20"/>
          <w:lang w:val="es-AR"/>
        </w:rPr>
        <w:t>Aquellos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presentado</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deberán</w:t>
      </w:r>
      <w:r w:rsidR="001A28B3" w:rsidRPr="00EA7870">
        <w:rPr>
          <w:sz w:val="20"/>
          <w:szCs w:val="20"/>
          <w:lang w:val="es-AR"/>
        </w:rPr>
        <w:t xml:space="preserve"> </w:t>
      </w:r>
      <w:r w:rsidRPr="00EA7870">
        <w:rPr>
          <w:sz w:val="20"/>
          <w:szCs w:val="20"/>
          <w:lang w:val="es-AR"/>
        </w:rPr>
        <w:t>entregar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00DB46F3" w:rsidRPr="00EA7870">
        <w:rPr>
          <w:sz w:val="20"/>
          <w:szCs w:val="20"/>
          <w:lang w:val="es-AR"/>
        </w:rPr>
        <w:t>la</w:t>
      </w:r>
      <w:r w:rsidR="001A28B3" w:rsidRPr="00EA7870">
        <w:rPr>
          <w:sz w:val="20"/>
          <w:szCs w:val="20"/>
          <w:lang w:val="es-AR"/>
        </w:rPr>
        <w:t xml:space="preserve"> </w:t>
      </w:r>
      <w:r w:rsidR="00DB46F3" w:rsidRPr="00EA7870">
        <w:rPr>
          <w:sz w:val="20"/>
          <w:szCs w:val="20"/>
          <w:lang w:val="es-AR"/>
        </w:rPr>
        <w:t>Emisora,</w:t>
      </w:r>
      <w:r w:rsidR="001A28B3" w:rsidRPr="00EA7870">
        <w:rPr>
          <w:sz w:val="20"/>
          <w:szCs w:val="20"/>
          <w:lang w:val="es-AR"/>
        </w:rPr>
        <w:t xml:space="preserve"> </w:t>
      </w:r>
      <w:r w:rsidR="00343641" w:rsidRPr="00EA7870">
        <w:rPr>
          <w:sz w:val="20"/>
          <w:szCs w:val="20"/>
          <w:lang w:val="es-AR"/>
        </w:rPr>
        <w:t>a</w:t>
      </w:r>
      <w:r w:rsidR="007B2387" w:rsidRPr="00EA7870">
        <w:rPr>
          <w:sz w:val="20"/>
          <w:szCs w:val="20"/>
          <w:lang w:val="es-AR"/>
        </w:rPr>
        <w:t>l Colocador Local</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1A28B3" w:rsidRPr="00EA7870">
        <w:rPr>
          <w:sz w:val="20"/>
          <w:szCs w:val="20"/>
          <w:lang w:val="es-AR"/>
        </w:rPr>
        <w:t xml:space="preserve"> </w:t>
      </w:r>
      <w:r w:rsidRPr="00EA7870">
        <w:rPr>
          <w:sz w:val="20"/>
          <w:szCs w:val="20"/>
          <w:lang w:val="es-AR"/>
        </w:rPr>
        <w:t>toda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documentación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éstos</w:t>
      </w:r>
      <w:r w:rsidR="001A28B3" w:rsidRPr="00EA7870">
        <w:rPr>
          <w:sz w:val="20"/>
          <w:szCs w:val="20"/>
          <w:lang w:val="es-AR"/>
        </w:rPr>
        <w:t xml:space="preserve"> </w:t>
      </w:r>
      <w:r w:rsidRPr="00EA7870">
        <w:rPr>
          <w:sz w:val="20"/>
          <w:szCs w:val="20"/>
          <w:lang w:val="es-AR"/>
        </w:rPr>
        <w:t>puedan</w:t>
      </w:r>
      <w:r w:rsidR="001A28B3" w:rsidRPr="00EA7870">
        <w:rPr>
          <w:sz w:val="20"/>
          <w:szCs w:val="20"/>
          <w:lang w:val="es-AR"/>
        </w:rPr>
        <w:t xml:space="preserve"> </w:t>
      </w:r>
      <w:r w:rsidRPr="00EA7870">
        <w:rPr>
          <w:sz w:val="20"/>
          <w:szCs w:val="20"/>
          <w:lang w:val="es-AR"/>
        </w:rPr>
        <w:t>solicitar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fin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cumplir</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reglamentaciones</w:t>
      </w:r>
      <w:r w:rsidR="001A28B3" w:rsidRPr="00EA7870">
        <w:rPr>
          <w:sz w:val="20"/>
          <w:szCs w:val="20"/>
          <w:lang w:val="es-AR"/>
        </w:rPr>
        <w:t xml:space="preserve"> </w:t>
      </w:r>
      <w:r w:rsidRPr="00EA7870">
        <w:rPr>
          <w:sz w:val="20"/>
          <w:szCs w:val="20"/>
          <w:lang w:val="es-AR"/>
        </w:rPr>
        <w:t>relacionadas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2043EF" w:rsidRPr="00EA7870">
        <w:rPr>
          <w:sz w:val="20"/>
          <w:szCs w:val="20"/>
          <w:lang w:val="es-AR"/>
        </w:rPr>
        <w:t>prevención</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lavado</w:t>
      </w:r>
      <w:r w:rsidR="001A28B3" w:rsidRPr="00EA7870">
        <w:rPr>
          <w:sz w:val="20"/>
          <w:szCs w:val="20"/>
          <w:lang w:val="es-AR"/>
        </w:rPr>
        <w:t xml:space="preserve"> </w:t>
      </w:r>
      <w:r w:rsidR="002043EF" w:rsidRPr="00EA7870">
        <w:rPr>
          <w:sz w:val="20"/>
          <w:szCs w:val="20"/>
          <w:lang w:val="es-AR"/>
        </w:rPr>
        <w:t>de</w:t>
      </w:r>
      <w:r w:rsidR="001A28B3" w:rsidRPr="00EA7870">
        <w:rPr>
          <w:sz w:val="20"/>
          <w:szCs w:val="20"/>
          <w:lang w:val="es-AR"/>
        </w:rPr>
        <w:t xml:space="preserve"> </w:t>
      </w:r>
      <w:r w:rsidR="002043EF" w:rsidRPr="00EA7870">
        <w:rPr>
          <w:sz w:val="20"/>
          <w:szCs w:val="20"/>
          <w:lang w:val="es-AR"/>
        </w:rPr>
        <w:t>activos,</w:t>
      </w:r>
      <w:r w:rsidR="001A28B3" w:rsidRPr="00EA7870">
        <w:rPr>
          <w:sz w:val="20"/>
          <w:szCs w:val="20"/>
          <w:lang w:val="es-AR"/>
        </w:rPr>
        <w:t xml:space="preserve"> </w:t>
      </w:r>
      <w:r w:rsidR="002043EF" w:rsidRPr="00EA7870">
        <w:rPr>
          <w:sz w:val="20"/>
          <w:szCs w:val="20"/>
          <w:lang w:val="es-AR"/>
        </w:rPr>
        <w:t>financiamiento</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terrorismo</w:t>
      </w:r>
      <w:r w:rsidR="001A28B3" w:rsidRPr="00EA7870">
        <w:rPr>
          <w:sz w:val="20"/>
          <w:szCs w:val="20"/>
          <w:lang w:val="es-AR"/>
        </w:rPr>
        <w:t xml:space="preserve"> </w:t>
      </w:r>
      <w:r w:rsidR="002043EF" w:rsidRPr="00EA7870">
        <w:rPr>
          <w:sz w:val="20"/>
          <w:szCs w:val="20"/>
          <w:lang w:val="es-AR"/>
        </w:rPr>
        <w:t>y</w:t>
      </w:r>
      <w:r w:rsidR="001A28B3" w:rsidRPr="00EA7870">
        <w:rPr>
          <w:sz w:val="20"/>
          <w:szCs w:val="20"/>
          <w:lang w:val="es-AR"/>
        </w:rPr>
        <w:t xml:space="preserve"> </w:t>
      </w:r>
      <w:r w:rsidR="002043EF" w:rsidRPr="00EA7870">
        <w:rPr>
          <w:sz w:val="20"/>
          <w:szCs w:val="20"/>
          <w:lang w:val="es-AR"/>
        </w:rPr>
        <w:t>otras</w:t>
      </w:r>
      <w:r w:rsidR="001A28B3" w:rsidRPr="00EA7870">
        <w:rPr>
          <w:sz w:val="20"/>
          <w:szCs w:val="20"/>
          <w:lang w:val="es-AR"/>
        </w:rPr>
        <w:t xml:space="preserve"> </w:t>
      </w:r>
      <w:r w:rsidR="002043EF" w:rsidRPr="00EA7870">
        <w:rPr>
          <w:sz w:val="20"/>
          <w:szCs w:val="20"/>
          <w:lang w:val="es-AR"/>
        </w:rPr>
        <w:t>actividades</w:t>
      </w:r>
      <w:r w:rsidR="001A28B3" w:rsidRPr="00EA7870">
        <w:rPr>
          <w:sz w:val="20"/>
          <w:szCs w:val="20"/>
          <w:lang w:val="es-AR"/>
        </w:rPr>
        <w:t xml:space="preserve"> </w:t>
      </w:r>
      <w:r w:rsidR="002043EF" w:rsidRPr="00EA7870">
        <w:rPr>
          <w:sz w:val="20"/>
          <w:szCs w:val="20"/>
          <w:lang w:val="es-AR"/>
        </w:rPr>
        <w:t>ilícitas</w:t>
      </w:r>
      <w:r w:rsidRPr="00EA7870">
        <w:rPr>
          <w:sz w:val="20"/>
          <w:szCs w:val="20"/>
          <w:lang w:val="es-AR"/>
        </w:rPr>
        <w:t>.</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003A37B5" w:rsidRPr="00EA7870">
        <w:rPr>
          <w:sz w:val="20"/>
          <w:szCs w:val="20"/>
          <w:lang w:val="es-AR"/>
        </w:rPr>
        <w:t xml:space="preserve">de </w:t>
      </w:r>
      <w:r w:rsidRPr="00EA7870">
        <w:rPr>
          <w:sz w:val="20"/>
          <w:szCs w:val="20"/>
          <w:lang w:val="es-AR"/>
        </w:rPr>
        <w:t>que</w:t>
      </w:r>
      <w:r w:rsidR="001A28B3" w:rsidRPr="00EA7870">
        <w:rPr>
          <w:sz w:val="20"/>
          <w:szCs w:val="20"/>
          <w:lang w:val="es-AR"/>
        </w:rPr>
        <w:t xml:space="preserve"> </w:t>
      </w:r>
      <w:r w:rsidRPr="00EA7870">
        <w:rPr>
          <w:sz w:val="20"/>
          <w:szCs w:val="20"/>
          <w:lang w:val="es-AR"/>
        </w:rPr>
        <w:t>dicha</w:t>
      </w:r>
      <w:r w:rsidR="001A28B3" w:rsidRPr="00EA7870">
        <w:rPr>
          <w:sz w:val="20"/>
          <w:szCs w:val="20"/>
          <w:lang w:val="es-AR"/>
        </w:rPr>
        <w:t xml:space="preserve"> </w:t>
      </w:r>
      <w:r w:rsidRPr="00EA7870">
        <w:rPr>
          <w:sz w:val="20"/>
          <w:szCs w:val="20"/>
          <w:lang w:val="es-AR"/>
        </w:rPr>
        <w:t>información</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provista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inadecuada,</w:t>
      </w:r>
      <w:r w:rsidR="001A28B3" w:rsidRPr="00EA7870">
        <w:rPr>
          <w:sz w:val="20"/>
          <w:szCs w:val="20"/>
          <w:lang w:val="es-AR"/>
        </w:rPr>
        <w:t xml:space="preserve"> </w:t>
      </w:r>
      <w:r w:rsidRPr="00EA7870">
        <w:rPr>
          <w:sz w:val="20"/>
          <w:szCs w:val="20"/>
          <w:lang w:val="es-AR"/>
        </w:rPr>
        <w:t>incompleta</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inoportuna,</w:t>
      </w:r>
      <w:r w:rsidR="001A28B3" w:rsidRPr="00EA7870">
        <w:rPr>
          <w:sz w:val="20"/>
          <w:szCs w:val="20"/>
          <w:lang w:val="es-AR"/>
        </w:rPr>
        <w:t xml:space="preserve"> </w:t>
      </w:r>
      <w:r w:rsidR="00DB46F3" w:rsidRPr="00EA7870">
        <w:rPr>
          <w:sz w:val="20"/>
          <w:szCs w:val="20"/>
          <w:lang w:val="es-AR"/>
        </w:rPr>
        <w:t>la</w:t>
      </w:r>
      <w:r w:rsidR="001A28B3" w:rsidRPr="00EA7870">
        <w:rPr>
          <w:sz w:val="20"/>
          <w:szCs w:val="20"/>
          <w:lang w:val="es-AR"/>
        </w:rPr>
        <w:t xml:space="preserve"> </w:t>
      </w:r>
      <w:r w:rsidR="00DB46F3" w:rsidRPr="00EA7870">
        <w:rPr>
          <w:sz w:val="20"/>
          <w:szCs w:val="20"/>
          <w:lang w:val="es-AR"/>
        </w:rPr>
        <w:t>Emisora,</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1A28B3" w:rsidRPr="00EA7870">
        <w:rPr>
          <w:sz w:val="20"/>
          <w:szCs w:val="20"/>
          <w:lang w:val="es-AR"/>
        </w:rPr>
        <w:t xml:space="preserve"> </w:t>
      </w:r>
      <w:r w:rsidRPr="00EA7870">
        <w:rPr>
          <w:sz w:val="20"/>
          <w:szCs w:val="20"/>
          <w:lang w:val="es-AR"/>
        </w:rPr>
        <w:t>podrán,</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incurrir</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responsabilidad</w:t>
      </w:r>
      <w:r w:rsidR="001A28B3" w:rsidRPr="00EA7870">
        <w:rPr>
          <w:sz w:val="20"/>
          <w:szCs w:val="20"/>
          <w:lang w:val="es-AR"/>
        </w:rPr>
        <w:t xml:space="preserve"> </w:t>
      </w:r>
      <w:r w:rsidRPr="00EA7870">
        <w:rPr>
          <w:sz w:val="20"/>
          <w:szCs w:val="20"/>
          <w:lang w:val="es-AR"/>
        </w:rPr>
        <w:t>alguna,</w:t>
      </w:r>
      <w:r w:rsidR="001A28B3" w:rsidRPr="00EA7870">
        <w:rPr>
          <w:sz w:val="20"/>
          <w:szCs w:val="20"/>
          <w:lang w:val="es-AR"/>
        </w:rPr>
        <w:t xml:space="preserve"> </w:t>
      </w:r>
      <w:r w:rsidRPr="00EA7870">
        <w:rPr>
          <w:sz w:val="20"/>
          <w:szCs w:val="20"/>
          <w:lang w:val="es-AR"/>
        </w:rPr>
        <w:t>rechazar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Manifestación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correspondiente.</w:t>
      </w:r>
    </w:p>
    <w:p w14:paraId="43045653" w14:textId="77777777" w:rsidR="00E06527" w:rsidRPr="00EA7870" w:rsidRDefault="00E06527" w:rsidP="00762F7C">
      <w:pPr>
        <w:spacing w:after="240"/>
        <w:jc w:val="both"/>
        <w:rPr>
          <w:sz w:val="20"/>
          <w:szCs w:val="20"/>
          <w:lang w:val="es-AR"/>
        </w:rPr>
      </w:pPr>
      <w:r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Pr="00EA7870">
        <w:rPr>
          <w:sz w:val="20"/>
          <w:szCs w:val="20"/>
          <w:lang w:val="es-AR"/>
        </w:rPr>
        <w:t>,</w:t>
      </w:r>
      <w:r w:rsidR="001A28B3" w:rsidRPr="00EA7870">
        <w:rPr>
          <w:sz w:val="20"/>
          <w:szCs w:val="20"/>
          <w:lang w:val="es-AR"/>
        </w:rPr>
        <w:t xml:space="preserve"> </w:t>
      </w:r>
      <w:r w:rsidR="007B2387" w:rsidRPr="00EA7870">
        <w:rPr>
          <w:sz w:val="20"/>
          <w:szCs w:val="20"/>
          <w:lang w:val="es-AR"/>
        </w:rPr>
        <w:t>el Colocador Local</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reservan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derecho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rechazar</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Manifestación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consideren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ha</w:t>
      </w:r>
      <w:r w:rsidR="001A28B3" w:rsidRPr="00EA7870">
        <w:rPr>
          <w:sz w:val="20"/>
          <w:szCs w:val="20"/>
          <w:lang w:val="es-AR"/>
        </w:rPr>
        <w:t xml:space="preserve"> </w:t>
      </w:r>
      <w:r w:rsidRPr="00EA7870">
        <w:rPr>
          <w:sz w:val="20"/>
          <w:szCs w:val="20"/>
          <w:lang w:val="es-AR"/>
        </w:rPr>
        <w:t>cumplido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008E5B95" w:rsidRPr="00EA7870">
        <w:rPr>
          <w:sz w:val="20"/>
          <w:szCs w:val="20"/>
          <w:lang w:val="es-AR"/>
        </w:rPr>
        <w:t>regulaciones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Pr="00EA7870">
        <w:rPr>
          <w:sz w:val="20"/>
          <w:szCs w:val="20"/>
          <w:lang w:val="es-AR"/>
        </w:rPr>
        <w:t>Dichas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reglamentaciones</w:t>
      </w:r>
      <w:r w:rsidR="001A28B3" w:rsidRPr="00EA7870">
        <w:rPr>
          <w:sz w:val="20"/>
          <w:szCs w:val="20"/>
          <w:lang w:val="es-AR"/>
        </w:rPr>
        <w:t xml:space="preserve"> </w:t>
      </w:r>
      <w:r w:rsidRPr="00EA7870">
        <w:rPr>
          <w:sz w:val="20"/>
          <w:szCs w:val="20"/>
          <w:lang w:val="es-AR"/>
        </w:rPr>
        <w:t>aplicables</w:t>
      </w:r>
      <w:r w:rsidR="001A28B3" w:rsidRPr="00EA7870">
        <w:rPr>
          <w:sz w:val="20"/>
          <w:szCs w:val="20"/>
          <w:lang w:val="es-AR"/>
        </w:rPr>
        <w:t xml:space="preserve"> </w:t>
      </w:r>
      <w:r w:rsidR="002043EF" w:rsidRPr="00EA7870">
        <w:rPr>
          <w:sz w:val="20"/>
          <w:szCs w:val="20"/>
          <w:lang w:val="es-AR"/>
        </w:rPr>
        <w:t>incluyendo</w:t>
      </w:r>
      <w:r w:rsidR="001A28B3" w:rsidRPr="00EA7870">
        <w:rPr>
          <w:sz w:val="20"/>
          <w:szCs w:val="20"/>
          <w:lang w:val="es-AR"/>
        </w:rPr>
        <w:t xml:space="preserve"> </w:t>
      </w:r>
      <w:r w:rsidR="002043EF" w:rsidRPr="00EA7870">
        <w:rPr>
          <w:sz w:val="20"/>
          <w:szCs w:val="20"/>
          <w:lang w:val="es-AR"/>
        </w:rPr>
        <w:t>aquellas</w:t>
      </w:r>
      <w:r w:rsidR="001A28B3" w:rsidRPr="00EA7870">
        <w:rPr>
          <w:sz w:val="20"/>
          <w:szCs w:val="20"/>
          <w:lang w:val="es-AR"/>
        </w:rPr>
        <w:t xml:space="preserve"> </w:t>
      </w:r>
      <w:r w:rsidR="002043EF" w:rsidRPr="00EA7870">
        <w:rPr>
          <w:sz w:val="20"/>
          <w:szCs w:val="20"/>
          <w:lang w:val="es-AR"/>
        </w:rPr>
        <w:t>relativas</w:t>
      </w:r>
      <w:r w:rsidR="001A28B3" w:rsidRPr="00EA7870">
        <w:rPr>
          <w:sz w:val="20"/>
          <w:szCs w:val="20"/>
          <w:lang w:val="es-AR"/>
        </w:rPr>
        <w:t xml:space="preserve"> </w:t>
      </w:r>
      <w:r w:rsidR="002043EF" w:rsidRPr="00EA7870">
        <w:rPr>
          <w:sz w:val="20"/>
          <w:szCs w:val="20"/>
          <w:lang w:val="es-AR"/>
        </w:rPr>
        <w:t>a</w:t>
      </w:r>
      <w:r w:rsidR="001A28B3" w:rsidRPr="00EA7870">
        <w:rPr>
          <w:sz w:val="20"/>
          <w:szCs w:val="20"/>
          <w:lang w:val="es-AR"/>
        </w:rPr>
        <w:t xml:space="preserve"> </w:t>
      </w:r>
      <w:r w:rsidR="002043EF" w:rsidRPr="00EA7870">
        <w:rPr>
          <w:sz w:val="20"/>
          <w:szCs w:val="20"/>
          <w:lang w:val="es-AR"/>
        </w:rPr>
        <w:t>la</w:t>
      </w:r>
      <w:r w:rsidR="001A28B3" w:rsidRPr="00EA7870">
        <w:rPr>
          <w:sz w:val="20"/>
          <w:szCs w:val="20"/>
          <w:lang w:val="es-AR"/>
        </w:rPr>
        <w:t xml:space="preserve"> </w:t>
      </w:r>
      <w:r w:rsidR="002043EF" w:rsidRPr="00EA7870">
        <w:rPr>
          <w:sz w:val="20"/>
          <w:szCs w:val="20"/>
          <w:lang w:val="es-AR"/>
        </w:rPr>
        <w:t>prevención</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lavado</w:t>
      </w:r>
      <w:r w:rsidR="001A28B3" w:rsidRPr="00EA7870">
        <w:rPr>
          <w:sz w:val="20"/>
          <w:szCs w:val="20"/>
          <w:lang w:val="es-AR"/>
        </w:rPr>
        <w:t xml:space="preserve"> </w:t>
      </w:r>
      <w:r w:rsidR="002043EF" w:rsidRPr="00EA7870">
        <w:rPr>
          <w:sz w:val="20"/>
          <w:szCs w:val="20"/>
          <w:lang w:val="es-AR"/>
        </w:rPr>
        <w:t>de</w:t>
      </w:r>
      <w:r w:rsidR="001A28B3" w:rsidRPr="00EA7870">
        <w:rPr>
          <w:sz w:val="20"/>
          <w:szCs w:val="20"/>
          <w:lang w:val="es-AR"/>
        </w:rPr>
        <w:t xml:space="preserve"> </w:t>
      </w:r>
      <w:r w:rsidR="002043EF" w:rsidRPr="00EA7870">
        <w:rPr>
          <w:sz w:val="20"/>
          <w:szCs w:val="20"/>
          <w:lang w:val="es-AR"/>
        </w:rPr>
        <w:t>activos,</w:t>
      </w:r>
      <w:r w:rsidR="001A28B3" w:rsidRPr="00EA7870">
        <w:rPr>
          <w:sz w:val="20"/>
          <w:szCs w:val="20"/>
          <w:lang w:val="es-AR"/>
        </w:rPr>
        <w:t xml:space="preserve"> </w:t>
      </w:r>
      <w:r w:rsidR="002043EF" w:rsidRPr="00EA7870">
        <w:rPr>
          <w:sz w:val="20"/>
          <w:szCs w:val="20"/>
          <w:lang w:val="es-AR"/>
        </w:rPr>
        <w:t>financiamiento</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terrorismo</w:t>
      </w:r>
      <w:r w:rsidR="001A28B3" w:rsidRPr="00EA7870">
        <w:rPr>
          <w:sz w:val="20"/>
          <w:szCs w:val="20"/>
          <w:lang w:val="es-AR"/>
        </w:rPr>
        <w:t xml:space="preserve"> </w:t>
      </w:r>
      <w:r w:rsidR="002043EF" w:rsidRPr="00EA7870">
        <w:rPr>
          <w:sz w:val="20"/>
          <w:szCs w:val="20"/>
          <w:lang w:val="es-AR"/>
        </w:rPr>
        <w:t>y</w:t>
      </w:r>
      <w:r w:rsidR="001A28B3" w:rsidRPr="00EA7870">
        <w:rPr>
          <w:sz w:val="20"/>
          <w:szCs w:val="20"/>
          <w:lang w:val="es-AR"/>
        </w:rPr>
        <w:t xml:space="preserve"> </w:t>
      </w:r>
      <w:r w:rsidR="002043EF" w:rsidRPr="00EA7870">
        <w:rPr>
          <w:sz w:val="20"/>
          <w:szCs w:val="20"/>
          <w:lang w:val="es-AR"/>
        </w:rPr>
        <w:t>otras</w:t>
      </w:r>
      <w:r w:rsidR="001A28B3" w:rsidRPr="00EA7870">
        <w:rPr>
          <w:sz w:val="20"/>
          <w:szCs w:val="20"/>
          <w:lang w:val="es-AR"/>
        </w:rPr>
        <w:t xml:space="preserve"> </w:t>
      </w:r>
      <w:r w:rsidR="002043EF" w:rsidRPr="00EA7870">
        <w:rPr>
          <w:sz w:val="20"/>
          <w:szCs w:val="20"/>
          <w:lang w:val="es-AR"/>
        </w:rPr>
        <w:t>actividades</w:t>
      </w:r>
      <w:r w:rsidR="001A28B3" w:rsidRPr="00EA7870">
        <w:rPr>
          <w:sz w:val="20"/>
          <w:szCs w:val="20"/>
          <w:lang w:val="es-AR"/>
        </w:rPr>
        <w:t xml:space="preserve"> </w:t>
      </w:r>
      <w:r w:rsidR="002043EF" w:rsidRPr="00EA7870">
        <w:rPr>
          <w:sz w:val="20"/>
          <w:szCs w:val="20"/>
          <w:lang w:val="es-AR"/>
        </w:rPr>
        <w:t>ilícitas</w:t>
      </w:r>
      <w:r w:rsidRPr="00EA7870">
        <w:rPr>
          <w:sz w:val="20"/>
          <w:szCs w:val="20"/>
          <w:lang w:val="es-AR"/>
        </w:rPr>
        <w:t>,</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002043EF" w:rsidRPr="00EA7870">
        <w:rPr>
          <w:sz w:val="20"/>
          <w:szCs w:val="20"/>
          <w:lang w:val="es-AR"/>
        </w:rPr>
        <w:t>las</w:t>
      </w:r>
      <w:r w:rsidR="001A28B3" w:rsidRPr="00EA7870">
        <w:rPr>
          <w:sz w:val="20"/>
          <w:szCs w:val="20"/>
          <w:lang w:val="es-AR"/>
        </w:rPr>
        <w:t xml:space="preserve"> </w:t>
      </w:r>
      <w:r w:rsidR="002043EF" w:rsidRPr="00EA7870">
        <w:rPr>
          <w:sz w:val="20"/>
          <w:szCs w:val="20"/>
          <w:lang w:val="es-AR"/>
        </w:rPr>
        <w:t>emitidas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UIF,</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3A1FCD" w:rsidRPr="00EA7870">
        <w:rPr>
          <w:sz w:val="20"/>
          <w:szCs w:val="20"/>
          <w:lang w:val="es-AR"/>
        </w:rPr>
        <w:t>BCRA</w:t>
      </w:r>
      <w:r w:rsidRPr="00EA7870">
        <w:rPr>
          <w:sz w:val="20"/>
          <w:szCs w:val="20"/>
          <w:lang w:val="es-AR"/>
        </w:rPr>
        <w:t>,</w:t>
      </w:r>
      <w:r w:rsidR="001A28B3" w:rsidRPr="00EA7870">
        <w:rPr>
          <w:sz w:val="20"/>
          <w:szCs w:val="20"/>
          <w:lang w:val="es-AR"/>
        </w:rPr>
        <w:t xml:space="preserve"> </w:t>
      </w:r>
      <w:r w:rsidRPr="00EA7870">
        <w:rPr>
          <w:sz w:val="20"/>
          <w:szCs w:val="20"/>
          <w:lang w:val="es-AR"/>
        </w:rPr>
        <w:t>así</w:t>
      </w:r>
      <w:r w:rsidR="001A28B3" w:rsidRPr="00EA7870">
        <w:rPr>
          <w:sz w:val="20"/>
          <w:szCs w:val="20"/>
          <w:lang w:val="es-AR"/>
        </w:rPr>
        <w:t xml:space="preserve"> </w:t>
      </w:r>
      <w:r w:rsidRPr="00EA7870">
        <w:rPr>
          <w:sz w:val="20"/>
          <w:szCs w:val="20"/>
          <w:lang w:val="es-AR"/>
        </w:rPr>
        <w:t>como</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reglamentación</w:t>
      </w:r>
      <w:r w:rsidR="001A28B3" w:rsidRPr="00EA7870">
        <w:rPr>
          <w:sz w:val="20"/>
          <w:szCs w:val="20"/>
          <w:lang w:val="es-AR"/>
        </w:rPr>
        <w:t xml:space="preserve"> </w:t>
      </w:r>
      <w:r w:rsidRPr="00EA7870">
        <w:rPr>
          <w:sz w:val="20"/>
          <w:szCs w:val="20"/>
          <w:lang w:val="es-AR"/>
        </w:rPr>
        <w:t>aplicable</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valores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Cualquier</w:t>
      </w:r>
      <w:r w:rsidR="001A28B3" w:rsidRPr="00EA7870">
        <w:rPr>
          <w:sz w:val="20"/>
          <w:szCs w:val="20"/>
          <w:lang w:val="es-AR"/>
        </w:rPr>
        <w:t xml:space="preserve"> </w:t>
      </w:r>
      <w:r w:rsidRPr="00EA7870">
        <w:rPr>
          <w:sz w:val="20"/>
          <w:szCs w:val="20"/>
          <w:lang w:val="es-AR"/>
        </w:rPr>
        <w:t>decisión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rechazar</w:t>
      </w:r>
      <w:r w:rsidR="001A28B3" w:rsidRPr="00EA7870">
        <w:rPr>
          <w:sz w:val="20"/>
          <w:szCs w:val="20"/>
          <w:lang w:val="es-AR"/>
        </w:rPr>
        <w:t xml:space="preserve"> </w:t>
      </w:r>
      <w:r w:rsidRPr="00EA7870">
        <w:rPr>
          <w:sz w:val="20"/>
          <w:szCs w:val="20"/>
          <w:lang w:val="es-AR"/>
        </w:rPr>
        <w:t>una</w:t>
      </w:r>
      <w:r w:rsidR="001A28B3" w:rsidRPr="00EA7870">
        <w:rPr>
          <w:sz w:val="20"/>
          <w:szCs w:val="20"/>
          <w:lang w:val="es-AR"/>
        </w:rPr>
        <w:t xml:space="preserve"> </w:t>
      </w:r>
      <w:r w:rsidRPr="00EA7870">
        <w:rPr>
          <w:sz w:val="20"/>
          <w:szCs w:val="20"/>
          <w:lang w:val="es-AR"/>
        </w:rPr>
        <w:t>Manifestación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tomará</w:t>
      </w:r>
      <w:r w:rsidR="001A28B3" w:rsidRPr="00EA7870">
        <w:rPr>
          <w:sz w:val="20"/>
          <w:szCs w:val="20"/>
          <w:lang w:val="es-AR"/>
        </w:rPr>
        <w:t xml:space="preserve"> </w:t>
      </w:r>
      <w:r w:rsidRPr="00EA7870">
        <w:rPr>
          <w:sz w:val="20"/>
          <w:szCs w:val="20"/>
          <w:lang w:val="es-AR"/>
        </w:rPr>
        <w:t>teniendo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principio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tratamiento</w:t>
      </w:r>
      <w:r w:rsidR="001A28B3" w:rsidRPr="00EA7870">
        <w:rPr>
          <w:sz w:val="20"/>
          <w:szCs w:val="20"/>
          <w:lang w:val="es-AR"/>
        </w:rPr>
        <w:t xml:space="preserve"> </w:t>
      </w:r>
      <w:r w:rsidRPr="00EA7870">
        <w:rPr>
          <w:sz w:val="20"/>
          <w:szCs w:val="20"/>
          <w:lang w:val="es-AR"/>
        </w:rPr>
        <w:t>justo</w:t>
      </w:r>
      <w:r w:rsidR="001A28B3" w:rsidRPr="00EA7870">
        <w:rPr>
          <w:sz w:val="20"/>
          <w:szCs w:val="20"/>
          <w:lang w:val="es-AR"/>
        </w:rPr>
        <w:t xml:space="preserve"> </w:t>
      </w:r>
      <w:r w:rsidRPr="00EA7870">
        <w:rPr>
          <w:sz w:val="20"/>
          <w:szCs w:val="20"/>
          <w:lang w:val="es-AR"/>
        </w:rPr>
        <w:t>entre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inversores.</w:t>
      </w:r>
    </w:p>
    <w:p w14:paraId="18709269" w14:textId="77777777" w:rsidR="00184E0A" w:rsidRPr="00EA7870" w:rsidRDefault="00E06527" w:rsidP="00E06527">
      <w:pPr>
        <w:spacing w:after="240"/>
        <w:jc w:val="both"/>
        <w:rPr>
          <w:sz w:val="20"/>
          <w:szCs w:val="20"/>
          <w:lang w:val="es-AR"/>
        </w:rPr>
      </w:pPr>
      <w:r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001A28B3" w:rsidRPr="00EA7870">
        <w:rPr>
          <w:sz w:val="20"/>
          <w:szCs w:val="20"/>
          <w:lang w:val="es-AR"/>
        </w:rPr>
        <w:t xml:space="preserve"> </w:t>
      </w:r>
      <w:r w:rsidRPr="00EA7870">
        <w:rPr>
          <w:sz w:val="20"/>
          <w:szCs w:val="20"/>
          <w:lang w:val="es-AR"/>
        </w:rPr>
        <w:t>podrá</w:t>
      </w:r>
      <w:r w:rsidR="001A28B3" w:rsidRPr="00EA7870">
        <w:rPr>
          <w:sz w:val="20"/>
          <w:szCs w:val="20"/>
          <w:lang w:val="es-AR"/>
        </w:rPr>
        <w:t xml:space="preserve"> </w:t>
      </w:r>
      <w:r w:rsidRPr="00EA7870">
        <w:rPr>
          <w:sz w:val="20"/>
          <w:szCs w:val="20"/>
          <w:lang w:val="es-AR"/>
        </w:rPr>
        <w:t>declarar</w:t>
      </w:r>
      <w:r w:rsidR="001A28B3" w:rsidRPr="00EA7870">
        <w:rPr>
          <w:sz w:val="20"/>
          <w:szCs w:val="20"/>
          <w:lang w:val="es-AR"/>
        </w:rPr>
        <w:t xml:space="preserve"> </w:t>
      </w:r>
      <w:r w:rsidRPr="00EA7870">
        <w:rPr>
          <w:sz w:val="20"/>
          <w:szCs w:val="20"/>
          <w:lang w:val="es-AR"/>
        </w:rPr>
        <w:t>desierta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colocación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durante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660DD1" w:rsidRPr="00EA7870">
        <w:rPr>
          <w:sz w:val="20"/>
          <w:szCs w:val="20"/>
          <w:lang w:val="es-AR"/>
        </w:rPr>
        <w:t>Período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inmediatamente</w:t>
      </w:r>
      <w:r w:rsidR="001A28B3" w:rsidRPr="00EA7870">
        <w:rPr>
          <w:sz w:val="20"/>
          <w:szCs w:val="20"/>
          <w:lang w:val="es-AR"/>
        </w:rPr>
        <w:t xml:space="preserve"> </w:t>
      </w:r>
      <w:r w:rsidRPr="00EA7870">
        <w:rPr>
          <w:sz w:val="20"/>
          <w:szCs w:val="20"/>
          <w:lang w:val="es-AR"/>
        </w:rPr>
        <w:t>después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finalización</w:t>
      </w:r>
      <w:r w:rsidR="001A28B3" w:rsidRPr="00EA7870">
        <w:rPr>
          <w:sz w:val="20"/>
          <w:szCs w:val="20"/>
          <w:lang w:val="es-AR"/>
        </w:rPr>
        <w:t xml:space="preserve"> </w:t>
      </w:r>
      <w:r w:rsidRPr="00EA7870">
        <w:rPr>
          <w:sz w:val="20"/>
          <w:szCs w:val="20"/>
          <w:lang w:val="es-AR"/>
        </w:rPr>
        <w:t>cuando:</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recibido</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todas</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recibidas</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sido</w:t>
      </w:r>
      <w:r w:rsidR="001A28B3" w:rsidRPr="00EA7870">
        <w:rPr>
          <w:sz w:val="20"/>
          <w:szCs w:val="20"/>
          <w:lang w:val="es-AR"/>
        </w:rPr>
        <w:t xml:space="preserve"> </w:t>
      </w:r>
      <w:r w:rsidRPr="00EA7870">
        <w:rPr>
          <w:sz w:val="20"/>
          <w:szCs w:val="20"/>
          <w:lang w:val="es-AR"/>
        </w:rPr>
        <w:t>rechazadas;</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representen</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justifique</w:t>
      </w:r>
      <w:r w:rsidR="001A28B3" w:rsidRPr="00EA7870">
        <w:rPr>
          <w:sz w:val="20"/>
          <w:szCs w:val="20"/>
          <w:lang w:val="es-AR"/>
        </w:rPr>
        <w:t xml:space="preserve"> </w:t>
      </w:r>
      <w:r w:rsidRPr="00EA7870">
        <w:rPr>
          <w:sz w:val="20"/>
          <w:szCs w:val="20"/>
          <w:lang w:val="es-AR"/>
        </w:rPr>
        <w:t>razonablemente</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(i</w:t>
      </w:r>
      <w:r w:rsidR="00343641" w:rsidRPr="00EA7870">
        <w:rPr>
          <w:sz w:val="20"/>
          <w:szCs w:val="20"/>
          <w:lang w:val="es-AR"/>
        </w:rPr>
        <w:t>ii</w:t>
      </w:r>
      <w:r w:rsidRPr="00EA7870">
        <w:rPr>
          <w:sz w:val="20"/>
          <w:szCs w:val="20"/>
          <w:lang w:val="es-AR"/>
        </w:rPr>
        <w:t>)</w:t>
      </w:r>
      <w:r w:rsidR="001A28B3" w:rsidRPr="00EA7870">
        <w:rPr>
          <w:sz w:val="20"/>
          <w:szCs w:val="20"/>
          <w:lang w:val="es-AR"/>
        </w:rPr>
        <w:t xml:space="preserve"> </w:t>
      </w:r>
      <w:r w:rsidRPr="00EA7870">
        <w:rPr>
          <w:sz w:val="20"/>
          <w:szCs w:val="20"/>
          <w:lang w:val="es-AR"/>
        </w:rPr>
        <w:t>tomando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cuenta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ecuación</w:t>
      </w:r>
      <w:r w:rsidR="001A28B3" w:rsidRPr="00EA7870">
        <w:rPr>
          <w:sz w:val="20"/>
          <w:szCs w:val="20"/>
          <w:lang w:val="es-AR"/>
        </w:rPr>
        <w:t xml:space="preserve"> </w:t>
      </w:r>
      <w:r w:rsidRPr="00EA7870">
        <w:rPr>
          <w:sz w:val="20"/>
          <w:szCs w:val="20"/>
          <w:lang w:val="es-AR"/>
        </w:rPr>
        <w:t>económica</w:t>
      </w:r>
      <w:r w:rsidR="001A28B3" w:rsidRPr="00EA7870">
        <w:rPr>
          <w:sz w:val="20"/>
          <w:szCs w:val="20"/>
          <w:lang w:val="es-AR"/>
        </w:rPr>
        <w:t xml:space="preserve"> </w:t>
      </w:r>
      <w:r w:rsidRPr="00EA7870">
        <w:rPr>
          <w:sz w:val="20"/>
          <w:szCs w:val="20"/>
          <w:lang w:val="es-AR"/>
        </w:rPr>
        <w:t>resultante,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resulte</w:t>
      </w:r>
      <w:r w:rsidR="001A28B3" w:rsidRPr="00EA7870">
        <w:rPr>
          <w:sz w:val="20"/>
          <w:szCs w:val="20"/>
          <w:lang w:val="es-AR"/>
        </w:rPr>
        <w:t xml:space="preserve"> </w:t>
      </w:r>
      <w:r w:rsidRPr="00EA7870">
        <w:rPr>
          <w:sz w:val="20"/>
          <w:szCs w:val="20"/>
          <w:lang w:val="es-AR"/>
        </w:rPr>
        <w:t>redituable</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Pr="00EA7870">
        <w:rPr>
          <w:sz w:val="20"/>
          <w:szCs w:val="20"/>
          <w:lang w:val="es-AR"/>
        </w:rPr>
        <w:t>;</w:t>
      </w:r>
      <w:r w:rsidR="001A28B3" w:rsidRPr="00EA7870">
        <w:rPr>
          <w:sz w:val="20"/>
          <w:szCs w:val="20"/>
          <w:lang w:val="es-AR"/>
        </w:rPr>
        <w:t xml:space="preserve"> </w:t>
      </w:r>
      <w:r w:rsidRPr="00EA7870">
        <w:rPr>
          <w:sz w:val="20"/>
          <w:szCs w:val="20"/>
          <w:lang w:val="es-AR"/>
        </w:rPr>
        <w:t>(</w:t>
      </w:r>
      <w:r w:rsidR="00343641" w:rsidRPr="00EA7870">
        <w:rPr>
          <w:sz w:val="20"/>
          <w:szCs w:val="20"/>
          <w:lang w:val="es-AR"/>
        </w:rPr>
        <w:t>i</w:t>
      </w:r>
      <w:r w:rsidRPr="00EA7870">
        <w:rPr>
          <w:sz w:val="20"/>
          <w:szCs w:val="20"/>
          <w:lang w:val="es-AR"/>
        </w:rPr>
        <w:t>v)</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produzcan</w:t>
      </w:r>
      <w:r w:rsidR="001A28B3" w:rsidRPr="00EA7870">
        <w:rPr>
          <w:sz w:val="20"/>
          <w:szCs w:val="20"/>
          <w:lang w:val="es-AR"/>
        </w:rPr>
        <w:t xml:space="preserve"> </w:t>
      </w:r>
      <w:r w:rsidRPr="00EA7870">
        <w:rPr>
          <w:sz w:val="20"/>
          <w:szCs w:val="20"/>
          <w:lang w:val="es-AR"/>
        </w:rPr>
        <w:t>cambios</w:t>
      </w:r>
      <w:r w:rsidR="001A28B3" w:rsidRPr="00EA7870">
        <w:rPr>
          <w:sz w:val="20"/>
          <w:szCs w:val="20"/>
          <w:lang w:val="es-AR"/>
        </w:rPr>
        <w:t xml:space="preserve"> </w:t>
      </w:r>
      <w:r w:rsidRPr="00EA7870">
        <w:rPr>
          <w:sz w:val="20"/>
          <w:szCs w:val="20"/>
          <w:lang w:val="es-AR"/>
        </w:rPr>
        <w:t>substanciales</w:t>
      </w:r>
      <w:r w:rsidR="001A28B3" w:rsidRPr="00EA7870">
        <w:rPr>
          <w:sz w:val="20"/>
          <w:szCs w:val="20"/>
          <w:lang w:val="es-AR"/>
        </w:rPr>
        <w:t xml:space="preserve"> </w:t>
      </w:r>
      <w:r w:rsidRPr="00EA7870">
        <w:rPr>
          <w:sz w:val="20"/>
          <w:szCs w:val="20"/>
          <w:lang w:val="es-AR"/>
        </w:rPr>
        <w:t>adversos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mercados</w:t>
      </w:r>
      <w:r w:rsidR="001A28B3" w:rsidRPr="00EA7870">
        <w:rPr>
          <w:sz w:val="20"/>
          <w:szCs w:val="20"/>
          <w:lang w:val="es-AR"/>
        </w:rPr>
        <w:t xml:space="preserve"> </w:t>
      </w:r>
      <w:r w:rsidRPr="00EA7870">
        <w:rPr>
          <w:sz w:val="20"/>
          <w:szCs w:val="20"/>
          <w:lang w:val="es-AR"/>
        </w:rPr>
        <w:t>financieros</w:t>
      </w:r>
      <w:r w:rsidR="001A28B3" w:rsidRPr="00EA7870">
        <w:rPr>
          <w:sz w:val="20"/>
          <w:szCs w:val="20"/>
          <w:lang w:val="es-AR"/>
        </w:rPr>
        <w:t xml:space="preserve"> </w:t>
      </w:r>
      <w:r w:rsidRPr="00EA7870">
        <w:rPr>
          <w:sz w:val="20"/>
          <w:szCs w:val="20"/>
          <w:lang w:val="es-AR"/>
        </w:rPr>
        <w:t>internacionales</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mercados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capitales</w:t>
      </w:r>
      <w:r w:rsidR="001A28B3" w:rsidRPr="00EA7870">
        <w:rPr>
          <w:sz w:val="20"/>
          <w:szCs w:val="20"/>
          <w:lang w:val="es-AR"/>
        </w:rPr>
        <w:t xml:space="preserve"> </w:t>
      </w:r>
      <w:r w:rsidRPr="00EA7870">
        <w:rPr>
          <w:sz w:val="20"/>
          <w:szCs w:val="20"/>
          <w:lang w:val="es-AR"/>
        </w:rPr>
        <w:t>locales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internacionales,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condición</w:t>
      </w:r>
      <w:r w:rsidR="001A28B3" w:rsidRPr="00EA7870">
        <w:rPr>
          <w:sz w:val="20"/>
          <w:szCs w:val="20"/>
          <w:lang w:val="es-AR"/>
        </w:rPr>
        <w:t xml:space="preserve"> </w:t>
      </w:r>
      <w:r w:rsidRPr="00EA7870">
        <w:rPr>
          <w:sz w:val="20"/>
          <w:szCs w:val="20"/>
          <w:lang w:val="es-AR"/>
        </w:rPr>
        <w:t>general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001A28B3" w:rsidRPr="00EA7870">
        <w:rPr>
          <w:sz w:val="20"/>
          <w:szCs w:val="20"/>
          <w:lang w:val="es-AR"/>
        </w:rPr>
        <w:t xml:space="preserve"> </w:t>
      </w:r>
      <w:r w:rsidRPr="00EA7870">
        <w:rPr>
          <w:sz w:val="20"/>
          <w:szCs w:val="20"/>
          <w:lang w:val="es-AR"/>
        </w:rPr>
        <w:t>y/o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Argentina,</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ejemplo,</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condiciones</w:t>
      </w:r>
      <w:r w:rsidR="001A28B3" w:rsidRPr="00EA7870">
        <w:rPr>
          <w:sz w:val="20"/>
          <w:szCs w:val="20"/>
          <w:lang w:val="es-AR"/>
        </w:rPr>
        <w:t xml:space="preserve"> </w:t>
      </w:r>
      <w:r w:rsidRPr="00EA7870">
        <w:rPr>
          <w:sz w:val="20"/>
          <w:szCs w:val="20"/>
          <w:lang w:val="es-AR"/>
        </w:rPr>
        <w:t>políticas</w:t>
      </w:r>
      <w:r w:rsidR="001A28B3" w:rsidRPr="00EA7870">
        <w:rPr>
          <w:sz w:val="20"/>
          <w:szCs w:val="20"/>
          <w:lang w:val="es-AR"/>
        </w:rPr>
        <w:t xml:space="preserve"> </w:t>
      </w:r>
      <w:r w:rsidRPr="00EA7870">
        <w:rPr>
          <w:sz w:val="20"/>
          <w:szCs w:val="20"/>
          <w:lang w:val="es-AR"/>
        </w:rPr>
        <w:t>económicas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financieras,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situación</w:t>
      </w:r>
      <w:r w:rsidR="001A28B3" w:rsidRPr="00EA7870">
        <w:rPr>
          <w:sz w:val="20"/>
          <w:szCs w:val="20"/>
          <w:lang w:val="es-AR"/>
        </w:rPr>
        <w:t xml:space="preserve"> </w:t>
      </w:r>
      <w:r w:rsidRPr="00EA7870">
        <w:rPr>
          <w:sz w:val="20"/>
          <w:szCs w:val="20"/>
          <w:lang w:val="es-AR"/>
        </w:rPr>
        <w:t>crediticia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008E0224" w:rsidRPr="00EA7870">
        <w:rPr>
          <w:sz w:val="20"/>
          <w:szCs w:val="20"/>
          <w:lang w:val="es-AR"/>
        </w:rPr>
        <w:t>Emisora</w:t>
      </w:r>
      <w:r w:rsidRPr="00EA7870">
        <w:rPr>
          <w:sz w:val="20"/>
          <w:szCs w:val="20"/>
          <w:lang w:val="es-AR"/>
        </w:rPr>
        <w:t>,</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descripta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este</w:t>
      </w:r>
      <w:r w:rsidR="001A28B3" w:rsidRPr="00EA7870">
        <w:rPr>
          <w:sz w:val="20"/>
          <w:szCs w:val="20"/>
          <w:lang w:val="es-AR"/>
        </w:rPr>
        <w:t xml:space="preserve"> </w:t>
      </w:r>
      <w:r w:rsidRPr="00EA7870">
        <w:rPr>
          <w:sz w:val="20"/>
          <w:szCs w:val="20"/>
          <w:lang w:val="es-AR"/>
        </w:rPr>
        <w:t>Suplemento</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sea</w:t>
      </w:r>
      <w:r w:rsidR="001A28B3" w:rsidRPr="00EA7870">
        <w:rPr>
          <w:sz w:val="20"/>
          <w:szCs w:val="20"/>
          <w:lang w:val="es-AR"/>
        </w:rPr>
        <w:t xml:space="preserve"> </w:t>
      </w:r>
      <w:r w:rsidRPr="00EA7870">
        <w:rPr>
          <w:sz w:val="20"/>
          <w:szCs w:val="20"/>
          <w:lang w:val="es-AR"/>
        </w:rPr>
        <w:t>recomendable;</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no</w:t>
      </w:r>
      <w:r w:rsidR="001A28B3" w:rsidRPr="00EA7870">
        <w:rPr>
          <w:sz w:val="20"/>
          <w:szCs w:val="20"/>
          <w:lang w:val="es-AR"/>
        </w:rPr>
        <w:t xml:space="preserve"> </w:t>
      </w:r>
      <w:r w:rsidRPr="00EA7870">
        <w:rPr>
          <w:sz w:val="20"/>
          <w:szCs w:val="20"/>
          <w:lang w:val="es-AR"/>
        </w:rPr>
        <w:t>hayan</w:t>
      </w:r>
      <w:r w:rsidR="001A28B3" w:rsidRPr="00EA7870">
        <w:rPr>
          <w:sz w:val="20"/>
          <w:szCs w:val="20"/>
          <w:lang w:val="es-AR"/>
        </w:rPr>
        <w:t xml:space="preserve"> </w:t>
      </w:r>
      <w:r w:rsidRPr="00EA7870">
        <w:rPr>
          <w:sz w:val="20"/>
          <w:szCs w:val="20"/>
          <w:lang w:val="es-AR"/>
        </w:rPr>
        <w:t>cumplido</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leyes</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reglamentaciones</w:t>
      </w:r>
      <w:r w:rsidR="001A28B3" w:rsidRPr="00EA7870">
        <w:rPr>
          <w:sz w:val="20"/>
          <w:szCs w:val="20"/>
          <w:lang w:val="es-AR"/>
        </w:rPr>
        <w:t xml:space="preserve"> </w:t>
      </w:r>
      <w:r w:rsidR="002043EF" w:rsidRPr="00EA7870">
        <w:rPr>
          <w:sz w:val="20"/>
          <w:szCs w:val="20"/>
          <w:lang w:val="es-AR"/>
        </w:rPr>
        <w:t>relacionadas</w:t>
      </w:r>
      <w:r w:rsidR="001A28B3" w:rsidRPr="00EA7870">
        <w:rPr>
          <w:sz w:val="20"/>
          <w:szCs w:val="20"/>
          <w:lang w:val="es-AR"/>
        </w:rPr>
        <w:t xml:space="preserve"> </w:t>
      </w:r>
      <w:r w:rsidR="002043EF" w:rsidRPr="00EA7870">
        <w:rPr>
          <w:sz w:val="20"/>
          <w:szCs w:val="20"/>
          <w:lang w:val="es-AR"/>
        </w:rPr>
        <w:t>con</w:t>
      </w:r>
      <w:r w:rsidR="001A28B3" w:rsidRPr="00EA7870">
        <w:rPr>
          <w:sz w:val="20"/>
          <w:szCs w:val="20"/>
          <w:lang w:val="es-AR"/>
        </w:rPr>
        <w:t xml:space="preserve"> </w:t>
      </w:r>
      <w:r w:rsidR="002043EF" w:rsidRPr="00EA7870">
        <w:rPr>
          <w:sz w:val="20"/>
          <w:szCs w:val="20"/>
          <w:lang w:val="es-AR"/>
        </w:rPr>
        <w:t>la</w:t>
      </w:r>
      <w:r w:rsidR="001A28B3" w:rsidRPr="00EA7870">
        <w:rPr>
          <w:sz w:val="20"/>
          <w:szCs w:val="20"/>
          <w:lang w:val="es-AR"/>
        </w:rPr>
        <w:t xml:space="preserve"> </w:t>
      </w:r>
      <w:r w:rsidR="002043EF" w:rsidRPr="00EA7870">
        <w:rPr>
          <w:sz w:val="20"/>
          <w:szCs w:val="20"/>
          <w:lang w:val="es-AR"/>
        </w:rPr>
        <w:t>prevención</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lavado</w:t>
      </w:r>
      <w:r w:rsidR="001A28B3" w:rsidRPr="00EA7870">
        <w:rPr>
          <w:sz w:val="20"/>
          <w:szCs w:val="20"/>
          <w:lang w:val="es-AR"/>
        </w:rPr>
        <w:t xml:space="preserve"> </w:t>
      </w:r>
      <w:r w:rsidR="002043EF" w:rsidRPr="00EA7870">
        <w:rPr>
          <w:sz w:val="20"/>
          <w:szCs w:val="20"/>
          <w:lang w:val="es-AR"/>
        </w:rPr>
        <w:t>de</w:t>
      </w:r>
      <w:r w:rsidR="001A28B3" w:rsidRPr="00EA7870">
        <w:rPr>
          <w:sz w:val="20"/>
          <w:szCs w:val="20"/>
          <w:lang w:val="es-AR"/>
        </w:rPr>
        <w:t xml:space="preserve"> </w:t>
      </w:r>
      <w:r w:rsidR="002043EF" w:rsidRPr="00EA7870">
        <w:rPr>
          <w:sz w:val="20"/>
          <w:szCs w:val="20"/>
          <w:lang w:val="es-AR"/>
        </w:rPr>
        <w:t>activos,</w:t>
      </w:r>
      <w:r w:rsidR="001A28B3" w:rsidRPr="00EA7870">
        <w:rPr>
          <w:sz w:val="20"/>
          <w:szCs w:val="20"/>
          <w:lang w:val="es-AR"/>
        </w:rPr>
        <w:t xml:space="preserve"> </w:t>
      </w:r>
      <w:r w:rsidR="002043EF" w:rsidRPr="00EA7870">
        <w:rPr>
          <w:sz w:val="20"/>
          <w:szCs w:val="20"/>
          <w:lang w:val="es-AR"/>
        </w:rPr>
        <w:t>financiamiento</w:t>
      </w:r>
      <w:r w:rsidR="001A28B3" w:rsidRPr="00EA7870">
        <w:rPr>
          <w:sz w:val="20"/>
          <w:szCs w:val="20"/>
          <w:lang w:val="es-AR"/>
        </w:rPr>
        <w:t xml:space="preserve"> </w:t>
      </w:r>
      <w:r w:rsidR="002043EF" w:rsidRPr="00EA7870">
        <w:rPr>
          <w:sz w:val="20"/>
          <w:szCs w:val="20"/>
          <w:lang w:val="es-AR"/>
        </w:rPr>
        <w:t>al</w:t>
      </w:r>
      <w:r w:rsidR="001A28B3" w:rsidRPr="00EA7870">
        <w:rPr>
          <w:sz w:val="20"/>
          <w:szCs w:val="20"/>
          <w:lang w:val="es-AR"/>
        </w:rPr>
        <w:t xml:space="preserve"> </w:t>
      </w:r>
      <w:r w:rsidR="002043EF" w:rsidRPr="00EA7870">
        <w:rPr>
          <w:sz w:val="20"/>
          <w:szCs w:val="20"/>
          <w:lang w:val="es-AR"/>
        </w:rPr>
        <w:t>terrorismo</w:t>
      </w:r>
      <w:r w:rsidR="001A28B3" w:rsidRPr="00EA7870">
        <w:rPr>
          <w:sz w:val="20"/>
          <w:szCs w:val="20"/>
          <w:lang w:val="es-AR"/>
        </w:rPr>
        <w:t xml:space="preserve"> </w:t>
      </w:r>
      <w:r w:rsidR="002043EF" w:rsidRPr="00EA7870">
        <w:rPr>
          <w:sz w:val="20"/>
          <w:szCs w:val="20"/>
          <w:lang w:val="es-AR"/>
        </w:rPr>
        <w:t>y</w:t>
      </w:r>
      <w:r w:rsidR="001A28B3" w:rsidRPr="00EA7870">
        <w:rPr>
          <w:sz w:val="20"/>
          <w:szCs w:val="20"/>
          <w:lang w:val="es-AR"/>
        </w:rPr>
        <w:t xml:space="preserve"> </w:t>
      </w:r>
      <w:r w:rsidR="002043EF" w:rsidRPr="00EA7870">
        <w:rPr>
          <w:sz w:val="20"/>
          <w:szCs w:val="20"/>
          <w:lang w:val="es-AR"/>
        </w:rPr>
        <w:t>otras</w:t>
      </w:r>
      <w:r w:rsidR="001A28B3" w:rsidRPr="00EA7870">
        <w:rPr>
          <w:sz w:val="20"/>
          <w:szCs w:val="20"/>
          <w:lang w:val="es-AR"/>
        </w:rPr>
        <w:t xml:space="preserve"> </w:t>
      </w:r>
      <w:r w:rsidR="002043EF" w:rsidRPr="00EA7870">
        <w:rPr>
          <w:sz w:val="20"/>
          <w:szCs w:val="20"/>
          <w:lang w:val="es-AR"/>
        </w:rPr>
        <w:t>actividades</w:t>
      </w:r>
      <w:r w:rsidR="001A28B3" w:rsidRPr="00EA7870">
        <w:rPr>
          <w:sz w:val="20"/>
          <w:szCs w:val="20"/>
          <w:lang w:val="es-AR"/>
        </w:rPr>
        <w:t xml:space="preserve"> </w:t>
      </w:r>
      <w:r w:rsidR="002043EF" w:rsidRPr="00EA7870">
        <w:rPr>
          <w:sz w:val="20"/>
          <w:szCs w:val="20"/>
          <w:lang w:val="es-AR"/>
        </w:rPr>
        <w:t>ilícitas</w:t>
      </w:r>
      <w:r w:rsidRPr="00EA7870">
        <w:rPr>
          <w:sz w:val="20"/>
          <w:szCs w:val="20"/>
          <w:lang w:val="es-AR"/>
        </w:rPr>
        <w:t>,</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aquellas</w:t>
      </w:r>
      <w:r w:rsidR="001A28B3" w:rsidRPr="00EA7870">
        <w:rPr>
          <w:sz w:val="20"/>
          <w:szCs w:val="20"/>
          <w:lang w:val="es-AR"/>
        </w:rPr>
        <w:t xml:space="preserve"> </w:t>
      </w:r>
      <w:r w:rsidRPr="00EA7870">
        <w:rPr>
          <w:sz w:val="20"/>
          <w:szCs w:val="20"/>
          <w:lang w:val="es-AR"/>
        </w:rPr>
        <w:t>emitidas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U</w:t>
      </w:r>
      <w:r w:rsidR="00E21967" w:rsidRPr="00EA7870">
        <w:rPr>
          <w:sz w:val="20"/>
          <w:szCs w:val="20"/>
          <w:lang w:val="es-AR"/>
        </w:rPr>
        <w:t>IF</w:t>
      </w:r>
      <w:r w:rsidRPr="00EA7870">
        <w:rPr>
          <w:sz w:val="20"/>
          <w:szCs w:val="20"/>
          <w:lang w:val="es-AR"/>
        </w:rPr>
        <w:t>,</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BCRA.</w:t>
      </w:r>
    </w:p>
    <w:p w14:paraId="31AD7AF8" w14:textId="77777777" w:rsidR="00E06527" w:rsidRPr="00EA7870" w:rsidRDefault="00E06527" w:rsidP="00E06527">
      <w:pPr>
        <w:spacing w:after="240"/>
        <w:jc w:val="both"/>
        <w:rPr>
          <w:b/>
          <w:sz w:val="20"/>
          <w:szCs w:val="20"/>
          <w:lang w:val="es-AR"/>
        </w:rPr>
      </w:pPr>
      <w:r w:rsidRPr="00EA7870">
        <w:rPr>
          <w:b/>
          <w:sz w:val="20"/>
          <w:szCs w:val="20"/>
          <w:lang w:val="es-AR"/>
        </w:rPr>
        <w:t>Liquidación</w:t>
      </w:r>
    </w:p>
    <w:p w14:paraId="6753581B" w14:textId="2994399D" w:rsidR="00282037" w:rsidRPr="00EA7870" w:rsidRDefault="007601DC" w:rsidP="00D54020">
      <w:pPr>
        <w:spacing w:after="240"/>
        <w:jc w:val="both"/>
        <w:rPr>
          <w:sz w:val="20"/>
          <w:szCs w:val="20"/>
          <w:lang w:val="es-AR"/>
        </w:rPr>
      </w:pP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w:t>
      </w:r>
      <w:r w:rsidR="001A28B3" w:rsidRPr="00EA7870">
        <w:rPr>
          <w:sz w:val="20"/>
          <w:szCs w:val="20"/>
          <w:lang w:val="es-AR"/>
        </w:rPr>
        <w:t xml:space="preserve"> </w:t>
      </w:r>
      <w:r w:rsidRPr="00EA7870">
        <w:rPr>
          <w:sz w:val="20"/>
          <w:szCs w:val="20"/>
          <w:lang w:val="es-AR"/>
        </w:rPr>
        <w:t>emitirán</w:t>
      </w:r>
      <w:r w:rsidR="001A28B3" w:rsidRPr="00EA7870">
        <w:rPr>
          <w:sz w:val="20"/>
          <w:szCs w:val="20"/>
          <w:lang w:val="es-AR"/>
        </w:rPr>
        <w:t xml:space="preserve"> </w:t>
      </w:r>
      <w:r w:rsidR="00204025" w:rsidRPr="00EA7870">
        <w:rPr>
          <w:sz w:val="20"/>
          <w:szCs w:val="20"/>
          <w:lang w:val="es-AR"/>
        </w:rPr>
        <w:t>en</w:t>
      </w:r>
      <w:r w:rsidR="001A28B3" w:rsidRPr="00EA7870">
        <w:rPr>
          <w:sz w:val="20"/>
          <w:szCs w:val="20"/>
          <w:lang w:val="es-AR"/>
        </w:rPr>
        <w:t xml:space="preserve"> </w:t>
      </w:r>
      <w:r w:rsidR="00204025" w:rsidRPr="00EA7870">
        <w:rPr>
          <w:sz w:val="20"/>
          <w:szCs w:val="20"/>
          <w:lang w:val="es-AR"/>
        </w:rPr>
        <w:t>la</w:t>
      </w:r>
      <w:r w:rsidR="001A28B3" w:rsidRPr="00EA7870">
        <w:rPr>
          <w:sz w:val="20"/>
          <w:szCs w:val="20"/>
          <w:lang w:val="es-AR"/>
        </w:rPr>
        <w:t xml:space="preserve"> </w:t>
      </w:r>
      <w:r w:rsidR="00204025" w:rsidRPr="00EA7870">
        <w:rPr>
          <w:sz w:val="20"/>
          <w:szCs w:val="20"/>
          <w:lang w:val="es-AR"/>
        </w:rPr>
        <w:t>Fecha</w:t>
      </w:r>
      <w:r w:rsidR="001A28B3" w:rsidRPr="00EA7870">
        <w:rPr>
          <w:sz w:val="20"/>
          <w:szCs w:val="20"/>
          <w:lang w:val="es-AR"/>
        </w:rPr>
        <w:t xml:space="preserve"> </w:t>
      </w:r>
      <w:r w:rsidR="00204025" w:rsidRPr="00EA7870">
        <w:rPr>
          <w:sz w:val="20"/>
          <w:szCs w:val="20"/>
          <w:lang w:val="es-AR"/>
        </w:rPr>
        <w:t>de</w:t>
      </w:r>
      <w:r w:rsidR="001A28B3" w:rsidRPr="00EA7870">
        <w:rPr>
          <w:sz w:val="20"/>
          <w:szCs w:val="20"/>
          <w:lang w:val="es-AR"/>
        </w:rPr>
        <w:t xml:space="preserve"> </w:t>
      </w:r>
      <w:r w:rsidR="00204025" w:rsidRPr="00EA7870">
        <w:rPr>
          <w:sz w:val="20"/>
          <w:szCs w:val="20"/>
          <w:lang w:val="es-AR"/>
        </w:rPr>
        <w:t>Emisión</w:t>
      </w:r>
      <w:r w:rsidR="001A28B3" w:rsidRPr="00EA7870">
        <w:rPr>
          <w:sz w:val="20"/>
          <w:szCs w:val="20"/>
          <w:lang w:val="es-AR"/>
        </w:rPr>
        <w:t xml:space="preserve"> </w:t>
      </w:r>
      <w:r w:rsidR="00204025" w:rsidRPr="00EA7870">
        <w:rPr>
          <w:sz w:val="20"/>
          <w:szCs w:val="20"/>
          <w:lang w:val="es-AR"/>
        </w:rPr>
        <w:t>y</w:t>
      </w:r>
      <w:r w:rsidR="001A28B3" w:rsidRPr="00EA7870">
        <w:rPr>
          <w:sz w:val="20"/>
          <w:szCs w:val="20"/>
          <w:lang w:val="es-AR"/>
        </w:rPr>
        <w:t xml:space="preserve"> </w:t>
      </w:r>
      <w:r w:rsidR="00204025" w:rsidRPr="00EA7870">
        <w:rPr>
          <w:sz w:val="20"/>
          <w:szCs w:val="20"/>
          <w:lang w:val="es-AR"/>
        </w:rPr>
        <w:t>Liquidación</w:t>
      </w:r>
      <w:r w:rsidR="0048615F">
        <w:rPr>
          <w:sz w:val="20"/>
          <w:szCs w:val="20"/>
          <w:lang w:val="es-AR"/>
        </w:rPr>
        <w:t>, la cual</w:t>
      </w:r>
      <w:r w:rsidR="001A28B3" w:rsidRPr="00EA7870">
        <w:rPr>
          <w:sz w:val="20"/>
          <w:szCs w:val="20"/>
          <w:lang w:val="es-AR"/>
        </w:rPr>
        <w:t xml:space="preserve"> </w:t>
      </w:r>
      <w:r w:rsidRPr="00EA7870">
        <w:rPr>
          <w:sz w:val="20"/>
          <w:szCs w:val="20"/>
          <w:lang w:val="es-AR"/>
        </w:rPr>
        <w:t>será</w:t>
      </w:r>
      <w:r w:rsidR="001A28B3" w:rsidRPr="00EA7870">
        <w:rPr>
          <w:sz w:val="20"/>
          <w:szCs w:val="20"/>
          <w:lang w:val="es-AR"/>
        </w:rPr>
        <w:t xml:space="preserve"> </w:t>
      </w:r>
      <w:r w:rsidRPr="00EA7870">
        <w:rPr>
          <w:sz w:val="20"/>
          <w:szCs w:val="20"/>
          <w:lang w:val="es-AR"/>
        </w:rPr>
        <w:t>informada</w:t>
      </w:r>
      <w:r w:rsidR="001A28B3" w:rsidRPr="00EA7870">
        <w:rPr>
          <w:sz w:val="20"/>
          <w:szCs w:val="20"/>
          <w:lang w:val="es-AR"/>
        </w:rPr>
        <w:t xml:space="preserve"> </w:t>
      </w:r>
      <w:r w:rsidR="00E06527" w:rsidRPr="00EA7870">
        <w:rPr>
          <w:sz w:val="20"/>
          <w:szCs w:val="20"/>
          <w:lang w:val="es-AR"/>
        </w:rPr>
        <w:t>en</w:t>
      </w:r>
      <w:r w:rsidR="001A28B3" w:rsidRPr="00EA7870">
        <w:rPr>
          <w:sz w:val="20"/>
          <w:szCs w:val="20"/>
          <w:lang w:val="es-AR"/>
        </w:rPr>
        <w:t xml:space="preserve"> </w:t>
      </w:r>
      <w:r w:rsidR="00E06527" w:rsidRPr="00EA7870">
        <w:rPr>
          <w:sz w:val="20"/>
          <w:szCs w:val="20"/>
          <w:lang w:val="es-AR"/>
        </w:rPr>
        <w:t>el</w:t>
      </w:r>
      <w:r w:rsidR="001A28B3" w:rsidRPr="00EA7870">
        <w:rPr>
          <w:sz w:val="20"/>
          <w:szCs w:val="20"/>
          <w:lang w:val="es-AR"/>
        </w:rPr>
        <w:t xml:space="preserve"> </w:t>
      </w:r>
      <w:r w:rsidR="00E06527" w:rsidRPr="00EA7870">
        <w:rPr>
          <w:sz w:val="20"/>
          <w:szCs w:val="20"/>
          <w:lang w:val="es-AR"/>
        </w:rPr>
        <w:t>Aviso</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E06527" w:rsidRPr="00EA7870">
        <w:rPr>
          <w:sz w:val="20"/>
          <w:szCs w:val="20"/>
          <w:lang w:val="es-AR"/>
        </w:rPr>
        <w:t>Resultados.</w:t>
      </w:r>
      <w:r w:rsidR="001A28B3" w:rsidRPr="00EA7870">
        <w:rPr>
          <w:sz w:val="20"/>
          <w:szCs w:val="20"/>
          <w:lang w:val="es-AR"/>
        </w:rPr>
        <w:t xml:space="preserve"> </w:t>
      </w:r>
      <w:r w:rsidR="00E06527" w:rsidRPr="00EA7870">
        <w:rPr>
          <w:sz w:val="20"/>
          <w:szCs w:val="20"/>
          <w:lang w:val="es-AR"/>
        </w:rPr>
        <w:t>Todas</w:t>
      </w:r>
      <w:r w:rsidR="001A28B3" w:rsidRPr="00EA7870">
        <w:rPr>
          <w:sz w:val="20"/>
          <w:szCs w:val="20"/>
          <w:lang w:val="es-AR"/>
        </w:rPr>
        <w:t xml:space="preserve"> </w:t>
      </w:r>
      <w:r w:rsidR="00E06527" w:rsidRPr="00EA7870">
        <w:rPr>
          <w:sz w:val="20"/>
          <w:szCs w:val="20"/>
          <w:lang w:val="es-AR"/>
        </w:rPr>
        <w:t>las</w:t>
      </w:r>
      <w:r w:rsidR="001A28B3" w:rsidRPr="00EA7870">
        <w:rPr>
          <w:sz w:val="20"/>
          <w:szCs w:val="20"/>
          <w:lang w:val="es-AR"/>
        </w:rPr>
        <w:t xml:space="preserve"> </w:t>
      </w:r>
      <w:r w:rsidR="00E06527" w:rsidRPr="00EA7870">
        <w:rPr>
          <w:sz w:val="20"/>
          <w:szCs w:val="20"/>
          <w:lang w:val="es-AR"/>
        </w:rPr>
        <w:t>Obligaciones</w:t>
      </w:r>
      <w:r w:rsidR="001A28B3" w:rsidRPr="00EA7870">
        <w:rPr>
          <w:sz w:val="20"/>
          <w:szCs w:val="20"/>
          <w:lang w:val="es-AR"/>
        </w:rPr>
        <w:t xml:space="preserve"> </w:t>
      </w:r>
      <w:r w:rsidR="00E06527" w:rsidRPr="00EA7870">
        <w:rPr>
          <w:sz w:val="20"/>
          <w:szCs w:val="20"/>
          <w:lang w:val="es-AR"/>
        </w:rPr>
        <w:t>Negociables</w:t>
      </w:r>
      <w:r w:rsidR="001A28B3" w:rsidRPr="00EA7870">
        <w:rPr>
          <w:sz w:val="20"/>
          <w:szCs w:val="20"/>
          <w:lang w:val="es-AR"/>
        </w:rPr>
        <w:t xml:space="preserve"> </w:t>
      </w:r>
      <w:r w:rsidR="00E06527" w:rsidRPr="00EA7870">
        <w:rPr>
          <w:sz w:val="20"/>
          <w:szCs w:val="20"/>
          <w:lang w:val="es-AR"/>
        </w:rPr>
        <w:t>serán</w:t>
      </w:r>
      <w:r w:rsidR="001A28B3" w:rsidRPr="00EA7870">
        <w:rPr>
          <w:sz w:val="20"/>
          <w:szCs w:val="20"/>
          <w:lang w:val="es-AR"/>
        </w:rPr>
        <w:t xml:space="preserve"> </w:t>
      </w:r>
      <w:r w:rsidR="00E06527" w:rsidRPr="00EA7870">
        <w:rPr>
          <w:sz w:val="20"/>
          <w:szCs w:val="20"/>
          <w:lang w:val="es-AR"/>
        </w:rPr>
        <w:t>integradas</w:t>
      </w:r>
      <w:r w:rsidR="001A28B3" w:rsidRPr="00EA7870">
        <w:rPr>
          <w:sz w:val="20"/>
          <w:szCs w:val="20"/>
          <w:lang w:val="es-AR"/>
        </w:rPr>
        <w:t xml:space="preserve"> </w:t>
      </w:r>
      <w:r w:rsidR="00E06527" w:rsidRPr="00EA7870">
        <w:rPr>
          <w:sz w:val="20"/>
          <w:szCs w:val="20"/>
          <w:lang w:val="es-AR"/>
        </w:rPr>
        <w:t>por</w:t>
      </w:r>
      <w:r w:rsidR="001A28B3" w:rsidRPr="00EA7870">
        <w:rPr>
          <w:sz w:val="20"/>
          <w:szCs w:val="20"/>
          <w:lang w:val="es-AR"/>
        </w:rPr>
        <w:t xml:space="preserve"> </w:t>
      </w:r>
      <w:r w:rsidR="00E06527" w:rsidRPr="00EA7870">
        <w:rPr>
          <w:sz w:val="20"/>
          <w:szCs w:val="20"/>
          <w:lang w:val="es-AR"/>
        </w:rPr>
        <w:t>los</w:t>
      </w:r>
      <w:r w:rsidR="001A28B3" w:rsidRPr="00EA7870">
        <w:rPr>
          <w:sz w:val="20"/>
          <w:szCs w:val="20"/>
          <w:lang w:val="es-AR"/>
        </w:rPr>
        <w:t xml:space="preserve"> </w:t>
      </w:r>
      <w:r w:rsidR="00E06527" w:rsidRPr="00EA7870">
        <w:rPr>
          <w:sz w:val="20"/>
          <w:szCs w:val="20"/>
          <w:lang w:val="es-AR"/>
        </w:rPr>
        <w:t>inversores</w:t>
      </w:r>
      <w:r w:rsidR="001A28B3" w:rsidRPr="00EA7870">
        <w:rPr>
          <w:sz w:val="20"/>
          <w:szCs w:val="20"/>
          <w:lang w:val="es-AR"/>
        </w:rPr>
        <w:t xml:space="preserve"> </w:t>
      </w:r>
      <w:r w:rsidR="00E06527" w:rsidRPr="00EA7870">
        <w:rPr>
          <w:sz w:val="20"/>
          <w:szCs w:val="20"/>
          <w:lang w:val="es-AR"/>
        </w:rPr>
        <w:t>en</w:t>
      </w:r>
      <w:r w:rsidR="001A28B3" w:rsidRPr="00EA7870">
        <w:rPr>
          <w:sz w:val="20"/>
          <w:szCs w:val="20"/>
          <w:lang w:val="es-AR"/>
        </w:rPr>
        <w:t xml:space="preserve"> </w:t>
      </w:r>
      <w:r w:rsidR="00E06527" w:rsidRPr="00EA7870">
        <w:rPr>
          <w:sz w:val="20"/>
          <w:szCs w:val="20"/>
          <w:lang w:val="es-AR"/>
        </w:rPr>
        <w:t>la</w:t>
      </w:r>
      <w:r w:rsidR="001A28B3" w:rsidRPr="00EA7870">
        <w:rPr>
          <w:sz w:val="20"/>
          <w:szCs w:val="20"/>
          <w:lang w:val="es-AR"/>
        </w:rPr>
        <w:t xml:space="preserve"> </w:t>
      </w:r>
      <w:r w:rsidR="00705E41" w:rsidRPr="00EA7870">
        <w:rPr>
          <w:sz w:val="20"/>
          <w:szCs w:val="20"/>
          <w:lang w:val="es-AR"/>
        </w:rPr>
        <w:t>Fecha</w:t>
      </w:r>
      <w:r w:rsidR="001A28B3" w:rsidRPr="00EA7870">
        <w:rPr>
          <w:sz w:val="20"/>
          <w:szCs w:val="20"/>
          <w:lang w:val="es-AR"/>
        </w:rPr>
        <w:t xml:space="preserve"> </w:t>
      </w:r>
      <w:r w:rsidR="00E06527" w:rsidRPr="00EA7870">
        <w:rPr>
          <w:sz w:val="20"/>
          <w:szCs w:val="20"/>
          <w:lang w:val="es-AR"/>
        </w:rPr>
        <w:t>de</w:t>
      </w:r>
      <w:r w:rsidR="001A28B3" w:rsidRPr="00EA7870">
        <w:rPr>
          <w:sz w:val="20"/>
          <w:szCs w:val="20"/>
          <w:lang w:val="es-AR"/>
        </w:rPr>
        <w:t xml:space="preserve"> </w:t>
      </w:r>
      <w:r w:rsidR="00705E41" w:rsidRPr="00EA7870">
        <w:rPr>
          <w:sz w:val="20"/>
          <w:szCs w:val="20"/>
          <w:lang w:val="es-AR"/>
        </w:rPr>
        <w:t>Emisión</w:t>
      </w:r>
      <w:r w:rsidR="001A28B3" w:rsidRPr="00EA7870">
        <w:rPr>
          <w:sz w:val="20"/>
          <w:szCs w:val="20"/>
          <w:lang w:val="es-AR"/>
        </w:rPr>
        <w:t xml:space="preserve"> </w:t>
      </w:r>
      <w:r w:rsidR="00705E41" w:rsidRPr="00EA7870">
        <w:rPr>
          <w:sz w:val="20"/>
          <w:szCs w:val="20"/>
          <w:lang w:val="es-AR"/>
        </w:rPr>
        <w:t>y</w:t>
      </w:r>
      <w:r w:rsidR="001A28B3" w:rsidRPr="00EA7870">
        <w:rPr>
          <w:sz w:val="20"/>
          <w:szCs w:val="20"/>
          <w:lang w:val="es-AR"/>
        </w:rPr>
        <w:t xml:space="preserve"> </w:t>
      </w:r>
      <w:r w:rsidR="00705E41" w:rsidRPr="00EA7870">
        <w:rPr>
          <w:sz w:val="20"/>
          <w:szCs w:val="20"/>
          <w:lang w:val="es-AR"/>
        </w:rPr>
        <w:t>Liquidació</w:t>
      </w:r>
      <w:r w:rsidRPr="00EA7870">
        <w:rPr>
          <w:sz w:val="20"/>
          <w:szCs w:val="20"/>
          <w:lang w:val="es-AR"/>
        </w:rPr>
        <w:t>n.</w:t>
      </w:r>
      <w:r w:rsidR="001A28B3" w:rsidRPr="00EA7870">
        <w:rPr>
          <w:sz w:val="20"/>
          <w:szCs w:val="20"/>
          <w:lang w:val="es-AR"/>
        </w:rPr>
        <w:t xml:space="preserve"> </w:t>
      </w:r>
    </w:p>
    <w:p w14:paraId="0367DFC0" w14:textId="18DBDB83" w:rsidR="0095751B" w:rsidRPr="00EA7870" w:rsidRDefault="0095751B" w:rsidP="0095751B">
      <w:pPr>
        <w:spacing w:after="240"/>
        <w:jc w:val="both"/>
        <w:rPr>
          <w:sz w:val="20"/>
          <w:szCs w:val="20"/>
          <w:lang w:val="es-AR"/>
        </w:rPr>
      </w:pPr>
      <w:r w:rsidRPr="00EA7870">
        <w:rPr>
          <w:sz w:val="20"/>
          <w:szCs w:val="20"/>
          <w:lang w:val="es-AR"/>
        </w:rPr>
        <w:t>Los inversores a quienes se les hayan adjudicado Manifestaciones de Interés en la Oferta Internacional transferirán el monto de las Obligaciones Negociables adjudicadas por la Emisora</w:t>
      </w:r>
      <w:r w:rsidR="009C3C5B" w:rsidRPr="00EA7870">
        <w:rPr>
          <w:sz w:val="20"/>
          <w:szCs w:val="20"/>
          <w:lang w:val="es-AR"/>
        </w:rPr>
        <w:t xml:space="preserve">, </w:t>
      </w:r>
      <w:r w:rsidRPr="00EA7870">
        <w:rPr>
          <w:sz w:val="20"/>
          <w:szCs w:val="20"/>
          <w:lang w:val="es-AR"/>
        </w:rPr>
        <w:t xml:space="preserve">a la cuenta o cuentas de la Emisora según lo establecido en el </w:t>
      </w:r>
      <w:r w:rsidR="00035AE3" w:rsidRPr="00EA7870">
        <w:rPr>
          <w:sz w:val="20"/>
          <w:szCs w:val="20"/>
          <w:lang w:val="es-AR"/>
        </w:rPr>
        <w:t xml:space="preserve">Acuerdo de </w:t>
      </w:r>
      <w:r w:rsidR="00A57CE4" w:rsidRPr="00EA7870">
        <w:rPr>
          <w:sz w:val="20"/>
          <w:szCs w:val="20"/>
          <w:lang w:val="es-AR"/>
        </w:rPr>
        <w:t>Compra</w:t>
      </w:r>
      <w:r w:rsidRPr="00EA7870">
        <w:rPr>
          <w:sz w:val="20"/>
          <w:szCs w:val="20"/>
          <w:lang w:val="es-AR"/>
        </w:rPr>
        <w:t xml:space="preserve"> </w:t>
      </w:r>
      <w:r w:rsidR="003A37B5" w:rsidRPr="00EA7870">
        <w:rPr>
          <w:sz w:val="20"/>
          <w:szCs w:val="20"/>
          <w:lang w:val="es-AR"/>
        </w:rPr>
        <w:t xml:space="preserve">de Obligaciones Negociables </w:t>
      </w:r>
      <w:r w:rsidRPr="00EA7870">
        <w:rPr>
          <w:sz w:val="20"/>
          <w:szCs w:val="20"/>
          <w:lang w:val="es-AR"/>
        </w:rPr>
        <w:t xml:space="preserve">en la Fecha de </w:t>
      </w:r>
      <w:r w:rsidR="00DD23C3" w:rsidRPr="00EA7870">
        <w:rPr>
          <w:sz w:val="20"/>
          <w:szCs w:val="20"/>
          <w:lang w:val="es-AR"/>
        </w:rPr>
        <w:t>Emisión y Liquidación</w:t>
      </w:r>
      <w:r w:rsidR="009C3C5B" w:rsidRPr="00EA7870">
        <w:rPr>
          <w:sz w:val="20"/>
          <w:szCs w:val="20"/>
          <w:lang w:val="es-AR"/>
        </w:rPr>
        <w:t>.</w:t>
      </w:r>
      <w:r w:rsidRPr="00EA7870">
        <w:rPr>
          <w:sz w:val="20"/>
          <w:szCs w:val="20"/>
          <w:lang w:val="es-AR"/>
        </w:rPr>
        <w:t xml:space="preserve"> En el caso de que un inversor no </w:t>
      </w:r>
      <w:r w:rsidR="00844209" w:rsidRPr="00EA7870">
        <w:rPr>
          <w:sz w:val="20"/>
          <w:szCs w:val="20"/>
          <w:lang w:val="es-AR"/>
        </w:rPr>
        <w:t xml:space="preserve">realice la integración de las Obligaciones Negociables </w:t>
      </w:r>
      <w:r w:rsidRPr="00EA7870">
        <w:rPr>
          <w:sz w:val="20"/>
          <w:szCs w:val="20"/>
          <w:lang w:val="es-AR"/>
        </w:rPr>
        <w:t>(</w:t>
      </w:r>
      <w:r w:rsidR="00844209" w:rsidRPr="00EA7870">
        <w:rPr>
          <w:sz w:val="20"/>
          <w:szCs w:val="20"/>
          <w:lang w:val="es-AR"/>
        </w:rPr>
        <w:t>sea total o parcialmente</w:t>
      </w:r>
      <w:r w:rsidRPr="00EA7870">
        <w:rPr>
          <w:sz w:val="20"/>
          <w:szCs w:val="20"/>
          <w:lang w:val="es-AR"/>
        </w:rPr>
        <w:t xml:space="preserve">), dicho inversor no tendrá derecho a recibir las Obligaciones Negociables adjudicadas pero no integradas y la Emisora tendrá derecho a reasignar la totalidad o parte de dichas Obligaciones Negociables a otros </w:t>
      </w:r>
      <w:r w:rsidR="00844209" w:rsidRPr="00EA7870">
        <w:rPr>
          <w:sz w:val="20"/>
          <w:szCs w:val="20"/>
          <w:lang w:val="es-AR"/>
        </w:rPr>
        <w:t xml:space="preserve">potenciales </w:t>
      </w:r>
      <w:r w:rsidRPr="00EA7870">
        <w:rPr>
          <w:sz w:val="20"/>
          <w:szCs w:val="20"/>
          <w:lang w:val="es-AR"/>
        </w:rPr>
        <w:t xml:space="preserve">inversores. </w:t>
      </w:r>
    </w:p>
    <w:p w14:paraId="42FF775B" w14:textId="308D6256" w:rsidR="0095751B" w:rsidRPr="00EA7870" w:rsidRDefault="0095751B" w:rsidP="0095751B">
      <w:pPr>
        <w:spacing w:after="240"/>
        <w:jc w:val="both"/>
        <w:rPr>
          <w:sz w:val="20"/>
          <w:szCs w:val="20"/>
          <w:lang w:val="es-AR"/>
        </w:rPr>
      </w:pPr>
      <w:r w:rsidRPr="00EA7870">
        <w:rPr>
          <w:sz w:val="20"/>
          <w:szCs w:val="20"/>
          <w:lang w:val="es-AR"/>
        </w:rPr>
        <w:t xml:space="preserve">Los inversores a quienes se les hayan adjudicado Manifestaciones de Interés en la </w:t>
      </w:r>
      <w:r w:rsidR="009C3C5B" w:rsidRPr="00EA7870">
        <w:rPr>
          <w:sz w:val="20"/>
          <w:szCs w:val="20"/>
          <w:lang w:val="es-AR"/>
        </w:rPr>
        <w:t xml:space="preserve">Oferta Local </w:t>
      </w:r>
      <w:r w:rsidRPr="00EA7870">
        <w:rPr>
          <w:sz w:val="20"/>
          <w:szCs w:val="20"/>
          <w:lang w:val="es-AR"/>
        </w:rPr>
        <w:t xml:space="preserve">deberán pagar el </w:t>
      </w:r>
      <w:r w:rsidR="00162288" w:rsidRPr="00EA7870">
        <w:rPr>
          <w:sz w:val="20"/>
          <w:szCs w:val="20"/>
          <w:lang w:val="es-AR"/>
        </w:rPr>
        <w:t>monto de las Obligaciones Negociables adjudicadas por la Emisora</w:t>
      </w:r>
      <w:r w:rsidRPr="00EA7870">
        <w:rPr>
          <w:sz w:val="20"/>
          <w:szCs w:val="20"/>
          <w:lang w:val="es-AR"/>
        </w:rPr>
        <w:t xml:space="preserve">, ya sea en (i) Dólares Estadounidenses, o (ii) en Pesos en una cantidad suficiente para cubrir el valor nominal de Obligaciones Negociables </w:t>
      </w:r>
      <w:r w:rsidR="00483FF8" w:rsidRPr="00EA7870">
        <w:rPr>
          <w:sz w:val="20"/>
          <w:szCs w:val="20"/>
          <w:lang w:val="es-AR"/>
        </w:rPr>
        <w:t xml:space="preserve">en Dólares Estadounidenses que les fuera adjudicado </w:t>
      </w:r>
      <w:r w:rsidRPr="00EA7870">
        <w:rPr>
          <w:sz w:val="20"/>
          <w:szCs w:val="20"/>
          <w:lang w:val="es-AR"/>
        </w:rPr>
        <w:t xml:space="preserve">al Tipo de Cambio Aplicable, al Colocador Local en la Fecha de Emisión y Liquidación para su posterior transferencia a la Emisora. </w:t>
      </w:r>
    </w:p>
    <w:p w14:paraId="5D92B726" w14:textId="36730CE2" w:rsidR="00483FF8" w:rsidRPr="00EA7870" w:rsidRDefault="0044414C" w:rsidP="000F775A">
      <w:pPr>
        <w:contextualSpacing/>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Fecha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62288" w:rsidRPr="00EA7870">
        <w:rPr>
          <w:sz w:val="20"/>
          <w:szCs w:val="20"/>
          <w:lang w:val="es-AR"/>
        </w:rPr>
        <w:t xml:space="preserve"> y Liquidación</w:t>
      </w:r>
      <w:r w:rsidRPr="00EA7870">
        <w:rPr>
          <w:sz w:val="20"/>
          <w:szCs w:val="20"/>
          <w:lang w:val="es-AR"/>
        </w:rPr>
        <w:t>,</w:t>
      </w:r>
      <w:r w:rsidR="001A28B3" w:rsidRPr="00EA7870">
        <w:rPr>
          <w:sz w:val="20"/>
          <w:szCs w:val="20"/>
          <w:lang w:val="es-AR"/>
        </w:rPr>
        <w:t xml:space="preserve"> </w:t>
      </w:r>
      <w:r w:rsidRPr="00EA7870">
        <w:rPr>
          <w:sz w:val="20"/>
          <w:szCs w:val="20"/>
          <w:lang w:val="es-AR"/>
        </w:rPr>
        <w:t>The</w:t>
      </w:r>
      <w:r w:rsidR="001A28B3" w:rsidRPr="00EA7870">
        <w:rPr>
          <w:sz w:val="20"/>
          <w:szCs w:val="20"/>
          <w:lang w:val="es-AR"/>
        </w:rPr>
        <w:t xml:space="preserve"> </w:t>
      </w:r>
      <w:r w:rsidRPr="00EA7870">
        <w:rPr>
          <w:sz w:val="20"/>
          <w:szCs w:val="20"/>
          <w:lang w:val="es-AR"/>
        </w:rPr>
        <w:t>Bank</w:t>
      </w:r>
      <w:r w:rsidR="001A28B3" w:rsidRPr="00EA7870">
        <w:rPr>
          <w:sz w:val="20"/>
          <w:szCs w:val="20"/>
          <w:lang w:val="es-AR"/>
        </w:rPr>
        <w:t xml:space="preserve"> </w:t>
      </w:r>
      <w:r w:rsidRPr="00EA7870">
        <w:rPr>
          <w:sz w:val="20"/>
          <w:szCs w:val="20"/>
          <w:lang w:val="es-AR"/>
        </w:rPr>
        <w:t>of</w:t>
      </w:r>
      <w:r w:rsidR="001A28B3" w:rsidRPr="00EA7870">
        <w:rPr>
          <w:sz w:val="20"/>
          <w:szCs w:val="20"/>
          <w:lang w:val="es-AR"/>
        </w:rPr>
        <w:t xml:space="preserve"> </w:t>
      </w:r>
      <w:r w:rsidRPr="00EA7870">
        <w:rPr>
          <w:sz w:val="20"/>
          <w:szCs w:val="20"/>
          <w:lang w:val="es-AR"/>
        </w:rPr>
        <w:t>New</w:t>
      </w:r>
      <w:r w:rsidR="001A28B3" w:rsidRPr="00EA7870">
        <w:rPr>
          <w:sz w:val="20"/>
          <w:szCs w:val="20"/>
          <w:lang w:val="es-AR"/>
        </w:rPr>
        <w:t xml:space="preserve"> </w:t>
      </w:r>
      <w:r w:rsidRPr="00EA7870">
        <w:rPr>
          <w:sz w:val="20"/>
          <w:szCs w:val="20"/>
          <w:lang w:val="es-AR"/>
        </w:rPr>
        <w:t>York</w:t>
      </w:r>
      <w:r w:rsidR="001A28B3" w:rsidRPr="00EA7870">
        <w:rPr>
          <w:sz w:val="20"/>
          <w:szCs w:val="20"/>
          <w:lang w:val="es-AR"/>
        </w:rPr>
        <w:t xml:space="preserve"> </w:t>
      </w:r>
      <w:r w:rsidRPr="00EA7870">
        <w:rPr>
          <w:sz w:val="20"/>
          <w:szCs w:val="20"/>
          <w:lang w:val="es-AR"/>
        </w:rPr>
        <w:t>Mellon</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su</w:t>
      </w:r>
      <w:r w:rsidR="001A28B3" w:rsidRPr="00EA7870">
        <w:rPr>
          <w:sz w:val="20"/>
          <w:szCs w:val="20"/>
          <w:lang w:val="es-AR"/>
        </w:rPr>
        <w:t xml:space="preserve"> </w:t>
      </w:r>
      <w:r w:rsidRPr="00EA7870">
        <w:rPr>
          <w:sz w:val="20"/>
          <w:szCs w:val="20"/>
          <w:lang w:val="es-AR"/>
        </w:rPr>
        <w:t>carácter</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00CC2C99" w:rsidRPr="00EA7870">
        <w:rPr>
          <w:sz w:val="20"/>
          <w:szCs w:val="20"/>
          <w:lang w:val="es-AR"/>
        </w:rPr>
        <w:t>transferencia</w:t>
      </w:r>
      <w:r w:rsidR="001A28B3" w:rsidRPr="00EA7870">
        <w:rPr>
          <w:sz w:val="20"/>
          <w:szCs w:val="20"/>
          <w:lang w:val="es-AR"/>
        </w:rPr>
        <w:t xml:space="preserve"> </w:t>
      </w:r>
      <w:r w:rsidRPr="00EA7870">
        <w:rPr>
          <w:sz w:val="20"/>
          <w:szCs w:val="20"/>
          <w:lang w:val="es-AR"/>
        </w:rPr>
        <w:t>internacional</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w:t>
      </w:r>
      <w:r w:rsidRPr="00EA7870">
        <w:rPr>
          <w:b/>
          <w:sz w:val="20"/>
          <w:szCs w:val="20"/>
          <w:lang w:val="es-AR"/>
        </w:rPr>
        <w:t>Agente</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00CC2C99" w:rsidRPr="00EA7870">
        <w:rPr>
          <w:b/>
          <w:sz w:val="20"/>
          <w:szCs w:val="20"/>
          <w:lang w:val="es-AR"/>
        </w:rPr>
        <w:t>Transferencia</w:t>
      </w:r>
      <w:r w:rsidRPr="00EA7870">
        <w:rPr>
          <w:sz w:val="20"/>
          <w:szCs w:val="20"/>
          <w:lang w:val="es-AR"/>
        </w:rPr>
        <w:t>”),</w:t>
      </w:r>
      <w:r w:rsidR="001A28B3" w:rsidRPr="00EA7870">
        <w:rPr>
          <w:sz w:val="20"/>
          <w:szCs w:val="20"/>
          <w:lang w:val="es-AR"/>
        </w:rPr>
        <w:t xml:space="preserve"> </w:t>
      </w:r>
      <w:r w:rsidRPr="00EA7870">
        <w:rPr>
          <w:sz w:val="20"/>
          <w:szCs w:val="20"/>
          <w:lang w:val="es-AR"/>
        </w:rPr>
        <w:t>entregará</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forma</w:t>
      </w:r>
      <w:r w:rsidR="001A28B3" w:rsidRPr="00EA7870">
        <w:rPr>
          <w:sz w:val="20"/>
          <w:szCs w:val="20"/>
          <w:lang w:val="es-AR"/>
        </w:rPr>
        <w:t xml:space="preserve"> </w:t>
      </w:r>
      <w:r w:rsidRPr="00EA7870">
        <w:rPr>
          <w:sz w:val="20"/>
          <w:szCs w:val="20"/>
          <w:lang w:val="es-AR"/>
        </w:rPr>
        <w:t>escritural</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través</w:t>
      </w:r>
      <w:r w:rsidR="001A28B3" w:rsidRPr="00EA7870">
        <w:rPr>
          <w:sz w:val="20"/>
          <w:szCs w:val="20"/>
          <w:lang w:val="es-AR"/>
        </w:rPr>
        <w:t xml:space="preserve"> </w:t>
      </w:r>
      <w:r w:rsidRPr="00EA7870">
        <w:rPr>
          <w:sz w:val="20"/>
          <w:szCs w:val="20"/>
          <w:lang w:val="es-AR"/>
        </w:rPr>
        <w:t>DTC</w:t>
      </w:r>
      <w:r w:rsidR="001D13D7" w:rsidRPr="00EA7870">
        <w:rPr>
          <w:sz w:val="20"/>
          <w:szCs w:val="20"/>
          <w:lang w:val="es-AR"/>
        </w:rPr>
        <w:t xml:space="preserve"> contra la </w:t>
      </w:r>
      <w:r w:rsidR="00B06EDF" w:rsidRPr="00EA7870">
        <w:rPr>
          <w:sz w:val="20"/>
          <w:szCs w:val="20"/>
          <w:lang w:val="es-AR"/>
        </w:rPr>
        <w:t>transferencia</w:t>
      </w:r>
      <w:r w:rsidR="001D13D7" w:rsidRPr="00EA7870">
        <w:rPr>
          <w:sz w:val="20"/>
          <w:szCs w:val="20"/>
          <w:lang w:val="es-AR"/>
        </w:rPr>
        <w:t xml:space="preserve"> del precio de compra por parte del inversor a la Emisora, según se detalle en los Acuerdos de Compra</w:t>
      </w:r>
      <w:r w:rsidR="003A37B5" w:rsidRPr="00EA7870">
        <w:rPr>
          <w:sz w:val="20"/>
          <w:szCs w:val="20"/>
          <w:lang w:val="es-AR"/>
        </w:rPr>
        <w:t xml:space="preserve"> de Obligaciones Negociables</w:t>
      </w:r>
      <w:r w:rsidRPr="00EA7870">
        <w:rPr>
          <w:sz w:val="20"/>
          <w:szCs w:val="20"/>
          <w:lang w:val="es-AR"/>
        </w:rPr>
        <w:t>.</w:t>
      </w:r>
      <w:r w:rsidR="001A28B3" w:rsidRPr="00EA7870">
        <w:rPr>
          <w:sz w:val="20"/>
          <w:szCs w:val="20"/>
          <w:lang w:val="es-AR"/>
        </w:rPr>
        <w:t xml:space="preserve"> </w:t>
      </w:r>
    </w:p>
    <w:p w14:paraId="60890585" w14:textId="77777777" w:rsidR="00162288" w:rsidRPr="00EA7870" w:rsidRDefault="00162288" w:rsidP="000F775A">
      <w:pPr>
        <w:contextualSpacing/>
        <w:jc w:val="both"/>
        <w:rPr>
          <w:sz w:val="20"/>
          <w:szCs w:val="20"/>
          <w:lang w:val="es-AR"/>
        </w:rPr>
      </w:pPr>
    </w:p>
    <w:p w14:paraId="03A59B8F" w14:textId="206CA6F5" w:rsidR="00483FF8" w:rsidRPr="00EA7870" w:rsidRDefault="0044414C" w:rsidP="00483FF8">
      <w:pPr>
        <w:contextualSpacing/>
        <w:jc w:val="both"/>
        <w:rPr>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Oferta</w:t>
      </w:r>
      <w:r w:rsidR="001A28B3" w:rsidRPr="00EA7870">
        <w:rPr>
          <w:sz w:val="20"/>
          <w:szCs w:val="20"/>
          <w:lang w:val="es-AR"/>
        </w:rPr>
        <w:t xml:space="preserve"> </w:t>
      </w:r>
      <w:r w:rsidRPr="00EA7870">
        <w:rPr>
          <w:sz w:val="20"/>
          <w:szCs w:val="20"/>
          <w:lang w:val="es-AR"/>
        </w:rPr>
        <w:t>Local,</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Liquidación</w:t>
      </w:r>
      <w:r w:rsidR="001A28B3" w:rsidRPr="00EA7870">
        <w:rPr>
          <w:sz w:val="20"/>
          <w:szCs w:val="20"/>
          <w:lang w:val="es-AR"/>
        </w:rPr>
        <w:t xml:space="preserve"> </w:t>
      </w:r>
      <w:r w:rsidR="009E6643" w:rsidRPr="00EA7870">
        <w:rPr>
          <w:sz w:val="20"/>
          <w:szCs w:val="20"/>
          <w:lang w:val="es-AR"/>
        </w:rPr>
        <w:t xml:space="preserve">Local </w:t>
      </w:r>
      <w:r w:rsidRPr="00EA7870">
        <w:rPr>
          <w:sz w:val="20"/>
          <w:szCs w:val="20"/>
          <w:lang w:val="es-AR"/>
        </w:rPr>
        <w:t>entregará</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corresponden</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porción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Manifestaciones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Interés</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fueran</w:t>
      </w:r>
      <w:r w:rsidR="001A28B3" w:rsidRPr="00EA7870">
        <w:rPr>
          <w:sz w:val="20"/>
          <w:szCs w:val="20"/>
          <w:lang w:val="es-AR"/>
        </w:rPr>
        <w:t xml:space="preserve"> </w:t>
      </w:r>
      <w:r w:rsidRPr="00EA7870">
        <w:rPr>
          <w:sz w:val="20"/>
          <w:szCs w:val="20"/>
          <w:lang w:val="es-AR"/>
        </w:rPr>
        <w:t>adjudicadas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inversores</w:t>
      </w:r>
      <w:r w:rsidR="001A28B3" w:rsidRPr="00EA7870">
        <w:rPr>
          <w:sz w:val="20"/>
          <w:szCs w:val="20"/>
          <w:lang w:val="es-AR"/>
        </w:rPr>
        <w:t xml:space="preserve"> </w:t>
      </w:r>
      <w:r w:rsidR="00483FF8" w:rsidRPr="00EA7870">
        <w:rPr>
          <w:sz w:val="20"/>
          <w:szCs w:val="20"/>
          <w:lang w:val="es-AR"/>
        </w:rPr>
        <w:t xml:space="preserve">en la </w:t>
      </w:r>
      <w:r w:rsidRPr="00EA7870">
        <w:rPr>
          <w:sz w:val="20"/>
          <w:szCs w:val="20"/>
          <w:lang w:val="es-AR"/>
        </w:rPr>
        <w:t>Argentina</w:t>
      </w:r>
      <w:r w:rsidR="001A28B3" w:rsidRPr="00EA7870">
        <w:rPr>
          <w:sz w:val="20"/>
          <w:szCs w:val="20"/>
          <w:lang w:val="es-AR"/>
        </w:rPr>
        <w:t xml:space="preserve"> </w:t>
      </w:r>
      <w:r w:rsidR="009C3C5B" w:rsidRPr="00EA7870">
        <w:rPr>
          <w:sz w:val="20"/>
          <w:szCs w:val="20"/>
          <w:lang w:val="es-AR"/>
        </w:rPr>
        <w:t>a</w:t>
      </w:r>
      <w:r w:rsidR="00483FF8" w:rsidRPr="00EA7870">
        <w:rPr>
          <w:sz w:val="20"/>
          <w:szCs w:val="20"/>
          <w:lang w:val="es-AR"/>
        </w:rPr>
        <w:t xml:space="preserve"> Banco Itaú Argentina S.A., en su carácter de agente de transferencia en la Argentina (el “</w:t>
      </w:r>
      <w:r w:rsidR="00483FF8" w:rsidRPr="00EA7870">
        <w:rPr>
          <w:b/>
          <w:sz w:val="20"/>
          <w:szCs w:val="20"/>
          <w:lang w:val="es-AR"/>
        </w:rPr>
        <w:t>Agente de Transferencia Local</w:t>
      </w:r>
      <w:r w:rsidR="00483FF8" w:rsidRPr="00EA7870">
        <w:rPr>
          <w:sz w:val="20"/>
          <w:szCs w:val="20"/>
          <w:lang w:val="es-AR"/>
        </w:rPr>
        <w:t xml:space="preserve">”) en la cuenta de Caja de Valores S.A., en DTC para su posterior transferencia </w:t>
      </w:r>
      <w:r w:rsidR="00DA04AD" w:rsidRPr="00DA04AD">
        <w:rPr>
          <w:sz w:val="20"/>
          <w:szCs w:val="20"/>
          <w:lang w:val="es-AR"/>
        </w:rPr>
        <w:t>bajo la modalidad “</w:t>
      </w:r>
      <w:r w:rsidR="00DA04AD" w:rsidRPr="00050F35">
        <w:rPr>
          <w:i/>
          <w:sz w:val="20"/>
          <w:szCs w:val="20"/>
          <w:lang w:val="es-AR"/>
        </w:rPr>
        <w:t>free of payment</w:t>
      </w:r>
      <w:r w:rsidR="00DA04AD" w:rsidRPr="00DA04AD">
        <w:rPr>
          <w:sz w:val="20"/>
          <w:szCs w:val="20"/>
          <w:lang w:val="es-AR"/>
        </w:rPr>
        <w:t xml:space="preserve">” (libre de pago) </w:t>
      </w:r>
      <w:r w:rsidR="00483FF8" w:rsidRPr="00EA7870">
        <w:rPr>
          <w:sz w:val="20"/>
          <w:szCs w:val="20"/>
          <w:lang w:val="es-AR"/>
        </w:rPr>
        <w:t xml:space="preserve">por parte del Agente de Transferencia Local a las cuentas </w:t>
      </w:r>
      <w:r w:rsidR="00DA04AD">
        <w:rPr>
          <w:sz w:val="20"/>
          <w:szCs w:val="20"/>
          <w:lang w:val="es-AR"/>
        </w:rPr>
        <w:t>indicadas por</w:t>
      </w:r>
      <w:r w:rsidR="00483FF8" w:rsidRPr="00EA7870">
        <w:rPr>
          <w:sz w:val="20"/>
          <w:szCs w:val="20"/>
          <w:lang w:val="es-AR"/>
        </w:rPr>
        <w:t xml:space="preserve"> los inversores</w:t>
      </w:r>
      <w:r w:rsidR="009C3C5B" w:rsidRPr="00EA7870">
        <w:rPr>
          <w:sz w:val="20"/>
          <w:szCs w:val="20"/>
          <w:lang w:val="es-AR"/>
        </w:rPr>
        <w:t xml:space="preserve">. </w:t>
      </w:r>
    </w:p>
    <w:p w14:paraId="034D6112" w14:textId="77777777" w:rsidR="00483FF8" w:rsidRPr="00EA7870" w:rsidRDefault="00483FF8" w:rsidP="00483FF8">
      <w:pPr>
        <w:contextualSpacing/>
        <w:jc w:val="both"/>
        <w:rPr>
          <w:sz w:val="20"/>
          <w:szCs w:val="20"/>
          <w:lang w:val="es-AR"/>
        </w:rPr>
      </w:pPr>
    </w:p>
    <w:p w14:paraId="4A9191C8" w14:textId="77777777" w:rsidR="0044414C" w:rsidRPr="00EA7870" w:rsidRDefault="0044414C" w:rsidP="00483FF8">
      <w:pPr>
        <w:contextualSpacing/>
        <w:jc w:val="both"/>
        <w:rPr>
          <w:b/>
          <w:bCs/>
          <w:sz w:val="20"/>
          <w:szCs w:val="20"/>
          <w:lang w:val="es-AR"/>
        </w:rPr>
      </w:pPr>
      <w:r w:rsidRPr="00EA7870">
        <w:rPr>
          <w:sz w:val="20"/>
          <w:szCs w:val="20"/>
          <w:lang w:val="es-AR"/>
        </w:rPr>
        <w:t>En</w:t>
      </w:r>
      <w:r w:rsidR="001A28B3" w:rsidRPr="00EA7870">
        <w:rPr>
          <w:sz w:val="20"/>
          <w:szCs w:val="20"/>
          <w:lang w:val="es-AR"/>
        </w:rPr>
        <w:t xml:space="preserve"> </w:t>
      </w:r>
      <w:r w:rsidRPr="00EA7870">
        <w:rPr>
          <w:sz w:val="20"/>
          <w:szCs w:val="20"/>
          <w:lang w:val="es-AR"/>
        </w:rPr>
        <w:t>ningún</w:t>
      </w:r>
      <w:r w:rsidR="001A28B3" w:rsidRPr="00EA7870">
        <w:rPr>
          <w:sz w:val="20"/>
          <w:szCs w:val="20"/>
          <w:lang w:val="es-AR"/>
        </w:rPr>
        <w:t xml:space="preserve"> </w:t>
      </w:r>
      <w:r w:rsidRPr="00EA7870">
        <w:rPr>
          <w:sz w:val="20"/>
          <w:szCs w:val="20"/>
          <w:lang w:val="es-AR"/>
        </w:rPr>
        <w:t>caso,</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Agente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Transferencia</w:t>
      </w:r>
      <w:r w:rsidR="001A28B3" w:rsidRPr="00EA7870">
        <w:rPr>
          <w:sz w:val="20"/>
          <w:szCs w:val="20"/>
          <w:lang w:val="es-AR"/>
        </w:rPr>
        <w:t xml:space="preserve"> </w:t>
      </w:r>
      <w:r w:rsidR="009C3C5B" w:rsidRPr="00EA7870">
        <w:rPr>
          <w:sz w:val="20"/>
          <w:szCs w:val="20"/>
          <w:lang w:val="es-AR"/>
        </w:rPr>
        <w:t>o el Colocador Local</w:t>
      </w:r>
      <w:r w:rsidR="001A28B3" w:rsidRPr="00EA7870">
        <w:rPr>
          <w:sz w:val="20"/>
          <w:szCs w:val="20"/>
          <w:lang w:val="es-AR"/>
        </w:rPr>
        <w:t xml:space="preserve"> </w:t>
      </w:r>
      <w:r w:rsidRPr="00EA7870">
        <w:rPr>
          <w:sz w:val="20"/>
          <w:szCs w:val="20"/>
          <w:lang w:val="es-AR"/>
        </w:rPr>
        <w:t>será</w:t>
      </w:r>
      <w:r w:rsidR="009C3C5B" w:rsidRPr="00EA7870">
        <w:rPr>
          <w:sz w:val="20"/>
          <w:szCs w:val="20"/>
          <w:lang w:val="es-AR"/>
        </w:rPr>
        <w:t>n</w:t>
      </w:r>
      <w:r w:rsidR="001A28B3" w:rsidRPr="00EA7870">
        <w:rPr>
          <w:sz w:val="20"/>
          <w:szCs w:val="20"/>
          <w:lang w:val="es-AR"/>
        </w:rPr>
        <w:t xml:space="preserve"> </w:t>
      </w:r>
      <w:r w:rsidRPr="00EA7870">
        <w:rPr>
          <w:sz w:val="20"/>
          <w:szCs w:val="20"/>
          <w:lang w:val="es-AR"/>
        </w:rPr>
        <w:t>responsable</w:t>
      </w:r>
      <w:r w:rsidR="009C3C5B" w:rsidRPr="00EA7870">
        <w:rPr>
          <w:sz w:val="20"/>
          <w:szCs w:val="20"/>
          <w:lang w:val="es-AR"/>
        </w:rPr>
        <w:t>s</w:t>
      </w:r>
      <w:r w:rsidR="001A28B3" w:rsidRPr="00EA7870">
        <w:rPr>
          <w:sz w:val="20"/>
          <w:szCs w:val="20"/>
          <w:lang w:val="es-AR"/>
        </w:rPr>
        <w:t xml:space="preserve"> </w:t>
      </w:r>
      <w:r w:rsidRPr="00EA7870">
        <w:rPr>
          <w:sz w:val="20"/>
          <w:szCs w:val="20"/>
          <w:lang w:val="es-AR"/>
        </w:rPr>
        <w:t>por</w:t>
      </w:r>
      <w:r w:rsidR="009C3C5B" w:rsidRPr="00EA7870">
        <w:rPr>
          <w:sz w:val="20"/>
          <w:szCs w:val="20"/>
          <w:lang w:val="es-AR"/>
        </w:rPr>
        <w:t>: (i)</w:t>
      </w:r>
      <w:r w:rsidR="001A28B3" w:rsidRPr="00EA7870">
        <w:rPr>
          <w:sz w:val="20"/>
          <w:szCs w:val="20"/>
          <w:lang w:val="es-AR"/>
        </w:rPr>
        <w:t xml:space="preserve"> </w:t>
      </w:r>
      <w:r w:rsidRPr="00EA7870">
        <w:rPr>
          <w:sz w:val="20"/>
          <w:szCs w:val="20"/>
          <w:lang w:val="es-AR"/>
        </w:rPr>
        <w:t>demora</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entrega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parte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009C3C5B" w:rsidRPr="00EA7870">
        <w:rPr>
          <w:sz w:val="20"/>
          <w:szCs w:val="20"/>
          <w:lang w:val="es-AR"/>
        </w:rPr>
        <w:t xml:space="preserve">(ii) </w:t>
      </w:r>
      <w:r w:rsidRPr="00EA7870">
        <w:rPr>
          <w:sz w:val="20"/>
          <w:szCs w:val="20"/>
          <w:lang w:val="es-AR"/>
        </w:rPr>
        <w:t>falta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integración</w:t>
      </w:r>
      <w:r w:rsidR="001A28B3" w:rsidRPr="00EA7870">
        <w:rPr>
          <w:sz w:val="20"/>
          <w:szCs w:val="20"/>
          <w:lang w:val="es-AR"/>
        </w:rPr>
        <w:t xml:space="preserve"> </w:t>
      </w:r>
      <w:r w:rsidR="009C3C5B" w:rsidRPr="00EA7870">
        <w:rPr>
          <w:sz w:val="20"/>
          <w:szCs w:val="20"/>
          <w:lang w:val="es-AR"/>
        </w:rPr>
        <w:t xml:space="preserve">de las Obligaciones Negociables, </w:t>
      </w:r>
      <w:r w:rsidRPr="00EA7870">
        <w:rPr>
          <w:sz w:val="20"/>
          <w:szCs w:val="20"/>
          <w:lang w:val="es-AR"/>
        </w:rPr>
        <w:t>y/o</w:t>
      </w:r>
      <w:r w:rsidR="001A28B3" w:rsidRPr="00EA7870">
        <w:rPr>
          <w:sz w:val="20"/>
          <w:szCs w:val="20"/>
          <w:lang w:val="es-AR"/>
        </w:rPr>
        <w:t xml:space="preserve"> </w:t>
      </w:r>
      <w:r w:rsidR="009C3C5B" w:rsidRPr="00EA7870">
        <w:rPr>
          <w:sz w:val="20"/>
          <w:szCs w:val="20"/>
          <w:lang w:val="es-AR"/>
        </w:rPr>
        <w:t xml:space="preserve">(iii) </w:t>
      </w:r>
      <w:r w:rsidRPr="00EA7870">
        <w:rPr>
          <w:sz w:val="20"/>
          <w:szCs w:val="20"/>
          <w:lang w:val="es-AR"/>
        </w:rPr>
        <w:t>cualquier</w:t>
      </w:r>
      <w:r w:rsidR="001A28B3" w:rsidRPr="00EA7870">
        <w:rPr>
          <w:sz w:val="20"/>
          <w:szCs w:val="20"/>
          <w:lang w:val="es-AR"/>
        </w:rPr>
        <w:t xml:space="preserve"> </w:t>
      </w:r>
      <w:r w:rsidRPr="00EA7870">
        <w:rPr>
          <w:sz w:val="20"/>
          <w:szCs w:val="20"/>
          <w:lang w:val="es-AR"/>
        </w:rPr>
        <w:t>complicación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pudiera</w:t>
      </w:r>
      <w:r w:rsidR="001A28B3" w:rsidRPr="00EA7870">
        <w:rPr>
          <w:sz w:val="20"/>
          <w:szCs w:val="20"/>
          <w:lang w:val="es-AR"/>
        </w:rPr>
        <w:t xml:space="preserve"> </w:t>
      </w:r>
      <w:r w:rsidRPr="00EA7870">
        <w:rPr>
          <w:sz w:val="20"/>
          <w:szCs w:val="20"/>
          <w:lang w:val="es-AR"/>
        </w:rPr>
        <w:t>surgir</w:t>
      </w:r>
      <w:r w:rsidR="001A28B3" w:rsidRPr="00EA7870">
        <w:rPr>
          <w:sz w:val="20"/>
          <w:szCs w:val="20"/>
          <w:lang w:val="es-AR"/>
        </w:rPr>
        <w:t xml:space="preserve"> </w:t>
      </w:r>
      <w:r w:rsidRPr="00EA7870">
        <w:rPr>
          <w:sz w:val="20"/>
          <w:szCs w:val="20"/>
          <w:lang w:val="es-AR"/>
        </w:rPr>
        <w:t>relacionada</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presente</w:t>
      </w:r>
      <w:r w:rsidR="001A28B3" w:rsidRPr="00EA7870">
        <w:rPr>
          <w:sz w:val="20"/>
          <w:szCs w:val="20"/>
          <w:lang w:val="es-AR"/>
        </w:rPr>
        <w:t xml:space="preserve"> </w:t>
      </w:r>
      <w:r w:rsidRPr="00EA7870">
        <w:rPr>
          <w:sz w:val="20"/>
          <w:szCs w:val="20"/>
          <w:lang w:val="es-AR"/>
        </w:rPr>
        <w:t>detalle</w:t>
      </w:r>
      <w:r w:rsidR="001A28B3" w:rsidRPr="00EA7870">
        <w:rPr>
          <w:sz w:val="20"/>
          <w:szCs w:val="20"/>
          <w:lang w:val="es-AR"/>
        </w:rPr>
        <w:t xml:space="preserve"> </w:t>
      </w:r>
      <w:r w:rsidRPr="00EA7870">
        <w:rPr>
          <w:sz w:val="20"/>
          <w:szCs w:val="20"/>
          <w:lang w:val="es-AR"/>
        </w:rPr>
        <w:t>resulte</w:t>
      </w:r>
      <w:r w:rsidR="001A28B3" w:rsidRPr="00EA7870">
        <w:rPr>
          <w:sz w:val="20"/>
          <w:szCs w:val="20"/>
          <w:lang w:val="es-AR"/>
        </w:rPr>
        <w:t xml:space="preserve"> </w:t>
      </w:r>
      <w:r w:rsidRPr="00EA7870">
        <w:rPr>
          <w:sz w:val="20"/>
          <w:szCs w:val="20"/>
          <w:lang w:val="es-AR"/>
        </w:rPr>
        <w:t>limitativo,</w:t>
      </w:r>
      <w:r w:rsidR="001A28B3" w:rsidRPr="00EA7870">
        <w:rPr>
          <w:sz w:val="20"/>
          <w:szCs w:val="20"/>
          <w:lang w:val="es-AR"/>
        </w:rPr>
        <w:t xml:space="preserve"> </w:t>
      </w:r>
      <w:r w:rsidRPr="00EA7870">
        <w:rPr>
          <w:sz w:val="20"/>
          <w:szCs w:val="20"/>
          <w:lang w:val="es-AR"/>
        </w:rPr>
        <w:t>problemas,</w:t>
      </w:r>
      <w:r w:rsidR="001A28B3" w:rsidRPr="00EA7870">
        <w:rPr>
          <w:sz w:val="20"/>
          <w:szCs w:val="20"/>
          <w:lang w:val="es-AR"/>
        </w:rPr>
        <w:t xml:space="preserve"> </w:t>
      </w:r>
      <w:r w:rsidRPr="00EA7870">
        <w:rPr>
          <w:sz w:val="20"/>
          <w:szCs w:val="20"/>
          <w:lang w:val="es-AR"/>
        </w:rPr>
        <w:t>fallas,</w:t>
      </w:r>
      <w:r w:rsidR="001A28B3" w:rsidRPr="00EA7870">
        <w:rPr>
          <w:sz w:val="20"/>
          <w:szCs w:val="20"/>
          <w:lang w:val="es-AR"/>
        </w:rPr>
        <w:t xml:space="preserve"> </w:t>
      </w:r>
      <w:r w:rsidRPr="00EA7870">
        <w:rPr>
          <w:sz w:val="20"/>
          <w:szCs w:val="20"/>
          <w:lang w:val="es-AR"/>
        </w:rPr>
        <w:t>pérdidas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enlace,</w:t>
      </w:r>
      <w:r w:rsidR="001A28B3" w:rsidRPr="00EA7870">
        <w:rPr>
          <w:sz w:val="20"/>
          <w:szCs w:val="20"/>
          <w:lang w:val="es-AR"/>
        </w:rPr>
        <w:t xml:space="preserve"> </w:t>
      </w:r>
      <w:r w:rsidRPr="00EA7870">
        <w:rPr>
          <w:sz w:val="20"/>
          <w:szCs w:val="20"/>
          <w:lang w:val="es-AR"/>
        </w:rPr>
        <w:t>errores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aplicación</w:t>
      </w:r>
      <w:r w:rsidR="001A28B3" w:rsidRPr="00EA7870">
        <w:rPr>
          <w:sz w:val="20"/>
          <w:szCs w:val="20"/>
          <w:lang w:val="es-AR"/>
        </w:rPr>
        <w:t xml:space="preserve"> </w:t>
      </w:r>
      <w:r w:rsidRPr="00EA7870">
        <w:rPr>
          <w:sz w:val="20"/>
          <w:szCs w:val="20"/>
          <w:lang w:val="es-AR"/>
        </w:rPr>
        <w:t>o</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caídas</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software</w:t>
      </w:r>
      <w:r w:rsidR="001A28B3" w:rsidRPr="00EA7870">
        <w:rPr>
          <w:sz w:val="20"/>
          <w:szCs w:val="20"/>
          <w:lang w:val="es-AR"/>
        </w:rPr>
        <w:t xml:space="preserve"> </w:t>
      </w:r>
      <w:r w:rsidRPr="00EA7870">
        <w:rPr>
          <w:sz w:val="20"/>
          <w:szCs w:val="20"/>
          <w:lang w:val="es-AR"/>
        </w:rPr>
        <w:t>al</w:t>
      </w:r>
      <w:r w:rsidR="001A28B3" w:rsidRPr="00EA7870">
        <w:rPr>
          <w:sz w:val="20"/>
          <w:szCs w:val="20"/>
          <w:lang w:val="es-AR"/>
        </w:rPr>
        <w:t xml:space="preserve"> </w:t>
      </w:r>
      <w:r w:rsidRPr="00EA7870">
        <w:rPr>
          <w:sz w:val="20"/>
          <w:szCs w:val="20"/>
          <w:lang w:val="es-AR"/>
        </w:rPr>
        <w:t>utilizar</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sistemas</w:t>
      </w:r>
      <w:r w:rsidR="001A28B3" w:rsidRPr="00EA7870">
        <w:rPr>
          <w:sz w:val="20"/>
          <w:szCs w:val="20"/>
          <w:lang w:val="es-AR"/>
        </w:rPr>
        <w:t xml:space="preserve"> </w:t>
      </w:r>
      <w:r w:rsidRPr="00EA7870">
        <w:rPr>
          <w:sz w:val="20"/>
          <w:szCs w:val="20"/>
          <w:lang w:val="es-AR"/>
        </w:rPr>
        <w:t>para</w:t>
      </w:r>
      <w:r w:rsidR="001A28B3" w:rsidRPr="00EA7870">
        <w:rPr>
          <w:sz w:val="20"/>
          <w:szCs w:val="20"/>
          <w:lang w:val="es-AR"/>
        </w:rPr>
        <w:t xml:space="preserve"> </w:t>
      </w:r>
      <w:r w:rsidRPr="00EA7870">
        <w:rPr>
          <w:sz w:val="20"/>
          <w:szCs w:val="20"/>
          <w:lang w:val="es-AR"/>
        </w:rPr>
        <w:t>consumar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referida</w:t>
      </w:r>
      <w:r w:rsidR="001A28B3" w:rsidRPr="00EA7870">
        <w:rPr>
          <w:sz w:val="20"/>
          <w:szCs w:val="20"/>
          <w:lang w:val="es-AR"/>
        </w:rPr>
        <w:t xml:space="preserve"> </w:t>
      </w:r>
      <w:r w:rsidRPr="00EA7870">
        <w:rPr>
          <w:sz w:val="20"/>
          <w:szCs w:val="20"/>
          <w:lang w:val="es-AR"/>
        </w:rPr>
        <w:t>transferencia</w:t>
      </w:r>
      <w:r w:rsidRPr="00EA7870">
        <w:rPr>
          <w:b/>
          <w:bCs/>
          <w:sz w:val="20"/>
          <w:szCs w:val="20"/>
          <w:lang w:val="es-AR"/>
        </w:rPr>
        <w:t>.</w:t>
      </w:r>
      <w:r w:rsidR="007B2387" w:rsidRPr="00EA7870">
        <w:rPr>
          <w:b/>
          <w:bCs/>
          <w:sz w:val="20"/>
          <w:szCs w:val="20"/>
          <w:lang w:val="es-AR"/>
        </w:rPr>
        <w:t xml:space="preserve"> </w:t>
      </w:r>
    </w:p>
    <w:p w14:paraId="4D927FDF" w14:textId="77777777" w:rsidR="009C3C5B" w:rsidRPr="00EA7870" w:rsidRDefault="009C3C5B" w:rsidP="000F775A">
      <w:pPr>
        <w:contextualSpacing/>
        <w:jc w:val="both"/>
        <w:rPr>
          <w:sz w:val="20"/>
          <w:szCs w:val="20"/>
          <w:lang w:val="es-AR"/>
        </w:rPr>
      </w:pPr>
    </w:p>
    <w:p w14:paraId="0840732B" w14:textId="77777777" w:rsidR="009C3C5B" w:rsidRPr="00EA7870" w:rsidRDefault="009C3C5B" w:rsidP="000F775A">
      <w:pPr>
        <w:contextualSpacing/>
        <w:jc w:val="both"/>
        <w:rPr>
          <w:sz w:val="20"/>
          <w:szCs w:val="20"/>
          <w:lang w:val="es-AR"/>
        </w:rPr>
      </w:pPr>
      <w:r w:rsidRPr="00EA7870">
        <w:rPr>
          <w:sz w:val="20"/>
          <w:szCs w:val="20"/>
          <w:lang w:val="es-AR"/>
        </w:rPr>
        <w:t>A los fines de la presente:</w:t>
      </w:r>
    </w:p>
    <w:p w14:paraId="2B8EF457" w14:textId="77777777" w:rsidR="00CC2C99" w:rsidRPr="00EA7870" w:rsidRDefault="00CC2C99" w:rsidP="009C3C5B">
      <w:pPr>
        <w:jc w:val="both"/>
        <w:rPr>
          <w:sz w:val="20"/>
          <w:szCs w:val="20"/>
          <w:lang w:val="es-AR"/>
        </w:rPr>
      </w:pPr>
    </w:p>
    <w:p w14:paraId="1F9C2CFC" w14:textId="3C9E5D97" w:rsidR="00405755" w:rsidRPr="00A53CA9" w:rsidRDefault="00405755" w:rsidP="00405755">
      <w:pPr>
        <w:jc w:val="both"/>
        <w:rPr>
          <w:sz w:val="20"/>
          <w:szCs w:val="20"/>
        </w:rPr>
      </w:pPr>
      <w:r w:rsidRPr="00A53CA9">
        <w:rPr>
          <w:sz w:val="20"/>
          <w:szCs w:val="20"/>
          <w:lang w:val="es-AR"/>
        </w:rPr>
        <w:t>“</w:t>
      </w:r>
      <w:bookmarkStart w:id="138" w:name="_Hlk24037575"/>
      <w:r w:rsidRPr="00A53CA9">
        <w:rPr>
          <w:b/>
          <w:sz w:val="20"/>
          <w:szCs w:val="20"/>
          <w:lang w:val="es-AR"/>
        </w:rPr>
        <w:t>Tipo de Cambio Aplicable</w:t>
      </w:r>
      <w:r w:rsidRPr="00A53CA9">
        <w:rPr>
          <w:sz w:val="20"/>
          <w:szCs w:val="20"/>
          <w:lang w:val="es-AR"/>
        </w:rPr>
        <w:t>”</w:t>
      </w:r>
      <w:r w:rsidRPr="00A53CA9">
        <w:rPr>
          <w:sz w:val="20"/>
          <w:szCs w:val="20"/>
          <w:lang w:bidi="he-IL"/>
        </w:rPr>
        <w:t xml:space="preserve"> significa el tipo de cambio </w:t>
      </w:r>
      <w:r w:rsidRPr="00A53CA9">
        <w:rPr>
          <w:sz w:val="20"/>
        </w:rPr>
        <w:t>Peso/</w:t>
      </w:r>
      <w:r w:rsidRPr="00A53CA9">
        <w:rPr>
          <w:sz w:val="20"/>
          <w:szCs w:val="20"/>
          <w:lang w:eastAsia="en-US"/>
        </w:rPr>
        <w:t>Dólar Estadounidenses</w:t>
      </w:r>
      <w:r w:rsidRPr="00A53CA9">
        <w:rPr>
          <w:sz w:val="20"/>
        </w:rPr>
        <w:t xml:space="preserve"> vendedor </w:t>
      </w:r>
      <w:r w:rsidRPr="00A53CA9">
        <w:rPr>
          <w:sz w:val="20"/>
          <w:szCs w:val="20"/>
          <w:lang w:bidi="he-IL"/>
        </w:rPr>
        <w:t xml:space="preserve">mayorista al cierre </w:t>
      </w:r>
      <w:r w:rsidR="003166CB" w:rsidRPr="003166CB">
        <w:rPr>
          <w:sz w:val="20"/>
          <w:szCs w:val="20"/>
          <w:lang w:bidi="he-IL"/>
        </w:rPr>
        <w:t>(3:00 p.m., hora de Buenos Aires</w:t>
      </w:r>
      <w:r w:rsidR="00D50723">
        <w:rPr>
          <w:sz w:val="20"/>
          <w:szCs w:val="20"/>
          <w:lang w:bidi="he-IL"/>
        </w:rPr>
        <w:t xml:space="preserve">) </w:t>
      </w:r>
      <w:r w:rsidRPr="00A53CA9">
        <w:rPr>
          <w:sz w:val="20"/>
          <w:szCs w:val="20"/>
          <w:lang w:bidi="he-IL"/>
        </w:rPr>
        <w:t xml:space="preserve">en la </w:t>
      </w:r>
      <w:r w:rsidRPr="00A53CA9">
        <w:rPr>
          <w:sz w:val="20"/>
          <w:szCs w:val="20"/>
          <w:lang w:eastAsia="en-US"/>
        </w:rPr>
        <w:t>Fecha de Determinación del Tipo de Cambio</w:t>
      </w:r>
      <w:r w:rsidRPr="00A53CA9">
        <w:rPr>
          <w:sz w:val="20"/>
          <w:szCs w:val="20"/>
          <w:lang w:bidi="he-IL"/>
        </w:rPr>
        <w:t xml:space="preserve"> </w:t>
      </w:r>
      <w:r>
        <w:rPr>
          <w:sz w:val="20"/>
          <w:szCs w:val="20"/>
          <w:lang w:bidi="he-IL"/>
        </w:rPr>
        <w:t xml:space="preserve">Aplicable </w:t>
      </w:r>
      <w:r w:rsidRPr="00A53CA9">
        <w:rPr>
          <w:sz w:val="20"/>
          <w:szCs w:val="20"/>
          <w:lang w:bidi="he-IL"/>
        </w:rPr>
        <w:t xml:space="preserve">que </w:t>
      </w:r>
      <w:r w:rsidRPr="00A53CA9">
        <w:rPr>
          <w:sz w:val="20"/>
          <w:szCs w:val="20"/>
          <w:lang w:eastAsia="en-US"/>
        </w:rPr>
        <w:t>surja del Sistema de Operaciones Electrónicas (“</w:t>
      </w:r>
      <w:r w:rsidRPr="00A53CA9">
        <w:rPr>
          <w:b/>
          <w:bCs/>
          <w:sz w:val="20"/>
          <w:szCs w:val="20"/>
          <w:lang w:eastAsia="en-US"/>
        </w:rPr>
        <w:t>SIOPEL</w:t>
      </w:r>
      <w:r w:rsidRPr="00A53CA9">
        <w:rPr>
          <w:sz w:val="20"/>
          <w:szCs w:val="20"/>
          <w:lang w:eastAsia="en-US"/>
        </w:rPr>
        <w:t xml:space="preserve">”) del MAE al contado disponible </w:t>
      </w:r>
      <w:r w:rsidRPr="00A53CA9">
        <w:rPr>
          <w:sz w:val="20"/>
          <w:szCs w:val="20"/>
        </w:rPr>
        <w:t xml:space="preserve">utilizando como fuente la plataforma Bloomberg que se visualiza bajo el valor “SIOPEL Curncy”, función HP, con los siguientes parámetros: (i) Fuente: MAEF; (ii) Periodo: Diario; (iii) Mercado: Ask. </w:t>
      </w:r>
      <w:bookmarkEnd w:id="138"/>
    </w:p>
    <w:p w14:paraId="457686E1" w14:textId="77777777" w:rsidR="00405755" w:rsidRPr="00A53CA9" w:rsidRDefault="00405755" w:rsidP="00405755">
      <w:pPr>
        <w:jc w:val="both"/>
        <w:rPr>
          <w:sz w:val="20"/>
          <w:szCs w:val="20"/>
        </w:rPr>
      </w:pPr>
    </w:p>
    <w:p w14:paraId="6F213C94" w14:textId="6218FB76" w:rsidR="00405755" w:rsidRPr="00A53CA9" w:rsidRDefault="00405755" w:rsidP="00405755">
      <w:pPr>
        <w:jc w:val="both"/>
        <w:rPr>
          <w:sz w:val="20"/>
          <w:szCs w:val="20"/>
          <w:lang w:eastAsia="en-US"/>
        </w:rPr>
      </w:pPr>
      <w:r w:rsidRPr="00A53CA9">
        <w:rPr>
          <w:sz w:val="20"/>
          <w:szCs w:val="20"/>
          <w:lang w:eastAsia="en-US"/>
        </w:rPr>
        <w:t>Si no estuviera disponible el tipo de cambio antes indicado, el Tipo de Cambio Aplicable será</w:t>
      </w:r>
      <w:r w:rsidRPr="00A53CA9">
        <w:rPr>
          <w:sz w:val="20"/>
        </w:rPr>
        <w:t xml:space="preserve"> el tipo de cambio </w:t>
      </w:r>
      <w:r w:rsidRPr="00A53CA9">
        <w:rPr>
          <w:sz w:val="20"/>
          <w:szCs w:val="20"/>
          <w:lang w:eastAsia="en-US"/>
        </w:rPr>
        <w:t xml:space="preserve">Peso/Dólar Estadounidenses que informe el BCRA mediante la Comunicación “A” 3500 (o la regulación que la sucediere o modificare en el tiempo) al cierre </w:t>
      </w:r>
      <w:r w:rsidR="00161799">
        <w:rPr>
          <w:sz w:val="20"/>
          <w:szCs w:val="20"/>
          <w:lang w:eastAsia="en-US"/>
        </w:rPr>
        <w:t>del Día Hábil Bursátil anterior a</w:t>
      </w:r>
      <w:r w:rsidRPr="00A53CA9">
        <w:rPr>
          <w:sz w:val="20"/>
          <w:szCs w:val="20"/>
          <w:lang w:eastAsia="en-US"/>
        </w:rPr>
        <w:t xml:space="preserve"> la Fecha de Determinación del Tipo de Cambio Aplicable.</w:t>
      </w:r>
    </w:p>
    <w:p w14:paraId="691DE79C" w14:textId="77777777" w:rsidR="00405755" w:rsidRPr="00405755" w:rsidRDefault="00405755" w:rsidP="00405755">
      <w:pPr>
        <w:widowControl w:val="0"/>
        <w:autoSpaceDE w:val="0"/>
        <w:autoSpaceDN w:val="0"/>
        <w:adjustRightInd w:val="0"/>
        <w:jc w:val="both"/>
        <w:rPr>
          <w:sz w:val="20"/>
          <w:szCs w:val="20"/>
          <w:lang w:eastAsia="en-US"/>
        </w:rPr>
      </w:pPr>
    </w:p>
    <w:p w14:paraId="38D2DA0F" w14:textId="53A22642" w:rsidR="00EA5AEF" w:rsidRPr="00405755" w:rsidRDefault="00405755" w:rsidP="00405755">
      <w:pPr>
        <w:spacing w:after="240"/>
        <w:jc w:val="both"/>
        <w:rPr>
          <w:sz w:val="20"/>
          <w:szCs w:val="20"/>
          <w:lang w:val="es-AR"/>
        </w:rPr>
      </w:pPr>
      <w:r w:rsidRPr="00405755">
        <w:rPr>
          <w:sz w:val="20"/>
          <w:szCs w:val="20"/>
          <w:lang w:eastAsia="en-US"/>
        </w:rPr>
        <w:t>“</w:t>
      </w:r>
      <w:r w:rsidRPr="00405755">
        <w:rPr>
          <w:b/>
          <w:sz w:val="20"/>
          <w:szCs w:val="20"/>
          <w:lang w:eastAsia="en-US"/>
        </w:rPr>
        <w:t>Fecha de Determinación del Tipo de Cambio Aplicable</w:t>
      </w:r>
      <w:r w:rsidRPr="00405755">
        <w:rPr>
          <w:sz w:val="20"/>
          <w:szCs w:val="20"/>
          <w:lang w:val="es-AR"/>
        </w:rPr>
        <w:t>” significa la Fecha de Adjudicación.</w:t>
      </w:r>
      <w:r w:rsidR="009C3C5B" w:rsidRPr="00EA7870">
        <w:rPr>
          <w:color w:val="000000"/>
          <w:sz w:val="20"/>
          <w:szCs w:val="20"/>
          <w:lang w:eastAsia="en-US"/>
        </w:rPr>
        <w:t xml:space="preserve"> </w:t>
      </w:r>
    </w:p>
    <w:p w14:paraId="0483F7AE" w14:textId="66432442" w:rsidR="00E06527" w:rsidRPr="00EA7870" w:rsidRDefault="00E06527" w:rsidP="000F775A">
      <w:pPr>
        <w:tabs>
          <w:tab w:val="left" w:pos="3383"/>
        </w:tabs>
        <w:jc w:val="both"/>
        <w:rPr>
          <w:b/>
          <w:sz w:val="20"/>
          <w:szCs w:val="20"/>
          <w:lang w:val="es-AR"/>
        </w:rPr>
      </w:pPr>
      <w:r w:rsidRPr="00EA7870">
        <w:rPr>
          <w:b/>
          <w:sz w:val="20"/>
          <w:szCs w:val="20"/>
          <w:lang w:val="es-AR"/>
        </w:rPr>
        <w:t>Gastos</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Emisión</w:t>
      </w:r>
    </w:p>
    <w:p w14:paraId="55C18FFF" w14:textId="77777777" w:rsidR="0044414C" w:rsidRPr="00EA7870" w:rsidRDefault="0044414C" w:rsidP="000F775A">
      <w:pPr>
        <w:tabs>
          <w:tab w:val="left" w:pos="3383"/>
        </w:tabs>
        <w:jc w:val="both"/>
        <w:rPr>
          <w:b/>
          <w:sz w:val="20"/>
          <w:szCs w:val="20"/>
          <w:lang w:val="es-AR"/>
        </w:rPr>
      </w:pPr>
    </w:p>
    <w:p w14:paraId="005B512F" w14:textId="3F610B19" w:rsidR="004A7743" w:rsidRPr="00EA7870" w:rsidRDefault="00E06527" w:rsidP="00567767">
      <w:pPr>
        <w:jc w:val="both"/>
        <w:rPr>
          <w:sz w:val="20"/>
          <w:szCs w:val="20"/>
          <w:lang w:val="es-AR"/>
        </w:rPr>
      </w:pPr>
      <w:r w:rsidRPr="00EA7870">
        <w:rPr>
          <w:sz w:val="20"/>
          <w:szCs w:val="20"/>
          <w:lang w:val="es-AR"/>
        </w:rPr>
        <w:t>Los</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vinculados</w:t>
      </w:r>
      <w:r w:rsidR="001A28B3" w:rsidRPr="00EA7870">
        <w:rPr>
          <w:sz w:val="20"/>
          <w:szCs w:val="20"/>
          <w:lang w:val="es-AR"/>
        </w:rPr>
        <w:t xml:space="preserve"> </w:t>
      </w:r>
      <w:r w:rsidRPr="00EA7870">
        <w:rPr>
          <w:sz w:val="20"/>
          <w:szCs w:val="20"/>
          <w:lang w:val="es-AR"/>
        </w:rPr>
        <w:t>con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serán</w:t>
      </w:r>
      <w:r w:rsidR="001A28B3" w:rsidRPr="00EA7870">
        <w:rPr>
          <w:sz w:val="20"/>
          <w:szCs w:val="20"/>
          <w:lang w:val="es-AR"/>
        </w:rPr>
        <w:t xml:space="preserve"> </w:t>
      </w:r>
      <w:r w:rsidRPr="00EA7870">
        <w:rPr>
          <w:sz w:val="20"/>
          <w:szCs w:val="20"/>
          <w:lang w:val="es-AR"/>
        </w:rPr>
        <w:t>soportados</w:t>
      </w:r>
      <w:r w:rsidR="001A28B3" w:rsidRPr="00EA7870">
        <w:rPr>
          <w:sz w:val="20"/>
          <w:szCs w:val="20"/>
          <w:lang w:val="es-AR"/>
        </w:rPr>
        <w:t xml:space="preserve"> </w:t>
      </w:r>
      <w:r w:rsidRPr="00EA7870">
        <w:rPr>
          <w:sz w:val="20"/>
          <w:szCs w:val="20"/>
          <w:lang w:val="es-AR"/>
        </w:rPr>
        <w:t>por</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1A28B3" w:rsidRPr="00EA7870">
        <w:rPr>
          <w:sz w:val="20"/>
          <w:szCs w:val="20"/>
          <w:lang w:val="es-AR"/>
        </w:rPr>
        <w:t xml:space="preserve"> </w:t>
      </w:r>
      <w:r w:rsidRPr="00EA7870">
        <w:rPr>
          <w:sz w:val="20"/>
          <w:szCs w:val="20"/>
          <w:lang w:val="es-AR"/>
        </w:rPr>
        <w:t>Asumiendo</w:t>
      </w:r>
      <w:r w:rsidR="001A28B3" w:rsidRPr="00EA7870">
        <w:rPr>
          <w:sz w:val="20"/>
          <w:szCs w:val="20"/>
          <w:lang w:val="es-AR"/>
        </w:rPr>
        <w:t xml:space="preserve"> </w:t>
      </w:r>
      <w:r w:rsidRPr="00EA7870">
        <w:rPr>
          <w:sz w:val="20"/>
          <w:szCs w:val="20"/>
          <w:lang w:val="es-AR"/>
        </w:rPr>
        <w:t>un</w:t>
      </w:r>
      <w:r w:rsidR="001A28B3" w:rsidRPr="00EA7870">
        <w:rPr>
          <w:sz w:val="20"/>
          <w:szCs w:val="20"/>
          <w:lang w:val="es-AR"/>
        </w:rPr>
        <w:t xml:space="preserve"> </w:t>
      </w:r>
      <w:r w:rsidRPr="00EA7870">
        <w:rPr>
          <w:sz w:val="20"/>
          <w:szCs w:val="20"/>
          <w:lang w:val="es-AR"/>
        </w:rPr>
        <w:t>monto</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emisión</w:t>
      </w:r>
      <w:r w:rsidR="001A28B3" w:rsidRPr="00EA7870">
        <w:rPr>
          <w:sz w:val="20"/>
          <w:szCs w:val="20"/>
          <w:lang w:val="es-AR"/>
        </w:rPr>
        <w:t xml:space="preserve"> </w:t>
      </w:r>
      <w:r w:rsidR="009D2D3E" w:rsidRPr="00EA7870">
        <w:rPr>
          <w:sz w:val="20"/>
          <w:szCs w:val="20"/>
          <w:lang w:val="es-AR"/>
        </w:rPr>
        <w:t>de</w:t>
      </w:r>
      <w:r w:rsidR="001A28B3" w:rsidRPr="00EA7870">
        <w:rPr>
          <w:sz w:val="20"/>
          <w:szCs w:val="20"/>
          <w:lang w:val="es-AR"/>
        </w:rPr>
        <w:t xml:space="preserve"> </w:t>
      </w:r>
      <w:r w:rsidR="009D2D3E" w:rsidRPr="00EA7870">
        <w:rPr>
          <w:sz w:val="20"/>
          <w:szCs w:val="20"/>
          <w:lang w:val="es-AR"/>
        </w:rPr>
        <w:t>base</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US</w:t>
      </w:r>
      <w:r w:rsidR="001D5987" w:rsidRPr="00EA7870">
        <w:rPr>
          <w:sz w:val="20"/>
          <w:szCs w:val="20"/>
          <w:lang w:val="es-AR"/>
        </w:rPr>
        <w:t>$</w:t>
      </w:r>
      <w:r w:rsidR="004D25D4">
        <w:rPr>
          <w:sz w:val="20"/>
          <w:szCs w:val="20"/>
          <w:lang w:val="es-AR"/>
        </w:rPr>
        <w:t>75</w:t>
      </w:r>
      <w:r w:rsidR="001D5987" w:rsidRPr="00EA7870">
        <w:rPr>
          <w:sz w:val="20"/>
          <w:szCs w:val="20"/>
          <w:lang w:val="es-AR"/>
        </w:rPr>
        <w:t xml:space="preserve">.000.000, </w:t>
      </w:r>
      <w:r w:rsidR="009D2D3E" w:rsidRPr="00EA7870">
        <w:rPr>
          <w:sz w:val="20"/>
          <w:szCs w:val="20"/>
          <w:lang w:val="es-AR"/>
        </w:rPr>
        <w:t>los</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estimados</w:t>
      </w:r>
      <w:r w:rsidR="001A28B3" w:rsidRPr="00EA7870">
        <w:rPr>
          <w:sz w:val="20"/>
          <w:szCs w:val="20"/>
          <w:lang w:val="es-AR"/>
        </w:rPr>
        <w:t xml:space="preserve"> </w:t>
      </w:r>
      <w:r w:rsidRPr="00EA7870">
        <w:rPr>
          <w:sz w:val="20"/>
          <w:szCs w:val="20"/>
          <w:lang w:val="es-AR"/>
        </w:rPr>
        <w:t>representarían</w:t>
      </w:r>
      <w:r w:rsidR="001A28B3" w:rsidRPr="00EA7870">
        <w:rPr>
          <w:sz w:val="20"/>
          <w:szCs w:val="20"/>
          <w:lang w:val="es-AR"/>
        </w:rPr>
        <w:t xml:space="preserve"> </w:t>
      </w:r>
      <w:r w:rsidRPr="00EA7870">
        <w:rPr>
          <w:sz w:val="20"/>
          <w:szCs w:val="20"/>
          <w:lang w:val="es-AR"/>
        </w:rPr>
        <w:t>aproximadamente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A60857" w:rsidRPr="00EA7870">
        <w:rPr>
          <w:sz w:val="20"/>
          <w:szCs w:val="20"/>
          <w:lang w:val="es-AR"/>
        </w:rPr>
        <w:t>3,</w:t>
      </w:r>
      <w:r w:rsidR="00DE18AD">
        <w:rPr>
          <w:sz w:val="20"/>
          <w:szCs w:val="20"/>
          <w:lang w:val="es-AR"/>
        </w:rPr>
        <w:t>4</w:t>
      </w:r>
      <w:r w:rsidR="001D5987"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fondos</w:t>
      </w:r>
      <w:r w:rsidR="001A28B3" w:rsidRPr="00EA7870">
        <w:rPr>
          <w:sz w:val="20"/>
          <w:szCs w:val="20"/>
          <w:lang w:val="es-AR"/>
        </w:rPr>
        <w:t xml:space="preserve"> </w:t>
      </w:r>
      <w:r w:rsidRPr="00EA7870">
        <w:rPr>
          <w:sz w:val="20"/>
          <w:szCs w:val="20"/>
          <w:lang w:val="es-AR"/>
        </w:rPr>
        <w:t>obtenidos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colocación</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00305564" w:rsidRPr="00EA7870">
        <w:rPr>
          <w:sz w:val="20"/>
          <w:szCs w:val="20"/>
          <w:lang w:val="es-AR"/>
        </w:rPr>
        <w:t>(aproximadamente</w:t>
      </w:r>
      <w:r w:rsidR="001A28B3" w:rsidRPr="00EA7870">
        <w:rPr>
          <w:sz w:val="20"/>
          <w:szCs w:val="20"/>
          <w:lang w:val="es-AR"/>
        </w:rPr>
        <w:t xml:space="preserve"> </w:t>
      </w:r>
      <w:r w:rsidR="00305564" w:rsidRPr="00EA7870">
        <w:rPr>
          <w:sz w:val="20"/>
          <w:szCs w:val="20"/>
          <w:lang w:val="es-AR"/>
        </w:rPr>
        <w:t>US</w:t>
      </w:r>
      <w:r w:rsidR="001D5987" w:rsidRPr="00EA7870">
        <w:rPr>
          <w:sz w:val="20"/>
          <w:szCs w:val="20"/>
          <w:lang w:val="es-AR"/>
        </w:rPr>
        <w:t>$3.</w:t>
      </w:r>
      <w:r w:rsidR="00A60857" w:rsidRPr="00EA7870">
        <w:rPr>
          <w:sz w:val="20"/>
          <w:szCs w:val="20"/>
          <w:lang w:val="es-AR"/>
        </w:rPr>
        <w:t>672</w:t>
      </w:r>
      <w:r w:rsidR="001D5987" w:rsidRPr="00EA7870">
        <w:rPr>
          <w:sz w:val="20"/>
          <w:szCs w:val="20"/>
          <w:lang w:val="es-AR"/>
        </w:rPr>
        <w:t>.</w:t>
      </w:r>
      <w:r w:rsidR="00A60857" w:rsidRPr="00EA7870">
        <w:rPr>
          <w:sz w:val="20"/>
          <w:szCs w:val="20"/>
          <w:lang w:val="es-AR"/>
        </w:rPr>
        <w:t>7</w:t>
      </w:r>
      <w:r w:rsidR="001D5987" w:rsidRPr="00EA7870">
        <w:rPr>
          <w:sz w:val="20"/>
          <w:szCs w:val="20"/>
          <w:lang w:val="es-AR"/>
        </w:rPr>
        <w:t xml:space="preserve">00). </w:t>
      </w:r>
      <w:r w:rsidRPr="00EA7870">
        <w:rPr>
          <w:sz w:val="20"/>
          <w:szCs w:val="20"/>
          <w:lang w:val="es-AR"/>
        </w:rPr>
        <w:t>Tales</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comprenden:</w:t>
      </w:r>
      <w:r w:rsidR="001A28B3" w:rsidRPr="00EA7870">
        <w:rPr>
          <w:sz w:val="20"/>
          <w:szCs w:val="20"/>
          <w:lang w:val="es-AR"/>
        </w:rPr>
        <w:t xml:space="preserve"> </w:t>
      </w:r>
      <w:r w:rsidRPr="00EA7870">
        <w:rPr>
          <w:sz w:val="20"/>
          <w:szCs w:val="20"/>
          <w:lang w:val="es-AR"/>
        </w:rPr>
        <w:t>(i)</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honorarios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w:t>
      </w:r>
      <w:r w:rsidR="003D1E6E" w:rsidRPr="00EA7870">
        <w:rPr>
          <w:sz w:val="20"/>
          <w:szCs w:val="20"/>
          <w:lang w:val="es-AR"/>
        </w:rPr>
        <w:t>s,</w:t>
      </w:r>
      <w:r w:rsidR="00B20DB5" w:rsidRPr="00EA7870">
        <w:rPr>
          <w:sz w:val="20"/>
          <w:szCs w:val="20"/>
          <w:lang w:val="es-AR"/>
        </w:rPr>
        <w:t xml:space="preserve"> </w:t>
      </w:r>
      <w:r w:rsidR="007B2387" w:rsidRPr="00EA7870">
        <w:rPr>
          <w:sz w:val="20"/>
          <w:szCs w:val="20"/>
          <w:lang w:val="es-AR"/>
        </w:rPr>
        <w:t>del Colocador Local</w:t>
      </w:r>
      <w:r w:rsidR="003D1E6E" w:rsidRPr="00EA7870">
        <w:rPr>
          <w:sz w:val="20"/>
          <w:szCs w:val="20"/>
          <w:lang w:val="es-AR"/>
        </w:rPr>
        <w:t xml:space="preserve"> y del Agente de Transferencia</w:t>
      </w:r>
      <w:r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representan</w:t>
      </w:r>
      <w:r w:rsidR="001A28B3" w:rsidRPr="00EA7870">
        <w:rPr>
          <w:sz w:val="20"/>
          <w:szCs w:val="20"/>
          <w:lang w:val="es-AR"/>
        </w:rPr>
        <w:t xml:space="preserve"> </w:t>
      </w:r>
      <w:r w:rsidRPr="00EA7870">
        <w:rPr>
          <w:sz w:val="20"/>
          <w:szCs w:val="20"/>
          <w:lang w:val="es-AR"/>
        </w:rPr>
        <w:t>aproximadamente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1D5987" w:rsidRPr="00EA7870">
        <w:rPr>
          <w:sz w:val="20"/>
          <w:szCs w:val="20"/>
          <w:lang w:val="es-AR"/>
        </w:rPr>
        <w:t>0,</w:t>
      </w:r>
      <w:r w:rsidR="00DE18AD">
        <w:rPr>
          <w:sz w:val="20"/>
          <w:szCs w:val="20"/>
          <w:lang w:val="es-AR"/>
        </w:rPr>
        <w:t>5</w:t>
      </w:r>
      <w:r w:rsidR="00CA5685" w:rsidRPr="00EA7870">
        <w:rPr>
          <w:sz w:val="20"/>
          <w:szCs w:val="20"/>
          <w:lang w:val="es-AR"/>
        </w:rPr>
        <w:t>%</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efectivamente</w:t>
      </w:r>
      <w:r w:rsidR="001A28B3" w:rsidRPr="00EA7870">
        <w:rPr>
          <w:sz w:val="20"/>
          <w:szCs w:val="20"/>
          <w:lang w:val="es-AR"/>
        </w:rPr>
        <w:t xml:space="preserve"> </w:t>
      </w:r>
      <w:r w:rsidRPr="00EA7870">
        <w:rPr>
          <w:sz w:val="20"/>
          <w:szCs w:val="20"/>
          <w:lang w:val="es-AR"/>
        </w:rPr>
        <w:t>colocadas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pagadas;</w:t>
      </w:r>
      <w:r w:rsidR="001A28B3" w:rsidRPr="00EA7870">
        <w:rPr>
          <w:sz w:val="20"/>
          <w:szCs w:val="20"/>
          <w:lang w:val="es-AR"/>
        </w:rPr>
        <w:t xml:space="preserve"> </w:t>
      </w:r>
      <w:r w:rsidRPr="00EA7870">
        <w:rPr>
          <w:sz w:val="20"/>
          <w:szCs w:val="20"/>
          <w:lang w:val="es-AR"/>
        </w:rPr>
        <w:t>(ii)</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aranceles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001642EC" w:rsidRPr="00EA7870">
        <w:rPr>
          <w:sz w:val="20"/>
          <w:szCs w:val="20"/>
          <w:lang w:val="es-AR"/>
        </w:rPr>
        <w:t>agencias</w:t>
      </w:r>
      <w:r w:rsidR="001A28B3" w:rsidRPr="00EA7870">
        <w:rPr>
          <w:sz w:val="20"/>
          <w:szCs w:val="20"/>
          <w:lang w:val="es-AR"/>
        </w:rPr>
        <w:t xml:space="preserve"> </w:t>
      </w:r>
      <w:r w:rsidRPr="00EA7870">
        <w:rPr>
          <w:sz w:val="20"/>
          <w:szCs w:val="20"/>
          <w:lang w:val="es-AR"/>
        </w:rPr>
        <w:t>calificadoras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riesgo,</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representan</w:t>
      </w:r>
      <w:r w:rsidR="001A28B3" w:rsidRPr="00EA7870">
        <w:rPr>
          <w:sz w:val="20"/>
          <w:szCs w:val="20"/>
          <w:lang w:val="es-AR"/>
        </w:rPr>
        <w:t xml:space="preserve"> </w:t>
      </w:r>
      <w:r w:rsidRPr="00EA7870">
        <w:rPr>
          <w:sz w:val="20"/>
          <w:szCs w:val="20"/>
          <w:lang w:val="es-AR"/>
        </w:rPr>
        <w:t>aproximadamente</w:t>
      </w:r>
      <w:r w:rsidR="001A28B3" w:rsidRPr="00EA7870">
        <w:rPr>
          <w:sz w:val="20"/>
          <w:szCs w:val="20"/>
          <w:lang w:val="es-AR"/>
        </w:rPr>
        <w:t xml:space="preserve"> </w:t>
      </w:r>
      <w:r w:rsidR="001642EC" w:rsidRPr="00EA7870">
        <w:rPr>
          <w:sz w:val="20"/>
          <w:szCs w:val="20"/>
          <w:lang w:val="es-AR"/>
        </w:rPr>
        <w:t>el</w:t>
      </w:r>
      <w:r w:rsidR="001A28B3" w:rsidRPr="00EA7870">
        <w:rPr>
          <w:sz w:val="20"/>
          <w:szCs w:val="20"/>
          <w:lang w:val="es-AR"/>
        </w:rPr>
        <w:t xml:space="preserve"> </w:t>
      </w:r>
      <w:r w:rsidR="001D5987" w:rsidRPr="00EA7870">
        <w:rPr>
          <w:sz w:val="20"/>
          <w:szCs w:val="20"/>
          <w:lang w:val="es-AR"/>
        </w:rPr>
        <w:t>0</w:t>
      </w:r>
      <w:r w:rsidR="00A60857" w:rsidRPr="00EA7870">
        <w:rPr>
          <w:sz w:val="20"/>
          <w:szCs w:val="20"/>
          <w:lang w:val="es-AR"/>
        </w:rPr>
        <w:t>,</w:t>
      </w:r>
      <w:r w:rsidR="001D5987" w:rsidRPr="00EA7870">
        <w:rPr>
          <w:sz w:val="20"/>
          <w:szCs w:val="20"/>
          <w:lang w:val="es-AR"/>
        </w:rPr>
        <w:t>06</w:t>
      </w:r>
      <w:r w:rsidR="00CA5685" w:rsidRPr="00EA7870">
        <w:rPr>
          <w:sz w:val="20"/>
          <w:szCs w:val="20"/>
          <w:lang w:val="es-AR"/>
        </w:rPr>
        <w:t>%</w:t>
      </w:r>
      <w:r w:rsidR="001A28B3"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efectivamente</w:t>
      </w:r>
      <w:r w:rsidR="001A28B3" w:rsidRPr="00EA7870">
        <w:rPr>
          <w:sz w:val="20"/>
          <w:szCs w:val="20"/>
          <w:lang w:val="es-AR"/>
        </w:rPr>
        <w:t xml:space="preserve"> </w:t>
      </w:r>
      <w:r w:rsidRPr="00EA7870">
        <w:rPr>
          <w:sz w:val="20"/>
          <w:szCs w:val="20"/>
          <w:lang w:val="es-AR"/>
        </w:rPr>
        <w:t>colocadas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pagadas;</w:t>
      </w:r>
      <w:r w:rsidR="001A28B3" w:rsidRPr="00EA7870">
        <w:rPr>
          <w:sz w:val="20"/>
          <w:szCs w:val="20"/>
          <w:lang w:val="es-AR"/>
        </w:rPr>
        <w:t xml:space="preserve"> </w:t>
      </w:r>
      <w:r w:rsidRPr="00EA7870">
        <w:rPr>
          <w:sz w:val="20"/>
          <w:szCs w:val="20"/>
          <w:lang w:val="es-AR"/>
        </w:rPr>
        <w:t>(iii)</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honorarios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asesores</w:t>
      </w:r>
      <w:r w:rsidR="001A28B3" w:rsidRPr="00EA7870">
        <w:rPr>
          <w:sz w:val="20"/>
          <w:szCs w:val="20"/>
          <w:lang w:val="es-AR"/>
        </w:rPr>
        <w:t xml:space="preserve"> </w:t>
      </w:r>
      <w:r w:rsidRPr="00EA7870">
        <w:rPr>
          <w:sz w:val="20"/>
          <w:szCs w:val="20"/>
          <w:lang w:val="es-AR"/>
        </w:rPr>
        <w:t>legales</w:t>
      </w:r>
      <w:r w:rsidR="001A28B3" w:rsidRPr="00EA7870">
        <w:rPr>
          <w:sz w:val="20"/>
          <w:szCs w:val="20"/>
          <w:lang w:val="es-AR"/>
        </w:rPr>
        <w:t xml:space="preserve"> </w:t>
      </w:r>
      <w:r w:rsidRPr="00EA7870">
        <w:rPr>
          <w:sz w:val="20"/>
          <w:szCs w:val="20"/>
          <w:lang w:val="es-AR"/>
        </w:rPr>
        <w:t>locales</w:t>
      </w:r>
      <w:r w:rsidR="001A28B3" w:rsidRPr="00EA7870">
        <w:rPr>
          <w:sz w:val="20"/>
          <w:szCs w:val="20"/>
          <w:lang w:val="es-AR"/>
        </w:rPr>
        <w:t xml:space="preserve"> </w:t>
      </w:r>
      <w:r w:rsidRPr="00EA7870">
        <w:rPr>
          <w:sz w:val="20"/>
          <w:szCs w:val="20"/>
          <w:lang w:val="es-AR"/>
        </w:rPr>
        <w:t>e</w:t>
      </w:r>
      <w:r w:rsidR="001A28B3" w:rsidRPr="00EA7870">
        <w:rPr>
          <w:sz w:val="20"/>
          <w:szCs w:val="20"/>
          <w:lang w:val="es-AR"/>
        </w:rPr>
        <w:t xml:space="preserve"> </w:t>
      </w:r>
      <w:r w:rsidRPr="00EA7870">
        <w:rPr>
          <w:sz w:val="20"/>
          <w:szCs w:val="20"/>
          <w:lang w:val="es-AR"/>
        </w:rPr>
        <w:t>internacionales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Emisora</w:t>
      </w:r>
      <w:r w:rsidR="00F2505D" w:rsidRPr="00EA7870">
        <w:rPr>
          <w:sz w:val="20"/>
          <w:szCs w:val="20"/>
          <w:lang w:val="es-AR"/>
        </w:rPr>
        <w:t>,</w:t>
      </w:r>
      <w:r w:rsidR="001D5987" w:rsidRPr="00EA7870">
        <w:rPr>
          <w:sz w:val="20"/>
          <w:szCs w:val="20"/>
          <w:lang w:val="es-AR"/>
        </w:rPr>
        <w:t xml:space="preserve"> del </w:t>
      </w:r>
      <w:r w:rsidR="003D1E6E" w:rsidRPr="00EA7870">
        <w:rPr>
          <w:sz w:val="20"/>
          <w:szCs w:val="20"/>
          <w:lang w:val="es-AR"/>
        </w:rPr>
        <w:t>A</w:t>
      </w:r>
      <w:r w:rsidR="001D5987" w:rsidRPr="00EA7870">
        <w:rPr>
          <w:sz w:val="20"/>
          <w:szCs w:val="20"/>
          <w:lang w:val="es-AR"/>
        </w:rPr>
        <w:t xml:space="preserve">gente </w:t>
      </w:r>
      <w:r w:rsidR="003D1E6E" w:rsidRPr="00EA7870">
        <w:rPr>
          <w:sz w:val="20"/>
          <w:szCs w:val="20"/>
          <w:lang w:val="es-AR"/>
        </w:rPr>
        <w:t>F</w:t>
      </w:r>
      <w:r w:rsidR="001D5987" w:rsidRPr="00EA7870">
        <w:rPr>
          <w:sz w:val="20"/>
          <w:szCs w:val="20"/>
          <w:lang w:val="es-AR"/>
        </w:rPr>
        <w:t>iduciario</w:t>
      </w:r>
      <w:r w:rsidR="008F1F95" w:rsidRPr="00EA7870">
        <w:rPr>
          <w:sz w:val="20"/>
          <w:szCs w:val="20"/>
          <w:lang w:val="es-AR"/>
        </w:rPr>
        <w:t>,</w:t>
      </w:r>
      <w:r w:rsidR="001A28B3" w:rsidRPr="00EA7870">
        <w:rPr>
          <w:sz w:val="20"/>
          <w:szCs w:val="20"/>
          <w:lang w:val="es-AR"/>
        </w:rPr>
        <w:t xml:space="preserve"> </w:t>
      </w:r>
      <w:r w:rsidR="008F1F95" w:rsidRPr="00EA7870">
        <w:rPr>
          <w:sz w:val="20"/>
          <w:szCs w:val="20"/>
          <w:lang w:val="es-AR"/>
        </w:rPr>
        <w:t>de</w:t>
      </w:r>
      <w:r w:rsidR="001A28B3" w:rsidRPr="00EA7870">
        <w:rPr>
          <w:sz w:val="20"/>
          <w:szCs w:val="20"/>
          <w:lang w:val="es-AR"/>
        </w:rPr>
        <w:t xml:space="preserve"> </w:t>
      </w:r>
      <w:r w:rsidR="008F1F95" w:rsidRPr="00EA7870">
        <w:rPr>
          <w:sz w:val="20"/>
          <w:szCs w:val="20"/>
          <w:lang w:val="es-AR"/>
        </w:rPr>
        <w:t>los</w:t>
      </w:r>
      <w:r w:rsidR="001A28B3" w:rsidRPr="00EA7870">
        <w:rPr>
          <w:sz w:val="20"/>
          <w:szCs w:val="20"/>
          <w:lang w:val="es-AR"/>
        </w:rPr>
        <w:t xml:space="preserve"> </w:t>
      </w:r>
      <w:r w:rsidR="007E43A2" w:rsidRPr="00EA7870">
        <w:rPr>
          <w:sz w:val="20"/>
          <w:szCs w:val="20"/>
          <w:lang w:val="es-AR"/>
        </w:rPr>
        <w:t>Colocadores</w:t>
      </w:r>
      <w:r w:rsidR="001A28B3" w:rsidRPr="00EA7870">
        <w:rPr>
          <w:sz w:val="20"/>
          <w:szCs w:val="20"/>
          <w:lang w:val="es-AR"/>
        </w:rPr>
        <w:t xml:space="preserve"> </w:t>
      </w:r>
      <w:r w:rsidR="007E43A2" w:rsidRPr="00EA7870">
        <w:rPr>
          <w:sz w:val="20"/>
          <w:szCs w:val="20"/>
          <w:lang w:val="es-AR"/>
        </w:rPr>
        <w:t>Internacionales</w:t>
      </w:r>
      <w:r w:rsidR="001A28B3" w:rsidRPr="00EA7870">
        <w:rPr>
          <w:sz w:val="20"/>
          <w:szCs w:val="20"/>
          <w:lang w:val="es-AR"/>
        </w:rPr>
        <w:t xml:space="preserve"> </w:t>
      </w:r>
      <w:r w:rsidR="008F1F95" w:rsidRPr="00EA7870">
        <w:rPr>
          <w:sz w:val="20"/>
          <w:szCs w:val="20"/>
          <w:lang w:val="es-AR"/>
        </w:rPr>
        <w:t>y</w:t>
      </w:r>
      <w:r w:rsidR="001A28B3" w:rsidRPr="00EA7870">
        <w:rPr>
          <w:sz w:val="20"/>
          <w:szCs w:val="20"/>
          <w:lang w:val="es-AR"/>
        </w:rPr>
        <w:t xml:space="preserve"> </w:t>
      </w:r>
      <w:r w:rsidR="007B2387" w:rsidRPr="00EA7870">
        <w:rPr>
          <w:sz w:val="20"/>
          <w:szCs w:val="20"/>
          <w:lang w:val="es-AR"/>
        </w:rPr>
        <w:t>del Colocador Local</w:t>
      </w:r>
      <w:r w:rsidRPr="00EA7870">
        <w:rPr>
          <w:sz w:val="20"/>
          <w:szCs w:val="20"/>
          <w:lang w:val="es-AR"/>
        </w:rPr>
        <w:t>,</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representan</w:t>
      </w:r>
      <w:r w:rsidR="001A28B3" w:rsidRPr="00EA7870">
        <w:rPr>
          <w:sz w:val="20"/>
          <w:szCs w:val="20"/>
          <w:lang w:val="es-AR"/>
        </w:rPr>
        <w:t xml:space="preserve"> </w:t>
      </w:r>
      <w:r w:rsidRPr="00EA7870">
        <w:rPr>
          <w:sz w:val="20"/>
          <w:szCs w:val="20"/>
          <w:lang w:val="es-AR"/>
        </w:rPr>
        <w:t>aproximadamente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3D1E6E" w:rsidRPr="00EA7870">
        <w:rPr>
          <w:sz w:val="20"/>
          <w:szCs w:val="20"/>
          <w:lang w:val="es-AR"/>
        </w:rPr>
        <w:t>0</w:t>
      </w:r>
      <w:r w:rsidR="00A60857" w:rsidRPr="00EA7870">
        <w:rPr>
          <w:sz w:val="20"/>
          <w:szCs w:val="20"/>
          <w:lang w:val="es-AR"/>
        </w:rPr>
        <w:t>,</w:t>
      </w:r>
      <w:r w:rsidR="00DE18AD">
        <w:rPr>
          <w:sz w:val="20"/>
          <w:szCs w:val="20"/>
          <w:lang w:val="es-AR"/>
        </w:rPr>
        <w:t>7</w:t>
      </w:r>
      <w:r w:rsidR="003D1E6E"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efectivamente</w:t>
      </w:r>
      <w:r w:rsidR="001A28B3" w:rsidRPr="00EA7870">
        <w:rPr>
          <w:sz w:val="20"/>
          <w:szCs w:val="20"/>
          <w:lang w:val="es-AR"/>
        </w:rPr>
        <w:t xml:space="preserve"> </w:t>
      </w:r>
      <w:r w:rsidRPr="00EA7870">
        <w:rPr>
          <w:sz w:val="20"/>
          <w:szCs w:val="20"/>
          <w:lang w:val="es-AR"/>
        </w:rPr>
        <w:t>colocadas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pagadas;</w:t>
      </w:r>
      <w:r w:rsidR="001A28B3" w:rsidRPr="00EA7870">
        <w:rPr>
          <w:sz w:val="20"/>
          <w:szCs w:val="20"/>
          <w:lang w:val="es-AR"/>
        </w:rPr>
        <w:t xml:space="preserve"> </w:t>
      </w:r>
      <w:r w:rsidRPr="00EA7870">
        <w:rPr>
          <w:sz w:val="20"/>
          <w:szCs w:val="20"/>
          <w:lang w:val="es-AR"/>
        </w:rPr>
        <w:t>(iv)</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aranceles</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pagar</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la</w:t>
      </w:r>
      <w:r w:rsidR="001A28B3" w:rsidRPr="00EA7870">
        <w:rPr>
          <w:sz w:val="20"/>
          <w:szCs w:val="20"/>
          <w:lang w:val="es-AR"/>
        </w:rPr>
        <w:t xml:space="preserve"> </w:t>
      </w:r>
      <w:r w:rsidRPr="00EA7870">
        <w:rPr>
          <w:sz w:val="20"/>
          <w:szCs w:val="20"/>
          <w:lang w:val="es-AR"/>
        </w:rPr>
        <w:t>CNV,</w:t>
      </w:r>
      <w:r w:rsidR="001A28B3" w:rsidRPr="00EA7870">
        <w:rPr>
          <w:sz w:val="20"/>
          <w:szCs w:val="20"/>
          <w:lang w:val="es-AR"/>
        </w:rPr>
        <w:t xml:space="preserve"> </w:t>
      </w:r>
      <w:r w:rsidR="001642EC" w:rsidRPr="00EA7870">
        <w:rPr>
          <w:sz w:val="20"/>
          <w:szCs w:val="20"/>
          <w:lang w:val="es-AR"/>
        </w:rPr>
        <w:t>BYMA</w:t>
      </w:r>
      <w:r w:rsidR="001A28B3" w:rsidRPr="00EA7870">
        <w:rPr>
          <w:sz w:val="20"/>
          <w:szCs w:val="20"/>
          <w:lang w:val="es-AR"/>
        </w:rPr>
        <w:t xml:space="preserve"> </w:t>
      </w:r>
      <w:r w:rsidR="00F61F13" w:rsidRPr="00EA7870">
        <w:rPr>
          <w:sz w:val="20"/>
          <w:szCs w:val="20"/>
          <w:lang w:val="es-AR"/>
        </w:rPr>
        <w:t>y</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Pr="00EA7870">
        <w:rPr>
          <w:sz w:val="20"/>
          <w:szCs w:val="20"/>
          <w:lang w:val="es-AR"/>
        </w:rPr>
        <w:t>MAE,</w:t>
      </w:r>
      <w:r w:rsidR="001A28B3" w:rsidRPr="00EA7870">
        <w:rPr>
          <w:sz w:val="20"/>
          <w:szCs w:val="20"/>
          <w:lang w:val="es-AR"/>
        </w:rPr>
        <w:t xml:space="preserve"> </w:t>
      </w:r>
      <w:r w:rsidRPr="00EA7870">
        <w:rPr>
          <w:sz w:val="20"/>
          <w:szCs w:val="20"/>
          <w:lang w:val="es-AR"/>
        </w:rPr>
        <w:t>que</w:t>
      </w:r>
      <w:r w:rsidR="001A28B3" w:rsidRPr="00EA7870">
        <w:rPr>
          <w:sz w:val="20"/>
          <w:szCs w:val="20"/>
          <w:lang w:val="es-AR"/>
        </w:rPr>
        <w:t xml:space="preserve"> </w:t>
      </w:r>
      <w:r w:rsidRPr="00EA7870">
        <w:rPr>
          <w:sz w:val="20"/>
          <w:szCs w:val="20"/>
          <w:lang w:val="es-AR"/>
        </w:rPr>
        <w:t>representan</w:t>
      </w:r>
      <w:r w:rsidR="001A28B3" w:rsidRPr="00EA7870">
        <w:rPr>
          <w:sz w:val="20"/>
          <w:szCs w:val="20"/>
          <w:lang w:val="es-AR"/>
        </w:rPr>
        <w:t xml:space="preserve"> </w:t>
      </w:r>
      <w:r w:rsidRPr="00EA7870">
        <w:rPr>
          <w:sz w:val="20"/>
          <w:szCs w:val="20"/>
          <w:lang w:val="es-AR"/>
        </w:rPr>
        <w:t>aproximadamente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3D1E6E" w:rsidRPr="00EA7870">
        <w:rPr>
          <w:sz w:val="20"/>
          <w:szCs w:val="20"/>
          <w:lang w:val="es-AR"/>
        </w:rPr>
        <w:t>0</w:t>
      </w:r>
      <w:r w:rsidR="00A60857" w:rsidRPr="00EA7870">
        <w:rPr>
          <w:sz w:val="20"/>
          <w:szCs w:val="20"/>
          <w:lang w:val="es-AR"/>
        </w:rPr>
        <w:t>,</w:t>
      </w:r>
      <w:r w:rsidR="003D1E6E" w:rsidRPr="00EA7870">
        <w:rPr>
          <w:sz w:val="20"/>
          <w:szCs w:val="20"/>
          <w:lang w:val="es-AR"/>
        </w:rPr>
        <w:t>0</w:t>
      </w:r>
      <w:r w:rsidR="00DE18AD">
        <w:rPr>
          <w:sz w:val="20"/>
          <w:szCs w:val="20"/>
          <w:lang w:val="es-AR"/>
        </w:rPr>
        <w:t>7</w:t>
      </w:r>
      <w:r w:rsidR="003D1E6E" w:rsidRPr="00EA7870">
        <w:rPr>
          <w:sz w:val="20"/>
          <w:szCs w:val="20"/>
          <w:lang w:val="es-AR"/>
        </w:rPr>
        <w:t xml:space="preserve">%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efectivamente</w:t>
      </w:r>
      <w:r w:rsidR="001A28B3" w:rsidRPr="00EA7870">
        <w:rPr>
          <w:sz w:val="20"/>
          <w:szCs w:val="20"/>
          <w:lang w:val="es-AR"/>
        </w:rPr>
        <w:t xml:space="preserve"> </w:t>
      </w:r>
      <w:r w:rsidRPr="00EA7870">
        <w:rPr>
          <w:sz w:val="20"/>
          <w:szCs w:val="20"/>
          <w:lang w:val="es-AR"/>
        </w:rPr>
        <w:t>colocadas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pagadas;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(v)</w:t>
      </w:r>
      <w:r w:rsidR="001A28B3" w:rsidRPr="00EA7870">
        <w:rPr>
          <w:sz w:val="20"/>
          <w:szCs w:val="20"/>
          <w:lang w:val="es-AR"/>
        </w:rPr>
        <w:t xml:space="preserve"> </w:t>
      </w:r>
      <w:r w:rsidR="00AA1158" w:rsidRPr="00EA7870">
        <w:rPr>
          <w:sz w:val="20"/>
          <w:szCs w:val="20"/>
          <w:lang w:val="es-AR"/>
        </w:rPr>
        <w:t>otros</w:t>
      </w:r>
      <w:r w:rsidR="001A28B3" w:rsidRPr="00EA7870">
        <w:rPr>
          <w:sz w:val="20"/>
          <w:szCs w:val="20"/>
          <w:lang w:val="es-AR"/>
        </w:rPr>
        <w:t xml:space="preserve"> </w:t>
      </w:r>
      <w:r w:rsidRPr="00EA7870">
        <w:rPr>
          <w:sz w:val="20"/>
          <w:szCs w:val="20"/>
          <w:lang w:val="es-AR"/>
        </w:rPr>
        <w:t>gastos</w:t>
      </w:r>
      <w:r w:rsidR="001A28B3" w:rsidRPr="00EA7870">
        <w:rPr>
          <w:sz w:val="20"/>
          <w:szCs w:val="20"/>
          <w:lang w:val="es-AR"/>
        </w:rPr>
        <w:t xml:space="preserve"> </w:t>
      </w:r>
      <w:r w:rsidRPr="00EA7870">
        <w:rPr>
          <w:sz w:val="20"/>
          <w:szCs w:val="20"/>
          <w:lang w:val="es-AR"/>
        </w:rPr>
        <w:t>(incluyendo,</w:t>
      </w:r>
      <w:r w:rsidR="001A28B3" w:rsidRPr="00EA7870">
        <w:rPr>
          <w:sz w:val="20"/>
          <w:szCs w:val="20"/>
          <w:lang w:val="es-AR"/>
        </w:rPr>
        <w:t xml:space="preserve"> </w:t>
      </w:r>
      <w:r w:rsidRPr="00EA7870">
        <w:rPr>
          <w:sz w:val="20"/>
          <w:szCs w:val="20"/>
          <w:lang w:val="es-AR"/>
        </w:rPr>
        <w:t>sin</w:t>
      </w:r>
      <w:r w:rsidR="001A28B3" w:rsidRPr="00EA7870">
        <w:rPr>
          <w:sz w:val="20"/>
          <w:szCs w:val="20"/>
          <w:lang w:val="es-AR"/>
        </w:rPr>
        <w:t xml:space="preserve"> </w:t>
      </w:r>
      <w:r w:rsidRPr="00EA7870">
        <w:rPr>
          <w:sz w:val="20"/>
          <w:szCs w:val="20"/>
          <w:lang w:val="es-AR"/>
        </w:rPr>
        <w:t>limitación,</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publicaciones</w:t>
      </w:r>
      <w:r w:rsidR="001A28B3" w:rsidRPr="00EA7870">
        <w:rPr>
          <w:sz w:val="20"/>
          <w:szCs w:val="20"/>
          <w:lang w:val="es-AR"/>
        </w:rPr>
        <w:t xml:space="preserve"> </w:t>
      </w:r>
      <w:r w:rsidRPr="00EA7870">
        <w:rPr>
          <w:sz w:val="20"/>
          <w:szCs w:val="20"/>
          <w:lang w:val="es-AR"/>
        </w:rPr>
        <w:t>en</w:t>
      </w:r>
      <w:r w:rsidR="001A28B3" w:rsidRPr="00EA7870">
        <w:rPr>
          <w:sz w:val="20"/>
          <w:szCs w:val="20"/>
          <w:lang w:val="es-AR"/>
        </w:rPr>
        <w:t xml:space="preserve"> </w:t>
      </w:r>
      <w:r w:rsidRPr="00EA7870">
        <w:rPr>
          <w:sz w:val="20"/>
          <w:szCs w:val="20"/>
          <w:lang w:val="es-AR"/>
        </w:rPr>
        <w:t>medios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difusión,</w:t>
      </w:r>
      <w:r w:rsidR="001A28B3" w:rsidRPr="00EA7870">
        <w:rPr>
          <w:sz w:val="20"/>
          <w:szCs w:val="20"/>
          <w:lang w:val="es-AR"/>
        </w:rPr>
        <w:t xml:space="preserve"> </w:t>
      </w:r>
      <w:r w:rsidRPr="00EA7870">
        <w:rPr>
          <w:sz w:val="20"/>
          <w:szCs w:val="20"/>
          <w:lang w:val="es-AR"/>
        </w:rPr>
        <w:t>,</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honorarios</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auditores,</w:t>
      </w:r>
      <w:r w:rsidR="001A28B3" w:rsidRPr="00EA7870">
        <w:rPr>
          <w:sz w:val="20"/>
          <w:szCs w:val="20"/>
          <w:lang w:val="es-AR"/>
        </w:rPr>
        <w:t xml:space="preserve"> </w:t>
      </w:r>
      <w:r w:rsidRPr="00EA7870">
        <w:rPr>
          <w:sz w:val="20"/>
          <w:szCs w:val="20"/>
          <w:lang w:val="es-AR"/>
        </w:rPr>
        <w:t>impuesto</w:t>
      </w:r>
      <w:r w:rsidR="001A28B3" w:rsidRPr="00EA7870">
        <w:rPr>
          <w:sz w:val="20"/>
          <w:szCs w:val="20"/>
          <w:lang w:val="es-AR"/>
        </w:rPr>
        <w:t xml:space="preserve"> </w:t>
      </w:r>
      <w:r w:rsidRPr="00EA7870">
        <w:rPr>
          <w:sz w:val="20"/>
          <w:szCs w:val="20"/>
          <w:lang w:val="es-AR"/>
        </w:rPr>
        <w:t>a</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débitos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créditos</w:t>
      </w:r>
      <w:r w:rsidR="001A28B3" w:rsidRPr="00EA7870">
        <w:rPr>
          <w:sz w:val="20"/>
          <w:szCs w:val="20"/>
          <w:lang w:val="es-AR"/>
        </w:rPr>
        <w:t xml:space="preserve"> </w:t>
      </w:r>
      <w:r w:rsidRPr="00EA7870">
        <w:rPr>
          <w:sz w:val="20"/>
          <w:szCs w:val="20"/>
          <w:lang w:val="es-AR"/>
        </w:rPr>
        <w:t>bancarios,</w:t>
      </w:r>
      <w:r w:rsidR="001A28B3" w:rsidRPr="00EA7870">
        <w:rPr>
          <w:sz w:val="20"/>
          <w:szCs w:val="20"/>
          <w:lang w:val="es-AR"/>
        </w:rPr>
        <w:t xml:space="preserve"> </w:t>
      </w:r>
      <w:r w:rsidR="003D1E6E" w:rsidRPr="00EA7870">
        <w:rPr>
          <w:sz w:val="20"/>
          <w:szCs w:val="20"/>
          <w:lang w:val="es-AR"/>
        </w:rPr>
        <w:t xml:space="preserve">impuestos sobre ingresos brutos, </w:t>
      </w:r>
      <w:r w:rsidRPr="00EA7870">
        <w:rPr>
          <w:sz w:val="20"/>
          <w:szCs w:val="20"/>
          <w:lang w:val="es-AR"/>
        </w:rPr>
        <w:t>etc.)</w:t>
      </w:r>
      <w:r w:rsidR="001A28B3" w:rsidRPr="00EA7870">
        <w:rPr>
          <w:sz w:val="20"/>
          <w:szCs w:val="20"/>
          <w:lang w:val="es-AR"/>
        </w:rPr>
        <w:t xml:space="preserve"> </w:t>
      </w:r>
      <w:r w:rsidRPr="00EA7870">
        <w:rPr>
          <w:sz w:val="20"/>
          <w:szCs w:val="20"/>
          <w:lang w:val="es-AR"/>
        </w:rPr>
        <w:t>los</w:t>
      </w:r>
      <w:r w:rsidR="001A28B3" w:rsidRPr="00EA7870">
        <w:rPr>
          <w:sz w:val="20"/>
          <w:szCs w:val="20"/>
          <w:lang w:val="es-AR"/>
        </w:rPr>
        <w:t xml:space="preserve"> </w:t>
      </w:r>
      <w:r w:rsidRPr="00EA7870">
        <w:rPr>
          <w:sz w:val="20"/>
          <w:szCs w:val="20"/>
          <w:lang w:val="es-AR"/>
        </w:rPr>
        <w:t>cuales</w:t>
      </w:r>
      <w:r w:rsidR="001A28B3" w:rsidRPr="00EA7870">
        <w:rPr>
          <w:sz w:val="20"/>
          <w:szCs w:val="20"/>
          <w:lang w:val="es-AR"/>
        </w:rPr>
        <w:t xml:space="preserve"> </w:t>
      </w:r>
      <w:r w:rsidRPr="00EA7870">
        <w:rPr>
          <w:sz w:val="20"/>
          <w:szCs w:val="20"/>
          <w:lang w:val="es-AR"/>
        </w:rPr>
        <w:t>representan</w:t>
      </w:r>
      <w:r w:rsidR="001A28B3" w:rsidRPr="00EA7870">
        <w:rPr>
          <w:sz w:val="20"/>
          <w:szCs w:val="20"/>
          <w:lang w:val="es-AR"/>
        </w:rPr>
        <w:t xml:space="preserve"> </w:t>
      </w:r>
      <w:r w:rsidRPr="00EA7870">
        <w:rPr>
          <w:sz w:val="20"/>
          <w:szCs w:val="20"/>
          <w:lang w:val="es-AR"/>
        </w:rPr>
        <w:t>aproximadamente</w:t>
      </w:r>
      <w:r w:rsidR="001A28B3" w:rsidRPr="00EA7870">
        <w:rPr>
          <w:sz w:val="20"/>
          <w:szCs w:val="20"/>
          <w:lang w:val="es-AR"/>
        </w:rPr>
        <w:t xml:space="preserve"> </w:t>
      </w:r>
      <w:r w:rsidRPr="00EA7870">
        <w:rPr>
          <w:sz w:val="20"/>
          <w:szCs w:val="20"/>
          <w:lang w:val="es-AR"/>
        </w:rPr>
        <w:t>el</w:t>
      </w:r>
      <w:r w:rsidR="001A28B3" w:rsidRPr="00EA7870">
        <w:rPr>
          <w:sz w:val="20"/>
          <w:szCs w:val="20"/>
          <w:lang w:val="es-AR"/>
        </w:rPr>
        <w:t xml:space="preserve"> </w:t>
      </w:r>
      <w:r w:rsidR="003D1E6E" w:rsidRPr="00EA7870">
        <w:rPr>
          <w:sz w:val="20"/>
          <w:szCs w:val="20"/>
          <w:lang w:val="es-AR"/>
        </w:rPr>
        <w:t>2</w:t>
      </w:r>
      <w:r w:rsidR="00A60857" w:rsidRPr="00EA7870">
        <w:rPr>
          <w:sz w:val="20"/>
          <w:szCs w:val="20"/>
          <w:lang w:val="es-AR"/>
        </w:rPr>
        <w:t>,</w:t>
      </w:r>
      <w:r w:rsidR="003D1E6E" w:rsidRPr="00EA7870">
        <w:rPr>
          <w:sz w:val="20"/>
          <w:szCs w:val="20"/>
          <w:lang w:val="es-AR"/>
        </w:rPr>
        <w:t xml:space="preserve">0% </w:t>
      </w:r>
      <w:r w:rsidRPr="00EA7870">
        <w:rPr>
          <w:sz w:val="20"/>
          <w:szCs w:val="20"/>
          <w:lang w:val="es-AR"/>
        </w:rPr>
        <w:t>del</w:t>
      </w:r>
      <w:r w:rsidR="001A28B3" w:rsidRPr="00EA7870">
        <w:rPr>
          <w:sz w:val="20"/>
          <w:szCs w:val="20"/>
          <w:lang w:val="es-AR"/>
        </w:rPr>
        <w:t xml:space="preserve"> </w:t>
      </w:r>
      <w:r w:rsidRPr="00EA7870">
        <w:rPr>
          <w:sz w:val="20"/>
          <w:szCs w:val="20"/>
          <w:lang w:val="es-AR"/>
        </w:rPr>
        <w:t>valor</w:t>
      </w:r>
      <w:r w:rsidR="001A28B3" w:rsidRPr="00EA7870">
        <w:rPr>
          <w:sz w:val="20"/>
          <w:szCs w:val="20"/>
          <w:lang w:val="es-AR"/>
        </w:rPr>
        <w:t xml:space="preserve"> </w:t>
      </w:r>
      <w:r w:rsidRPr="00EA7870">
        <w:rPr>
          <w:sz w:val="20"/>
          <w:szCs w:val="20"/>
          <w:lang w:val="es-AR"/>
        </w:rPr>
        <w:t>nominal</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las</w:t>
      </w:r>
      <w:r w:rsidR="001A28B3" w:rsidRPr="00EA7870">
        <w:rPr>
          <w:sz w:val="20"/>
          <w:szCs w:val="20"/>
          <w:lang w:val="es-AR"/>
        </w:rPr>
        <w:t xml:space="preserve"> </w:t>
      </w:r>
      <w:r w:rsidRPr="00EA7870">
        <w:rPr>
          <w:sz w:val="20"/>
          <w:szCs w:val="20"/>
          <w:lang w:val="es-AR"/>
        </w:rPr>
        <w:t>Obligaciones</w:t>
      </w:r>
      <w:r w:rsidR="001A28B3" w:rsidRPr="00EA7870">
        <w:rPr>
          <w:sz w:val="20"/>
          <w:szCs w:val="20"/>
          <w:lang w:val="es-AR"/>
        </w:rPr>
        <w:t xml:space="preserve"> </w:t>
      </w:r>
      <w:r w:rsidRPr="00EA7870">
        <w:rPr>
          <w:sz w:val="20"/>
          <w:szCs w:val="20"/>
          <w:lang w:val="es-AR"/>
        </w:rPr>
        <w:t>Negociables</w:t>
      </w:r>
      <w:r w:rsidR="001A28B3" w:rsidRPr="00EA7870">
        <w:rPr>
          <w:sz w:val="20"/>
          <w:szCs w:val="20"/>
          <w:lang w:val="es-AR"/>
        </w:rPr>
        <w:t xml:space="preserve"> </w:t>
      </w:r>
      <w:r w:rsidRPr="00EA7870">
        <w:rPr>
          <w:sz w:val="20"/>
          <w:szCs w:val="20"/>
          <w:lang w:val="es-AR"/>
        </w:rPr>
        <w:t>efectivamente</w:t>
      </w:r>
      <w:r w:rsidR="001A28B3" w:rsidRPr="00EA7870">
        <w:rPr>
          <w:sz w:val="20"/>
          <w:szCs w:val="20"/>
          <w:lang w:val="es-AR"/>
        </w:rPr>
        <w:t xml:space="preserve"> </w:t>
      </w:r>
      <w:r w:rsidRPr="00EA7870">
        <w:rPr>
          <w:sz w:val="20"/>
          <w:szCs w:val="20"/>
          <w:lang w:val="es-AR"/>
        </w:rPr>
        <w:t>colocadas</w:t>
      </w:r>
      <w:r w:rsidR="001A28B3" w:rsidRPr="00EA7870">
        <w:rPr>
          <w:sz w:val="20"/>
          <w:szCs w:val="20"/>
          <w:lang w:val="es-AR"/>
        </w:rPr>
        <w:t xml:space="preserve"> </w:t>
      </w:r>
      <w:r w:rsidRPr="00EA7870">
        <w:rPr>
          <w:sz w:val="20"/>
          <w:szCs w:val="20"/>
          <w:lang w:val="es-AR"/>
        </w:rPr>
        <w:t>y</w:t>
      </w:r>
      <w:r w:rsidR="001A28B3" w:rsidRPr="00EA7870">
        <w:rPr>
          <w:sz w:val="20"/>
          <w:szCs w:val="20"/>
          <w:lang w:val="es-AR"/>
        </w:rPr>
        <w:t xml:space="preserve"> </w:t>
      </w:r>
      <w:r w:rsidRPr="00EA7870">
        <w:rPr>
          <w:sz w:val="20"/>
          <w:szCs w:val="20"/>
          <w:lang w:val="es-AR"/>
        </w:rPr>
        <w:t>debidamente</w:t>
      </w:r>
      <w:r w:rsidR="001A28B3" w:rsidRPr="00EA7870">
        <w:rPr>
          <w:sz w:val="20"/>
          <w:szCs w:val="20"/>
          <w:lang w:val="es-AR"/>
        </w:rPr>
        <w:t xml:space="preserve"> </w:t>
      </w:r>
      <w:r w:rsidRPr="00EA7870">
        <w:rPr>
          <w:sz w:val="20"/>
          <w:szCs w:val="20"/>
          <w:lang w:val="es-AR"/>
        </w:rPr>
        <w:t>pagadas.</w:t>
      </w:r>
      <w:r w:rsidR="004A7743" w:rsidRPr="00EA7870">
        <w:rPr>
          <w:sz w:val="20"/>
          <w:szCs w:val="20"/>
          <w:lang w:val="es-AR"/>
        </w:rPr>
        <w:br w:type="page"/>
      </w:r>
    </w:p>
    <w:p w14:paraId="1A5185BF" w14:textId="5995422E" w:rsidR="00036374" w:rsidRPr="008C3631" w:rsidRDefault="004A7743" w:rsidP="00E37F0A">
      <w:pPr>
        <w:pStyle w:val="Ttulo1"/>
        <w:jc w:val="center"/>
        <w:rPr>
          <w:rFonts w:ascii="Times New Roman" w:hAnsi="Times New Roman"/>
          <w:b w:val="0"/>
          <w:sz w:val="20"/>
          <w:lang w:val="es-AR"/>
        </w:rPr>
      </w:pPr>
      <w:bookmarkStart w:id="139" w:name="_Toc24360370"/>
      <w:bookmarkStart w:id="140" w:name="_Toc24363275"/>
      <w:r w:rsidRPr="008C3631">
        <w:rPr>
          <w:rFonts w:ascii="Times New Roman" w:hAnsi="Times New Roman"/>
          <w:sz w:val="20"/>
          <w:lang w:val="es-AR"/>
        </w:rPr>
        <w:t>INFORMACIÓN ADICIONAL</w:t>
      </w:r>
      <w:bookmarkEnd w:id="139"/>
      <w:bookmarkEnd w:id="140"/>
    </w:p>
    <w:p w14:paraId="4E18D493" w14:textId="77777777" w:rsidR="004A7743" w:rsidRPr="003C3E13" w:rsidRDefault="004A7743" w:rsidP="00E37F0A">
      <w:pPr>
        <w:keepNext/>
        <w:jc w:val="center"/>
        <w:rPr>
          <w:b/>
          <w:sz w:val="20"/>
          <w:szCs w:val="20"/>
          <w:lang w:val="es-AR"/>
        </w:rPr>
      </w:pPr>
    </w:p>
    <w:p w14:paraId="17502BC6" w14:textId="30046AD7" w:rsidR="009114EC" w:rsidRPr="003C3E13" w:rsidRDefault="009114EC" w:rsidP="009114EC">
      <w:pPr>
        <w:jc w:val="both"/>
        <w:rPr>
          <w:b/>
          <w:bCs/>
          <w:i/>
          <w:iCs/>
          <w:sz w:val="20"/>
          <w:szCs w:val="20"/>
          <w:lang w:val="es-AR"/>
        </w:rPr>
      </w:pPr>
      <w:r w:rsidRPr="003C3E13">
        <w:rPr>
          <w:b/>
          <w:sz w:val="20"/>
          <w:szCs w:val="20"/>
          <w:lang w:val="es-AR"/>
        </w:rPr>
        <w:t>Actualización de la sección “</w:t>
      </w:r>
      <w:r w:rsidRPr="003C3E13">
        <w:rPr>
          <w:b/>
          <w:i/>
          <w:sz w:val="20"/>
          <w:szCs w:val="20"/>
          <w:lang w:val="es-AR"/>
        </w:rPr>
        <w:t>Información Adicional</w:t>
      </w:r>
      <w:r w:rsidRPr="003C3E13">
        <w:rPr>
          <w:i/>
          <w:color w:val="000000"/>
          <w:sz w:val="20"/>
          <w:szCs w:val="20"/>
          <w:lang w:val="es-AR"/>
        </w:rPr>
        <w:t>—</w:t>
      </w:r>
      <w:r w:rsidRPr="003C3E13">
        <w:rPr>
          <w:b/>
          <w:bCs/>
          <w:i/>
          <w:color w:val="000000" w:themeColor="text1"/>
          <w:sz w:val="20"/>
          <w:szCs w:val="20"/>
          <w:lang w:val="es-AR"/>
        </w:rPr>
        <w:t>Controles de cambio</w:t>
      </w:r>
      <w:r w:rsidRPr="003C3E13">
        <w:rPr>
          <w:b/>
          <w:sz w:val="20"/>
          <w:szCs w:val="20"/>
          <w:lang w:val="es-AR"/>
        </w:rPr>
        <w:t>” del Prospecto</w:t>
      </w:r>
    </w:p>
    <w:p w14:paraId="6AE087CF" w14:textId="77777777" w:rsidR="009114EC" w:rsidRPr="003C3E13" w:rsidRDefault="009114EC" w:rsidP="006633FE">
      <w:pPr>
        <w:jc w:val="both"/>
        <w:rPr>
          <w:b/>
          <w:sz w:val="20"/>
          <w:szCs w:val="20"/>
          <w:lang w:val="es-AR"/>
        </w:rPr>
      </w:pPr>
    </w:p>
    <w:p w14:paraId="65002363" w14:textId="2E6D982C" w:rsidR="00775E7C" w:rsidRPr="003C3E13" w:rsidRDefault="00775E7C" w:rsidP="006633FE">
      <w:pPr>
        <w:jc w:val="both"/>
        <w:rPr>
          <w:bCs/>
          <w:sz w:val="20"/>
          <w:szCs w:val="20"/>
          <w:lang w:val="es-AR"/>
        </w:rPr>
      </w:pPr>
      <w:r w:rsidRPr="003C3E13">
        <w:rPr>
          <w:bCs/>
          <w:sz w:val="20"/>
          <w:szCs w:val="20"/>
          <w:lang w:val="es-AR"/>
        </w:rPr>
        <w:t>Desde la fecha del Prospecto, y hasta la fecha del presente, el Banco Central ha emitido, entre otras, las siguiente</w:t>
      </w:r>
      <w:r w:rsidR="00940C1F" w:rsidRPr="003C3E13">
        <w:rPr>
          <w:bCs/>
          <w:sz w:val="20"/>
          <w:szCs w:val="20"/>
          <w:lang w:val="es-AR"/>
        </w:rPr>
        <w:t>s</w:t>
      </w:r>
      <w:r w:rsidRPr="003C3E13">
        <w:rPr>
          <w:bCs/>
          <w:sz w:val="20"/>
          <w:szCs w:val="20"/>
          <w:lang w:val="es-AR"/>
        </w:rPr>
        <w:t xml:space="preserve"> comunicaciones que regulan el </w:t>
      </w:r>
      <w:r w:rsidR="00A94F08" w:rsidRPr="003C3E13">
        <w:rPr>
          <w:bCs/>
          <w:sz w:val="20"/>
          <w:szCs w:val="20"/>
          <w:lang w:val="es-AR"/>
        </w:rPr>
        <w:t>acceso al MLC</w:t>
      </w:r>
      <w:r w:rsidRPr="003C3E13">
        <w:rPr>
          <w:bCs/>
          <w:sz w:val="20"/>
          <w:szCs w:val="20"/>
          <w:lang w:val="es-AR"/>
        </w:rPr>
        <w:t>:</w:t>
      </w:r>
    </w:p>
    <w:p w14:paraId="16AC1171" w14:textId="77777777" w:rsidR="00775E7C" w:rsidRPr="003C3E13" w:rsidRDefault="00775E7C" w:rsidP="006633FE">
      <w:pPr>
        <w:jc w:val="both"/>
        <w:rPr>
          <w:bCs/>
          <w:sz w:val="20"/>
          <w:szCs w:val="20"/>
          <w:lang w:val="es-AR"/>
        </w:rPr>
      </w:pPr>
    </w:p>
    <w:p w14:paraId="2A048305" w14:textId="1BBC2855" w:rsidR="00775E7C" w:rsidRPr="003C3E13" w:rsidRDefault="00775E7C" w:rsidP="00E2318E">
      <w:pPr>
        <w:pStyle w:val="Prrafodelista"/>
        <w:numPr>
          <w:ilvl w:val="0"/>
          <w:numId w:val="53"/>
        </w:numPr>
        <w:jc w:val="both"/>
        <w:rPr>
          <w:sz w:val="20"/>
          <w:szCs w:val="20"/>
        </w:rPr>
      </w:pPr>
      <w:r w:rsidRPr="003C3E13">
        <w:rPr>
          <w:bCs/>
          <w:sz w:val="20"/>
          <w:szCs w:val="20"/>
          <w:u w:val="single"/>
        </w:rPr>
        <w:t>Comunicación “A” 6814</w:t>
      </w:r>
      <w:r w:rsidRPr="003C3E13">
        <w:rPr>
          <w:bCs/>
          <w:sz w:val="20"/>
          <w:szCs w:val="20"/>
        </w:rPr>
        <w:t>:</w:t>
      </w:r>
      <w:r w:rsidRPr="003C3E13">
        <w:t xml:space="preserve"> </w:t>
      </w:r>
      <w:r w:rsidR="0021016C">
        <w:rPr>
          <w:bCs/>
          <w:sz w:val="20"/>
          <w:szCs w:val="20"/>
        </w:rPr>
        <w:t>introduce</w:t>
      </w:r>
      <w:r w:rsidRPr="003C3E13">
        <w:rPr>
          <w:bCs/>
          <w:sz w:val="20"/>
          <w:szCs w:val="20"/>
        </w:rPr>
        <w:t xml:space="preserve"> </w:t>
      </w:r>
      <w:r w:rsidR="0021016C">
        <w:rPr>
          <w:bCs/>
          <w:sz w:val="20"/>
          <w:szCs w:val="20"/>
        </w:rPr>
        <w:t xml:space="preserve">ciertas </w:t>
      </w:r>
      <w:r w:rsidRPr="003C3E13">
        <w:rPr>
          <w:bCs/>
          <w:sz w:val="20"/>
          <w:szCs w:val="20"/>
        </w:rPr>
        <w:t xml:space="preserve">excepciones </w:t>
      </w:r>
      <w:r w:rsidR="0021016C">
        <w:rPr>
          <w:bCs/>
          <w:sz w:val="20"/>
          <w:szCs w:val="20"/>
        </w:rPr>
        <w:t xml:space="preserve">para el acceso al MLC, </w:t>
      </w:r>
      <w:r w:rsidRPr="003C3E13">
        <w:rPr>
          <w:bCs/>
          <w:sz w:val="20"/>
          <w:szCs w:val="20"/>
        </w:rPr>
        <w:t xml:space="preserve">de modo tal de flexibilizar las condiciones </w:t>
      </w:r>
      <w:r w:rsidR="0021016C">
        <w:rPr>
          <w:bCs/>
          <w:sz w:val="20"/>
          <w:szCs w:val="20"/>
        </w:rPr>
        <w:t>de</w:t>
      </w:r>
      <w:r w:rsidRPr="003C3E13">
        <w:rPr>
          <w:bCs/>
          <w:sz w:val="20"/>
          <w:szCs w:val="20"/>
        </w:rPr>
        <w:t xml:space="preserve"> </w:t>
      </w:r>
      <w:r w:rsidR="0021016C">
        <w:rPr>
          <w:bCs/>
          <w:sz w:val="20"/>
          <w:szCs w:val="20"/>
        </w:rPr>
        <w:t xml:space="preserve">acceso al MLC para </w:t>
      </w:r>
      <w:r w:rsidR="00940C1F" w:rsidRPr="003C3E13">
        <w:rPr>
          <w:bCs/>
          <w:sz w:val="20"/>
          <w:szCs w:val="20"/>
        </w:rPr>
        <w:t>personas jurídicas</w:t>
      </w:r>
      <w:r w:rsidR="0021016C">
        <w:rPr>
          <w:bCs/>
          <w:sz w:val="20"/>
          <w:szCs w:val="20"/>
        </w:rPr>
        <w:t>,</w:t>
      </w:r>
      <w:r w:rsidR="00771486">
        <w:rPr>
          <w:bCs/>
          <w:sz w:val="20"/>
          <w:szCs w:val="20"/>
        </w:rPr>
        <w:t xml:space="preserve"> </w:t>
      </w:r>
      <w:r w:rsidR="00940C1F" w:rsidRPr="003C3E13">
        <w:rPr>
          <w:bCs/>
          <w:sz w:val="20"/>
          <w:szCs w:val="20"/>
        </w:rPr>
        <w:t>sujeto a determinadas condiciones,</w:t>
      </w:r>
      <w:r w:rsidRPr="003C3E13">
        <w:rPr>
          <w:bCs/>
          <w:sz w:val="20"/>
          <w:szCs w:val="20"/>
        </w:rPr>
        <w:t xml:space="preserve"> evitar la liquidación </w:t>
      </w:r>
      <w:r w:rsidR="00940C1F" w:rsidRPr="003C3E13">
        <w:rPr>
          <w:bCs/>
          <w:sz w:val="20"/>
          <w:szCs w:val="20"/>
        </w:rPr>
        <w:t>de fondos</w:t>
      </w:r>
      <w:r w:rsidRPr="003C3E13">
        <w:rPr>
          <w:bCs/>
          <w:sz w:val="20"/>
          <w:szCs w:val="20"/>
        </w:rPr>
        <w:t xml:space="preserve"> en el MLC (no así su ingreso) en la medida en que (a) los fondos ingresen al país para su acreditación en cuentas en moneda extranjera de titularidad del cliente en entidades financieras locales; (b) el ingreso se efectúe dentro del plazo para la liquidación de los fondos en el MLC que </w:t>
      </w:r>
      <w:r w:rsidR="00940C1F" w:rsidRPr="003C3E13">
        <w:rPr>
          <w:bCs/>
          <w:sz w:val="20"/>
          <w:szCs w:val="20"/>
        </w:rPr>
        <w:t>resulte</w:t>
      </w:r>
      <w:r w:rsidRPr="003C3E13">
        <w:rPr>
          <w:bCs/>
          <w:sz w:val="20"/>
          <w:szCs w:val="20"/>
        </w:rPr>
        <w:t xml:space="preserve"> ser aplicable; (c) los fondos en moneda extranjera se apliquen de manera simultánea a operaciones por las cuales la normativa vigente permit</w:t>
      </w:r>
      <w:r w:rsidR="00940C1F" w:rsidRPr="003C3E13">
        <w:rPr>
          <w:bCs/>
          <w:sz w:val="20"/>
          <w:szCs w:val="20"/>
        </w:rPr>
        <w:t>a</w:t>
      </w:r>
      <w:r w:rsidRPr="003C3E13">
        <w:rPr>
          <w:bCs/>
          <w:sz w:val="20"/>
          <w:szCs w:val="20"/>
        </w:rPr>
        <w:t xml:space="preserve"> el acceso al MLC contra moneda local, considerando los límites aplicables; (d) si el ingreso </w:t>
      </w:r>
      <w:r w:rsidR="00940C1F" w:rsidRPr="003C3E13">
        <w:rPr>
          <w:bCs/>
          <w:sz w:val="20"/>
          <w:szCs w:val="20"/>
        </w:rPr>
        <w:t xml:space="preserve">de fondos en cuestión correspondiera </w:t>
      </w:r>
      <w:r w:rsidRPr="003C3E13">
        <w:rPr>
          <w:bCs/>
          <w:sz w:val="20"/>
          <w:szCs w:val="20"/>
        </w:rPr>
        <w:t xml:space="preserve">a nueva deuda financiera con el exterior y el destino fuese la precancelación de deuda local en moneda extranjera con una entidad financiera, la nueva deuda con el exterior deberá tener una vida promedio mayor </w:t>
      </w:r>
      <w:r w:rsidRPr="003C3E13">
        <w:rPr>
          <w:sz w:val="20"/>
          <w:szCs w:val="20"/>
        </w:rPr>
        <w:t>a la que se pre</w:t>
      </w:r>
      <w:r w:rsidR="00940C1F" w:rsidRPr="003C3E13">
        <w:rPr>
          <w:sz w:val="20"/>
          <w:szCs w:val="20"/>
        </w:rPr>
        <w:t>-</w:t>
      </w:r>
      <w:r w:rsidRPr="003C3E13">
        <w:rPr>
          <w:sz w:val="20"/>
          <w:szCs w:val="20"/>
        </w:rPr>
        <w:t xml:space="preserve">cancela con la entidad local; y (e) la utilización de este mecanismo resulte neutro en materia fiscal. </w:t>
      </w:r>
      <w:r w:rsidR="00235131" w:rsidRPr="003C3E13">
        <w:rPr>
          <w:sz w:val="20"/>
          <w:szCs w:val="20"/>
        </w:rPr>
        <w:t>Asimismo, la comunicación en cuestión, también prevé</w:t>
      </w:r>
      <w:r w:rsidRPr="003C3E13">
        <w:rPr>
          <w:sz w:val="20"/>
          <w:szCs w:val="20"/>
        </w:rPr>
        <w:t xml:space="preserve"> que no será necesaria la conformidad previa del BCRA para la pre</w:t>
      </w:r>
      <w:r w:rsidR="00235131" w:rsidRPr="003C3E13">
        <w:rPr>
          <w:sz w:val="20"/>
          <w:szCs w:val="20"/>
        </w:rPr>
        <w:t>-</w:t>
      </w:r>
      <w:r w:rsidRPr="003C3E13">
        <w:rPr>
          <w:sz w:val="20"/>
          <w:szCs w:val="20"/>
        </w:rPr>
        <w:t>cancelación con más de 3 días hábiles antes al vencimiento de servicios de capital e intereses de deudas financieras con el exterior en la medida que se verifiquen la totalidad de las siguientes condiciones: (a) la pre</w:t>
      </w:r>
      <w:r w:rsidR="00235131" w:rsidRPr="003C3E13">
        <w:rPr>
          <w:sz w:val="20"/>
          <w:szCs w:val="20"/>
        </w:rPr>
        <w:t>-</w:t>
      </w:r>
      <w:r w:rsidRPr="003C3E13">
        <w:rPr>
          <w:sz w:val="20"/>
          <w:szCs w:val="20"/>
        </w:rPr>
        <w:t>cancelación sea efectuada en manera simultánea con los fondos liquidados de un nuevo endeudamiento de carácter financiero desembolsado; (b) la vida promedio del nuevo endeudamiento sea mayor a la vida promedio remanente de la deuda que se pre</w:t>
      </w:r>
      <w:r w:rsidR="00235131" w:rsidRPr="003C3E13">
        <w:rPr>
          <w:sz w:val="20"/>
          <w:szCs w:val="20"/>
        </w:rPr>
        <w:t>-</w:t>
      </w:r>
      <w:r w:rsidRPr="003C3E13">
        <w:rPr>
          <w:sz w:val="20"/>
          <w:szCs w:val="20"/>
        </w:rPr>
        <w:t>cancela; (c) el vencimiento del primer servicio de capital del nuevo endeudamiento no sea anterior al primer vencimiento futuro previsto del servicio de capital de la deuda que se cancela; y (d) el monto del primer servicio de capital del nuevo endeudamiento no sea mayor al monto del primer servicio de capital futuro previsto de la deuda que se cancela.</w:t>
      </w:r>
    </w:p>
    <w:p w14:paraId="75E45E1F" w14:textId="77777777" w:rsidR="00775E7C" w:rsidRPr="003C3E13" w:rsidRDefault="00775E7C" w:rsidP="006633FE">
      <w:pPr>
        <w:jc w:val="both"/>
        <w:rPr>
          <w:bCs/>
          <w:sz w:val="20"/>
          <w:szCs w:val="20"/>
          <w:lang w:val="es-AR"/>
        </w:rPr>
      </w:pPr>
    </w:p>
    <w:p w14:paraId="1F164646" w14:textId="29888C3A" w:rsidR="00775E7C" w:rsidRPr="003C3E13" w:rsidRDefault="00775E7C" w:rsidP="00E2318E">
      <w:pPr>
        <w:pStyle w:val="Prrafodelista"/>
        <w:numPr>
          <w:ilvl w:val="0"/>
          <w:numId w:val="53"/>
        </w:numPr>
        <w:jc w:val="both"/>
        <w:rPr>
          <w:color w:val="000000"/>
          <w:sz w:val="20"/>
        </w:rPr>
      </w:pPr>
      <w:r w:rsidRPr="003C3E13">
        <w:rPr>
          <w:bCs/>
          <w:sz w:val="20"/>
          <w:szCs w:val="20"/>
          <w:u w:val="single"/>
        </w:rPr>
        <w:t>Comunicación “A” 6815</w:t>
      </w:r>
      <w:r w:rsidRPr="003C3E13">
        <w:rPr>
          <w:bCs/>
          <w:sz w:val="20"/>
          <w:szCs w:val="20"/>
        </w:rPr>
        <w:t xml:space="preserve">: dispuso que: (i) </w:t>
      </w:r>
      <w:r w:rsidRPr="003C3E13">
        <w:rPr>
          <w:color w:val="000000" w:themeColor="text1"/>
          <w:sz w:val="20"/>
          <w:szCs w:val="20"/>
          <w:lang w:eastAsia="en-US"/>
        </w:rPr>
        <w:t xml:space="preserve">se debe requerir conformidad previa del Banco Central para el acceso al mercado de cambios: (x) por parte de no residentes por montos superiores al equivalente a US$100 mensuales, y (y) por parte de residentes por montos superiores a US$ 200 (a través de operaciones con débito a cuentas del cliente en entidades financieras locales) o US$100 (en caso de operaciones en efectivo) mensuales, en el conjunto de entidades autorizadas a operar en cambios, salvo ciertas excepciones, y (ii) </w:t>
      </w:r>
      <w:r w:rsidRPr="003C3E13">
        <w:rPr>
          <w:color w:val="000000"/>
          <w:sz w:val="20"/>
        </w:rPr>
        <w:t xml:space="preserve">las entidades bancarias y cambiarias deben informar al Banco Central, al cierre de cada jornada y con una antelación de 2 días hábiles, la información sobre las ventas de cambio a realizarse por solicitud de clientes que impliquen un acceso al MLC por un monto diario que sea igual o superior al equivalente a US$ 2 millones, para cada uno de los 3 días hábiles contados a partir del primer día informado. La misma norma establece </w:t>
      </w:r>
      <w:r w:rsidR="00235131" w:rsidRPr="003C3E13">
        <w:rPr>
          <w:color w:val="000000"/>
          <w:sz w:val="20"/>
        </w:rPr>
        <w:t xml:space="preserve">asimismo </w:t>
      </w:r>
      <w:r w:rsidRPr="003C3E13">
        <w:rPr>
          <w:color w:val="000000"/>
          <w:sz w:val="20"/>
        </w:rPr>
        <w:t>que los clientes deberán informar a las entidades financieras y cambiarias, con la antelación necesaria para que las entidades puedan dar cumplimiento al requisito arriba referido para que éstas puedan dar curso a la operación de cambio, en la medida que se cumplan los restantes requisitos vigentes.</w:t>
      </w:r>
    </w:p>
    <w:p w14:paraId="57A2E977" w14:textId="77777777" w:rsidR="00775E7C" w:rsidRPr="003C3E13" w:rsidRDefault="00775E7C" w:rsidP="006633FE">
      <w:pPr>
        <w:jc w:val="both"/>
        <w:rPr>
          <w:color w:val="000000" w:themeColor="text1"/>
          <w:sz w:val="20"/>
          <w:szCs w:val="20"/>
          <w:lang w:val="es-AR" w:eastAsia="en-US"/>
        </w:rPr>
      </w:pPr>
    </w:p>
    <w:p w14:paraId="43BA531E" w14:textId="245B2581" w:rsidR="00775E7C" w:rsidRPr="003C3E13" w:rsidRDefault="00775E7C" w:rsidP="00E2318E">
      <w:pPr>
        <w:pStyle w:val="Prrafodelista"/>
        <w:numPr>
          <w:ilvl w:val="0"/>
          <w:numId w:val="53"/>
        </w:numPr>
        <w:jc w:val="both"/>
        <w:rPr>
          <w:rFonts w:eastAsia="MS Mincho"/>
          <w:color w:val="000000"/>
          <w:sz w:val="20"/>
          <w:szCs w:val="20"/>
        </w:rPr>
      </w:pPr>
      <w:r w:rsidRPr="003C3E13">
        <w:rPr>
          <w:bCs/>
          <w:sz w:val="20"/>
          <w:szCs w:val="20"/>
          <w:u w:val="single"/>
        </w:rPr>
        <w:t>Comunicación “A” 6818</w:t>
      </w:r>
      <w:r w:rsidRPr="003C3E13">
        <w:rPr>
          <w:bCs/>
          <w:sz w:val="20"/>
          <w:szCs w:val="20"/>
        </w:rPr>
        <w:t>:</w:t>
      </w:r>
      <w:r w:rsidRPr="003C3E13">
        <w:t xml:space="preserve"> </w:t>
      </w:r>
      <w:r w:rsidRPr="003C3E13">
        <w:rPr>
          <w:rFonts w:eastAsia="MS Mincho"/>
          <w:color w:val="000000"/>
          <w:sz w:val="20"/>
          <w:szCs w:val="20"/>
        </w:rPr>
        <w:t>establece diversos requisitos</w:t>
      </w:r>
      <w:r w:rsidR="0021016C">
        <w:rPr>
          <w:rFonts w:eastAsia="MS Mincho"/>
          <w:color w:val="000000"/>
          <w:sz w:val="20"/>
          <w:szCs w:val="20"/>
        </w:rPr>
        <w:t xml:space="preserve"> para el acceso al MLC para el pago de importaciones de bienes y servicios,</w:t>
      </w:r>
      <w:r w:rsidRPr="003C3E13">
        <w:rPr>
          <w:rFonts w:eastAsia="MS Mincho"/>
          <w:color w:val="000000"/>
          <w:sz w:val="20"/>
          <w:szCs w:val="20"/>
        </w:rPr>
        <w:t xml:space="preserve"> según se trate del pago de deudas comerciales por importaciones de bienes, pagos de importaciones con registro aduanero, pago a la vista de importaciones o pago anticipado de importaciones. Estos requisitos incluyen la presentación de distinta documentación y, en el caso de pagos a la vista o anticipados de importaciones, la obligación de demostrar la nacionalización de la mercadería en un plazo de 90 días corridos desde el pago y, en su caso, de reingresar y liquidar las diferencias. </w:t>
      </w:r>
    </w:p>
    <w:p w14:paraId="3365283B" w14:textId="77777777" w:rsidR="00C86667" w:rsidRPr="008C3631" w:rsidRDefault="00C86667" w:rsidP="008C3631">
      <w:pPr>
        <w:pStyle w:val="Prrafodelista"/>
        <w:rPr>
          <w:rFonts w:eastAsia="MS Mincho"/>
          <w:color w:val="000000"/>
          <w:sz w:val="20"/>
        </w:rPr>
      </w:pPr>
    </w:p>
    <w:p w14:paraId="19602D3C" w14:textId="7C7A45A4" w:rsidR="00C86667" w:rsidRPr="00637AA4" w:rsidRDefault="00C86667" w:rsidP="00E2318E">
      <w:pPr>
        <w:pStyle w:val="Prrafodelista"/>
        <w:numPr>
          <w:ilvl w:val="0"/>
          <w:numId w:val="53"/>
        </w:numPr>
        <w:jc w:val="both"/>
        <w:rPr>
          <w:rFonts w:eastAsia="MS Mincho"/>
          <w:color w:val="000000"/>
          <w:sz w:val="20"/>
          <w:szCs w:val="20"/>
        </w:rPr>
      </w:pPr>
      <w:r w:rsidRPr="00050F35">
        <w:rPr>
          <w:rFonts w:eastAsia="MS Mincho"/>
          <w:color w:val="000000"/>
          <w:sz w:val="20"/>
          <w:szCs w:val="20"/>
          <w:u w:val="single"/>
        </w:rPr>
        <w:t>Comunicación “A” 6820</w:t>
      </w:r>
      <w:r w:rsidRPr="003C3E13">
        <w:rPr>
          <w:rFonts w:eastAsia="MS Mincho"/>
          <w:color w:val="000000"/>
          <w:sz w:val="20"/>
          <w:szCs w:val="20"/>
        </w:rPr>
        <w:t xml:space="preserve">: el BCRA </w:t>
      </w:r>
      <w:r w:rsidRPr="00637AA4">
        <w:rPr>
          <w:rFonts w:eastAsia="MS Mincho"/>
          <w:color w:val="000000"/>
          <w:sz w:val="20"/>
          <w:szCs w:val="20"/>
        </w:rPr>
        <w:t xml:space="preserve">establece las normas de procedimiento y las instrucciones operativas del nuevo </w:t>
      </w:r>
      <w:r w:rsidR="003E0089" w:rsidRPr="00637AA4">
        <w:rPr>
          <w:rFonts w:eastAsia="MS Mincho"/>
          <w:color w:val="000000"/>
          <w:sz w:val="20"/>
          <w:szCs w:val="20"/>
        </w:rPr>
        <w:t xml:space="preserve">régimen informativo </w:t>
      </w:r>
      <w:r w:rsidRPr="00637AA4">
        <w:rPr>
          <w:rFonts w:eastAsia="MS Mincho"/>
          <w:color w:val="000000"/>
          <w:sz w:val="20"/>
          <w:szCs w:val="20"/>
        </w:rPr>
        <w:t xml:space="preserve">sobre </w:t>
      </w:r>
      <w:r w:rsidR="003E0089" w:rsidRPr="003C3E13">
        <w:rPr>
          <w:rFonts w:eastAsia="MS Mincho"/>
          <w:color w:val="000000"/>
          <w:sz w:val="20"/>
          <w:szCs w:val="20"/>
        </w:rPr>
        <w:t>“</w:t>
      </w:r>
      <w:r w:rsidRPr="00637AA4">
        <w:rPr>
          <w:rFonts w:eastAsia="MS Mincho"/>
          <w:color w:val="000000"/>
          <w:sz w:val="20"/>
          <w:szCs w:val="20"/>
        </w:rPr>
        <w:t>Anticipo de Operaciones</w:t>
      </w:r>
      <w:r w:rsidR="003E0089" w:rsidRPr="003C3E13">
        <w:rPr>
          <w:rFonts w:eastAsia="MS Mincho"/>
          <w:color w:val="000000"/>
          <w:sz w:val="20"/>
          <w:szCs w:val="20"/>
        </w:rPr>
        <w:t>”</w:t>
      </w:r>
      <w:r w:rsidRPr="00637AA4">
        <w:rPr>
          <w:rFonts w:eastAsia="MS Mincho"/>
          <w:color w:val="000000"/>
          <w:sz w:val="20"/>
          <w:szCs w:val="20"/>
        </w:rPr>
        <w:t xml:space="preserve">, con vigencia a partir del 30 de octubre de 2019. </w:t>
      </w:r>
    </w:p>
    <w:p w14:paraId="41347B3C" w14:textId="77777777" w:rsidR="00C86667" w:rsidRPr="00637AA4" w:rsidRDefault="00C86667" w:rsidP="00637AA4">
      <w:pPr>
        <w:jc w:val="both"/>
        <w:rPr>
          <w:rFonts w:eastAsia="MS Mincho"/>
          <w:color w:val="000000"/>
          <w:sz w:val="20"/>
          <w:szCs w:val="20"/>
        </w:rPr>
      </w:pPr>
    </w:p>
    <w:p w14:paraId="74EC96E1" w14:textId="79CEA899" w:rsidR="00C86667" w:rsidRPr="00637AA4" w:rsidRDefault="00C86667" w:rsidP="00E2318E">
      <w:pPr>
        <w:pStyle w:val="Prrafodelista"/>
        <w:numPr>
          <w:ilvl w:val="0"/>
          <w:numId w:val="53"/>
        </w:numPr>
        <w:jc w:val="both"/>
        <w:rPr>
          <w:rFonts w:eastAsia="MS Mincho"/>
          <w:color w:val="000000"/>
          <w:sz w:val="20"/>
          <w:szCs w:val="20"/>
        </w:rPr>
      </w:pPr>
      <w:r w:rsidRPr="00637AA4">
        <w:rPr>
          <w:rFonts w:eastAsia="MS Mincho"/>
          <w:color w:val="000000"/>
          <w:sz w:val="20"/>
          <w:szCs w:val="20"/>
          <w:u w:val="single"/>
        </w:rPr>
        <w:t>Comunicación “A” 6821</w:t>
      </w:r>
      <w:r w:rsidRPr="003C3E13">
        <w:rPr>
          <w:rFonts w:eastAsia="MS Mincho"/>
          <w:color w:val="000000"/>
          <w:sz w:val="20"/>
          <w:szCs w:val="20"/>
        </w:rPr>
        <w:t xml:space="preserve">: el </w:t>
      </w:r>
      <w:r w:rsidRPr="00637AA4">
        <w:rPr>
          <w:rFonts w:eastAsia="MS Mincho"/>
          <w:color w:val="000000"/>
          <w:sz w:val="20"/>
          <w:szCs w:val="20"/>
        </w:rPr>
        <w:t xml:space="preserve">BCRA incorpora al </w:t>
      </w:r>
      <w:r w:rsidR="003C3E13" w:rsidRPr="00637AA4">
        <w:rPr>
          <w:rFonts w:eastAsia="MS Mincho"/>
          <w:color w:val="000000"/>
          <w:sz w:val="20"/>
          <w:szCs w:val="20"/>
        </w:rPr>
        <w:t xml:space="preserve">régimen informativo contable mensual </w:t>
      </w:r>
      <w:r w:rsidRPr="00637AA4">
        <w:rPr>
          <w:rFonts w:eastAsia="MS Mincho"/>
          <w:color w:val="000000"/>
          <w:sz w:val="20"/>
          <w:szCs w:val="20"/>
        </w:rPr>
        <w:t xml:space="preserve">un nuevo requerimiento de </w:t>
      </w:r>
      <w:r w:rsidR="003C3E13" w:rsidRPr="003C3E13">
        <w:rPr>
          <w:rFonts w:eastAsia="MS Mincho"/>
          <w:color w:val="000000"/>
          <w:sz w:val="20"/>
          <w:szCs w:val="20"/>
        </w:rPr>
        <w:t>“</w:t>
      </w:r>
      <w:r w:rsidRPr="00637AA4">
        <w:rPr>
          <w:rFonts w:eastAsia="MS Mincho"/>
          <w:color w:val="000000"/>
          <w:sz w:val="20"/>
          <w:szCs w:val="20"/>
        </w:rPr>
        <w:t>Seguimiento de Pagos de Importaciones</w:t>
      </w:r>
      <w:r w:rsidR="003C3E13" w:rsidRPr="003C3E13">
        <w:rPr>
          <w:rFonts w:eastAsia="MS Mincho"/>
          <w:color w:val="000000"/>
          <w:sz w:val="20"/>
          <w:szCs w:val="20"/>
        </w:rPr>
        <w:t>”</w:t>
      </w:r>
      <w:r w:rsidRPr="00637AA4">
        <w:rPr>
          <w:rFonts w:eastAsia="MS Mincho"/>
          <w:color w:val="000000"/>
          <w:sz w:val="20"/>
          <w:szCs w:val="20"/>
        </w:rPr>
        <w:t xml:space="preserve"> (R.I. – S.P.I) establecido mediante la Comunicación “A” 6818. </w:t>
      </w:r>
    </w:p>
    <w:p w14:paraId="3E255474" w14:textId="77777777" w:rsidR="00C86667" w:rsidRPr="00637AA4" w:rsidRDefault="00C86667" w:rsidP="00637AA4">
      <w:pPr>
        <w:pStyle w:val="Prrafodelista"/>
        <w:rPr>
          <w:rFonts w:eastAsia="MS Mincho"/>
          <w:color w:val="000000"/>
          <w:sz w:val="20"/>
          <w:szCs w:val="20"/>
        </w:rPr>
      </w:pPr>
    </w:p>
    <w:p w14:paraId="6BFA169F" w14:textId="3D17AE9F" w:rsidR="00C86667" w:rsidRPr="003C3E13" w:rsidRDefault="00C86667" w:rsidP="00E2318E">
      <w:pPr>
        <w:pStyle w:val="Prrafodelista"/>
        <w:numPr>
          <w:ilvl w:val="0"/>
          <w:numId w:val="53"/>
        </w:numPr>
        <w:jc w:val="both"/>
        <w:rPr>
          <w:rFonts w:eastAsia="MS Mincho"/>
          <w:color w:val="000000"/>
          <w:sz w:val="20"/>
          <w:szCs w:val="20"/>
        </w:rPr>
      </w:pPr>
      <w:r w:rsidRPr="00637AA4">
        <w:rPr>
          <w:rFonts w:eastAsia="MS Mincho"/>
          <w:color w:val="000000"/>
          <w:sz w:val="20"/>
          <w:szCs w:val="20"/>
          <w:u w:val="single"/>
        </w:rPr>
        <w:t>Comunicación “A” 6823</w:t>
      </w:r>
      <w:r w:rsidRPr="003C3E13">
        <w:rPr>
          <w:rFonts w:eastAsia="MS Mincho"/>
          <w:color w:val="000000"/>
          <w:sz w:val="20"/>
          <w:szCs w:val="20"/>
        </w:rPr>
        <w:t>:</w:t>
      </w:r>
      <w:r w:rsidRPr="00637AA4">
        <w:rPr>
          <w:rFonts w:eastAsia="MS Mincho"/>
          <w:color w:val="000000"/>
          <w:sz w:val="20"/>
          <w:szCs w:val="20"/>
        </w:rPr>
        <w:t xml:space="preserve"> dispuso que las entidades financieras y otras emisoras de tarjetas </w:t>
      </w:r>
      <w:r w:rsidR="00025833" w:rsidRPr="00637AA4">
        <w:rPr>
          <w:rFonts w:eastAsia="MS Mincho"/>
          <w:color w:val="000000"/>
          <w:sz w:val="20"/>
          <w:szCs w:val="20"/>
        </w:rPr>
        <w:t xml:space="preserve">de crédito </w:t>
      </w:r>
      <w:r w:rsidRPr="00637AA4">
        <w:rPr>
          <w:rFonts w:eastAsia="MS Mincho"/>
          <w:color w:val="000000"/>
          <w:sz w:val="20"/>
          <w:szCs w:val="20"/>
        </w:rPr>
        <w:t xml:space="preserve">locales deberán contar con la conformidad previa del Banco Central para acceder al </w:t>
      </w:r>
      <w:r w:rsidR="009D6FD6">
        <w:rPr>
          <w:rFonts w:eastAsia="MS Mincho"/>
          <w:color w:val="000000"/>
          <w:sz w:val="20"/>
          <w:szCs w:val="20"/>
        </w:rPr>
        <w:t>MLC</w:t>
      </w:r>
      <w:r w:rsidRPr="00637AA4">
        <w:rPr>
          <w:rFonts w:eastAsia="MS Mincho"/>
          <w:color w:val="000000"/>
          <w:sz w:val="20"/>
          <w:szCs w:val="20"/>
        </w:rPr>
        <w:t xml:space="preserve"> para realizar pagos al exterior por el uso de tarjetas de crédito, débito o prepagas emitidas en el país a partir del </w:t>
      </w:r>
      <w:r w:rsidR="00025833" w:rsidRPr="00637AA4">
        <w:rPr>
          <w:rFonts w:eastAsia="MS Mincho"/>
          <w:color w:val="000000"/>
          <w:sz w:val="20"/>
          <w:szCs w:val="20"/>
        </w:rPr>
        <w:t>1 de noviembre de 2019</w:t>
      </w:r>
      <w:r w:rsidRPr="00637AA4">
        <w:rPr>
          <w:rFonts w:eastAsia="MS Mincho"/>
          <w:color w:val="000000"/>
          <w:sz w:val="20"/>
          <w:szCs w:val="20"/>
        </w:rPr>
        <w:t xml:space="preserve"> inclusive, cuando tales pagos se originen, en forma directa o indirecta a través del uso de</w:t>
      </w:r>
      <w:r w:rsidR="00025833" w:rsidRPr="00637AA4">
        <w:rPr>
          <w:rFonts w:eastAsia="MS Mincho"/>
          <w:color w:val="000000"/>
          <w:sz w:val="20"/>
          <w:szCs w:val="20"/>
        </w:rPr>
        <w:t xml:space="preserve"> redes </w:t>
      </w:r>
      <w:r w:rsidR="00F31F83" w:rsidRPr="00637AA4">
        <w:rPr>
          <w:rFonts w:eastAsia="MS Mincho"/>
          <w:color w:val="000000"/>
          <w:sz w:val="20"/>
          <w:szCs w:val="20"/>
        </w:rPr>
        <w:t xml:space="preserve">internacionales </w:t>
      </w:r>
      <w:r w:rsidR="00025833" w:rsidRPr="00637AA4">
        <w:rPr>
          <w:rFonts w:eastAsia="MS Mincho"/>
          <w:color w:val="000000"/>
          <w:sz w:val="20"/>
          <w:szCs w:val="20"/>
        </w:rPr>
        <w:t>de pago</w:t>
      </w:r>
      <w:r w:rsidR="00A46C69" w:rsidRPr="003C3E13">
        <w:rPr>
          <w:rFonts w:eastAsia="MS Mincho"/>
          <w:color w:val="000000"/>
          <w:sz w:val="20"/>
          <w:szCs w:val="20"/>
        </w:rPr>
        <w:t>, ello respecto de</w:t>
      </w:r>
      <w:r w:rsidR="00025833" w:rsidRPr="00637AA4">
        <w:rPr>
          <w:rFonts w:eastAsia="MS Mincho"/>
          <w:color w:val="000000"/>
          <w:sz w:val="20"/>
          <w:szCs w:val="20"/>
        </w:rPr>
        <w:t xml:space="preserve"> las siguientes operaciones: </w:t>
      </w:r>
      <w:r w:rsidRPr="00637AA4">
        <w:rPr>
          <w:rFonts w:eastAsia="MS Mincho"/>
          <w:color w:val="000000"/>
          <w:sz w:val="20"/>
          <w:szCs w:val="20"/>
        </w:rPr>
        <w:t xml:space="preserve">participación en juegos de azar y apuestas de distinto tipo y/o, la transferencia de fondos a cuentas en </w:t>
      </w:r>
      <w:r w:rsidR="00025833" w:rsidRPr="00637AA4">
        <w:rPr>
          <w:rFonts w:eastAsia="MS Mincho"/>
          <w:color w:val="000000"/>
          <w:sz w:val="20"/>
          <w:szCs w:val="20"/>
        </w:rPr>
        <w:t>p</w:t>
      </w:r>
      <w:r w:rsidRPr="00637AA4">
        <w:rPr>
          <w:rFonts w:eastAsia="MS Mincho"/>
          <w:color w:val="000000"/>
          <w:sz w:val="20"/>
          <w:szCs w:val="20"/>
        </w:rPr>
        <w:t xml:space="preserve">roveedores de </w:t>
      </w:r>
      <w:r w:rsidR="00025833" w:rsidRPr="00637AA4">
        <w:rPr>
          <w:rFonts w:eastAsia="MS Mincho"/>
          <w:color w:val="000000"/>
          <w:sz w:val="20"/>
          <w:szCs w:val="20"/>
        </w:rPr>
        <w:t>s</w:t>
      </w:r>
      <w:r w:rsidRPr="00637AA4">
        <w:rPr>
          <w:rFonts w:eastAsia="MS Mincho"/>
          <w:color w:val="000000"/>
          <w:sz w:val="20"/>
          <w:szCs w:val="20"/>
        </w:rPr>
        <w:t xml:space="preserve">ervicios de </w:t>
      </w:r>
      <w:r w:rsidR="00025833" w:rsidRPr="00637AA4">
        <w:rPr>
          <w:rFonts w:eastAsia="MS Mincho"/>
          <w:color w:val="000000"/>
          <w:sz w:val="20"/>
          <w:szCs w:val="20"/>
        </w:rPr>
        <w:t>p</w:t>
      </w:r>
      <w:r w:rsidRPr="00637AA4">
        <w:rPr>
          <w:rFonts w:eastAsia="MS Mincho"/>
          <w:color w:val="000000"/>
          <w:sz w:val="20"/>
          <w:szCs w:val="20"/>
        </w:rPr>
        <w:t xml:space="preserve">ago y/o, la transferencia de fondos a cuentas de inversión en administradores de inversiones radicados el exterior y/o, la realización de operaciones cambiarias en el exterior y/o la adquisición de criptoactivos en sus distintas modalidades. </w:t>
      </w:r>
    </w:p>
    <w:p w14:paraId="095E516C" w14:textId="77777777" w:rsidR="00B44F05" w:rsidRPr="003C3E13" w:rsidRDefault="00B44F05" w:rsidP="00637AA4">
      <w:pPr>
        <w:pStyle w:val="Prrafodelista"/>
        <w:ind w:left="720"/>
        <w:jc w:val="both"/>
        <w:rPr>
          <w:rFonts w:eastAsia="MS Mincho"/>
          <w:color w:val="000000"/>
          <w:sz w:val="20"/>
          <w:szCs w:val="20"/>
        </w:rPr>
      </w:pPr>
    </w:p>
    <w:p w14:paraId="3B1AACA7" w14:textId="3D20CB27" w:rsidR="00B44F05" w:rsidRPr="003C3E13" w:rsidRDefault="00B44F05" w:rsidP="00E2318E">
      <w:pPr>
        <w:pStyle w:val="Prrafodelista"/>
        <w:numPr>
          <w:ilvl w:val="0"/>
          <w:numId w:val="53"/>
        </w:numPr>
        <w:jc w:val="both"/>
        <w:rPr>
          <w:rFonts w:eastAsia="MS Mincho"/>
          <w:color w:val="000000"/>
          <w:sz w:val="20"/>
          <w:szCs w:val="20"/>
        </w:rPr>
      </w:pPr>
      <w:r w:rsidRPr="00637AA4">
        <w:rPr>
          <w:rFonts w:eastAsia="MS Mincho"/>
          <w:color w:val="000000"/>
          <w:sz w:val="20"/>
          <w:szCs w:val="20"/>
          <w:u w:val="single"/>
        </w:rPr>
        <w:t>Comunicación “A” 682</w:t>
      </w:r>
      <w:r w:rsidR="004F0DF9" w:rsidRPr="00637AA4">
        <w:rPr>
          <w:rFonts w:eastAsia="MS Mincho"/>
          <w:color w:val="000000"/>
          <w:sz w:val="20"/>
          <w:szCs w:val="20"/>
          <w:u w:val="single"/>
        </w:rPr>
        <w:t>5</w:t>
      </w:r>
      <w:r w:rsidRPr="003C3E13">
        <w:rPr>
          <w:rFonts w:eastAsia="MS Mincho"/>
          <w:color w:val="000000"/>
          <w:sz w:val="20"/>
          <w:szCs w:val="20"/>
        </w:rPr>
        <w:t xml:space="preserve">: </w:t>
      </w:r>
      <w:r w:rsidR="00BA1BB7">
        <w:rPr>
          <w:rFonts w:eastAsia="MS Mincho"/>
          <w:color w:val="000000"/>
          <w:sz w:val="20"/>
          <w:szCs w:val="20"/>
        </w:rPr>
        <w:t xml:space="preserve">extiende la posibilidad para acceder al MLC </w:t>
      </w:r>
      <w:r w:rsidRPr="003C3E13">
        <w:rPr>
          <w:rFonts w:eastAsia="MS Mincho"/>
          <w:color w:val="000000"/>
          <w:sz w:val="20"/>
          <w:szCs w:val="20"/>
        </w:rPr>
        <w:t>para fondear cuentas de reserva</w:t>
      </w:r>
      <w:r w:rsidR="00F31F83">
        <w:rPr>
          <w:rFonts w:eastAsia="MS Mincho"/>
          <w:color w:val="000000"/>
          <w:sz w:val="20"/>
          <w:szCs w:val="20"/>
        </w:rPr>
        <w:t>, en el marco de financiamientos</w:t>
      </w:r>
      <w:r w:rsidR="00BA1BB7">
        <w:rPr>
          <w:rFonts w:eastAsia="MS Mincho"/>
          <w:color w:val="000000"/>
          <w:sz w:val="20"/>
          <w:szCs w:val="20"/>
        </w:rPr>
        <w:t xml:space="preserve"> con el exterior</w:t>
      </w:r>
      <w:r w:rsidRPr="003C3E13">
        <w:rPr>
          <w:rFonts w:eastAsia="MS Mincho"/>
          <w:color w:val="000000"/>
          <w:sz w:val="20"/>
          <w:szCs w:val="20"/>
        </w:rPr>
        <w:t xml:space="preserve"> </w:t>
      </w:r>
      <w:r w:rsidR="00BA1BB7">
        <w:rPr>
          <w:rFonts w:eastAsia="MS Mincho"/>
          <w:color w:val="000000"/>
          <w:sz w:val="20"/>
          <w:szCs w:val="20"/>
        </w:rPr>
        <w:t xml:space="preserve">que fuera </w:t>
      </w:r>
      <w:r w:rsidRPr="003C3E13">
        <w:rPr>
          <w:rFonts w:eastAsia="MS Mincho"/>
          <w:color w:val="000000"/>
          <w:sz w:val="20"/>
          <w:szCs w:val="20"/>
        </w:rPr>
        <w:t>establecida mediante Comunicación “A” 6796</w:t>
      </w:r>
      <w:r w:rsidR="00BA1BB7">
        <w:rPr>
          <w:rFonts w:eastAsia="MS Mincho"/>
          <w:color w:val="000000"/>
          <w:sz w:val="20"/>
          <w:szCs w:val="20"/>
        </w:rPr>
        <w:t>,</w:t>
      </w:r>
      <w:r w:rsidRPr="003C3E13">
        <w:rPr>
          <w:rFonts w:eastAsia="MS Mincho"/>
          <w:color w:val="000000"/>
          <w:sz w:val="20"/>
          <w:szCs w:val="20"/>
        </w:rPr>
        <w:t xml:space="preserve"> </w:t>
      </w:r>
      <w:r w:rsidR="00BA1BB7">
        <w:rPr>
          <w:rFonts w:eastAsia="MS Mincho"/>
          <w:color w:val="000000"/>
          <w:sz w:val="20"/>
          <w:szCs w:val="20"/>
        </w:rPr>
        <w:t xml:space="preserve">también, en el caso de </w:t>
      </w:r>
      <w:r w:rsidRPr="003C3E13">
        <w:rPr>
          <w:rFonts w:eastAsia="MS Mincho"/>
          <w:color w:val="000000"/>
          <w:sz w:val="20"/>
          <w:szCs w:val="20"/>
        </w:rPr>
        <w:t xml:space="preserve">financiaciones de importaciones </w:t>
      </w:r>
      <w:r w:rsidR="00DD54E7" w:rsidRPr="003C3E13">
        <w:rPr>
          <w:rFonts w:eastAsia="MS Mincho"/>
          <w:color w:val="000000"/>
          <w:sz w:val="20"/>
          <w:szCs w:val="20"/>
        </w:rPr>
        <w:t>de bienes y servicios otorgadas por agencias oficiales de crédito</w:t>
      </w:r>
      <w:r w:rsidRPr="003C3E13">
        <w:rPr>
          <w:rFonts w:eastAsia="MS Mincho"/>
          <w:color w:val="000000"/>
          <w:sz w:val="20"/>
          <w:szCs w:val="20"/>
        </w:rPr>
        <w:t xml:space="preserve">. Asimismo, </w:t>
      </w:r>
      <w:r w:rsidR="00BA1BB7">
        <w:rPr>
          <w:rFonts w:eastAsia="MS Mincho"/>
          <w:color w:val="000000"/>
          <w:sz w:val="20"/>
          <w:szCs w:val="20"/>
        </w:rPr>
        <w:t>establece</w:t>
      </w:r>
      <w:r w:rsidRPr="003C3E13">
        <w:rPr>
          <w:rFonts w:eastAsia="MS Mincho"/>
          <w:color w:val="000000"/>
          <w:sz w:val="20"/>
          <w:szCs w:val="20"/>
        </w:rPr>
        <w:t xml:space="preserve"> ciertas adecuaciones a las normas de pago de importaciones establecidas mediante la Comunicación “A” 6818. Entre ellas, se destaca un mayor plazo para demostrar la nacionalización de mercaderías en caso de pago anticipado de bienes de capital (se extiende a 270 días).</w:t>
      </w:r>
    </w:p>
    <w:p w14:paraId="06C8BDC4" w14:textId="6F041648" w:rsidR="00775E7C" w:rsidRPr="00EA7870" w:rsidRDefault="00775E7C" w:rsidP="006633FE">
      <w:pPr>
        <w:jc w:val="both"/>
        <w:rPr>
          <w:b/>
          <w:sz w:val="20"/>
          <w:szCs w:val="20"/>
          <w:lang w:val="es-AR"/>
        </w:rPr>
      </w:pPr>
    </w:p>
    <w:p w14:paraId="39410554" w14:textId="277CD9AE" w:rsidR="00EB1BF4" w:rsidRPr="00EA7870" w:rsidRDefault="00EB1BF4" w:rsidP="00EB1BF4">
      <w:pPr>
        <w:jc w:val="both"/>
        <w:rPr>
          <w:b/>
          <w:bCs/>
          <w:i/>
          <w:iCs/>
          <w:sz w:val="20"/>
          <w:szCs w:val="20"/>
          <w:lang w:val="es-AR"/>
        </w:rPr>
      </w:pPr>
      <w:r w:rsidRPr="00EA7870">
        <w:rPr>
          <w:b/>
          <w:sz w:val="20"/>
          <w:szCs w:val="20"/>
          <w:lang w:val="es-AR"/>
        </w:rPr>
        <w:t>Actualización de la sección “</w:t>
      </w:r>
      <w:r w:rsidRPr="00EA7870">
        <w:rPr>
          <w:b/>
          <w:i/>
          <w:sz w:val="20"/>
          <w:szCs w:val="20"/>
          <w:lang w:val="es-AR"/>
        </w:rPr>
        <w:t>Información sobre la Emisora</w:t>
      </w:r>
      <w:r w:rsidRPr="00EA7870">
        <w:rPr>
          <w:i/>
          <w:color w:val="000000"/>
          <w:sz w:val="20"/>
          <w:szCs w:val="20"/>
          <w:lang w:val="es-AR"/>
        </w:rPr>
        <w:t>—</w:t>
      </w:r>
      <w:r w:rsidRPr="00EA7870">
        <w:rPr>
          <w:b/>
          <w:bCs/>
          <w:i/>
          <w:color w:val="000000" w:themeColor="text1"/>
          <w:sz w:val="20"/>
          <w:szCs w:val="20"/>
        </w:rPr>
        <w:t>Descripción del sector en que se desarrolla su actividad</w:t>
      </w:r>
      <w:r w:rsidRPr="00EA7870">
        <w:rPr>
          <w:i/>
          <w:color w:val="000000"/>
          <w:sz w:val="20"/>
          <w:szCs w:val="20"/>
          <w:lang w:val="es-AR"/>
        </w:rPr>
        <w:t>—</w:t>
      </w:r>
      <w:r w:rsidRPr="00EA7870">
        <w:rPr>
          <w:b/>
          <w:bCs/>
          <w:i/>
          <w:iCs/>
          <w:sz w:val="20"/>
          <w:szCs w:val="20"/>
          <w:lang w:val="es-AR"/>
        </w:rPr>
        <w:t xml:space="preserve">Marco Regulatorio </w:t>
      </w:r>
      <w:r w:rsidRPr="00EA7870">
        <w:rPr>
          <w:b/>
          <w:i/>
          <w:iCs/>
          <w:sz w:val="20"/>
          <w:szCs w:val="20"/>
          <w:lang w:val="es-AR"/>
        </w:rPr>
        <w:t>de la industria del petróleo y gas en la Argentina</w:t>
      </w:r>
      <w:r w:rsidRPr="00EA7870">
        <w:rPr>
          <w:i/>
          <w:color w:val="000000"/>
          <w:sz w:val="20"/>
          <w:szCs w:val="20"/>
          <w:lang w:val="es-AR"/>
        </w:rPr>
        <w:t>—</w:t>
      </w:r>
      <w:r w:rsidRPr="00EA7870">
        <w:rPr>
          <w:b/>
          <w:i/>
          <w:sz w:val="20"/>
          <w:szCs w:val="20"/>
          <w:lang w:val="es-AR"/>
        </w:rPr>
        <w:t>Normas de comercialización de hidrocarburos</w:t>
      </w:r>
      <w:r w:rsidRPr="00EA7870">
        <w:rPr>
          <w:i/>
          <w:color w:val="000000"/>
          <w:sz w:val="20"/>
          <w:szCs w:val="20"/>
          <w:lang w:val="es-AR"/>
        </w:rPr>
        <w:t>—</w:t>
      </w:r>
      <w:r w:rsidRPr="00EA7870">
        <w:rPr>
          <w:b/>
          <w:i/>
          <w:sz w:val="20"/>
          <w:szCs w:val="20"/>
          <w:lang w:val="es-AR"/>
        </w:rPr>
        <w:t>Normas de comercialización de petróleo crudo y subproductos</w:t>
      </w:r>
      <w:r w:rsidRPr="00EA7870">
        <w:rPr>
          <w:b/>
          <w:sz w:val="20"/>
          <w:szCs w:val="20"/>
          <w:lang w:val="es-AR"/>
        </w:rPr>
        <w:t>” del Prospecto</w:t>
      </w:r>
    </w:p>
    <w:p w14:paraId="3AC7E11B" w14:textId="2113A319" w:rsidR="00775E7C" w:rsidRPr="00EA7870" w:rsidRDefault="00775E7C" w:rsidP="006633FE">
      <w:pPr>
        <w:jc w:val="both"/>
        <w:rPr>
          <w:b/>
          <w:sz w:val="20"/>
          <w:szCs w:val="20"/>
          <w:lang w:val="es-AR"/>
        </w:rPr>
      </w:pPr>
    </w:p>
    <w:p w14:paraId="4982EBD1" w14:textId="5293CA4B" w:rsidR="00EB1BF4" w:rsidRPr="00EA7870" w:rsidRDefault="00775E7C" w:rsidP="00775E7C">
      <w:pPr>
        <w:jc w:val="both"/>
        <w:rPr>
          <w:color w:val="000000"/>
          <w:sz w:val="20"/>
          <w:szCs w:val="20"/>
          <w:lang w:val="es-AR"/>
        </w:rPr>
      </w:pPr>
      <w:r w:rsidRPr="00EA7870">
        <w:rPr>
          <w:color w:val="000000"/>
          <w:sz w:val="20"/>
          <w:szCs w:val="20"/>
          <w:lang w:val="es-AR"/>
        </w:rPr>
        <w:t>Dada la abrupta variación del tipo de cambio ocurrida en agosto y el contexto económico y social imperante, el Poder Ejecutivo Nacional dictó el Decreto de Necesidad y Urgencia N° 566/2019 (según el mismo fuera modificado por el Decreto de Necesidad y Urgencia N° 601/2019) por el cual se congelaron los precios del petróleo. En ese sentido, se estableció que, hasta el 13 de noviembre de 2019, las entregas de petróleo crudo efectuadas en el mercado local deben ser facturadas y pagadas al precio convenido entre las empresas productoras y refinadoras al día 9 de agosto de 2019, aplicando un tipo de cambio de referencia de cuarenta y seis pesos con sesenta y nueve centavos por dólar estadounidense ($46,69/US</w:t>
      </w:r>
      <w:r w:rsidR="00EB1BF4" w:rsidRPr="00EA7870">
        <w:rPr>
          <w:color w:val="000000"/>
          <w:sz w:val="20"/>
          <w:szCs w:val="20"/>
          <w:lang w:val="es-AR"/>
        </w:rPr>
        <w:t>$</w:t>
      </w:r>
      <w:r w:rsidRPr="00EA7870">
        <w:rPr>
          <w:color w:val="000000"/>
          <w:sz w:val="20"/>
          <w:szCs w:val="20"/>
          <w:lang w:val="es-AR"/>
        </w:rPr>
        <w:t xml:space="preserve">) y un precio de referencia Brent de cincuenta y nueve dólares por barril (US$59/bbl). A su vez, se dispuso un precio máximo, hasta el 13 de noviembre de 2019, para las naftas y gasoil en todas sus calidades, comercializados por las empresas refinadoras y/o los expendedores mayoristas y/o minoristas, que tengan como destino final el abastecimiento de combustible por pico de surtidor en bocas de expendio (estaciones de servicio). El precio máximo es el precio que estaba vigente el día 9 de agosto de 2019. </w:t>
      </w:r>
    </w:p>
    <w:p w14:paraId="3B26A6CB" w14:textId="77777777" w:rsidR="00EB1BF4" w:rsidRPr="00EA7870" w:rsidRDefault="00EB1BF4" w:rsidP="00775E7C">
      <w:pPr>
        <w:jc w:val="both"/>
        <w:rPr>
          <w:color w:val="000000"/>
          <w:sz w:val="20"/>
          <w:szCs w:val="20"/>
          <w:lang w:val="es-AR"/>
        </w:rPr>
      </w:pPr>
    </w:p>
    <w:p w14:paraId="374DD234" w14:textId="77777777" w:rsidR="00EB1BF4" w:rsidRPr="00EA7870" w:rsidRDefault="00775E7C" w:rsidP="00775E7C">
      <w:pPr>
        <w:jc w:val="both"/>
        <w:rPr>
          <w:color w:val="000000"/>
          <w:sz w:val="20"/>
          <w:szCs w:val="20"/>
          <w:lang w:val="es-AR"/>
        </w:rPr>
      </w:pPr>
      <w:r w:rsidRPr="00EA7870">
        <w:rPr>
          <w:color w:val="000000"/>
          <w:sz w:val="20"/>
          <w:szCs w:val="20"/>
          <w:lang w:val="es-AR"/>
        </w:rPr>
        <w:t>Mediante la Resolución Nº 557/2019, la S</w:t>
      </w:r>
      <w:r w:rsidR="00EB1BF4" w:rsidRPr="00EA7870">
        <w:rPr>
          <w:color w:val="000000"/>
          <w:sz w:val="20"/>
          <w:szCs w:val="20"/>
          <w:lang w:val="es-AR"/>
        </w:rPr>
        <w:t xml:space="preserve">ecretaría de Gobierno de </w:t>
      </w:r>
      <w:r w:rsidRPr="00EA7870">
        <w:rPr>
          <w:color w:val="000000"/>
          <w:sz w:val="20"/>
          <w:szCs w:val="20"/>
          <w:lang w:val="es-AR"/>
        </w:rPr>
        <w:t>E</w:t>
      </w:r>
      <w:r w:rsidR="00EB1BF4" w:rsidRPr="00EA7870">
        <w:rPr>
          <w:color w:val="000000"/>
          <w:sz w:val="20"/>
          <w:szCs w:val="20"/>
          <w:lang w:val="es-AR"/>
        </w:rPr>
        <w:t>nergía (la “</w:t>
      </w:r>
      <w:r w:rsidR="00EB1BF4" w:rsidRPr="00EA7870">
        <w:rPr>
          <w:b/>
          <w:bCs/>
          <w:color w:val="000000"/>
          <w:sz w:val="20"/>
          <w:szCs w:val="20"/>
          <w:lang w:val="es-AR"/>
        </w:rPr>
        <w:t>SE</w:t>
      </w:r>
      <w:r w:rsidR="00EB1BF4" w:rsidRPr="00EA7870">
        <w:rPr>
          <w:color w:val="000000"/>
          <w:sz w:val="20"/>
          <w:szCs w:val="20"/>
          <w:lang w:val="es-AR"/>
        </w:rPr>
        <w:t>”)</w:t>
      </w:r>
      <w:r w:rsidRPr="00EA7870">
        <w:rPr>
          <w:color w:val="000000"/>
          <w:sz w:val="20"/>
          <w:szCs w:val="20"/>
          <w:lang w:val="es-AR"/>
        </w:rPr>
        <w:t>: (i) autorizó el aumento de los precios en hasta un 4% respecto de los precios vigentes al 9 de agosto de 2019; y (ii) aumentó el tipo de cambio de referencia para las entregas de petróleo crudo efectuadas en el mercado local a Ps.49,30 por cada Dólar Estadounidense y mantuvo el precio de referencia Brent en US$59 por barril.</w:t>
      </w:r>
      <w:r w:rsidR="00EB1BF4" w:rsidRPr="00EA7870">
        <w:rPr>
          <w:color w:val="000000"/>
          <w:sz w:val="20"/>
          <w:szCs w:val="20"/>
          <w:lang w:val="es-AR"/>
        </w:rPr>
        <w:t xml:space="preserve"> </w:t>
      </w:r>
    </w:p>
    <w:p w14:paraId="0ED11CDF" w14:textId="77777777" w:rsidR="00EB1BF4" w:rsidRPr="00EA7870" w:rsidRDefault="00EB1BF4" w:rsidP="00775E7C">
      <w:pPr>
        <w:jc w:val="both"/>
        <w:rPr>
          <w:color w:val="000000"/>
          <w:sz w:val="20"/>
          <w:szCs w:val="20"/>
          <w:lang w:val="es-AR"/>
        </w:rPr>
      </w:pPr>
    </w:p>
    <w:p w14:paraId="11C5305A" w14:textId="0AC4744B" w:rsidR="00775E7C" w:rsidRPr="00EA7870" w:rsidRDefault="00EB1BF4" w:rsidP="00775E7C">
      <w:pPr>
        <w:jc w:val="both"/>
        <w:rPr>
          <w:color w:val="000000"/>
          <w:sz w:val="20"/>
          <w:szCs w:val="20"/>
          <w:lang w:val="es-ES"/>
        </w:rPr>
      </w:pPr>
      <w:r w:rsidRPr="00EA7870">
        <w:rPr>
          <w:color w:val="000000"/>
          <w:sz w:val="20"/>
          <w:szCs w:val="20"/>
          <w:lang w:val="es-AR"/>
        </w:rPr>
        <w:t>Adicionalmente, a través de la Resolución N° 688/2019, la SE: (i) autorizó un incremento del 5% respecto de los precios vigentes al 20 de septiembre de 2019; y (ii) aumentó el tipo de cambio de referencia para las entregas de petróleo crudo efectuadas en el mercado local a Ps.51,77 por cada Dólar Estadounidense y mantuvo el precio de referencia Brent en US$59 por barril.</w:t>
      </w:r>
    </w:p>
    <w:p w14:paraId="51B46CF7" w14:textId="77777777" w:rsidR="00775E7C" w:rsidRPr="00EA7870" w:rsidRDefault="00775E7C" w:rsidP="006633FE">
      <w:pPr>
        <w:jc w:val="both"/>
        <w:rPr>
          <w:b/>
          <w:sz w:val="20"/>
          <w:szCs w:val="20"/>
          <w:lang w:val="es-AR"/>
        </w:rPr>
      </w:pPr>
    </w:p>
    <w:p w14:paraId="50C1CD93" w14:textId="0E204376" w:rsidR="006633FE" w:rsidRPr="00EA7870" w:rsidRDefault="006633FE" w:rsidP="006633FE">
      <w:pPr>
        <w:jc w:val="both"/>
        <w:rPr>
          <w:b/>
          <w:bCs/>
          <w:i/>
          <w:iCs/>
          <w:sz w:val="20"/>
          <w:szCs w:val="20"/>
          <w:lang w:val="es-AR"/>
        </w:rPr>
      </w:pPr>
      <w:r w:rsidRPr="00EA7870">
        <w:rPr>
          <w:b/>
          <w:sz w:val="20"/>
          <w:szCs w:val="20"/>
          <w:lang w:val="es-AR"/>
        </w:rPr>
        <w:t>Actualización de la sección “</w:t>
      </w:r>
      <w:r w:rsidRPr="00EA7870">
        <w:rPr>
          <w:b/>
          <w:i/>
          <w:sz w:val="20"/>
          <w:szCs w:val="20"/>
          <w:lang w:val="es-AR"/>
        </w:rPr>
        <w:t>Información sobre la Emisora</w:t>
      </w:r>
      <w:r w:rsidRPr="00EA7870">
        <w:rPr>
          <w:i/>
          <w:color w:val="000000"/>
          <w:sz w:val="20"/>
          <w:szCs w:val="20"/>
          <w:lang w:val="es-AR"/>
        </w:rPr>
        <w:t>—</w:t>
      </w:r>
      <w:r w:rsidRPr="00EA7870">
        <w:rPr>
          <w:b/>
          <w:bCs/>
          <w:i/>
          <w:color w:val="000000" w:themeColor="text1"/>
          <w:sz w:val="20"/>
          <w:szCs w:val="20"/>
        </w:rPr>
        <w:t>Descripción del sector en que se desarrolla su actividad</w:t>
      </w:r>
      <w:r w:rsidRPr="00EA7870">
        <w:rPr>
          <w:i/>
          <w:color w:val="000000"/>
          <w:sz w:val="20"/>
          <w:szCs w:val="20"/>
          <w:lang w:val="es-AR"/>
        </w:rPr>
        <w:t>—</w:t>
      </w:r>
      <w:r w:rsidRPr="00EA7870">
        <w:rPr>
          <w:b/>
          <w:bCs/>
          <w:i/>
          <w:iCs/>
          <w:sz w:val="20"/>
          <w:szCs w:val="20"/>
          <w:lang w:val="es-AR"/>
        </w:rPr>
        <w:t xml:space="preserve">Marco Regulatorio </w:t>
      </w:r>
      <w:r w:rsidRPr="00EA7870">
        <w:rPr>
          <w:b/>
          <w:i/>
          <w:iCs/>
          <w:sz w:val="20"/>
          <w:szCs w:val="20"/>
          <w:lang w:val="es-AR"/>
        </w:rPr>
        <w:t>de la industria del petróleo y gas en la Argentina</w:t>
      </w:r>
      <w:r w:rsidRPr="00EA7870">
        <w:rPr>
          <w:i/>
          <w:color w:val="000000"/>
          <w:sz w:val="20"/>
          <w:szCs w:val="20"/>
          <w:lang w:val="es-AR"/>
        </w:rPr>
        <w:t>—</w:t>
      </w:r>
      <w:r w:rsidRPr="00EA7870">
        <w:rPr>
          <w:b/>
          <w:i/>
          <w:sz w:val="20"/>
          <w:szCs w:val="20"/>
          <w:lang w:val="es-AR"/>
        </w:rPr>
        <w:t>Impuestos</w:t>
      </w:r>
      <w:r w:rsidRPr="00EA7870">
        <w:rPr>
          <w:b/>
          <w:sz w:val="20"/>
          <w:szCs w:val="20"/>
          <w:lang w:val="es-AR"/>
        </w:rPr>
        <w:t>” del Prospecto</w:t>
      </w:r>
    </w:p>
    <w:p w14:paraId="35F86EEC" w14:textId="77777777" w:rsidR="006633FE" w:rsidRPr="00EA7870" w:rsidRDefault="006633FE" w:rsidP="006633FE">
      <w:pPr>
        <w:keepNext/>
        <w:rPr>
          <w:b/>
          <w:sz w:val="20"/>
          <w:szCs w:val="20"/>
          <w:lang w:val="es-AR"/>
        </w:rPr>
      </w:pPr>
    </w:p>
    <w:p w14:paraId="16C42A81" w14:textId="77777777" w:rsidR="006633FE" w:rsidRPr="00EA7870" w:rsidRDefault="006633FE" w:rsidP="006633FE">
      <w:pPr>
        <w:keepNext/>
        <w:rPr>
          <w:rFonts w:eastAsia="Calibri"/>
          <w:i/>
          <w:sz w:val="20"/>
          <w:szCs w:val="20"/>
          <w:u w:val="single"/>
          <w:lang w:val="es-AR" w:eastAsia="en-US" w:bidi="en-US"/>
        </w:rPr>
      </w:pPr>
      <w:r w:rsidRPr="00EA7870">
        <w:rPr>
          <w:rFonts w:eastAsia="Calibri"/>
          <w:i/>
          <w:sz w:val="20"/>
          <w:szCs w:val="20"/>
          <w:u w:val="single"/>
          <w:lang w:val="es-AR" w:eastAsia="en-US" w:bidi="en-US"/>
        </w:rPr>
        <w:t xml:space="preserve">Impuesto sobre los combustibles líquidos y al dióxido de carbono </w:t>
      </w:r>
    </w:p>
    <w:p w14:paraId="7E9F5760" w14:textId="77777777" w:rsidR="006633FE" w:rsidRPr="00EA7870" w:rsidRDefault="006633FE" w:rsidP="006633FE">
      <w:pPr>
        <w:keepNext/>
        <w:rPr>
          <w:rFonts w:eastAsia="Calibri"/>
          <w:i/>
          <w:sz w:val="20"/>
          <w:szCs w:val="20"/>
          <w:lang w:val="es-AR" w:eastAsia="en-US" w:bidi="en-US"/>
        </w:rPr>
      </w:pPr>
    </w:p>
    <w:p w14:paraId="41E7E6C6" w14:textId="77777777" w:rsidR="006633FE" w:rsidRPr="00EA7870" w:rsidRDefault="006633FE" w:rsidP="006633FE">
      <w:pPr>
        <w:jc w:val="both"/>
        <w:rPr>
          <w:rFonts w:eastAsia="SimSun"/>
          <w:sz w:val="20"/>
          <w:szCs w:val="20"/>
          <w:lang w:val="es-AR" w:eastAsia="en-US" w:bidi="en-US"/>
        </w:rPr>
      </w:pPr>
      <w:r w:rsidRPr="00EA7870">
        <w:rPr>
          <w:rFonts w:eastAsia="SimSun"/>
          <w:sz w:val="20"/>
          <w:szCs w:val="20"/>
          <w:lang w:val="es-AR" w:eastAsia="en-US" w:bidi="en-US"/>
        </w:rPr>
        <w:t xml:space="preserve">La transferencia de combustibles dentro de Argentina se encuentra alcanzada por el impuesto sobre los combustibles líquidos y al dióxido de carbono. Estos impuestos gravan la importación (en caso de que sean importados) y la primera venta de estos combustibles por el importador o el fabricante local, según corresponda. Estos tributos se imponen sobre un monto fijo (en pesos argentinos) por litro, dependiendo del tipo de combustible, de acuerdo con la siguiente tabla: </w:t>
      </w:r>
    </w:p>
    <w:p w14:paraId="788D1F28" w14:textId="77777777" w:rsidR="006633FE" w:rsidRPr="00EA7870" w:rsidRDefault="006633FE" w:rsidP="006633FE">
      <w:pPr>
        <w:jc w:val="both"/>
        <w:rPr>
          <w:rFonts w:eastAsia="SimSun"/>
          <w:sz w:val="20"/>
          <w:szCs w:val="20"/>
          <w:lang w:val="es-AR" w:eastAsia="en-US" w:bidi="en-US"/>
        </w:rPr>
      </w:pPr>
    </w:p>
    <w:tbl>
      <w:tblPr>
        <w:tblStyle w:val="Tablaconcuadrcula2"/>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13"/>
        <w:gridCol w:w="2646"/>
        <w:gridCol w:w="2645"/>
      </w:tblGrid>
      <w:tr w:rsidR="006633FE" w:rsidRPr="00EA7870" w14:paraId="6DA26965" w14:textId="77777777" w:rsidTr="008C3631">
        <w:trPr>
          <w:cantSplit/>
          <w:tblHeader/>
          <w:jc w:val="center"/>
        </w:trPr>
        <w:tc>
          <w:tcPr>
            <w:tcW w:w="1889" w:type="pct"/>
            <w:vMerge w:val="restart"/>
            <w:vAlign w:val="center"/>
            <w:hideMark/>
          </w:tcPr>
          <w:p w14:paraId="58F12A94" w14:textId="77777777" w:rsidR="006633FE" w:rsidRPr="00EA7870" w:rsidRDefault="006633FE" w:rsidP="00CE59FD">
            <w:pPr>
              <w:snapToGrid w:val="0"/>
              <w:jc w:val="center"/>
              <w:rPr>
                <w:rFonts w:ascii="Times" w:eastAsia="SimSun" w:hAnsi="Times"/>
                <w:b/>
                <w:sz w:val="20"/>
                <w:szCs w:val="20"/>
                <w:lang w:val="es-AR" w:eastAsia="en-US" w:bidi="en-US"/>
              </w:rPr>
            </w:pPr>
            <w:r w:rsidRPr="00EA7870">
              <w:rPr>
                <w:rFonts w:ascii="Times" w:eastAsia="SimSun" w:hAnsi="Times"/>
                <w:b/>
                <w:sz w:val="20"/>
                <w:szCs w:val="20"/>
                <w:lang w:val="es-AR" w:eastAsia="en-US" w:bidi="en-US"/>
              </w:rPr>
              <w:t>Concepto</w:t>
            </w:r>
          </w:p>
        </w:tc>
        <w:tc>
          <w:tcPr>
            <w:tcW w:w="1556" w:type="pct"/>
            <w:vAlign w:val="center"/>
            <w:hideMark/>
          </w:tcPr>
          <w:p w14:paraId="36FB6315" w14:textId="77777777" w:rsidR="006633FE" w:rsidRPr="00EA7870" w:rsidRDefault="006633FE" w:rsidP="00CE59FD">
            <w:pPr>
              <w:snapToGrid w:val="0"/>
              <w:jc w:val="center"/>
              <w:rPr>
                <w:rFonts w:ascii="Times" w:eastAsia="SimSun" w:hAnsi="Times"/>
                <w:b/>
                <w:sz w:val="20"/>
                <w:szCs w:val="20"/>
                <w:lang w:val="es-AR" w:eastAsia="en-US" w:bidi="en-US"/>
              </w:rPr>
            </w:pPr>
            <w:r w:rsidRPr="00EA7870">
              <w:rPr>
                <w:rFonts w:ascii="Times" w:eastAsia="SimSun" w:hAnsi="Times"/>
                <w:b/>
                <w:sz w:val="20"/>
                <w:szCs w:val="20"/>
                <w:lang w:val="es-AR" w:eastAsia="en-US" w:bidi="en-US"/>
              </w:rPr>
              <w:t>Impuesto sobre los combustibles líquidos</w:t>
            </w:r>
          </w:p>
        </w:tc>
        <w:tc>
          <w:tcPr>
            <w:tcW w:w="1555" w:type="pct"/>
            <w:vAlign w:val="center"/>
            <w:hideMark/>
          </w:tcPr>
          <w:p w14:paraId="6514E502" w14:textId="77777777" w:rsidR="006633FE" w:rsidRPr="00EA7870" w:rsidRDefault="006633FE" w:rsidP="00CE59FD">
            <w:pPr>
              <w:snapToGrid w:val="0"/>
              <w:jc w:val="center"/>
              <w:rPr>
                <w:rFonts w:ascii="Times" w:eastAsia="SimSun" w:hAnsi="Times"/>
                <w:b/>
                <w:sz w:val="20"/>
                <w:szCs w:val="20"/>
                <w:lang w:val="es-AR" w:eastAsia="en-US" w:bidi="en-US"/>
              </w:rPr>
            </w:pPr>
            <w:r w:rsidRPr="00EA7870">
              <w:rPr>
                <w:rFonts w:ascii="Times" w:eastAsia="SimSun" w:hAnsi="Times"/>
                <w:b/>
                <w:sz w:val="20"/>
                <w:szCs w:val="20"/>
                <w:lang w:val="es-AR" w:eastAsia="en-US" w:bidi="en-US"/>
              </w:rPr>
              <w:t>Impuesto al dióxido de carbono</w:t>
            </w:r>
          </w:p>
        </w:tc>
      </w:tr>
      <w:tr w:rsidR="006633FE" w:rsidRPr="00EA7870" w14:paraId="6F415D0C" w14:textId="77777777" w:rsidTr="008C3631">
        <w:trPr>
          <w:cantSplit/>
          <w:tblHeader/>
          <w:jc w:val="center"/>
        </w:trPr>
        <w:tc>
          <w:tcPr>
            <w:tcW w:w="0" w:type="auto"/>
            <w:vMerge/>
            <w:vAlign w:val="center"/>
            <w:hideMark/>
          </w:tcPr>
          <w:p w14:paraId="0AB24892" w14:textId="77777777" w:rsidR="006633FE" w:rsidRPr="00EA7870" w:rsidRDefault="006633FE" w:rsidP="00CE59FD">
            <w:pPr>
              <w:rPr>
                <w:rFonts w:ascii="Times" w:eastAsia="SimSun" w:hAnsi="Times"/>
                <w:b/>
                <w:sz w:val="20"/>
                <w:szCs w:val="20"/>
                <w:lang w:val="es-AR" w:eastAsia="en-US" w:bidi="en-US"/>
              </w:rPr>
            </w:pPr>
          </w:p>
        </w:tc>
        <w:tc>
          <w:tcPr>
            <w:tcW w:w="1556" w:type="pct"/>
            <w:vAlign w:val="center"/>
            <w:hideMark/>
          </w:tcPr>
          <w:p w14:paraId="7496CCB2" w14:textId="77777777" w:rsidR="006633FE" w:rsidRPr="00EA7870" w:rsidRDefault="006633FE" w:rsidP="00CE59FD">
            <w:pPr>
              <w:snapToGrid w:val="0"/>
              <w:jc w:val="center"/>
              <w:rPr>
                <w:rFonts w:ascii="Times" w:eastAsia="SimSun" w:hAnsi="Times"/>
                <w:b/>
                <w:sz w:val="20"/>
                <w:szCs w:val="20"/>
                <w:lang w:val="es-AR" w:eastAsia="en-US" w:bidi="en-US"/>
              </w:rPr>
            </w:pPr>
            <w:r w:rsidRPr="00EA7870">
              <w:rPr>
                <w:rFonts w:ascii="Times" w:eastAsia="SimSun" w:hAnsi="Times"/>
                <w:b/>
                <w:sz w:val="20"/>
                <w:szCs w:val="20"/>
                <w:lang w:val="es-AR" w:eastAsia="en-US" w:bidi="en-US"/>
              </w:rPr>
              <w:t>Impuesto (en Ps. por litro)</w:t>
            </w:r>
          </w:p>
        </w:tc>
        <w:tc>
          <w:tcPr>
            <w:tcW w:w="1555" w:type="pct"/>
            <w:vAlign w:val="center"/>
            <w:hideMark/>
          </w:tcPr>
          <w:p w14:paraId="5837C9B0" w14:textId="77777777" w:rsidR="006633FE" w:rsidRPr="00EA7870" w:rsidRDefault="006633FE" w:rsidP="00CE59FD">
            <w:pPr>
              <w:snapToGrid w:val="0"/>
              <w:jc w:val="center"/>
              <w:rPr>
                <w:rFonts w:ascii="Times" w:eastAsia="SimSun" w:hAnsi="Times"/>
                <w:b/>
                <w:sz w:val="20"/>
                <w:szCs w:val="20"/>
                <w:lang w:val="es-AR" w:eastAsia="en-US" w:bidi="en-US"/>
              </w:rPr>
            </w:pPr>
            <w:r w:rsidRPr="00EA7870">
              <w:rPr>
                <w:rFonts w:ascii="Times" w:eastAsia="SimSun" w:hAnsi="Times"/>
                <w:b/>
                <w:sz w:val="20"/>
                <w:szCs w:val="20"/>
                <w:lang w:val="es-AR" w:eastAsia="en-US" w:bidi="en-US"/>
              </w:rPr>
              <w:t>Impuesto (en Ps. por litro)</w:t>
            </w:r>
          </w:p>
        </w:tc>
      </w:tr>
      <w:tr w:rsidR="006633FE" w:rsidRPr="00EA7870" w14:paraId="6B9B5504" w14:textId="77777777" w:rsidTr="008C3631">
        <w:trPr>
          <w:cantSplit/>
          <w:jc w:val="center"/>
        </w:trPr>
        <w:tc>
          <w:tcPr>
            <w:tcW w:w="1889" w:type="pct"/>
            <w:hideMark/>
          </w:tcPr>
          <w:p w14:paraId="399B75B8"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Nafta sin plomo, hasta 92 RON</w:t>
            </w:r>
          </w:p>
        </w:tc>
        <w:tc>
          <w:tcPr>
            <w:tcW w:w="1556" w:type="pct"/>
            <w:vAlign w:val="center"/>
          </w:tcPr>
          <w:p w14:paraId="1BFFDE1A" w14:textId="31749EF6"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1</w:t>
            </w:r>
            <w:r w:rsidR="009114EC" w:rsidRPr="00EA7870">
              <w:rPr>
                <w:rFonts w:ascii="Times" w:eastAsia="SimSun" w:hAnsi="Times"/>
                <w:sz w:val="20"/>
                <w:szCs w:val="20"/>
                <w:lang w:val="es-AR" w:eastAsia="en-US" w:bidi="en-US"/>
              </w:rPr>
              <w:t>1</w:t>
            </w:r>
            <w:r w:rsidRPr="00EA7870">
              <w:rPr>
                <w:rFonts w:ascii="Times" w:eastAsia="SimSun" w:hAnsi="Times"/>
                <w:sz w:val="20"/>
                <w:szCs w:val="20"/>
                <w:lang w:val="es-AR" w:eastAsia="en-US" w:bidi="en-US"/>
              </w:rPr>
              <w:t>.</w:t>
            </w:r>
            <w:r w:rsidR="009114EC" w:rsidRPr="00EA7870">
              <w:rPr>
                <w:rFonts w:ascii="Times" w:eastAsia="SimSun" w:hAnsi="Times"/>
                <w:sz w:val="20"/>
                <w:szCs w:val="20"/>
                <w:lang w:val="es-AR" w:eastAsia="en-US" w:bidi="en-US"/>
              </w:rPr>
              <w:t>253</w:t>
            </w:r>
          </w:p>
        </w:tc>
        <w:tc>
          <w:tcPr>
            <w:tcW w:w="1555" w:type="pct"/>
            <w:vAlign w:val="center"/>
          </w:tcPr>
          <w:p w14:paraId="41F83F25" w14:textId="620303CE"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w:t>
            </w:r>
            <w:r w:rsidR="009114EC" w:rsidRPr="00EA7870">
              <w:rPr>
                <w:rFonts w:ascii="Times" w:eastAsia="SimSun" w:hAnsi="Times"/>
                <w:sz w:val="20"/>
                <w:szCs w:val="20"/>
                <w:lang w:val="es-AR" w:eastAsia="en-US" w:bidi="en-US"/>
              </w:rPr>
              <w:t>744</w:t>
            </w:r>
          </w:p>
        </w:tc>
      </w:tr>
      <w:tr w:rsidR="006633FE" w:rsidRPr="00EA7870" w14:paraId="47FE4E35" w14:textId="77777777" w:rsidTr="008C3631">
        <w:trPr>
          <w:cantSplit/>
          <w:jc w:val="center"/>
        </w:trPr>
        <w:tc>
          <w:tcPr>
            <w:tcW w:w="1889" w:type="pct"/>
            <w:hideMark/>
          </w:tcPr>
          <w:p w14:paraId="41196DD8"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Nafta sin plomo, de más de 92 RON</w:t>
            </w:r>
          </w:p>
        </w:tc>
        <w:tc>
          <w:tcPr>
            <w:tcW w:w="1556" w:type="pct"/>
            <w:vAlign w:val="center"/>
          </w:tcPr>
          <w:p w14:paraId="0797C6D2" w14:textId="28B5D7C5" w:rsidR="006633FE" w:rsidRPr="00EA7870" w:rsidRDefault="009114EC"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11.253</w:t>
            </w:r>
          </w:p>
        </w:tc>
        <w:tc>
          <w:tcPr>
            <w:tcW w:w="1555" w:type="pct"/>
            <w:vAlign w:val="center"/>
          </w:tcPr>
          <w:p w14:paraId="64B3277A" w14:textId="6323638D"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w:t>
            </w:r>
            <w:r w:rsidR="009114EC" w:rsidRPr="00EA7870">
              <w:rPr>
                <w:rFonts w:ascii="Times" w:eastAsia="SimSun" w:hAnsi="Times"/>
                <w:sz w:val="20"/>
                <w:szCs w:val="20"/>
                <w:lang w:val="es-AR" w:eastAsia="en-US" w:bidi="en-US"/>
              </w:rPr>
              <w:t>744</w:t>
            </w:r>
          </w:p>
        </w:tc>
      </w:tr>
      <w:tr w:rsidR="006633FE" w:rsidRPr="00EA7870" w14:paraId="2668AA56" w14:textId="77777777" w:rsidTr="008C3631">
        <w:trPr>
          <w:cantSplit/>
          <w:jc w:val="center"/>
        </w:trPr>
        <w:tc>
          <w:tcPr>
            <w:tcW w:w="1889" w:type="pct"/>
            <w:hideMark/>
          </w:tcPr>
          <w:p w14:paraId="020B2DC3"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 xml:space="preserve">Nafta virgen </w:t>
            </w:r>
          </w:p>
        </w:tc>
        <w:tc>
          <w:tcPr>
            <w:tcW w:w="1556" w:type="pct"/>
            <w:vAlign w:val="center"/>
          </w:tcPr>
          <w:p w14:paraId="01E7318A" w14:textId="5FAF00E5" w:rsidR="006633FE" w:rsidRPr="00EA7870" w:rsidRDefault="009114EC"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11.253</w:t>
            </w:r>
          </w:p>
        </w:tc>
        <w:tc>
          <w:tcPr>
            <w:tcW w:w="1555" w:type="pct"/>
            <w:vAlign w:val="center"/>
          </w:tcPr>
          <w:p w14:paraId="1D64283F" w14:textId="57C247E0"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w:t>
            </w:r>
            <w:r w:rsidR="009114EC" w:rsidRPr="00EA7870">
              <w:rPr>
                <w:rFonts w:ascii="Times" w:eastAsia="SimSun" w:hAnsi="Times"/>
                <w:sz w:val="20"/>
                <w:szCs w:val="20"/>
                <w:lang w:val="es-AR" w:eastAsia="en-US" w:bidi="en-US"/>
              </w:rPr>
              <w:t>744</w:t>
            </w:r>
          </w:p>
        </w:tc>
      </w:tr>
      <w:tr w:rsidR="006633FE" w:rsidRPr="00EA7870" w14:paraId="6F435E29" w14:textId="77777777" w:rsidTr="008C3631">
        <w:trPr>
          <w:cantSplit/>
          <w:jc w:val="center"/>
        </w:trPr>
        <w:tc>
          <w:tcPr>
            <w:tcW w:w="1889" w:type="pct"/>
            <w:hideMark/>
          </w:tcPr>
          <w:p w14:paraId="185B72F2"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Gasolina natural o de pirólisis</w:t>
            </w:r>
          </w:p>
        </w:tc>
        <w:tc>
          <w:tcPr>
            <w:tcW w:w="1556" w:type="pct"/>
            <w:vAlign w:val="center"/>
          </w:tcPr>
          <w:p w14:paraId="07556F41"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12.164</w:t>
            </w:r>
          </w:p>
        </w:tc>
        <w:tc>
          <w:tcPr>
            <w:tcW w:w="1555" w:type="pct"/>
            <w:vAlign w:val="center"/>
          </w:tcPr>
          <w:p w14:paraId="7399D312"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0.744</w:t>
            </w:r>
          </w:p>
        </w:tc>
      </w:tr>
      <w:tr w:rsidR="006633FE" w:rsidRPr="00EA7870" w14:paraId="721CB207" w14:textId="77777777" w:rsidTr="008C3631">
        <w:trPr>
          <w:cantSplit/>
          <w:jc w:val="center"/>
        </w:trPr>
        <w:tc>
          <w:tcPr>
            <w:tcW w:w="1889" w:type="pct"/>
            <w:hideMark/>
          </w:tcPr>
          <w:p w14:paraId="06803838"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Solvente</w:t>
            </w:r>
          </w:p>
        </w:tc>
        <w:tc>
          <w:tcPr>
            <w:tcW w:w="1556" w:type="pct"/>
            <w:vAlign w:val="center"/>
          </w:tcPr>
          <w:p w14:paraId="7FF9706A"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12.164</w:t>
            </w:r>
          </w:p>
        </w:tc>
        <w:tc>
          <w:tcPr>
            <w:tcW w:w="1555" w:type="pct"/>
            <w:vAlign w:val="center"/>
          </w:tcPr>
          <w:p w14:paraId="1F5A9BEE"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0.744</w:t>
            </w:r>
          </w:p>
        </w:tc>
      </w:tr>
      <w:tr w:rsidR="006633FE" w:rsidRPr="00EA7870" w14:paraId="08981783" w14:textId="77777777" w:rsidTr="008C3631">
        <w:trPr>
          <w:cantSplit/>
          <w:jc w:val="center"/>
        </w:trPr>
        <w:tc>
          <w:tcPr>
            <w:tcW w:w="1889" w:type="pct"/>
            <w:hideMark/>
          </w:tcPr>
          <w:p w14:paraId="51E6BC10"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Aguarrás</w:t>
            </w:r>
          </w:p>
        </w:tc>
        <w:tc>
          <w:tcPr>
            <w:tcW w:w="1556" w:type="pct"/>
            <w:vAlign w:val="center"/>
          </w:tcPr>
          <w:p w14:paraId="1BC9A607" w14:textId="3A1B9E0A"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12.164</w:t>
            </w:r>
          </w:p>
        </w:tc>
        <w:tc>
          <w:tcPr>
            <w:tcW w:w="1555" w:type="pct"/>
            <w:vAlign w:val="center"/>
          </w:tcPr>
          <w:p w14:paraId="21F329D2"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0.744</w:t>
            </w:r>
          </w:p>
        </w:tc>
      </w:tr>
      <w:tr w:rsidR="006633FE" w:rsidRPr="00EA7870" w14:paraId="02449214" w14:textId="77777777" w:rsidTr="008C3631">
        <w:trPr>
          <w:cantSplit/>
          <w:jc w:val="center"/>
        </w:trPr>
        <w:tc>
          <w:tcPr>
            <w:tcW w:w="1889" w:type="pct"/>
            <w:hideMark/>
          </w:tcPr>
          <w:p w14:paraId="4DCAB53C"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Gasoil</w:t>
            </w:r>
          </w:p>
        </w:tc>
        <w:tc>
          <w:tcPr>
            <w:tcW w:w="1556" w:type="pct"/>
            <w:vAlign w:val="center"/>
          </w:tcPr>
          <w:p w14:paraId="7497A4EC" w14:textId="534C51C9" w:rsidR="006633FE" w:rsidRPr="00EA7870" w:rsidRDefault="006633FE" w:rsidP="00CE59FD">
            <w:pPr>
              <w:widowControl w:val="0"/>
              <w:autoSpaceDE w:val="0"/>
              <w:autoSpaceDN w:val="0"/>
              <w:jc w:val="center"/>
              <w:rPr>
                <w:rFonts w:ascii="Times" w:hAnsi="Times"/>
                <w:color w:val="000000"/>
                <w:sz w:val="20"/>
                <w:szCs w:val="20"/>
                <w:lang w:val="en-US" w:eastAsia="en-US"/>
              </w:rPr>
            </w:pPr>
            <w:r w:rsidRPr="00EA7870">
              <w:rPr>
                <w:rFonts w:ascii="Times" w:hAnsi="Times"/>
                <w:color w:val="000000"/>
                <w:sz w:val="20"/>
                <w:szCs w:val="20"/>
                <w:lang w:val="en-US" w:eastAsia="en-US"/>
              </w:rPr>
              <w:t>6.</w:t>
            </w:r>
            <w:r w:rsidR="009114EC" w:rsidRPr="00EA7870">
              <w:rPr>
                <w:rFonts w:ascii="Times" w:hAnsi="Times"/>
                <w:color w:val="000000"/>
                <w:sz w:val="20"/>
                <w:szCs w:val="20"/>
                <w:lang w:val="en-US" w:eastAsia="en-US"/>
              </w:rPr>
              <w:t xml:space="preserve">928 </w:t>
            </w:r>
          </w:p>
        </w:tc>
        <w:tc>
          <w:tcPr>
            <w:tcW w:w="1555" w:type="pct"/>
            <w:vAlign w:val="center"/>
          </w:tcPr>
          <w:p w14:paraId="789EE1AD" w14:textId="31EA7E10"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w:t>
            </w:r>
            <w:r w:rsidR="009114EC" w:rsidRPr="00EA7870">
              <w:rPr>
                <w:rFonts w:ascii="Times" w:eastAsia="SimSun" w:hAnsi="Times"/>
                <w:sz w:val="20"/>
                <w:szCs w:val="20"/>
                <w:lang w:val="es-AR" w:eastAsia="en-US" w:bidi="en-US"/>
              </w:rPr>
              <w:t>856</w:t>
            </w:r>
          </w:p>
        </w:tc>
      </w:tr>
      <w:tr w:rsidR="006633FE" w:rsidRPr="00EA7870" w14:paraId="589FF0BB" w14:textId="77777777" w:rsidTr="008C3631">
        <w:trPr>
          <w:cantSplit/>
          <w:jc w:val="center"/>
        </w:trPr>
        <w:tc>
          <w:tcPr>
            <w:tcW w:w="1889" w:type="pct"/>
            <w:hideMark/>
          </w:tcPr>
          <w:p w14:paraId="1BA4AFDB"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Diesel</w:t>
            </w:r>
          </w:p>
        </w:tc>
        <w:tc>
          <w:tcPr>
            <w:tcW w:w="1556" w:type="pct"/>
            <w:vAlign w:val="center"/>
          </w:tcPr>
          <w:p w14:paraId="17FB2CF2"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7.503</w:t>
            </w:r>
          </w:p>
        </w:tc>
        <w:tc>
          <w:tcPr>
            <w:tcW w:w="1555" w:type="pct"/>
            <w:vAlign w:val="center"/>
          </w:tcPr>
          <w:p w14:paraId="19F7F5DD" w14:textId="0BF2F0D3"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w:t>
            </w:r>
            <w:r w:rsidR="009114EC" w:rsidRPr="00EA7870">
              <w:rPr>
                <w:rFonts w:ascii="Times" w:eastAsia="SimSun" w:hAnsi="Times"/>
                <w:sz w:val="20"/>
                <w:szCs w:val="20"/>
                <w:lang w:val="es-AR" w:eastAsia="en-US" w:bidi="en-US"/>
              </w:rPr>
              <w:t>856</w:t>
            </w:r>
          </w:p>
        </w:tc>
      </w:tr>
      <w:tr w:rsidR="006633FE" w:rsidRPr="00EA7870" w14:paraId="25CC587F" w14:textId="77777777" w:rsidTr="008C3631">
        <w:trPr>
          <w:cantSplit/>
          <w:jc w:val="center"/>
        </w:trPr>
        <w:tc>
          <w:tcPr>
            <w:tcW w:w="1889" w:type="pct"/>
            <w:hideMark/>
          </w:tcPr>
          <w:p w14:paraId="0AE320C9"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Kerosene</w:t>
            </w:r>
          </w:p>
        </w:tc>
        <w:tc>
          <w:tcPr>
            <w:tcW w:w="1556" w:type="pct"/>
            <w:vAlign w:val="center"/>
          </w:tcPr>
          <w:p w14:paraId="466D733F"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7.503</w:t>
            </w:r>
          </w:p>
        </w:tc>
        <w:tc>
          <w:tcPr>
            <w:tcW w:w="1555" w:type="pct"/>
            <w:vAlign w:val="center"/>
          </w:tcPr>
          <w:p w14:paraId="6FEB0283"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0.856</w:t>
            </w:r>
          </w:p>
        </w:tc>
      </w:tr>
      <w:tr w:rsidR="006633FE" w:rsidRPr="00EA7870" w14:paraId="7BA13864" w14:textId="77777777" w:rsidTr="008C3631">
        <w:trPr>
          <w:cantSplit/>
          <w:jc w:val="center"/>
        </w:trPr>
        <w:tc>
          <w:tcPr>
            <w:tcW w:w="1889" w:type="pct"/>
            <w:hideMark/>
          </w:tcPr>
          <w:p w14:paraId="2B6BD22F"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Fuel oil</w:t>
            </w:r>
          </w:p>
        </w:tc>
        <w:tc>
          <w:tcPr>
            <w:tcW w:w="1556" w:type="pct"/>
            <w:vAlign w:val="center"/>
          </w:tcPr>
          <w:p w14:paraId="626B2AF1"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N/A</w:t>
            </w:r>
          </w:p>
        </w:tc>
        <w:tc>
          <w:tcPr>
            <w:tcW w:w="1555" w:type="pct"/>
            <w:vAlign w:val="center"/>
          </w:tcPr>
          <w:p w14:paraId="445B3F89"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0.094</w:t>
            </w:r>
          </w:p>
        </w:tc>
      </w:tr>
      <w:tr w:rsidR="006633FE" w:rsidRPr="00EA7870" w14:paraId="28F83EC0" w14:textId="77777777" w:rsidTr="008C3631">
        <w:trPr>
          <w:cantSplit/>
          <w:jc w:val="center"/>
        </w:trPr>
        <w:tc>
          <w:tcPr>
            <w:tcW w:w="1889" w:type="pct"/>
            <w:hideMark/>
          </w:tcPr>
          <w:p w14:paraId="72FD5B6C" w14:textId="77777777" w:rsidR="006633FE" w:rsidRPr="00EA7870" w:rsidRDefault="006633FE"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Coque de petróleo (por Kg.)</w:t>
            </w:r>
          </w:p>
        </w:tc>
        <w:tc>
          <w:tcPr>
            <w:tcW w:w="1556" w:type="pct"/>
            <w:vAlign w:val="center"/>
          </w:tcPr>
          <w:p w14:paraId="7CA92B40"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N/A</w:t>
            </w:r>
          </w:p>
        </w:tc>
        <w:tc>
          <w:tcPr>
            <w:tcW w:w="1555" w:type="pct"/>
            <w:vAlign w:val="center"/>
          </w:tcPr>
          <w:p w14:paraId="00ED418C" w14:textId="77777777" w:rsidR="006633FE" w:rsidRPr="00EA7870" w:rsidRDefault="006633FE" w:rsidP="00CE59FD">
            <w:pPr>
              <w:snapToGrid w:val="0"/>
              <w:jc w:val="center"/>
              <w:rPr>
                <w:rFonts w:ascii="Times" w:eastAsia="SimSun" w:hAnsi="Times"/>
                <w:sz w:val="20"/>
                <w:szCs w:val="20"/>
                <w:lang w:val="es-AR"/>
              </w:rPr>
            </w:pPr>
            <w:r w:rsidRPr="00EA7870">
              <w:rPr>
                <w:rFonts w:ascii="Times" w:eastAsia="SimSun" w:hAnsi="Times"/>
                <w:sz w:val="20"/>
                <w:szCs w:val="20"/>
                <w:lang w:val="es-AR" w:eastAsia="en-US" w:bidi="en-US"/>
              </w:rPr>
              <w:t>0.102</w:t>
            </w:r>
          </w:p>
        </w:tc>
      </w:tr>
      <w:tr w:rsidR="006633FE" w:rsidRPr="00EA7870" w14:paraId="64C60211" w14:textId="77777777" w:rsidTr="008C3631">
        <w:trPr>
          <w:cantSplit/>
          <w:jc w:val="center"/>
        </w:trPr>
        <w:tc>
          <w:tcPr>
            <w:tcW w:w="1889" w:type="pct"/>
          </w:tcPr>
          <w:p w14:paraId="568C09A4" w14:textId="7F76EBC8" w:rsidR="006633FE" w:rsidRPr="00EA7870" w:rsidRDefault="00B20DB5" w:rsidP="00CE59FD">
            <w:pPr>
              <w:snapToGrid w:val="0"/>
              <w:jc w:val="both"/>
              <w:rPr>
                <w:rFonts w:ascii="Times" w:eastAsia="SimSun" w:hAnsi="Times"/>
                <w:sz w:val="20"/>
                <w:szCs w:val="20"/>
                <w:lang w:val="es-AR" w:eastAsia="en-US" w:bidi="en-US"/>
              </w:rPr>
            </w:pPr>
            <w:r w:rsidRPr="00EA7870">
              <w:rPr>
                <w:rFonts w:ascii="Times" w:eastAsia="SimSun" w:hAnsi="Times"/>
                <w:sz w:val="20"/>
                <w:szCs w:val="20"/>
                <w:lang w:val="es-AR" w:eastAsia="en-US" w:bidi="en-US"/>
              </w:rPr>
              <w:t xml:space="preserve">Carbón </w:t>
            </w:r>
            <w:r w:rsidR="009114EC" w:rsidRPr="00EA7870">
              <w:rPr>
                <w:rFonts w:ascii="Times" w:eastAsia="SimSun" w:hAnsi="Times"/>
                <w:sz w:val="20"/>
                <w:szCs w:val="20"/>
                <w:lang w:val="es-AR" w:eastAsia="en-US" w:bidi="en-US"/>
              </w:rPr>
              <w:t>Mineral</w:t>
            </w:r>
          </w:p>
        </w:tc>
        <w:tc>
          <w:tcPr>
            <w:tcW w:w="1556" w:type="pct"/>
            <w:vAlign w:val="center"/>
          </w:tcPr>
          <w:p w14:paraId="555ABF44" w14:textId="32CC5AAD" w:rsidR="006633FE" w:rsidRPr="00EA7870" w:rsidRDefault="009114EC" w:rsidP="00CE59FD">
            <w:pPr>
              <w:snapToGrid w:val="0"/>
              <w:jc w:val="center"/>
              <w:rPr>
                <w:rFonts w:ascii="Times" w:eastAsia="SimSun" w:hAnsi="Times"/>
                <w:sz w:val="20"/>
                <w:szCs w:val="20"/>
                <w:lang w:val="es-AR" w:eastAsia="en-US" w:bidi="en-US"/>
              </w:rPr>
            </w:pPr>
            <w:r w:rsidRPr="00EA7870">
              <w:rPr>
                <w:rFonts w:ascii="Times" w:eastAsia="SimSun" w:hAnsi="Times"/>
                <w:sz w:val="20"/>
                <w:szCs w:val="20"/>
                <w:lang w:val="es-AR" w:eastAsia="en-US" w:bidi="en-US"/>
              </w:rPr>
              <w:t>N/A</w:t>
            </w:r>
          </w:p>
        </w:tc>
        <w:tc>
          <w:tcPr>
            <w:tcW w:w="1555" w:type="pct"/>
            <w:vAlign w:val="center"/>
          </w:tcPr>
          <w:p w14:paraId="15687E67" w14:textId="2459A455" w:rsidR="006633FE" w:rsidRPr="00EA7870" w:rsidRDefault="009114EC" w:rsidP="00CE59FD">
            <w:pPr>
              <w:snapToGrid w:val="0"/>
              <w:jc w:val="center"/>
              <w:rPr>
                <w:rFonts w:ascii="Times" w:eastAsia="SimSun" w:hAnsi="Times"/>
                <w:sz w:val="20"/>
                <w:szCs w:val="20"/>
                <w:lang w:val="es-AR" w:eastAsia="en-US" w:bidi="en-US"/>
              </w:rPr>
            </w:pPr>
            <w:r w:rsidRPr="00EA7870">
              <w:rPr>
                <w:rFonts w:ascii="Times" w:eastAsia="SimSun" w:hAnsi="Times"/>
                <w:sz w:val="20"/>
                <w:szCs w:val="20"/>
                <w:lang w:val="es-AR" w:eastAsia="en-US" w:bidi="en-US"/>
              </w:rPr>
              <w:t>0,079</w:t>
            </w:r>
          </w:p>
        </w:tc>
      </w:tr>
    </w:tbl>
    <w:p w14:paraId="1B4A3F6A" w14:textId="77777777" w:rsidR="006633FE" w:rsidRPr="00EA7870" w:rsidRDefault="006633FE" w:rsidP="006633FE">
      <w:pPr>
        <w:jc w:val="both"/>
        <w:rPr>
          <w:rFonts w:ascii="Times" w:eastAsia="Calibri" w:hAnsi="Times"/>
          <w:sz w:val="20"/>
          <w:szCs w:val="20"/>
          <w:vertAlign w:val="superscript"/>
          <w:lang w:val="es-AR" w:eastAsia="en-US" w:bidi="en-US"/>
        </w:rPr>
      </w:pPr>
    </w:p>
    <w:p w14:paraId="0A6F74F1" w14:textId="020D8D4C" w:rsidR="006633FE" w:rsidRPr="00EA7870" w:rsidRDefault="006633FE" w:rsidP="006633FE">
      <w:pPr>
        <w:jc w:val="both"/>
        <w:rPr>
          <w:rFonts w:eastAsia="SimSun"/>
          <w:sz w:val="20"/>
          <w:szCs w:val="20"/>
          <w:lang w:val="es-AR" w:eastAsia="en-US" w:bidi="en-US"/>
        </w:rPr>
      </w:pPr>
      <w:r w:rsidRPr="00EA7870">
        <w:rPr>
          <w:rFonts w:ascii="Times" w:eastAsia="SimSun" w:hAnsi="Times"/>
          <w:sz w:val="20"/>
          <w:szCs w:val="20"/>
          <w:lang w:val="es-AR" w:eastAsia="en-US" w:bidi="en-US"/>
        </w:rPr>
        <w:t xml:space="preserve">Estos montos serán ajustados por inflación trimestralmente. El último ajuste se realizó en </w:t>
      </w:r>
      <w:r w:rsidR="009114EC" w:rsidRPr="00EA7870">
        <w:rPr>
          <w:rFonts w:ascii="Times" w:eastAsia="SimSun" w:hAnsi="Times"/>
          <w:sz w:val="20"/>
          <w:szCs w:val="20"/>
          <w:lang w:val="es-AR" w:eastAsia="en-US" w:bidi="en-US"/>
        </w:rPr>
        <w:t xml:space="preserve">noviembre </w:t>
      </w:r>
      <w:r w:rsidRPr="00EA7870">
        <w:rPr>
          <w:rFonts w:ascii="Times" w:eastAsia="SimSun" w:hAnsi="Times"/>
          <w:sz w:val="20"/>
          <w:szCs w:val="20"/>
          <w:lang w:val="es-AR" w:eastAsia="en-US" w:bidi="en-US"/>
        </w:rPr>
        <w:t xml:space="preserve">de 2019. Sin embargo, cabe destacar que el Ministerio de Hacienda ha en diversas oportunidades postergado </w:t>
      </w:r>
      <w:r w:rsidRPr="00EA7870">
        <w:rPr>
          <w:rFonts w:eastAsia="SimSun"/>
          <w:sz w:val="20"/>
          <w:szCs w:val="20"/>
          <w:lang w:val="es-AR" w:eastAsia="en-US" w:bidi="en-US"/>
        </w:rPr>
        <w:t xml:space="preserve">tales aumentos. </w:t>
      </w:r>
    </w:p>
    <w:p w14:paraId="70E5F433" w14:textId="77777777" w:rsidR="006633FE" w:rsidRPr="00EA7870" w:rsidRDefault="006633FE" w:rsidP="006633FE">
      <w:pPr>
        <w:jc w:val="both"/>
        <w:rPr>
          <w:rFonts w:eastAsia="SimSun"/>
          <w:sz w:val="20"/>
          <w:szCs w:val="20"/>
          <w:lang w:val="es-AR" w:eastAsia="en-US" w:bidi="en-US"/>
        </w:rPr>
      </w:pPr>
    </w:p>
    <w:p w14:paraId="40D640A3" w14:textId="77777777" w:rsidR="006633FE" w:rsidRPr="00EA7870" w:rsidRDefault="006633FE" w:rsidP="006633FE">
      <w:pPr>
        <w:jc w:val="both"/>
        <w:rPr>
          <w:rFonts w:eastAsia="SimSun"/>
          <w:sz w:val="20"/>
          <w:szCs w:val="20"/>
          <w:lang w:val="es-AR" w:eastAsia="en-US" w:bidi="en-US"/>
        </w:rPr>
      </w:pPr>
      <w:r w:rsidRPr="00EA7870">
        <w:rPr>
          <w:rFonts w:eastAsia="SimSun"/>
          <w:sz w:val="20"/>
          <w:szCs w:val="20"/>
          <w:lang w:val="es-AR" w:eastAsia="en-US" w:bidi="en-US"/>
        </w:rPr>
        <w:t>El impuesto se suma al importe facturado en el momento de la primera venta; el contribuyente debe pagar estos impuestos sobre los combustibles mensualmente comercializados.</w:t>
      </w:r>
    </w:p>
    <w:p w14:paraId="767A8DA5" w14:textId="77777777" w:rsidR="006633FE" w:rsidRPr="00EA7870" w:rsidRDefault="006633FE" w:rsidP="006633FE">
      <w:pPr>
        <w:jc w:val="both"/>
        <w:rPr>
          <w:rFonts w:eastAsia="SimSun"/>
          <w:sz w:val="20"/>
          <w:szCs w:val="20"/>
          <w:lang w:val="es-AR" w:eastAsia="en-US" w:bidi="en-US"/>
        </w:rPr>
      </w:pPr>
    </w:p>
    <w:p w14:paraId="5698EA60" w14:textId="70C38243" w:rsidR="006633FE" w:rsidRPr="00EA7870" w:rsidRDefault="006633FE" w:rsidP="006633FE">
      <w:pPr>
        <w:jc w:val="both"/>
        <w:rPr>
          <w:rFonts w:eastAsia="SimSun"/>
          <w:sz w:val="20"/>
          <w:szCs w:val="20"/>
          <w:lang w:val="es-AR" w:eastAsia="en-US" w:bidi="en-US"/>
        </w:rPr>
      </w:pPr>
      <w:r w:rsidRPr="00EA7870">
        <w:rPr>
          <w:rFonts w:eastAsia="SimSun"/>
          <w:sz w:val="20"/>
          <w:szCs w:val="20"/>
          <w:lang w:val="es-AR" w:eastAsia="en-US" w:bidi="en-US"/>
        </w:rPr>
        <w:t>La ley establece las siguientes exenciones: (i) exportaciones, (ii) ventas de combustibles a la Patagonia, (iii) ventas de combustibles que serán usados como materia prima para otros combustibles imponibles, y (iv) ventas de biocombustibles. La venta de gasoil, diesel y kerosen</w:t>
      </w:r>
      <w:r w:rsidR="00B52CDF" w:rsidRPr="00EA7870">
        <w:rPr>
          <w:rFonts w:eastAsia="SimSun"/>
          <w:sz w:val="20"/>
          <w:szCs w:val="20"/>
          <w:lang w:val="es-AR" w:eastAsia="en-US" w:bidi="en-US"/>
        </w:rPr>
        <w:t>e</w:t>
      </w:r>
      <w:r w:rsidRPr="00EA7870">
        <w:rPr>
          <w:rFonts w:eastAsia="SimSun"/>
          <w:sz w:val="20"/>
          <w:szCs w:val="20"/>
          <w:lang w:val="es-AR" w:eastAsia="en-US" w:bidi="en-US"/>
        </w:rPr>
        <w:t xml:space="preserve"> en la Patagonia se encuentra sujeta a una tasa más baja. </w:t>
      </w:r>
    </w:p>
    <w:p w14:paraId="43645365" w14:textId="77777777" w:rsidR="006633FE" w:rsidRPr="00EA7870" w:rsidRDefault="006633FE" w:rsidP="006633FE">
      <w:pPr>
        <w:keepNext/>
        <w:rPr>
          <w:b/>
          <w:sz w:val="20"/>
          <w:szCs w:val="20"/>
          <w:lang w:val="es-AR"/>
        </w:rPr>
      </w:pPr>
    </w:p>
    <w:p w14:paraId="7AE02075" w14:textId="77777777" w:rsidR="006633FE" w:rsidRPr="00EA7870" w:rsidRDefault="006633FE" w:rsidP="003B744B">
      <w:pPr>
        <w:keepNext/>
        <w:jc w:val="both"/>
        <w:rPr>
          <w:b/>
          <w:sz w:val="20"/>
          <w:szCs w:val="20"/>
          <w:lang w:val="es-AR"/>
        </w:rPr>
      </w:pPr>
      <w:r w:rsidRPr="00EA7870">
        <w:rPr>
          <w:b/>
          <w:sz w:val="20"/>
          <w:szCs w:val="20"/>
          <w:lang w:val="es-AR"/>
        </w:rPr>
        <w:t>Actualización de la sección “</w:t>
      </w:r>
      <w:r w:rsidRPr="00EA7870">
        <w:rPr>
          <w:b/>
          <w:i/>
          <w:sz w:val="20"/>
          <w:szCs w:val="20"/>
          <w:lang w:val="es-AR"/>
        </w:rPr>
        <w:t>Antecedentes Financieros de Pan American</w:t>
      </w:r>
      <w:r w:rsidRPr="00EA7870">
        <w:rPr>
          <w:i/>
          <w:color w:val="000000"/>
          <w:sz w:val="20"/>
          <w:szCs w:val="20"/>
          <w:lang w:val="es-AR"/>
        </w:rPr>
        <w:t>—</w:t>
      </w:r>
      <w:r w:rsidRPr="00EA7870">
        <w:rPr>
          <w:b/>
          <w:i/>
          <w:sz w:val="20"/>
          <w:szCs w:val="20"/>
          <w:lang w:val="es-AR"/>
        </w:rPr>
        <w:t>Reseña y perspectiva operativa y financiera</w:t>
      </w:r>
      <w:r w:rsidRPr="00EA7870">
        <w:rPr>
          <w:i/>
          <w:color w:val="000000"/>
          <w:sz w:val="20"/>
          <w:szCs w:val="20"/>
          <w:lang w:val="es-AR"/>
        </w:rPr>
        <w:t>—</w:t>
      </w:r>
      <w:r w:rsidRPr="00EA7870">
        <w:rPr>
          <w:b/>
          <w:i/>
          <w:sz w:val="20"/>
          <w:szCs w:val="20"/>
          <w:lang w:val="es-AR"/>
        </w:rPr>
        <w:t>Endeudamiento de Pan American</w:t>
      </w:r>
      <w:r w:rsidRPr="00EA7870">
        <w:rPr>
          <w:b/>
          <w:sz w:val="20"/>
          <w:szCs w:val="20"/>
          <w:lang w:val="es-AR"/>
        </w:rPr>
        <w:t>” del Prospecto</w:t>
      </w:r>
    </w:p>
    <w:p w14:paraId="034A0F62" w14:textId="77777777" w:rsidR="006633FE" w:rsidRPr="00EA7870" w:rsidRDefault="006633FE" w:rsidP="006633FE">
      <w:pPr>
        <w:keepNext/>
        <w:rPr>
          <w:b/>
          <w:sz w:val="20"/>
          <w:szCs w:val="20"/>
          <w:lang w:val="es-AR"/>
        </w:rPr>
      </w:pPr>
    </w:p>
    <w:p w14:paraId="4B3CE536" w14:textId="1780B76C" w:rsidR="006633FE" w:rsidRPr="00EA7870" w:rsidRDefault="006633FE" w:rsidP="006633FE">
      <w:pPr>
        <w:jc w:val="both"/>
        <w:rPr>
          <w:sz w:val="20"/>
          <w:szCs w:val="20"/>
          <w:lang w:val="es-AR" w:eastAsia="en-US"/>
        </w:rPr>
      </w:pPr>
      <w:r w:rsidRPr="00EA7870">
        <w:rPr>
          <w:sz w:val="20"/>
          <w:szCs w:val="20"/>
          <w:lang w:val="es-AR" w:eastAsia="en-US"/>
        </w:rPr>
        <w:t>El 30 de octubre de 2017, la subsidiaria de Pan American, Parque Eólico S.A. (“</w:t>
      </w:r>
      <w:r w:rsidRPr="00EA7870">
        <w:rPr>
          <w:b/>
          <w:sz w:val="20"/>
          <w:szCs w:val="20"/>
          <w:lang w:val="es-AR" w:eastAsia="en-US"/>
        </w:rPr>
        <w:t>Parque Eólico</w:t>
      </w:r>
      <w:r w:rsidRPr="00EA7870">
        <w:rPr>
          <w:sz w:val="20"/>
          <w:szCs w:val="20"/>
          <w:lang w:val="es-AR" w:eastAsia="en-US"/>
        </w:rPr>
        <w:t>”) celebró un contrato de préstamo con Crédit Agricole Corporate &amp; Investment Bank por un monto de US$12 millones. El 6 de septiembre de 2018, Parque Eólico modificó el referido acuerdo de préstamo para aumentar el monto de capital total hasta US$ 17 millones. El saldo pendiente de este préstamo al 30 de junio de 201</w:t>
      </w:r>
      <w:r w:rsidR="004C4298" w:rsidRPr="00EA7870">
        <w:rPr>
          <w:sz w:val="20"/>
          <w:szCs w:val="20"/>
          <w:lang w:val="es-AR" w:eastAsia="en-US"/>
        </w:rPr>
        <w:t>9</w:t>
      </w:r>
      <w:r w:rsidRPr="00EA7870">
        <w:rPr>
          <w:sz w:val="20"/>
          <w:szCs w:val="20"/>
          <w:lang w:val="es-AR" w:eastAsia="en-US"/>
        </w:rPr>
        <w:t xml:space="preserve"> era de US$ </w:t>
      </w:r>
      <w:r w:rsidR="004C4298" w:rsidRPr="00EA7870">
        <w:rPr>
          <w:sz w:val="20"/>
          <w:szCs w:val="20"/>
          <w:lang w:val="es-AR" w:eastAsia="en-US"/>
        </w:rPr>
        <w:t>17</w:t>
      </w:r>
      <w:r w:rsidRPr="00EA7870">
        <w:rPr>
          <w:sz w:val="20"/>
          <w:szCs w:val="20"/>
          <w:lang w:val="es-AR" w:eastAsia="en-US"/>
        </w:rPr>
        <w:t xml:space="preserve"> millones. </w:t>
      </w:r>
    </w:p>
    <w:p w14:paraId="7A3234D0" w14:textId="77777777" w:rsidR="006633FE" w:rsidRPr="00EA7870" w:rsidRDefault="006633FE" w:rsidP="006633FE">
      <w:pPr>
        <w:jc w:val="both"/>
        <w:rPr>
          <w:sz w:val="20"/>
          <w:szCs w:val="20"/>
          <w:lang w:val="es-AR" w:eastAsia="en-US"/>
        </w:rPr>
      </w:pPr>
    </w:p>
    <w:p w14:paraId="73210B7E" w14:textId="45735D39" w:rsidR="006633FE" w:rsidRPr="00EA7870" w:rsidRDefault="006633FE" w:rsidP="006633FE">
      <w:pPr>
        <w:jc w:val="both"/>
        <w:rPr>
          <w:sz w:val="20"/>
          <w:szCs w:val="20"/>
          <w:lang w:val="es-AR" w:eastAsia="en-US"/>
        </w:rPr>
      </w:pPr>
      <w:r w:rsidRPr="00EA7870">
        <w:rPr>
          <w:sz w:val="20"/>
          <w:szCs w:val="20"/>
          <w:lang w:val="es-AR" w:eastAsia="en-US"/>
        </w:rPr>
        <w:t xml:space="preserve">El 16 de noviembre de 2017, Parque Eólico celebró un contrato de préstamo con </w:t>
      </w:r>
      <w:r w:rsidRPr="00EA7870">
        <w:rPr>
          <w:sz w:val="20"/>
          <w:szCs w:val="20"/>
        </w:rPr>
        <w:t xml:space="preserve">Kreditanstalt fur Wiederaufbau por un monto de hasta US$21,7 millones. Este préstamo, cuyo vencimiento es en junio de 2023, devenga intereses a una tasa fija. </w:t>
      </w:r>
      <w:r w:rsidRPr="00EA7870">
        <w:rPr>
          <w:sz w:val="20"/>
          <w:szCs w:val="20"/>
          <w:lang w:val="es-AR" w:eastAsia="en-US"/>
        </w:rPr>
        <w:t>El saldo pendiente de este préstamo al 30 de junio de 201</w:t>
      </w:r>
      <w:r w:rsidR="004C4298" w:rsidRPr="00EA7870">
        <w:rPr>
          <w:sz w:val="20"/>
          <w:szCs w:val="20"/>
          <w:lang w:val="es-AR" w:eastAsia="en-US"/>
        </w:rPr>
        <w:t>9</w:t>
      </w:r>
      <w:r w:rsidRPr="00EA7870">
        <w:rPr>
          <w:sz w:val="20"/>
          <w:szCs w:val="20"/>
          <w:lang w:val="es-AR" w:eastAsia="en-US"/>
        </w:rPr>
        <w:t xml:space="preserve"> era de US$ 1</w:t>
      </w:r>
      <w:r w:rsidR="004C4298" w:rsidRPr="00EA7870">
        <w:rPr>
          <w:sz w:val="20"/>
          <w:szCs w:val="20"/>
          <w:lang w:val="es-AR" w:eastAsia="en-US"/>
        </w:rPr>
        <w:t>7</w:t>
      </w:r>
      <w:r w:rsidRPr="00EA7870">
        <w:rPr>
          <w:sz w:val="20"/>
          <w:szCs w:val="20"/>
          <w:lang w:val="es-AR" w:eastAsia="en-US"/>
        </w:rPr>
        <w:t>,</w:t>
      </w:r>
      <w:r w:rsidR="004C4298" w:rsidRPr="00EA7870">
        <w:rPr>
          <w:sz w:val="20"/>
          <w:szCs w:val="20"/>
          <w:lang w:val="es-AR" w:eastAsia="en-US"/>
        </w:rPr>
        <w:t>4</w:t>
      </w:r>
      <w:r w:rsidRPr="00EA7870">
        <w:rPr>
          <w:sz w:val="20"/>
          <w:szCs w:val="20"/>
          <w:lang w:val="es-AR" w:eastAsia="en-US"/>
        </w:rPr>
        <w:t xml:space="preserve"> millones.</w:t>
      </w:r>
    </w:p>
    <w:p w14:paraId="55C2CB65" w14:textId="77777777" w:rsidR="006633FE" w:rsidRPr="00EA7870" w:rsidRDefault="006633FE" w:rsidP="006633FE">
      <w:pPr>
        <w:jc w:val="both"/>
        <w:rPr>
          <w:sz w:val="20"/>
          <w:szCs w:val="20"/>
          <w:lang w:val="es-AR" w:eastAsia="en-US"/>
        </w:rPr>
      </w:pPr>
    </w:p>
    <w:p w14:paraId="2D01CDD0" w14:textId="77777777" w:rsidR="006633FE" w:rsidRPr="00EA7870" w:rsidRDefault="006633FE" w:rsidP="006633FE">
      <w:pPr>
        <w:pStyle w:val="Default"/>
        <w:jc w:val="both"/>
        <w:rPr>
          <w:lang w:val="es-AR" w:eastAsia="en-US"/>
        </w:rPr>
      </w:pPr>
      <w:r w:rsidRPr="00EA7870">
        <w:rPr>
          <w:sz w:val="20"/>
          <w:szCs w:val="20"/>
          <w:lang w:val="es-AR" w:eastAsia="en-US"/>
        </w:rPr>
        <w:t xml:space="preserve">El 22 de febrero de 2019, la subsidiaria de Pan American, Hokchi Energy S.A. de C.V., celebró un contrato de préstamo con un sindicato de cinco bancos por un monto de hasta US$290 millones. </w:t>
      </w:r>
      <w:r w:rsidRPr="00EA7870">
        <w:rPr>
          <w:sz w:val="20"/>
          <w:szCs w:val="20"/>
        </w:rPr>
        <w:t xml:space="preserve">Este préstamo, cuyo vencimiento es en febrero de 2024, devenga intereses a una tasa variable. </w:t>
      </w:r>
      <w:r w:rsidRPr="00EA7870">
        <w:rPr>
          <w:sz w:val="20"/>
          <w:szCs w:val="20"/>
          <w:lang w:val="es-AR" w:eastAsia="en-US"/>
        </w:rPr>
        <w:t>El saldo pendiente de este préstamo al 30 de junio de 2019 era de US$ 175 millones.</w:t>
      </w:r>
    </w:p>
    <w:p w14:paraId="39418286" w14:textId="77777777" w:rsidR="006633FE" w:rsidRPr="00EA7870" w:rsidRDefault="006633FE" w:rsidP="006633FE">
      <w:pPr>
        <w:jc w:val="both"/>
        <w:rPr>
          <w:sz w:val="20"/>
          <w:szCs w:val="20"/>
          <w:lang w:val="es-AR" w:eastAsia="en-US"/>
        </w:rPr>
      </w:pPr>
    </w:p>
    <w:p w14:paraId="21391FFB" w14:textId="77777777" w:rsidR="006633FE" w:rsidRPr="00EA7870" w:rsidRDefault="006633FE" w:rsidP="003B744B">
      <w:pPr>
        <w:keepNext/>
        <w:jc w:val="both"/>
        <w:rPr>
          <w:b/>
          <w:sz w:val="20"/>
          <w:szCs w:val="20"/>
          <w:lang w:val="es-AR"/>
        </w:rPr>
      </w:pPr>
      <w:r w:rsidRPr="00EA7870">
        <w:rPr>
          <w:b/>
          <w:sz w:val="20"/>
          <w:szCs w:val="20"/>
          <w:lang w:val="es-AR"/>
        </w:rPr>
        <w:t>Actualización de la sección “</w:t>
      </w:r>
      <w:r w:rsidRPr="00EA7870">
        <w:rPr>
          <w:b/>
          <w:i/>
          <w:sz w:val="20"/>
          <w:szCs w:val="20"/>
          <w:lang w:val="es-AR"/>
        </w:rPr>
        <w:t>Antecedentes Financieros de Pan American</w:t>
      </w:r>
      <w:r w:rsidRPr="00EA7870">
        <w:rPr>
          <w:i/>
          <w:color w:val="000000"/>
          <w:sz w:val="20"/>
          <w:szCs w:val="20"/>
          <w:lang w:val="es-AR"/>
        </w:rPr>
        <w:t>—</w:t>
      </w:r>
      <w:r w:rsidRPr="00EA7870">
        <w:rPr>
          <w:b/>
          <w:i/>
          <w:sz w:val="20"/>
          <w:szCs w:val="20"/>
          <w:lang w:val="es-AR"/>
        </w:rPr>
        <w:t>Reseña y perspectiva operativa y financiera</w:t>
      </w:r>
      <w:r w:rsidRPr="00EA7870">
        <w:rPr>
          <w:i/>
          <w:color w:val="000000"/>
          <w:sz w:val="20"/>
          <w:szCs w:val="20"/>
          <w:lang w:val="es-AR"/>
        </w:rPr>
        <w:t>—</w:t>
      </w:r>
      <w:r w:rsidRPr="00EA7870">
        <w:rPr>
          <w:b/>
          <w:i/>
          <w:sz w:val="20"/>
          <w:szCs w:val="20"/>
          <w:lang w:val="es-AR"/>
        </w:rPr>
        <w:t>Endeudamiento de la Emisora</w:t>
      </w:r>
      <w:r w:rsidRPr="00EA7870">
        <w:rPr>
          <w:b/>
          <w:sz w:val="20"/>
          <w:szCs w:val="20"/>
          <w:lang w:val="es-AR"/>
        </w:rPr>
        <w:t>” del Prospecto</w:t>
      </w:r>
    </w:p>
    <w:p w14:paraId="278C96BC" w14:textId="77777777" w:rsidR="006633FE" w:rsidRPr="00EA7870" w:rsidRDefault="006633FE" w:rsidP="006633FE">
      <w:pPr>
        <w:keepNext/>
        <w:rPr>
          <w:b/>
          <w:sz w:val="20"/>
          <w:szCs w:val="20"/>
          <w:lang w:val="es-AR"/>
        </w:rPr>
      </w:pPr>
    </w:p>
    <w:p w14:paraId="577F66C3" w14:textId="77777777" w:rsidR="006633FE" w:rsidRPr="00EA7870" w:rsidRDefault="006633FE" w:rsidP="006633FE">
      <w:pPr>
        <w:keepNext/>
        <w:jc w:val="both"/>
        <w:rPr>
          <w:sz w:val="20"/>
          <w:szCs w:val="20"/>
          <w:lang w:val="es-AR"/>
        </w:rPr>
      </w:pPr>
      <w:r w:rsidRPr="00EA7870">
        <w:rPr>
          <w:sz w:val="20"/>
          <w:szCs w:val="20"/>
          <w:lang w:val="es-AR"/>
        </w:rPr>
        <w:t>Con fecha 15 de octubre de 2019, la Sucursal emitió obligaciones negociables adicionales a las obligaciones negociables clase VII bajo el Programa por un monto de Ps.7.200.000.000 con vencimiento el 20 de noviembre de 2020 y que devengan intereses a una tasa variable equivalente a la tasa BADLAR privada.</w:t>
      </w:r>
    </w:p>
    <w:p w14:paraId="4D963715" w14:textId="77777777" w:rsidR="006633FE" w:rsidRPr="00EA7870" w:rsidRDefault="006633FE" w:rsidP="006633FE"/>
    <w:p w14:paraId="13D8AEBC" w14:textId="77777777" w:rsidR="004A7743" w:rsidRPr="00EA7870" w:rsidRDefault="004A7743" w:rsidP="00E37F0A">
      <w:pPr>
        <w:keepNext/>
        <w:rPr>
          <w:b/>
          <w:sz w:val="20"/>
          <w:szCs w:val="20"/>
          <w:lang w:val="es-AR"/>
        </w:rPr>
      </w:pPr>
    </w:p>
    <w:p w14:paraId="4D50C665" w14:textId="77777777" w:rsidR="0010523F" w:rsidRDefault="00D5058B" w:rsidP="003C1E6C">
      <w:pPr>
        <w:pStyle w:val="Ttulo1"/>
        <w:spacing w:before="0" w:after="0"/>
        <w:jc w:val="center"/>
        <w:rPr>
          <w:rFonts w:ascii="Times New Roman" w:hAnsi="Times New Roman"/>
          <w:sz w:val="20"/>
          <w:lang w:val="es-AR"/>
        </w:rPr>
        <w:sectPr w:rsidR="0010523F" w:rsidSect="00AD76BB">
          <w:footerReference w:type="default" r:id="rId18"/>
          <w:footerReference w:type="first" r:id="rId19"/>
          <w:pgSz w:w="11906" w:h="16838"/>
          <w:pgMar w:top="1417" w:right="1701" w:bottom="1417" w:left="1701" w:header="708" w:footer="708" w:gutter="0"/>
          <w:cols w:space="708"/>
          <w:titlePg/>
          <w:docGrid w:linePitch="360"/>
        </w:sectPr>
      </w:pPr>
      <w:r w:rsidRPr="00EA7870">
        <w:rPr>
          <w:rFonts w:ascii="Times New Roman" w:hAnsi="Times New Roman"/>
          <w:sz w:val="20"/>
          <w:lang w:val="es-AR"/>
        </w:rPr>
        <w:br w:type="page"/>
      </w:r>
    </w:p>
    <w:p w14:paraId="26B7C8FF" w14:textId="77777777" w:rsidR="00F6088C" w:rsidRPr="00446439" w:rsidRDefault="00F6088C" w:rsidP="00F6088C">
      <w:pPr>
        <w:pStyle w:val="Ttulo1"/>
        <w:jc w:val="center"/>
        <w:rPr>
          <w:rFonts w:ascii="Times New Roman" w:hAnsi="Times New Roman"/>
          <w:b w:val="0"/>
          <w:color w:val="000000" w:themeColor="text1"/>
          <w:sz w:val="20"/>
          <w:lang w:val="es-ES"/>
        </w:rPr>
      </w:pPr>
      <w:bookmarkStart w:id="141" w:name="_Toc523164537"/>
      <w:bookmarkStart w:id="142" w:name="_Toc24360371"/>
      <w:bookmarkStart w:id="143" w:name="_Toc24363276"/>
      <w:r w:rsidRPr="00446439">
        <w:rPr>
          <w:rFonts w:ascii="Times New Roman" w:hAnsi="Times New Roman"/>
          <w:color w:val="000000" w:themeColor="text1"/>
          <w:sz w:val="20"/>
          <w:lang w:val="es-ES"/>
        </w:rPr>
        <w:t>ANEXO I</w:t>
      </w:r>
      <w:bookmarkEnd w:id="141"/>
      <w:bookmarkEnd w:id="142"/>
      <w:bookmarkEnd w:id="143"/>
    </w:p>
    <w:p w14:paraId="7602BC61" w14:textId="77777777" w:rsidR="004D25D4" w:rsidRPr="00446439" w:rsidRDefault="004D25D4" w:rsidP="004D25D4">
      <w:pPr>
        <w:pStyle w:val="Ttulo1"/>
        <w:jc w:val="center"/>
        <w:rPr>
          <w:rFonts w:ascii="Times New Roman" w:hAnsi="Times New Roman"/>
          <w:b w:val="0"/>
          <w:color w:val="000000" w:themeColor="text1"/>
          <w:sz w:val="20"/>
          <w:lang w:val="es-ES"/>
        </w:rPr>
      </w:pPr>
      <w:bookmarkStart w:id="144" w:name="_Toc387654037"/>
      <w:bookmarkStart w:id="145" w:name="_Toc523149638"/>
      <w:bookmarkStart w:id="146" w:name="_Toc523164538"/>
      <w:bookmarkStart w:id="147" w:name="_Toc24360372"/>
      <w:bookmarkStart w:id="148" w:name="_Toc24363277"/>
      <w:r w:rsidRPr="00446439">
        <w:rPr>
          <w:rFonts w:ascii="Times New Roman" w:hAnsi="Times New Roman"/>
          <w:color w:val="000000" w:themeColor="text1"/>
          <w:sz w:val="20"/>
          <w:lang w:val="es-ES"/>
        </w:rPr>
        <w:t xml:space="preserve">ESTADOS </w:t>
      </w:r>
      <w:r>
        <w:rPr>
          <w:rFonts w:ascii="Times New Roman" w:hAnsi="Times New Roman"/>
          <w:color w:val="000000" w:themeColor="text1"/>
          <w:sz w:val="20"/>
          <w:lang w:val="es-ES"/>
        </w:rPr>
        <w:t>CONTABLES POR EL PERÍODO DE NUEVE MESES FINALIZADO</w:t>
      </w:r>
      <w:r w:rsidRPr="00446439">
        <w:rPr>
          <w:rFonts w:ascii="Times New Roman" w:hAnsi="Times New Roman"/>
          <w:color w:val="000000" w:themeColor="text1"/>
          <w:sz w:val="20"/>
          <w:lang w:val="es-ES"/>
        </w:rPr>
        <w:t xml:space="preserve"> </w:t>
      </w:r>
      <w:r>
        <w:rPr>
          <w:rFonts w:ascii="Times New Roman" w:hAnsi="Times New Roman"/>
          <w:color w:val="000000" w:themeColor="text1"/>
          <w:sz w:val="20"/>
          <w:lang w:val="es-ES"/>
        </w:rPr>
        <w:t>EL</w:t>
      </w:r>
      <w:r w:rsidRPr="00446439">
        <w:rPr>
          <w:rFonts w:ascii="Times New Roman" w:hAnsi="Times New Roman"/>
          <w:color w:val="000000" w:themeColor="text1"/>
          <w:sz w:val="20"/>
          <w:lang w:val="es-ES"/>
        </w:rPr>
        <w:t xml:space="preserve"> 30 DE </w:t>
      </w:r>
      <w:r>
        <w:rPr>
          <w:rFonts w:ascii="Times New Roman" w:hAnsi="Times New Roman"/>
          <w:color w:val="000000" w:themeColor="text1"/>
          <w:sz w:val="20"/>
          <w:lang w:val="es-ES"/>
        </w:rPr>
        <w:t>SEPTIEMBRE</w:t>
      </w:r>
      <w:r w:rsidRPr="00446439">
        <w:rPr>
          <w:rFonts w:ascii="Times New Roman" w:hAnsi="Times New Roman"/>
          <w:color w:val="000000" w:themeColor="text1"/>
          <w:sz w:val="20"/>
          <w:lang w:val="es-ES"/>
        </w:rPr>
        <w:t xml:space="preserve"> DE 201</w:t>
      </w:r>
      <w:bookmarkEnd w:id="144"/>
      <w:bookmarkEnd w:id="145"/>
      <w:r>
        <w:rPr>
          <w:rFonts w:ascii="Times New Roman" w:hAnsi="Times New Roman"/>
          <w:color w:val="000000" w:themeColor="text1"/>
          <w:sz w:val="20"/>
          <w:lang w:val="es-ES"/>
        </w:rPr>
        <w:t>9</w:t>
      </w:r>
      <w:r w:rsidRPr="00446439">
        <w:rPr>
          <w:rFonts w:ascii="Times New Roman" w:hAnsi="Times New Roman"/>
          <w:color w:val="000000" w:themeColor="text1"/>
          <w:sz w:val="20"/>
          <w:lang w:val="es-ES"/>
        </w:rPr>
        <w:t xml:space="preserve"> DE LA EMISORA</w:t>
      </w:r>
      <w:bookmarkEnd w:id="146"/>
      <w:bookmarkEnd w:id="147"/>
      <w:bookmarkEnd w:id="148"/>
    </w:p>
    <w:p w14:paraId="751BA848" w14:textId="77777777" w:rsidR="0010523F" w:rsidRPr="003166CB" w:rsidRDefault="0010523F" w:rsidP="0010523F">
      <w:pPr>
        <w:spacing w:after="200" w:line="276" w:lineRule="auto"/>
        <w:ind w:left="720"/>
        <w:contextualSpacing/>
        <w:rPr>
          <w:rFonts w:ascii="Calibri" w:eastAsia="Calibri" w:hAnsi="Calibri" w:cs="Arial"/>
          <w:sz w:val="22"/>
          <w:szCs w:val="22"/>
          <w:lang w:val="es-AR" w:eastAsia="en-US"/>
        </w:rPr>
      </w:pPr>
    </w:p>
    <w:p w14:paraId="4113DA4D" w14:textId="77777777" w:rsidR="0010523F" w:rsidRPr="003166CB" w:rsidRDefault="0010523F" w:rsidP="0010523F">
      <w:pPr>
        <w:spacing w:after="200" w:line="276" w:lineRule="auto"/>
        <w:ind w:left="720"/>
        <w:contextualSpacing/>
        <w:rPr>
          <w:rFonts w:ascii="Calibri" w:eastAsia="Calibri" w:hAnsi="Calibri" w:cs="Arial"/>
          <w:sz w:val="22"/>
          <w:szCs w:val="22"/>
          <w:lang w:val="es-AR" w:eastAsia="en-US"/>
        </w:rPr>
      </w:pPr>
    </w:p>
    <w:p w14:paraId="31AA9776" w14:textId="77777777" w:rsidR="0010523F" w:rsidRPr="0010523F" w:rsidRDefault="0010523F" w:rsidP="0010523F">
      <w:pPr>
        <w:spacing w:line="220" w:lineRule="exact"/>
        <w:ind w:left="851"/>
        <w:jc w:val="both"/>
        <w:rPr>
          <w:sz w:val="23"/>
          <w:szCs w:val="23"/>
          <w:lang w:val="es-AR" w:eastAsia="en-US"/>
        </w:rPr>
      </w:pPr>
    </w:p>
    <w:p w14:paraId="78815B63" w14:textId="77777777" w:rsidR="0010523F" w:rsidRPr="0010523F" w:rsidRDefault="0010523F" w:rsidP="0010523F">
      <w:pPr>
        <w:spacing w:line="220" w:lineRule="exact"/>
        <w:ind w:left="851"/>
        <w:jc w:val="both"/>
        <w:rPr>
          <w:sz w:val="23"/>
          <w:szCs w:val="23"/>
          <w:lang w:val="es-AR" w:eastAsia="en-US"/>
        </w:rPr>
      </w:pPr>
    </w:p>
    <w:p w14:paraId="159BD6C9" w14:textId="77777777" w:rsidR="0010523F" w:rsidRPr="0010523F" w:rsidRDefault="0010523F" w:rsidP="0010523F">
      <w:pPr>
        <w:spacing w:line="220" w:lineRule="exact"/>
        <w:ind w:left="851"/>
        <w:jc w:val="both"/>
        <w:rPr>
          <w:sz w:val="23"/>
          <w:szCs w:val="23"/>
          <w:lang w:val="es-AR" w:eastAsia="en-US"/>
        </w:rPr>
      </w:pPr>
    </w:p>
    <w:p w14:paraId="168B8D34" w14:textId="77777777" w:rsidR="0010523F" w:rsidRPr="0010523F" w:rsidRDefault="0010523F" w:rsidP="0010523F">
      <w:pPr>
        <w:tabs>
          <w:tab w:val="left" w:pos="4820"/>
        </w:tabs>
        <w:spacing w:line="220" w:lineRule="exact"/>
        <w:ind w:left="851"/>
        <w:jc w:val="both"/>
        <w:rPr>
          <w:sz w:val="23"/>
          <w:szCs w:val="23"/>
          <w:lang w:val="es-AR" w:eastAsia="en-US"/>
        </w:rPr>
      </w:pPr>
    </w:p>
    <w:p w14:paraId="02B4AF81" w14:textId="77777777" w:rsidR="0010523F" w:rsidRPr="0010523F" w:rsidRDefault="0010523F" w:rsidP="0010523F">
      <w:pPr>
        <w:spacing w:line="220" w:lineRule="exact"/>
        <w:ind w:left="851"/>
        <w:jc w:val="both"/>
        <w:rPr>
          <w:sz w:val="23"/>
          <w:szCs w:val="23"/>
          <w:lang w:val="es-AR" w:eastAsia="en-US"/>
        </w:rPr>
      </w:pPr>
    </w:p>
    <w:p w14:paraId="68BD9066" w14:textId="77777777" w:rsidR="0010523F" w:rsidRPr="0010523F" w:rsidRDefault="0010523F" w:rsidP="0010523F">
      <w:pPr>
        <w:tabs>
          <w:tab w:val="left" w:pos="5749"/>
        </w:tabs>
        <w:spacing w:line="280" w:lineRule="exact"/>
        <w:ind w:left="851"/>
        <w:jc w:val="both"/>
        <w:rPr>
          <w:sz w:val="23"/>
          <w:szCs w:val="23"/>
          <w:lang w:val="es-AR" w:eastAsia="en-US"/>
        </w:rPr>
      </w:pPr>
    </w:p>
    <w:p w14:paraId="4B597D29" w14:textId="77777777" w:rsidR="0010523F" w:rsidRPr="0010523F" w:rsidRDefault="0010523F" w:rsidP="0010523F">
      <w:pPr>
        <w:ind w:left="851"/>
        <w:jc w:val="both"/>
        <w:rPr>
          <w:b/>
          <w:sz w:val="28"/>
          <w:szCs w:val="28"/>
          <w:lang w:val="es-AR" w:eastAsia="en-US"/>
        </w:rPr>
      </w:pPr>
      <w:r w:rsidRPr="0010523F">
        <w:rPr>
          <w:b/>
          <w:sz w:val="28"/>
          <w:szCs w:val="28"/>
          <w:lang w:val="es-AR" w:eastAsia="en-US"/>
        </w:rPr>
        <w:t>PAN AMERICAN ENERGY, S.L., SUCURSAL ARGENTINA</w:t>
      </w:r>
    </w:p>
    <w:p w14:paraId="43237226" w14:textId="77777777" w:rsidR="0010523F" w:rsidRPr="0010523F" w:rsidRDefault="0010523F" w:rsidP="0010523F">
      <w:pPr>
        <w:ind w:left="851"/>
        <w:jc w:val="both"/>
        <w:rPr>
          <w:sz w:val="28"/>
          <w:szCs w:val="28"/>
          <w:lang w:val="es-AR" w:eastAsia="en-US"/>
        </w:rPr>
      </w:pPr>
    </w:p>
    <w:p w14:paraId="41DEF6FE" w14:textId="77777777" w:rsidR="0010523F" w:rsidRPr="0010523F" w:rsidRDefault="0010523F" w:rsidP="0010523F">
      <w:pPr>
        <w:ind w:left="851"/>
        <w:jc w:val="both"/>
        <w:rPr>
          <w:sz w:val="28"/>
          <w:szCs w:val="28"/>
          <w:lang w:val="es-AR" w:eastAsia="en-US"/>
        </w:rPr>
      </w:pPr>
    </w:p>
    <w:p w14:paraId="21B64A4A" w14:textId="77777777" w:rsidR="0010523F" w:rsidRPr="0010523F" w:rsidRDefault="0010523F" w:rsidP="0010523F">
      <w:pPr>
        <w:ind w:left="851"/>
        <w:jc w:val="both"/>
        <w:rPr>
          <w:sz w:val="28"/>
          <w:szCs w:val="28"/>
          <w:lang w:val="es-AR" w:eastAsia="en-US"/>
        </w:rPr>
      </w:pPr>
    </w:p>
    <w:p w14:paraId="694CAE74" w14:textId="77777777" w:rsidR="0010523F" w:rsidRPr="0010523F" w:rsidRDefault="0010523F" w:rsidP="0010523F">
      <w:pPr>
        <w:ind w:left="851"/>
        <w:jc w:val="both"/>
        <w:rPr>
          <w:sz w:val="28"/>
          <w:szCs w:val="28"/>
          <w:lang w:val="es-AR" w:eastAsia="en-US"/>
        </w:rPr>
      </w:pPr>
    </w:p>
    <w:p w14:paraId="3DCD9379" w14:textId="77777777" w:rsidR="0010523F" w:rsidRPr="0010523F" w:rsidRDefault="0010523F" w:rsidP="0010523F">
      <w:pPr>
        <w:ind w:left="851"/>
        <w:jc w:val="both"/>
        <w:rPr>
          <w:sz w:val="28"/>
          <w:szCs w:val="28"/>
          <w:lang w:val="es-AR" w:eastAsia="en-US"/>
        </w:rPr>
      </w:pPr>
    </w:p>
    <w:p w14:paraId="129F620D" w14:textId="77777777" w:rsidR="0010523F" w:rsidRPr="0010523F" w:rsidRDefault="0010523F" w:rsidP="0010523F">
      <w:pPr>
        <w:ind w:left="851"/>
        <w:jc w:val="both"/>
        <w:rPr>
          <w:sz w:val="28"/>
          <w:szCs w:val="28"/>
          <w:lang w:val="es-AR" w:eastAsia="en-US"/>
        </w:rPr>
      </w:pPr>
    </w:p>
    <w:p w14:paraId="07813F14" w14:textId="77777777" w:rsidR="0010523F" w:rsidRPr="0010523F" w:rsidRDefault="0010523F" w:rsidP="0010523F">
      <w:pPr>
        <w:ind w:left="851"/>
        <w:jc w:val="both"/>
        <w:rPr>
          <w:sz w:val="28"/>
          <w:szCs w:val="28"/>
          <w:lang w:val="es-AR" w:eastAsia="en-US"/>
        </w:rPr>
      </w:pPr>
    </w:p>
    <w:p w14:paraId="045D9825" w14:textId="77777777" w:rsidR="0010523F" w:rsidRPr="0010523F" w:rsidRDefault="0010523F" w:rsidP="0010523F">
      <w:pPr>
        <w:ind w:left="851"/>
        <w:jc w:val="both"/>
        <w:rPr>
          <w:sz w:val="28"/>
          <w:szCs w:val="28"/>
          <w:lang w:val="es-AR" w:eastAsia="en-US"/>
        </w:rPr>
      </w:pPr>
    </w:p>
    <w:p w14:paraId="15A2678F" w14:textId="77777777" w:rsidR="0010523F" w:rsidRPr="0010523F" w:rsidRDefault="0010523F" w:rsidP="0010523F">
      <w:pPr>
        <w:ind w:left="851" w:right="708"/>
        <w:rPr>
          <w:b/>
          <w:sz w:val="28"/>
          <w:szCs w:val="28"/>
          <w:lang w:val="es-AR" w:eastAsia="en-US"/>
        </w:rPr>
      </w:pPr>
      <w:r w:rsidRPr="0010523F">
        <w:rPr>
          <w:b/>
          <w:sz w:val="28"/>
          <w:szCs w:val="28"/>
          <w:lang w:val="es-AR" w:eastAsia="en-US"/>
        </w:rPr>
        <w:t xml:space="preserve">ESTADOS FINANCIEROS INTERMEDIOS CONDENSADOS </w:t>
      </w:r>
    </w:p>
    <w:p w14:paraId="126BA18F" w14:textId="77777777" w:rsidR="0010523F" w:rsidRPr="0010523F" w:rsidRDefault="0010523F" w:rsidP="0010523F">
      <w:pPr>
        <w:ind w:left="851" w:right="708"/>
        <w:rPr>
          <w:b/>
          <w:sz w:val="28"/>
          <w:szCs w:val="28"/>
          <w:lang w:val="es-AR" w:eastAsia="en-US"/>
        </w:rPr>
      </w:pPr>
      <w:r w:rsidRPr="0010523F">
        <w:rPr>
          <w:b/>
          <w:sz w:val="28"/>
          <w:szCs w:val="28"/>
          <w:lang w:val="es-AR" w:eastAsia="en-US"/>
        </w:rPr>
        <w:t>AL 30 DE SEPTIEMBRE DE 2019</w:t>
      </w:r>
    </w:p>
    <w:p w14:paraId="46219ECD" w14:textId="77777777" w:rsidR="0010523F" w:rsidRPr="0010523F" w:rsidRDefault="0010523F" w:rsidP="0010523F">
      <w:pPr>
        <w:spacing w:line="220" w:lineRule="exact"/>
        <w:ind w:left="851"/>
        <w:jc w:val="both"/>
        <w:rPr>
          <w:sz w:val="23"/>
          <w:szCs w:val="23"/>
          <w:lang w:val="es-AR" w:eastAsia="en-US"/>
        </w:rPr>
      </w:pPr>
    </w:p>
    <w:p w14:paraId="12D5ECA0" w14:textId="77777777" w:rsidR="0010523F" w:rsidRPr="0010523F" w:rsidRDefault="0010523F" w:rsidP="0010523F">
      <w:pPr>
        <w:spacing w:line="220" w:lineRule="exact"/>
        <w:ind w:left="851"/>
        <w:jc w:val="both"/>
        <w:rPr>
          <w:sz w:val="23"/>
          <w:szCs w:val="23"/>
          <w:lang w:val="es-AR" w:eastAsia="en-US"/>
        </w:rPr>
      </w:pPr>
    </w:p>
    <w:p w14:paraId="3117B001" w14:textId="77777777" w:rsidR="00751D9D" w:rsidRDefault="00751D9D" w:rsidP="0010523F">
      <w:pPr>
        <w:spacing w:line="220" w:lineRule="exact"/>
        <w:jc w:val="both"/>
        <w:rPr>
          <w:sz w:val="23"/>
          <w:szCs w:val="23"/>
          <w:lang w:val="es-AR" w:eastAsia="en-US"/>
        </w:rPr>
        <w:sectPr w:rsidR="00751D9D" w:rsidSect="00586593">
          <w:headerReference w:type="default" r:id="rId20"/>
          <w:footerReference w:type="even" r:id="rId21"/>
          <w:footerReference w:type="default" r:id="rId22"/>
          <w:headerReference w:type="first" r:id="rId23"/>
          <w:footerReference w:type="first" r:id="rId24"/>
          <w:pgSz w:w="11907" w:h="16840" w:code="9"/>
          <w:pgMar w:top="1134" w:right="1134" w:bottom="1134" w:left="1134" w:header="720" w:footer="720" w:gutter="0"/>
          <w:paperSrc w:first="7" w:other="7"/>
          <w:cols w:space="720"/>
          <w:titlePg/>
        </w:sectPr>
      </w:pPr>
    </w:p>
    <w:p w14:paraId="3FE8FA73" w14:textId="77777777" w:rsidR="0010523F" w:rsidRPr="0010523F" w:rsidRDefault="0010523F" w:rsidP="0010523F">
      <w:pPr>
        <w:tabs>
          <w:tab w:val="right" w:leader="dot" w:pos="9600"/>
        </w:tabs>
        <w:spacing w:line="260" w:lineRule="exact"/>
        <w:jc w:val="both"/>
        <w:rPr>
          <w:b/>
          <w:lang w:val="es-AR" w:eastAsia="en-US"/>
        </w:rPr>
      </w:pPr>
      <w:r w:rsidRPr="0010523F">
        <w:rPr>
          <w:b/>
          <w:lang w:val="es-AR" w:eastAsia="en-US"/>
        </w:rPr>
        <w:t>PAN AMERICAN ENERGY, S.L., SUCURSAL ARGENTINA</w:t>
      </w:r>
    </w:p>
    <w:p w14:paraId="67DCD1A9" w14:textId="77777777" w:rsidR="0010523F" w:rsidRPr="0010523F" w:rsidRDefault="0010523F" w:rsidP="0010523F">
      <w:pPr>
        <w:tabs>
          <w:tab w:val="right" w:pos="9600"/>
        </w:tabs>
        <w:spacing w:line="120" w:lineRule="exact"/>
        <w:jc w:val="both"/>
        <w:rPr>
          <w:sz w:val="22"/>
          <w:szCs w:val="22"/>
          <w:lang w:val="es-AR" w:eastAsia="en-US"/>
        </w:rPr>
      </w:pPr>
    </w:p>
    <w:p w14:paraId="1D642FF7" w14:textId="77777777" w:rsidR="0010523F" w:rsidRPr="0010523F" w:rsidRDefault="0010523F" w:rsidP="0010523F">
      <w:pPr>
        <w:spacing w:line="220" w:lineRule="exact"/>
        <w:ind w:right="-142"/>
        <w:jc w:val="both"/>
        <w:rPr>
          <w:lang w:val="es-AR" w:eastAsia="en-US"/>
        </w:rPr>
      </w:pPr>
      <w:r w:rsidRPr="0010523F">
        <w:rPr>
          <w:b/>
          <w:lang w:val="es-AR" w:eastAsia="en-US"/>
        </w:rPr>
        <w:t xml:space="preserve">ESTADOS FINANCIEROS INTERMEDIOS CONDENSADOS </w:t>
      </w:r>
      <w:r w:rsidRPr="0010523F">
        <w:rPr>
          <w:lang w:val="es-AR" w:eastAsia="en-US"/>
        </w:rPr>
        <w:t>al 30 de septiembre de 2019, correspondientes al período de nueve meses iniciado el 1 de enero de 2019 y finalizado el 30 de septiembre de 2019, presentados en forma comparativa</w:t>
      </w:r>
    </w:p>
    <w:p w14:paraId="2790DBF7" w14:textId="77777777" w:rsidR="0010523F" w:rsidRPr="0010523F" w:rsidRDefault="0010523F" w:rsidP="0010523F">
      <w:pPr>
        <w:spacing w:line="220" w:lineRule="exact"/>
        <w:ind w:right="-142"/>
        <w:jc w:val="both"/>
        <w:rPr>
          <w:lang w:val="es-AR" w:eastAsia="en-US"/>
        </w:rPr>
      </w:pPr>
    </w:p>
    <w:tbl>
      <w:tblPr>
        <w:tblW w:w="10069" w:type="dxa"/>
        <w:tblInd w:w="55" w:type="dxa"/>
        <w:tblCellMar>
          <w:left w:w="70" w:type="dxa"/>
          <w:right w:w="70" w:type="dxa"/>
        </w:tblCellMar>
        <w:tblLook w:val="04A0" w:firstRow="1" w:lastRow="0" w:firstColumn="1" w:lastColumn="0" w:noHBand="0" w:noVBand="1"/>
      </w:tblPr>
      <w:tblGrid>
        <w:gridCol w:w="1180"/>
        <w:gridCol w:w="8049"/>
        <w:gridCol w:w="840"/>
      </w:tblGrid>
      <w:tr w:rsidR="0010523F" w:rsidRPr="0010523F" w14:paraId="2AF1D92A" w14:textId="77777777" w:rsidTr="00774E7E">
        <w:trPr>
          <w:trHeight w:val="312"/>
        </w:trPr>
        <w:tc>
          <w:tcPr>
            <w:tcW w:w="1180" w:type="dxa"/>
            <w:tcBorders>
              <w:top w:val="nil"/>
              <w:left w:val="nil"/>
              <w:bottom w:val="nil"/>
              <w:right w:val="nil"/>
            </w:tcBorders>
            <w:shd w:val="clear" w:color="auto" w:fill="auto"/>
            <w:noWrap/>
            <w:vAlign w:val="center"/>
            <w:hideMark/>
          </w:tcPr>
          <w:p w14:paraId="7B536646" w14:textId="77777777" w:rsidR="0010523F" w:rsidRPr="0010523F" w:rsidRDefault="0010523F" w:rsidP="0010523F">
            <w:pPr>
              <w:rPr>
                <w:b/>
                <w:bCs/>
                <w:lang w:val="es-AR" w:eastAsia="es-AR"/>
              </w:rPr>
            </w:pPr>
            <w:r w:rsidRPr="0010523F">
              <w:rPr>
                <w:b/>
                <w:bCs/>
                <w:lang w:val="es-AR" w:eastAsia="es-AR"/>
              </w:rPr>
              <w:t xml:space="preserve">Índice </w:t>
            </w:r>
          </w:p>
        </w:tc>
        <w:tc>
          <w:tcPr>
            <w:tcW w:w="8049" w:type="dxa"/>
            <w:tcBorders>
              <w:top w:val="nil"/>
              <w:left w:val="nil"/>
              <w:bottom w:val="nil"/>
              <w:right w:val="nil"/>
            </w:tcBorders>
            <w:shd w:val="clear" w:color="auto" w:fill="auto"/>
            <w:noWrap/>
            <w:vAlign w:val="center"/>
            <w:hideMark/>
          </w:tcPr>
          <w:p w14:paraId="49877993" w14:textId="77777777" w:rsidR="0010523F" w:rsidRPr="0010523F" w:rsidRDefault="0010523F" w:rsidP="0010523F">
            <w:pPr>
              <w:rPr>
                <w:b/>
                <w:bCs/>
                <w:sz w:val="22"/>
                <w:szCs w:val="22"/>
                <w:lang w:val="es-AR" w:eastAsia="es-AR"/>
              </w:rPr>
            </w:pPr>
          </w:p>
        </w:tc>
        <w:tc>
          <w:tcPr>
            <w:tcW w:w="840" w:type="dxa"/>
            <w:tcBorders>
              <w:top w:val="nil"/>
              <w:left w:val="nil"/>
              <w:bottom w:val="nil"/>
              <w:right w:val="nil"/>
            </w:tcBorders>
            <w:shd w:val="clear" w:color="auto" w:fill="auto"/>
            <w:noWrap/>
            <w:vAlign w:val="bottom"/>
            <w:hideMark/>
          </w:tcPr>
          <w:p w14:paraId="6D4FD6D7" w14:textId="77777777" w:rsidR="0010523F" w:rsidRPr="0010523F" w:rsidRDefault="0010523F" w:rsidP="0010523F">
            <w:pPr>
              <w:jc w:val="right"/>
              <w:rPr>
                <w:color w:val="000000"/>
                <w:sz w:val="22"/>
                <w:szCs w:val="22"/>
                <w:lang w:val="es-AR" w:eastAsia="es-AR"/>
              </w:rPr>
            </w:pPr>
          </w:p>
        </w:tc>
      </w:tr>
      <w:tr w:rsidR="0010523F" w:rsidRPr="0010523F" w14:paraId="57898C22" w14:textId="77777777" w:rsidTr="00774E7E">
        <w:trPr>
          <w:trHeight w:val="288"/>
        </w:trPr>
        <w:tc>
          <w:tcPr>
            <w:tcW w:w="1180" w:type="dxa"/>
            <w:tcBorders>
              <w:top w:val="nil"/>
              <w:left w:val="nil"/>
              <w:bottom w:val="nil"/>
              <w:right w:val="nil"/>
            </w:tcBorders>
            <w:shd w:val="clear" w:color="auto" w:fill="auto"/>
            <w:noWrap/>
            <w:vAlign w:val="bottom"/>
            <w:hideMark/>
          </w:tcPr>
          <w:p w14:paraId="1B24D8D5" w14:textId="77777777" w:rsidR="0010523F" w:rsidRPr="0010523F" w:rsidRDefault="0010523F" w:rsidP="0010523F">
            <w:pPr>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6F9F1C2C"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center"/>
            <w:hideMark/>
          </w:tcPr>
          <w:p w14:paraId="4608B80C" w14:textId="77777777" w:rsidR="0010523F" w:rsidRPr="0010523F" w:rsidRDefault="0010523F" w:rsidP="0010523F">
            <w:pPr>
              <w:jc w:val="right"/>
              <w:rPr>
                <w:b/>
                <w:bCs/>
                <w:color w:val="000000"/>
                <w:sz w:val="22"/>
                <w:szCs w:val="22"/>
                <w:u w:val="single"/>
                <w:lang w:val="es-AR" w:eastAsia="es-AR"/>
              </w:rPr>
            </w:pPr>
            <w:r w:rsidRPr="0010523F">
              <w:rPr>
                <w:b/>
                <w:bCs/>
                <w:color w:val="000000"/>
                <w:sz w:val="22"/>
                <w:szCs w:val="22"/>
                <w:u w:val="single"/>
                <w:lang w:val="es-AR" w:eastAsia="es-AR"/>
              </w:rPr>
              <w:t>Página</w:t>
            </w:r>
          </w:p>
        </w:tc>
      </w:tr>
      <w:tr w:rsidR="0010523F" w:rsidRPr="0010523F" w14:paraId="621755F7" w14:textId="77777777" w:rsidTr="00774E7E">
        <w:trPr>
          <w:trHeight w:val="120"/>
        </w:trPr>
        <w:tc>
          <w:tcPr>
            <w:tcW w:w="1180" w:type="dxa"/>
            <w:tcBorders>
              <w:top w:val="nil"/>
              <w:left w:val="nil"/>
              <w:bottom w:val="nil"/>
              <w:right w:val="nil"/>
            </w:tcBorders>
            <w:shd w:val="clear" w:color="auto" w:fill="auto"/>
            <w:noWrap/>
            <w:vAlign w:val="center"/>
            <w:hideMark/>
          </w:tcPr>
          <w:p w14:paraId="52D1E425" w14:textId="77777777" w:rsidR="0010523F" w:rsidRPr="0010523F" w:rsidRDefault="0010523F" w:rsidP="0010523F">
            <w:pPr>
              <w:jc w:val="both"/>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592A3994"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43EFD050" w14:textId="77777777" w:rsidR="0010523F" w:rsidRPr="0010523F" w:rsidRDefault="0010523F" w:rsidP="0010523F">
            <w:pPr>
              <w:jc w:val="right"/>
              <w:rPr>
                <w:color w:val="000000"/>
                <w:sz w:val="22"/>
                <w:szCs w:val="22"/>
                <w:lang w:val="es-AR" w:eastAsia="es-AR"/>
              </w:rPr>
            </w:pPr>
          </w:p>
        </w:tc>
      </w:tr>
      <w:tr w:rsidR="0010523F" w:rsidRPr="0010523F" w14:paraId="440CE849" w14:textId="77777777" w:rsidTr="00774E7E">
        <w:trPr>
          <w:trHeight w:val="288"/>
        </w:trPr>
        <w:tc>
          <w:tcPr>
            <w:tcW w:w="9229" w:type="dxa"/>
            <w:gridSpan w:val="2"/>
            <w:tcBorders>
              <w:top w:val="nil"/>
              <w:left w:val="nil"/>
              <w:bottom w:val="nil"/>
              <w:right w:val="nil"/>
            </w:tcBorders>
            <w:shd w:val="clear" w:color="auto" w:fill="auto"/>
            <w:noWrap/>
            <w:vAlign w:val="center"/>
            <w:hideMark/>
          </w:tcPr>
          <w:p w14:paraId="3449DAD2"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Información jurídica</w:t>
            </w:r>
          </w:p>
        </w:tc>
        <w:tc>
          <w:tcPr>
            <w:tcW w:w="840" w:type="dxa"/>
            <w:tcBorders>
              <w:top w:val="nil"/>
              <w:left w:val="nil"/>
              <w:bottom w:val="nil"/>
              <w:right w:val="nil"/>
            </w:tcBorders>
            <w:shd w:val="clear" w:color="auto" w:fill="auto"/>
            <w:noWrap/>
            <w:vAlign w:val="center"/>
            <w:hideMark/>
          </w:tcPr>
          <w:p w14:paraId="105C67F5"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1</w:t>
            </w:r>
          </w:p>
        </w:tc>
      </w:tr>
      <w:tr w:rsidR="0010523F" w:rsidRPr="0010523F" w14:paraId="4D463EBC" w14:textId="77777777" w:rsidTr="00774E7E">
        <w:trPr>
          <w:trHeight w:val="72"/>
        </w:trPr>
        <w:tc>
          <w:tcPr>
            <w:tcW w:w="1180" w:type="dxa"/>
            <w:tcBorders>
              <w:top w:val="nil"/>
              <w:left w:val="nil"/>
              <w:bottom w:val="nil"/>
              <w:right w:val="nil"/>
            </w:tcBorders>
            <w:shd w:val="clear" w:color="auto" w:fill="auto"/>
            <w:noWrap/>
            <w:vAlign w:val="center"/>
            <w:hideMark/>
          </w:tcPr>
          <w:p w14:paraId="3E3820E5" w14:textId="77777777" w:rsidR="0010523F" w:rsidRPr="0010523F" w:rsidRDefault="0010523F" w:rsidP="0010523F">
            <w:pPr>
              <w:jc w:val="both"/>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0A52CC02"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256921E6" w14:textId="77777777" w:rsidR="0010523F" w:rsidRPr="0010523F" w:rsidRDefault="0010523F" w:rsidP="0010523F">
            <w:pPr>
              <w:jc w:val="right"/>
              <w:rPr>
                <w:color w:val="000000"/>
                <w:sz w:val="22"/>
                <w:szCs w:val="22"/>
                <w:lang w:val="es-AR" w:eastAsia="es-AR"/>
              </w:rPr>
            </w:pPr>
          </w:p>
        </w:tc>
      </w:tr>
      <w:tr w:rsidR="0010523F" w:rsidRPr="0010523F" w14:paraId="6DBD3131" w14:textId="77777777" w:rsidTr="00774E7E">
        <w:trPr>
          <w:trHeight w:val="288"/>
        </w:trPr>
        <w:tc>
          <w:tcPr>
            <w:tcW w:w="9229" w:type="dxa"/>
            <w:gridSpan w:val="2"/>
            <w:tcBorders>
              <w:top w:val="nil"/>
              <w:left w:val="nil"/>
              <w:bottom w:val="nil"/>
              <w:right w:val="nil"/>
            </w:tcBorders>
            <w:shd w:val="clear" w:color="auto" w:fill="auto"/>
            <w:noWrap/>
            <w:vAlign w:val="center"/>
            <w:hideMark/>
          </w:tcPr>
          <w:p w14:paraId="1AE18565"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Estado de situación financiera intermedio condensado</w:t>
            </w:r>
          </w:p>
        </w:tc>
        <w:tc>
          <w:tcPr>
            <w:tcW w:w="840" w:type="dxa"/>
            <w:tcBorders>
              <w:top w:val="nil"/>
              <w:left w:val="nil"/>
              <w:bottom w:val="nil"/>
              <w:right w:val="nil"/>
            </w:tcBorders>
            <w:shd w:val="clear" w:color="auto" w:fill="auto"/>
            <w:noWrap/>
            <w:vAlign w:val="center"/>
            <w:hideMark/>
          </w:tcPr>
          <w:p w14:paraId="58C73806"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2</w:t>
            </w:r>
          </w:p>
        </w:tc>
      </w:tr>
      <w:tr w:rsidR="0010523F" w:rsidRPr="0010523F" w14:paraId="57266D8B" w14:textId="77777777" w:rsidTr="00774E7E">
        <w:trPr>
          <w:trHeight w:val="96"/>
        </w:trPr>
        <w:tc>
          <w:tcPr>
            <w:tcW w:w="1180" w:type="dxa"/>
            <w:tcBorders>
              <w:top w:val="nil"/>
              <w:left w:val="nil"/>
              <w:bottom w:val="nil"/>
              <w:right w:val="nil"/>
            </w:tcBorders>
            <w:shd w:val="clear" w:color="auto" w:fill="auto"/>
            <w:noWrap/>
            <w:vAlign w:val="center"/>
            <w:hideMark/>
          </w:tcPr>
          <w:p w14:paraId="0E151E0A" w14:textId="77777777" w:rsidR="0010523F" w:rsidRPr="0010523F" w:rsidRDefault="0010523F" w:rsidP="0010523F">
            <w:pPr>
              <w:jc w:val="both"/>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5B2E1536"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11F09F92" w14:textId="77777777" w:rsidR="0010523F" w:rsidRPr="0010523F" w:rsidRDefault="0010523F" w:rsidP="0010523F">
            <w:pPr>
              <w:jc w:val="right"/>
              <w:rPr>
                <w:color w:val="000000"/>
                <w:sz w:val="22"/>
                <w:szCs w:val="22"/>
                <w:lang w:val="es-AR" w:eastAsia="es-AR"/>
              </w:rPr>
            </w:pPr>
          </w:p>
        </w:tc>
      </w:tr>
      <w:tr w:rsidR="0010523F" w:rsidRPr="0010523F" w14:paraId="19BC2CDF" w14:textId="77777777" w:rsidTr="00774E7E">
        <w:trPr>
          <w:trHeight w:val="288"/>
        </w:trPr>
        <w:tc>
          <w:tcPr>
            <w:tcW w:w="9229" w:type="dxa"/>
            <w:gridSpan w:val="2"/>
            <w:tcBorders>
              <w:top w:val="nil"/>
              <w:left w:val="nil"/>
              <w:bottom w:val="nil"/>
              <w:right w:val="nil"/>
            </w:tcBorders>
            <w:shd w:val="clear" w:color="auto" w:fill="auto"/>
            <w:noWrap/>
            <w:vAlign w:val="center"/>
            <w:hideMark/>
          </w:tcPr>
          <w:p w14:paraId="78454E9A"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Estado del resultado intermedio condensado</w:t>
            </w:r>
          </w:p>
        </w:tc>
        <w:tc>
          <w:tcPr>
            <w:tcW w:w="840" w:type="dxa"/>
            <w:tcBorders>
              <w:top w:val="nil"/>
              <w:left w:val="nil"/>
              <w:bottom w:val="nil"/>
              <w:right w:val="nil"/>
            </w:tcBorders>
            <w:shd w:val="clear" w:color="auto" w:fill="auto"/>
            <w:noWrap/>
            <w:vAlign w:val="center"/>
            <w:hideMark/>
          </w:tcPr>
          <w:p w14:paraId="15E5535F"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w:t>
            </w:r>
          </w:p>
        </w:tc>
      </w:tr>
      <w:tr w:rsidR="0010523F" w:rsidRPr="0010523F" w14:paraId="75B885FE" w14:textId="77777777" w:rsidTr="00774E7E">
        <w:trPr>
          <w:trHeight w:val="60"/>
        </w:trPr>
        <w:tc>
          <w:tcPr>
            <w:tcW w:w="1180" w:type="dxa"/>
            <w:tcBorders>
              <w:top w:val="nil"/>
              <w:left w:val="nil"/>
              <w:bottom w:val="nil"/>
              <w:right w:val="nil"/>
            </w:tcBorders>
            <w:shd w:val="clear" w:color="auto" w:fill="auto"/>
            <w:noWrap/>
            <w:vAlign w:val="center"/>
            <w:hideMark/>
          </w:tcPr>
          <w:p w14:paraId="631213D1" w14:textId="77777777" w:rsidR="0010523F" w:rsidRPr="0010523F" w:rsidRDefault="0010523F" w:rsidP="0010523F">
            <w:pPr>
              <w:jc w:val="both"/>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478F2A98"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5A61D1C0" w14:textId="77777777" w:rsidR="0010523F" w:rsidRPr="0010523F" w:rsidRDefault="0010523F" w:rsidP="0010523F">
            <w:pPr>
              <w:jc w:val="right"/>
              <w:rPr>
                <w:color w:val="000000"/>
                <w:sz w:val="22"/>
                <w:szCs w:val="22"/>
                <w:lang w:val="es-AR" w:eastAsia="es-AR"/>
              </w:rPr>
            </w:pPr>
          </w:p>
        </w:tc>
      </w:tr>
      <w:tr w:rsidR="0010523F" w:rsidRPr="0010523F" w14:paraId="22DD2073" w14:textId="77777777" w:rsidTr="00774E7E">
        <w:trPr>
          <w:trHeight w:val="288"/>
        </w:trPr>
        <w:tc>
          <w:tcPr>
            <w:tcW w:w="9229" w:type="dxa"/>
            <w:gridSpan w:val="2"/>
            <w:tcBorders>
              <w:top w:val="nil"/>
              <w:left w:val="nil"/>
              <w:bottom w:val="nil"/>
              <w:right w:val="nil"/>
            </w:tcBorders>
            <w:shd w:val="clear" w:color="auto" w:fill="auto"/>
            <w:noWrap/>
            <w:vAlign w:val="center"/>
            <w:hideMark/>
          </w:tcPr>
          <w:p w14:paraId="42F959E8"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Estado de otro resultado integral intermedio condensado</w:t>
            </w:r>
          </w:p>
        </w:tc>
        <w:tc>
          <w:tcPr>
            <w:tcW w:w="840" w:type="dxa"/>
            <w:tcBorders>
              <w:top w:val="nil"/>
              <w:left w:val="nil"/>
              <w:bottom w:val="nil"/>
              <w:right w:val="nil"/>
            </w:tcBorders>
            <w:shd w:val="clear" w:color="auto" w:fill="auto"/>
            <w:noWrap/>
            <w:vAlign w:val="center"/>
            <w:hideMark/>
          </w:tcPr>
          <w:p w14:paraId="72FB0433"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4</w:t>
            </w:r>
          </w:p>
        </w:tc>
      </w:tr>
      <w:tr w:rsidR="0010523F" w:rsidRPr="0010523F" w14:paraId="39F803C7" w14:textId="77777777" w:rsidTr="00774E7E">
        <w:trPr>
          <w:trHeight w:val="120"/>
        </w:trPr>
        <w:tc>
          <w:tcPr>
            <w:tcW w:w="1180" w:type="dxa"/>
            <w:tcBorders>
              <w:top w:val="nil"/>
              <w:left w:val="nil"/>
              <w:bottom w:val="nil"/>
              <w:right w:val="nil"/>
            </w:tcBorders>
            <w:shd w:val="clear" w:color="auto" w:fill="auto"/>
            <w:noWrap/>
            <w:vAlign w:val="center"/>
            <w:hideMark/>
          </w:tcPr>
          <w:p w14:paraId="1832A270"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698E612D"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1632E7EC" w14:textId="77777777" w:rsidR="0010523F" w:rsidRPr="0010523F" w:rsidRDefault="0010523F" w:rsidP="0010523F">
            <w:pPr>
              <w:jc w:val="right"/>
              <w:rPr>
                <w:color w:val="000000"/>
                <w:sz w:val="22"/>
                <w:szCs w:val="22"/>
                <w:lang w:val="es-AR" w:eastAsia="es-AR"/>
              </w:rPr>
            </w:pPr>
          </w:p>
        </w:tc>
      </w:tr>
      <w:tr w:rsidR="0010523F" w:rsidRPr="0010523F" w14:paraId="6AACFD48" w14:textId="77777777" w:rsidTr="00774E7E">
        <w:trPr>
          <w:trHeight w:val="288"/>
        </w:trPr>
        <w:tc>
          <w:tcPr>
            <w:tcW w:w="9229" w:type="dxa"/>
            <w:gridSpan w:val="2"/>
            <w:tcBorders>
              <w:top w:val="nil"/>
              <w:left w:val="nil"/>
              <w:bottom w:val="nil"/>
              <w:right w:val="nil"/>
            </w:tcBorders>
            <w:shd w:val="clear" w:color="auto" w:fill="auto"/>
            <w:noWrap/>
            <w:vAlign w:val="center"/>
            <w:hideMark/>
          </w:tcPr>
          <w:p w14:paraId="7AB5C839"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Estado de cambios en el patrimonio intermedio condensado</w:t>
            </w:r>
          </w:p>
        </w:tc>
        <w:tc>
          <w:tcPr>
            <w:tcW w:w="840" w:type="dxa"/>
            <w:tcBorders>
              <w:top w:val="nil"/>
              <w:left w:val="nil"/>
              <w:bottom w:val="nil"/>
              <w:right w:val="nil"/>
            </w:tcBorders>
            <w:shd w:val="clear" w:color="auto" w:fill="auto"/>
            <w:noWrap/>
            <w:vAlign w:val="center"/>
            <w:hideMark/>
          </w:tcPr>
          <w:p w14:paraId="2ACF383B"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5</w:t>
            </w:r>
          </w:p>
        </w:tc>
      </w:tr>
      <w:tr w:rsidR="0010523F" w:rsidRPr="0010523F" w14:paraId="0D8D6FCF" w14:textId="77777777" w:rsidTr="00774E7E">
        <w:trPr>
          <w:trHeight w:val="96"/>
        </w:trPr>
        <w:tc>
          <w:tcPr>
            <w:tcW w:w="1180" w:type="dxa"/>
            <w:tcBorders>
              <w:top w:val="nil"/>
              <w:left w:val="nil"/>
              <w:bottom w:val="nil"/>
              <w:right w:val="nil"/>
            </w:tcBorders>
            <w:shd w:val="clear" w:color="auto" w:fill="auto"/>
            <w:noWrap/>
            <w:vAlign w:val="center"/>
            <w:hideMark/>
          </w:tcPr>
          <w:p w14:paraId="097DA8CC"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34C15454"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77CCF986" w14:textId="77777777" w:rsidR="0010523F" w:rsidRPr="0010523F" w:rsidRDefault="0010523F" w:rsidP="0010523F">
            <w:pPr>
              <w:jc w:val="right"/>
              <w:rPr>
                <w:color w:val="000000"/>
                <w:sz w:val="22"/>
                <w:szCs w:val="22"/>
                <w:lang w:val="es-AR" w:eastAsia="es-AR"/>
              </w:rPr>
            </w:pPr>
          </w:p>
        </w:tc>
      </w:tr>
      <w:tr w:rsidR="0010523F" w:rsidRPr="0010523F" w14:paraId="5D78E057" w14:textId="77777777" w:rsidTr="00774E7E">
        <w:trPr>
          <w:trHeight w:val="288"/>
        </w:trPr>
        <w:tc>
          <w:tcPr>
            <w:tcW w:w="9229" w:type="dxa"/>
            <w:gridSpan w:val="2"/>
            <w:tcBorders>
              <w:top w:val="nil"/>
              <w:left w:val="nil"/>
              <w:bottom w:val="nil"/>
              <w:right w:val="nil"/>
            </w:tcBorders>
            <w:shd w:val="clear" w:color="auto" w:fill="auto"/>
            <w:noWrap/>
            <w:vAlign w:val="center"/>
            <w:hideMark/>
          </w:tcPr>
          <w:p w14:paraId="060721DC"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Estado de flujos de efectivo intermedio condensado</w:t>
            </w:r>
          </w:p>
        </w:tc>
        <w:tc>
          <w:tcPr>
            <w:tcW w:w="840" w:type="dxa"/>
            <w:tcBorders>
              <w:top w:val="nil"/>
              <w:left w:val="nil"/>
              <w:bottom w:val="nil"/>
              <w:right w:val="nil"/>
            </w:tcBorders>
            <w:shd w:val="clear" w:color="auto" w:fill="auto"/>
            <w:noWrap/>
            <w:vAlign w:val="center"/>
            <w:hideMark/>
          </w:tcPr>
          <w:p w14:paraId="5AAA973D"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6</w:t>
            </w:r>
          </w:p>
        </w:tc>
      </w:tr>
      <w:tr w:rsidR="0010523F" w:rsidRPr="0010523F" w14:paraId="38DEF55D" w14:textId="77777777" w:rsidTr="00774E7E">
        <w:trPr>
          <w:trHeight w:val="84"/>
        </w:trPr>
        <w:tc>
          <w:tcPr>
            <w:tcW w:w="1180" w:type="dxa"/>
            <w:tcBorders>
              <w:top w:val="nil"/>
              <w:left w:val="nil"/>
              <w:bottom w:val="nil"/>
              <w:right w:val="nil"/>
            </w:tcBorders>
            <w:shd w:val="clear" w:color="auto" w:fill="auto"/>
            <w:noWrap/>
            <w:vAlign w:val="center"/>
            <w:hideMark/>
          </w:tcPr>
          <w:p w14:paraId="01435A01"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0FE07729"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31482C79" w14:textId="77777777" w:rsidR="0010523F" w:rsidRPr="0010523F" w:rsidRDefault="0010523F" w:rsidP="0010523F">
            <w:pPr>
              <w:jc w:val="right"/>
              <w:rPr>
                <w:color w:val="000000"/>
                <w:sz w:val="22"/>
                <w:szCs w:val="22"/>
                <w:lang w:val="es-AR" w:eastAsia="es-AR"/>
              </w:rPr>
            </w:pPr>
          </w:p>
        </w:tc>
      </w:tr>
      <w:tr w:rsidR="0010523F" w:rsidRPr="0010523F" w14:paraId="4611D40F" w14:textId="77777777" w:rsidTr="00774E7E">
        <w:trPr>
          <w:trHeight w:val="288"/>
        </w:trPr>
        <w:tc>
          <w:tcPr>
            <w:tcW w:w="9229" w:type="dxa"/>
            <w:gridSpan w:val="2"/>
            <w:tcBorders>
              <w:top w:val="nil"/>
              <w:left w:val="nil"/>
              <w:bottom w:val="nil"/>
              <w:right w:val="nil"/>
            </w:tcBorders>
            <w:shd w:val="clear" w:color="auto" w:fill="auto"/>
            <w:noWrap/>
            <w:vAlign w:val="center"/>
            <w:hideMark/>
          </w:tcPr>
          <w:p w14:paraId="5C77B2FC"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Notas a los estados financieros intermedios condensados</w:t>
            </w:r>
          </w:p>
        </w:tc>
        <w:tc>
          <w:tcPr>
            <w:tcW w:w="840" w:type="dxa"/>
            <w:tcBorders>
              <w:top w:val="nil"/>
              <w:left w:val="nil"/>
              <w:bottom w:val="nil"/>
              <w:right w:val="nil"/>
            </w:tcBorders>
            <w:shd w:val="clear" w:color="auto" w:fill="auto"/>
            <w:noWrap/>
            <w:vAlign w:val="center"/>
            <w:hideMark/>
          </w:tcPr>
          <w:p w14:paraId="771A468F"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8</w:t>
            </w:r>
          </w:p>
        </w:tc>
      </w:tr>
      <w:tr w:rsidR="0010523F" w:rsidRPr="0010523F" w14:paraId="7C4E2FE3" w14:textId="77777777" w:rsidTr="00774E7E">
        <w:trPr>
          <w:trHeight w:val="120"/>
        </w:trPr>
        <w:tc>
          <w:tcPr>
            <w:tcW w:w="1180" w:type="dxa"/>
            <w:tcBorders>
              <w:top w:val="nil"/>
              <w:left w:val="nil"/>
              <w:bottom w:val="nil"/>
              <w:right w:val="nil"/>
            </w:tcBorders>
            <w:shd w:val="clear" w:color="auto" w:fill="auto"/>
            <w:noWrap/>
            <w:vAlign w:val="center"/>
            <w:hideMark/>
          </w:tcPr>
          <w:p w14:paraId="350123E2" w14:textId="77777777" w:rsidR="0010523F" w:rsidRPr="0010523F" w:rsidRDefault="0010523F" w:rsidP="0010523F">
            <w:pPr>
              <w:jc w:val="both"/>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07CA662D"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7ABE945A" w14:textId="77777777" w:rsidR="0010523F" w:rsidRPr="0010523F" w:rsidRDefault="0010523F" w:rsidP="0010523F">
            <w:pPr>
              <w:jc w:val="right"/>
              <w:rPr>
                <w:color w:val="000000"/>
                <w:sz w:val="22"/>
                <w:szCs w:val="22"/>
                <w:lang w:val="es-AR" w:eastAsia="es-AR"/>
              </w:rPr>
            </w:pPr>
          </w:p>
        </w:tc>
      </w:tr>
      <w:tr w:rsidR="0010523F" w:rsidRPr="0010523F" w14:paraId="45BB459A" w14:textId="77777777" w:rsidTr="00774E7E">
        <w:trPr>
          <w:trHeight w:val="552"/>
        </w:trPr>
        <w:tc>
          <w:tcPr>
            <w:tcW w:w="1180" w:type="dxa"/>
            <w:tcBorders>
              <w:top w:val="nil"/>
              <w:left w:val="nil"/>
              <w:bottom w:val="nil"/>
              <w:right w:val="nil"/>
            </w:tcBorders>
            <w:shd w:val="clear" w:color="auto" w:fill="auto"/>
            <w:noWrap/>
            <w:hideMark/>
          </w:tcPr>
          <w:p w14:paraId="5E900695"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1.</w:t>
            </w:r>
          </w:p>
        </w:tc>
        <w:tc>
          <w:tcPr>
            <w:tcW w:w="8049" w:type="dxa"/>
            <w:tcBorders>
              <w:top w:val="nil"/>
              <w:left w:val="nil"/>
              <w:bottom w:val="nil"/>
              <w:right w:val="nil"/>
            </w:tcBorders>
            <w:shd w:val="clear" w:color="auto" w:fill="auto"/>
            <w:noWrap/>
            <w:vAlign w:val="center"/>
            <w:hideMark/>
          </w:tcPr>
          <w:p w14:paraId="56596A5A"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INFORMACIÓN GENERAL SOBRE PAN AMERICAN ENERGY, S.L., SUCURSAL ARGENTINA Y SUS OPERACIONES</w:t>
            </w:r>
          </w:p>
        </w:tc>
        <w:tc>
          <w:tcPr>
            <w:tcW w:w="840" w:type="dxa"/>
            <w:tcBorders>
              <w:top w:val="nil"/>
              <w:left w:val="nil"/>
              <w:bottom w:val="nil"/>
              <w:right w:val="nil"/>
            </w:tcBorders>
            <w:shd w:val="clear" w:color="auto" w:fill="auto"/>
            <w:noWrap/>
            <w:vAlign w:val="bottom"/>
            <w:hideMark/>
          </w:tcPr>
          <w:p w14:paraId="3F51F1EF" w14:textId="77777777" w:rsidR="0010523F" w:rsidRPr="0010523F" w:rsidRDefault="0010523F" w:rsidP="0010523F">
            <w:pPr>
              <w:jc w:val="right"/>
              <w:rPr>
                <w:sz w:val="22"/>
                <w:szCs w:val="22"/>
                <w:lang w:val="es-AR" w:eastAsia="es-AR"/>
              </w:rPr>
            </w:pPr>
            <w:r w:rsidRPr="0010523F">
              <w:rPr>
                <w:sz w:val="22"/>
                <w:szCs w:val="22"/>
                <w:lang w:val="es-AR" w:eastAsia="es-AR"/>
              </w:rPr>
              <w:t>8</w:t>
            </w:r>
          </w:p>
        </w:tc>
      </w:tr>
      <w:tr w:rsidR="0010523F" w:rsidRPr="0010523F" w14:paraId="6CAEA11E" w14:textId="77777777" w:rsidTr="00774E7E">
        <w:trPr>
          <w:trHeight w:val="132"/>
        </w:trPr>
        <w:tc>
          <w:tcPr>
            <w:tcW w:w="1180" w:type="dxa"/>
            <w:tcBorders>
              <w:top w:val="nil"/>
              <w:left w:val="nil"/>
              <w:bottom w:val="nil"/>
              <w:right w:val="nil"/>
            </w:tcBorders>
            <w:shd w:val="clear" w:color="auto" w:fill="auto"/>
            <w:noWrap/>
            <w:hideMark/>
          </w:tcPr>
          <w:p w14:paraId="3C69EE60"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46EAB303"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34E267A3" w14:textId="77777777" w:rsidR="0010523F" w:rsidRPr="0010523F" w:rsidRDefault="0010523F" w:rsidP="0010523F">
            <w:pPr>
              <w:jc w:val="right"/>
              <w:rPr>
                <w:color w:val="000000"/>
                <w:sz w:val="22"/>
                <w:szCs w:val="22"/>
                <w:lang w:val="es-AR" w:eastAsia="es-AR"/>
              </w:rPr>
            </w:pPr>
          </w:p>
        </w:tc>
      </w:tr>
      <w:tr w:rsidR="0010523F" w:rsidRPr="0010523F" w14:paraId="635943BC" w14:textId="77777777" w:rsidTr="00774E7E">
        <w:trPr>
          <w:trHeight w:val="288"/>
        </w:trPr>
        <w:tc>
          <w:tcPr>
            <w:tcW w:w="1180" w:type="dxa"/>
            <w:tcBorders>
              <w:top w:val="nil"/>
              <w:left w:val="nil"/>
              <w:bottom w:val="nil"/>
              <w:right w:val="nil"/>
            </w:tcBorders>
            <w:shd w:val="clear" w:color="auto" w:fill="auto"/>
            <w:noWrap/>
            <w:hideMark/>
          </w:tcPr>
          <w:p w14:paraId="0267F1FD"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2.</w:t>
            </w:r>
          </w:p>
        </w:tc>
        <w:tc>
          <w:tcPr>
            <w:tcW w:w="8049" w:type="dxa"/>
            <w:tcBorders>
              <w:top w:val="nil"/>
              <w:left w:val="nil"/>
              <w:bottom w:val="nil"/>
              <w:right w:val="nil"/>
            </w:tcBorders>
            <w:shd w:val="clear" w:color="auto" w:fill="auto"/>
            <w:noWrap/>
            <w:vAlign w:val="center"/>
            <w:hideMark/>
          </w:tcPr>
          <w:p w14:paraId="68BB3493"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BASES DE PRESENTACIÓN</w:t>
            </w:r>
          </w:p>
        </w:tc>
        <w:tc>
          <w:tcPr>
            <w:tcW w:w="840" w:type="dxa"/>
            <w:tcBorders>
              <w:top w:val="nil"/>
              <w:left w:val="nil"/>
              <w:bottom w:val="nil"/>
              <w:right w:val="nil"/>
            </w:tcBorders>
            <w:shd w:val="clear" w:color="auto" w:fill="auto"/>
            <w:noWrap/>
            <w:vAlign w:val="center"/>
            <w:hideMark/>
          </w:tcPr>
          <w:p w14:paraId="70DCD80C" w14:textId="77777777" w:rsidR="0010523F" w:rsidRPr="0010523F" w:rsidRDefault="0010523F" w:rsidP="0010523F">
            <w:pPr>
              <w:jc w:val="right"/>
              <w:rPr>
                <w:color w:val="0000FF"/>
                <w:sz w:val="22"/>
                <w:szCs w:val="22"/>
                <w:lang w:val="es-AR" w:eastAsia="es-AR"/>
              </w:rPr>
            </w:pPr>
            <w:r w:rsidRPr="0010523F">
              <w:rPr>
                <w:sz w:val="22"/>
                <w:szCs w:val="22"/>
                <w:lang w:val="es-AR" w:eastAsia="es-AR"/>
              </w:rPr>
              <w:t>8</w:t>
            </w:r>
          </w:p>
        </w:tc>
      </w:tr>
      <w:tr w:rsidR="0010523F" w:rsidRPr="0010523F" w14:paraId="37E7B705" w14:textId="77777777" w:rsidTr="00774E7E">
        <w:trPr>
          <w:trHeight w:val="108"/>
        </w:trPr>
        <w:tc>
          <w:tcPr>
            <w:tcW w:w="1180" w:type="dxa"/>
            <w:tcBorders>
              <w:top w:val="nil"/>
              <w:left w:val="nil"/>
              <w:bottom w:val="nil"/>
              <w:right w:val="nil"/>
            </w:tcBorders>
            <w:shd w:val="clear" w:color="auto" w:fill="auto"/>
            <w:noWrap/>
            <w:hideMark/>
          </w:tcPr>
          <w:p w14:paraId="72887B67"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78F32523"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22E4A056" w14:textId="77777777" w:rsidR="0010523F" w:rsidRPr="0010523F" w:rsidRDefault="0010523F" w:rsidP="0010523F">
            <w:pPr>
              <w:jc w:val="right"/>
              <w:rPr>
                <w:color w:val="000000"/>
                <w:sz w:val="22"/>
                <w:szCs w:val="22"/>
                <w:highlight w:val="yellow"/>
                <w:lang w:val="es-AR" w:eastAsia="es-AR"/>
              </w:rPr>
            </w:pPr>
          </w:p>
        </w:tc>
      </w:tr>
      <w:tr w:rsidR="0010523F" w:rsidRPr="0010523F" w14:paraId="0C87E065" w14:textId="77777777" w:rsidTr="00774E7E">
        <w:trPr>
          <w:trHeight w:val="288"/>
        </w:trPr>
        <w:tc>
          <w:tcPr>
            <w:tcW w:w="1180" w:type="dxa"/>
            <w:tcBorders>
              <w:top w:val="nil"/>
              <w:left w:val="nil"/>
              <w:bottom w:val="nil"/>
              <w:right w:val="nil"/>
            </w:tcBorders>
            <w:shd w:val="clear" w:color="auto" w:fill="auto"/>
            <w:noWrap/>
            <w:hideMark/>
          </w:tcPr>
          <w:p w14:paraId="4F6501FF" w14:textId="77777777" w:rsidR="0010523F" w:rsidRPr="0010523F" w:rsidRDefault="0010523F" w:rsidP="0010523F">
            <w:pPr>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710A82E7"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2.1   Declaración de cumplimiento</w:t>
            </w:r>
          </w:p>
        </w:tc>
        <w:tc>
          <w:tcPr>
            <w:tcW w:w="840" w:type="dxa"/>
            <w:tcBorders>
              <w:top w:val="nil"/>
              <w:left w:val="nil"/>
              <w:bottom w:val="nil"/>
              <w:right w:val="nil"/>
            </w:tcBorders>
            <w:shd w:val="clear" w:color="auto" w:fill="auto"/>
            <w:noWrap/>
            <w:vAlign w:val="center"/>
            <w:hideMark/>
          </w:tcPr>
          <w:p w14:paraId="3B4CCE01"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8</w:t>
            </w:r>
          </w:p>
        </w:tc>
      </w:tr>
      <w:tr w:rsidR="0010523F" w:rsidRPr="0010523F" w14:paraId="485B8556" w14:textId="77777777" w:rsidTr="00774E7E">
        <w:trPr>
          <w:trHeight w:val="288"/>
        </w:trPr>
        <w:tc>
          <w:tcPr>
            <w:tcW w:w="1180" w:type="dxa"/>
            <w:tcBorders>
              <w:top w:val="nil"/>
              <w:left w:val="nil"/>
              <w:bottom w:val="nil"/>
              <w:right w:val="nil"/>
            </w:tcBorders>
            <w:shd w:val="clear" w:color="auto" w:fill="auto"/>
            <w:noWrap/>
            <w:hideMark/>
          </w:tcPr>
          <w:p w14:paraId="53B848F9" w14:textId="77777777" w:rsidR="0010523F" w:rsidRPr="0010523F" w:rsidRDefault="0010523F" w:rsidP="0010523F">
            <w:pPr>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5FD460D5"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2.2   Moneda funcional y de presentación</w:t>
            </w:r>
          </w:p>
        </w:tc>
        <w:tc>
          <w:tcPr>
            <w:tcW w:w="840" w:type="dxa"/>
            <w:tcBorders>
              <w:top w:val="nil"/>
              <w:left w:val="nil"/>
              <w:bottom w:val="nil"/>
              <w:right w:val="nil"/>
            </w:tcBorders>
            <w:shd w:val="clear" w:color="auto" w:fill="auto"/>
            <w:noWrap/>
            <w:vAlign w:val="center"/>
            <w:hideMark/>
          </w:tcPr>
          <w:p w14:paraId="7193A630"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9</w:t>
            </w:r>
          </w:p>
        </w:tc>
      </w:tr>
      <w:tr w:rsidR="0010523F" w:rsidRPr="0010523F" w14:paraId="24F47F94" w14:textId="77777777" w:rsidTr="00774E7E">
        <w:trPr>
          <w:trHeight w:val="288"/>
        </w:trPr>
        <w:tc>
          <w:tcPr>
            <w:tcW w:w="1180" w:type="dxa"/>
            <w:tcBorders>
              <w:top w:val="nil"/>
              <w:left w:val="nil"/>
              <w:bottom w:val="nil"/>
              <w:right w:val="nil"/>
            </w:tcBorders>
            <w:shd w:val="clear" w:color="auto" w:fill="auto"/>
            <w:noWrap/>
            <w:hideMark/>
          </w:tcPr>
          <w:p w14:paraId="7A16FE7E" w14:textId="77777777" w:rsidR="0010523F" w:rsidRPr="0010523F" w:rsidRDefault="0010523F" w:rsidP="0010523F">
            <w:pPr>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5F2E2833"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2.3   Uso de estimaciones y criterio profesional</w:t>
            </w:r>
          </w:p>
        </w:tc>
        <w:tc>
          <w:tcPr>
            <w:tcW w:w="840" w:type="dxa"/>
            <w:tcBorders>
              <w:top w:val="nil"/>
              <w:left w:val="nil"/>
              <w:bottom w:val="nil"/>
              <w:right w:val="nil"/>
            </w:tcBorders>
            <w:shd w:val="clear" w:color="auto" w:fill="auto"/>
            <w:noWrap/>
            <w:vAlign w:val="center"/>
            <w:hideMark/>
          </w:tcPr>
          <w:p w14:paraId="08C91342"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9</w:t>
            </w:r>
          </w:p>
        </w:tc>
      </w:tr>
      <w:tr w:rsidR="0010523F" w:rsidRPr="0010523F" w14:paraId="76BCD602" w14:textId="77777777" w:rsidTr="00774E7E">
        <w:trPr>
          <w:trHeight w:val="288"/>
        </w:trPr>
        <w:tc>
          <w:tcPr>
            <w:tcW w:w="1180" w:type="dxa"/>
            <w:tcBorders>
              <w:top w:val="nil"/>
              <w:left w:val="nil"/>
              <w:bottom w:val="nil"/>
              <w:right w:val="nil"/>
            </w:tcBorders>
            <w:shd w:val="clear" w:color="auto" w:fill="auto"/>
            <w:noWrap/>
            <w:hideMark/>
          </w:tcPr>
          <w:p w14:paraId="52CF17DF" w14:textId="77777777" w:rsidR="0010523F" w:rsidRPr="0010523F" w:rsidRDefault="0010523F" w:rsidP="0010523F">
            <w:pPr>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6DD3AE4F"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2.4   Nuevas normas internacionales de información financiera (“NIIF”) y modificaciones adoptadas</w:t>
            </w:r>
          </w:p>
        </w:tc>
        <w:tc>
          <w:tcPr>
            <w:tcW w:w="840" w:type="dxa"/>
            <w:tcBorders>
              <w:top w:val="nil"/>
              <w:left w:val="nil"/>
              <w:bottom w:val="nil"/>
              <w:right w:val="nil"/>
            </w:tcBorders>
            <w:shd w:val="clear" w:color="auto" w:fill="auto"/>
            <w:noWrap/>
            <w:vAlign w:val="bottom"/>
            <w:hideMark/>
          </w:tcPr>
          <w:p w14:paraId="6CD306E8"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10</w:t>
            </w:r>
          </w:p>
        </w:tc>
      </w:tr>
      <w:tr w:rsidR="0010523F" w:rsidRPr="0010523F" w14:paraId="5E7933CE" w14:textId="77777777" w:rsidTr="00774E7E">
        <w:trPr>
          <w:trHeight w:val="96"/>
        </w:trPr>
        <w:tc>
          <w:tcPr>
            <w:tcW w:w="1180" w:type="dxa"/>
            <w:tcBorders>
              <w:top w:val="nil"/>
              <w:left w:val="nil"/>
              <w:bottom w:val="nil"/>
              <w:right w:val="nil"/>
            </w:tcBorders>
            <w:shd w:val="clear" w:color="auto" w:fill="auto"/>
            <w:noWrap/>
            <w:hideMark/>
          </w:tcPr>
          <w:p w14:paraId="456B01F0"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35362DBA"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7A8514BB" w14:textId="77777777" w:rsidR="0010523F" w:rsidRPr="0010523F" w:rsidRDefault="0010523F" w:rsidP="0010523F">
            <w:pPr>
              <w:jc w:val="right"/>
              <w:rPr>
                <w:color w:val="000000"/>
                <w:sz w:val="22"/>
                <w:szCs w:val="22"/>
                <w:lang w:val="es-AR" w:eastAsia="es-AR"/>
              </w:rPr>
            </w:pPr>
          </w:p>
        </w:tc>
      </w:tr>
      <w:tr w:rsidR="0010523F" w:rsidRPr="0010523F" w14:paraId="781F8683" w14:textId="77777777" w:rsidTr="00774E7E">
        <w:trPr>
          <w:trHeight w:val="288"/>
        </w:trPr>
        <w:tc>
          <w:tcPr>
            <w:tcW w:w="1180" w:type="dxa"/>
            <w:tcBorders>
              <w:top w:val="nil"/>
              <w:left w:val="nil"/>
              <w:bottom w:val="nil"/>
              <w:right w:val="nil"/>
            </w:tcBorders>
            <w:shd w:val="clear" w:color="auto" w:fill="auto"/>
            <w:noWrap/>
            <w:hideMark/>
          </w:tcPr>
          <w:p w14:paraId="6AC55900"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3.</w:t>
            </w:r>
          </w:p>
        </w:tc>
        <w:tc>
          <w:tcPr>
            <w:tcW w:w="8049" w:type="dxa"/>
            <w:tcBorders>
              <w:top w:val="nil"/>
              <w:left w:val="nil"/>
              <w:bottom w:val="nil"/>
              <w:right w:val="nil"/>
            </w:tcBorders>
            <w:shd w:val="clear" w:color="auto" w:fill="auto"/>
            <w:noWrap/>
            <w:vAlign w:val="center"/>
            <w:hideMark/>
          </w:tcPr>
          <w:p w14:paraId="2FF435CF"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COMPOSICIÓN DE CIERTOS RUBROS DEL ESTADO DE SITUACIÓN FINANCIERA INTERMEDIO CONDENSADO</w:t>
            </w:r>
          </w:p>
        </w:tc>
        <w:tc>
          <w:tcPr>
            <w:tcW w:w="840" w:type="dxa"/>
            <w:tcBorders>
              <w:top w:val="nil"/>
              <w:left w:val="nil"/>
              <w:bottom w:val="nil"/>
              <w:right w:val="nil"/>
            </w:tcBorders>
            <w:shd w:val="clear" w:color="auto" w:fill="auto"/>
            <w:noWrap/>
            <w:vAlign w:val="bottom"/>
            <w:hideMark/>
          </w:tcPr>
          <w:p w14:paraId="46C113C0"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13</w:t>
            </w:r>
          </w:p>
        </w:tc>
      </w:tr>
      <w:tr w:rsidR="0010523F" w:rsidRPr="0010523F" w14:paraId="0F40635F" w14:textId="77777777" w:rsidTr="00774E7E">
        <w:trPr>
          <w:trHeight w:val="97"/>
        </w:trPr>
        <w:tc>
          <w:tcPr>
            <w:tcW w:w="1180" w:type="dxa"/>
            <w:tcBorders>
              <w:top w:val="nil"/>
              <w:left w:val="nil"/>
              <w:bottom w:val="nil"/>
              <w:right w:val="nil"/>
            </w:tcBorders>
            <w:shd w:val="clear" w:color="auto" w:fill="auto"/>
            <w:noWrap/>
            <w:hideMark/>
          </w:tcPr>
          <w:p w14:paraId="6C7840A7"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5C554A9E"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4F1C644B" w14:textId="77777777" w:rsidR="0010523F" w:rsidRPr="0010523F" w:rsidRDefault="0010523F" w:rsidP="0010523F">
            <w:pPr>
              <w:rPr>
                <w:color w:val="000000"/>
                <w:sz w:val="22"/>
                <w:szCs w:val="22"/>
                <w:lang w:val="es-AR" w:eastAsia="es-AR"/>
              </w:rPr>
            </w:pPr>
          </w:p>
        </w:tc>
      </w:tr>
      <w:tr w:rsidR="0010523F" w:rsidRPr="0010523F" w14:paraId="520AEEA7" w14:textId="77777777" w:rsidTr="00774E7E">
        <w:trPr>
          <w:trHeight w:val="288"/>
        </w:trPr>
        <w:tc>
          <w:tcPr>
            <w:tcW w:w="1180" w:type="dxa"/>
            <w:tcBorders>
              <w:top w:val="nil"/>
              <w:left w:val="nil"/>
              <w:bottom w:val="nil"/>
              <w:right w:val="nil"/>
            </w:tcBorders>
            <w:shd w:val="clear" w:color="auto" w:fill="auto"/>
            <w:noWrap/>
            <w:hideMark/>
          </w:tcPr>
          <w:p w14:paraId="3430E9FC"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4.</w:t>
            </w:r>
          </w:p>
        </w:tc>
        <w:tc>
          <w:tcPr>
            <w:tcW w:w="8049" w:type="dxa"/>
            <w:tcBorders>
              <w:top w:val="nil"/>
              <w:left w:val="nil"/>
              <w:bottom w:val="nil"/>
              <w:right w:val="nil"/>
            </w:tcBorders>
            <w:shd w:val="clear" w:color="auto" w:fill="auto"/>
            <w:noWrap/>
            <w:vAlign w:val="center"/>
            <w:hideMark/>
          </w:tcPr>
          <w:p w14:paraId="538D4468"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COMPOSICIÓN DE CIERTOS RUBROS DEL ESTADO DEL RESULTADO INTERMEDIO CONDENSADO</w:t>
            </w:r>
          </w:p>
        </w:tc>
        <w:tc>
          <w:tcPr>
            <w:tcW w:w="840" w:type="dxa"/>
            <w:tcBorders>
              <w:top w:val="nil"/>
              <w:left w:val="nil"/>
              <w:bottom w:val="nil"/>
              <w:right w:val="nil"/>
            </w:tcBorders>
            <w:shd w:val="clear" w:color="auto" w:fill="auto"/>
            <w:noWrap/>
            <w:vAlign w:val="bottom"/>
            <w:hideMark/>
          </w:tcPr>
          <w:p w14:paraId="6D863E24"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21</w:t>
            </w:r>
          </w:p>
        </w:tc>
      </w:tr>
      <w:tr w:rsidR="0010523F" w:rsidRPr="0010523F" w14:paraId="772E3815" w14:textId="77777777" w:rsidTr="00774E7E">
        <w:trPr>
          <w:trHeight w:val="131"/>
        </w:trPr>
        <w:tc>
          <w:tcPr>
            <w:tcW w:w="1180" w:type="dxa"/>
            <w:tcBorders>
              <w:top w:val="nil"/>
              <w:left w:val="nil"/>
              <w:bottom w:val="nil"/>
              <w:right w:val="nil"/>
            </w:tcBorders>
            <w:shd w:val="clear" w:color="auto" w:fill="auto"/>
            <w:noWrap/>
            <w:hideMark/>
          </w:tcPr>
          <w:p w14:paraId="08725503" w14:textId="77777777" w:rsidR="0010523F" w:rsidRPr="0010523F" w:rsidRDefault="0010523F" w:rsidP="0010523F">
            <w:pPr>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25340D7D"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58F62D21" w14:textId="77777777" w:rsidR="0010523F" w:rsidRPr="0010523F" w:rsidRDefault="0010523F" w:rsidP="0010523F">
            <w:pPr>
              <w:jc w:val="right"/>
              <w:rPr>
                <w:color w:val="000000"/>
                <w:sz w:val="22"/>
                <w:szCs w:val="22"/>
                <w:lang w:val="es-AR" w:eastAsia="es-AR"/>
              </w:rPr>
            </w:pPr>
          </w:p>
        </w:tc>
      </w:tr>
      <w:tr w:rsidR="0010523F" w:rsidRPr="0010523F" w14:paraId="78104B7F" w14:textId="77777777" w:rsidTr="00774E7E">
        <w:trPr>
          <w:trHeight w:val="288"/>
        </w:trPr>
        <w:tc>
          <w:tcPr>
            <w:tcW w:w="1180" w:type="dxa"/>
            <w:tcBorders>
              <w:top w:val="nil"/>
              <w:left w:val="nil"/>
              <w:bottom w:val="nil"/>
              <w:right w:val="nil"/>
            </w:tcBorders>
            <w:shd w:val="clear" w:color="auto" w:fill="auto"/>
            <w:noWrap/>
            <w:hideMark/>
          </w:tcPr>
          <w:p w14:paraId="432A6973"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 xml:space="preserve">NOTA 5. </w:t>
            </w:r>
          </w:p>
        </w:tc>
        <w:tc>
          <w:tcPr>
            <w:tcW w:w="8049" w:type="dxa"/>
            <w:tcBorders>
              <w:top w:val="nil"/>
              <w:left w:val="nil"/>
              <w:bottom w:val="nil"/>
              <w:right w:val="nil"/>
            </w:tcBorders>
            <w:shd w:val="clear" w:color="auto" w:fill="auto"/>
            <w:noWrap/>
            <w:vAlign w:val="center"/>
            <w:hideMark/>
          </w:tcPr>
          <w:p w14:paraId="4D1C494D"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OPERACIONES CONJUNTAS</w:t>
            </w:r>
          </w:p>
        </w:tc>
        <w:tc>
          <w:tcPr>
            <w:tcW w:w="840" w:type="dxa"/>
            <w:tcBorders>
              <w:top w:val="nil"/>
              <w:left w:val="nil"/>
              <w:bottom w:val="nil"/>
              <w:right w:val="nil"/>
            </w:tcBorders>
            <w:shd w:val="clear" w:color="auto" w:fill="auto"/>
            <w:noWrap/>
            <w:vAlign w:val="bottom"/>
            <w:hideMark/>
          </w:tcPr>
          <w:p w14:paraId="5134F7B9"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25</w:t>
            </w:r>
          </w:p>
        </w:tc>
      </w:tr>
      <w:tr w:rsidR="0010523F" w:rsidRPr="0010523F" w14:paraId="3B2E4019" w14:textId="77777777" w:rsidTr="00774E7E">
        <w:trPr>
          <w:trHeight w:val="120"/>
        </w:trPr>
        <w:tc>
          <w:tcPr>
            <w:tcW w:w="1180" w:type="dxa"/>
            <w:tcBorders>
              <w:top w:val="nil"/>
              <w:left w:val="nil"/>
              <w:bottom w:val="nil"/>
              <w:right w:val="nil"/>
            </w:tcBorders>
            <w:shd w:val="clear" w:color="auto" w:fill="auto"/>
            <w:noWrap/>
            <w:hideMark/>
          </w:tcPr>
          <w:p w14:paraId="242D386E"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75DAA003"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5F397AF0" w14:textId="77777777" w:rsidR="0010523F" w:rsidRPr="0010523F" w:rsidRDefault="0010523F" w:rsidP="0010523F">
            <w:pPr>
              <w:jc w:val="right"/>
              <w:rPr>
                <w:color w:val="000000"/>
                <w:sz w:val="22"/>
                <w:szCs w:val="22"/>
                <w:lang w:val="es-AR" w:eastAsia="es-AR"/>
              </w:rPr>
            </w:pPr>
          </w:p>
        </w:tc>
      </w:tr>
      <w:tr w:rsidR="0010523F" w:rsidRPr="0010523F" w14:paraId="19400375" w14:textId="77777777" w:rsidTr="00774E7E">
        <w:trPr>
          <w:trHeight w:val="288"/>
        </w:trPr>
        <w:tc>
          <w:tcPr>
            <w:tcW w:w="1180" w:type="dxa"/>
            <w:tcBorders>
              <w:top w:val="nil"/>
              <w:left w:val="nil"/>
              <w:bottom w:val="nil"/>
              <w:right w:val="nil"/>
            </w:tcBorders>
            <w:shd w:val="clear" w:color="auto" w:fill="auto"/>
            <w:noWrap/>
            <w:hideMark/>
          </w:tcPr>
          <w:p w14:paraId="785DE309"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 xml:space="preserve">NOTA 6. </w:t>
            </w:r>
          </w:p>
        </w:tc>
        <w:tc>
          <w:tcPr>
            <w:tcW w:w="8049" w:type="dxa"/>
            <w:tcBorders>
              <w:top w:val="nil"/>
              <w:left w:val="nil"/>
              <w:bottom w:val="nil"/>
              <w:right w:val="nil"/>
            </w:tcBorders>
            <w:shd w:val="clear" w:color="auto" w:fill="auto"/>
            <w:noWrap/>
            <w:vAlign w:val="center"/>
            <w:hideMark/>
          </w:tcPr>
          <w:p w14:paraId="44DBB5F2"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INSTRUMENTOS FINANCIEROS</w:t>
            </w:r>
          </w:p>
        </w:tc>
        <w:tc>
          <w:tcPr>
            <w:tcW w:w="840" w:type="dxa"/>
            <w:tcBorders>
              <w:top w:val="nil"/>
              <w:left w:val="nil"/>
              <w:bottom w:val="nil"/>
              <w:right w:val="nil"/>
            </w:tcBorders>
            <w:shd w:val="clear" w:color="auto" w:fill="auto"/>
            <w:noWrap/>
            <w:vAlign w:val="bottom"/>
            <w:hideMark/>
          </w:tcPr>
          <w:p w14:paraId="3BDFF17C"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26</w:t>
            </w:r>
          </w:p>
        </w:tc>
      </w:tr>
      <w:tr w:rsidR="0010523F" w:rsidRPr="0010523F" w14:paraId="4F3E404A" w14:textId="77777777" w:rsidTr="00774E7E">
        <w:trPr>
          <w:trHeight w:val="108"/>
        </w:trPr>
        <w:tc>
          <w:tcPr>
            <w:tcW w:w="1180" w:type="dxa"/>
            <w:tcBorders>
              <w:top w:val="nil"/>
              <w:left w:val="nil"/>
              <w:bottom w:val="nil"/>
              <w:right w:val="nil"/>
            </w:tcBorders>
            <w:shd w:val="clear" w:color="auto" w:fill="auto"/>
            <w:noWrap/>
            <w:hideMark/>
          </w:tcPr>
          <w:p w14:paraId="47D15813"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452CB010"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5E6B2383" w14:textId="77777777" w:rsidR="0010523F" w:rsidRPr="0010523F" w:rsidRDefault="0010523F" w:rsidP="0010523F">
            <w:pPr>
              <w:jc w:val="right"/>
              <w:rPr>
                <w:color w:val="000000"/>
                <w:sz w:val="22"/>
                <w:szCs w:val="22"/>
                <w:lang w:val="es-AR" w:eastAsia="es-AR"/>
              </w:rPr>
            </w:pPr>
          </w:p>
        </w:tc>
      </w:tr>
      <w:tr w:rsidR="0010523F" w:rsidRPr="0010523F" w14:paraId="77615FD7" w14:textId="77777777" w:rsidTr="00774E7E">
        <w:trPr>
          <w:trHeight w:val="288"/>
        </w:trPr>
        <w:tc>
          <w:tcPr>
            <w:tcW w:w="1180" w:type="dxa"/>
            <w:tcBorders>
              <w:top w:val="nil"/>
              <w:left w:val="nil"/>
              <w:bottom w:val="nil"/>
              <w:right w:val="nil"/>
            </w:tcBorders>
            <w:shd w:val="clear" w:color="auto" w:fill="auto"/>
            <w:noWrap/>
            <w:hideMark/>
          </w:tcPr>
          <w:p w14:paraId="22353FB6"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 xml:space="preserve">NOTA 7. </w:t>
            </w:r>
          </w:p>
        </w:tc>
        <w:tc>
          <w:tcPr>
            <w:tcW w:w="8049" w:type="dxa"/>
            <w:tcBorders>
              <w:top w:val="nil"/>
              <w:left w:val="nil"/>
              <w:bottom w:val="nil"/>
              <w:right w:val="nil"/>
            </w:tcBorders>
            <w:shd w:val="clear" w:color="auto" w:fill="auto"/>
            <w:noWrap/>
            <w:vAlign w:val="center"/>
            <w:hideMark/>
          </w:tcPr>
          <w:p w14:paraId="6FD9E103"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DEUDA FINANCIERA</w:t>
            </w:r>
          </w:p>
        </w:tc>
        <w:tc>
          <w:tcPr>
            <w:tcW w:w="840" w:type="dxa"/>
            <w:tcBorders>
              <w:top w:val="nil"/>
              <w:left w:val="nil"/>
              <w:bottom w:val="nil"/>
              <w:right w:val="nil"/>
            </w:tcBorders>
            <w:shd w:val="clear" w:color="auto" w:fill="auto"/>
            <w:noWrap/>
            <w:vAlign w:val="bottom"/>
            <w:hideMark/>
          </w:tcPr>
          <w:p w14:paraId="149A1D43"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28</w:t>
            </w:r>
          </w:p>
        </w:tc>
      </w:tr>
      <w:tr w:rsidR="0010523F" w:rsidRPr="0010523F" w14:paraId="3AB91371" w14:textId="77777777" w:rsidTr="00774E7E">
        <w:trPr>
          <w:trHeight w:val="96"/>
        </w:trPr>
        <w:tc>
          <w:tcPr>
            <w:tcW w:w="1180" w:type="dxa"/>
            <w:tcBorders>
              <w:top w:val="nil"/>
              <w:left w:val="nil"/>
              <w:bottom w:val="nil"/>
              <w:right w:val="nil"/>
            </w:tcBorders>
            <w:shd w:val="clear" w:color="auto" w:fill="auto"/>
            <w:noWrap/>
            <w:hideMark/>
          </w:tcPr>
          <w:p w14:paraId="6DA6A666"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2D4A9B74"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223A897C" w14:textId="77777777" w:rsidR="0010523F" w:rsidRPr="0010523F" w:rsidRDefault="0010523F" w:rsidP="0010523F">
            <w:pPr>
              <w:jc w:val="right"/>
              <w:rPr>
                <w:color w:val="000000"/>
                <w:sz w:val="22"/>
                <w:szCs w:val="22"/>
                <w:lang w:val="es-AR" w:eastAsia="es-AR"/>
              </w:rPr>
            </w:pPr>
          </w:p>
        </w:tc>
      </w:tr>
      <w:tr w:rsidR="0010523F" w:rsidRPr="0010523F" w14:paraId="153BB940" w14:textId="77777777" w:rsidTr="00774E7E">
        <w:trPr>
          <w:trHeight w:val="288"/>
        </w:trPr>
        <w:tc>
          <w:tcPr>
            <w:tcW w:w="1180" w:type="dxa"/>
            <w:tcBorders>
              <w:top w:val="nil"/>
              <w:left w:val="nil"/>
              <w:bottom w:val="nil"/>
              <w:right w:val="nil"/>
            </w:tcBorders>
            <w:shd w:val="clear" w:color="auto" w:fill="auto"/>
            <w:noWrap/>
            <w:hideMark/>
          </w:tcPr>
          <w:p w14:paraId="692BB522"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 xml:space="preserve">NOTA 8. </w:t>
            </w:r>
          </w:p>
        </w:tc>
        <w:tc>
          <w:tcPr>
            <w:tcW w:w="8049" w:type="dxa"/>
            <w:tcBorders>
              <w:top w:val="nil"/>
              <w:left w:val="nil"/>
              <w:bottom w:val="nil"/>
              <w:right w:val="nil"/>
            </w:tcBorders>
            <w:shd w:val="clear" w:color="auto" w:fill="auto"/>
            <w:noWrap/>
            <w:vAlign w:val="center"/>
            <w:hideMark/>
          </w:tcPr>
          <w:p w14:paraId="4CD0C672"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OPERACIONES Y SALDOS CON PARTES RELACIONADAS</w:t>
            </w:r>
          </w:p>
        </w:tc>
        <w:tc>
          <w:tcPr>
            <w:tcW w:w="840" w:type="dxa"/>
            <w:tcBorders>
              <w:top w:val="nil"/>
              <w:left w:val="nil"/>
              <w:bottom w:val="nil"/>
              <w:right w:val="nil"/>
            </w:tcBorders>
            <w:shd w:val="clear" w:color="auto" w:fill="auto"/>
            <w:noWrap/>
            <w:vAlign w:val="bottom"/>
            <w:hideMark/>
          </w:tcPr>
          <w:p w14:paraId="0059EF3D"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30</w:t>
            </w:r>
          </w:p>
        </w:tc>
      </w:tr>
      <w:tr w:rsidR="0010523F" w:rsidRPr="0010523F" w14:paraId="0B54C83B" w14:textId="77777777" w:rsidTr="00774E7E">
        <w:trPr>
          <w:trHeight w:val="120"/>
        </w:trPr>
        <w:tc>
          <w:tcPr>
            <w:tcW w:w="1180" w:type="dxa"/>
            <w:tcBorders>
              <w:top w:val="nil"/>
              <w:left w:val="nil"/>
              <w:bottom w:val="nil"/>
              <w:right w:val="nil"/>
            </w:tcBorders>
            <w:shd w:val="clear" w:color="auto" w:fill="auto"/>
            <w:noWrap/>
            <w:hideMark/>
          </w:tcPr>
          <w:p w14:paraId="2F3E87AC"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0CE794E8"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2B482F8C" w14:textId="77777777" w:rsidR="0010523F" w:rsidRPr="0010523F" w:rsidRDefault="0010523F" w:rsidP="0010523F">
            <w:pPr>
              <w:jc w:val="right"/>
              <w:rPr>
                <w:color w:val="000000"/>
                <w:sz w:val="22"/>
                <w:szCs w:val="22"/>
                <w:lang w:val="es-AR" w:eastAsia="es-AR"/>
              </w:rPr>
            </w:pPr>
          </w:p>
        </w:tc>
      </w:tr>
      <w:tr w:rsidR="0010523F" w:rsidRPr="0010523F" w14:paraId="41DD25DB" w14:textId="77777777" w:rsidTr="00774E7E">
        <w:trPr>
          <w:trHeight w:val="288"/>
        </w:trPr>
        <w:tc>
          <w:tcPr>
            <w:tcW w:w="1180" w:type="dxa"/>
            <w:tcBorders>
              <w:top w:val="nil"/>
              <w:left w:val="nil"/>
              <w:bottom w:val="nil"/>
              <w:right w:val="nil"/>
            </w:tcBorders>
            <w:shd w:val="clear" w:color="auto" w:fill="auto"/>
            <w:noWrap/>
            <w:hideMark/>
          </w:tcPr>
          <w:p w14:paraId="4E924604"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9.</w:t>
            </w:r>
          </w:p>
        </w:tc>
        <w:tc>
          <w:tcPr>
            <w:tcW w:w="8049" w:type="dxa"/>
            <w:tcBorders>
              <w:top w:val="nil"/>
              <w:left w:val="nil"/>
              <w:bottom w:val="nil"/>
              <w:right w:val="nil"/>
            </w:tcBorders>
            <w:shd w:val="clear" w:color="auto" w:fill="auto"/>
            <w:noWrap/>
            <w:vAlign w:val="center"/>
            <w:hideMark/>
          </w:tcPr>
          <w:p w14:paraId="5C94E556" w14:textId="77777777" w:rsidR="0010523F" w:rsidRPr="0010523F" w:rsidRDefault="0010523F" w:rsidP="0010523F">
            <w:pPr>
              <w:jc w:val="both"/>
              <w:rPr>
                <w:color w:val="000000"/>
                <w:sz w:val="22"/>
                <w:szCs w:val="22"/>
                <w:lang w:val="es-AR" w:eastAsia="es-AR"/>
              </w:rPr>
            </w:pPr>
            <w:r w:rsidRPr="0010523F">
              <w:rPr>
                <w:sz w:val="22"/>
                <w:szCs w:val="22"/>
                <w:lang w:val="es-AR" w:eastAsia="en-US"/>
              </w:rPr>
              <w:t>GARANTÍAS, OTROS COMPROMISOS Y CONTINGENCIAS</w:t>
            </w:r>
          </w:p>
        </w:tc>
        <w:tc>
          <w:tcPr>
            <w:tcW w:w="840" w:type="dxa"/>
            <w:tcBorders>
              <w:top w:val="nil"/>
              <w:left w:val="nil"/>
              <w:bottom w:val="nil"/>
              <w:right w:val="nil"/>
            </w:tcBorders>
            <w:shd w:val="clear" w:color="auto" w:fill="auto"/>
            <w:noWrap/>
            <w:vAlign w:val="bottom"/>
            <w:hideMark/>
          </w:tcPr>
          <w:p w14:paraId="572F04EF"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32</w:t>
            </w:r>
          </w:p>
        </w:tc>
      </w:tr>
      <w:tr w:rsidR="0010523F" w:rsidRPr="0010523F" w14:paraId="73C180E8" w14:textId="77777777" w:rsidTr="00774E7E">
        <w:trPr>
          <w:trHeight w:val="84"/>
        </w:trPr>
        <w:tc>
          <w:tcPr>
            <w:tcW w:w="1180" w:type="dxa"/>
            <w:tcBorders>
              <w:top w:val="nil"/>
              <w:left w:val="nil"/>
              <w:bottom w:val="nil"/>
              <w:right w:val="nil"/>
            </w:tcBorders>
            <w:shd w:val="clear" w:color="auto" w:fill="auto"/>
            <w:noWrap/>
            <w:hideMark/>
          </w:tcPr>
          <w:p w14:paraId="5C022503"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5952D7DA" w14:textId="77777777" w:rsidR="0010523F" w:rsidRPr="0010523F" w:rsidRDefault="0010523F" w:rsidP="0010523F">
            <w:pPr>
              <w:jc w:val="both"/>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5A2FB862" w14:textId="77777777" w:rsidR="0010523F" w:rsidRPr="0010523F" w:rsidRDefault="0010523F" w:rsidP="0010523F">
            <w:pPr>
              <w:jc w:val="right"/>
              <w:rPr>
                <w:color w:val="000000"/>
                <w:sz w:val="22"/>
                <w:szCs w:val="22"/>
                <w:lang w:val="es-AR" w:eastAsia="es-AR"/>
              </w:rPr>
            </w:pPr>
          </w:p>
        </w:tc>
      </w:tr>
      <w:tr w:rsidR="0010523F" w:rsidRPr="0010523F" w14:paraId="2A777DB6" w14:textId="77777777" w:rsidTr="00774E7E">
        <w:trPr>
          <w:trHeight w:val="288"/>
        </w:trPr>
        <w:tc>
          <w:tcPr>
            <w:tcW w:w="1180" w:type="dxa"/>
            <w:tcBorders>
              <w:top w:val="nil"/>
              <w:left w:val="nil"/>
              <w:bottom w:val="nil"/>
              <w:right w:val="nil"/>
            </w:tcBorders>
            <w:shd w:val="clear" w:color="auto" w:fill="auto"/>
            <w:noWrap/>
            <w:hideMark/>
          </w:tcPr>
          <w:p w14:paraId="617B4767"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10.</w:t>
            </w:r>
          </w:p>
        </w:tc>
        <w:tc>
          <w:tcPr>
            <w:tcW w:w="8049" w:type="dxa"/>
            <w:tcBorders>
              <w:top w:val="nil"/>
              <w:left w:val="nil"/>
              <w:bottom w:val="nil"/>
              <w:right w:val="nil"/>
            </w:tcBorders>
            <w:shd w:val="clear" w:color="auto" w:fill="auto"/>
            <w:noWrap/>
            <w:vAlign w:val="center"/>
            <w:hideMark/>
          </w:tcPr>
          <w:p w14:paraId="516F35D3"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BIENES DE DISPONIBILIDAD RESTRINGIDA</w:t>
            </w:r>
          </w:p>
        </w:tc>
        <w:tc>
          <w:tcPr>
            <w:tcW w:w="840" w:type="dxa"/>
            <w:tcBorders>
              <w:top w:val="nil"/>
              <w:left w:val="nil"/>
              <w:bottom w:val="nil"/>
              <w:right w:val="nil"/>
            </w:tcBorders>
            <w:shd w:val="clear" w:color="auto" w:fill="auto"/>
            <w:noWrap/>
            <w:vAlign w:val="bottom"/>
            <w:hideMark/>
          </w:tcPr>
          <w:p w14:paraId="3270BFB6"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33</w:t>
            </w:r>
          </w:p>
        </w:tc>
      </w:tr>
      <w:tr w:rsidR="0010523F" w:rsidRPr="0010523F" w14:paraId="62BBE7E3" w14:textId="77777777" w:rsidTr="00774E7E">
        <w:trPr>
          <w:trHeight w:val="57"/>
        </w:trPr>
        <w:tc>
          <w:tcPr>
            <w:tcW w:w="1180" w:type="dxa"/>
            <w:tcBorders>
              <w:top w:val="nil"/>
              <w:left w:val="nil"/>
              <w:bottom w:val="nil"/>
              <w:right w:val="nil"/>
            </w:tcBorders>
            <w:shd w:val="clear" w:color="auto" w:fill="auto"/>
            <w:noWrap/>
            <w:hideMark/>
          </w:tcPr>
          <w:p w14:paraId="451E8BBB" w14:textId="77777777" w:rsidR="0010523F" w:rsidRPr="0010523F" w:rsidRDefault="0010523F" w:rsidP="0010523F">
            <w:pPr>
              <w:spacing w:line="100" w:lineRule="exact"/>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center"/>
            <w:hideMark/>
          </w:tcPr>
          <w:p w14:paraId="3FE34BE4" w14:textId="77777777" w:rsidR="0010523F" w:rsidRPr="0010523F" w:rsidRDefault="0010523F" w:rsidP="0010523F">
            <w:pPr>
              <w:spacing w:line="100" w:lineRule="exact"/>
              <w:rPr>
                <w:rFonts w:ascii="Calibri" w:hAnsi="Calibri"/>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0DE34432" w14:textId="77777777" w:rsidR="0010523F" w:rsidRPr="0010523F" w:rsidRDefault="0010523F" w:rsidP="0010523F">
            <w:pPr>
              <w:spacing w:line="100" w:lineRule="exact"/>
              <w:rPr>
                <w:rFonts w:ascii="Calibri" w:hAnsi="Calibri"/>
                <w:color w:val="000000"/>
                <w:sz w:val="22"/>
                <w:szCs w:val="22"/>
                <w:lang w:val="es-AR" w:eastAsia="es-AR"/>
              </w:rPr>
            </w:pPr>
          </w:p>
        </w:tc>
      </w:tr>
      <w:tr w:rsidR="0010523F" w:rsidRPr="0010523F" w14:paraId="027902AA" w14:textId="77777777" w:rsidTr="00774E7E">
        <w:trPr>
          <w:trHeight w:val="288"/>
        </w:trPr>
        <w:tc>
          <w:tcPr>
            <w:tcW w:w="1180" w:type="dxa"/>
            <w:tcBorders>
              <w:top w:val="nil"/>
              <w:left w:val="nil"/>
              <w:bottom w:val="nil"/>
              <w:right w:val="nil"/>
            </w:tcBorders>
            <w:shd w:val="clear" w:color="auto" w:fill="auto"/>
            <w:noWrap/>
            <w:hideMark/>
          </w:tcPr>
          <w:p w14:paraId="5DBBD25E"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11.</w:t>
            </w:r>
          </w:p>
        </w:tc>
        <w:tc>
          <w:tcPr>
            <w:tcW w:w="8049" w:type="dxa"/>
            <w:tcBorders>
              <w:top w:val="nil"/>
              <w:left w:val="nil"/>
              <w:bottom w:val="nil"/>
              <w:right w:val="nil"/>
            </w:tcBorders>
            <w:shd w:val="clear" w:color="auto" w:fill="auto"/>
            <w:noWrap/>
            <w:vAlign w:val="center"/>
            <w:hideMark/>
          </w:tcPr>
          <w:p w14:paraId="0982575D" w14:textId="77777777" w:rsidR="0010523F" w:rsidRPr="0010523F" w:rsidRDefault="0010523F" w:rsidP="0010523F">
            <w:pPr>
              <w:jc w:val="both"/>
              <w:rPr>
                <w:color w:val="000000"/>
                <w:sz w:val="22"/>
                <w:szCs w:val="22"/>
                <w:lang w:val="es-AR" w:eastAsia="es-AR"/>
              </w:rPr>
            </w:pPr>
            <w:r w:rsidRPr="0010523F">
              <w:rPr>
                <w:sz w:val="22"/>
                <w:szCs w:val="22"/>
                <w:lang w:val="es-AR" w:eastAsia="en-US"/>
              </w:rPr>
              <w:t>INFORMACIÓN POR SEGMENTOS DE NEGOCIO</w:t>
            </w:r>
          </w:p>
        </w:tc>
        <w:tc>
          <w:tcPr>
            <w:tcW w:w="840" w:type="dxa"/>
            <w:tcBorders>
              <w:top w:val="nil"/>
              <w:left w:val="nil"/>
              <w:bottom w:val="nil"/>
              <w:right w:val="nil"/>
            </w:tcBorders>
            <w:shd w:val="clear" w:color="auto" w:fill="auto"/>
            <w:noWrap/>
            <w:vAlign w:val="center"/>
            <w:hideMark/>
          </w:tcPr>
          <w:p w14:paraId="685E3DE2"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34</w:t>
            </w:r>
          </w:p>
        </w:tc>
      </w:tr>
      <w:tr w:rsidR="0010523F" w:rsidRPr="0010523F" w14:paraId="2051F6CD" w14:textId="77777777" w:rsidTr="00774E7E">
        <w:trPr>
          <w:trHeight w:val="108"/>
        </w:trPr>
        <w:tc>
          <w:tcPr>
            <w:tcW w:w="1180" w:type="dxa"/>
            <w:tcBorders>
              <w:top w:val="nil"/>
              <w:left w:val="nil"/>
              <w:bottom w:val="nil"/>
              <w:right w:val="nil"/>
            </w:tcBorders>
            <w:shd w:val="clear" w:color="auto" w:fill="auto"/>
            <w:noWrap/>
            <w:hideMark/>
          </w:tcPr>
          <w:p w14:paraId="7767D506" w14:textId="77777777" w:rsidR="0010523F" w:rsidRPr="0010523F" w:rsidRDefault="0010523F" w:rsidP="0010523F">
            <w:pPr>
              <w:spacing w:line="100" w:lineRule="exact"/>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656439E5" w14:textId="77777777" w:rsidR="0010523F" w:rsidRPr="0010523F" w:rsidRDefault="0010523F" w:rsidP="0010523F">
            <w:pPr>
              <w:spacing w:line="100" w:lineRule="exact"/>
              <w:rPr>
                <w:rFonts w:ascii="Calibri" w:hAnsi="Calibri"/>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510DFA8E" w14:textId="77777777" w:rsidR="0010523F" w:rsidRPr="0010523F" w:rsidRDefault="0010523F" w:rsidP="0010523F">
            <w:pPr>
              <w:spacing w:line="100" w:lineRule="exact"/>
              <w:rPr>
                <w:rFonts w:ascii="Calibri" w:hAnsi="Calibri"/>
                <w:color w:val="000000"/>
                <w:sz w:val="22"/>
                <w:szCs w:val="22"/>
                <w:lang w:val="es-AR" w:eastAsia="es-AR"/>
              </w:rPr>
            </w:pPr>
          </w:p>
        </w:tc>
      </w:tr>
      <w:tr w:rsidR="0010523F" w:rsidRPr="0010523F" w14:paraId="0292C14C" w14:textId="77777777" w:rsidTr="00774E7E">
        <w:trPr>
          <w:trHeight w:val="108"/>
        </w:trPr>
        <w:tc>
          <w:tcPr>
            <w:tcW w:w="1180" w:type="dxa"/>
            <w:tcBorders>
              <w:top w:val="nil"/>
              <w:left w:val="nil"/>
              <w:bottom w:val="nil"/>
              <w:right w:val="nil"/>
            </w:tcBorders>
            <w:shd w:val="clear" w:color="auto" w:fill="auto"/>
            <w:noWrap/>
            <w:hideMark/>
          </w:tcPr>
          <w:p w14:paraId="0375C874"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12.</w:t>
            </w:r>
          </w:p>
        </w:tc>
        <w:tc>
          <w:tcPr>
            <w:tcW w:w="8049" w:type="dxa"/>
            <w:tcBorders>
              <w:top w:val="nil"/>
              <w:left w:val="nil"/>
              <w:bottom w:val="nil"/>
              <w:right w:val="nil"/>
            </w:tcBorders>
            <w:shd w:val="clear" w:color="auto" w:fill="auto"/>
            <w:noWrap/>
            <w:vAlign w:val="bottom"/>
            <w:hideMark/>
          </w:tcPr>
          <w:p w14:paraId="5897C389" w14:textId="77777777" w:rsidR="0010523F" w:rsidRPr="0010523F" w:rsidRDefault="0010523F" w:rsidP="0010523F">
            <w:pPr>
              <w:rPr>
                <w:color w:val="000000"/>
                <w:sz w:val="22"/>
                <w:szCs w:val="22"/>
                <w:lang w:val="es-AR" w:eastAsia="es-AR"/>
              </w:rPr>
            </w:pPr>
            <w:r w:rsidRPr="0010523F">
              <w:rPr>
                <w:sz w:val="22"/>
                <w:szCs w:val="22"/>
                <w:lang w:val="es-AR" w:eastAsia="en-US"/>
              </w:rPr>
              <w:t>CAMBIOS EN ÁREAS HIDROCARBURÍFERAS</w:t>
            </w:r>
          </w:p>
        </w:tc>
        <w:tc>
          <w:tcPr>
            <w:tcW w:w="840" w:type="dxa"/>
            <w:tcBorders>
              <w:top w:val="nil"/>
              <w:left w:val="nil"/>
              <w:bottom w:val="nil"/>
              <w:right w:val="nil"/>
            </w:tcBorders>
            <w:shd w:val="clear" w:color="auto" w:fill="auto"/>
            <w:noWrap/>
            <w:vAlign w:val="bottom"/>
            <w:hideMark/>
          </w:tcPr>
          <w:p w14:paraId="51353DDA"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35</w:t>
            </w:r>
          </w:p>
        </w:tc>
      </w:tr>
      <w:tr w:rsidR="0010523F" w:rsidRPr="0010523F" w14:paraId="06A4B12E" w14:textId="77777777" w:rsidTr="00774E7E">
        <w:trPr>
          <w:trHeight w:val="108"/>
        </w:trPr>
        <w:tc>
          <w:tcPr>
            <w:tcW w:w="1180" w:type="dxa"/>
            <w:tcBorders>
              <w:top w:val="nil"/>
              <w:left w:val="nil"/>
              <w:bottom w:val="nil"/>
              <w:right w:val="nil"/>
            </w:tcBorders>
            <w:shd w:val="clear" w:color="auto" w:fill="auto"/>
            <w:noWrap/>
            <w:hideMark/>
          </w:tcPr>
          <w:p w14:paraId="530E1FB4" w14:textId="77777777" w:rsidR="0010523F" w:rsidRPr="0010523F" w:rsidRDefault="0010523F" w:rsidP="0010523F">
            <w:pPr>
              <w:spacing w:line="100" w:lineRule="exact"/>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5FE324D7" w14:textId="77777777" w:rsidR="0010523F" w:rsidRPr="0010523F" w:rsidRDefault="0010523F" w:rsidP="0010523F">
            <w:pPr>
              <w:spacing w:line="100" w:lineRule="exact"/>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280944E4" w14:textId="77777777" w:rsidR="0010523F" w:rsidRPr="0010523F" w:rsidRDefault="0010523F" w:rsidP="0010523F">
            <w:pPr>
              <w:spacing w:line="100" w:lineRule="exact"/>
              <w:jc w:val="right"/>
              <w:rPr>
                <w:color w:val="000000"/>
                <w:sz w:val="22"/>
                <w:szCs w:val="22"/>
                <w:lang w:val="es-AR" w:eastAsia="es-AR"/>
              </w:rPr>
            </w:pPr>
          </w:p>
        </w:tc>
      </w:tr>
      <w:tr w:rsidR="0010523F" w:rsidRPr="0010523F" w14:paraId="2F2A9E47" w14:textId="77777777" w:rsidTr="00774E7E">
        <w:trPr>
          <w:trHeight w:val="108"/>
        </w:trPr>
        <w:tc>
          <w:tcPr>
            <w:tcW w:w="1180" w:type="dxa"/>
            <w:tcBorders>
              <w:top w:val="nil"/>
              <w:left w:val="nil"/>
              <w:bottom w:val="nil"/>
              <w:right w:val="nil"/>
            </w:tcBorders>
            <w:shd w:val="clear" w:color="auto" w:fill="auto"/>
            <w:noWrap/>
            <w:hideMark/>
          </w:tcPr>
          <w:p w14:paraId="772DD6B9"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13.</w:t>
            </w:r>
          </w:p>
        </w:tc>
        <w:tc>
          <w:tcPr>
            <w:tcW w:w="8049" w:type="dxa"/>
            <w:tcBorders>
              <w:top w:val="nil"/>
              <w:left w:val="nil"/>
              <w:bottom w:val="nil"/>
              <w:right w:val="nil"/>
            </w:tcBorders>
            <w:shd w:val="clear" w:color="auto" w:fill="auto"/>
            <w:noWrap/>
            <w:vAlign w:val="bottom"/>
            <w:hideMark/>
          </w:tcPr>
          <w:p w14:paraId="34936D12" w14:textId="77777777" w:rsidR="0010523F" w:rsidRPr="0010523F" w:rsidRDefault="0010523F" w:rsidP="0010523F">
            <w:pPr>
              <w:rPr>
                <w:color w:val="000000"/>
                <w:sz w:val="22"/>
                <w:szCs w:val="22"/>
                <w:lang w:val="es-AR" w:eastAsia="es-AR"/>
              </w:rPr>
            </w:pPr>
            <w:r w:rsidRPr="0010523F">
              <w:rPr>
                <w:sz w:val="22"/>
                <w:szCs w:val="22"/>
                <w:lang w:val="es-AR" w:eastAsia="en-US"/>
              </w:rPr>
              <w:t>COBRANZA DE COMPENSACIONES ADEUDADAS BAJO EL PROGRAMA DE ESTIMULO A LA INYECCIÓN EXCEDENTE DE GAS NATURAL</w:t>
            </w:r>
          </w:p>
        </w:tc>
        <w:tc>
          <w:tcPr>
            <w:tcW w:w="840" w:type="dxa"/>
            <w:tcBorders>
              <w:top w:val="nil"/>
              <w:left w:val="nil"/>
              <w:bottom w:val="nil"/>
              <w:right w:val="nil"/>
            </w:tcBorders>
            <w:shd w:val="clear" w:color="auto" w:fill="auto"/>
            <w:noWrap/>
            <w:vAlign w:val="bottom"/>
            <w:hideMark/>
          </w:tcPr>
          <w:p w14:paraId="16CC1ABE"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36</w:t>
            </w:r>
          </w:p>
        </w:tc>
      </w:tr>
      <w:tr w:rsidR="0010523F" w:rsidRPr="0010523F" w14:paraId="4402AF17" w14:textId="77777777" w:rsidTr="00774E7E">
        <w:trPr>
          <w:trHeight w:val="108"/>
        </w:trPr>
        <w:tc>
          <w:tcPr>
            <w:tcW w:w="1180" w:type="dxa"/>
            <w:tcBorders>
              <w:top w:val="nil"/>
              <w:left w:val="nil"/>
              <w:bottom w:val="nil"/>
              <w:right w:val="nil"/>
            </w:tcBorders>
            <w:shd w:val="clear" w:color="auto" w:fill="auto"/>
            <w:noWrap/>
            <w:hideMark/>
          </w:tcPr>
          <w:p w14:paraId="1106C690" w14:textId="77777777" w:rsidR="0010523F" w:rsidRPr="0010523F" w:rsidRDefault="0010523F" w:rsidP="0010523F">
            <w:pPr>
              <w:spacing w:line="100" w:lineRule="exact"/>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4BFC41B4" w14:textId="77777777" w:rsidR="0010523F" w:rsidRPr="0010523F" w:rsidRDefault="0010523F" w:rsidP="0010523F">
            <w:pPr>
              <w:spacing w:line="100" w:lineRule="exact"/>
              <w:rPr>
                <w:rFonts w:ascii="Calibri" w:hAnsi="Calibri"/>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2771637E" w14:textId="77777777" w:rsidR="0010523F" w:rsidRPr="0010523F" w:rsidRDefault="0010523F" w:rsidP="0010523F">
            <w:pPr>
              <w:spacing w:line="100" w:lineRule="exact"/>
              <w:rPr>
                <w:rFonts w:ascii="Calibri" w:hAnsi="Calibri"/>
                <w:color w:val="000000"/>
                <w:sz w:val="22"/>
                <w:szCs w:val="22"/>
                <w:lang w:val="es-AR" w:eastAsia="es-AR"/>
              </w:rPr>
            </w:pPr>
          </w:p>
        </w:tc>
      </w:tr>
      <w:tr w:rsidR="0010523F" w:rsidRPr="0010523F" w14:paraId="5EFDC187" w14:textId="77777777" w:rsidTr="00774E7E">
        <w:trPr>
          <w:trHeight w:val="108"/>
        </w:trPr>
        <w:tc>
          <w:tcPr>
            <w:tcW w:w="1180" w:type="dxa"/>
            <w:tcBorders>
              <w:top w:val="nil"/>
              <w:left w:val="nil"/>
              <w:bottom w:val="nil"/>
              <w:right w:val="nil"/>
            </w:tcBorders>
            <w:shd w:val="clear" w:color="auto" w:fill="auto"/>
            <w:noWrap/>
            <w:hideMark/>
          </w:tcPr>
          <w:p w14:paraId="3603E8C9"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14.</w:t>
            </w:r>
          </w:p>
        </w:tc>
        <w:tc>
          <w:tcPr>
            <w:tcW w:w="8049" w:type="dxa"/>
            <w:tcBorders>
              <w:top w:val="nil"/>
              <w:left w:val="nil"/>
              <w:bottom w:val="nil"/>
              <w:right w:val="nil"/>
            </w:tcBorders>
            <w:shd w:val="clear" w:color="auto" w:fill="auto"/>
            <w:noWrap/>
            <w:vAlign w:val="bottom"/>
            <w:hideMark/>
          </w:tcPr>
          <w:p w14:paraId="4F064248" w14:textId="77777777" w:rsidR="0010523F" w:rsidRPr="0010523F" w:rsidRDefault="0010523F" w:rsidP="0010523F">
            <w:pPr>
              <w:rPr>
                <w:color w:val="000000"/>
                <w:sz w:val="22"/>
                <w:szCs w:val="22"/>
                <w:lang w:val="es-AR" w:eastAsia="es-AR"/>
              </w:rPr>
            </w:pPr>
            <w:r w:rsidRPr="0010523F">
              <w:rPr>
                <w:sz w:val="22"/>
                <w:szCs w:val="22"/>
                <w:lang w:val="es-AR" w:eastAsia="en-US"/>
              </w:rPr>
              <w:t>DIFERIMIENTO DEL AJUSTE DEL PRECIO DEL GAS NATURAL</w:t>
            </w:r>
          </w:p>
        </w:tc>
        <w:tc>
          <w:tcPr>
            <w:tcW w:w="840" w:type="dxa"/>
            <w:tcBorders>
              <w:top w:val="nil"/>
              <w:left w:val="nil"/>
              <w:bottom w:val="nil"/>
              <w:right w:val="nil"/>
            </w:tcBorders>
            <w:shd w:val="clear" w:color="auto" w:fill="auto"/>
            <w:noWrap/>
            <w:vAlign w:val="bottom"/>
            <w:hideMark/>
          </w:tcPr>
          <w:p w14:paraId="3E29A723"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36</w:t>
            </w:r>
          </w:p>
        </w:tc>
      </w:tr>
      <w:tr w:rsidR="0010523F" w:rsidRPr="0010523F" w14:paraId="1CF860AB" w14:textId="77777777" w:rsidTr="00774E7E">
        <w:trPr>
          <w:trHeight w:val="108"/>
        </w:trPr>
        <w:tc>
          <w:tcPr>
            <w:tcW w:w="1180" w:type="dxa"/>
            <w:tcBorders>
              <w:top w:val="nil"/>
              <w:left w:val="nil"/>
              <w:bottom w:val="nil"/>
              <w:right w:val="nil"/>
            </w:tcBorders>
            <w:shd w:val="clear" w:color="auto" w:fill="auto"/>
            <w:noWrap/>
            <w:hideMark/>
          </w:tcPr>
          <w:p w14:paraId="47F653C0" w14:textId="77777777" w:rsidR="0010523F" w:rsidRPr="0010523F" w:rsidRDefault="0010523F" w:rsidP="0010523F">
            <w:pPr>
              <w:spacing w:line="100" w:lineRule="exact"/>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4FF7C251" w14:textId="77777777" w:rsidR="0010523F" w:rsidRPr="0010523F" w:rsidRDefault="0010523F" w:rsidP="0010523F">
            <w:pPr>
              <w:spacing w:line="100" w:lineRule="exact"/>
              <w:rPr>
                <w:rFonts w:ascii="Calibri" w:hAnsi="Calibri"/>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6EE687E5" w14:textId="77777777" w:rsidR="0010523F" w:rsidRPr="0010523F" w:rsidRDefault="0010523F" w:rsidP="0010523F">
            <w:pPr>
              <w:spacing w:line="100" w:lineRule="exact"/>
              <w:rPr>
                <w:rFonts w:ascii="Calibri" w:hAnsi="Calibri"/>
                <w:color w:val="000000"/>
                <w:sz w:val="22"/>
                <w:szCs w:val="22"/>
                <w:lang w:val="es-AR" w:eastAsia="es-AR"/>
              </w:rPr>
            </w:pPr>
          </w:p>
        </w:tc>
      </w:tr>
      <w:tr w:rsidR="0010523F" w:rsidRPr="0010523F" w14:paraId="653A13ED" w14:textId="77777777" w:rsidTr="00774E7E">
        <w:trPr>
          <w:trHeight w:val="108"/>
        </w:trPr>
        <w:tc>
          <w:tcPr>
            <w:tcW w:w="1180" w:type="dxa"/>
            <w:tcBorders>
              <w:top w:val="nil"/>
              <w:left w:val="nil"/>
              <w:bottom w:val="nil"/>
              <w:right w:val="nil"/>
            </w:tcBorders>
            <w:shd w:val="clear" w:color="auto" w:fill="auto"/>
            <w:noWrap/>
            <w:hideMark/>
          </w:tcPr>
          <w:p w14:paraId="7FA138FD"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15.</w:t>
            </w:r>
          </w:p>
        </w:tc>
        <w:tc>
          <w:tcPr>
            <w:tcW w:w="8049" w:type="dxa"/>
            <w:tcBorders>
              <w:top w:val="nil"/>
              <w:left w:val="nil"/>
              <w:bottom w:val="nil"/>
              <w:right w:val="nil"/>
            </w:tcBorders>
            <w:shd w:val="clear" w:color="auto" w:fill="auto"/>
            <w:noWrap/>
            <w:vAlign w:val="bottom"/>
            <w:hideMark/>
          </w:tcPr>
          <w:p w14:paraId="67143CF1" w14:textId="77777777" w:rsidR="0010523F" w:rsidRPr="0010523F" w:rsidRDefault="0010523F" w:rsidP="0010523F">
            <w:pPr>
              <w:rPr>
                <w:sz w:val="22"/>
                <w:szCs w:val="22"/>
                <w:lang w:val="es-AR" w:eastAsia="en-US"/>
              </w:rPr>
            </w:pPr>
            <w:r w:rsidRPr="0010523F">
              <w:rPr>
                <w:sz w:val="22"/>
                <w:szCs w:val="22"/>
                <w:lang w:val="es-AR" w:eastAsia="en-US"/>
              </w:rPr>
              <w:t>PRECIOS TOPE PARA ENTREGAS DE PETROLEO CRUDO, NAFTAS Y GASOIL EN EL MERCADO LOCAL</w:t>
            </w:r>
          </w:p>
        </w:tc>
        <w:tc>
          <w:tcPr>
            <w:tcW w:w="840" w:type="dxa"/>
            <w:tcBorders>
              <w:top w:val="nil"/>
              <w:left w:val="nil"/>
              <w:bottom w:val="nil"/>
              <w:right w:val="nil"/>
            </w:tcBorders>
            <w:shd w:val="clear" w:color="auto" w:fill="auto"/>
            <w:noWrap/>
            <w:vAlign w:val="bottom"/>
            <w:hideMark/>
          </w:tcPr>
          <w:p w14:paraId="0E72CD49"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36</w:t>
            </w:r>
          </w:p>
        </w:tc>
      </w:tr>
      <w:tr w:rsidR="0010523F" w:rsidRPr="0010523F" w14:paraId="0BCAD69F" w14:textId="77777777" w:rsidTr="00774E7E">
        <w:trPr>
          <w:trHeight w:val="108"/>
        </w:trPr>
        <w:tc>
          <w:tcPr>
            <w:tcW w:w="1180" w:type="dxa"/>
            <w:tcBorders>
              <w:top w:val="nil"/>
              <w:left w:val="nil"/>
              <w:bottom w:val="nil"/>
              <w:right w:val="nil"/>
            </w:tcBorders>
            <w:shd w:val="clear" w:color="auto" w:fill="auto"/>
            <w:noWrap/>
            <w:hideMark/>
          </w:tcPr>
          <w:p w14:paraId="001B63F6" w14:textId="77777777" w:rsidR="0010523F" w:rsidRPr="0010523F" w:rsidRDefault="0010523F" w:rsidP="0010523F">
            <w:pPr>
              <w:spacing w:line="100" w:lineRule="exact"/>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35D68752" w14:textId="77777777" w:rsidR="0010523F" w:rsidRPr="0010523F" w:rsidRDefault="0010523F" w:rsidP="0010523F">
            <w:pPr>
              <w:spacing w:line="100" w:lineRule="exact"/>
              <w:rPr>
                <w:rFonts w:ascii="Calibri" w:hAnsi="Calibri"/>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02121C0D" w14:textId="77777777" w:rsidR="0010523F" w:rsidRPr="0010523F" w:rsidRDefault="0010523F" w:rsidP="0010523F">
            <w:pPr>
              <w:spacing w:line="100" w:lineRule="exact"/>
              <w:rPr>
                <w:rFonts w:ascii="Calibri" w:hAnsi="Calibri"/>
                <w:color w:val="000000"/>
                <w:sz w:val="22"/>
                <w:szCs w:val="22"/>
                <w:lang w:val="es-AR" w:eastAsia="es-AR"/>
              </w:rPr>
            </w:pPr>
          </w:p>
        </w:tc>
      </w:tr>
      <w:tr w:rsidR="0010523F" w:rsidRPr="0010523F" w14:paraId="3B180D39" w14:textId="77777777" w:rsidTr="00774E7E">
        <w:trPr>
          <w:trHeight w:val="108"/>
        </w:trPr>
        <w:tc>
          <w:tcPr>
            <w:tcW w:w="1180" w:type="dxa"/>
            <w:tcBorders>
              <w:top w:val="nil"/>
              <w:left w:val="nil"/>
              <w:bottom w:val="nil"/>
              <w:right w:val="nil"/>
            </w:tcBorders>
            <w:shd w:val="clear" w:color="auto" w:fill="auto"/>
            <w:noWrap/>
            <w:hideMark/>
          </w:tcPr>
          <w:p w14:paraId="7F985891"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NOTA 16.</w:t>
            </w:r>
          </w:p>
        </w:tc>
        <w:tc>
          <w:tcPr>
            <w:tcW w:w="8049" w:type="dxa"/>
            <w:tcBorders>
              <w:top w:val="nil"/>
              <w:left w:val="nil"/>
              <w:bottom w:val="nil"/>
              <w:right w:val="nil"/>
            </w:tcBorders>
            <w:shd w:val="clear" w:color="auto" w:fill="auto"/>
            <w:noWrap/>
            <w:vAlign w:val="bottom"/>
            <w:hideMark/>
          </w:tcPr>
          <w:p w14:paraId="128ABC76"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HECHOS POSTERIORES AL CIERRE DEL PERÍODO</w:t>
            </w:r>
          </w:p>
        </w:tc>
        <w:tc>
          <w:tcPr>
            <w:tcW w:w="840" w:type="dxa"/>
            <w:tcBorders>
              <w:top w:val="nil"/>
              <w:left w:val="nil"/>
              <w:bottom w:val="nil"/>
              <w:right w:val="nil"/>
            </w:tcBorders>
            <w:shd w:val="clear" w:color="auto" w:fill="auto"/>
            <w:noWrap/>
            <w:vAlign w:val="bottom"/>
            <w:hideMark/>
          </w:tcPr>
          <w:p w14:paraId="6F6CC6EB"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37</w:t>
            </w:r>
          </w:p>
        </w:tc>
      </w:tr>
      <w:tr w:rsidR="0010523F" w:rsidRPr="0010523F" w14:paraId="76705643" w14:textId="77777777" w:rsidTr="00774E7E">
        <w:trPr>
          <w:trHeight w:val="108"/>
        </w:trPr>
        <w:tc>
          <w:tcPr>
            <w:tcW w:w="1180" w:type="dxa"/>
            <w:tcBorders>
              <w:top w:val="nil"/>
              <w:left w:val="nil"/>
              <w:bottom w:val="nil"/>
              <w:right w:val="nil"/>
            </w:tcBorders>
            <w:shd w:val="clear" w:color="auto" w:fill="auto"/>
            <w:noWrap/>
            <w:hideMark/>
          </w:tcPr>
          <w:p w14:paraId="24C01442" w14:textId="77777777" w:rsidR="0010523F" w:rsidRPr="0010523F" w:rsidRDefault="0010523F" w:rsidP="0010523F">
            <w:pPr>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77D5E591"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63D4D15A" w14:textId="77777777" w:rsidR="0010523F" w:rsidRPr="0010523F" w:rsidRDefault="0010523F" w:rsidP="0010523F">
            <w:pPr>
              <w:jc w:val="right"/>
              <w:rPr>
                <w:color w:val="000000"/>
                <w:sz w:val="22"/>
                <w:szCs w:val="22"/>
                <w:lang w:val="es-AR" w:eastAsia="es-AR"/>
              </w:rPr>
            </w:pPr>
          </w:p>
        </w:tc>
      </w:tr>
    </w:tbl>
    <w:p w14:paraId="4EAA501C" w14:textId="77777777" w:rsidR="0010523F" w:rsidRPr="0010523F" w:rsidRDefault="0010523F" w:rsidP="0010523F">
      <w:pPr>
        <w:rPr>
          <w:sz w:val="22"/>
          <w:szCs w:val="22"/>
          <w:lang w:val="es-AR" w:eastAsia="en-US"/>
        </w:rPr>
      </w:pPr>
      <w:r w:rsidRPr="0010523F">
        <w:rPr>
          <w:sz w:val="22"/>
          <w:szCs w:val="22"/>
          <w:lang w:val="es-AR" w:eastAsia="en-US"/>
        </w:rPr>
        <w:br w:type="page"/>
      </w:r>
      <w:r w:rsidRPr="0010523F">
        <w:rPr>
          <w:sz w:val="22"/>
          <w:szCs w:val="22"/>
          <w:lang w:val="es-AR" w:eastAsia="en-US"/>
        </w:rPr>
        <w:tab/>
      </w:r>
    </w:p>
    <w:p w14:paraId="76D0211A" w14:textId="77777777" w:rsidR="0010523F" w:rsidRPr="0010523F" w:rsidRDefault="0010523F" w:rsidP="0010523F">
      <w:pPr>
        <w:tabs>
          <w:tab w:val="right" w:pos="9600"/>
        </w:tabs>
        <w:spacing w:line="120" w:lineRule="exact"/>
        <w:jc w:val="both"/>
        <w:rPr>
          <w:sz w:val="22"/>
          <w:szCs w:val="22"/>
          <w:lang w:val="es-AR" w:eastAsia="en-US"/>
        </w:rPr>
      </w:pPr>
    </w:p>
    <w:p w14:paraId="2992E7F8" w14:textId="77777777" w:rsidR="0010523F" w:rsidRPr="0010523F" w:rsidRDefault="0010523F" w:rsidP="0010523F">
      <w:pPr>
        <w:tabs>
          <w:tab w:val="right" w:pos="9600"/>
        </w:tabs>
        <w:spacing w:line="220" w:lineRule="exact"/>
        <w:rPr>
          <w:sz w:val="22"/>
          <w:szCs w:val="22"/>
          <w:lang w:val="es-AR" w:eastAsia="en-US"/>
        </w:rPr>
      </w:pPr>
    </w:p>
    <w:p w14:paraId="03D9E2F3" w14:textId="77777777" w:rsidR="0010523F" w:rsidRPr="0010523F" w:rsidRDefault="0010523F" w:rsidP="0010523F">
      <w:pPr>
        <w:tabs>
          <w:tab w:val="right" w:leader="dot" w:pos="9600"/>
        </w:tabs>
        <w:spacing w:line="260" w:lineRule="exact"/>
        <w:jc w:val="both"/>
        <w:rPr>
          <w:b/>
          <w:lang w:val="es-AR" w:eastAsia="en-US"/>
        </w:rPr>
      </w:pPr>
      <w:r w:rsidRPr="0010523F">
        <w:rPr>
          <w:b/>
          <w:lang w:val="es-AR" w:eastAsia="en-US"/>
        </w:rPr>
        <w:t>PAN AMERICAN ENERGY, S.L., SUCURSAL ARGENTINA</w:t>
      </w:r>
      <w:r w:rsidRPr="0010523F" w:rsidDel="001E12ED">
        <w:rPr>
          <w:b/>
          <w:lang w:val="es-AR" w:eastAsia="en-US"/>
        </w:rPr>
        <w:t xml:space="preserve"> </w:t>
      </w:r>
    </w:p>
    <w:p w14:paraId="58E42D30" w14:textId="77777777" w:rsidR="0010523F" w:rsidRPr="0010523F" w:rsidRDefault="0010523F" w:rsidP="0010523F">
      <w:pPr>
        <w:tabs>
          <w:tab w:val="right" w:pos="9600"/>
        </w:tabs>
        <w:spacing w:line="120" w:lineRule="exact"/>
        <w:jc w:val="both"/>
        <w:rPr>
          <w:sz w:val="22"/>
          <w:szCs w:val="22"/>
          <w:lang w:val="es-AR" w:eastAsia="en-US"/>
        </w:rPr>
      </w:pPr>
    </w:p>
    <w:p w14:paraId="44A66B05" w14:textId="77777777" w:rsidR="0010523F" w:rsidRPr="0010523F" w:rsidRDefault="0010523F" w:rsidP="0010523F">
      <w:pPr>
        <w:spacing w:line="220" w:lineRule="exact"/>
        <w:ind w:right="-142"/>
        <w:jc w:val="both"/>
        <w:rPr>
          <w:lang w:val="es-AR" w:eastAsia="en-US"/>
        </w:rPr>
      </w:pPr>
      <w:r w:rsidRPr="0010523F">
        <w:rPr>
          <w:b/>
          <w:lang w:val="es-AR" w:eastAsia="en-US"/>
        </w:rPr>
        <w:t xml:space="preserve">ESTADOS FINANCIEROS INTERMEDIOS CONDENSADOS </w:t>
      </w:r>
      <w:r w:rsidRPr="0010523F">
        <w:rPr>
          <w:lang w:val="es-AR" w:eastAsia="en-US"/>
        </w:rPr>
        <w:t>al 30 de septiembre de 2019, correspondientes al período de nueve meses iniciado el 1 de enero de 2019 y finalizado el 30 de septiembre de 2019, presentados en forma comparativa</w:t>
      </w:r>
    </w:p>
    <w:p w14:paraId="3F647DD3" w14:textId="77777777" w:rsidR="0010523F" w:rsidRPr="0010523F" w:rsidRDefault="0010523F" w:rsidP="0010523F">
      <w:pPr>
        <w:tabs>
          <w:tab w:val="right" w:pos="9600"/>
        </w:tabs>
        <w:spacing w:line="220" w:lineRule="exact"/>
        <w:ind w:left="142"/>
        <w:jc w:val="both"/>
        <w:rPr>
          <w:sz w:val="22"/>
          <w:szCs w:val="22"/>
          <w:lang w:val="es-AR" w:eastAsia="en-US"/>
        </w:rPr>
      </w:pPr>
    </w:p>
    <w:tbl>
      <w:tblPr>
        <w:tblW w:w="10069" w:type="dxa"/>
        <w:tblInd w:w="55" w:type="dxa"/>
        <w:tblCellMar>
          <w:left w:w="70" w:type="dxa"/>
          <w:right w:w="70" w:type="dxa"/>
        </w:tblCellMar>
        <w:tblLook w:val="04A0" w:firstRow="1" w:lastRow="0" w:firstColumn="1" w:lastColumn="0" w:noHBand="0" w:noVBand="1"/>
      </w:tblPr>
      <w:tblGrid>
        <w:gridCol w:w="1180"/>
        <w:gridCol w:w="8049"/>
        <w:gridCol w:w="840"/>
      </w:tblGrid>
      <w:tr w:rsidR="0010523F" w:rsidRPr="0010523F" w14:paraId="477074DF" w14:textId="77777777" w:rsidTr="00774E7E">
        <w:trPr>
          <w:trHeight w:val="288"/>
        </w:trPr>
        <w:tc>
          <w:tcPr>
            <w:tcW w:w="9229" w:type="dxa"/>
            <w:gridSpan w:val="2"/>
            <w:tcBorders>
              <w:top w:val="nil"/>
              <w:left w:val="nil"/>
              <w:bottom w:val="nil"/>
              <w:right w:val="nil"/>
            </w:tcBorders>
            <w:shd w:val="clear" w:color="auto" w:fill="auto"/>
            <w:noWrap/>
            <w:vAlign w:val="center"/>
            <w:hideMark/>
          </w:tcPr>
          <w:p w14:paraId="0D3BEDC8" w14:textId="77777777" w:rsidR="0010523F" w:rsidRPr="0010523F" w:rsidRDefault="0010523F" w:rsidP="0010523F">
            <w:pPr>
              <w:rPr>
                <w:b/>
                <w:color w:val="000000"/>
                <w:sz w:val="22"/>
                <w:szCs w:val="22"/>
                <w:lang w:val="es-AR" w:eastAsia="es-AR"/>
              </w:rPr>
            </w:pPr>
            <w:r w:rsidRPr="0010523F">
              <w:rPr>
                <w:b/>
                <w:color w:val="000000"/>
                <w:sz w:val="22"/>
                <w:szCs w:val="22"/>
                <w:lang w:val="es-AR" w:eastAsia="es-AR"/>
              </w:rPr>
              <w:t>Índice (cont.)</w:t>
            </w:r>
          </w:p>
        </w:tc>
        <w:tc>
          <w:tcPr>
            <w:tcW w:w="840" w:type="dxa"/>
            <w:tcBorders>
              <w:top w:val="nil"/>
              <w:left w:val="nil"/>
              <w:bottom w:val="nil"/>
              <w:right w:val="nil"/>
            </w:tcBorders>
            <w:shd w:val="clear" w:color="auto" w:fill="auto"/>
            <w:noWrap/>
            <w:vAlign w:val="bottom"/>
            <w:hideMark/>
          </w:tcPr>
          <w:p w14:paraId="4F1DDB3C" w14:textId="77777777" w:rsidR="0010523F" w:rsidRPr="0010523F" w:rsidRDefault="0010523F" w:rsidP="0010523F">
            <w:pPr>
              <w:jc w:val="right"/>
              <w:rPr>
                <w:b/>
                <w:color w:val="000000"/>
                <w:sz w:val="22"/>
                <w:szCs w:val="22"/>
                <w:lang w:val="es-AR" w:eastAsia="es-AR"/>
              </w:rPr>
            </w:pPr>
          </w:p>
        </w:tc>
      </w:tr>
      <w:tr w:rsidR="0010523F" w:rsidRPr="0010523F" w14:paraId="05A386E3" w14:textId="77777777" w:rsidTr="00774E7E">
        <w:trPr>
          <w:trHeight w:val="288"/>
        </w:trPr>
        <w:tc>
          <w:tcPr>
            <w:tcW w:w="1180" w:type="dxa"/>
            <w:tcBorders>
              <w:top w:val="nil"/>
              <w:left w:val="nil"/>
              <w:bottom w:val="nil"/>
              <w:right w:val="nil"/>
            </w:tcBorders>
            <w:shd w:val="clear" w:color="auto" w:fill="auto"/>
            <w:noWrap/>
            <w:vAlign w:val="center"/>
            <w:hideMark/>
          </w:tcPr>
          <w:p w14:paraId="40407451" w14:textId="77777777" w:rsidR="0010523F" w:rsidRPr="0010523F" w:rsidRDefault="0010523F" w:rsidP="0010523F">
            <w:pPr>
              <w:rPr>
                <w:b/>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03BB1116" w14:textId="77777777" w:rsidR="0010523F" w:rsidRPr="0010523F" w:rsidRDefault="0010523F" w:rsidP="0010523F">
            <w:pPr>
              <w:rPr>
                <w:b/>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3A8B1B4F" w14:textId="77777777" w:rsidR="0010523F" w:rsidRPr="0010523F" w:rsidRDefault="0010523F" w:rsidP="0010523F">
            <w:pPr>
              <w:jc w:val="right"/>
              <w:rPr>
                <w:b/>
                <w:color w:val="000000"/>
                <w:sz w:val="22"/>
                <w:szCs w:val="22"/>
                <w:u w:val="single"/>
                <w:lang w:val="es-AR" w:eastAsia="es-AR"/>
              </w:rPr>
            </w:pPr>
            <w:r w:rsidRPr="0010523F">
              <w:rPr>
                <w:b/>
                <w:color w:val="000000"/>
                <w:sz w:val="22"/>
                <w:szCs w:val="22"/>
                <w:u w:val="single"/>
                <w:lang w:val="es-AR" w:eastAsia="es-AR"/>
              </w:rPr>
              <w:t>Página</w:t>
            </w:r>
          </w:p>
        </w:tc>
      </w:tr>
      <w:tr w:rsidR="0010523F" w:rsidRPr="0010523F" w14:paraId="32F54665" w14:textId="77777777" w:rsidTr="00774E7E">
        <w:trPr>
          <w:trHeight w:val="68"/>
        </w:trPr>
        <w:tc>
          <w:tcPr>
            <w:tcW w:w="1180" w:type="dxa"/>
            <w:tcBorders>
              <w:top w:val="nil"/>
              <w:left w:val="nil"/>
              <w:bottom w:val="nil"/>
              <w:right w:val="nil"/>
            </w:tcBorders>
            <w:shd w:val="clear" w:color="auto" w:fill="auto"/>
            <w:noWrap/>
            <w:vAlign w:val="center"/>
            <w:hideMark/>
          </w:tcPr>
          <w:p w14:paraId="6D7A5621" w14:textId="77777777" w:rsidR="0010523F" w:rsidRPr="0010523F" w:rsidRDefault="0010523F" w:rsidP="0010523F">
            <w:pPr>
              <w:rPr>
                <w:rFonts w:ascii="Calibri" w:hAnsi="Calibri"/>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09471B84" w14:textId="77777777" w:rsidR="0010523F" w:rsidRPr="0010523F" w:rsidRDefault="0010523F" w:rsidP="0010523F">
            <w:pPr>
              <w:rPr>
                <w:rFonts w:ascii="Calibri" w:hAnsi="Calibri"/>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07F73D3F" w14:textId="77777777" w:rsidR="0010523F" w:rsidRPr="0010523F" w:rsidRDefault="0010523F" w:rsidP="0010523F">
            <w:pPr>
              <w:rPr>
                <w:rFonts w:ascii="Calibri" w:hAnsi="Calibri"/>
                <w:color w:val="000000"/>
                <w:sz w:val="22"/>
                <w:szCs w:val="22"/>
                <w:lang w:val="es-AR" w:eastAsia="es-AR"/>
              </w:rPr>
            </w:pPr>
          </w:p>
        </w:tc>
      </w:tr>
      <w:tr w:rsidR="0010523F" w:rsidRPr="0010523F" w14:paraId="166AA563" w14:textId="77777777" w:rsidTr="00774E7E">
        <w:trPr>
          <w:trHeight w:val="288"/>
        </w:trPr>
        <w:tc>
          <w:tcPr>
            <w:tcW w:w="1180" w:type="dxa"/>
            <w:tcBorders>
              <w:top w:val="nil"/>
              <w:left w:val="nil"/>
              <w:bottom w:val="nil"/>
              <w:right w:val="nil"/>
            </w:tcBorders>
            <w:shd w:val="clear" w:color="auto" w:fill="auto"/>
            <w:noWrap/>
            <w:vAlign w:val="center"/>
            <w:hideMark/>
          </w:tcPr>
          <w:p w14:paraId="069A667D"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ANEXOS:</w:t>
            </w:r>
          </w:p>
        </w:tc>
        <w:tc>
          <w:tcPr>
            <w:tcW w:w="8049" w:type="dxa"/>
            <w:tcBorders>
              <w:top w:val="nil"/>
              <w:left w:val="nil"/>
              <w:bottom w:val="nil"/>
              <w:right w:val="nil"/>
            </w:tcBorders>
            <w:shd w:val="clear" w:color="auto" w:fill="auto"/>
            <w:noWrap/>
            <w:vAlign w:val="bottom"/>
            <w:hideMark/>
          </w:tcPr>
          <w:p w14:paraId="6C5A7C0F"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6656438F" w14:textId="77777777" w:rsidR="0010523F" w:rsidRPr="0010523F" w:rsidRDefault="0010523F" w:rsidP="0010523F">
            <w:pPr>
              <w:jc w:val="right"/>
              <w:rPr>
                <w:color w:val="000000"/>
                <w:sz w:val="22"/>
                <w:szCs w:val="22"/>
                <w:lang w:val="es-AR" w:eastAsia="es-AR"/>
              </w:rPr>
            </w:pPr>
          </w:p>
        </w:tc>
      </w:tr>
      <w:tr w:rsidR="0010523F" w:rsidRPr="0010523F" w14:paraId="48CD4015" w14:textId="77777777" w:rsidTr="00774E7E">
        <w:trPr>
          <w:trHeight w:val="120"/>
        </w:trPr>
        <w:tc>
          <w:tcPr>
            <w:tcW w:w="1180" w:type="dxa"/>
            <w:tcBorders>
              <w:top w:val="nil"/>
              <w:left w:val="nil"/>
              <w:bottom w:val="nil"/>
              <w:right w:val="nil"/>
            </w:tcBorders>
            <w:shd w:val="clear" w:color="auto" w:fill="auto"/>
            <w:noWrap/>
            <w:vAlign w:val="center"/>
            <w:hideMark/>
          </w:tcPr>
          <w:p w14:paraId="145771AD"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79B0C1DA"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0D09B764" w14:textId="77777777" w:rsidR="0010523F" w:rsidRPr="0010523F" w:rsidRDefault="0010523F" w:rsidP="0010523F">
            <w:pPr>
              <w:jc w:val="right"/>
              <w:rPr>
                <w:color w:val="000000"/>
                <w:sz w:val="22"/>
                <w:szCs w:val="22"/>
                <w:lang w:val="es-AR" w:eastAsia="es-AR"/>
              </w:rPr>
            </w:pPr>
          </w:p>
        </w:tc>
      </w:tr>
      <w:tr w:rsidR="0010523F" w:rsidRPr="0010523F" w14:paraId="2412FB36" w14:textId="77777777" w:rsidTr="00774E7E">
        <w:trPr>
          <w:trHeight w:val="864"/>
        </w:trPr>
        <w:tc>
          <w:tcPr>
            <w:tcW w:w="9229" w:type="dxa"/>
            <w:gridSpan w:val="2"/>
            <w:tcBorders>
              <w:top w:val="nil"/>
              <w:left w:val="nil"/>
              <w:bottom w:val="nil"/>
              <w:right w:val="nil"/>
            </w:tcBorders>
            <w:shd w:val="clear" w:color="auto" w:fill="auto"/>
            <w:vAlign w:val="center"/>
            <w:hideMark/>
          </w:tcPr>
          <w:p w14:paraId="05204DC8"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INFORMACIÓN COMPLEMENTARIA REQUERIDA POR EL ARTÍCULO 1 DEL CAPÍTULO III, TÍTULO IV DEL TEXTO ORDENADO EN 2013 DE LAS NORMAS DE LA COMISIÓN NACIONAL DE VALORES (“CNV”) (“TO 2013”)</w:t>
            </w:r>
          </w:p>
        </w:tc>
        <w:tc>
          <w:tcPr>
            <w:tcW w:w="840" w:type="dxa"/>
            <w:tcBorders>
              <w:top w:val="nil"/>
              <w:left w:val="nil"/>
              <w:bottom w:val="nil"/>
              <w:right w:val="nil"/>
            </w:tcBorders>
            <w:shd w:val="clear" w:color="auto" w:fill="auto"/>
            <w:noWrap/>
            <w:vAlign w:val="bottom"/>
            <w:hideMark/>
          </w:tcPr>
          <w:p w14:paraId="4354B791" w14:textId="77777777" w:rsidR="0010523F" w:rsidRPr="0010523F" w:rsidRDefault="0010523F" w:rsidP="0010523F">
            <w:pPr>
              <w:jc w:val="right"/>
              <w:rPr>
                <w:color w:val="000000"/>
                <w:sz w:val="22"/>
                <w:szCs w:val="22"/>
                <w:lang w:val="es-AR" w:eastAsia="es-AR"/>
              </w:rPr>
            </w:pPr>
          </w:p>
        </w:tc>
      </w:tr>
      <w:tr w:rsidR="0010523F" w:rsidRPr="0010523F" w14:paraId="4D5E1877" w14:textId="77777777" w:rsidTr="00774E7E">
        <w:trPr>
          <w:trHeight w:val="108"/>
        </w:trPr>
        <w:tc>
          <w:tcPr>
            <w:tcW w:w="1180" w:type="dxa"/>
            <w:tcBorders>
              <w:top w:val="nil"/>
              <w:left w:val="nil"/>
              <w:bottom w:val="nil"/>
              <w:right w:val="nil"/>
            </w:tcBorders>
            <w:shd w:val="clear" w:color="auto" w:fill="auto"/>
            <w:noWrap/>
            <w:vAlign w:val="center"/>
            <w:hideMark/>
          </w:tcPr>
          <w:p w14:paraId="073C0FAD"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26321726"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6AAEC23A" w14:textId="77777777" w:rsidR="0010523F" w:rsidRPr="0010523F" w:rsidRDefault="0010523F" w:rsidP="0010523F">
            <w:pPr>
              <w:jc w:val="right"/>
              <w:rPr>
                <w:color w:val="000000"/>
                <w:sz w:val="22"/>
                <w:szCs w:val="22"/>
                <w:lang w:val="es-AR" w:eastAsia="es-AR"/>
              </w:rPr>
            </w:pPr>
          </w:p>
        </w:tc>
      </w:tr>
      <w:tr w:rsidR="0010523F" w:rsidRPr="0010523F" w14:paraId="49ABA33A" w14:textId="77777777" w:rsidTr="00774E7E">
        <w:trPr>
          <w:trHeight w:val="288"/>
        </w:trPr>
        <w:tc>
          <w:tcPr>
            <w:tcW w:w="1180" w:type="dxa"/>
            <w:tcBorders>
              <w:top w:val="nil"/>
              <w:left w:val="nil"/>
              <w:bottom w:val="nil"/>
              <w:right w:val="nil"/>
            </w:tcBorders>
            <w:shd w:val="clear" w:color="auto" w:fill="auto"/>
            <w:noWrap/>
            <w:vAlign w:val="center"/>
            <w:hideMark/>
          </w:tcPr>
          <w:p w14:paraId="2DDD6E90"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ANEXO E</w:t>
            </w:r>
          </w:p>
        </w:tc>
        <w:tc>
          <w:tcPr>
            <w:tcW w:w="8049" w:type="dxa"/>
            <w:tcBorders>
              <w:top w:val="nil"/>
              <w:left w:val="nil"/>
              <w:bottom w:val="nil"/>
              <w:right w:val="nil"/>
            </w:tcBorders>
            <w:shd w:val="clear" w:color="auto" w:fill="auto"/>
            <w:noWrap/>
            <w:vAlign w:val="center"/>
            <w:hideMark/>
          </w:tcPr>
          <w:p w14:paraId="22E76248"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- 1. Previsiones</w:t>
            </w:r>
          </w:p>
        </w:tc>
        <w:tc>
          <w:tcPr>
            <w:tcW w:w="840" w:type="dxa"/>
            <w:tcBorders>
              <w:top w:val="nil"/>
              <w:left w:val="nil"/>
              <w:bottom w:val="nil"/>
              <w:right w:val="nil"/>
            </w:tcBorders>
            <w:shd w:val="clear" w:color="auto" w:fill="auto"/>
            <w:noWrap/>
            <w:vAlign w:val="bottom"/>
            <w:hideMark/>
          </w:tcPr>
          <w:p w14:paraId="21B22113"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38</w:t>
            </w:r>
          </w:p>
        </w:tc>
      </w:tr>
      <w:tr w:rsidR="0010523F" w:rsidRPr="0010523F" w14:paraId="2D07BC32" w14:textId="77777777" w:rsidTr="00774E7E">
        <w:trPr>
          <w:trHeight w:val="288"/>
        </w:trPr>
        <w:tc>
          <w:tcPr>
            <w:tcW w:w="1180" w:type="dxa"/>
            <w:tcBorders>
              <w:top w:val="nil"/>
              <w:left w:val="nil"/>
              <w:bottom w:val="nil"/>
              <w:right w:val="nil"/>
            </w:tcBorders>
            <w:shd w:val="clear" w:color="auto" w:fill="auto"/>
            <w:noWrap/>
            <w:vAlign w:val="center"/>
            <w:hideMark/>
          </w:tcPr>
          <w:p w14:paraId="58A1D34B" w14:textId="77777777" w:rsidR="0010523F" w:rsidRPr="0010523F" w:rsidRDefault="0010523F" w:rsidP="0010523F">
            <w:pPr>
              <w:rPr>
                <w:color w:val="000000"/>
                <w:sz w:val="22"/>
                <w:szCs w:val="22"/>
                <w:lang w:val="es-AR" w:eastAsia="es-AR"/>
              </w:rPr>
            </w:pPr>
            <w:r w:rsidRPr="0010523F">
              <w:rPr>
                <w:color w:val="000000"/>
                <w:sz w:val="22"/>
                <w:szCs w:val="22"/>
                <w:lang w:val="pt-BR" w:eastAsia="es-AR"/>
              </w:rPr>
              <w:t xml:space="preserve">ANEXO E </w:t>
            </w:r>
          </w:p>
        </w:tc>
        <w:tc>
          <w:tcPr>
            <w:tcW w:w="8049" w:type="dxa"/>
            <w:tcBorders>
              <w:top w:val="nil"/>
              <w:left w:val="nil"/>
              <w:bottom w:val="nil"/>
              <w:right w:val="nil"/>
            </w:tcBorders>
            <w:shd w:val="clear" w:color="auto" w:fill="auto"/>
            <w:noWrap/>
            <w:vAlign w:val="center"/>
            <w:hideMark/>
          </w:tcPr>
          <w:p w14:paraId="5333BB50"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- 2. Provisiones</w:t>
            </w:r>
          </w:p>
        </w:tc>
        <w:tc>
          <w:tcPr>
            <w:tcW w:w="840" w:type="dxa"/>
            <w:tcBorders>
              <w:top w:val="nil"/>
              <w:left w:val="nil"/>
              <w:bottom w:val="nil"/>
              <w:right w:val="nil"/>
            </w:tcBorders>
            <w:shd w:val="clear" w:color="auto" w:fill="auto"/>
            <w:noWrap/>
            <w:vAlign w:val="bottom"/>
            <w:hideMark/>
          </w:tcPr>
          <w:p w14:paraId="02A5C874"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39</w:t>
            </w:r>
          </w:p>
        </w:tc>
      </w:tr>
      <w:tr w:rsidR="0010523F" w:rsidRPr="0010523F" w14:paraId="1431AF1E" w14:textId="77777777" w:rsidTr="00774E7E">
        <w:trPr>
          <w:trHeight w:val="588"/>
        </w:trPr>
        <w:tc>
          <w:tcPr>
            <w:tcW w:w="1180" w:type="dxa"/>
            <w:tcBorders>
              <w:top w:val="nil"/>
              <w:left w:val="nil"/>
              <w:bottom w:val="nil"/>
              <w:right w:val="nil"/>
            </w:tcBorders>
            <w:shd w:val="clear" w:color="auto" w:fill="auto"/>
            <w:hideMark/>
          </w:tcPr>
          <w:p w14:paraId="1CCB8A88"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 xml:space="preserve">ANEXO G </w:t>
            </w:r>
          </w:p>
        </w:tc>
        <w:tc>
          <w:tcPr>
            <w:tcW w:w="8049" w:type="dxa"/>
            <w:tcBorders>
              <w:top w:val="nil"/>
              <w:left w:val="nil"/>
              <w:bottom w:val="nil"/>
              <w:right w:val="nil"/>
            </w:tcBorders>
            <w:shd w:val="clear" w:color="auto" w:fill="auto"/>
            <w:vAlign w:val="center"/>
            <w:hideMark/>
          </w:tcPr>
          <w:p w14:paraId="478E4F02"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Activos y pasivos en monedas distintas del peso - Información requerida por el artículo 63 inc. 4.c) de la Ley N° 19.550</w:t>
            </w:r>
          </w:p>
        </w:tc>
        <w:tc>
          <w:tcPr>
            <w:tcW w:w="840" w:type="dxa"/>
            <w:tcBorders>
              <w:top w:val="nil"/>
              <w:left w:val="nil"/>
              <w:bottom w:val="nil"/>
              <w:right w:val="nil"/>
            </w:tcBorders>
            <w:shd w:val="clear" w:color="auto" w:fill="auto"/>
            <w:noWrap/>
            <w:vAlign w:val="bottom"/>
            <w:hideMark/>
          </w:tcPr>
          <w:p w14:paraId="3979E422"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40</w:t>
            </w:r>
          </w:p>
        </w:tc>
      </w:tr>
      <w:tr w:rsidR="0010523F" w:rsidRPr="0010523F" w14:paraId="20D1B60E" w14:textId="77777777" w:rsidTr="00774E7E">
        <w:trPr>
          <w:trHeight w:val="156"/>
        </w:trPr>
        <w:tc>
          <w:tcPr>
            <w:tcW w:w="1180" w:type="dxa"/>
            <w:tcBorders>
              <w:top w:val="nil"/>
              <w:left w:val="nil"/>
              <w:bottom w:val="nil"/>
              <w:right w:val="nil"/>
            </w:tcBorders>
            <w:shd w:val="clear" w:color="auto" w:fill="auto"/>
            <w:noWrap/>
            <w:vAlign w:val="center"/>
            <w:hideMark/>
          </w:tcPr>
          <w:p w14:paraId="5117BF4E"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1712F006"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4C8EE41B" w14:textId="77777777" w:rsidR="0010523F" w:rsidRPr="0010523F" w:rsidRDefault="0010523F" w:rsidP="0010523F">
            <w:pPr>
              <w:jc w:val="right"/>
              <w:rPr>
                <w:color w:val="000000"/>
                <w:sz w:val="22"/>
                <w:szCs w:val="22"/>
                <w:lang w:val="es-AR" w:eastAsia="es-AR"/>
              </w:rPr>
            </w:pPr>
          </w:p>
        </w:tc>
      </w:tr>
      <w:tr w:rsidR="0010523F" w:rsidRPr="0010523F" w14:paraId="26D64783" w14:textId="77777777" w:rsidTr="00774E7E">
        <w:trPr>
          <w:trHeight w:val="288"/>
        </w:trPr>
        <w:tc>
          <w:tcPr>
            <w:tcW w:w="1180" w:type="dxa"/>
            <w:tcBorders>
              <w:top w:val="nil"/>
              <w:left w:val="nil"/>
              <w:bottom w:val="nil"/>
              <w:right w:val="nil"/>
            </w:tcBorders>
            <w:shd w:val="clear" w:color="auto" w:fill="auto"/>
            <w:noWrap/>
            <w:vAlign w:val="center"/>
            <w:hideMark/>
          </w:tcPr>
          <w:p w14:paraId="2841ED30"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OTROS:</w:t>
            </w:r>
          </w:p>
        </w:tc>
        <w:tc>
          <w:tcPr>
            <w:tcW w:w="8049" w:type="dxa"/>
            <w:tcBorders>
              <w:top w:val="nil"/>
              <w:left w:val="nil"/>
              <w:bottom w:val="nil"/>
              <w:right w:val="nil"/>
            </w:tcBorders>
            <w:shd w:val="clear" w:color="auto" w:fill="auto"/>
            <w:noWrap/>
            <w:vAlign w:val="bottom"/>
            <w:hideMark/>
          </w:tcPr>
          <w:p w14:paraId="04350376"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00D2821D" w14:textId="77777777" w:rsidR="0010523F" w:rsidRPr="0010523F" w:rsidRDefault="0010523F" w:rsidP="0010523F">
            <w:pPr>
              <w:jc w:val="right"/>
              <w:rPr>
                <w:color w:val="000000"/>
                <w:sz w:val="22"/>
                <w:szCs w:val="22"/>
                <w:lang w:val="es-AR" w:eastAsia="es-AR"/>
              </w:rPr>
            </w:pPr>
          </w:p>
        </w:tc>
      </w:tr>
      <w:tr w:rsidR="0010523F" w:rsidRPr="0010523F" w14:paraId="3917FDC8" w14:textId="77777777" w:rsidTr="00774E7E">
        <w:trPr>
          <w:trHeight w:val="120"/>
        </w:trPr>
        <w:tc>
          <w:tcPr>
            <w:tcW w:w="1180" w:type="dxa"/>
            <w:tcBorders>
              <w:top w:val="nil"/>
              <w:left w:val="nil"/>
              <w:bottom w:val="nil"/>
              <w:right w:val="nil"/>
            </w:tcBorders>
            <w:shd w:val="clear" w:color="auto" w:fill="auto"/>
            <w:noWrap/>
            <w:vAlign w:val="center"/>
            <w:hideMark/>
          </w:tcPr>
          <w:p w14:paraId="0582302E"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6E7F0D8B"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1B3771DD" w14:textId="77777777" w:rsidR="0010523F" w:rsidRPr="0010523F" w:rsidRDefault="0010523F" w:rsidP="0010523F">
            <w:pPr>
              <w:jc w:val="right"/>
              <w:rPr>
                <w:color w:val="000000"/>
                <w:sz w:val="22"/>
                <w:szCs w:val="22"/>
                <w:lang w:val="es-AR" w:eastAsia="es-AR"/>
              </w:rPr>
            </w:pPr>
          </w:p>
        </w:tc>
      </w:tr>
      <w:tr w:rsidR="0010523F" w:rsidRPr="0010523F" w14:paraId="116DEBAA" w14:textId="77777777" w:rsidTr="00774E7E">
        <w:trPr>
          <w:trHeight w:val="288"/>
        </w:trPr>
        <w:tc>
          <w:tcPr>
            <w:tcW w:w="1180" w:type="dxa"/>
            <w:tcBorders>
              <w:top w:val="nil"/>
              <w:left w:val="nil"/>
              <w:bottom w:val="nil"/>
              <w:right w:val="nil"/>
            </w:tcBorders>
            <w:shd w:val="clear" w:color="auto" w:fill="auto"/>
            <w:noWrap/>
            <w:hideMark/>
          </w:tcPr>
          <w:p w14:paraId="686FBAF8"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ANEXO I</w:t>
            </w:r>
          </w:p>
        </w:tc>
        <w:tc>
          <w:tcPr>
            <w:tcW w:w="8049" w:type="dxa"/>
            <w:tcBorders>
              <w:top w:val="nil"/>
              <w:left w:val="nil"/>
              <w:bottom w:val="nil"/>
              <w:right w:val="nil"/>
            </w:tcBorders>
            <w:shd w:val="clear" w:color="auto" w:fill="auto"/>
            <w:noWrap/>
            <w:vAlign w:val="bottom"/>
            <w:hideMark/>
          </w:tcPr>
          <w:p w14:paraId="2164A9B7"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Plazos de inversiones, créditos, deudas, préstamos y obligaciones negociables a cobrar o pagar en moneda</w:t>
            </w:r>
          </w:p>
        </w:tc>
        <w:tc>
          <w:tcPr>
            <w:tcW w:w="840" w:type="dxa"/>
            <w:tcBorders>
              <w:top w:val="nil"/>
              <w:left w:val="nil"/>
              <w:bottom w:val="nil"/>
              <w:right w:val="nil"/>
            </w:tcBorders>
            <w:shd w:val="clear" w:color="auto" w:fill="auto"/>
            <w:noWrap/>
            <w:vAlign w:val="bottom"/>
            <w:hideMark/>
          </w:tcPr>
          <w:p w14:paraId="2DCFA15B"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42</w:t>
            </w:r>
          </w:p>
        </w:tc>
      </w:tr>
      <w:tr w:rsidR="0010523F" w:rsidRPr="0010523F" w14:paraId="6F09055C" w14:textId="77777777" w:rsidTr="00774E7E">
        <w:trPr>
          <w:trHeight w:val="108"/>
        </w:trPr>
        <w:tc>
          <w:tcPr>
            <w:tcW w:w="1180" w:type="dxa"/>
            <w:tcBorders>
              <w:top w:val="nil"/>
              <w:left w:val="nil"/>
              <w:bottom w:val="nil"/>
              <w:right w:val="nil"/>
            </w:tcBorders>
            <w:shd w:val="clear" w:color="auto" w:fill="auto"/>
            <w:noWrap/>
            <w:vAlign w:val="center"/>
            <w:hideMark/>
          </w:tcPr>
          <w:p w14:paraId="40F696CC"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4F03F93C"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667D4691" w14:textId="77777777" w:rsidR="0010523F" w:rsidRPr="0010523F" w:rsidRDefault="0010523F" w:rsidP="0010523F">
            <w:pPr>
              <w:jc w:val="right"/>
              <w:rPr>
                <w:color w:val="000000"/>
                <w:sz w:val="22"/>
                <w:szCs w:val="22"/>
                <w:lang w:val="es-AR" w:eastAsia="es-AR"/>
              </w:rPr>
            </w:pPr>
          </w:p>
        </w:tc>
      </w:tr>
      <w:tr w:rsidR="0010523F" w:rsidRPr="0010523F" w14:paraId="4B714FE2" w14:textId="77777777" w:rsidTr="00774E7E">
        <w:trPr>
          <w:trHeight w:val="552"/>
        </w:trPr>
        <w:tc>
          <w:tcPr>
            <w:tcW w:w="9229" w:type="dxa"/>
            <w:gridSpan w:val="2"/>
            <w:tcBorders>
              <w:top w:val="nil"/>
              <w:left w:val="nil"/>
              <w:bottom w:val="nil"/>
              <w:right w:val="nil"/>
            </w:tcBorders>
            <w:shd w:val="clear" w:color="auto" w:fill="auto"/>
            <w:vAlign w:val="center"/>
            <w:hideMark/>
          </w:tcPr>
          <w:p w14:paraId="481F8EB6"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RESEÑA INFORMATIVA REQUERIDA POR EL ARTÍCULO 4 DEL CAPÍTULO III, TÍTULO IV DEL TEXTO ORDENADO EN 2013 DE LAS NORMAS DE LA COMISIÓN NACIONAL DE VALORES</w:t>
            </w:r>
          </w:p>
        </w:tc>
        <w:tc>
          <w:tcPr>
            <w:tcW w:w="840" w:type="dxa"/>
            <w:tcBorders>
              <w:top w:val="nil"/>
              <w:left w:val="nil"/>
              <w:bottom w:val="nil"/>
              <w:right w:val="nil"/>
            </w:tcBorders>
            <w:shd w:val="clear" w:color="auto" w:fill="auto"/>
            <w:noWrap/>
            <w:vAlign w:val="bottom"/>
            <w:hideMark/>
          </w:tcPr>
          <w:p w14:paraId="7DB2B25B"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43</w:t>
            </w:r>
          </w:p>
        </w:tc>
      </w:tr>
      <w:tr w:rsidR="0010523F" w:rsidRPr="0010523F" w14:paraId="4E6069B8" w14:textId="77777777" w:rsidTr="00774E7E">
        <w:trPr>
          <w:trHeight w:val="84"/>
        </w:trPr>
        <w:tc>
          <w:tcPr>
            <w:tcW w:w="1180" w:type="dxa"/>
            <w:tcBorders>
              <w:top w:val="nil"/>
              <w:left w:val="nil"/>
              <w:bottom w:val="nil"/>
              <w:right w:val="nil"/>
            </w:tcBorders>
            <w:shd w:val="clear" w:color="auto" w:fill="auto"/>
            <w:noWrap/>
            <w:vAlign w:val="center"/>
            <w:hideMark/>
          </w:tcPr>
          <w:p w14:paraId="551270A2" w14:textId="77777777" w:rsidR="0010523F" w:rsidRPr="0010523F" w:rsidRDefault="0010523F" w:rsidP="0010523F">
            <w:pPr>
              <w:rPr>
                <w:color w:val="000000"/>
                <w:sz w:val="22"/>
                <w:szCs w:val="22"/>
                <w:lang w:val="es-AR" w:eastAsia="es-AR"/>
              </w:rPr>
            </w:pPr>
          </w:p>
        </w:tc>
        <w:tc>
          <w:tcPr>
            <w:tcW w:w="8049" w:type="dxa"/>
            <w:tcBorders>
              <w:top w:val="nil"/>
              <w:left w:val="nil"/>
              <w:bottom w:val="nil"/>
              <w:right w:val="nil"/>
            </w:tcBorders>
            <w:shd w:val="clear" w:color="auto" w:fill="auto"/>
            <w:noWrap/>
            <w:vAlign w:val="bottom"/>
            <w:hideMark/>
          </w:tcPr>
          <w:p w14:paraId="3F77E765" w14:textId="77777777" w:rsidR="0010523F" w:rsidRPr="0010523F" w:rsidRDefault="0010523F" w:rsidP="0010523F">
            <w:pPr>
              <w:rPr>
                <w:color w:val="000000"/>
                <w:sz w:val="22"/>
                <w:szCs w:val="22"/>
                <w:lang w:val="es-AR" w:eastAsia="es-AR"/>
              </w:rPr>
            </w:pPr>
          </w:p>
        </w:tc>
        <w:tc>
          <w:tcPr>
            <w:tcW w:w="840" w:type="dxa"/>
            <w:tcBorders>
              <w:top w:val="nil"/>
              <w:left w:val="nil"/>
              <w:bottom w:val="nil"/>
              <w:right w:val="nil"/>
            </w:tcBorders>
            <w:shd w:val="clear" w:color="auto" w:fill="auto"/>
            <w:noWrap/>
            <w:vAlign w:val="bottom"/>
            <w:hideMark/>
          </w:tcPr>
          <w:p w14:paraId="75F4E0C9" w14:textId="77777777" w:rsidR="0010523F" w:rsidRPr="0010523F" w:rsidRDefault="0010523F" w:rsidP="0010523F">
            <w:pPr>
              <w:jc w:val="right"/>
              <w:rPr>
                <w:color w:val="000000"/>
                <w:sz w:val="22"/>
                <w:szCs w:val="22"/>
                <w:lang w:val="es-AR" w:eastAsia="es-AR"/>
              </w:rPr>
            </w:pPr>
          </w:p>
        </w:tc>
      </w:tr>
      <w:tr w:rsidR="0010523F" w:rsidRPr="0010523F" w14:paraId="16E15586" w14:textId="77777777" w:rsidTr="00774E7E">
        <w:trPr>
          <w:trHeight w:val="852"/>
        </w:trPr>
        <w:tc>
          <w:tcPr>
            <w:tcW w:w="9229" w:type="dxa"/>
            <w:gridSpan w:val="2"/>
            <w:tcBorders>
              <w:top w:val="nil"/>
              <w:left w:val="nil"/>
              <w:bottom w:val="nil"/>
              <w:right w:val="nil"/>
            </w:tcBorders>
            <w:shd w:val="clear" w:color="auto" w:fill="auto"/>
            <w:vAlign w:val="center"/>
            <w:hideMark/>
          </w:tcPr>
          <w:p w14:paraId="63C4847E"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 xml:space="preserve">INFORMACIÓN ADICIONAL A LOS ESTADOS FINANCIEROS INTERMEDIOS CONDENSADOS AL 30 DE SEPTIEMBRE DE 2019 REQUERIDA POR EL ARTÍCULO 12 DEL CAPÍTULO III, TÍTULO IV DEL TEXTO ORDENADO EN 2013 DE LAS NORMAS DE LA COMISION NACIONAL DE VALORES </w:t>
            </w:r>
          </w:p>
        </w:tc>
        <w:tc>
          <w:tcPr>
            <w:tcW w:w="840" w:type="dxa"/>
            <w:tcBorders>
              <w:top w:val="nil"/>
              <w:left w:val="nil"/>
              <w:bottom w:val="nil"/>
              <w:right w:val="nil"/>
            </w:tcBorders>
            <w:shd w:val="clear" w:color="auto" w:fill="auto"/>
            <w:noWrap/>
            <w:vAlign w:val="bottom"/>
            <w:hideMark/>
          </w:tcPr>
          <w:p w14:paraId="051BCF03"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49</w:t>
            </w:r>
          </w:p>
        </w:tc>
      </w:tr>
    </w:tbl>
    <w:p w14:paraId="5D9AA854" w14:textId="77777777" w:rsidR="0010523F" w:rsidRPr="0010523F" w:rsidRDefault="0010523F" w:rsidP="0010523F">
      <w:pPr>
        <w:tabs>
          <w:tab w:val="right" w:pos="9600"/>
        </w:tabs>
        <w:spacing w:line="220" w:lineRule="exact"/>
        <w:ind w:left="142"/>
        <w:jc w:val="both"/>
        <w:rPr>
          <w:sz w:val="22"/>
          <w:szCs w:val="22"/>
          <w:lang w:val="es-AR" w:eastAsia="en-US"/>
        </w:rPr>
      </w:pPr>
    </w:p>
    <w:p w14:paraId="113896A1" w14:textId="77777777" w:rsidR="0010523F" w:rsidRPr="0010523F" w:rsidRDefault="0010523F" w:rsidP="0010523F">
      <w:pPr>
        <w:tabs>
          <w:tab w:val="right" w:pos="9600"/>
        </w:tabs>
        <w:spacing w:line="220" w:lineRule="exact"/>
        <w:ind w:left="142"/>
        <w:jc w:val="both"/>
        <w:rPr>
          <w:sz w:val="22"/>
          <w:szCs w:val="22"/>
          <w:lang w:val="es-AR" w:eastAsia="en-US"/>
        </w:rPr>
        <w:sectPr w:rsidR="0010523F" w:rsidRPr="0010523F" w:rsidSect="00751D9D">
          <w:headerReference w:type="even" r:id="rId25"/>
          <w:headerReference w:type="default" r:id="rId26"/>
          <w:footerReference w:type="default" r:id="rId27"/>
          <w:headerReference w:type="first" r:id="rId28"/>
          <w:pgSz w:w="11907" w:h="16840" w:code="9"/>
          <w:pgMar w:top="567" w:right="1134" w:bottom="312" w:left="1134" w:header="312" w:footer="312" w:gutter="0"/>
          <w:paperSrc w:first="7" w:other="7"/>
          <w:cols w:space="720"/>
          <w:docGrid w:linePitch="326"/>
        </w:sectPr>
      </w:pPr>
      <w:r w:rsidRPr="0010523F">
        <w:rPr>
          <w:sz w:val="22"/>
          <w:szCs w:val="22"/>
          <w:lang w:val="es-AR" w:eastAsia="en-US"/>
        </w:rPr>
        <w:tab/>
        <w:t xml:space="preserve">    </w:t>
      </w:r>
    </w:p>
    <w:p w14:paraId="42F7587C" w14:textId="77777777" w:rsidR="0010523F" w:rsidRPr="0010523F" w:rsidRDefault="0010523F" w:rsidP="0010523F">
      <w:pPr>
        <w:spacing w:line="220" w:lineRule="exact"/>
        <w:jc w:val="both"/>
        <w:rPr>
          <w:rFonts w:eastAsia="Calibri"/>
          <w:b/>
          <w:bCs/>
          <w:sz w:val="22"/>
          <w:szCs w:val="22"/>
          <w:lang w:val="es-AR" w:eastAsia="en-US"/>
        </w:rPr>
      </w:pPr>
      <w:r w:rsidRPr="0010523F">
        <w:rPr>
          <w:rFonts w:eastAsia="Calibri"/>
          <w:b/>
          <w:bCs/>
          <w:sz w:val="22"/>
          <w:szCs w:val="22"/>
          <w:lang w:val="es-AR" w:eastAsia="en-US"/>
        </w:rPr>
        <w:t>INFORME DE REVISIÓN DE LOS AUDITORES INDEPENDIENTES SOBRE ESTADOS FINANCIEROS DE PERÍODO INTERMEDIO CONDENSADOS</w:t>
      </w:r>
    </w:p>
    <w:p w14:paraId="260A5727" w14:textId="77777777" w:rsidR="0010523F" w:rsidRPr="0010523F" w:rsidRDefault="0010523F" w:rsidP="0010523F">
      <w:pPr>
        <w:keepNext/>
        <w:spacing w:line="200" w:lineRule="exact"/>
        <w:rPr>
          <w:rFonts w:eastAsia="Calibri"/>
          <w:sz w:val="22"/>
          <w:szCs w:val="22"/>
          <w:lang w:val="es-AR" w:eastAsia="en-US"/>
        </w:rPr>
      </w:pPr>
    </w:p>
    <w:p w14:paraId="75BE3F4B" w14:textId="77777777" w:rsidR="0010523F" w:rsidRPr="0010523F" w:rsidRDefault="0010523F" w:rsidP="0010523F">
      <w:pPr>
        <w:keepNext/>
        <w:spacing w:before="20" w:after="220" w:line="240" w:lineRule="exact"/>
        <w:rPr>
          <w:rFonts w:eastAsia="Calibri"/>
          <w:sz w:val="22"/>
          <w:szCs w:val="22"/>
          <w:lang w:val="es-AR" w:eastAsia="en-US"/>
        </w:rPr>
      </w:pPr>
      <w:r w:rsidRPr="0010523F">
        <w:rPr>
          <w:rFonts w:eastAsia="Calibri"/>
          <w:sz w:val="22"/>
          <w:szCs w:val="22"/>
          <w:lang w:val="es-AR" w:eastAsia="en-US"/>
        </w:rPr>
        <w:t xml:space="preserve">Al Señor Representante Legal de </w:t>
      </w:r>
      <w:r w:rsidRPr="0010523F">
        <w:rPr>
          <w:rFonts w:eastAsia="Calibri"/>
          <w:sz w:val="22"/>
          <w:szCs w:val="22"/>
          <w:lang w:val="es-AR" w:eastAsia="en-US"/>
        </w:rPr>
        <w:br/>
        <w:t>Pan American Energy, S.L., Sucursal Argentina</w:t>
      </w:r>
      <w:r w:rsidRPr="0010523F">
        <w:rPr>
          <w:rFonts w:eastAsia="Calibri"/>
          <w:sz w:val="22"/>
          <w:szCs w:val="22"/>
          <w:lang w:val="es-AR" w:eastAsia="en-US"/>
        </w:rPr>
        <w:br/>
        <w:t>Domicilio legal: Av. Leandro N. Alem 1180 - 11° Piso</w:t>
      </w:r>
      <w:r w:rsidRPr="0010523F">
        <w:rPr>
          <w:rFonts w:eastAsia="Calibri"/>
          <w:sz w:val="22"/>
          <w:szCs w:val="22"/>
          <w:lang w:val="es-AR" w:eastAsia="en-US"/>
        </w:rPr>
        <w:br/>
        <w:t>Ciudad Autónoma de Buenos Aires</w:t>
      </w:r>
      <w:r w:rsidRPr="0010523F">
        <w:rPr>
          <w:rFonts w:eastAsia="Calibri"/>
          <w:sz w:val="22"/>
          <w:szCs w:val="22"/>
          <w:lang w:val="es-AR" w:eastAsia="en-US"/>
        </w:rPr>
        <w:br/>
        <w:t>CUIT N°: 30-69554247-6</w:t>
      </w:r>
    </w:p>
    <w:p w14:paraId="1E8F0F11" w14:textId="77777777" w:rsidR="0010523F" w:rsidRPr="0010523F" w:rsidRDefault="0010523F" w:rsidP="0010523F">
      <w:pPr>
        <w:keepNext/>
        <w:spacing w:before="20" w:after="220" w:line="240" w:lineRule="exact"/>
        <w:rPr>
          <w:rFonts w:eastAsia="Calibri"/>
          <w:b/>
          <w:i/>
          <w:iCs/>
          <w:sz w:val="22"/>
          <w:szCs w:val="22"/>
          <w:lang w:val="es-AR" w:eastAsia="en-US"/>
        </w:rPr>
      </w:pPr>
      <w:r w:rsidRPr="0010523F">
        <w:rPr>
          <w:rFonts w:eastAsia="Calibri"/>
          <w:b/>
          <w:i/>
          <w:iCs/>
          <w:sz w:val="22"/>
          <w:szCs w:val="22"/>
          <w:lang w:val="es-AR" w:eastAsia="en-US"/>
        </w:rPr>
        <w:t>Informe sobre estados financieros</w:t>
      </w:r>
    </w:p>
    <w:p w14:paraId="7141CB86" w14:textId="77777777" w:rsidR="0010523F" w:rsidRPr="0010523F" w:rsidRDefault="0010523F" w:rsidP="0010523F">
      <w:pPr>
        <w:spacing w:before="20" w:after="220" w:line="240" w:lineRule="exact"/>
        <w:jc w:val="both"/>
        <w:rPr>
          <w:rFonts w:eastAsia="Calibri"/>
          <w:sz w:val="22"/>
          <w:szCs w:val="22"/>
          <w:lang w:val="es-AR" w:eastAsia="en-US"/>
        </w:rPr>
      </w:pPr>
      <w:r w:rsidRPr="0010523F">
        <w:rPr>
          <w:rFonts w:eastAsia="Calibri"/>
          <w:sz w:val="22"/>
          <w:szCs w:val="22"/>
          <w:lang w:val="es-AR" w:eastAsia="en-US"/>
        </w:rPr>
        <w:t xml:space="preserve">Hemos efectuado una revisión de los estados financieros de período intermedio condensados de Pan American Energy, S.L., Sucursal Argentina (en adelante, la “Sucursal”) que se adjuntan, los que comprenden el estado de situación financiera al 30 de septiembre de 2019, los estados del resultado, de otro resultado integral por los períodos de tres y nueve meses, de cambios en el patrimonio y de flujos de efectivo por el período de nueve meses finalizados en esa fecha, y un resumen de las políticas contables significativas y otras notas y anexos explicativos. </w:t>
      </w:r>
    </w:p>
    <w:p w14:paraId="0429D768" w14:textId="77777777" w:rsidR="0010523F" w:rsidRPr="0010523F" w:rsidRDefault="0010523F" w:rsidP="0010523F">
      <w:pPr>
        <w:spacing w:before="20" w:after="220" w:line="240" w:lineRule="exact"/>
        <w:jc w:val="both"/>
        <w:rPr>
          <w:rFonts w:eastAsia="Calibri"/>
          <w:i/>
          <w:sz w:val="22"/>
          <w:szCs w:val="22"/>
          <w:lang w:val="es-AR" w:eastAsia="en-US"/>
        </w:rPr>
      </w:pPr>
      <w:r w:rsidRPr="0010523F">
        <w:rPr>
          <w:rFonts w:eastAsia="Calibri"/>
          <w:i/>
          <w:sz w:val="22"/>
          <w:szCs w:val="22"/>
          <w:lang w:val="es-AR" w:eastAsia="en-US"/>
        </w:rPr>
        <w:t>Responsabilidad de la Dirección en relación con los estados financieros</w:t>
      </w:r>
    </w:p>
    <w:p w14:paraId="543970D8" w14:textId="77777777" w:rsidR="0010523F" w:rsidRPr="0010523F" w:rsidRDefault="0010523F" w:rsidP="0010523F">
      <w:pPr>
        <w:spacing w:before="20" w:after="220" w:line="240" w:lineRule="exact"/>
        <w:jc w:val="both"/>
        <w:rPr>
          <w:rFonts w:eastAsia="Calibri"/>
          <w:sz w:val="22"/>
          <w:szCs w:val="22"/>
          <w:lang w:val="es-AR" w:eastAsia="en-US"/>
        </w:rPr>
      </w:pPr>
      <w:r w:rsidRPr="0010523F">
        <w:rPr>
          <w:rFonts w:eastAsia="Calibri"/>
          <w:sz w:val="22"/>
          <w:szCs w:val="22"/>
          <w:lang w:val="es-AR" w:eastAsia="en-US"/>
        </w:rPr>
        <w:t xml:space="preserve">La Dirección de la Sucursal es responsable por la preparación y presentación de los estados financieros de acuerdo con las Normas Internacionales de Información Financiera (“NIIF”), adoptadas por la Federación Argentina de Consejos Profesionales de Ciencias Económicas (“FACPCE”) como normas contables profesionales e incorporadas por la Comisión Nacional de Valores (“CNV”) a su normativa tal como fueron aprobadas por el Consejo de Normas Internacionales de Contabilidad (“IASB”, por su sigla en inglés). Por lo tanto, la Dirección de la Sucursal es responsable por la preparación y presentación de los estados financieros de acuerdo con la Norma Internacional de Contabilidad 34 - Información Financiera Intermedia (“NIC 34”). </w:t>
      </w:r>
    </w:p>
    <w:p w14:paraId="3AAAF3EC" w14:textId="77777777" w:rsidR="0010523F" w:rsidRPr="0010523F" w:rsidRDefault="0010523F" w:rsidP="0010523F">
      <w:pPr>
        <w:keepNext/>
        <w:spacing w:before="20" w:after="220" w:line="240" w:lineRule="exact"/>
        <w:rPr>
          <w:rFonts w:eastAsia="Calibri"/>
          <w:i/>
          <w:iCs/>
          <w:sz w:val="22"/>
          <w:szCs w:val="22"/>
          <w:lang w:val="es-AR" w:eastAsia="en-US"/>
        </w:rPr>
      </w:pPr>
      <w:r w:rsidRPr="0010523F">
        <w:rPr>
          <w:rFonts w:eastAsia="Calibri"/>
          <w:i/>
          <w:iCs/>
          <w:sz w:val="22"/>
          <w:szCs w:val="22"/>
          <w:lang w:val="es-AR" w:eastAsia="en-US"/>
        </w:rPr>
        <w:t>Alcance de la revisión</w:t>
      </w:r>
    </w:p>
    <w:p w14:paraId="4B5C7C53" w14:textId="77777777" w:rsidR="0010523F" w:rsidRPr="0010523F" w:rsidRDefault="0010523F" w:rsidP="0010523F">
      <w:pPr>
        <w:spacing w:before="20" w:after="220" w:line="240" w:lineRule="exact"/>
        <w:jc w:val="both"/>
        <w:rPr>
          <w:rFonts w:eastAsia="Calibri"/>
          <w:sz w:val="22"/>
          <w:szCs w:val="22"/>
          <w:lang w:val="es-AR" w:eastAsia="en-US"/>
        </w:rPr>
      </w:pPr>
      <w:r w:rsidRPr="0010523F">
        <w:rPr>
          <w:rFonts w:eastAsia="Calibri"/>
          <w:sz w:val="22"/>
          <w:szCs w:val="22"/>
          <w:lang w:val="es-AR" w:eastAsia="en-US"/>
        </w:rPr>
        <w:t>Nuestra responsabilidad es expresar una conclusión sobre estos estados financieros de período intermedio condensados basados en nuestra revisión. Hemos efectuado nuestra revisión de acuerdo con la Norma Internacional de Encargos de Revisión 2410 - Revisión de Información Financiera Intermedia Realizada por el Auditor Independiente de la Entidad, la cual fue adoptada como norma de revisión en Argentina mediante la Resolución Técnica N° 33 de la FACPCE tal y como fue aprobada por el Consejo de Normas Internacionales de Auditoría y Aseguramiento (“IAASB”, por su sigla en inglés). De acuerdo con dicha norma, una revisión consiste principalmente en aplicar procedimientos analíticos a la información contable incluida en los estados financieros intermedios y en efectuar indagaciones a los responsables de su elaboración. El alcance de una revisión es sustancialmente menor al de un examen de auditoría practicado de acuerdo con las Normas Internacionales de Auditoría y, por consiguiente, no permite asegurar que todos los asuntos significativos que podrían ser identificados en una auditoría lleguen a nuestro conocimiento. Por lo tanto, no expresamos una opinión de auditoría sobre los estados financieros de período intermedio condensados.</w:t>
      </w:r>
    </w:p>
    <w:p w14:paraId="361A62F4" w14:textId="77777777" w:rsidR="0010523F" w:rsidRPr="0010523F" w:rsidRDefault="0010523F" w:rsidP="0010523F">
      <w:pPr>
        <w:keepNext/>
        <w:spacing w:before="20" w:after="220" w:line="240" w:lineRule="exact"/>
        <w:rPr>
          <w:rFonts w:eastAsia="Calibri"/>
          <w:i/>
          <w:iCs/>
          <w:sz w:val="22"/>
          <w:szCs w:val="22"/>
          <w:lang w:val="es-AR" w:eastAsia="en-US"/>
        </w:rPr>
      </w:pPr>
      <w:r w:rsidRPr="0010523F">
        <w:rPr>
          <w:rFonts w:eastAsia="Calibri"/>
          <w:i/>
          <w:iCs/>
          <w:sz w:val="22"/>
          <w:szCs w:val="22"/>
          <w:lang w:val="es-AR" w:eastAsia="en-US"/>
        </w:rPr>
        <w:t>Conclusión</w:t>
      </w:r>
    </w:p>
    <w:p w14:paraId="2D530C93" w14:textId="77777777" w:rsidR="0010523F" w:rsidRPr="0010523F" w:rsidRDefault="0010523F" w:rsidP="0010523F">
      <w:pPr>
        <w:spacing w:before="20" w:after="220" w:line="240" w:lineRule="exact"/>
        <w:jc w:val="both"/>
        <w:rPr>
          <w:rFonts w:eastAsia="Calibri"/>
          <w:sz w:val="22"/>
          <w:szCs w:val="22"/>
          <w:lang w:val="es-AR" w:eastAsia="en-US"/>
        </w:rPr>
      </w:pPr>
      <w:r w:rsidRPr="0010523F">
        <w:rPr>
          <w:rFonts w:eastAsia="Calibri"/>
          <w:sz w:val="22"/>
          <w:szCs w:val="22"/>
          <w:lang w:val="es-AR" w:eastAsia="en-US"/>
        </w:rPr>
        <w:t>Como resultado de nuestra revisión, nada ha llamado nuestra atención que nos hiciera concluir que los estados financieros de período intermedio condensados que se adjuntan de Pan American Energy, S.L., Sucursal Argentina al 30 de septiembre de 2019 y por el período de nueve meses finalizado en esa fecha no han sido preparados, en todos sus aspectos significativos, de acuerdo con NIC 34.</w:t>
      </w:r>
    </w:p>
    <w:p w14:paraId="66162663" w14:textId="77777777" w:rsidR="0010523F" w:rsidRPr="0010523F" w:rsidRDefault="0010523F" w:rsidP="0010523F">
      <w:pPr>
        <w:spacing w:before="20" w:after="220" w:line="240" w:lineRule="exact"/>
        <w:jc w:val="both"/>
        <w:rPr>
          <w:rFonts w:eastAsia="Calibri"/>
          <w:sz w:val="22"/>
          <w:szCs w:val="22"/>
          <w:lang w:val="es-AR" w:eastAsia="en-US"/>
        </w:rPr>
      </w:pPr>
      <w:r w:rsidRPr="0010523F">
        <w:rPr>
          <w:rFonts w:eastAsia="Calibri"/>
          <w:sz w:val="22"/>
          <w:szCs w:val="22"/>
          <w:lang w:val="es-AR" w:eastAsia="en-US"/>
        </w:rPr>
        <w:br w:type="page"/>
      </w:r>
    </w:p>
    <w:p w14:paraId="7ACB8CA3" w14:textId="77777777" w:rsidR="0010523F" w:rsidRPr="0010523F" w:rsidRDefault="0010523F" w:rsidP="0010523F">
      <w:pPr>
        <w:keepNext/>
        <w:spacing w:before="20" w:after="220" w:line="240" w:lineRule="exact"/>
        <w:rPr>
          <w:rFonts w:eastAsia="Calibri"/>
          <w:i/>
          <w:iCs/>
          <w:sz w:val="22"/>
          <w:szCs w:val="22"/>
          <w:lang w:val="es-AR" w:eastAsia="en-US"/>
        </w:rPr>
      </w:pPr>
      <w:r w:rsidRPr="0010523F">
        <w:rPr>
          <w:rFonts w:eastAsia="Calibri"/>
          <w:i/>
          <w:iCs/>
          <w:sz w:val="22"/>
          <w:szCs w:val="22"/>
          <w:lang w:val="es-AR" w:eastAsia="en-US"/>
        </w:rPr>
        <w:t>Otras cuestiones</w:t>
      </w:r>
    </w:p>
    <w:p w14:paraId="6DDF3FE6" w14:textId="77777777" w:rsidR="0010523F" w:rsidRPr="0010523F" w:rsidRDefault="0010523F" w:rsidP="0010523F">
      <w:pPr>
        <w:spacing w:before="20" w:after="220" w:line="240" w:lineRule="exact"/>
        <w:jc w:val="both"/>
        <w:rPr>
          <w:rFonts w:eastAsia="Calibri"/>
          <w:sz w:val="22"/>
          <w:szCs w:val="22"/>
          <w:lang w:val="es-AR" w:eastAsia="en-US"/>
        </w:rPr>
      </w:pPr>
      <w:r w:rsidRPr="0010523F">
        <w:rPr>
          <w:rFonts w:eastAsia="Calibri"/>
          <w:sz w:val="22"/>
          <w:szCs w:val="22"/>
          <w:lang w:val="es-AR" w:eastAsia="en-US"/>
        </w:rPr>
        <w:t>Con relación a los estados financieros al 31 de diciembre de 2018 y por el ejercicio finalizado en esa fecha, hemos emitido un informe de auditoría expresando una opinión favorable sin salvedades con fecha 11 de marzo de 2019. Con relación a los estados financieros de período intermedio condensados al 30 de septiembre de 2018 y por el período finalizado en esa fecha, hemos emitido un informe de revisión sin observaciones con fecha 12 de noviembre de 2018.</w:t>
      </w:r>
    </w:p>
    <w:p w14:paraId="28A34FF8" w14:textId="77777777" w:rsidR="0010523F" w:rsidRPr="0010523F" w:rsidRDefault="0010523F" w:rsidP="0010523F">
      <w:pPr>
        <w:keepNext/>
        <w:spacing w:before="20" w:after="220" w:line="240" w:lineRule="exact"/>
        <w:rPr>
          <w:rFonts w:eastAsia="Calibri"/>
          <w:b/>
          <w:i/>
          <w:iCs/>
          <w:sz w:val="22"/>
          <w:szCs w:val="22"/>
          <w:lang w:val="es-AR" w:eastAsia="en-US"/>
        </w:rPr>
      </w:pPr>
      <w:r w:rsidRPr="0010523F">
        <w:rPr>
          <w:rFonts w:eastAsia="Calibri"/>
          <w:b/>
          <w:i/>
          <w:iCs/>
          <w:sz w:val="22"/>
          <w:szCs w:val="22"/>
          <w:lang w:val="es-AR" w:eastAsia="en-US"/>
        </w:rPr>
        <w:t>Informe sobre otros requerimientos legales y reglamentarios</w:t>
      </w:r>
    </w:p>
    <w:p w14:paraId="1C3FA8D9" w14:textId="77777777" w:rsidR="0010523F" w:rsidRPr="0010523F" w:rsidRDefault="0010523F" w:rsidP="0010523F">
      <w:pPr>
        <w:keepNext/>
        <w:spacing w:before="20" w:after="220" w:line="240" w:lineRule="exact"/>
        <w:jc w:val="both"/>
        <w:rPr>
          <w:rFonts w:eastAsia="Calibri"/>
          <w:sz w:val="22"/>
          <w:szCs w:val="22"/>
          <w:lang w:val="es-AR" w:eastAsia="en-US"/>
        </w:rPr>
      </w:pPr>
      <w:r w:rsidRPr="0010523F">
        <w:rPr>
          <w:rFonts w:eastAsia="Calibri"/>
          <w:sz w:val="22"/>
          <w:szCs w:val="22"/>
          <w:lang w:val="es-AR" w:eastAsia="en-US"/>
        </w:rPr>
        <w:t>En cumplimiento de disposiciones vigentes, informamos que:</w:t>
      </w:r>
    </w:p>
    <w:p w14:paraId="513D58CF" w14:textId="77777777" w:rsidR="0010523F" w:rsidRPr="0010523F" w:rsidRDefault="0010523F" w:rsidP="00E2318E">
      <w:pPr>
        <w:numPr>
          <w:ilvl w:val="0"/>
          <w:numId w:val="64"/>
        </w:numPr>
        <w:spacing w:before="20" w:after="220" w:line="240" w:lineRule="exact"/>
        <w:ind w:left="284" w:hanging="284"/>
        <w:contextualSpacing/>
        <w:jc w:val="both"/>
        <w:rPr>
          <w:rFonts w:eastAsia="Calibri"/>
          <w:sz w:val="22"/>
          <w:szCs w:val="22"/>
          <w:lang w:val="es-AR" w:eastAsia="en-US"/>
        </w:rPr>
      </w:pPr>
      <w:r w:rsidRPr="0010523F">
        <w:rPr>
          <w:rFonts w:eastAsia="Calibri"/>
          <w:sz w:val="22"/>
          <w:szCs w:val="22"/>
          <w:lang w:val="es-AR" w:eastAsia="en-US"/>
        </w:rPr>
        <w:t>los estados financieros intermedios condensados adjuntos se ajustan a las disposiciones de la Ley General de Sociedades, en lo que es materia de nuestra competencia, y a las normas sobre documentación contable de la CNV, se encuentran asentados en el libro de Inventario y Balances, y surgen de los registros contables de la Sucursal llevados, en sus aspectos formales, de conformidad con las disposiciones legales vigentes;</w:t>
      </w:r>
    </w:p>
    <w:p w14:paraId="3984DE15" w14:textId="77777777" w:rsidR="0010523F" w:rsidRPr="0010523F" w:rsidRDefault="0010523F" w:rsidP="0010523F">
      <w:pPr>
        <w:spacing w:before="20" w:after="220" w:line="240" w:lineRule="exact"/>
        <w:ind w:left="284"/>
        <w:contextualSpacing/>
        <w:jc w:val="both"/>
        <w:rPr>
          <w:rFonts w:eastAsia="Calibri"/>
          <w:sz w:val="22"/>
          <w:szCs w:val="22"/>
          <w:lang w:val="es-AR" w:eastAsia="en-US"/>
        </w:rPr>
      </w:pPr>
    </w:p>
    <w:p w14:paraId="3948A026" w14:textId="77777777" w:rsidR="0010523F" w:rsidRPr="0010523F" w:rsidRDefault="0010523F" w:rsidP="00E2318E">
      <w:pPr>
        <w:numPr>
          <w:ilvl w:val="0"/>
          <w:numId w:val="64"/>
        </w:numPr>
        <w:spacing w:before="20" w:after="220" w:line="240" w:lineRule="exact"/>
        <w:ind w:left="284" w:hanging="284"/>
        <w:contextualSpacing/>
        <w:jc w:val="both"/>
        <w:rPr>
          <w:rFonts w:eastAsia="Calibri"/>
          <w:sz w:val="22"/>
          <w:szCs w:val="22"/>
          <w:lang w:val="es-AR" w:eastAsia="en-US"/>
        </w:rPr>
      </w:pPr>
      <w:r w:rsidRPr="0010523F">
        <w:rPr>
          <w:rFonts w:eastAsia="Calibri"/>
          <w:sz w:val="22"/>
          <w:szCs w:val="22"/>
          <w:lang w:val="es-AR" w:eastAsia="en-US"/>
        </w:rPr>
        <w:t>hemos leído la reseña informativa (secciones “Estructura patrimonial”, “Estructura de resultados”, “Estructura de flujos de efectivo” e “Indices”) y la información adicional requerida por el artículo 12 del Capítulo III, Título IV de la normativa de la CNV (Texto Ordenado 2013), sobre las cuales, en lo que es materia de nuestra competencia, no tenemos observaciones que formular, y</w:t>
      </w:r>
    </w:p>
    <w:p w14:paraId="3234A773" w14:textId="77777777" w:rsidR="0010523F" w:rsidRPr="0010523F" w:rsidRDefault="0010523F" w:rsidP="0010523F">
      <w:pPr>
        <w:spacing w:before="20" w:after="220" w:line="240" w:lineRule="exact"/>
        <w:ind w:left="284"/>
        <w:contextualSpacing/>
        <w:jc w:val="both"/>
        <w:rPr>
          <w:rFonts w:eastAsia="Calibri"/>
          <w:sz w:val="22"/>
          <w:szCs w:val="22"/>
          <w:lang w:val="es-AR" w:eastAsia="en-US"/>
        </w:rPr>
      </w:pPr>
    </w:p>
    <w:p w14:paraId="2908B1DB" w14:textId="77777777" w:rsidR="0010523F" w:rsidRPr="0010523F" w:rsidRDefault="0010523F" w:rsidP="00E2318E">
      <w:pPr>
        <w:numPr>
          <w:ilvl w:val="0"/>
          <w:numId w:val="64"/>
        </w:numPr>
        <w:spacing w:before="20" w:after="220" w:line="240" w:lineRule="exact"/>
        <w:ind w:left="284" w:hanging="284"/>
        <w:contextualSpacing/>
        <w:jc w:val="both"/>
        <w:rPr>
          <w:rFonts w:eastAsia="Calibri"/>
          <w:sz w:val="22"/>
          <w:szCs w:val="22"/>
          <w:lang w:val="es-AR" w:eastAsia="en-US"/>
        </w:rPr>
      </w:pPr>
      <w:r w:rsidRPr="0010523F">
        <w:rPr>
          <w:rFonts w:eastAsia="Calibri"/>
          <w:sz w:val="22"/>
          <w:szCs w:val="22"/>
          <w:lang w:val="es-AR" w:eastAsia="en-US"/>
        </w:rPr>
        <w:t>al 30 de septiembre de 2019, la deuda devengada en concepto de aportes y contribuciones con destino al Sistema Integrado Previsional Argentino que surge de los registros contables de la Sucursal ascendía a $ 251.264.671,21 no siendo exigible a dicha fecha.</w:t>
      </w:r>
    </w:p>
    <w:p w14:paraId="4D9BF88C" w14:textId="77777777" w:rsidR="0010523F" w:rsidRPr="0010523F" w:rsidRDefault="0010523F" w:rsidP="0010523F">
      <w:pPr>
        <w:spacing w:before="20" w:after="220" w:line="240" w:lineRule="exact"/>
        <w:jc w:val="both"/>
        <w:rPr>
          <w:sz w:val="22"/>
          <w:szCs w:val="22"/>
          <w:lang w:val="es-AR" w:eastAsia="en-US"/>
        </w:rPr>
      </w:pPr>
      <w:r w:rsidRPr="0010523F">
        <w:rPr>
          <w:sz w:val="22"/>
          <w:szCs w:val="22"/>
          <w:lang w:val="es-AR" w:eastAsia="en-US"/>
        </w:rPr>
        <w:t>Ciudad Autónoma de Buenos Aires, 11 de noviembre de 2019</w:t>
      </w:r>
    </w:p>
    <w:p w14:paraId="739AF277" w14:textId="77777777" w:rsidR="0010523F" w:rsidRPr="0010523F" w:rsidRDefault="0010523F" w:rsidP="0010523F">
      <w:pPr>
        <w:widowControl w:val="0"/>
        <w:tabs>
          <w:tab w:val="center" w:pos="1985"/>
        </w:tabs>
        <w:spacing w:line="240" w:lineRule="exact"/>
        <w:jc w:val="both"/>
        <w:rPr>
          <w:sz w:val="20"/>
          <w:szCs w:val="20"/>
          <w:lang w:val="es-AR" w:eastAsia="en-US"/>
        </w:rPr>
      </w:pPr>
    </w:p>
    <w:p w14:paraId="1A54B6BE" w14:textId="77777777" w:rsidR="0010523F" w:rsidRPr="0010523F" w:rsidRDefault="0010523F" w:rsidP="0010523F">
      <w:pPr>
        <w:widowControl w:val="0"/>
        <w:tabs>
          <w:tab w:val="center" w:pos="1985"/>
        </w:tabs>
        <w:spacing w:line="240" w:lineRule="exact"/>
        <w:jc w:val="both"/>
        <w:rPr>
          <w:sz w:val="20"/>
          <w:szCs w:val="20"/>
          <w:lang w:val="pt-BR" w:eastAsia="en-US"/>
        </w:rPr>
      </w:pPr>
      <w:r w:rsidRPr="0010523F">
        <w:rPr>
          <w:sz w:val="20"/>
          <w:szCs w:val="20"/>
          <w:lang w:val="es-AR" w:eastAsia="en-US"/>
        </w:rPr>
        <w:tab/>
      </w:r>
      <w:r w:rsidRPr="0010523F">
        <w:rPr>
          <w:sz w:val="20"/>
          <w:szCs w:val="20"/>
          <w:lang w:val="pt-BR" w:eastAsia="en-US"/>
        </w:rPr>
        <w:t>KPMG</w:t>
      </w:r>
    </w:p>
    <w:p w14:paraId="3EF36613" w14:textId="77777777" w:rsidR="0010523F" w:rsidRPr="0010523F" w:rsidRDefault="0010523F" w:rsidP="0010523F">
      <w:pPr>
        <w:widowControl w:val="0"/>
        <w:tabs>
          <w:tab w:val="center" w:pos="1985"/>
        </w:tabs>
        <w:spacing w:line="240" w:lineRule="exact"/>
        <w:jc w:val="both"/>
        <w:rPr>
          <w:sz w:val="20"/>
          <w:szCs w:val="20"/>
          <w:lang w:val="pt-BR" w:eastAsia="en-US"/>
        </w:rPr>
      </w:pPr>
      <w:r w:rsidRPr="0010523F">
        <w:rPr>
          <w:sz w:val="20"/>
          <w:szCs w:val="20"/>
          <w:lang w:val="pt-BR" w:eastAsia="en-US"/>
        </w:rPr>
        <w:tab/>
        <w:t>Reg. de Asoc. Prof. CPCECABA Tº 2 Fº 6</w:t>
      </w:r>
    </w:p>
    <w:p w14:paraId="1A9FB295" w14:textId="77777777" w:rsidR="0010523F" w:rsidRPr="0010523F" w:rsidRDefault="0010523F" w:rsidP="0010523F">
      <w:pPr>
        <w:widowControl w:val="0"/>
        <w:tabs>
          <w:tab w:val="center" w:pos="1985"/>
        </w:tabs>
        <w:spacing w:line="240" w:lineRule="exact"/>
        <w:ind w:right="12"/>
        <w:jc w:val="both"/>
        <w:rPr>
          <w:sz w:val="20"/>
          <w:szCs w:val="20"/>
          <w:lang w:val="pt-BR" w:eastAsia="en-US"/>
        </w:rPr>
      </w:pPr>
    </w:p>
    <w:p w14:paraId="7B92C322" w14:textId="77777777" w:rsidR="0010523F" w:rsidRPr="0010523F" w:rsidRDefault="0010523F" w:rsidP="0010523F">
      <w:pPr>
        <w:widowControl w:val="0"/>
        <w:tabs>
          <w:tab w:val="center" w:pos="1985"/>
        </w:tabs>
        <w:spacing w:line="240" w:lineRule="exact"/>
        <w:jc w:val="both"/>
        <w:rPr>
          <w:sz w:val="20"/>
          <w:szCs w:val="20"/>
          <w:lang w:val="pt-BR" w:eastAsia="en-US"/>
        </w:rPr>
      </w:pPr>
    </w:p>
    <w:p w14:paraId="4854FAB8" w14:textId="77777777" w:rsidR="0010523F" w:rsidRPr="0010523F" w:rsidRDefault="0010523F" w:rsidP="0010523F">
      <w:pPr>
        <w:widowControl w:val="0"/>
        <w:tabs>
          <w:tab w:val="center" w:pos="1985"/>
        </w:tabs>
        <w:spacing w:line="240" w:lineRule="exact"/>
        <w:jc w:val="both"/>
        <w:rPr>
          <w:sz w:val="20"/>
          <w:szCs w:val="20"/>
          <w:lang w:val="pt-BR" w:eastAsia="en-US"/>
        </w:rPr>
      </w:pPr>
    </w:p>
    <w:p w14:paraId="7F2338FC" w14:textId="77777777" w:rsidR="0010523F" w:rsidRPr="0010523F" w:rsidRDefault="0010523F" w:rsidP="0010523F">
      <w:pPr>
        <w:widowControl w:val="0"/>
        <w:tabs>
          <w:tab w:val="center" w:pos="1985"/>
        </w:tabs>
        <w:spacing w:line="240" w:lineRule="exact"/>
        <w:jc w:val="both"/>
        <w:rPr>
          <w:sz w:val="20"/>
          <w:szCs w:val="20"/>
          <w:lang w:val="pt-BR" w:eastAsia="en-US"/>
        </w:rPr>
      </w:pPr>
      <w:r w:rsidRPr="0010523F">
        <w:rPr>
          <w:sz w:val="20"/>
          <w:szCs w:val="20"/>
          <w:lang w:val="pt-BR" w:eastAsia="en-US"/>
        </w:rPr>
        <w:tab/>
        <w:t>Ricardo D. Calvetti</w:t>
      </w:r>
    </w:p>
    <w:p w14:paraId="054E1B14" w14:textId="77777777" w:rsidR="0010523F" w:rsidRPr="0010523F" w:rsidRDefault="0010523F" w:rsidP="0010523F">
      <w:pPr>
        <w:widowControl w:val="0"/>
        <w:tabs>
          <w:tab w:val="center" w:pos="1985"/>
        </w:tabs>
        <w:spacing w:line="240" w:lineRule="exact"/>
        <w:jc w:val="both"/>
        <w:rPr>
          <w:i/>
          <w:sz w:val="20"/>
          <w:szCs w:val="20"/>
          <w:lang w:val="es-AR" w:eastAsia="en-US"/>
        </w:rPr>
      </w:pPr>
      <w:r w:rsidRPr="0010523F">
        <w:rPr>
          <w:sz w:val="20"/>
          <w:szCs w:val="20"/>
          <w:lang w:val="pt-BR" w:eastAsia="en-US"/>
        </w:rPr>
        <w:tab/>
      </w:r>
      <w:r w:rsidRPr="0010523F">
        <w:rPr>
          <w:i/>
          <w:sz w:val="20"/>
          <w:szCs w:val="20"/>
          <w:lang w:val="es-AR" w:eastAsia="en-US"/>
        </w:rPr>
        <w:t>Socio</w:t>
      </w:r>
    </w:p>
    <w:p w14:paraId="207187BD" w14:textId="77777777" w:rsidR="0010523F" w:rsidRPr="0010523F" w:rsidRDefault="0010523F" w:rsidP="0010523F">
      <w:pPr>
        <w:widowControl w:val="0"/>
        <w:tabs>
          <w:tab w:val="center" w:pos="1985"/>
        </w:tabs>
        <w:spacing w:line="240" w:lineRule="exact"/>
        <w:jc w:val="both"/>
        <w:rPr>
          <w:sz w:val="20"/>
          <w:szCs w:val="20"/>
          <w:lang w:val="es-AR" w:eastAsia="en-US"/>
        </w:rPr>
      </w:pPr>
      <w:r w:rsidRPr="0010523F">
        <w:rPr>
          <w:sz w:val="20"/>
          <w:szCs w:val="20"/>
          <w:lang w:val="es-AR" w:eastAsia="en-US"/>
        </w:rPr>
        <w:tab/>
        <w:t>Contador Público (UADE)</w:t>
      </w:r>
    </w:p>
    <w:p w14:paraId="3E711D5A" w14:textId="77777777" w:rsidR="0010523F" w:rsidRPr="0010523F" w:rsidRDefault="0010523F" w:rsidP="0010523F">
      <w:pPr>
        <w:widowControl w:val="0"/>
        <w:tabs>
          <w:tab w:val="center" w:pos="1985"/>
        </w:tabs>
        <w:spacing w:line="240" w:lineRule="exact"/>
        <w:ind w:right="12"/>
        <w:jc w:val="both"/>
        <w:rPr>
          <w:sz w:val="20"/>
          <w:szCs w:val="20"/>
          <w:lang w:val="es-AR" w:eastAsia="en-US"/>
        </w:rPr>
      </w:pPr>
      <w:r w:rsidRPr="0010523F">
        <w:rPr>
          <w:sz w:val="20"/>
          <w:szCs w:val="20"/>
          <w:lang w:val="es-AR" w:eastAsia="en-US"/>
        </w:rPr>
        <w:tab/>
        <w:t>CPCECABA Tº 250 Fº 53</w:t>
      </w:r>
    </w:p>
    <w:p w14:paraId="147FC84F" w14:textId="77777777" w:rsidR="0010523F" w:rsidRPr="0010523F" w:rsidRDefault="0010523F" w:rsidP="0010523F">
      <w:pPr>
        <w:widowControl w:val="0"/>
        <w:tabs>
          <w:tab w:val="center" w:pos="1985"/>
        </w:tabs>
        <w:spacing w:line="240" w:lineRule="exact"/>
        <w:jc w:val="both"/>
        <w:rPr>
          <w:sz w:val="20"/>
          <w:szCs w:val="20"/>
          <w:lang w:val="es-AR" w:eastAsia="en-US"/>
        </w:rPr>
      </w:pPr>
    </w:p>
    <w:p w14:paraId="05344489" w14:textId="77777777" w:rsidR="0010523F" w:rsidRPr="0010523F" w:rsidRDefault="0010523F" w:rsidP="0010523F">
      <w:pPr>
        <w:tabs>
          <w:tab w:val="right" w:pos="9600"/>
        </w:tabs>
        <w:spacing w:line="220" w:lineRule="exact"/>
        <w:jc w:val="both"/>
        <w:rPr>
          <w:szCs w:val="20"/>
          <w:lang w:val="es-AR" w:eastAsia="en-US"/>
        </w:rPr>
        <w:sectPr w:rsidR="0010523F" w:rsidRPr="0010523F" w:rsidSect="0071006A">
          <w:headerReference w:type="even" r:id="rId29"/>
          <w:headerReference w:type="default" r:id="rId30"/>
          <w:footerReference w:type="default" r:id="rId31"/>
          <w:headerReference w:type="first" r:id="rId32"/>
          <w:pgSz w:w="11907" w:h="16840" w:code="9"/>
          <w:pgMar w:top="2552" w:right="992" w:bottom="1418" w:left="1361" w:header="720" w:footer="454" w:gutter="0"/>
          <w:paperSrc w:first="15" w:other="15"/>
          <w:cols w:space="720"/>
          <w:docGrid w:linePitch="326"/>
        </w:sectPr>
      </w:pPr>
    </w:p>
    <w:p w14:paraId="4135FA56" w14:textId="77777777" w:rsidR="0010523F" w:rsidRPr="0010523F" w:rsidRDefault="0010523F" w:rsidP="0010523F">
      <w:pPr>
        <w:spacing w:line="220" w:lineRule="exact"/>
        <w:jc w:val="both"/>
        <w:rPr>
          <w:b/>
          <w:lang w:val="es-AR" w:eastAsia="en-US"/>
        </w:rPr>
      </w:pPr>
      <w:r w:rsidRPr="0010523F">
        <w:rPr>
          <w:b/>
          <w:lang w:val="es-AR" w:eastAsia="en-US"/>
        </w:rPr>
        <w:t>PAN AMERICAN ENERGY, S.L., SUCURSAL ARGENTINA</w:t>
      </w:r>
    </w:p>
    <w:p w14:paraId="4ED1826B" w14:textId="77777777" w:rsidR="0010523F" w:rsidRPr="0010523F" w:rsidRDefault="0010523F" w:rsidP="0010523F">
      <w:pPr>
        <w:spacing w:line="220" w:lineRule="exact"/>
        <w:jc w:val="both"/>
        <w:rPr>
          <w:sz w:val="22"/>
          <w:szCs w:val="22"/>
          <w:lang w:val="es-AR" w:eastAsia="en-US"/>
        </w:rPr>
      </w:pPr>
    </w:p>
    <w:p w14:paraId="56852028"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INFORMACIÓN JURÍDICA</w:t>
      </w:r>
    </w:p>
    <w:p w14:paraId="4C2F7DD7" w14:textId="77777777" w:rsidR="0010523F" w:rsidRPr="0010523F" w:rsidRDefault="0010523F" w:rsidP="0010523F">
      <w:pPr>
        <w:jc w:val="both"/>
        <w:rPr>
          <w:lang w:val="es-AR" w:eastAsia="en-US"/>
        </w:rPr>
      </w:pPr>
    </w:p>
    <w:p w14:paraId="54FB7CBE" w14:textId="77777777" w:rsidR="0010523F" w:rsidRPr="0010523F" w:rsidRDefault="0010523F" w:rsidP="0010523F">
      <w:pPr>
        <w:spacing w:line="220" w:lineRule="exact"/>
        <w:jc w:val="both"/>
        <w:rPr>
          <w:lang w:val="es-AR" w:eastAsia="en-US"/>
        </w:rPr>
      </w:pPr>
      <w:r w:rsidRPr="0010523F">
        <w:rPr>
          <w:b/>
          <w:lang w:val="es-AR" w:eastAsia="en-US"/>
        </w:rPr>
        <w:t xml:space="preserve">ESTADOS FINANCIEROS INTERMEDIOS CONDENSADOS </w:t>
      </w:r>
      <w:r w:rsidRPr="0010523F">
        <w:rPr>
          <w:lang w:val="es-AR" w:eastAsia="en-US"/>
        </w:rPr>
        <w:t>al 30 de septiembre de 2019, correspondientes al período de nueve meses iniciado el 1 de enero de 2019 y finalizado el 30 de septiembre de 2019, presentados en forma comparativa</w:t>
      </w:r>
    </w:p>
    <w:p w14:paraId="4EED647B" w14:textId="77777777" w:rsidR="0010523F" w:rsidRPr="0010523F" w:rsidRDefault="0010523F" w:rsidP="0010523F">
      <w:pPr>
        <w:spacing w:line="220" w:lineRule="exact"/>
        <w:jc w:val="both"/>
        <w:rPr>
          <w:b/>
          <w:lang w:val="es-AR" w:eastAsia="en-US"/>
        </w:rPr>
      </w:pPr>
    </w:p>
    <w:p w14:paraId="0434AC43" w14:textId="77777777" w:rsidR="0010523F" w:rsidRPr="0010523F" w:rsidRDefault="0010523F" w:rsidP="0010523F">
      <w:pPr>
        <w:jc w:val="both"/>
        <w:rPr>
          <w:lang w:val="es-AR" w:eastAsia="en-US"/>
        </w:rPr>
      </w:pPr>
      <w:r w:rsidRPr="0010523F">
        <w:rPr>
          <w:lang w:val="es-AR" w:eastAsia="en-US"/>
        </w:rPr>
        <w:t>Expresados en millones de pesos.</w:t>
      </w:r>
    </w:p>
    <w:p w14:paraId="73C13731" w14:textId="77777777" w:rsidR="0010523F" w:rsidRPr="0010523F" w:rsidRDefault="0010523F" w:rsidP="0010523F">
      <w:pPr>
        <w:spacing w:line="220" w:lineRule="exact"/>
        <w:jc w:val="both"/>
        <w:rPr>
          <w:lang w:val="es-AR" w:eastAsia="en-US"/>
        </w:rPr>
      </w:pPr>
      <w:bookmarkStart w:id="149" w:name="_Hlk23435021"/>
    </w:p>
    <w:p w14:paraId="566F3D1F" w14:textId="77777777" w:rsidR="0010523F" w:rsidRPr="0010523F" w:rsidRDefault="0010523F" w:rsidP="0010523F">
      <w:pPr>
        <w:spacing w:line="220" w:lineRule="exact"/>
        <w:jc w:val="both"/>
        <w:rPr>
          <w:lang w:val="es-AR" w:eastAsia="en-US"/>
        </w:rPr>
      </w:pPr>
      <w:r w:rsidRPr="0010523F">
        <w:rPr>
          <w:lang w:val="es-AR" w:eastAsia="en-US"/>
        </w:rPr>
        <w:t>Domicilio legal de la Sucursal: Av. Leandro N. Alem 1180 - Piso 11° - Ciudad Autónoma de Buenos Aires.</w:t>
      </w:r>
    </w:p>
    <w:p w14:paraId="0488C4E1" w14:textId="77777777" w:rsidR="0010523F" w:rsidRPr="0010523F" w:rsidRDefault="0010523F" w:rsidP="0010523F">
      <w:pPr>
        <w:spacing w:line="220" w:lineRule="exact"/>
        <w:jc w:val="both"/>
        <w:rPr>
          <w:lang w:val="es-AR" w:eastAsia="en-US"/>
        </w:rPr>
      </w:pPr>
    </w:p>
    <w:p w14:paraId="0DF58D76" w14:textId="77777777" w:rsidR="0010523F" w:rsidRPr="0010523F" w:rsidRDefault="0010523F" w:rsidP="0010523F">
      <w:pPr>
        <w:spacing w:line="220" w:lineRule="exact"/>
        <w:jc w:val="both"/>
        <w:rPr>
          <w:lang w:val="es-AR" w:eastAsia="en-US"/>
        </w:rPr>
      </w:pPr>
      <w:r w:rsidRPr="0010523F">
        <w:rPr>
          <w:lang w:val="es-AR" w:eastAsia="en-US"/>
        </w:rPr>
        <w:t>Actividad principal de la Sucursal: exploración, desarrollo y producción de petróleo y gas, refinación y comercialización de hidrocarburos y subproductos.</w:t>
      </w:r>
    </w:p>
    <w:p w14:paraId="2040914E" w14:textId="77777777" w:rsidR="0010523F" w:rsidRPr="0010523F" w:rsidRDefault="0010523F" w:rsidP="0010523F">
      <w:pPr>
        <w:spacing w:line="220" w:lineRule="exact"/>
        <w:jc w:val="both"/>
        <w:rPr>
          <w:lang w:val="es-AR" w:eastAsia="en-US"/>
        </w:rPr>
      </w:pPr>
    </w:p>
    <w:p w14:paraId="681321F8" w14:textId="77777777" w:rsidR="0010523F" w:rsidRPr="0010523F" w:rsidRDefault="0010523F" w:rsidP="0010523F">
      <w:pPr>
        <w:spacing w:line="220" w:lineRule="exact"/>
        <w:jc w:val="both"/>
        <w:rPr>
          <w:lang w:val="es-AR" w:eastAsia="en-US"/>
        </w:rPr>
      </w:pPr>
      <w:r w:rsidRPr="0010523F">
        <w:rPr>
          <w:lang w:val="es-AR" w:eastAsia="en-US"/>
        </w:rPr>
        <w:t>Fecha de inscripción en el Registro Público de Comercio: 17 de octubre de 1997.</w:t>
      </w:r>
    </w:p>
    <w:p w14:paraId="410B0F9E" w14:textId="77777777" w:rsidR="0010523F" w:rsidRPr="0010523F" w:rsidRDefault="0010523F" w:rsidP="0010523F">
      <w:pPr>
        <w:spacing w:line="220" w:lineRule="exact"/>
        <w:jc w:val="both"/>
        <w:rPr>
          <w:lang w:val="es-AR" w:eastAsia="en-US"/>
        </w:rPr>
      </w:pPr>
    </w:p>
    <w:p w14:paraId="60630926" w14:textId="77777777" w:rsidR="0010523F" w:rsidRPr="0010523F" w:rsidRDefault="0010523F" w:rsidP="0010523F">
      <w:pPr>
        <w:jc w:val="both"/>
        <w:rPr>
          <w:lang w:val="es-AR" w:eastAsia="en-US"/>
        </w:rPr>
      </w:pPr>
      <w:r w:rsidRPr="0010523F">
        <w:rPr>
          <w:lang w:val="es-AR" w:eastAsia="en-US"/>
        </w:rPr>
        <w:t xml:space="preserve">Número de registro en la Inspección General de Justicia: 1868 y 1869, Libro 54, Tomo B de Estatutos Extranjeros - Número Correlativo 1.641.018. </w:t>
      </w:r>
    </w:p>
    <w:p w14:paraId="5262CE18" w14:textId="77777777" w:rsidR="0010523F" w:rsidRPr="0010523F" w:rsidRDefault="0010523F" w:rsidP="0010523F">
      <w:pPr>
        <w:spacing w:line="220" w:lineRule="exact"/>
        <w:jc w:val="both"/>
        <w:rPr>
          <w:lang w:val="es-AR" w:eastAsia="en-US"/>
        </w:rPr>
      </w:pPr>
    </w:p>
    <w:p w14:paraId="33896003" w14:textId="77777777" w:rsidR="0010523F" w:rsidRPr="0010523F" w:rsidRDefault="0010523F" w:rsidP="0010523F">
      <w:pPr>
        <w:spacing w:line="220" w:lineRule="exact"/>
        <w:jc w:val="both"/>
        <w:rPr>
          <w:lang w:val="es-AR" w:eastAsia="en-US"/>
        </w:rPr>
      </w:pPr>
      <w:r w:rsidRPr="0010523F">
        <w:rPr>
          <w:lang w:val="es-AR" w:eastAsia="en-US"/>
        </w:rPr>
        <w:t>Capital integrado e inscripto: 221.779.007 pesos.</w:t>
      </w:r>
    </w:p>
    <w:bookmarkEnd w:id="149"/>
    <w:p w14:paraId="38351F25" w14:textId="77777777" w:rsidR="0010523F" w:rsidRPr="0010523F" w:rsidRDefault="0010523F" w:rsidP="0010523F">
      <w:pPr>
        <w:spacing w:line="220" w:lineRule="exact"/>
        <w:jc w:val="both"/>
        <w:rPr>
          <w:lang w:val="es-AR" w:eastAsia="en-US"/>
        </w:rPr>
      </w:pPr>
    </w:p>
    <w:p w14:paraId="68F88FED" w14:textId="77777777" w:rsidR="0010523F" w:rsidRPr="0010523F" w:rsidRDefault="0010523F" w:rsidP="0010523F">
      <w:pPr>
        <w:spacing w:line="220" w:lineRule="exact"/>
        <w:jc w:val="both"/>
        <w:rPr>
          <w:lang w:val="es-AR" w:eastAsia="en-US"/>
        </w:rPr>
      </w:pPr>
      <w:r w:rsidRPr="0010523F">
        <w:rPr>
          <w:b/>
          <w:lang w:val="es-AR" w:eastAsia="en-US"/>
        </w:rPr>
        <w:t xml:space="preserve">CASA MATRIZ </w:t>
      </w:r>
    </w:p>
    <w:p w14:paraId="22B66DDC" w14:textId="77777777" w:rsidR="0010523F" w:rsidRPr="0010523F" w:rsidRDefault="0010523F" w:rsidP="0010523F">
      <w:pPr>
        <w:spacing w:line="220" w:lineRule="exact"/>
        <w:jc w:val="both"/>
        <w:rPr>
          <w:b/>
          <w:lang w:val="es-AR" w:eastAsia="en-US"/>
        </w:rPr>
      </w:pPr>
    </w:p>
    <w:p w14:paraId="4BA166F0" w14:textId="77777777" w:rsidR="0010523F" w:rsidRPr="0010523F" w:rsidRDefault="0010523F" w:rsidP="0010523F">
      <w:pPr>
        <w:spacing w:line="220" w:lineRule="exact"/>
        <w:jc w:val="both"/>
        <w:rPr>
          <w:lang w:val="es-AR" w:eastAsia="en-US"/>
        </w:rPr>
      </w:pPr>
      <w:r w:rsidRPr="0010523F">
        <w:rPr>
          <w:lang w:val="es-AR" w:eastAsia="en-US"/>
        </w:rPr>
        <w:t>Denominación: Pan American Energy, S.L.</w:t>
      </w:r>
    </w:p>
    <w:p w14:paraId="09F6F31C" w14:textId="77777777" w:rsidR="0010523F" w:rsidRPr="0010523F" w:rsidRDefault="0010523F" w:rsidP="0010523F">
      <w:pPr>
        <w:spacing w:line="220" w:lineRule="exact"/>
        <w:jc w:val="both"/>
        <w:rPr>
          <w:lang w:val="es-AR" w:eastAsia="en-US"/>
        </w:rPr>
      </w:pPr>
    </w:p>
    <w:p w14:paraId="61D93E8E" w14:textId="77777777" w:rsidR="0010523F" w:rsidRPr="0010523F" w:rsidRDefault="0010523F" w:rsidP="0010523F">
      <w:pPr>
        <w:jc w:val="both"/>
        <w:rPr>
          <w:lang w:val="es-AR" w:eastAsia="en-US"/>
        </w:rPr>
      </w:pPr>
      <w:r w:rsidRPr="0010523F">
        <w:rPr>
          <w:lang w:val="es-AR" w:eastAsia="en-US"/>
        </w:rPr>
        <w:t xml:space="preserve">Domicilio legal: Arbea Campus Empresarial - Edificio Nº 1, Carretera Fuencarral a Alcobendas </w:t>
      </w:r>
      <w:r w:rsidRPr="0010523F">
        <w:rPr>
          <w:lang w:val="es-AR" w:eastAsia="en-US"/>
        </w:rPr>
        <w:br/>
        <w:t>(M-603), Km 3,8., Alcobendas, Madrid.</w:t>
      </w:r>
    </w:p>
    <w:p w14:paraId="6641AF11" w14:textId="77777777" w:rsidR="0010523F" w:rsidRPr="0010523F" w:rsidRDefault="0010523F" w:rsidP="0010523F">
      <w:pPr>
        <w:jc w:val="both"/>
        <w:rPr>
          <w:lang w:val="es-AR" w:eastAsia="en-US"/>
        </w:rPr>
      </w:pPr>
    </w:p>
    <w:p w14:paraId="00E60515" w14:textId="77777777" w:rsidR="0010523F" w:rsidRPr="0010523F" w:rsidRDefault="0010523F" w:rsidP="0010523F">
      <w:pPr>
        <w:jc w:val="both"/>
        <w:rPr>
          <w:lang w:val="es-AR" w:eastAsia="en-US"/>
        </w:rPr>
      </w:pPr>
      <w:r w:rsidRPr="0010523F">
        <w:rPr>
          <w:lang w:val="es-AR" w:eastAsia="en-US"/>
        </w:rPr>
        <w:t xml:space="preserve">Actividad principal: </w:t>
      </w:r>
      <w:r w:rsidRPr="0010523F">
        <w:rPr>
          <w:szCs w:val="20"/>
          <w:lang w:val="es-AR" w:eastAsia="en-US"/>
        </w:rPr>
        <w:t>(i) exploración, desarrollo, producción, refinación, industrialización, procesamiento; comercialización y marketing de hidrocarburos, combustibles y productos derivados; (ii) generación y comercialización de energía; (iii) desarrollo, producción y comercialización asociados a la petroquímica y sus productos derivados; (iv) cualquier otra actividad necesaria, asociada, conveniente, deseada o inherente a lo antes mencionado.</w:t>
      </w:r>
    </w:p>
    <w:p w14:paraId="135DAB4E" w14:textId="77777777" w:rsidR="0010523F" w:rsidRPr="0010523F" w:rsidRDefault="0010523F" w:rsidP="0010523F">
      <w:pPr>
        <w:spacing w:line="220" w:lineRule="exact"/>
        <w:jc w:val="both"/>
        <w:rPr>
          <w:sz w:val="22"/>
          <w:szCs w:val="22"/>
          <w:lang w:val="es-AR" w:eastAsia="en-US"/>
        </w:rPr>
      </w:pPr>
    </w:p>
    <w:p w14:paraId="0B819D6A" w14:textId="77777777" w:rsidR="0010523F" w:rsidRPr="0010523F" w:rsidRDefault="0010523F" w:rsidP="0010523F">
      <w:pPr>
        <w:spacing w:line="220" w:lineRule="exact"/>
        <w:jc w:val="both"/>
        <w:rPr>
          <w:sz w:val="22"/>
          <w:szCs w:val="22"/>
          <w:lang w:val="es-AR" w:eastAsia="en-US"/>
        </w:rPr>
      </w:pPr>
    </w:p>
    <w:p w14:paraId="0680B4D4" w14:textId="77777777" w:rsidR="0010523F" w:rsidRPr="0010523F" w:rsidRDefault="0010523F" w:rsidP="0010523F">
      <w:pPr>
        <w:spacing w:line="220" w:lineRule="exact"/>
        <w:jc w:val="both"/>
        <w:rPr>
          <w:sz w:val="22"/>
          <w:szCs w:val="22"/>
          <w:lang w:val="es-AR" w:eastAsia="en-US"/>
        </w:rPr>
      </w:pPr>
    </w:p>
    <w:p w14:paraId="12A5E586" w14:textId="77777777" w:rsidR="0010523F" w:rsidRPr="0010523F" w:rsidRDefault="0010523F" w:rsidP="0010523F">
      <w:pPr>
        <w:spacing w:line="220" w:lineRule="exact"/>
        <w:jc w:val="both"/>
        <w:rPr>
          <w:sz w:val="23"/>
          <w:szCs w:val="23"/>
          <w:lang w:val="es-AR" w:eastAsia="en-US"/>
        </w:rPr>
      </w:pPr>
    </w:p>
    <w:p w14:paraId="0162FFDE" w14:textId="77777777" w:rsidR="0010523F" w:rsidRPr="0010523F" w:rsidRDefault="0010523F" w:rsidP="0010523F">
      <w:pPr>
        <w:tabs>
          <w:tab w:val="right" w:pos="10440"/>
        </w:tabs>
        <w:jc w:val="both"/>
        <w:rPr>
          <w:sz w:val="20"/>
          <w:szCs w:val="20"/>
          <w:lang w:val="es-AR" w:eastAsia="en-US"/>
        </w:rPr>
      </w:pPr>
      <w:r w:rsidRPr="0010523F">
        <w:rPr>
          <w:sz w:val="20"/>
          <w:szCs w:val="20"/>
          <w:lang w:val="es-AR" w:eastAsia="en-US"/>
        </w:rPr>
        <w:t>Véase nuestro informe de fecha:</w:t>
      </w:r>
    </w:p>
    <w:p w14:paraId="4DFE89A1" w14:textId="77777777" w:rsidR="0010523F" w:rsidRPr="0010523F" w:rsidRDefault="0010523F" w:rsidP="0010523F">
      <w:pPr>
        <w:tabs>
          <w:tab w:val="right" w:pos="10440"/>
        </w:tabs>
        <w:jc w:val="both"/>
        <w:rPr>
          <w:sz w:val="18"/>
          <w:szCs w:val="20"/>
          <w:lang w:val="es-AR" w:eastAsia="en-US"/>
        </w:rPr>
      </w:pPr>
      <w:r w:rsidRPr="0010523F">
        <w:rPr>
          <w:sz w:val="20"/>
          <w:szCs w:val="22"/>
          <w:lang w:val="es-AR" w:eastAsia="en-US"/>
        </w:rPr>
        <w:t>11 de noviembre de 2019</w:t>
      </w:r>
    </w:p>
    <w:p w14:paraId="38F2BA7F" w14:textId="77777777" w:rsidR="0010523F" w:rsidRPr="0010523F" w:rsidRDefault="0010523F" w:rsidP="0010523F">
      <w:pPr>
        <w:widowControl w:val="0"/>
        <w:tabs>
          <w:tab w:val="center" w:pos="1980"/>
        </w:tabs>
        <w:ind w:right="12"/>
        <w:jc w:val="both"/>
        <w:rPr>
          <w:sz w:val="20"/>
          <w:szCs w:val="20"/>
          <w:lang w:val="es-AR" w:eastAsia="en-US"/>
        </w:rPr>
      </w:pPr>
    </w:p>
    <w:p w14:paraId="52E96F08" w14:textId="77777777" w:rsidR="0010523F" w:rsidRPr="0010523F" w:rsidRDefault="0010523F" w:rsidP="0010523F">
      <w:pPr>
        <w:widowControl w:val="0"/>
        <w:tabs>
          <w:tab w:val="center" w:pos="1985"/>
        </w:tabs>
        <w:spacing w:line="240" w:lineRule="atLeast"/>
        <w:jc w:val="both"/>
        <w:rPr>
          <w:sz w:val="20"/>
          <w:szCs w:val="20"/>
          <w:lang w:val="es-AR" w:eastAsia="en-US"/>
        </w:rPr>
      </w:pPr>
      <w:r w:rsidRPr="0010523F">
        <w:rPr>
          <w:sz w:val="20"/>
          <w:szCs w:val="20"/>
          <w:lang w:val="es-AR" w:eastAsia="en-US"/>
        </w:rPr>
        <w:tab/>
        <w:t>KPMG</w:t>
      </w:r>
    </w:p>
    <w:p w14:paraId="60555807" w14:textId="77777777" w:rsidR="0010523F" w:rsidRPr="0010523F" w:rsidRDefault="0010523F" w:rsidP="0010523F">
      <w:pPr>
        <w:widowControl w:val="0"/>
        <w:tabs>
          <w:tab w:val="center" w:pos="1985"/>
        </w:tabs>
        <w:spacing w:line="240" w:lineRule="atLeast"/>
        <w:jc w:val="both"/>
        <w:rPr>
          <w:sz w:val="20"/>
          <w:szCs w:val="20"/>
          <w:lang w:val="pt-BR" w:eastAsia="en-US"/>
        </w:rPr>
      </w:pPr>
      <w:r w:rsidRPr="0010523F">
        <w:rPr>
          <w:sz w:val="20"/>
          <w:szCs w:val="20"/>
          <w:lang w:val="es-AR" w:eastAsia="en-US"/>
        </w:rPr>
        <w:tab/>
        <w:t xml:space="preserve">Reg. de Asoc. </w:t>
      </w:r>
      <w:r w:rsidRPr="0010523F">
        <w:rPr>
          <w:sz w:val="20"/>
          <w:szCs w:val="20"/>
          <w:lang w:val="pt-BR" w:eastAsia="en-US"/>
        </w:rPr>
        <w:t>Prof. CPCECABA Tº 2 Fº 6</w:t>
      </w:r>
    </w:p>
    <w:p w14:paraId="451EE161" w14:textId="77777777" w:rsidR="0010523F" w:rsidRPr="0010523F" w:rsidRDefault="0010523F" w:rsidP="0010523F">
      <w:pPr>
        <w:widowControl w:val="0"/>
        <w:tabs>
          <w:tab w:val="center" w:pos="1985"/>
        </w:tabs>
        <w:spacing w:line="240" w:lineRule="atLeast"/>
        <w:ind w:right="12"/>
        <w:jc w:val="both"/>
        <w:rPr>
          <w:sz w:val="20"/>
          <w:szCs w:val="20"/>
          <w:lang w:val="pt-BR" w:eastAsia="en-US"/>
        </w:rPr>
      </w:pPr>
    </w:p>
    <w:p w14:paraId="4CB9221A" w14:textId="77777777" w:rsidR="0010523F" w:rsidRPr="0010523F" w:rsidRDefault="0010523F" w:rsidP="0010523F">
      <w:pPr>
        <w:widowControl w:val="0"/>
        <w:tabs>
          <w:tab w:val="center" w:pos="1985"/>
        </w:tabs>
        <w:spacing w:line="240" w:lineRule="atLeast"/>
        <w:jc w:val="both"/>
        <w:rPr>
          <w:sz w:val="20"/>
          <w:szCs w:val="20"/>
          <w:lang w:val="pt-BR" w:eastAsia="en-US"/>
        </w:rPr>
      </w:pPr>
    </w:p>
    <w:p w14:paraId="755E0D71" w14:textId="77777777" w:rsidR="0010523F" w:rsidRPr="0010523F" w:rsidRDefault="0010523F" w:rsidP="0010523F">
      <w:pPr>
        <w:widowControl w:val="0"/>
        <w:tabs>
          <w:tab w:val="center" w:pos="1985"/>
        </w:tabs>
        <w:spacing w:line="240" w:lineRule="atLeast"/>
        <w:jc w:val="both"/>
        <w:rPr>
          <w:sz w:val="20"/>
          <w:szCs w:val="20"/>
          <w:lang w:val="pt-BR" w:eastAsia="en-US"/>
        </w:rPr>
      </w:pPr>
    </w:p>
    <w:p w14:paraId="3436ABA0" w14:textId="77777777" w:rsidR="0010523F" w:rsidRPr="0010523F" w:rsidRDefault="0010523F" w:rsidP="0010523F">
      <w:pPr>
        <w:widowControl w:val="0"/>
        <w:tabs>
          <w:tab w:val="center" w:pos="1985"/>
        </w:tabs>
        <w:spacing w:line="240" w:lineRule="atLeast"/>
        <w:jc w:val="both"/>
        <w:rPr>
          <w:sz w:val="20"/>
          <w:szCs w:val="20"/>
          <w:lang w:val="pt-BR" w:eastAsia="en-US"/>
        </w:rPr>
      </w:pPr>
      <w:r w:rsidRPr="0010523F">
        <w:rPr>
          <w:sz w:val="20"/>
          <w:szCs w:val="20"/>
          <w:lang w:val="pt-BR" w:eastAsia="en-US"/>
        </w:rPr>
        <w:tab/>
        <w:t>Ricardo D. Calvetti</w:t>
      </w:r>
    </w:p>
    <w:p w14:paraId="3062F177" w14:textId="77777777" w:rsidR="0010523F" w:rsidRPr="0010523F" w:rsidRDefault="0010523F" w:rsidP="0010523F">
      <w:pPr>
        <w:widowControl w:val="0"/>
        <w:tabs>
          <w:tab w:val="center" w:pos="1985"/>
        </w:tabs>
        <w:spacing w:line="240" w:lineRule="atLeast"/>
        <w:jc w:val="both"/>
        <w:rPr>
          <w:i/>
          <w:sz w:val="20"/>
          <w:szCs w:val="20"/>
          <w:lang w:val="es-AR" w:eastAsia="en-US"/>
        </w:rPr>
      </w:pPr>
      <w:r w:rsidRPr="0010523F">
        <w:rPr>
          <w:sz w:val="20"/>
          <w:szCs w:val="20"/>
          <w:lang w:val="pt-BR" w:eastAsia="en-US"/>
        </w:rPr>
        <w:tab/>
      </w:r>
      <w:r w:rsidRPr="0010523F">
        <w:rPr>
          <w:i/>
          <w:sz w:val="20"/>
          <w:szCs w:val="20"/>
          <w:lang w:val="es-AR" w:eastAsia="en-US"/>
        </w:rPr>
        <w:t>Socio</w:t>
      </w:r>
    </w:p>
    <w:p w14:paraId="5ED641FD" w14:textId="77777777" w:rsidR="0010523F" w:rsidRPr="0010523F" w:rsidRDefault="0010523F" w:rsidP="0010523F">
      <w:pPr>
        <w:widowControl w:val="0"/>
        <w:tabs>
          <w:tab w:val="center" w:pos="1985"/>
        </w:tabs>
        <w:spacing w:line="240" w:lineRule="atLeast"/>
        <w:jc w:val="both"/>
        <w:rPr>
          <w:sz w:val="20"/>
          <w:szCs w:val="20"/>
          <w:lang w:val="es-AR" w:eastAsia="en-US"/>
        </w:rPr>
      </w:pPr>
      <w:r w:rsidRPr="0010523F">
        <w:rPr>
          <w:sz w:val="20"/>
          <w:szCs w:val="20"/>
          <w:lang w:val="es-AR" w:eastAsia="en-US"/>
        </w:rPr>
        <w:tab/>
        <w:t>Contador Público (UADE)</w:t>
      </w:r>
    </w:p>
    <w:p w14:paraId="5CAE65FE" w14:textId="77777777" w:rsidR="0010523F" w:rsidRPr="0010523F" w:rsidRDefault="0010523F" w:rsidP="0010523F">
      <w:pPr>
        <w:widowControl w:val="0"/>
        <w:tabs>
          <w:tab w:val="center" w:pos="1985"/>
        </w:tabs>
        <w:spacing w:line="240" w:lineRule="atLeast"/>
        <w:jc w:val="both"/>
        <w:rPr>
          <w:sz w:val="20"/>
          <w:szCs w:val="20"/>
          <w:lang w:val="es-AR" w:eastAsia="en-US"/>
        </w:rPr>
      </w:pPr>
      <w:r w:rsidRPr="0010523F">
        <w:rPr>
          <w:sz w:val="20"/>
          <w:szCs w:val="20"/>
          <w:lang w:val="es-AR" w:eastAsia="en-US"/>
        </w:rPr>
        <w:tab/>
        <w:t>CPCECABA Tº 250 Fº 53</w:t>
      </w:r>
    </w:p>
    <w:p w14:paraId="298BAE5F" w14:textId="77777777" w:rsidR="0010523F" w:rsidRPr="0010523F" w:rsidRDefault="0010523F" w:rsidP="0010523F">
      <w:pPr>
        <w:spacing w:line="220" w:lineRule="exact"/>
        <w:jc w:val="both"/>
        <w:rPr>
          <w:sz w:val="20"/>
          <w:szCs w:val="20"/>
          <w:lang w:val="es-AR" w:eastAsia="en-US"/>
        </w:rPr>
      </w:pPr>
    </w:p>
    <w:p w14:paraId="6EAD37F8" w14:textId="77777777" w:rsidR="0010523F" w:rsidRPr="0010523F" w:rsidRDefault="0010523F" w:rsidP="0010523F">
      <w:pPr>
        <w:spacing w:line="220" w:lineRule="exact"/>
        <w:jc w:val="both"/>
        <w:rPr>
          <w:b/>
          <w:lang w:val="es-AR" w:eastAsia="en-US"/>
        </w:rPr>
      </w:pPr>
      <w:r w:rsidRPr="0010523F">
        <w:rPr>
          <w:b/>
          <w:lang w:val="es-AR" w:eastAsia="en-US"/>
        </w:rPr>
        <w:br w:type="page"/>
      </w:r>
      <w:bookmarkStart w:id="150" w:name="OLE_LINK9"/>
      <w:bookmarkStart w:id="151" w:name="OLE_LINK10"/>
    </w:p>
    <w:p w14:paraId="06490D8C" w14:textId="77777777" w:rsidR="0010523F" w:rsidRPr="0010523F" w:rsidRDefault="0010523F" w:rsidP="0010523F">
      <w:pPr>
        <w:spacing w:line="220" w:lineRule="exact"/>
        <w:jc w:val="both"/>
        <w:rPr>
          <w:b/>
          <w:lang w:val="es-AR" w:eastAsia="en-US"/>
        </w:rPr>
      </w:pPr>
      <w:r w:rsidRPr="0010523F">
        <w:rPr>
          <w:b/>
          <w:szCs w:val="20"/>
          <w:lang w:val="es-AR" w:eastAsia="en-US"/>
        </w:rPr>
        <w:t>PAN AMERICAN ENERGY, S.L., SUCURSAL ARGENTINA</w:t>
      </w:r>
      <w:r w:rsidRPr="0010523F" w:rsidDel="001E12ED">
        <w:rPr>
          <w:b/>
          <w:lang w:val="es-AR" w:eastAsia="en-US"/>
        </w:rPr>
        <w:t xml:space="preserve"> </w:t>
      </w:r>
    </w:p>
    <w:p w14:paraId="3B996F6E" w14:textId="77777777" w:rsidR="0010523F" w:rsidRPr="0010523F" w:rsidRDefault="0010523F" w:rsidP="0010523F">
      <w:pPr>
        <w:spacing w:line="100" w:lineRule="exact"/>
        <w:rPr>
          <w:sz w:val="22"/>
          <w:szCs w:val="22"/>
          <w:lang w:val="es-AR" w:eastAsia="en-US"/>
        </w:rPr>
      </w:pPr>
    </w:p>
    <w:p w14:paraId="085491F3" w14:textId="77777777" w:rsidR="0010523F" w:rsidRPr="0010523F" w:rsidRDefault="0010523F" w:rsidP="0010523F">
      <w:pPr>
        <w:ind w:right="284"/>
        <w:jc w:val="both"/>
        <w:rPr>
          <w:lang w:val="es-AR" w:eastAsia="en-US"/>
        </w:rPr>
      </w:pPr>
      <w:r w:rsidRPr="0010523F">
        <w:rPr>
          <w:b/>
          <w:szCs w:val="20"/>
          <w:lang w:val="es-AR" w:eastAsia="en-US"/>
        </w:rPr>
        <w:t>ESTADO DE SITUACIÓN FINANCIERA INTERMEDIO CONDENSADO</w:t>
      </w:r>
      <w:r w:rsidRPr="0010523F">
        <w:rPr>
          <w:b/>
          <w:sz w:val="22"/>
          <w:szCs w:val="22"/>
          <w:lang w:val="es-AR" w:eastAsia="en-US"/>
        </w:rPr>
        <w:t xml:space="preserve"> </w:t>
      </w:r>
      <w:r w:rsidRPr="0010523F">
        <w:rPr>
          <w:lang w:val="es-AR" w:eastAsia="en-US"/>
        </w:rPr>
        <w:t xml:space="preserve">al 30 de septiembre de 2019, presentado en forma comparativa con el 31 de diciembre de 2018 (en millones de pesos) </w:t>
      </w:r>
    </w:p>
    <w:p w14:paraId="2F6FD997" w14:textId="77777777" w:rsidR="0010523F" w:rsidRPr="0010523F" w:rsidRDefault="0010523F" w:rsidP="0010523F">
      <w:pPr>
        <w:tabs>
          <w:tab w:val="decimal" w:pos="7655"/>
          <w:tab w:val="decimal" w:pos="9498"/>
        </w:tabs>
        <w:spacing w:line="240" w:lineRule="exact"/>
        <w:ind w:hanging="90"/>
        <w:rPr>
          <w:snapToGrid w:val="0"/>
          <w:color w:val="000000"/>
          <w:sz w:val="20"/>
          <w:szCs w:val="20"/>
          <w:lang w:val="es-AR" w:eastAsia="en-US"/>
        </w:rPr>
      </w:pPr>
    </w:p>
    <w:tbl>
      <w:tblPr>
        <w:tblW w:w="9704" w:type="dxa"/>
        <w:tblInd w:w="-98" w:type="dxa"/>
        <w:tblLayout w:type="fixed"/>
        <w:tblLook w:val="0000" w:firstRow="0" w:lastRow="0" w:firstColumn="0" w:lastColumn="0" w:noHBand="0" w:noVBand="0"/>
      </w:tblPr>
      <w:tblGrid>
        <w:gridCol w:w="5593"/>
        <w:gridCol w:w="1134"/>
        <w:gridCol w:w="1559"/>
        <w:gridCol w:w="1418"/>
      </w:tblGrid>
      <w:tr w:rsidR="0010523F" w:rsidRPr="0010523F" w14:paraId="1E4F6EEB" w14:textId="77777777" w:rsidTr="00774E7E">
        <w:tc>
          <w:tcPr>
            <w:tcW w:w="5593" w:type="dxa"/>
            <w:vAlign w:val="bottom"/>
          </w:tcPr>
          <w:p w14:paraId="70FB462D" w14:textId="77777777" w:rsidR="0010523F" w:rsidRPr="0010523F" w:rsidRDefault="0010523F" w:rsidP="0010523F">
            <w:pPr>
              <w:spacing w:line="200" w:lineRule="exact"/>
              <w:rPr>
                <w:snapToGrid w:val="0"/>
                <w:color w:val="000000"/>
                <w:sz w:val="20"/>
                <w:szCs w:val="20"/>
                <w:lang w:val="es-AR" w:eastAsia="en-US"/>
              </w:rPr>
            </w:pPr>
          </w:p>
        </w:tc>
        <w:tc>
          <w:tcPr>
            <w:tcW w:w="1134" w:type="dxa"/>
            <w:vAlign w:val="bottom"/>
          </w:tcPr>
          <w:p w14:paraId="72C021C2" w14:textId="77777777" w:rsidR="0010523F" w:rsidRPr="0010523F" w:rsidRDefault="0010523F" w:rsidP="0010523F">
            <w:pPr>
              <w:spacing w:line="200" w:lineRule="exact"/>
              <w:ind w:left="-108"/>
              <w:jc w:val="center"/>
              <w:rPr>
                <w:snapToGrid w:val="0"/>
                <w:color w:val="000000"/>
                <w:sz w:val="20"/>
                <w:szCs w:val="20"/>
                <w:u w:val="single"/>
                <w:lang w:val="es-AR" w:eastAsia="en-US"/>
              </w:rPr>
            </w:pPr>
            <w:r w:rsidRPr="0010523F">
              <w:rPr>
                <w:snapToGrid w:val="0"/>
                <w:color w:val="000000"/>
                <w:sz w:val="20"/>
                <w:szCs w:val="20"/>
                <w:u w:val="single"/>
                <w:lang w:val="es-AR" w:eastAsia="en-US"/>
              </w:rPr>
              <w:t>Notas</w:t>
            </w:r>
          </w:p>
        </w:tc>
        <w:tc>
          <w:tcPr>
            <w:tcW w:w="1559" w:type="dxa"/>
            <w:vAlign w:val="bottom"/>
          </w:tcPr>
          <w:p w14:paraId="4FDC0197" w14:textId="77777777" w:rsidR="0010523F" w:rsidRPr="0010523F" w:rsidRDefault="0010523F" w:rsidP="0010523F">
            <w:pPr>
              <w:spacing w:line="20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30/09/2019</w:t>
            </w:r>
          </w:p>
        </w:tc>
        <w:tc>
          <w:tcPr>
            <w:tcW w:w="1418" w:type="dxa"/>
            <w:vAlign w:val="bottom"/>
          </w:tcPr>
          <w:p w14:paraId="4635F045" w14:textId="77777777" w:rsidR="0010523F" w:rsidRPr="0010523F" w:rsidRDefault="0010523F" w:rsidP="0010523F">
            <w:pPr>
              <w:spacing w:line="200" w:lineRule="exact"/>
              <w:ind w:left="-108"/>
              <w:jc w:val="right"/>
              <w:rPr>
                <w:snapToGrid w:val="0"/>
                <w:sz w:val="20"/>
                <w:szCs w:val="20"/>
                <w:u w:val="single"/>
                <w:lang w:val="es-AR" w:eastAsia="en-US"/>
              </w:rPr>
            </w:pPr>
            <w:r w:rsidRPr="0010523F">
              <w:rPr>
                <w:snapToGrid w:val="0"/>
                <w:sz w:val="20"/>
                <w:szCs w:val="20"/>
                <w:u w:val="single"/>
                <w:lang w:val="es-AR" w:eastAsia="en-US"/>
              </w:rPr>
              <w:t>31/12/2018</w:t>
            </w:r>
          </w:p>
        </w:tc>
      </w:tr>
      <w:tr w:rsidR="0010523F" w:rsidRPr="0010523F" w14:paraId="6065EB4A" w14:textId="77777777" w:rsidTr="00774E7E">
        <w:tc>
          <w:tcPr>
            <w:tcW w:w="5593" w:type="dxa"/>
            <w:vAlign w:val="bottom"/>
          </w:tcPr>
          <w:p w14:paraId="685EFDC4" w14:textId="77777777" w:rsidR="0010523F" w:rsidRPr="0010523F" w:rsidRDefault="0010523F" w:rsidP="0010523F">
            <w:pPr>
              <w:tabs>
                <w:tab w:val="decimal" w:pos="7655"/>
                <w:tab w:val="decimal" w:pos="9498"/>
              </w:tabs>
              <w:spacing w:line="240" w:lineRule="exact"/>
              <w:ind w:hanging="90"/>
              <w:rPr>
                <w:snapToGrid w:val="0"/>
                <w:color w:val="000000"/>
                <w:sz w:val="20"/>
                <w:szCs w:val="20"/>
                <w:lang w:val="es-AR" w:eastAsia="en-US"/>
              </w:rPr>
            </w:pPr>
            <w:r w:rsidRPr="0010523F">
              <w:rPr>
                <w:snapToGrid w:val="0"/>
                <w:color w:val="000000"/>
                <w:sz w:val="20"/>
                <w:szCs w:val="20"/>
                <w:lang w:val="es-AR" w:eastAsia="en-US"/>
              </w:rPr>
              <w:t>ACTIVO NO CORRIENTE</w:t>
            </w:r>
          </w:p>
        </w:tc>
        <w:tc>
          <w:tcPr>
            <w:tcW w:w="1134" w:type="dxa"/>
            <w:vAlign w:val="bottom"/>
          </w:tcPr>
          <w:p w14:paraId="1F3A4496"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1965F60D" w14:textId="77777777" w:rsidR="0010523F" w:rsidRPr="0010523F" w:rsidRDefault="0010523F" w:rsidP="0010523F">
            <w:pPr>
              <w:tabs>
                <w:tab w:val="decimal" w:pos="1236"/>
              </w:tabs>
              <w:spacing w:line="200" w:lineRule="exact"/>
              <w:ind w:left="-108"/>
              <w:rPr>
                <w:snapToGrid w:val="0"/>
                <w:color w:val="000000"/>
                <w:sz w:val="20"/>
                <w:szCs w:val="20"/>
                <w:lang w:val="es-AR" w:eastAsia="en-US"/>
              </w:rPr>
            </w:pPr>
          </w:p>
        </w:tc>
        <w:tc>
          <w:tcPr>
            <w:tcW w:w="1418" w:type="dxa"/>
            <w:vAlign w:val="bottom"/>
          </w:tcPr>
          <w:p w14:paraId="779D161A" w14:textId="77777777" w:rsidR="0010523F" w:rsidRPr="0010523F" w:rsidRDefault="0010523F" w:rsidP="0010523F">
            <w:pPr>
              <w:tabs>
                <w:tab w:val="decimal" w:pos="1236"/>
              </w:tabs>
              <w:spacing w:line="200" w:lineRule="exact"/>
              <w:ind w:left="-108"/>
              <w:rPr>
                <w:snapToGrid w:val="0"/>
                <w:sz w:val="20"/>
                <w:szCs w:val="20"/>
                <w:lang w:val="es-AR" w:eastAsia="en-US"/>
              </w:rPr>
            </w:pPr>
          </w:p>
        </w:tc>
      </w:tr>
      <w:tr w:rsidR="0010523F" w:rsidRPr="0010523F" w14:paraId="2F111DA9" w14:textId="77777777" w:rsidTr="00774E7E">
        <w:tc>
          <w:tcPr>
            <w:tcW w:w="5593" w:type="dxa"/>
            <w:vAlign w:val="bottom"/>
          </w:tcPr>
          <w:p w14:paraId="41005BDC" w14:textId="77777777" w:rsidR="0010523F" w:rsidRPr="0010523F" w:rsidRDefault="0010523F" w:rsidP="0010523F">
            <w:pPr>
              <w:spacing w:line="80" w:lineRule="exact"/>
              <w:rPr>
                <w:snapToGrid w:val="0"/>
                <w:color w:val="000000"/>
                <w:sz w:val="20"/>
                <w:szCs w:val="20"/>
                <w:lang w:val="es-AR" w:eastAsia="en-US"/>
              </w:rPr>
            </w:pPr>
          </w:p>
        </w:tc>
        <w:tc>
          <w:tcPr>
            <w:tcW w:w="1134" w:type="dxa"/>
            <w:vAlign w:val="bottom"/>
          </w:tcPr>
          <w:p w14:paraId="45D0E8EE" w14:textId="77777777" w:rsidR="0010523F" w:rsidRPr="0010523F" w:rsidRDefault="0010523F" w:rsidP="0010523F">
            <w:pPr>
              <w:spacing w:line="80" w:lineRule="exact"/>
              <w:rPr>
                <w:snapToGrid w:val="0"/>
                <w:color w:val="000000"/>
                <w:sz w:val="20"/>
                <w:szCs w:val="20"/>
                <w:lang w:val="es-AR" w:eastAsia="en-US"/>
              </w:rPr>
            </w:pPr>
          </w:p>
        </w:tc>
        <w:tc>
          <w:tcPr>
            <w:tcW w:w="1559" w:type="dxa"/>
            <w:vAlign w:val="bottom"/>
          </w:tcPr>
          <w:p w14:paraId="7A84BC69" w14:textId="77777777" w:rsidR="0010523F" w:rsidRPr="0010523F" w:rsidRDefault="0010523F" w:rsidP="0010523F">
            <w:pPr>
              <w:spacing w:line="80" w:lineRule="exact"/>
              <w:rPr>
                <w:snapToGrid w:val="0"/>
                <w:color w:val="000000"/>
                <w:sz w:val="20"/>
                <w:szCs w:val="20"/>
                <w:lang w:val="es-AR" w:eastAsia="en-US"/>
              </w:rPr>
            </w:pPr>
          </w:p>
        </w:tc>
        <w:tc>
          <w:tcPr>
            <w:tcW w:w="1418" w:type="dxa"/>
            <w:vAlign w:val="bottom"/>
          </w:tcPr>
          <w:p w14:paraId="513D1310" w14:textId="77777777" w:rsidR="0010523F" w:rsidRPr="0010523F" w:rsidRDefault="0010523F" w:rsidP="0010523F">
            <w:pPr>
              <w:spacing w:line="80" w:lineRule="exact"/>
              <w:rPr>
                <w:snapToGrid w:val="0"/>
                <w:color w:val="000000"/>
                <w:sz w:val="20"/>
                <w:szCs w:val="20"/>
                <w:lang w:val="es-AR" w:eastAsia="en-US"/>
              </w:rPr>
            </w:pPr>
          </w:p>
        </w:tc>
      </w:tr>
      <w:tr w:rsidR="0010523F" w:rsidRPr="0010523F" w14:paraId="453204D6" w14:textId="77777777" w:rsidTr="00774E7E">
        <w:tc>
          <w:tcPr>
            <w:tcW w:w="5593" w:type="dxa"/>
            <w:vAlign w:val="bottom"/>
          </w:tcPr>
          <w:p w14:paraId="3EABB5DC"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Propiedad, planta y equipo</w:t>
            </w:r>
          </w:p>
        </w:tc>
        <w:tc>
          <w:tcPr>
            <w:tcW w:w="1134" w:type="dxa"/>
            <w:vAlign w:val="bottom"/>
          </w:tcPr>
          <w:p w14:paraId="5C6C8E1D"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(3.a)</w:t>
            </w:r>
          </w:p>
        </w:tc>
        <w:tc>
          <w:tcPr>
            <w:tcW w:w="1559" w:type="dxa"/>
            <w:vAlign w:val="bottom"/>
          </w:tcPr>
          <w:p w14:paraId="4B94DC88"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634.107</w:t>
            </w:r>
          </w:p>
        </w:tc>
        <w:tc>
          <w:tcPr>
            <w:tcW w:w="1418" w:type="dxa"/>
            <w:vAlign w:val="bottom"/>
          </w:tcPr>
          <w:p w14:paraId="28DD19C3"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404.902</w:t>
            </w:r>
          </w:p>
        </w:tc>
      </w:tr>
      <w:tr w:rsidR="0010523F" w:rsidRPr="0010523F" w14:paraId="6672F198" w14:textId="77777777" w:rsidTr="00774E7E">
        <w:tc>
          <w:tcPr>
            <w:tcW w:w="5593" w:type="dxa"/>
            <w:vAlign w:val="bottom"/>
          </w:tcPr>
          <w:p w14:paraId="2AF06C05"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 xml:space="preserve">Activos intangibles </w:t>
            </w:r>
          </w:p>
        </w:tc>
        <w:tc>
          <w:tcPr>
            <w:tcW w:w="1134" w:type="dxa"/>
            <w:vAlign w:val="bottom"/>
          </w:tcPr>
          <w:p w14:paraId="646CD355"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(3.b)</w:t>
            </w:r>
          </w:p>
        </w:tc>
        <w:tc>
          <w:tcPr>
            <w:tcW w:w="1559" w:type="dxa"/>
            <w:vAlign w:val="bottom"/>
          </w:tcPr>
          <w:p w14:paraId="3DF443B6"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1.928</w:t>
            </w:r>
          </w:p>
        </w:tc>
        <w:tc>
          <w:tcPr>
            <w:tcW w:w="1418" w:type="dxa"/>
            <w:vAlign w:val="bottom"/>
          </w:tcPr>
          <w:p w14:paraId="5ED6832B"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1.554</w:t>
            </w:r>
          </w:p>
        </w:tc>
      </w:tr>
      <w:tr w:rsidR="0010523F" w:rsidRPr="0010523F" w14:paraId="16EB0F5A" w14:textId="77777777" w:rsidTr="00774E7E">
        <w:tc>
          <w:tcPr>
            <w:tcW w:w="5593" w:type="dxa"/>
            <w:vAlign w:val="bottom"/>
          </w:tcPr>
          <w:p w14:paraId="62AB406A"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Activos por derecho a uso</w:t>
            </w:r>
          </w:p>
        </w:tc>
        <w:tc>
          <w:tcPr>
            <w:tcW w:w="1134" w:type="dxa"/>
            <w:vAlign w:val="bottom"/>
          </w:tcPr>
          <w:p w14:paraId="5ED3076F"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(3.c)</w:t>
            </w:r>
          </w:p>
        </w:tc>
        <w:tc>
          <w:tcPr>
            <w:tcW w:w="1559" w:type="dxa"/>
            <w:vAlign w:val="bottom"/>
          </w:tcPr>
          <w:p w14:paraId="60D120DD"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6.908</w:t>
            </w:r>
          </w:p>
        </w:tc>
        <w:tc>
          <w:tcPr>
            <w:tcW w:w="1418" w:type="dxa"/>
            <w:vAlign w:val="bottom"/>
          </w:tcPr>
          <w:p w14:paraId="51E69B92"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w:t>
            </w:r>
          </w:p>
        </w:tc>
      </w:tr>
      <w:tr w:rsidR="0010523F" w:rsidRPr="0010523F" w14:paraId="2D4C6A7A" w14:textId="77777777" w:rsidTr="00774E7E">
        <w:tc>
          <w:tcPr>
            <w:tcW w:w="5593" w:type="dxa"/>
            <w:vAlign w:val="bottom"/>
          </w:tcPr>
          <w:p w14:paraId="52B8A4F8"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Inversiones</w:t>
            </w:r>
          </w:p>
        </w:tc>
        <w:tc>
          <w:tcPr>
            <w:tcW w:w="1134" w:type="dxa"/>
            <w:vAlign w:val="bottom"/>
          </w:tcPr>
          <w:p w14:paraId="109D9D8E"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(3.d)</w:t>
            </w:r>
          </w:p>
        </w:tc>
        <w:tc>
          <w:tcPr>
            <w:tcW w:w="1559" w:type="dxa"/>
            <w:vAlign w:val="bottom"/>
          </w:tcPr>
          <w:p w14:paraId="09B213CD"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23</w:t>
            </w:r>
          </w:p>
        </w:tc>
        <w:tc>
          <w:tcPr>
            <w:tcW w:w="1418" w:type="dxa"/>
            <w:vAlign w:val="bottom"/>
          </w:tcPr>
          <w:p w14:paraId="0FAE5054"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42</w:t>
            </w:r>
          </w:p>
        </w:tc>
      </w:tr>
      <w:tr w:rsidR="0010523F" w:rsidRPr="0010523F" w14:paraId="3FA74C92" w14:textId="77777777" w:rsidTr="00774E7E">
        <w:tc>
          <w:tcPr>
            <w:tcW w:w="5593" w:type="dxa"/>
            <w:vAlign w:val="bottom"/>
          </w:tcPr>
          <w:p w14:paraId="679D9A7E"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Otros créditos</w:t>
            </w:r>
          </w:p>
        </w:tc>
        <w:tc>
          <w:tcPr>
            <w:tcW w:w="1134" w:type="dxa"/>
            <w:vAlign w:val="bottom"/>
          </w:tcPr>
          <w:p w14:paraId="243CBB40"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(3.e)</w:t>
            </w:r>
          </w:p>
        </w:tc>
        <w:tc>
          <w:tcPr>
            <w:tcW w:w="1559" w:type="dxa"/>
            <w:vAlign w:val="bottom"/>
          </w:tcPr>
          <w:p w14:paraId="48E85A2B" w14:textId="77777777" w:rsidR="0010523F" w:rsidRPr="0010523F" w:rsidRDefault="0010523F" w:rsidP="0010523F">
            <w:pPr>
              <w:tabs>
                <w:tab w:val="decimal" w:pos="1236"/>
              </w:tabs>
              <w:spacing w:line="20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1.329</w:t>
            </w:r>
          </w:p>
        </w:tc>
        <w:tc>
          <w:tcPr>
            <w:tcW w:w="1418" w:type="dxa"/>
            <w:vAlign w:val="bottom"/>
          </w:tcPr>
          <w:p w14:paraId="14D80E3F" w14:textId="77777777" w:rsidR="0010523F" w:rsidRPr="0010523F" w:rsidRDefault="0010523F" w:rsidP="0010523F">
            <w:pPr>
              <w:tabs>
                <w:tab w:val="decimal" w:pos="1236"/>
              </w:tabs>
              <w:spacing w:line="20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 xml:space="preserve">    1.237</w:t>
            </w:r>
          </w:p>
        </w:tc>
      </w:tr>
      <w:tr w:rsidR="0010523F" w:rsidRPr="0010523F" w14:paraId="1B50CB5F" w14:textId="77777777" w:rsidTr="00774E7E">
        <w:tc>
          <w:tcPr>
            <w:tcW w:w="5593" w:type="dxa"/>
            <w:vAlign w:val="bottom"/>
          </w:tcPr>
          <w:p w14:paraId="10315409" w14:textId="77777777" w:rsidR="0010523F" w:rsidRPr="0010523F" w:rsidRDefault="0010523F" w:rsidP="0010523F">
            <w:pPr>
              <w:spacing w:line="60" w:lineRule="exact"/>
              <w:rPr>
                <w:snapToGrid w:val="0"/>
                <w:color w:val="000000"/>
                <w:sz w:val="20"/>
                <w:szCs w:val="20"/>
                <w:lang w:val="es-AR" w:eastAsia="en-US"/>
              </w:rPr>
            </w:pPr>
          </w:p>
        </w:tc>
        <w:tc>
          <w:tcPr>
            <w:tcW w:w="1134" w:type="dxa"/>
            <w:vAlign w:val="bottom"/>
          </w:tcPr>
          <w:p w14:paraId="4F718C53" w14:textId="77777777" w:rsidR="0010523F" w:rsidRPr="0010523F" w:rsidRDefault="0010523F" w:rsidP="0010523F">
            <w:pPr>
              <w:spacing w:line="60" w:lineRule="exact"/>
              <w:ind w:left="-108"/>
              <w:jc w:val="center"/>
              <w:rPr>
                <w:snapToGrid w:val="0"/>
                <w:color w:val="000000"/>
                <w:sz w:val="20"/>
                <w:szCs w:val="20"/>
                <w:lang w:val="es-AR" w:eastAsia="en-US"/>
              </w:rPr>
            </w:pPr>
          </w:p>
        </w:tc>
        <w:tc>
          <w:tcPr>
            <w:tcW w:w="1559" w:type="dxa"/>
            <w:vAlign w:val="bottom"/>
          </w:tcPr>
          <w:p w14:paraId="522128B0" w14:textId="77777777" w:rsidR="0010523F" w:rsidRPr="0010523F" w:rsidRDefault="0010523F" w:rsidP="0010523F">
            <w:pPr>
              <w:tabs>
                <w:tab w:val="decimal" w:pos="1236"/>
              </w:tabs>
              <w:spacing w:line="60" w:lineRule="exact"/>
              <w:ind w:left="-108"/>
              <w:jc w:val="right"/>
              <w:rPr>
                <w:snapToGrid w:val="0"/>
                <w:color w:val="000000"/>
                <w:sz w:val="20"/>
                <w:szCs w:val="20"/>
                <w:u w:val="single"/>
                <w:lang w:val="es-AR" w:eastAsia="en-US"/>
              </w:rPr>
            </w:pPr>
          </w:p>
        </w:tc>
        <w:tc>
          <w:tcPr>
            <w:tcW w:w="1418" w:type="dxa"/>
            <w:vAlign w:val="bottom"/>
          </w:tcPr>
          <w:p w14:paraId="5D22CE4A" w14:textId="77777777" w:rsidR="0010523F" w:rsidRPr="0010523F" w:rsidRDefault="0010523F" w:rsidP="0010523F">
            <w:pPr>
              <w:tabs>
                <w:tab w:val="decimal" w:pos="1236"/>
              </w:tabs>
              <w:spacing w:line="60" w:lineRule="exact"/>
              <w:ind w:left="-108"/>
              <w:jc w:val="right"/>
              <w:rPr>
                <w:snapToGrid w:val="0"/>
                <w:sz w:val="20"/>
                <w:szCs w:val="20"/>
                <w:highlight w:val="yellow"/>
                <w:u w:val="single"/>
                <w:lang w:val="es-AR" w:eastAsia="en-US"/>
              </w:rPr>
            </w:pPr>
          </w:p>
        </w:tc>
      </w:tr>
      <w:tr w:rsidR="0010523F" w:rsidRPr="0010523F" w14:paraId="0C9609F1" w14:textId="77777777" w:rsidTr="00774E7E">
        <w:tc>
          <w:tcPr>
            <w:tcW w:w="5593" w:type="dxa"/>
            <w:vAlign w:val="bottom"/>
          </w:tcPr>
          <w:p w14:paraId="0596B0DD" w14:textId="77777777" w:rsidR="0010523F" w:rsidRPr="0010523F" w:rsidRDefault="0010523F" w:rsidP="0010523F">
            <w:pPr>
              <w:spacing w:line="220" w:lineRule="exact"/>
              <w:rPr>
                <w:snapToGrid w:val="0"/>
                <w:color w:val="000000"/>
                <w:sz w:val="20"/>
                <w:szCs w:val="20"/>
                <w:lang w:val="es-AR" w:eastAsia="en-US"/>
              </w:rPr>
            </w:pPr>
            <w:r w:rsidRPr="0010523F">
              <w:rPr>
                <w:snapToGrid w:val="0"/>
                <w:color w:val="000000"/>
                <w:sz w:val="20"/>
                <w:szCs w:val="20"/>
                <w:lang w:val="es-AR" w:eastAsia="en-US"/>
              </w:rPr>
              <w:t xml:space="preserve">   Total del activo no corriente</w:t>
            </w:r>
          </w:p>
        </w:tc>
        <w:tc>
          <w:tcPr>
            <w:tcW w:w="1134" w:type="dxa"/>
            <w:vAlign w:val="bottom"/>
          </w:tcPr>
          <w:p w14:paraId="010BCE5A" w14:textId="77777777" w:rsidR="0010523F" w:rsidRPr="0010523F" w:rsidRDefault="0010523F" w:rsidP="0010523F">
            <w:pPr>
              <w:spacing w:line="220" w:lineRule="exact"/>
              <w:ind w:left="-108"/>
              <w:jc w:val="center"/>
              <w:rPr>
                <w:snapToGrid w:val="0"/>
                <w:color w:val="000000"/>
                <w:sz w:val="20"/>
                <w:szCs w:val="20"/>
                <w:lang w:val="es-AR" w:eastAsia="en-US"/>
              </w:rPr>
            </w:pPr>
          </w:p>
        </w:tc>
        <w:tc>
          <w:tcPr>
            <w:tcW w:w="1559" w:type="dxa"/>
            <w:vAlign w:val="bottom"/>
          </w:tcPr>
          <w:p w14:paraId="3CF811C9" w14:textId="77777777" w:rsidR="0010523F" w:rsidRPr="0010523F" w:rsidRDefault="0010523F" w:rsidP="0010523F">
            <w:pPr>
              <w:tabs>
                <w:tab w:val="decimal" w:pos="1236"/>
              </w:tabs>
              <w:spacing w:line="22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644.295</w:t>
            </w:r>
          </w:p>
        </w:tc>
        <w:tc>
          <w:tcPr>
            <w:tcW w:w="1418" w:type="dxa"/>
            <w:vAlign w:val="bottom"/>
          </w:tcPr>
          <w:p w14:paraId="13CF239D" w14:textId="77777777" w:rsidR="0010523F" w:rsidRPr="0010523F" w:rsidRDefault="0010523F" w:rsidP="0010523F">
            <w:pPr>
              <w:tabs>
                <w:tab w:val="decimal" w:pos="1236"/>
              </w:tabs>
              <w:spacing w:line="22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407.735</w:t>
            </w:r>
          </w:p>
        </w:tc>
      </w:tr>
      <w:tr w:rsidR="0010523F" w:rsidRPr="0010523F" w14:paraId="2C125CAD" w14:textId="77777777" w:rsidTr="00774E7E">
        <w:tc>
          <w:tcPr>
            <w:tcW w:w="5593" w:type="dxa"/>
            <w:vAlign w:val="bottom"/>
          </w:tcPr>
          <w:p w14:paraId="73081619" w14:textId="77777777" w:rsidR="0010523F" w:rsidRPr="0010523F" w:rsidRDefault="0010523F" w:rsidP="0010523F">
            <w:pPr>
              <w:spacing w:line="80" w:lineRule="exact"/>
              <w:rPr>
                <w:snapToGrid w:val="0"/>
                <w:color w:val="000000"/>
                <w:sz w:val="20"/>
                <w:szCs w:val="20"/>
                <w:lang w:val="es-AR" w:eastAsia="en-US"/>
              </w:rPr>
            </w:pPr>
          </w:p>
        </w:tc>
        <w:tc>
          <w:tcPr>
            <w:tcW w:w="1134" w:type="dxa"/>
            <w:vAlign w:val="bottom"/>
          </w:tcPr>
          <w:p w14:paraId="1844BC17" w14:textId="77777777" w:rsidR="0010523F" w:rsidRPr="0010523F" w:rsidRDefault="0010523F" w:rsidP="0010523F">
            <w:pPr>
              <w:spacing w:line="80" w:lineRule="exact"/>
              <w:jc w:val="center"/>
              <w:rPr>
                <w:snapToGrid w:val="0"/>
                <w:color w:val="000000"/>
                <w:sz w:val="20"/>
                <w:szCs w:val="20"/>
                <w:lang w:val="es-AR" w:eastAsia="en-US"/>
              </w:rPr>
            </w:pPr>
          </w:p>
        </w:tc>
        <w:tc>
          <w:tcPr>
            <w:tcW w:w="1559" w:type="dxa"/>
            <w:vAlign w:val="bottom"/>
          </w:tcPr>
          <w:p w14:paraId="1FF06D56" w14:textId="77777777" w:rsidR="0010523F" w:rsidRPr="0010523F" w:rsidRDefault="0010523F" w:rsidP="0010523F">
            <w:pPr>
              <w:tabs>
                <w:tab w:val="decimal" w:pos="1236"/>
              </w:tabs>
              <w:spacing w:line="80" w:lineRule="exact"/>
              <w:jc w:val="right"/>
              <w:rPr>
                <w:snapToGrid w:val="0"/>
                <w:color w:val="000000"/>
                <w:sz w:val="20"/>
                <w:szCs w:val="20"/>
                <w:lang w:val="es-AR" w:eastAsia="en-US"/>
              </w:rPr>
            </w:pPr>
          </w:p>
        </w:tc>
        <w:tc>
          <w:tcPr>
            <w:tcW w:w="1418" w:type="dxa"/>
            <w:vAlign w:val="bottom"/>
          </w:tcPr>
          <w:p w14:paraId="659F51CF" w14:textId="77777777" w:rsidR="0010523F" w:rsidRPr="0010523F" w:rsidRDefault="0010523F" w:rsidP="0010523F">
            <w:pPr>
              <w:tabs>
                <w:tab w:val="decimal" w:pos="1236"/>
              </w:tabs>
              <w:spacing w:line="80" w:lineRule="exact"/>
              <w:jc w:val="right"/>
              <w:rPr>
                <w:snapToGrid w:val="0"/>
                <w:sz w:val="20"/>
                <w:szCs w:val="20"/>
                <w:highlight w:val="yellow"/>
                <w:lang w:val="es-AR" w:eastAsia="en-US"/>
              </w:rPr>
            </w:pPr>
          </w:p>
        </w:tc>
      </w:tr>
      <w:tr w:rsidR="0010523F" w:rsidRPr="0010523F" w14:paraId="1B9DC31C" w14:textId="77777777" w:rsidTr="00774E7E">
        <w:tc>
          <w:tcPr>
            <w:tcW w:w="5593" w:type="dxa"/>
            <w:vAlign w:val="bottom"/>
          </w:tcPr>
          <w:p w14:paraId="577A1098" w14:textId="77777777" w:rsidR="0010523F" w:rsidRPr="0010523F" w:rsidRDefault="0010523F" w:rsidP="0010523F">
            <w:pPr>
              <w:spacing w:line="200" w:lineRule="exact"/>
              <w:rPr>
                <w:snapToGrid w:val="0"/>
                <w:color w:val="000000"/>
                <w:sz w:val="20"/>
                <w:szCs w:val="20"/>
                <w:u w:val="single"/>
                <w:lang w:val="es-AR" w:eastAsia="en-US"/>
              </w:rPr>
            </w:pPr>
            <w:r w:rsidRPr="0010523F">
              <w:rPr>
                <w:snapToGrid w:val="0"/>
                <w:color w:val="000000"/>
                <w:sz w:val="20"/>
                <w:szCs w:val="20"/>
                <w:lang w:val="es-AR" w:eastAsia="en-US"/>
              </w:rPr>
              <w:t>ACTIVO CORRIENTE</w:t>
            </w:r>
          </w:p>
        </w:tc>
        <w:tc>
          <w:tcPr>
            <w:tcW w:w="1134" w:type="dxa"/>
            <w:vAlign w:val="bottom"/>
          </w:tcPr>
          <w:p w14:paraId="00DB7675"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7E5C14CE"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p>
        </w:tc>
        <w:tc>
          <w:tcPr>
            <w:tcW w:w="1418" w:type="dxa"/>
            <w:vAlign w:val="bottom"/>
          </w:tcPr>
          <w:p w14:paraId="2D972CC8"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p>
        </w:tc>
      </w:tr>
      <w:tr w:rsidR="0010523F" w:rsidRPr="0010523F" w14:paraId="6EB3AACC" w14:textId="77777777" w:rsidTr="00774E7E">
        <w:tc>
          <w:tcPr>
            <w:tcW w:w="5593" w:type="dxa"/>
            <w:vAlign w:val="bottom"/>
          </w:tcPr>
          <w:p w14:paraId="0E52C378" w14:textId="77777777" w:rsidR="0010523F" w:rsidRPr="0010523F" w:rsidRDefault="0010523F" w:rsidP="0010523F">
            <w:pPr>
              <w:spacing w:line="80" w:lineRule="exact"/>
              <w:rPr>
                <w:snapToGrid w:val="0"/>
                <w:color w:val="000000"/>
                <w:sz w:val="20"/>
                <w:szCs w:val="20"/>
                <w:lang w:val="es-AR" w:eastAsia="en-US"/>
              </w:rPr>
            </w:pPr>
          </w:p>
        </w:tc>
        <w:tc>
          <w:tcPr>
            <w:tcW w:w="1134" w:type="dxa"/>
            <w:vAlign w:val="bottom"/>
          </w:tcPr>
          <w:p w14:paraId="18219236" w14:textId="77777777" w:rsidR="0010523F" w:rsidRPr="0010523F" w:rsidRDefault="0010523F" w:rsidP="0010523F">
            <w:pPr>
              <w:spacing w:line="80" w:lineRule="exact"/>
              <w:rPr>
                <w:snapToGrid w:val="0"/>
                <w:color w:val="000000"/>
                <w:sz w:val="20"/>
                <w:szCs w:val="20"/>
                <w:lang w:val="es-AR" w:eastAsia="en-US"/>
              </w:rPr>
            </w:pPr>
          </w:p>
        </w:tc>
        <w:tc>
          <w:tcPr>
            <w:tcW w:w="1559" w:type="dxa"/>
            <w:vAlign w:val="bottom"/>
          </w:tcPr>
          <w:p w14:paraId="5AF2DD42" w14:textId="77777777" w:rsidR="0010523F" w:rsidRPr="0010523F" w:rsidRDefault="0010523F" w:rsidP="0010523F">
            <w:pPr>
              <w:spacing w:line="80" w:lineRule="exact"/>
              <w:jc w:val="right"/>
              <w:rPr>
                <w:snapToGrid w:val="0"/>
                <w:color w:val="000000"/>
                <w:sz w:val="20"/>
                <w:szCs w:val="20"/>
                <w:lang w:val="es-AR" w:eastAsia="en-US"/>
              </w:rPr>
            </w:pPr>
          </w:p>
        </w:tc>
        <w:tc>
          <w:tcPr>
            <w:tcW w:w="1418" w:type="dxa"/>
            <w:vAlign w:val="bottom"/>
          </w:tcPr>
          <w:p w14:paraId="321F1D4C" w14:textId="77777777" w:rsidR="0010523F" w:rsidRPr="0010523F" w:rsidRDefault="0010523F" w:rsidP="0010523F">
            <w:pPr>
              <w:spacing w:line="80" w:lineRule="exact"/>
              <w:jc w:val="right"/>
              <w:rPr>
                <w:snapToGrid w:val="0"/>
                <w:color w:val="000000"/>
                <w:sz w:val="20"/>
                <w:szCs w:val="20"/>
                <w:highlight w:val="yellow"/>
                <w:lang w:val="es-AR" w:eastAsia="en-US"/>
              </w:rPr>
            </w:pPr>
          </w:p>
        </w:tc>
      </w:tr>
      <w:tr w:rsidR="0010523F" w:rsidRPr="0010523F" w14:paraId="0ADD6B17" w14:textId="77777777" w:rsidTr="00774E7E">
        <w:tc>
          <w:tcPr>
            <w:tcW w:w="5593" w:type="dxa"/>
            <w:vAlign w:val="bottom"/>
          </w:tcPr>
          <w:p w14:paraId="7DAC4B2B"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 xml:space="preserve">Inventarios </w:t>
            </w:r>
          </w:p>
        </w:tc>
        <w:tc>
          <w:tcPr>
            <w:tcW w:w="1134" w:type="dxa"/>
            <w:vAlign w:val="bottom"/>
          </w:tcPr>
          <w:p w14:paraId="55CCA296"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(3.f)</w:t>
            </w:r>
          </w:p>
        </w:tc>
        <w:tc>
          <w:tcPr>
            <w:tcW w:w="1559" w:type="dxa"/>
            <w:vAlign w:val="bottom"/>
          </w:tcPr>
          <w:p w14:paraId="268638F9"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25.782</w:t>
            </w:r>
          </w:p>
        </w:tc>
        <w:tc>
          <w:tcPr>
            <w:tcW w:w="1418" w:type="dxa"/>
            <w:vAlign w:val="bottom"/>
          </w:tcPr>
          <w:p w14:paraId="06447231"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16.415</w:t>
            </w:r>
          </w:p>
        </w:tc>
      </w:tr>
      <w:tr w:rsidR="0010523F" w:rsidRPr="0010523F" w14:paraId="43B68A5A" w14:textId="77777777" w:rsidTr="00774E7E">
        <w:tc>
          <w:tcPr>
            <w:tcW w:w="5593" w:type="dxa"/>
            <w:vAlign w:val="bottom"/>
          </w:tcPr>
          <w:p w14:paraId="6B62080D"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Otros créditos</w:t>
            </w:r>
          </w:p>
        </w:tc>
        <w:tc>
          <w:tcPr>
            <w:tcW w:w="1134" w:type="dxa"/>
            <w:vAlign w:val="bottom"/>
          </w:tcPr>
          <w:p w14:paraId="2ADBCB7E"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(3.e)</w:t>
            </w:r>
          </w:p>
        </w:tc>
        <w:tc>
          <w:tcPr>
            <w:tcW w:w="1559" w:type="dxa"/>
            <w:vAlign w:val="bottom"/>
          </w:tcPr>
          <w:p w14:paraId="4D1A627C"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9.259</w:t>
            </w:r>
          </w:p>
        </w:tc>
        <w:tc>
          <w:tcPr>
            <w:tcW w:w="1418" w:type="dxa"/>
            <w:vAlign w:val="bottom"/>
          </w:tcPr>
          <w:p w14:paraId="0841145B"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9.440</w:t>
            </w:r>
          </w:p>
        </w:tc>
      </w:tr>
      <w:tr w:rsidR="0010523F" w:rsidRPr="0010523F" w14:paraId="62BB2E0B" w14:textId="77777777" w:rsidTr="00774E7E">
        <w:tc>
          <w:tcPr>
            <w:tcW w:w="5593" w:type="dxa"/>
            <w:vAlign w:val="bottom"/>
          </w:tcPr>
          <w:p w14:paraId="4CE66760"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Créditos por ventas</w:t>
            </w:r>
          </w:p>
        </w:tc>
        <w:tc>
          <w:tcPr>
            <w:tcW w:w="1134" w:type="dxa"/>
            <w:vAlign w:val="bottom"/>
          </w:tcPr>
          <w:p w14:paraId="3E18AF0F"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(3.g)</w:t>
            </w:r>
          </w:p>
        </w:tc>
        <w:tc>
          <w:tcPr>
            <w:tcW w:w="1559" w:type="dxa"/>
            <w:vAlign w:val="bottom"/>
          </w:tcPr>
          <w:p w14:paraId="54009C7A"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19.463</w:t>
            </w:r>
          </w:p>
        </w:tc>
        <w:tc>
          <w:tcPr>
            <w:tcW w:w="1418" w:type="dxa"/>
            <w:vAlign w:val="bottom"/>
          </w:tcPr>
          <w:p w14:paraId="367FDFD8"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13.756</w:t>
            </w:r>
          </w:p>
        </w:tc>
      </w:tr>
      <w:tr w:rsidR="0010523F" w:rsidRPr="0010523F" w14:paraId="143D9EB4" w14:textId="77777777" w:rsidTr="00774E7E">
        <w:tc>
          <w:tcPr>
            <w:tcW w:w="5593" w:type="dxa"/>
            <w:vAlign w:val="bottom"/>
          </w:tcPr>
          <w:p w14:paraId="41E24E43"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Inversiones</w:t>
            </w:r>
          </w:p>
        </w:tc>
        <w:tc>
          <w:tcPr>
            <w:tcW w:w="1134" w:type="dxa"/>
            <w:vAlign w:val="bottom"/>
          </w:tcPr>
          <w:p w14:paraId="21E13A42"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(3.d)</w:t>
            </w:r>
          </w:p>
        </w:tc>
        <w:tc>
          <w:tcPr>
            <w:tcW w:w="1559" w:type="dxa"/>
            <w:vAlign w:val="bottom"/>
          </w:tcPr>
          <w:p w14:paraId="5884A841"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w:t>
            </w:r>
          </w:p>
        </w:tc>
        <w:tc>
          <w:tcPr>
            <w:tcW w:w="1418" w:type="dxa"/>
            <w:vAlign w:val="bottom"/>
          </w:tcPr>
          <w:p w14:paraId="74379AE1"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987</w:t>
            </w:r>
          </w:p>
        </w:tc>
      </w:tr>
      <w:tr w:rsidR="0010523F" w:rsidRPr="0010523F" w14:paraId="30C2E886" w14:textId="77777777" w:rsidTr="00774E7E">
        <w:trPr>
          <w:trHeight w:val="216"/>
        </w:trPr>
        <w:tc>
          <w:tcPr>
            <w:tcW w:w="5593" w:type="dxa"/>
            <w:vAlign w:val="bottom"/>
          </w:tcPr>
          <w:p w14:paraId="1AFE27B3"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Efectivo y equivalentes de efectivo</w:t>
            </w:r>
          </w:p>
        </w:tc>
        <w:tc>
          <w:tcPr>
            <w:tcW w:w="1134" w:type="dxa"/>
            <w:vAlign w:val="bottom"/>
          </w:tcPr>
          <w:p w14:paraId="2345BC5F"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(3.h)</w:t>
            </w:r>
          </w:p>
        </w:tc>
        <w:tc>
          <w:tcPr>
            <w:tcW w:w="1559" w:type="dxa"/>
            <w:vAlign w:val="bottom"/>
          </w:tcPr>
          <w:p w14:paraId="455840C8" w14:textId="77777777" w:rsidR="0010523F" w:rsidRPr="0010523F" w:rsidRDefault="0010523F" w:rsidP="0010523F">
            <w:pPr>
              <w:tabs>
                <w:tab w:val="decimal" w:pos="1236"/>
              </w:tabs>
              <w:spacing w:line="20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13.327</w:t>
            </w:r>
          </w:p>
        </w:tc>
        <w:tc>
          <w:tcPr>
            <w:tcW w:w="1418" w:type="dxa"/>
            <w:vAlign w:val="bottom"/>
          </w:tcPr>
          <w:p w14:paraId="65BA224E" w14:textId="77777777" w:rsidR="0010523F" w:rsidRPr="0010523F" w:rsidRDefault="0010523F" w:rsidP="0010523F">
            <w:pPr>
              <w:tabs>
                <w:tab w:val="decimal" w:pos="1236"/>
              </w:tabs>
              <w:spacing w:line="20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 xml:space="preserve">  17.498</w:t>
            </w:r>
          </w:p>
        </w:tc>
      </w:tr>
      <w:tr w:rsidR="0010523F" w:rsidRPr="0010523F" w14:paraId="0C1B6751" w14:textId="77777777" w:rsidTr="00774E7E">
        <w:tc>
          <w:tcPr>
            <w:tcW w:w="5593" w:type="dxa"/>
            <w:vAlign w:val="bottom"/>
          </w:tcPr>
          <w:p w14:paraId="405F1C85" w14:textId="77777777" w:rsidR="0010523F" w:rsidRPr="0010523F" w:rsidRDefault="0010523F" w:rsidP="0010523F">
            <w:pPr>
              <w:spacing w:line="60" w:lineRule="exact"/>
              <w:rPr>
                <w:snapToGrid w:val="0"/>
                <w:color w:val="000000"/>
                <w:sz w:val="20"/>
                <w:szCs w:val="20"/>
                <w:lang w:val="es-AR" w:eastAsia="en-US"/>
              </w:rPr>
            </w:pPr>
          </w:p>
        </w:tc>
        <w:tc>
          <w:tcPr>
            <w:tcW w:w="1134" w:type="dxa"/>
            <w:vAlign w:val="bottom"/>
          </w:tcPr>
          <w:p w14:paraId="1BD5EADE" w14:textId="77777777" w:rsidR="0010523F" w:rsidRPr="0010523F" w:rsidRDefault="0010523F" w:rsidP="0010523F">
            <w:pPr>
              <w:spacing w:line="60" w:lineRule="exact"/>
              <w:ind w:left="-108"/>
              <w:jc w:val="center"/>
              <w:rPr>
                <w:snapToGrid w:val="0"/>
                <w:color w:val="000000"/>
                <w:sz w:val="20"/>
                <w:szCs w:val="20"/>
                <w:lang w:val="es-AR" w:eastAsia="en-US"/>
              </w:rPr>
            </w:pPr>
          </w:p>
        </w:tc>
        <w:tc>
          <w:tcPr>
            <w:tcW w:w="1559" w:type="dxa"/>
            <w:vAlign w:val="bottom"/>
          </w:tcPr>
          <w:p w14:paraId="78A0043D" w14:textId="77777777" w:rsidR="0010523F" w:rsidRPr="0010523F" w:rsidRDefault="0010523F" w:rsidP="0010523F">
            <w:pPr>
              <w:tabs>
                <w:tab w:val="decimal" w:pos="1236"/>
              </w:tabs>
              <w:spacing w:line="60" w:lineRule="exact"/>
              <w:ind w:left="-108"/>
              <w:jc w:val="right"/>
              <w:rPr>
                <w:snapToGrid w:val="0"/>
                <w:color w:val="000000"/>
                <w:sz w:val="20"/>
                <w:szCs w:val="20"/>
                <w:u w:val="single"/>
                <w:lang w:val="es-AR" w:eastAsia="en-US"/>
              </w:rPr>
            </w:pPr>
          </w:p>
        </w:tc>
        <w:tc>
          <w:tcPr>
            <w:tcW w:w="1418" w:type="dxa"/>
            <w:vAlign w:val="bottom"/>
          </w:tcPr>
          <w:p w14:paraId="2DCF7DD7" w14:textId="77777777" w:rsidR="0010523F" w:rsidRPr="0010523F" w:rsidRDefault="0010523F" w:rsidP="0010523F">
            <w:pPr>
              <w:tabs>
                <w:tab w:val="decimal" w:pos="1236"/>
              </w:tabs>
              <w:spacing w:line="60" w:lineRule="exact"/>
              <w:ind w:left="-108"/>
              <w:jc w:val="right"/>
              <w:rPr>
                <w:snapToGrid w:val="0"/>
                <w:sz w:val="20"/>
                <w:szCs w:val="20"/>
                <w:highlight w:val="yellow"/>
                <w:u w:val="single"/>
                <w:lang w:val="es-AR" w:eastAsia="en-US"/>
              </w:rPr>
            </w:pPr>
          </w:p>
        </w:tc>
      </w:tr>
      <w:tr w:rsidR="0010523F" w:rsidRPr="0010523F" w14:paraId="2AEA058F" w14:textId="77777777" w:rsidTr="00774E7E">
        <w:tc>
          <w:tcPr>
            <w:tcW w:w="5593" w:type="dxa"/>
            <w:vAlign w:val="bottom"/>
          </w:tcPr>
          <w:p w14:paraId="12574979" w14:textId="77777777" w:rsidR="0010523F" w:rsidRPr="0010523F" w:rsidRDefault="0010523F" w:rsidP="0010523F">
            <w:pPr>
              <w:spacing w:line="220" w:lineRule="exact"/>
              <w:rPr>
                <w:snapToGrid w:val="0"/>
                <w:color w:val="000000"/>
                <w:sz w:val="20"/>
                <w:szCs w:val="20"/>
                <w:lang w:val="es-AR" w:eastAsia="en-US"/>
              </w:rPr>
            </w:pPr>
            <w:r w:rsidRPr="0010523F">
              <w:rPr>
                <w:snapToGrid w:val="0"/>
                <w:color w:val="000000"/>
                <w:sz w:val="20"/>
                <w:szCs w:val="20"/>
                <w:lang w:val="es-AR" w:eastAsia="en-US"/>
              </w:rPr>
              <w:t xml:space="preserve">   Total del activo corriente</w:t>
            </w:r>
          </w:p>
        </w:tc>
        <w:tc>
          <w:tcPr>
            <w:tcW w:w="1134" w:type="dxa"/>
            <w:vAlign w:val="bottom"/>
          </w:tcPr>
          <w:p w14:paraId="39AA5F87" w14:textId="77777777" w:rsidR="0010523F" w:rsidRPr="0010523F" w:rsidRDefault="0010523F" w:rsidP="0010523F">
            <w:pPr>
              <w:spacing w:line="220" w:lineRule="exact"/>
              <w:ind w:left="-108"/>
              <w:jc w:val="center"/>
              <w:rPr>
                <w:snapToGrid w:val="0"/>
                <w:color w:val="000000"/>
                <w:sz w:val="20"/>
                <w:szCs w:val="20"/>
                <w:lang w:val="es-AR" w:eastAsia="en-US"/>
              </w:rPr>
            </w:pPr>
          </w:p>
        </w:tc>
        <w:tc>
          <w:tcPr>
            <w:tcW w:w="1559" w:type="dxa"/>
            <w:vAlign w:val="bottom"/>
          </w:tcPr>
          <w:p w14:paraId="581F9D33" w14:textId="77777777" w:rsidR="0010523F" w:rsidRPr="0010523F" w:rsidRDefault="0010523F" w:rsidP="0010523F">
            <w:pPr>
              <w:tabs>
                <w:tab w:val="decimal" w:pos="1236"/>
              </w:tabs>
              <w:spacing w:line="22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67.831</w:t>
            </w:r>
          </w:p>
        </w:tc>
        <w:tc>
          <w:tcPr>
            <w:tcW w:w="1418" w:type="dxa"/>
            <w:vAlign w:val="bottom"/>
          </w:tcPr>
          <w:p w14:paraId="4FDEA197" w14:textId="77777777" w:rsidR="0010523F" w:rsidRPr="0010523F" w:rsidRDefault="0010523F" w:rsidP="0010523F">
            <w:pPr>
              <w:tabs>
                <w:tab w:val="decimal" w:pos="1236"/>
              </w:tabs>
              <w:spacing w:line="22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 xml:space="preserve">  58.096</w:t>
            </w:r>
          </w:p>
        </w:tc>
      </w:tr>
      <w:tr w:rsidR="0010523F" w:rsidRPr="0010523F" w14:paraId="254C2A45" w14:textId="77777777" w:rsidTr="00774E7E">
        <w:tc>
          <w:tcPr>
            <w:tcW w:w="5593" w:type="dxa"/>
            <w:vAlign w:val="bottom"/>
          </w:tcPr>
          <w:p w14:paraId="6EE40168" w14:textId="77777777" w:rsidR="0010523F" w:rsidRPr="0010523F" w:rsidRDefault="0010523F" w:rsidP="0010523F">
            <w:pPr>
              <w:spacing w:line="60" w:lineRule="exact"/>
              <w:rPr>
                <w:snapToGrid w:val="0"/>
                <w:color w:val="000000"/>
                <w:sz w:val="20"/>
                <w:szCs w:val="20"/>
                <w:lang w:val="es-AR" w:eastAsia="en-US"/>
              </w:rPr>
            </w:pPr>
          </w:p>
        </w:tc>
        <w:tc>
          <w:tcPr>
            <w:tcW w:w="1134" w:type="dxa"/>
            <w:vAlign w:val="bottom"/>
          </w:tcPr>
          <w:p w14:paraId="3C16F768" w14:textId="77777777" w:rsidR="0010523F" w:rsidRPr="0010523F" w:rsidRDefault="0010523F" w:rsidP="0010523F">
            <w:pPr>
              <w:spacing w:line="60" w:lineRule="exact"/>
              <w:ind w:left="-108"/>
              <w:jc w:val="center"/>
              <w:rPr>
                <w:snapToGrid w:val="0"/>
                <w:color w:val="000000"/>
                <w:sz w:val="20"/>
                <w:szCs w:val="20"/>
                <w:lang w:val="es-AR" w:eastAsia="en-US"/>
              </w:rPr>
            </w:pPr>
          </w:p>
        </w:tc>
        <w:tc>
          <w:tcPr>
            <w:tcW w:w="1559" w:type="dxa"/>
            <w:vAlign w:val="bottom"/>
          </w:tcPr>
          <w:p w14:paraId="581E17BD" w14:textId="77777777" w:rsidR="0010523F" w:rsidRPr="0010523F" w:rsidRDefault="0010523F" w:rsidP="0010523F">
            <w:pPr>
              <w:tabs>
                <w:tab w:val="decimal" w:pos="1236"/>
              </w:tabs>
              <w:spacing w:line="60" w:lineRule="exact"/>
              <w:ind w:left="-108"/>
              <w:jc w:val="right"/>
              <w:rPr>
                <w:snapToGrid w:val="0"/>
                <w:color w:val="000000"/>
                <w:sz w:val="20"/>
                <w:szCs w:val="20"/>
                <w:u w:val="single"/>
                <w:lang w:val="es-AR" w:eastAsia="en-US"/>
              </w:rPr>
            </w:pPr>
          </w:p>
        </w:tc>
        <w:tc>
          <w:tcPr>
            <w:tcW w:w="1418" w:type="dxa"/>
            <w:vAlign w:val="bottom"/>
          </w:tcPr>
          <w:p w14:paraId="15818807" w14:textId="77777777" w:rsidR="0010523F" w:rsidRPr="0010523F" w:rsidRDefault="0010523F" w:rsidP="0010523F">
            <w:pPr>
              <w:tabs>
                <w:tab w:val="decimal" w:pos="1236"/>
              </w:tabs>
              <w:spacing w:line="60" w:lineRule="exact"/>
              <w:ind w:left="-108"/>
              <w:jc w:val="right"/>
              <w:rPr>
                <w:snapToGrid w:val="0"/>
                <w:sz w:val="20"/>
                <w:szCs w:val="20"/>
                <w:highlight w:val="yellow"/>
                <w:u w:val="single"/>
                <w:lang w:val="es-AR" w:eastAsia="en-US"/>
              </w:rPr>
            </w:pPr>
          </w:p>
        </w:tc>
      </w:tr>
      <w:tr w:rsidR="0010523F" w:rsidRPr="0010523F" w14:paraId="34E8EEB8" w14:textId="77777777" w:rsidTr="00774E7E">
        <w:tc>
          <w:tcPr>
            <w:tcW w:w="5593" w:type="dxa"/>
            <w:vAlign w:val="bottom"/>
          </w:tcPr>
          <w:p w14:paraId="75FE559B" w14:textId="77777777" w:rsidR="0010523F" w:rsidRPr="0010523F" w:rsidRDefault="0010523F" w:rsidP="0010523F">
            <w:pPr>
              <w:rPr>
                <w:snapToGrid w:val="0"/>
                <w:color w:val="000000"/>
                <w:sz w:val="20"/>
                <w:szCs w:val="20"/>
                <w:lang w:val="es-AR" w:eastAsia="en-US"/>
              </w:rPr>
            </w:pPr>
            <w:r w:rsidRPr="0010523F">
              <w:rPr>
                <w:snapToGrid w:val="0"/>
                <w:color w:val="000000"/>
                <w:sz w:val="20"/>
                <w:szCs w:val="20"/>
                <w:lang w:val="es-AR" w:eastAsia="en-US"/>
              </w:rPr>
              <w:t xml:space="preserve">   Total del activo</w:t>
            </w:r>
          </w:p>
        </w:tc>
        <w:tc>
          <w:tcPr>
            <w:tcW w:w="1134" w:type="dxa"/>
            <w:vAlign w:val="bottom"/>
          </w:tcPr>
          <w:p w14:paraId="39271285" w14:textId="77777777" w:rsidR="0010523F" w:rsidRPr="0010523F" w:rsidRDefault="0010523F" w:rsidP="0010523F">
            <w:pPr>
              <w:ind w:left="-108"/>
              <w:jc w:val="center"/>
              <w:rPr>
                <w:snapToGrid w:val="0"/>
                <w:color w:val="000000"/>
                <w:sz w:val="20"/>
                <w:szCs w:val="20"/>
                <w:lang w:val="es-AR" w:eastAsia="en-US"/>
              </w:rPr>
            </w:pPr>
          </w:p>
        </w:tc>
        <w:tc>
          <w:tcPr>
            <w:tcW w:w="1559" w:type="dxa"/>
            <w:vAlign w:val="bottom"/>
          </w:tcPr>
          <w:p w14:paraId="2AFE51DB" w14:textId="77777777" w:rsidR="0010523F" w:rsidRPr="0010523F" w:rsidRDefault="0010523F" w:rsidP="0010523F">
            <w:pPr>
              <w:tabs>
                <w:tab w:val="decimal" w:pos="1236"/>
              </w:tabs>
              <w:ind w:left="-108"/>
              <w:jc w:val="right"/>
              <w:rPr>
                <w:snapToGrid w:val="0"/>
                <w:color w:val="000000"/>
                <w:sz w:val="20"/>
                <w:szCs w:val="20"/>
                <w:u w:val="double"/>
                <w:lang w:val="es-AR" w:eastAsia="en-US"/>
              </w:rPr>
            </w:pPr>
            <w:r w:rsidRPr="0010523F">
              <w:rPr>
                <w:snapToGrid w:val="0"/>
                <w:color w:val="000000"/>
                <w:sz w:val="20"/>
                <w:szCs w:val="20"/>
                <w:u w:val="double"/>
                <w:lang w:val="es-AR" w:eastAsia="en-US"/>
              </w:rPr>
              <w:t>712.126</w:t>
            </w:r>
          </w:p>
        </w:tc>
        <w:tc>
          <w:tcPr>
            <w:tcW w:w="1418" w:type="dxa"/>
            <w:vAlign w:val="bottom"/>
          </w:tcPr>
          <w:p w14:paraId="79971AB8" w14:textId="77777777" w:rsidR="0010523F" w:rsidRPr="0010523F" w:rsidRDefault="0010523F" w:rsidP="0010523F">
            <w:pPr>
              <w:tabs>
                <w:tab w:val="decimal" w:pos="1236"/>
              </w:tabs>
              <w:spacing w:line="220" w:lineRule="exact"/>
              <w:ind w:left="-108"/>
              <w:jc w:val="right"/>
              <w:rPr>
                <w:snapToGrid w:val="0"/>
                <w:sz w:val="20"/>
                <w:szCs w:val="20"/>
                <w:highlight w:val="yellow"/>
                <w:u w:val="double"/>
                <w:lang w:val="es-AR" w:eastAsia="en-US"/>
              </w:rPr>
            </w:pPr>
            <w:r w:rsidRPr="0010523F">
              <w:rPr>
                <w:snapToGrid w:val="0"/>
                <w:color w:val="000000"/>
                <w:sz w:val="20"/>
                <w:szCs w:val="20"/>
                <w:u w:val="double"/>
                <w:lang w:val="es-AR" w:eastAsia="en-US"/>
              </w:rPr>
              <w:t>465.831</w:t>
            </w:r>
          </w:p>
        </w:tc>
      </w:tr>
      <w:tr w:rsidR="0010523F" w:rsidRPr="0010523F" w14:paraId="3289665D" w14:textId="77777777" w:rsidTr="00774E7E">
        <w:tc>
          <w:tcPr>
            <w:tcW w:w="5593" w:type="dxa"/>
            <w:vAlign w:val="bottom"/>
          </w:tcPr>
          <w:p w14:paraId="671AD5A5" w14:textId="77777777" w:rsidR="0010523F" w:rsidRPr="0010523F" w:rsidRDefault="0010523F" w:rsidP="0010523F">
            <w:pPr>
              <w:spacing w:line="120" w:lineRule="exact"/>
              <w:rPr>
                <w:snapToGrid w:val="0"/>
                <w:color w:val="000000"/>
                <w:sz w:val="20"/>
                <w:szCs w:val="20"/>
                <w:lang w:val="es-AR" w:eastAsia="en-US"/>
              </w:rPr>
            </w:pPr>
          </w:p>
        </w:tc>
        <w:tc>
          <w:tcPr>
            <w:tcW w:w="1134" w:type="dxa"/>
            <w:vAlign w:val="bottom"/>
          </w:tcPr>
          <w:p w14:paraId="0B82FBC1" w14:textId="77777777" w:rsidR="0010523F" w:rsidRPr="0010523F" w:rsidRDefault="0010523F" w:rsidP="0010523F">
            <w:pPr>
              <w:spacing w:line="120" w:lineRule="exact"/>
              <w:ind w:left="-108"/>
              <w:jc w:val="center"/>
              <w:rPr>
                <w:snapToGrid w:val="0"/>
                <w:color w:val="000000"/>
                <w:sz w:val="20"/>
                <w:szCs w:val="20"/>
                <w:lang w:val="es-AR" w:eastAsia="en-US"/>
              </w:rPr>
            </w:pPr>
          </w:p>
        </w:tc>
        <w:tc>
          <w:tcPr>
            <w:tcW w:w="1559" w:type="dxa"/>
            <w:vAlign w:val="bottom"/>
          </w:tcPr>
          <w:p w14:paraId="3B00C24D" w14:textId="77777777" w:rsidR="0010523F" w:rsidRPr="0010523F" w:rsidRDefault="0010523F" w:rsidP="0010523F">
            <w:pPr>
              <w:tabs>
                <w:tab w:val="decimal" w:pos="1236"/>
              </w:tabs>
              <w:spacing w:line="120" w:lineRule="exact"/>
              <w:ind w:left="-108"/>
              <w:jc w:val="right"/>
              <w:rPr>
                <w:snapToGrid w:val="0"/>
                <w:color w:val="000000"/>
                <w:sz w:val="20"/>
                <w:szCs w:val="20"/>
                <w:highlight w:val="yellow"/>
                <w:u w:val="double"/>
                <w:lang w:val="es-AR" w:eastAsia="en-US"/>
              </w:rPr>
            </w:pPr>
          </w:p>
        </w:tc>
        <w:tc>
          <w:tcPr>
            <w:tcW w:w="1418" w:type="dxa"/>
            <w:vAlign w:val="bottom"/>
          </w:tcPr>
          <w:p w14:paraId="272ADDBD" w14:textId="77777777" w:rsidR="0010523F" w:rsidRPr="0010523F" w:rsidRDefault="0010523F" w:rsidP="0010523F">
            <w:pPr>
              <w:tabs>
                <w:tab w:val="decimal" w:pos="1236"/>
              </w:tabs>
              <w:spacing w:line="120" w:lineRule="exact"/>
              <w:ind w:left="-108"/>
              <w:jc w:val="right"/>
              <w:rPr>
                <w:snapToGrid w:val="0"/>
                <w:sz w:val="20"/>
                <w:szCs w:val="20"/>
                <w:highlight w:val="yellow"/>
                <w:u w:val="double"/>
                <w:lang w:val="es-AR" w:eastAsia="en-US"/>
              </w:rPr>
            </w:pPr>
          </w:p>
        </w:tc>
      </w:tr>
      <w:tr w:rsidR="0010523F" w:rsidRPr="0010523F" w14:paraId="5536F17A" w14:textId="77777777" w:rsidTr="00774E7E">
        <w:tc>
          <w:tcPr>
            <w:tcW w:w="5593" w:type="dxa"/>
            <w:vAlign w:val="bottom"/>
          </w:tcPr>
          <w:p w14:paraId="5C28DB4B"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PATRIMONIO</w:t>
            </w:r>
          </w:p>
        </w:tc>
        <w:tc>
          <w:tcPr>
            <w:tcW w:w="1134" w:type="dxa"/>
            <w:vAlign w:val="bottom"/>
          </w:tcPr>
          <w:p w14:paraId="2671C076"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74F13E23" w14:textId="77777777" w:rsidR="0010523F" w:rsidRPr="0010523F" w:rsidRDefault="0010523F" w:rsidP="0010523F">
            <w:pPr>
              <w:tabs>
                <w:tab w:val="decimal" w:pos="1236"/>
              </w:tabs>
              <w:spacing w:line="200" w:lineRule="exact"/>
              <w:ind w:left="-108"/>
              <w:jc w:val="right"/>
              <w:rPr>
                <w:snapToGrid w:val="0"/>
                <w:color w:val="000000"/>
                <w:sz w:val="20"/>
                <w:szCs w:val="20"/>
                <w:highlight w:val="yellow"/>
                <w:lang w:val="es-AR" w:eastAsia="en-US"/>
              </w:rPr>
            </w:pPr>
          </w:p>
        </w:tc>
        <w:tc>
          <w:tcPr>
            <w:tcW w:w="1418" w:type="dxa"/>
            <w:vAlign w:val="bottom"/>
          </w:tcPr>
          <w:p w14:paraId="65E9CBA9"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p>
        </w:tc>
      </w:tr>
      <w:tr w:rsidR="0010523F" w:rsidRPr="0010523F" w14:paraId="2F6F0401" w14:textId="77777777" w:rsidTr="00774E7E">
        <w:tc>
          <w:tcPr>
            <w:tcW w:w="5593" w:type="dxa"/>
            <w:vAlign w:val="bottom"/>
          </w:tcPr>
          <w:p w14:paraId="37DAC26B" w14:textId="77777777" w:rsidR="0010523F" w:rsidRPr="0010523F" w:rsidRDefault="0010523F" w:rsidP="0010523F">
            <w:pPr>
              <w:spacing w:line="80" w:lineRule="exact"/>
              <w:rPr>
                <w:snapToGrid w:val="0"/>
                <w:color w:val="000000"/>
                <w:sz w:val="20"/>
                <w:szCs w:val="20"/>
                <w:lang w:val="es-AR" w:eastAsia="en-US"/>
              </w:rPr>
            </w:pPr>
          </w:p>
        </w:tc>
        <w:tc>
          <w:tcPr>
            <w:tcW w:w="1134" w:type="dxa"/>
            <w:vAlign w:val="bottom"/>
          </w:tcPr>
          <w:p w14:paraId="5E614854" w14:textId="77777777" w:rsidR="0010523F" w:rsidRPr="0010523F" w:rsidRDefault="0010523F" w:rsidP="0010523F">
            <w:pPr>
              <w:spacing w:line="80" w:lineRule="exact"/>
              <w:rPr>
                <w:snapToGrid w:val="0"/>
                <w:color w:val="000000"/>
                <w:sz w:val="20"/>
                <w:szCs w:val="20"/>
                <w:lang w:val="es-AR" w:eastAsia="en-US"/>
              </w:rPr>
            </w:pPr>
          </w:p>
        </w:tc>
        <w:tc>
          <w:tcPr>
            <w:tcW w:w="1559" w:type="dxa"/>
            <w:vAlign w:val="bottom"/>
          </w:tcPr>
          <w:p w14:paraId="5520A6F7" w14:textId="77777777" w:rsidR="0010523F" w:rsidRPr="0010523F" w:rsidRDefault="0010523F" w:rsidP="0010523F">
            <w:pPr>
              <w:spacing w:line="80" w:lineRule="exact"/>
              <w:jc w:val="right"/>
              <w:rPr>
                <w:snapToGrid w:val="0"/>
                <w:color w:val="000000"/>
                <w:sz w:val="20"/>
                <w:szCs w:val="20"/>
                <w:highlight w:val="yellow"/>
                <w:lang w:val="es-AR" w:eastAsia="en-US"/>
              </w:rPr>
            </w:pPr>
          </w:p>
        </w:tc>
        <w:tc>
          <w:tcPr>
            <w:tcW w:w="1418" w:type="dxa"/>
            <w:vAlign w:val="bottom"/>
          </w:tcPr>
          <w:p w14:paraId="60B23383" w14:textId="77777777" w:rsidR="0010523F" w:rsidRPr="0010523F" w:rsidRDefault="0010523F" w:rsidP="0010523F">
            <w:pPr>
              <w:spacing w:line="80" w:lineRule="exact"/>
              <w:jc w:val="right"/>
              <w:rPr>
                <w:snapToGrid w:val="0"/>
                <w:color w:val="000000"/>
                <w:sz w:val="20"/>
                <w:szCs w:val="20"/>
                <w:highlight w:val="yellow"/>
                <w:lang w:val="es-AR" w:eastAsia="en-US"/>
              </w:rPr>
            </w:pPr>
          </w:p>
        </w:tc>
      </w:tr>
      <w:tr w:rsidR="0010523F" w:rsidRPr="0010523F" w14:paraId="521179E0" w14:textId="77777777" w:rsidTr="00774E7E">
        <w:tc>
          <w:tcPr>
            <w:tcW w:w="5593" w:type="dxa"/>
            <w:vAlign w:val="bottom"/>
          </w:tcPr>
          <w:p w14:paraId="50F964EB"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Capital asignado a la Sucursal</w:t>
            </w:r>
          </w:p>
        </w:tc>
        <w:tc>
          <w:tcPr>
            <w:tcW w:w="1134" w:type="dxa"/>
            <w:vAlign w:val="bottom"/>
          </w:tcPr>
          <w:p w14:paraId="0AA15AF3"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6B2ACC01"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222</w:t>
            </w:r>
          </w:p>
        </w:tc>
        <w:tc>
          <w:tcPr>
            <w:tcW w:w="1418" w:type="dxa"/>
            <w:vAlign w:val="bottom"/>
          </w:tcPr>
          <w:p w14:paraId="63E13740"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222</w:t>
            </w:r>
          </w:p>
        </w:tc>
      </w:tr>
      <w:tr w:rsidR="0010523F" w:rsidRPr="0010523F" w14:paraId="7B000114" w14:textId="77777777" w:rsidTr="00774E7E">
        <w:tc>
          <w:tcPr>
            <w:tcW w:w="5593" w:type="dxa"/>
            <w:vAlign w:val="bottom"/>
          </w:tcPr>
          <w:p w14:paraId="037D683C"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Ajuste de capital</w:t>
            </w:r>
          </w:p>
        </w:tc>
        <w:tc>
          <w:tcPr>
            <w:tcW w:w="1134" w:type="dxa"/>
            <w:vAlign w:val="bottom"/>
          </w:tcPr>
          <w:p w14:paraId="7D1481D0"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16C4F55C"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239</w:t>
            </w:r>
          </w:p>
        </w:tc>
        <w:tc>
          <w:tcPr>
            <w:tcW w:w="1418" w:type="dxa"/>
            <w:vAlign w:val="bottom"/>
          </w:tcPr>
          <w:p w14:paraId="1D059A5F"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239</w:t>
            </w:r>
          </w:p>
        </w:tc>
      </w:tr>
      <w:tr w:rsidR="0010523F" w:rsidRPr="0010523F" w14:paraId="5E3EBE9A" w14:textId="77777777" w:rsidTr="00774E7E">
        <w:tc>
          <w:tcPr>
            <w:tcW w:w="5593" w:type="dxa"/>
            <w:vAlign w:val="bottom"/>
          </w:tcPr>
          <w:p w14:paraId="4A3662E9"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Reserva especial</w:t>
            </w:r>
          </w:p>
        </w:tc>
        <w:tc>
          <w:tcPr>
            <w:tcW w:w="1134" w:type="dxa"/>
            <w:vAlign w:val="bottom"/>
          </w:tcPr>
          <w:p w14:paraId="237D6E38"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1DFA3190"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3.932</w:t>
            </w:r>
          </w:p>
        </w:tc>
        <w:tc>
          <w:tcPr>
            <w:tcW w:w="1418" w:type="dxa"/>
            <w:vAlign w:val="bottom"/>
          </w:tcPr>
          <w:p w14:paraId="224C2546"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3.932</w:t>
            </w:r>
          </w:p>
        </w:tc>
      </w:tr>
      <w:tr w:rsidR="0010523F" w:rsidRPr="0010523F" w14:paraId="60EC51F3" w14:textId="77777777" w:rsidTr="00774E7E">
        <w:tc>
          <w:tcPr>
            <w:tcW w:w="5593" w:type="dxa"/>
            <w:vAlign w:val="bottom"/>
          </w:tcPr>
          <w:p w14:paraId="2823016C"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Reserva transferencia fondo de comercio</w:t>
            </w:r>
          </w:p>
        </w:tc>
        <w:tc>
          <w:tcPr>
            <w:tcW w:w="1134" w:type="dxa"/>
            <w:vAlign w:val="bottom"/>
          </w:tcPr>
          <w:p w14:paraId="61FA6027"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5D47A2CA"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21.788</w:t>
            </w:r>
          </w:p>
        </w:tc>
        <w:tc>
          <w:tcPr>
            <w:tcW w:w="1418" w:type="dxa"/>
            <w:vAlign w:val="bottom"/>
          </w:tcPr>
          <w:p w14:paraId="203D0B6F"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21.788</w:t>
            </w:r>
          </w:p>
        </w:tc>
      </w:tr>
      <w:tr w:rsidR="0010523F" w:rsidRPr="0010523F" w14:paraId="17951459" w14:textId="77777777" w:rsidTr="00774E7E">
        <w:tc>
          <w:tcPr>
            <w:tcW w:w="5593" w:type="dxa"/>
            <w:vAlign w:val="bottom"/>
          </w:tcPr>
          <w:p w14:paraId="6510D30F"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Otro resultado integral</w:t>
            </w:r>
          </w:p>
        </w:tc>
        <w:tc>
          <w:tcPr>
            <w:tcW w:w="1134" w:type="dxa"/>
            <w:vAlign w:val="bottom"/>
          </w:tcPr>
          <w:p w14:paraId="517DC2FC"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60AE23E6"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326.810</w:t>
            </w:r>
          </w:p>
        </w:tc>
        <w:tc>
          <w:tcPr>
            <w:tcW w:w="1418" w:type="dxa"/>
            <w:vAlign w:val="bottom"/>
          </w:tcPr>
          <w:p w14:paraId="13A40D0B"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190.811</w:t>
            </w:r>
          </w:p>
        </w:tc>
      </w:tr>
      <w:tr w:rsidR="0010523F" w:rsidRPr="0010523F" w14:paraId="052973B0" w14:textId="77777777" w:rsidTr="00774E7E">
        <w:tc>
          <w:tcPr>
            <w:tcW w:w="5593" w:type="dxa"/>
            <w:vAlign w:val="bottom"/>
          </w:tcPr>
          <w:p w14:paraId="4D3A5A65"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Resultados no asignados - Casa Matriz</w:t>
            </w:r>
          </w:p>
        </w:tc>
        <w:tc>
          <w:tcPr>
            <w:tcW w:w="1134" w:type="dxa"/>
            <w:vAlign w:val="bottom"/>
          </w:tcPr>
          <w:p w14:paraId="52AABA25"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7AB3F508" w14:textId="77777777" w:rsidR="0010523F" w:rsidRPr="0010523F" w:rsidRDefault="0010523F" w:rsidP="0010523F">
            <w:pPr>
              <w:tabs>
                <w:tab w:val="decimal" w:pos="1236"/>
              </w:tabs>
              <w:spacing w:line="20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49.276</w:t>
            </w:r>
          </w:p>
        </w:tc>
        <w:tc>
          <w:tcPr>
            <w:tcW w:w="1418" w:type="dxa"/>
            <w:vAlign w:val="bottom"/>
          </w:tcPr>
          <w:p w14:paraId="64CC1AB5" w14:textId="77777777" w:rsidR="0010523F" w:rsidRPr="0010523F" w:rsidRDefault="0010523F" w:rsidP="0010523F">
            <w:pPr>
              <w:tabs>
                <w:tab w:val="decimal" w:pos="1236"/>
              </w:tabs>
              <w:spacing w:line="20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 xml:space="preserve">  43.355</w:t>
            </w:r>
          </w:p>
        </w:tc>
      </w:tr>
      <w:tr w:rsidR="0010523F" w:rsidRPr="0010523F" w14:paraId="542C6AB1" w14:textId="77777777" w:rsidTr="00774E7E">
        <w:tc>
          <w:tcPr>
            <w:tcW w:w="5593" w:type="dxa"/>
            <w:vAlign w:val="bottom"/>
          </w:tcPr>
          <w:p w14:paraId="2247E9ED" w14:textId="77777777" w:rsidR="0010523F" w:rsidRPr="0010523F" w:rsidRDefault="0010523F" w:rsidP="0010523F">
            <w:pPr>
              <w:spacing w:line="60" w:lineRule="exact"/>
              <w:rPr>
                <w:snapToGrid w:val="0"/>
                <w:color w:val="000000"/>
                <w:sz w:val="20"/>
                <w:szCs w:val="20"/>
                <w:lang w:val="es-AR" w:eastAsia="en-US"/>
              </w:rPr>
            </w:pPr>
          </w:p>
        </w:tc>
        <w:tc>
          <w:tcPr>
            <w:tcW w:w="1134" w:type="dxa"/>
            <w:vAlign w:val="bottom"/>
          </w:tcPr>
          <w:p w14:paraId="3BE5EB69" w14:textId="77777777" w:rsidR="0010523F" w:rsidRPr="0010523F" w:rsidRDefault="0010523F" w:rsidP="0010523F">
            <w:pPr>
              <w:spacing w:line="60" w:lineRule="exact"/>
              <w:ind w:left="-108"/>
              <w:jc w:val="center"/>
              <w:rPr>
                <w:snapToGrid w:val="0"/>
                <w:color w:val="000000"/>
                <w:sz w:val="20"/>
                <w:szCs w:val="20"/>
                <w:lang w:val="es-AR" w:eastAsia="en-US"/>
              </w:rPr>
            </w:pPr>
          </w:p>
        </w:tc>
        <w:tc>
          <w:tcPr>
            <w:tcW w:w="1559" w:type="dxa"/>
            <w:vAlign w:val="bottom"/>
          </w:tcPr>
          <w:p w14:paraId="7E84EB77" w14:textId="77777777" w:rsidR="0010523F" w:rsidRPr="0010523F" w:rsidRDefault="0010523F" w:rsidP="0010523F">
            <w:pPr>
              <w:tabs>
                <w:tab w:val="decimal" w:pos="1236"/>
              </w:tabs>
              <w:spacing w:line="60" w:lineRule="exact"/>
              <w:ind w:left="-108"/>
              <w:jc w:val="right"/>
              <w:rPr>
                <w:snapToGrid w:val="0"/>
                <w:color w:val="000000"/>
                <w:sz w:val="20"/>
                <w:szCs w:val="20"/>
                <w:u w:val="single"/>
                <w:lang w:val="es-AR" w:eastAsia="en-US"/>
              </w:rPr>
            </w:pPr>
          </w:p>
        </w:tc>
        <w:tc>
          <w:tcPr>
            <w:tcW w:w="1418" w:type="dxa"/>
            <w:vAlign w:val="bottom"/>
          </w:tcPr>
          <w:p w14:paraId="4C4A29A5" w14:textId="77777777" w:rsidR="0010523F" w:rsidRPr="0010523F" w:rsidRDefault="0010523F" w:rsidP="0010523F">
            <w:pPr>
              <w:tabs>
                <w:tab w:val="decimal" w:pos="1236"/>
              </w:tabs>
              <w:spacing w:line="60" w:lineRule="exact"/>
              <w:ind w:left="-108"/>
              <w:jc w:val="right"/>
              <w:rPr>
                <w:snapToGrid w:val="0"/>
                <w:sz w:val="20"/>
                <w:szCs w:val="20"/>
                <w:highlight w:val="yellow"/>
                <w:u w:val="single"/>
                <w:lang w:val="es-AR" w:eastAsia="en-US"/>
              </w:rPr>
            </w:pPr>
          </w:p>
        </w:tc>
      </w:tr>
      <w:tr w:rsidR="0010523F" w:rsidRPr="0010523F" w14:paraId="281183C0" w14:textId="77777777" w:rsidTr="00774E7E">
        <w:tc>
          <w:tcPr>
            <w:tcW w:w="5593" w:type="dxa"/>
            <w:vAlign w:val="bottom"/>
          </w:tcPr>
          <w:p w14:paraId="4705FAA4" w14:textId="77777777" w:rsidR="0010523F" w:rsidRPr="0010523F" w:rsidRDefault="0010523F" w:rsidP="0010523F">
            <w:pPr>
              <w:spacing w:line="220" w:lineRule="exact"/>
              <w:rPr>
                <w:snapToGrid w:val="0"/>
                <w:color w:val="000000"/>
                <w:sz w:val="20"/>
                <w:szCs w:val="20"/>
                <w:lang w:val="es-AR" w:eastAsia="en-US"/>
              </w:rPr>
            </w:pPr>
            <w:r w:rsidRPr="0010523F">
              <w:rPr>
                <w:snapToGrid w:val="0"/>
                <w:color w:val="000000"/>
                <w:sz w:val="20"/>
                <w:szCs w:val="20"/>
                <w:lang w:val="es-AR" w:eastAsia="en-US"/>
              </w:rPr>
              <w:t xml:space="preserve">   Total del patrimonio (según estado respectivo)</w:t>
            </w:r>
          </w:p>
        </w:tc>
        <w:tc>
          <w:tcPr>
            <w:tcW w:w="1134" w:type="dxa"/>
            <w:vAlign w:val="bottom"/>
          </w:tcPr>
          <w:p w14:paraId="4B6D4676" w14:textId="77777777" w:rsidR="0010523F" w:rsidRPr="0010523F" w:rsidRDefault="0010523F" w:rsidP="0010523F">
            <w:pPr>
              <w:spacing w:line="220" w:lineRule="exact"/>
              <w:ind w:left="-108"/>
              <w:jc w:val="center"/>
              <w:rPr>
                <w:snapToGrid w:val="0"/>
                <w:color w:val="000000"/>
                <w:sz w:val="20"/>
                <w:szCs w:val="20"/>
                <w:lang w:val="es-AR" w:eastAsia="en-US"/>
              </w:rPr>
            </w:pPr>
          </w:p>
        </w:tc>
        <w:tc>
          <w:tcPr>
            <w:tcW w:w="1559" w:type="dxa"/>
            <w:vAlign w:val="bottom"/>
          </w:tcPr>
          <w:p w14:paraId="3A34F163" w14:textId="77777777" w:rsidR="0010523F" w:rsidRPr="0010523F" w:rsidRDefault="0010523F" w:rsidP="0010523F">
            <w:pPr>
              <w:tabs>
                <w:tab w:val="decimal" w:pos="1236"/>
              </w:tabs>
              <w:spacing w:line="22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402.267</w:t>
            </w:r>
          </w:p>
        </w:tc>
        <w:tc>
          <w:tcPr>
            <w:tcW w:w="1418" w:type="dxa"/>
            <w:vAlign w:val="bottom"/>
          </w:tcPr>
          <w:p w14:paraId="1C1D389C" w14:textId="77777777" w:rsidR="0010523F" w:rsidRPr="0010523F" w:rsidRDefault="0010523F" w:rsidP="0010523F">
            <w:pPr>
              <w:tabs>
                <w:tab w:val="decimal" w:pos="1236"/>
              </w:tabs>
              <w:spacing w:line="22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260.347</w:t>
            </w:r>
          </w:p>
        </w:tc>
      </w:tr>
      <w:tr w:rsidR="0010523F" w:rsidRPr="0010523F" w14:paraId="7E914FB6" w14:textId="77777777" w:rsidTr="00774E7E">
        <w:tc>
          <w:tcPr>
            <w:tcW w:w="5593" w:type="dxa"/>
            <w:vAlign w:val="bottom"/>
          </w:tcPr>
          <w:p w14:paraId="42F836BD" w14:textId="77777777" w:rsidR="0010523F" w:rsidRPr="0010523F" w:rsidRDefault="0010523F" w:rsidP="0010523F">
            <w:pPr>
              <w:spacing w:line="80" w:lineRule="exact"/>
              <w:rPr>
                <w:snapToGrid w:val="0"/>
                <w:color w:val="000000"/>
                <w:sz w:val="20"/>
                <w:szCs w:val="20"/>
                <w:lang w:val="es-AR" w:eastAsia="en-US"/>
              </w:rPr>
            </w:pPr>
          </w:p>
        </w:tc>
        <w:tc>
          <w:tcPr>
            <w:tcW w:w="1134" w:type="dxa"/>
            <w:vAlign w:val="bottom"/>
          </w:tcPr>
          <w:p w14:paraId="4758D045" w14:textId="77777777" w:rsidR="0010523F" w:rsidRPr="0010523F" w:rsidRDefault="0010523F" w:rsidP="0010523F">
            <w:pPr>
              <w:spacing w:line="80" w:lineRule="exact"/>
              <w:jc w:val="center"/>
              <w:rPr>
                <w:snapToGrid w:val="0"/>
                <w:color w:val="000000"/>
                <w:sz w:val="20"/>
                <w:szCs w:val="20"/>
                <w:lang w:val="es-AR" w:eastAsia="en-US"/>
              </w:rPr>
            </w:pPr>
          </w:p>
        </w:tc>
        <w:tc>
          <w:tcPr>
            <w:tcW w:w="1559" w:type="dxa"/>
            <w:vAlign w:val="bottom"/>
          </w:tcPr>
          <w:p w14:paraId="353AB837" w14:textId="77777777" w:rsidR="0010523F" w:rsidRPr="0010523F" w:rsidRDefault="0010523F" w:rsidP="0010523F">
            <w:pPr>
              <w:tabs>
                <w:tab w:val="decimal" w:pos="1236"/>
              </w:tabs>
              <w:spacing w:line="80" w:lineRule="exact"/>
              <w:jc w:val="right"/>
              <w:rPr>
                <w:snapToGrid w:val="0"/>
                <w:color w:val="000000"/>
                <w:sz w:val="20"/>
                <w:szCs w:val="20"/>
                <w:highlight w:val="yellow"/>
                <w:lang w:val="es-AR" w:eastAsia="en-US"/>
              </w:rPr>
            </w:pPr>
          </w:p>
        </w:tc>
        <w:tc>
          <w:tcPr>
            <w:tcW w:w="1418" w:type="dxa"/>
            <w:vAlign w:val="bottom"/>
          </w:tcPr>
          <w:p w14:paraId="28B9E4F5" w14:textId="77777777" w:rsidR="0010523F" w:rsidRPr="0010523F" w:rsidRDefault="0010523F" w:rsidP="0010523F">
            <w:pPr>
              <w:tabs>
                <w:tab w:val="decimal" w:pos="1236"/>
              </w:tabs>
              <w:spacing w:line="80" w:lineRule="exact"/>
              <w:jc w:val="right"/>
              <w:rPr>
                <w:snapToGrid w:val="0"/>
                <w:sz w:val="20"/>
                <w:szCs w:val="20"/>
                <w:highlight w:val="yellow"/>
                <w:lang w:val="es-AR" w:eastAsia="en-US"/>
              </w:rPr>
            </w:pPr>
          </w:p>
        </w:tc>
      </w:tr>
      <w:tr w:rsidR="0010523F" w:rsidRPr="0010523F" w14:paraId="722F3D5B" w14:textId="77777777" w:rsidTr="00774E7E">
        <w:tc>
          <w:tcPr>
            <w:tcW w:w="5593" w:type="dxa"/>
            <w:vAlign w:val="bottom"/>
          </w:tcPr>
          <w:p w14:paraId="27ABE89D"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PASIVO NO CORRIENTE</w:t>
            </w:r>
          </w:p>
        </w:tc>
        <w:tc>
          <w:tcPr>
            <w:tcW w:w="1134" w:type="dxa"/>
            <w:vAlign w:val="bottom"/>
          </w:tcPr>
          <w:p w14:paraId="09078D4E"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01C49AA5" w14:textId="77777777" w:rsidR="0010523F" w:rsidRPr="0010523F" w:rsidRDefault="0010523F" w:rsidP="0010523F">
            <w:pPr>
              <w:tabs>
                <w:tab w:val="decimal" w:pos="1236"/>
              </w:tabs>
              <w:spacing w:line="200" w:lineRule="exact"/>
              <w:ind w:left="-108"/>
              <w:jc w:val="right"/>
              <w:rPr>
                <w:snapToGrid w:val="0"/>
                <w:color w:val="000000"/>
                <w:sz w:val="20"/>
                <w:szCs w:val="20"/>
                <w:highlight w:val="yellow"/>
                <w:lang w:val="es-AR" w:eastAsia="en-US"/>
              </w:rPr>
            </w:pPr>
          </w:p>
        </w:tc>
        <w:tc>
          <w:tcPr>
            <w:tcW w:w="1418" w:type="dxa"/>
            <w:vAlign w:val="bottom"/>
          </w:tcPr>
          <w:p w14:paraId="6E6D4CFB"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p>
        </w:tc>
      </w:tr>
      <w:tr w:rsidR="0010523F" w:rsidRPr="0010523F" w14:paraId="5F83D14B" w14:textId="77777777" w:rsidTr="00774E7E">
        <w:tc>
          <w:tcPr>
            <w:tcW w:w="5593" w:type="dxa"/>
            <w:vAlign w:val="bottom"/>
          </w:tcPr>
          <w:p w14:paraId="1951CCDD" w14:textId="77777777" w:rsidR="0010523F" w:rsidRPr="0010523F" w:rsidRDefault="0010523F" w:rsidP="0010523F">
            <w:pPr>
              <w:spacing w:line="80" w:lineRule="exact"/>
              <w:rPr>
                <w:snapToGrid w:val="0"/>
                <w:color w:val="000000"/>
                <w:sz w:val="20"/>
                <w:szCs w:val="20"/>
                <w:lang w:val="es-AR" w:eastAsia="en-US"/>
              </w:rPr>
            </w:pPr>
          </w:p>
        </w:tc>
        <w:tc>
          <w:tcPr>
            <w:tcW w:w="1134" w:type="dxa"/>
            <w:vAlign w:val="bottom"/>
          </w:tcPr>
          <w:p w14:paraId="722CF70D" w14:textId="77777777" w:rsidR="0010523F" w:rsidRPr="0010523F" w:rsidRDefault="0010523F" w:rsidP="0010523F">
            <w:pPr>
              <w:spacing w:line="80" w:lineRule="exact"/>
              <w:rPr>
                <w:snapToGrid w:val="0"/>
                <w:color w:val="000000"/>
                <w:sz w:val="20"/>
                <w:szCs w:val="20"/>
                <w:lang w:val="es-AR" w:eastAsia="en-US"/>
              </w:rPr>
            </w:pPr>
          </w:p>
        </w:tc>
        <w:tc>
          <w:tcPr>
            <w:tcW w:w="1559" w:type="dxa"/>
            <w:vAlign w:val="bottom"/>
          </w:tcPr>
          <w:p w14:paraId="420E937A" w14:textId="77777777" w:rsidR="0010523F" w:rsidRPr="0010523F" w:rsidRDefault="0010523F" w:rsidP="0010523F">
            <w:pPr>
              <w:spacing w:line="80" w:lineRule="exact"/>
              <w:jc w:val="right"/>
              <w:rPr>
                <w:snapToGrid w:val="0"/>
                <w:color w:val="000000"/>
                <w:sz w:val="20"/>
                <w:szCs w:val="20"/>
                <w:lang w:val="es-AR" w:eastAsia="en-US"/>
              </w:rPr>
            </w:pPr>
          </w:p>
        </w:tc>
        <w:tc>
          <w:tcPr>
            <w:tcW w:w="1418" w:type="dxa"/>
            <w:vAlign w:val="bottom"/>
          </w:tcPr>
          <w:p w14:paraId="443C7C92" w14:textId="77777777" w:rsidR="0010523F" w:rsidRPr="0010523F" w:rsidRDefault="0010523F" w:rsidP="0010523F">
            <w:pPr>
              <w:spacing w:line="80" w:lineRule="exact"/>
              <w:jc w:val="right"/>
              <w:rPr>
                <w:snapToGrid w:val="0"/>
                <w:color w:val="000000"/>
                <w:sz w:val="20"/>
                <w:szCs w:val="20"/>
                <w:highlight w:val="yellow"/>
                <w:lang w:val="es-AR" w:eastAsia="en-US"/>
              </w:rPr>
            </w:pPr>
          </w:p>
        </w:tc>
      </w:tr>
      <w:tr w:rsidR="0010523F" w:rsidRPr="0010523F" w14:paraId="2DDCA34D" w14:textId="77777777" w:rsidTr="00774E7E">
        <w:tc>
          <w:tcPr>
            <w:tcW w:w="5593" w:type="dxa"/>
            <w:vAlign w:val="bottom"/>
          </w:tcPr>
          <w:p w14:paraId="5F01056F" w14:textId="77777777" w:rsidR="0010523F" w:rsidRPr="0010523F" w:rsidRDefault="0010523F" w:rsidP="0010523F">
            <w:pPr>
              <w:spacing w:line="200" w:lineRule="exact"/>
              <w:ind w:right="-116"/>
              <w:rPr>
                <w:snapToGrid w:val="0"/>
                <w:color w:val="000000"/>
                <w:sz w:val="20"/>
                <w:szCs w:val="20"/>
                <w:lang w:val="es-AR" w:eastAsia="en-US"/>
              </w:rPr>
            </w:pPr>
            <w:r w:rsidRPr="0010523F">
              <w:rPr>
                <w:snapToGrid w:val="0"/>
                <w:color w:val="000000"/>
                <w:sz w:val="20"/>
                <w:szCs w:val="20"/>
                <w:lang w:val="es-AR" w:eastAsia="en-US"/>
              </w:rPr>
              <w:t>Provisión para planes de beneficios y contribuciones definidos</w:t>
            </w:r>
          </w:p>
        </w:tc>
        <w:tc>
          <w:tcPr>
            <w:tcW w:w="1134" w:type="dxa"/>
            <w:vAlign w:val="bottom"/>
          </w:tcPr>
          <w:p w14:paraId="453A4F56"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6902722D"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874</w:t>
            </w:r>
          </w:p>
        </w:tc>
        <w:tc>
          <w:tcPr>
            <w:tcW w:w="1418" w:type="dxa"/>
            <w:vAlign w:val="bottom"/>
          </w:tcPr>
          <w:p w14:paraId="1DE323AF"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742</w:t>
            </w:r>
          </w:p>
        </w:tc>
      </w:tr>
      <w:tr w:rsidR="0010523F" w:rsidRPr="0010523F" w14:paraId="54F0C3F9" w14:textId="77777777" w:rsidTr="00774E7E">
        <w:tc>
          <w:tcPr>
            <w:tcW w:w="5593" w:type="dxa"/>
            <w:vAlign w:val="bottom"/>
          </w:tcPr>
          <w:p w14:paraId="047199B1" w14:textId="77777777" w:rsidR="0010523F" w:rsidRPr="0010523F" w:rsidRDefault="0010523F" w:rsidP="0010523F">
            <w:pPr>
              <w:spacing w:line="200" w:lineRule="exact"/>
              <w:ind w:right="-116"/>
              <w:rPr>
                <w:snapToGrid w:val="0"/>
                <w:color w:val="000000"/>
                <w:sz w:val="20"/>
                <w:szCs w:val="20"/>
                <w:lang w:val="es-AR" w:eastAsia="en-US"/>
              </w:rPr>
            </w:pPr>
            <w:r w:rsidRPr="0010523F">
              <w:rPr>
                <w:snapToGrid w:val="0"/>
                <w:color w:val="000000"/>
                <w:sz w:val="20"/>
                <w:szCs w:val="20"/>
                <w:lang w:val="es-AR" w:eastAsia="en-US"/>
              </w:rPr>
              <w:t xml:space="preserve">Provisiones </w:t>
            </w:r>
          </w:p>
        </w:tc>
        <w:tc>
          <w:tcPr>
            <w:tcW w:w="1134" w:type="dxa"/>
            <w:vAlign w:val="bottom"/>
          </w:tcPr>
          <w:p w14:paraId="1521D12D"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(Anexo E-2)</w:t>
            </w:r>
          </w:p>
        </w:tc>
        <w:tc>
          <w:tcPr>
            <w:tcW w:w="1559" w:type="dxa"/>
            <w:vAlign w:val="bottom"/>
          </w:tcPr>
          <w:p w14:paraId="4D6275D3"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24.256</w:t>
            </w:r>
          </w:p>
        </w:tc>
        <w:tc>
          <w:tcPr>
            <w:tcW w:w="1418" w:type="dxa"/>
            <w:vAlign w:val="bottom"/>
          </w:tcPr>
          <w:p w14:paraId="554F0E9F"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15.372</w:t>
            </w:r>
          </w:p>
        </w:tc>
      </w:tr>
      <w:tr w:rsidR="0010523F" w:rsidRPr="0010523F" w14:paraId="4691711B" w14:textId="77777777" w:rsidTr="00774E7E">
        <w:tc>
          <w:tcPr>
            <w:tcW w:w="5593" w:type="dxa"/>
            <w:vAlign w:val="bottom"/>
          </w:tcPr>
          <w:p w14:paraId="339B1BF9"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Pasivo neto por impuesto diferido</w:t>
            </w:r>
          </w:p>
        </w:tc>
        <w:tc>
          <w:tcPr>
            <w:tcW w:w="1134" w:type="dxa"/>
            <w:vAlign w:val="bottom"/>
          </w:tcPr>
          <w:p w14:paraId="608CE43D"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181CEEA0"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112.177</w:t>
            </w:r>
          </w:p>
        </w:tc>
        <w:tc>
          <w:tcPr>
            <w:tcW w:w="1418" w:type="dxa"/>
            <w:vAlign w:val="bottom"/>
          </w:tcPr>
          <w:p w14:paraId="28FB2A45"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68.641</w:t>
            </w:r>
          </w:p>
        </w:tc>
      </w:tr>
      <w:tr w:rsidR="0010523F" w:rsidRPr="0010523F" w14:paraId="3A7F7008" w14:textId="77777777" w:rsidTr="00774E7E">
        <w:tc>
          <w:tcPr>
            <w:tcW w:w="5593" w:type="dxa"/>
            <w:vAlign w:val="bottom"/>
          </w:tcPr>
          <w:p w14:paraId="54AD030E"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Obligaciones negociables</w:t>
            </w:r>
          </w:p>
        </w:tc>
        <w:tc>
          <w:tcPr>
            <w:tcW w:w="1134" w:type="dxa"/>
            <w:vAlign w:val="bottom"/>
          </w:tcPr>
          <w:p w14:paraId="0C5B1FA8"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(3.j)</w:t>
            </w:r>
          </w:p>
        </w:tc>
        <w:tc>
          <w:tcPr>
            <w:tcW w:w="1559" w:type="dxa"/>
            <w:vAlign w:val="bottom"/>
          </w:tcPr>
          <w:p w14:paraId="1EDA3544"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11.329</w:t>
            </w:r>
          </w:p>
        </w:tc>
        <w:tc>
          <w:tcPr>
            <w:tcW w:w="1418" w:type="dxa"/>
            <w:vAlign w:val="bottom"/>
          </w:tcPr>
          <w:p w14:paraId="343A4540"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14.810</w:t>
            </w:r>
          </w:p>
        </w:tc>
      </w:tr>
      <w:tr w:rsidR="0010523F" w:rsidRPr="0010523F" w14:paraId="434D4BD8" w14:textId="77777777" w:rsidTr="00774E7E">
        <w:tc>
          <w:tcPr>
            <w:tcW w:w="5593" w:type="dxa"/>
            <w:vAlign w:val="bottom"/>
          </w:tcPr>
          <w:p w14:paraId="45F9BD32"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Préstamos y otras deudas financieras</w:t>
            </w:r>
          </w:p>
        </w:tc>
        <w:tc>
          <w:tcPr>
            <w:tcW w:w="1134" w:type="dxa"/>
            <w:vAlign w:val="bottom"/>
          </w:tcPr>
          <w:p w14:paraId="18DBFC49"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(3.k)</w:t>
            </w:r>
          </w:p>
        </w:tc>
        <w:tc>
          <w:tcPr>
            <w:tcW w:w="1559" w:type="dxa"/>
            <w:vAlign w:val="bottom"/>
          </w:tcPr>
          <w:p w14:paraId="4A6A3D2F" w14:textId="77777777" w:rsidR="0010523F" w:rsidRPr="0010523F" w:rsidRDefault="0010523F" w:rsidP="0010523F">
            <w:pPr>
              <w:tabs>
                <w:tab w:val="decimal" w:pos="1236"/>
              </w:tabs>
              <w:spacing w:line="200" w:lineRule="exact"/>
              <w:jc w:val="right"/>
              <w:rPr>
                <w:snapToGrid w:val="0"/>
                <w:color w:val="000000"/>
                <w:sz w:val="20"/>
                <w:szCs w:val="20"/>
                <w:lang w:val="es-AR" w:eastAsia="en-US"/>
              </w:rPr>
            </w:pPr>
            <w:r w:rsidRPr="0010523F">
              <w:rPr>
                <w:snapToGrid w:val="0"/>
                <w:color w:val="000000"/>
                <w:sz w:val="20"/>
                <w:szCs w:val="20"/>
                <w:lang w:val="es-AR" w:eastAsia="en-US"/>
              </w:rPr>
              <w:t>59.435</w:t>
            </w:r>
          </w:p>
        </w:tc>
        <w:tc>
          <w:tcPr>
            <w:tcW w:w="1418" w:type="dxa"/>
            <w:vAlign w:val="bottom"/>
          </w:tcPr>
          <w:p w14:paraId="68BA048C"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42.017</w:t>
            </w:r>
          </w:p>
        </w:tc>
      </w:tr>
      <w:tr w:rsidR="0010523F" w:rsidRPr="0010523F" w14:paraId="2ABCB0CB" w14:textId="77777777" w:rsidTr="00774E7E">
        <w:tc>
          <w:tcPr>
            <w:tcW w:w="5593" w:type="dxa"/>
            <w:vAlign w:val="bottom"/>
          </w:tcPr>
          <w:p w14:paraId="07638745"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Cuentas por pagar</w:t>
            </w:r>
          </w:p>
        </w:tc>
        <w:tc>
          <w:tcPr>
            <w:tcW w:w="1134" w:type="dxa"/>
            <w:vAlign w:val="bottom"/>
          </w:tcPr>
          <w:p w14:paraId="104927D4"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(3.l)</w:t>
            </w:r>
          </w:p>
        </w:tc>
        <w:tc>
          <w:tcPr>
            <w:tcW w:w="1559" w:type="dxa"/>
            <w:vAlign w:val="bottom"/>
          </w:tcPr>
          <w:p w14:paraId="6189A79C" w14:textId="77777777" w:rsidR="0010523F" w:rsidRPr="0010523F" w:rsidRDefault="0010523F" w:rsidP="0010523F">
            <w:pPr>
              <w:tabs>
                <w:tab w:val="decimal" w:pos="1236"/>
              </w:tabs>
              <w:spacing w:line="20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1.684</w:t>
            </w:r>
          </w:p>
        </w:tc>
        <w:tc>
          <w:tcPr>
            <w:tcW w:w="1418" w:type="dxa"/>
            <w:vAlign w:val="bottom"/>
          </w:tcPr>
          <w:p w14:paraId="78F00354" w14:textId="77777777" w:rsidR="0010523F" w:rsidRPr="0010523F" w:rsidRDefault="0010523F" w:rsidP="0010523F">
            <w:pPr>
              <w:tabs>
                <w:tab w:val="decimal" w:pos="1236"/>
              </w:tabs>
              <w:spacing w:line="20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 xml:space="preserve">       384</w:t>
            </w:r>
          </w:p>
        </w:tc>
      </w:tr>
      <w:tr w:rsidR="0010523F" w:rsidRPr="0010523F" w14:paraId="610C9F83" w14:textId="77777777" w:rsidTr="00774E7E">
        <w:tc>
          <w:tcPr>
            <w:tcW w:w="5593" w:type="dxa"/>
            <w:vAlign w:val="bottom"/>
          </w:tcPr>
          <w:p w14:paraId="23D71837" w14:textId="77777777" w:rsidR="0010523F" w:rsidRPr="0010523F" w:rsidRDefault="0010523F" w:rsidP="0010523F">
            <w:pPr>
              <w:spacing w:line="60" w:lineRule="exact"/>
              <w:rPr>
                <w:snapToGrid w:val="0"/>
                <w:color w:val="000000"/>
                <w:sz w:val="20"/>
                <w:szCs w:val="20"/>
                <w:lang w:val="es-AR" w:eastAsia="en-US"/>
              </w:rPr>
            </w:pPr>
          </w:p>
        </w:tc>
        <w:tc>
          <w:tcPr>
            <w:tcW w:w="1134" w:type="dxa"/>
            <w:vAlign w:val="bottom"/>
          </w:tcPr>
          <w:p w14:paraId="0DC8BFDD" w14:textId="77777777" w:rsidR="0010523F" w:rsidRPr="0010523F" w:rsidRDefault="0010523F" w:rsidP="0010523F">
            <w:pPr>
              <w:spacing w:line="60" w:lineRule="exact"/>
              <w:ind w:left="-108"/>
              <w:jc w:val="center"/>
              <w:rPr>
                <w:snapToGrid w:val="0"/>
                <w:color w:val="000000"/>
                <w:sz w:val="20"/>
                <w:szCs w:val="20"/>
                <w:u w:val="single"/>
                <w:lang w:val="es-AR" w:eastAsia="en-US"/>
              </w:rPr>
            </w:pPr>
          </w:p>
        </w:tc>
        <w:tc>
          <w:tcPr>
            <w:tcW w:w="1559" w:type="dxa"/>
            <w:vAlign w:val="bottom"/>
          </w:tcPr>
          <w:p w14:paraId="69753881" w14:textId="77777777" w:rsidR="0010523F" w:rsidRPr="0010523F" w:rsidRDefault="0010523F" w:rsidP="0010523F">
            <w:pPr>
              <w:tabs>
                <w:tab w:val="decimal" w:pos="1236"/>
              </w:tabs>
              <w:spacing w:line="60" w:lineRule="exact"/>
              <w:ind w:left="-108"/>
              <w:jc w:val="right"/>
              <w:rPr>
                <w:snapToGrid w:val="0"/>
                <w:color w:val="000000"/>
                <w:sz w:val="20"/>
                <w:szCs w:val="20"/>
                <w:u w:val="single"/>
                <w:lang w:val="es-AR" w:eastAsia="en-US"/>
              </w:rPr>
            </w:pPr>
          </w:p>
        </w:tc>
        <w:tc>
          <w:tcPr>
            <w:tcW w:w="1418" w:type="dxa"/>
            <w:vAlign w:val="bottom"/>
          </w:tcPr>
          <w:p w14:paraId="5105A80B" w14:textId="77777777" w:rsidR="0010523F" w:rsidRPr="0010523F" w:rsidRDefault="0010523F" w:rsidP="0010523F">
            <w:pPr>
              <w:tabs>
                <w:tab w:val="decimal" w:pos="1236"/>
              </w:tabs>
              <w:spacing w:line="60" w:lineRule="exact"/>
              <w:ind w:left="-108"/>
              <w:jc w:val="right"/>
              <w:rPr>
                <w:snapToGrid w:val="0"/>
                <w:sz w:val="20"/>
                <w:szCs w:val="20"/>
                <w:highlight w:val="yellow"/>
                <w:u w:val="single"/>
                <w:lang w:val="es-AR" w:eastAsia="en-US"/>
              </w:rPr>
            </w:pPr>
          </w:p>
        </w:tc>
      </w:tr>
      <w:tr w:rsidR="0010523F" w:rsidRPr="0010523F" w14:paraId="7165748E" w14:textId="77777777" w:rsidTr="00774E7E">
        <w:tc>
          <w:tcPr>
            <w:tcW w:w="5593" w:type="dxa"/>
            <w:vAlign w:val="bottom"/>
          </w:tcPr>
          <w:p w14:paraId="3C50458C" w14:textId="77777777" w:rsidR="0010523F" w:rsidRPr="0010523F" w:rsidRDefault="0010523F" w:rsidP="0010523F">
            <w:pPr>
              <w:spacing w:line="220" w:lineRule="exact"/>
              <w:rPr>
                <w:snapToGrid w:val="0"/>
                <w:color w:val="000000"/>
                <w:sz w:val="20"/>
                <w:szCs w:val="20"/>
                <w:lang w:val="es-AR" w:eastAsia="en-US"/>
              </w:rPr>
            </w:pPr>
            <w:r w:rsidRPr="0010523F">
              <w:rPr>
                <w:snapToGrid w:val="0"/>
                <w:color w:val="000000"/>
                <w:sz w:val="20"/>
                <w:szCs w:val="20"/>
                <w:lang w:val="es-AR" w:eastAsia="en-US"/>
              </w:rPr>
              <w:t xml:space="preserve">   Total del pasivo no corriente</w:t>
            </w:r>
          </w:p>
        </w:tc>
        <w:tc>
          <w:tcPr>
            <w:tcW w:w="1134" w:type="dxa"/>
            <w:vAlign w:val="bottom"/>
          </w:tcPr>
          <w:p w14:paraId="6E88E758" w14:textId="77777777" w:rsidR="0010523F" w:rsidRPr="0010523F" w:rsidRDefault="0010523F" w:rsidP="0010523F">
            <w:pPr>
              <w:spacing w:line="220" w:lineRule="exact"/>
              <w:ind w:left="-108"/>
              <w:jc w:val="center"/>
              <w:rPr>
                <w:snapToGrid w:val="0"/>
                <w:color w:val="000000"/>
                <w:sz w:val="20"/>
                <w:szCs w:val="20"/>
                <w:u w:val="double"/>
                <w:lang w:val="es-AR" w:eastAsia="en-US"/>
              </w:rPr>
            </w:pPr>
          </w:p>
        </w:tc>
        <w:tc>
          <w:tcPr>
            <w:tcW w:w="1559" w:type="dxa"/>
            <w:vAlign w:val="bottom"/>
          </w:tcPr>
          <w:p w14:paraId="152012DB" w14:textId="77777777" w:rsidR="0010523F" w:rsidRPr="0010523F" w:rsidRDefault="0010523F" w:rsidP="0010523F">
            <w:pPr>
              <w:tabs>
                <w:tab w:val="decimal" w:pos="1236"/>
              </w:tabs>
              <w:spacing w:line="22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209.755</w:t>
            </w:r>
          </w:p>
        </w:tc>
        <w:tc>
          <w:tcPr>
            <w:tcW w:w="1418" w:type="dxa"/>
            <w:vAlign w:val="bottom"/>
          </w:tcPr>
          <w:p w14:paraId="0A802704" w14:textId="77777777" w:rsidR="0010523F" w:rsidRPr="0010523F" w:rsidRDefault="0010523F" w:rsidP="0010523F">
            <w:pPr>
              <w:tabs>
                <w:tab w:val="decimal" w:pos="1236"/>
              </w:tabs>
              <w:spacing w:line="22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141.966</w:t>
            </w:r>
          </w:p>
        </w:tc>
      </w:tr>
      <w:tr w:rsidR="0010523F" w:rsidRPr="0010523F" w14:paraId="177551C2" w14:textId="77777777" w:rsidTr="00774E7E">
        <w:tc>
          <w:tcPr>
            <w:tcW w:w="5593" w:type="dxa"/>
            <w:vAlign w:val="bottom"/>
          </w:tcPr>
          <w:p w14:paraId="5C355CF3" w14:textId="77777777" w:rsidR="0010523F" w:rsidRPr="0010523F" w:rsidRDefault="0010523F" w:rsidP="0010523F">
            <w:pPr>
              <w:spacing w:line="80" w:lineRule="exact"/>
              <w:rPr>
                <w:snapToGrid w:val="0"/>
                <w:color w:val="000000"/>
                <w:sz w:val="20"/>
                <w:szCs w:val="20"/>
                <w:lang w:val="es-AR" w:eastAsia="en-US"/>
              </w:rPr>
            </w:pPr>
          </w:p>
        </w:tc>
        <w:tc>
          <w:tcPr>
            <w:tcW w:w="1134" w:type="dxa"/>
            <w:vAlign w:val="bottom"/>
          </w:tcPr>
          <w:p w14:paraId="063BCFBD" w14:textId="77777777" w:rsidR="0010523F" w:rsidRPr="0010523F" w:rsidRDefault="0010523F" w:rsidP="0010523F">
            <w:pPr>
              <w:spacing w:line="80" w:lineRule="exact"/>
              <w:jc w:val="center"/>
              <w:rPr>
                <w:snapToGrid w:val="0"/>
                <w:color w:val="000000"/>
                <w:sz w:val="20"/>
                <w:szCs w:val="20"/>
                <w:lang w:val="es-AR" w:eastAsia="en-US"/>
              </w:rPr>
            </w:pPr>
          </w:p>
        </w:tc>
        <w:tc>
          <w:tcPr>
            <w:tcW w:w="1559" w:type="dxa"/>
            <w:vAlign w:val="bottom"/>
          </w:tcPr>
          <w:p w14:paraId="3F9D49FF" w14:textId="77777777" w:rsidR="0010523F" w:rsidRPr="0010523F" w:rsidRDefault="0010523F" w:rsidP="0010523F">
            <w:pPr>
              <w:tabs>
                <w:tab w:val="decimal" w:pos="1236"/>
              </w:tabs>
              <w:spacing w:line="80" w:lineRule="exact"/>
              <w:jc w:val="right"/>
              <w:rPr>
                <w:snapToGrid w:val="0"/>
                <w:color w:val="000000"/>
                <w:sz w:val="20"/>
                <w:szCs w:val="20"/>
                <w:lang w:val="es-AR" w:eastAsia="en-US"/>
              </w:rPr>
            </w:pPr>
          </w:p>
        </w:tc>
        <w:tc>
          <w:tcPr>
            <w:tcW w:w="1418" w:type="dxa"/>
            <w:vAlign w:val="bottom"/>
          </w:tcPr>
          <w:p w14:paraId="102C884B" w14:textId="77777777" w:rsidR="0010523F" w:rsidRPr="0010523F" w:rsidRDefault="0010523F" w:rsidP="0010523F">
            <w:pPr>
              <w:tabs>
                <w:tab w:val="decimal" w:pos="1236"/>
              </w:tabs>
              <w:spacing w:line="80" w:lineRule="exact"/>
              <w:jc w:val="right"/>
              <w:rPr>
                <w:snapToGrid w:val="0"/>
                <w:sz w:val="20"/>
                <w:szCs w:val="20"/>
                <w:highlight w:val="yellow"/>
                <w:lang w:val="es-AR" w:eastAsia="en-US"/>
              </w:rPr>
            </w:pPr>
          </w:p>
        </w:tc>
      </w:tr>
      <w:tr w:rsidR="0010523F" w:rsidRPr="0010523F" w14:paraId="3BBEA5FA" w14:textId="77777777" w:rsidTr="00774E7E">
        <w:tc>
          <w:tcPr>
            <w:tcW w:w="5593" w:type="dxa"/>
            <w:vAlign w:val="bottom"/>
          </w:tcPr>
          <w:p w14:paraId="0ACE2EE9"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PASIVO CORRIENTE</w:t>
            </w:r>
          </w:p>
        </w:tc>
        <w:tc>
          <w:tcPr>
            <w:tcW w:w="1134" w:type="dxa"/>
            <w:vAlign w:val="bottom"/>
          </w:tcPr>
          <w:p w14:paraId="22EA534C"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128A5C5C"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p>
        </w:tc>
        <w:tc>
          <w:tcPr>
            <w:tcW w:w="1418" w:type="dxa"/>
            <w:vAlign w:val="bottom"/>
          </w:tcPr>
          <w:p w14:paraId="6105EF6A"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p>
        </w:tc>
      </w:tr>
      <w:tr w:rsidR="0010523F" w:rsidRPr="0010523F" w14:paraId="0E2CF426" w14:textId="77777777" w:rsidTr="00774E7E">
        <w:tc>
          <w:tcPr>
            <w:tcW w:w="5593" w:type="dxa"/>
            <w:vAlign w:val="bottom"/>
          </w:tcPr>
          <w:p w14:paraId="1BF233F3" w14:textId="77777777" w:rsidR="0010523F" w:rsidRPr="0010523F" w:rsidRDefault="0010523F" w:rsidP="0010523F">
            <w:pPr>
              <w:spacing w:line="80" w:lineRule="exact"/>
              <w:rPr>
                <w:snapToGrid w:val="0"/>
                <w:color w:val="000000"/>
                <w:sz w:val="20"/>
                <w:szCs w:val="20"/>
                <w:lang w:val="es-AR" w:eastAsia="en-US"/>
              </w:rPr>
            </w:pPr>
          </w:p>
        </w:tc>
        <w:tc>
          <w:tcPr>
            <w:tcW w:w="1134" w:type="dxa"/>
            <w:vAlign w:val="bottom"/>
          </w:tcPr>
          <w:p w14:paraId="35BFB9BC" w14:textId="77777777" w:rsidR="0010523F" w:rsidRPr="0010523F" w:rsidRDefault="0010523F" w:rsidP="0010523F">
            <w:pPr>
              <w:spacing w:line="80" w:lineRule="exact"/>
              <w:rPr>
                <w:snapToGrid w:val="0"/>
                <w:color w:val="000000"/>
                <w:sz w:val="20"/>
                <w:szCs w:val="20"/>
                <w:lang w:val="es-AR" w:eastAsia="en-US"/>
              </w:rPr>
            </w:pPr>
          </w:p>
        </w:tc>
        <w:tc>
          <w:tcPr>
            <w:tcW w:w="1559" w:type="dxa"/>
            <w:vAlign w:val="bottom"/>
          </w:tcPr>
          <w:p w14:paraId="17452D94" w14:textId="77777777" w:rsidR="0010523F" w:rsidRPr="0010523F" w:rsidRDefault="0010523F" w:rsidP="0010523F">
            <w:pPr>
              <w:spacing w:line="80" w:lineRule="exact"/>
              <w:jc w:val="right"/>
              <w:rPr>
                <w:snapToGrid w:val="0"/>
                <w:color w:val="000000"/>
                <w:sz w:val="20"/>
                <w:szCs w:val="20"/>
                <w:lang w:val="es-AR" w:eastAsia="en-US"/>
              </w:rPr>
            </w:pPr>
          </w:p>
        </w:tc>
        <w:tc>
          <w:tcPr>
            <w:tcW w:w="1418" w:type="dxa"/>
            <w:vAlign w:val="bottom"/>
          </w:tcPr>
          <w:p w14:paraId="53F236CB" w14:textId="77777777" w:rsidR="0010523F" w:rsidRPr="0010523F" w:rsidRDefault="0010523F" w:rsidP="0010523F">
            <w:pPr>
              <w:spacing w:line="80" w:lineRule="exact"/>
              <w:jc w:val="right"/>
              <w:rPr>
                <w:snapToGrid w:val="0"/>
                <w:color w:val="000000"/>
                <w:sz w:val="20"/>
                <w:szCs w:val="20"/>
                <w:highlight w:val="yellow"/>
                <w:lang w:val="es-AR" w:eastAsia="en-US"/>
              </w:rPr>
            </w:pPr>
          </w:p>
        </w:tc>
      </w:tr>
      <w:tr w:rsidR="0010523F" w:rsidRPr="0010523F" w14:paraId="16D564FB" w14:textId="77777777" w:rsidTr="00774E7E">
        <w:tc>
          <w:tcPr>
            <w:tcW w:w="5593" w:type="dxa"/>
            <w:vAlign w:val="bottom"/>
          </w:tcPr>
          <w:p w14:paraId="6D9F0695" w14:textId="77777777" w:rsidR="0010523F" w:rsidRPr="0010523F" w:rsidRDefault="0010523F" w:rsidP="0010523F">
            <w:pPr>
              <w:spacing w:line="200" w:lineRule="exact"/>
              <w:ind w:right="-116"/>
              <w:rPr>
                <w:snapToGrid w:val="0"/>
                <w:color w:val="000000"/>
                <w:sz w:val="20"/>
                <w:szCs w:val="20"/>
                <w:lang w:val="es-AR" w:eastAsia="en-US"/>
              </w:rPr>
            </w:pPr>
            <w:r w:rsidRPr="0010523F">
              <w:rPr>
                <w:snapToGrid w:val="0"/>
                <w:color w:val="000000"/>
                <w:sz w:val="20"/>
                <w:szCs w:val="20"/>
                <w:lang w:val="es-AR" w:eastAsia="en-US"/>
              </w:rPr>
              <w:t>Provisión para planes de beneficios y contribuciones definidos</w:t>
            </w:r>
          </w:p>
        </w:tc>
        <w:tc>
          <w:tcPr>
            <w:tcW w:w="1134" w:type="dxa"/>
            <w:vAlign w:val="bottom"/>
          </w:tcPr>
          <w:p w14:paraId="08CC657D"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245E1A7E"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514</w:t>
            </w:r>
          </w:p>
        </w:tc>
        <w:tc>
          <w:tcPr>
            <w:tcW w:w="1418" w:type="dxa"/>
            <w:vAlign w:val="bottom"/>
          </w:tcPr>
          <w:p w14:paraId="492B2273"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443</w:t>
            </w:r>
          </w:p>
        </w:tc>
      </w:tr>
      <w:tr w:rsidR="0010523F" w:rsidRPr="0010523F" w14:paraId="11973591" w14:textId="77777777" w:rsidTr="00774E7E">
        <w:tc>
          <w:tcPr>
            <w:tcW w:w="5593" w:type="dxa"/>
            <w:vAlign w:val="bottom"/>
          </w:tcPr>
          <w:p w14:paraId="138FA470"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 xml:space="preserve">Provisiones </w:t>
            </w:r>
          </w:p>
        </w:tc>
        <w:tc>
          <w:tcPr>
            <w:tcW w:w="1134" w:type="dxa"/>
            <w:vAlign w:val="bottom"/>
          </w:tcPr>
          <w:p w14:paraId="08A41975"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(Anexo E-2)</w:t>
            </w:r>
          </w:p>
        </w:tc>
        <w:tc>
          <w:tcPr>
            <w:tcW w:w="1559" w:type="dxa"/>
            <w:vAlign w:val="bottom"/>
          </w:tcPr>
          <w:p w14:paraId="1A715CE5"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3</w:t>
            </w:r>
          </w:p>
        </w:tc>
        <w:tc>
          <w:tcPr>
            <w:tcW w:w="1418" w:type="dxa"/>
            <w:vAlign w:val="bottom"/>
          </w:tcPr>
          <w:p w14:paraId="0A058A4C"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975</w:t>
            </w:r>
          </w:p>
        </w:tc>
      </w:tr>
      <w:tr w:rsidR="0010523F" w:rsidRPr="0010523F" w14:paraId="2902818D" w14:textId="77777777" w:rsidTr="00774E7E">
        <w:tc>
          <w:tcPr>
            <w:tcW w:w="5593" w:type="dxa"/>
            <w:vAlign w:val="bottom"/>
          </w:tcPr>
          <w:p w14:paraId="70EEB8BD"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Deudas fiscales - Impuesto a las ganancias</w:t>
            </w:r>
          </w:p>
        </w:tc>
        <w:tc>
          <w:tcPr>
            <w:tcW w:w="1134" w:type="dxa"/>
            <w:vAlign w:val="bottom"/>
          </w:tcPr>
          <w:p w14:paraId="11322C4A"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4CD9CFA6"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3.445</w:t>
            </w:r>
          </w:p>
        </w:tc>
        <w:tc>
          <w:tcPr>
            <w:tcW w:w="1418" w:type="dxa"/>
            <w:vAlign w:val="bottom"/>
          </w:tcPr>
          <w:p w14:paraId="5AFFF90E"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w:t>
            </w:r>
          </w:p>
        </w:tc>
      </w:tr>
      <w:tr w:rsidR="0010523F" w:rsidRPr="0010523F" w14:paraId="219B996B" w14:textId="77777777" w:rsidTr="00774E7E">
        <w:tc>
          <w:tcPr>
            <w:tcW w:w="5593" w:type="dxa"/>
            <w:vAlign w:val="bottom"/>
          </w:tcPr>
          <w:p w14:paraId="6030D48A"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 xml:space="preserve">Otras deudas fiscales </w:t>
            </w:r>
          </w:p>
        </w:tc>
        <w:tc>
          <w:tcPr>
            <w:tcW w:w="1134" w:type="dxa"/>
            <w:vAlign w:val="bottom"/>
          </w:tcPr>
          <w:p w14:paraId="4C569590"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(3.i)</w:t>
            </w:r>
          </w:p>
        </w:tc>
        <w:tc>
          <w:tcPr>
            <w:tcW w:w="1559" w:type="dxa"/>
            <w:vAlign w:val="bottom"/>
          </w:tcPr>
          <w:p w14:paraId="30B49094"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4.285</w:t>
            </w:r>
          </w:p>
        </w:tc>
        <w:tc>
          <w:tcPr>
            <w:tcW w:w="1418" w:type="dxa"/>
            <w:vAlign w:val="bottom"/>
          </w:tcPr>
          <w:p w14:paraId="1A1B3A63"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3.188</w:t>
            </w:r>
          </w:p>
        </w:tc>
      </w:tr>
      <w:tr w:rsidR="0010523F" w:rsidRPr="0010523F" w14:paraId="7596CA24" w14:textId="77777777" w:rsidTr="00774E7E">
        <w:tc>
          <w:tcPr>
            <w:tcW w:w="5593" w:type="dxa"/>
            <w:vAlign w:val="bottom"/>
          </w:tcPr>
          <w:p w14:paraId="69597336"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Remuneraciones y cargas sociales</w:t>
            </w:r>
          </w:p>
        </w:tc>
        <w:tc>
          <w:tcPr>
            <w:tcW w:w="1134" w:type="dxa"/>
            <w:vAlign w:val="bottom"/>
          </w:tcPr>
          <w:p w14:paraId="27A5DA8D" w14:textId="77777777" w:rsidR="0010523F" w:rsidRPr="0010523F" w:rsidRDefault="0010523F" w:rsidP="0010523F">
            <w:pPr>
              <w:spacing w:line="200" w:lineRule="exact"/>
              <w:ind w:left="-108"/>
              <w:jc w:val="center"/>
              <w:rPr>
                <w:snapToGrid w:val="0"/>
                <w:color w:val="000000"/>
                <w:sz w:val="20"/>
                <w:szCs w:val="20"/>
                <w:lang w:val="es-AR" w:eastAsia="en-US"/>
              </w:rPr>
            </w:pPr>
          </w:p>
        </w:tc>
        <w:tc>
          <w:tcPr>
            <w:tcW w:w="1559" w:type="dxa"/>
            <w:vAlign w:val="bottom"/>
          </w:tcPr>
          <w:p w14:paraId="20BE1756"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3.589</w:t>
            </w:r>
          </w:p>
        </w:tc>
        <w:tc>
          <w:tcPr>
            <w:tcW w:w="1418" w:type="dxa"/>
            <w:vAlign w:val="bottom"/>
          </w:tcPr>
          <w:p w14:paraId="3791F5FD"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2.991</w:t>
            </w:r>
          </w:p>
        </w:tc>
      </w:tr>
      <w:tr w:rsidR="0010523F" w:rsidRPr="0010523F" w14:paraId="50488C6C" w14:textId="77777777" w:rsidTr="00774E7E">
        <w:tc>
          <w:tcPr>
            <w:tcW w:w="5593" w:type="dxa"/>
            <w:vAlign w:val="bottom"/>
          </w:tcPr>
          <w:p w14:paraId="34D5C21D"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Obligaciones negociables</w:t>
            </w:r>
          </w:p>
        </w:tc>
        <w:tc>
          <w:tcPr>
            <w:tcW w:w="1134" w:type="dxa"/>
            <w:vAlign w:val="bottom"/>
          </w:tcPr>
          <w:p w14:paraId="07848FE8"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(3.j)</w:t>
            </w:r>
          </w:p>
        </w:tc>
        <w:tc>
          <w:tcPr>
            <w:tcW w:w="1559" w:type="dxa"/>
            <w:vAlign w:val="bottom"/>
          </w:tcPr>
          <w:p w14:paraId="039161B2"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10.637</w:t>
            </w:r>
          </w:p>
        </w:tc>
        <w:tc>
          <w:tcPr>
            <w:tcW w:w="1418" w:type="dxa"/>
            <w:vAlign w:val="bottom"/>
          </w:tcPr>
          <w:p w14:paraId="7B5D95CB"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6.588</w:t>
            </w:r>
          </w:p>
        </w:tc>
      </w:tr>
      <w:tr w:rsidR="0010523F" w:rsidRPr="0010523F" w14:paraId="7D67119F" w14:textId="77777777" w:rsidTr="00774E7E">
        <w:tc>
          <w:tcPr>
            <w:tcW w:w="5593" w:type="dxa"/>
            <w:vAlign w:val="bottom"/>
          </w:tcPr>
          <w:p w14:paraId="0A3FF8DC"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Préstamos y otras deudas financieras</w:t>
            </w:r>
          </w:p>
        </w:tc>
        <w:tc>
          <w:tcPr>
            <w:tcW w:w="1134" w:type="dxa"/>
            <w:vAlign w:val="bottom"/>
          </w:tcPr>
          <w:p w14:paraId="533AB96E"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(3.k)</w:t>
            </w:r>
          </w:p>
        </w:tc>
        <w:tc>
          <w:tcPr>
            <w:tcW w:w="1559" w:type="dxa"/>
            <w:vAlign w:val="bottom"/>
          </w:tcPr>
          <w:p w14:paraId="0EE8A2EE"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48.270</w:t>
            </w:r>
          </w:p>
        </w:tc>
        <w:tc>
          <w:tcPr>
            <w:tcW w:w="1418" w:type="dxa"/>
            <w:vAlign w:val="bottom"/>
          </w:tcPr>
          <w:p w14:paraId="0DBF4281"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26.366</w:t>
            </w:r>
          </w:p>
        </w:tc>
      </w:tr>
      <w:tr w:rsidR="0010523F" w:rsidRPr="0010523F" w14:paraId="6FEF5EC1" w14:textId="77777777" w:rsidTr="00774E7E">
        <w:tc>
          <w:tcPr>
            <w:tcW w:w="5593" w:type="dxa"/>
            <w:vAlign w:val="bottom"/>
          </w:tcPr>
          <w:p w14:paraId="761BFAE4"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Pasivos de contratos</w:t>
            </w:r>
          </w:p>
        </w:tc>
        <w:tc>
          <w:tcPr>
            <w:tcW w:w="1134" w:type="dxa"/>
            <w:vAlign w:val="bottom"/>
          </w:tcPr>
          <w:p w14:paraId="2A750007"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(4.a.3)</w:t>
            </w:r>
          </w:p>
        </w:tc>
        <w:tc>
          <w:tcPr>
            <w:tcW w:w="1559" w:type="dxa"/>
            <w:vAlign w:val="bottom"/>
          </w:tcPr>
          <w:p w14:paraId="658EE87A" w14:textId="77777777" w:rsidR="0010523F" w:rsidRPr="0010523F" w:rsidRDefault="0010523F" w:rsidP="0010523F">
            <w:pPr>
              <w:tabs>
                <w:tab w:val="decimal" w:pos="1236"/>
              </w:tabs>
              <w:spacing w:line="200" w:lineRule="exact"/>
              <w:ind w:left="-108"/>
              <w:jc w:val="right"/>
              <w:rPr>
                <w:snapToGrid w:val="0"/>
                <w:color w:val="000000"/>
                <w:sz w:val="20"/>
                <w:szCs w:val="20"/>
                <w:lang w:val="es-AR" w:eastAsia="en-US"/>
              </w:rPr>
            </w:pPr>
            <w:r w:rsidRPr="0010523F">
              <w:rPr>
                <w:snapToGrid w:val="0"/>
                <w:color w:val="000000"/>
                <w:sz w:val="20"/>
                <w:szCs w:val="20"/>
                <w:lang w:val="es-AR" w:eastAsia="en-US"/>
              </w:rPr>
              <w:t>680</w:t>
            </w:r>
          </w:p>
        </w:tc>
        <w:tc>
          <w:tcPr>
            <w:tcW w:w="1418" w:type="dxa"/>
            <w:vAlign w:val="bottom"/>
          </w:tcPr>
          <w:p w14:paraId="36798BA7" w14:textId="77777777" w:rsidR="0010523F" w:rsidRPr="0010523F" w:rsidRDefault="0010523F" w:rsidP="0010523F">
            <w:pPr>
              <w:tabs>
                <w:tab w:val="decimal" w:pos="1236"/>
              </w:tabs>
              <w:spacing w:line="200" w:lineRule="exact"/>
              <w:ind w:left="-108"/>
              <w:jc w:val="right"/>
              <w:rPr>
                <w:snapToGrid w:val="0"/>
                <w:sz w:val="20"/>
                <w:szCs w:val="20"/>
                <w:highlight w:val="yellow"/>
                <w:lang w:val="es-AR" w:eastAsia="en-US"/>
              </w:rPr>
            </w:pPr>
            <w:r w:rsidRPr="0010523F">
              <w:rPr>
                <w:snapToGrid w:val="0"/>
                <w:color w:val="000000"/>
                <w:sz w:val="20"/>
                <w:szCs w:val="20"/>
                <w:lang w:val="es-AR" w:eastAsia="en-US"/>
              </w:rPr>
              <w:t>723</w:t>
            </w:r>
          </w:p>
        </w:tc>
      </w:tr>
      <w:tr w:rsidR="0010523F" w:rsidRPr="0010523F" w14:paraId="607DFB08" w14:textId="77777777" w:rsidTr="00774E7E">
        <w:tc>
          <w:tcPr>
            <w:tcW w:w="5593" w:type="dxa"/>
            <w:vAlign w:val="bottom"/>
          </w:tcPr>
          <w:p w14:paraId="4D131131"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Cuentas por pagar</w:t>
            </w:r>
          </w:p>
        </w:tc>
        <w:tc>
          <w:tcPr>
            <w:tcW w:w="1134" w:type="dxa"/>
            <w:vAlign w:val="bottom"/>
          </w:tcPr>
          <w:p w14:paraId="6F876109" w14:textId="77777777" w:rsidR="0010523F" w:rsidRPr="0010523F" w:rsidRDefault="0010523F" w:rsidP="0010523F">
            <w:pPr>
              <w:spacing w:line="200" w:lineRule="exact"/>
              <w:ind w:left="-108"/>
              <w:jc w:val="center"/>
              <w:rPr>
                <w:snapToGrid w:val="0"/>
                <w:color w:val="000000"/>
                <w:sz w:val="20"/>
                <w:szCs w:val="20"/>
                <w:lang w:val="es-AR" w:eastAsia="en-US"/>
              </w:rPr>
            </w:pPr>
            <w:r w:rsidRPr="0010523F">
              <w:rPr>
                <w:snapToGrid w:val="0"/>
                <w:color w:val="000000"/>
                <w:sz w:val="20"/>
                <w:szCs w:val="20"/>
                <w:lang w:val="es-AR" w:eastAsia="en-US"/>
              </w:rPr>
              <w:t>(3.l)</w:t>
            </w:r>
          </w:p>
        </w:tc>
        <w:tc>
          <w:tcPr>
            <w:tcW w:w="1559" w:type="dxa"/>
            <w:vAlign w:val="bottom"/>
          </w:tcPr>
          <w:p w14:paraId="37A2871D" w14:textId="77777777" w:rsidR="0010523F" w:rsidRPr="0010523F" w:rsidRDefault="0010523F" w:rsidP="0010523F">
            <w:pPr>
              <w:tabs>
                <w:tab w:val="decimal" w:pos="1236"/>
              </w:tabs>
              <w:spacing w:line="20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28.681</w:t>
            </w:r>
          </w:p>
        </w:tc>
        <w:tc>
          <w:tcPr>
            <w:tcW w:w="1418" w:type="dxa"/>
            <w:vAlign w:val="bottom"/>
          </w:tcPr>
          <w:p w14:paraId="71262C4A" w14:textId="77777777" w:rsidR="0010523F" w:rsidRPr="0010523F" w:rsidRDefault="0010523F" w:rsidP="0010523F">
            <w:pPr>
              <w:tabs>
                <w:tab w:val="decimal" w:pos="1236"/>
              </w:tabs>
              <w:spacing w:line="20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 xml:space="preserve">  22.244</w:t>
            </w:r>
          </w:p>
        </w:tc>
      </w:tr>
      <w:tr w:rsidR="0010523F" w:rsidRPr="0010523F" w14:paraId="1C139225" w14:textId="77777777" w:rsidTr="00774E7E">
        <w:tc>
          <w:tcPr>
            <w:tcW w:w="5593" w:type="dxa"/>
            <w:vAlign w:val="bottom"/>
          </w:tcPr>
          <w:p w14:paraId="5C144E53" w14:textId="77777777" w:rsidR="0010523F" w:rsidRPr="0010523F" w:rsidRDefault="0010523F" w:rsidP="0010523F">
            <w:pPr>
              <w:spacing w:line="60" w:lineRule="exact"/>
              <w:rPr>
                <w:snapToGrid w:val="0"/>
                <w:color w:val="000000"/>
                <w:sz w:val="20"/>
                <w:szCs w:val="20"/>
                <w:lang w:val="es-AR" w:eastAsia="en-US"/>
              </w:rPr>
            </w:pPr>
          </w:p>
        </w:tc>
        <w:tc>
          <w:tcPr>
            <w:tcW w:w="1134" w:type="dxa"/>
            <w:vAlign w:val="bottom"/>
          </w:tcPr>
          <w:p w14:paraId="120DBFFD" w14:textId="77777777" w:rsidR="0010523F" w:rsidRPr="0010523F" w:rsidRDefault="0010523F" w:rsidP="0010523F">
            <w:pPr>
              <w:spacing w:line="60" w:lineRule="exact"/>
              <w:ind w:left="-108"/>
              <w:jc w:val="center"/>
              <w:rPr>
                <w:snapToGrid w:val="0"/>
                <w:color w:val="000000"/>
                <w:sz w:val="20"/>
                <w:szCs w:val="20"/>
                <w:lang w:val="es-AR" w:eastAsia="en-US"/>
              </w:rPr>
            </w:pPr>
          </w:p>
        </w:tc>
        <w:tc>
          <w:tcPr>
            <w:tcW w:w="1559" w:type="dxa"/>
            <w:vAlign w:val="bottom"/>
          </w:tcPr>
          <w:p w14:paraId="348B0DB9" w14:textId="77777777" w:rsidR="0010523F" w:rsidRPr="0010523F" w:rsidRDefault="0010523F" w:rsidP="0010523F">
            <w:pPr>
              <w:tabs>
                <w:tab w:val="decimal" w:pos="1236"/>
              </w:tabs>
              <w:spacing w:line="60" w:lineRule="exact"/>
              <w:ind w:left="-108"/>
              <w:jc w:val="right"/>
              <w:rPr>
                <w:snapToGrid w:val="0"/>
                <w:color w:val="000000"/>
                <w:sz w:val="20"/>
                <w:szCs w:val="20"/>
                <w:u w:val="single"/>
                <w:lang w:val="es-AR" w:eastAsia="en-US"/>
              </w:rPr>
            </w:pPr>
          </w:p>
        </w:tc>
        <w:tc>
          <w:tcPr>
            <w:tcW w:w="1418" w:type="dxa"/>
            <w:vAlign w:val="bottom"/>
          </w:tcPr>
          <w:p w14:paraId="559A509E" w14:textId="77777777" w:rsidR="0010523F" w:rsidRPr="0010523F" w:rsidRDefault="0010523F" w:rsidP="0010523F">
            <w:pPr>
              <w:tabs>
                <w:tab w:val="decimal" w:pos="1236"/>
              </w:tabs>
              <w:spacing w:line="60" w:lineRule="exact"/>
              <w:ind w:left="-108"/>
              <w:jc w:val="right"/>
              <w:rPr>
                <w:snapToGrid w:val="0"/>
                <w:sz w:val="20"/>
                <w:szCs w:val="20"/>
                <w:highlight w:val="yellow"/>
                <w:u w:val="single"/>
                <w:lang w:val="es-AR" w:eastAsia="en-US"/>
              </w:rPr>
            </w:pPr>
          </w:p>
        </w:tc>
      </w:tr>
      <w:tr w:rsidR="0010523F" w:rsidRPr="0010523F" w14:paraId="4BDBFED7" w14:textId="77777777" w:rsidTr="00774E7E">
        <w:tc>
          <w:tcPr>
            <w:tcW w:w="5593" w:type="dxa"/>
            <w:vAlign w:val="bottom"/>
          </w:tcPr>
          <w:p w14:paraId="35DA59A1" w14:textId="77777777" w:rsidR="0010523F" w:rsidRPr="0010523F" w:rsidRDefault="0010523F" w:rsidP="0010523F">
            <w:pPr>
              <w:tabs>
                <w:tab w:val="decimal" w:pos="7655"/>
                <w:tab w:val="decimal" w:pos="9498"/>
              </w:tabs>
              <w:spacing w:line="220" w:lineRule="exact"/>
              <w:jc w:val="both"/>
              <w:rPr>
                <w:snapToGrid w:val="0"/>
                <w:color w:val="000000"/>
                <w:sz w:val="20"/>
                <w:szCs w:val="20"/>
                <w:lang w:val="es-AR" w:eastAsia="en-US"/>
              </w:rPr>
            </w:pPr>
            <w:r w:rsidRPr="0010523F">
              <w:rPr>
                <w:snapToGrid w:val="0"/>
                <w:color w:val="000000"/>
                <w:sz w:val="20"/>
                <w:szCs w:val="20"/>
                <w:lang w:val="es-AR" w:eastAsia="en-US"/>
              </w:rPr>
              <w:t xml:space="preserve">   Total del pasivo corriente</w:t>
            </w:r>
          </w:p>
        </w:tc>
        <w:tc>
          <w:tcPr>
            <w:tcW w:w="1134" w:type="dxa"/>
            <w:vAlign w:val="bottom"/>
          </w:tcPr>
          <w:p w14:paraId="14AD3435" w14:textId="77777777" w:rsidR="0010523F" w:rsidRPr="0010523F" w:rsidRDefault="0010523F" w:rsidP="0010523F">
            <w:pPr>
              <w:spacing w:line="220" w:lineRule="exact"/>
              <w:ind w:left="-108"/>
              <w:jc w:val="center"/>
              <w:rPr>
                <w:snapToGrid w:val="0"/>
                <w:color w:val="000000"/>
                <w:sz w:val="20"/>
                <w:szCs w:val="20"/>
                <w:u w:val="single"/>
                <w:lang w:val="es-AR" w:eastAsia="en-US"/>
              </w:rPr>
            </w:pPr>
          </w:p>
        </w:tc>
        <w:tc>
          <w:tcPr>
            <w:tcW w:w="1559" w:type="dxa"/>
            <w:vAlign w:val="bottom"/>
          </w:tcPr>
          <w:p w14:paraId="53B88A01" w14:textId="77777777" w:rsidR="0010523F" w:rsidRPr="0010523F" w:rsidRDefault="0010523F" w:rsidP="0010523F">
            <w:pPr>
              <w:tabs>
                <w:tab w:val="decimal" w:pos="1236"/>
              </w:tabs>
              <w:spacing w:line="22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100.104</w:t>
            </w:r>
          </w:p>
        </w:tc>
        <w:tc>
          <w:tcPr>
            <w:tcW w:w="1418" w:type="dxa"/>
            <w:vAlign w:val="bottom"/>
          </w:tcPr>
          <w:p w14:paraId="69931D68" w14:textId="77777777" w:rsidR="0010523F" w:rsidRPr="0010523F" w:rsidRDefault="0010523F" w:rsidP="0010523F">
            <w:pPr>
              <w:tabs>
                <w:tab w:val="decimal" w:pos="1236"/>
              </w:tabs>
              <w:spacing w:line="22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 xml:space="preserve">  63.518</w:t>
            </w:r>
          </w:p>
        </w:tc>
      </w:tr>
      <w:tr w:rsidR="0010523F" w:rsidRPr="0010523F" w14:paraId="76CF956F" w14:textId="77777777" w:rsidTr="00774E7E">
        <w:tc>
          <w:tcPr>
            <w:tcW w:w="5593" w:type="dxa"/>
            <w:vAlign w:val="bottom"/>
          </w:tcPr>
          <w:p w14:paraId="51CC52B3" w14:textId="77777777" w:rsidR="0010523F" w:rsidRPr="0010523F" w:rsidRDefault="0010523F" w:rsidP="0010523F">
            <w:pPr>
              <w:spacing w:line="60" w:lineRule="exact"/>
              <w:rPr>
                <w:snapToGrid w:val="0"/>
                <w:color w:val="000000"/>
                <w:sz w:val="20"/>
                <w:szCs w:val="20"/>
                <w:lang w:val="es-AR" w:eastAsia="en-US"/>
              </w:rPr>
            </w:pPr>
          </w:p>
        </w:tc>
        <w:tc>
          <w:tcPr>
            <w:tcW w:w="1134" w:type="dxa"/>
            <w:vAlign w:val="bottom"/>
          </w:tcPr>
          <w:p w14:paraId="268D79A4" w14:textId="77777777" w:rsidR="0010523F" w:rsidRPr="0010523F" w:rsidRDefault="0010523F" w:rsidP="0010523F">
            <w:pPr>
              <w:spacing w:line="60" w:lineRule="exact"/>
              <w:ind w:left="-108"/>
              <w:jc w:val="center"/>
              <w:rPr>
                <w:snapToGrid w:val="0"/>
                <w:color w:val="000000"/>
                <w:sz w:val="20"/>
                <w:szCs w:val="20"/>
                <w:u w:val="single"/>
                <w:lang w:val="es-AR" w:eastAsia="en-US"/>
              </w:rPr>
            </w:pPr>
          </w:p>
        </w:tc>
        <w:tc>
          <w:tcPr>
            <w:tcW w:w="1559" w:type="dxa"/>
            <w:vAlign w:val="bottom"/>
          </w:tcPr>
          <w:p w14:paraId="1C804F8A" w14:textId="77777777" w:rsidR="0010523F" w:rsidRPr="0010523F" w:rsidRDefault="0010523F" w:rsidP="0010523F">
            <w:pPr>
              <w:tabs>
                <w:tab w:val="decimal" w:pos="1236"/>
              </w:tabs>
              <w:spacing w:line="60" w:lineRule="exact"/>
              <w:ind w:left="-108"/>
              <w:jc w:val="right"/>
              <w:rPr>
                <w:snapToGrid w:val="0"/>
                <w:color w:val="000000"/>
                <w:sz w:val="20"/>
                <w:szCs w:val="20"/>
                <w:u w:val="single"/>
                <w:lang w:val="es-AR" w:eastAsia="en-US"/>
              </w:rPr>
            </w:pPr>
          </w:p>
        </w:tc>
        <w:tc>
          <w:tcPr>
            <w:tcW w:w="1418" w:type="dxa"/>
            <w:vAlign w:val="bottom"/>
          </w:tcPr>
          <w:p w14:paraId="01781523" w14:textId="77777777" w:rsidR="0010523F" w:rsidRPr="0010523F" w:rsidRDefault="0010523F" w:rsidP="0010523F">
            <w:pPr>
              <w:tabs>
                <w:tab w:val="decimal" w:pos="1236"/>
              </w:tabs>
              <w:spacing w:line="60" w:lineRule="exact"/>
              <w:ind w:left="-108"/>
              <w:jc w:val="right"/>
              <w:rPr>
                <w:snapToGrid w:val="0"/>
                <w:sz w:val="20"/>
                <w:szCs w:val="20"/>
                <w:highlight w:val="yellow"/>
                <w:u w:val="single"/>
                <w:lang w:val="es-AR" w:eastAsia="en-US"/>
              </w:rPr>
            </w:pPr>
          </w:p>
        </w:tc>
      </w:tr>
      <w:tr w:rsidR="0010523F" w:rsidRPr="0010523F" w14:paraId="3FD14BCA" w14:textId="77777777" w:rsidTr="00774E7E">
        <w:tc>
          <w:tcPr>
            <w:tcW w:w="5593" w:type="dxa"/>
            <w:vAlign w:val="bottom"/>
          </w:tcPr>
          <w:p w14:paraId="14A4CC99" w14:textId="77777777" w:rsidR="0010523F" w:rsidRPr="0010523F" w:rsidRDefault="0010523F" w:rsidP="0010523F">
            <w:pPr>
              <w:spacing w:line="220" w:lineRule="exact"/>
              <w:rPr>
                <w:snapToGrid w:val="0"/>
                <w:color w:val="000000"/>
                <w:sz w:val="20"/>
                <w:szCs w:val="20"/>
                <w:lang w:val="es-AR" w:eastAsia="en-US"/>
              </w:rPr>
            </w:pPr>
            <w:r w:rsidRPr="0010523F">
              <w:rPr>
                <w:snapToGrid w:val="0"/>
                <w:color w:val="000000"/>
                <w:sz w:val="20"/>
                <w:szCs w:val="20"/>
                <w:lang w:val="es-AR" w:eastAsia="en-US"/>
              </w:rPr>
              <w:t xml:space="preserve">   Total del pasivo</w:t>
            </w:r>
          </w:p>
        </w:tc>
        <w:tc>
          <w:tcPr>
            <w:tcW w:w="1134" w:type="dxa"/>
            <w:vAlign w:val="bottom"/>
          </w:tcPr>
          <w:p w14:paraId="1149BF9C" w14:textId="77777777" w:rsidR="0010523F" w:rsidRPr="0010523F" w:rsidRDefault="0010523F" w:rsidP="0010523F">
            <w:pPr>
              <w:spacing w:line="220" w:lineRule="exact"/>
              <w:ind w:left="-108"/>
              <w:jc w:val="center"/>
              <w:rPr>
                <w:snapToGrid w:val="0"/>
                <w:color w:val="000000"/>
                <w:sz w:val="20"/>
                <w:szCs w:val="20"/>
                <w:u w:val="single"/>
                <w:lang w:val="es-AR" w:eastAsia="en-US"/>
              </w:rPr>
            </w:pPr>
          </w:p>
        </w:tc>
        <w:tc>
          <w:tcPr>
            <w:tcW w:w="1559" w:type="dxa"/>
            <w:vAlign w:val="bottom"/>
          </w:tcPr>
          <w:p w14:paraId="554875B9" w14:textId="77777777" w:rsidR="0010523F" w:rsidRPr="0010523F" w:rsidRDefault="0010523F" w:rsidP="0010523F">
            <w:pPr>
              <w:tabs>
                <w:tab w:val="decimal" w:pos="1236"/>
              </w:tabs>
              <w:spacing w:line="220" w:lineRule="exact"/>
              <w:ind w:left="-108"/>
              <w:jc w:val="right"/>
              <w:rPr>
                <w:snapToGrid w:val="0"/>
                <w:color w:val="000000"/>
                <w:sz w:val="20"/>
                <w:szCs w:val="20"/>
                <w:u w:val="single"/>
                <w:lang w:val="es-AR" w:eastAsia="en-US"/>
              </w:rPr>
            </w:pPr>
            <w:r w:rsidRPr="0010523F">
              <w:rPr>
                <w:snapToGrid w:val="0"/>
                <w:color w:val="000000"/>
                <w:sz w:val="20"/>
                <w:szCs w:val="20"/>
                <w:u w:val="single"/>
                <w:lang w:val="es-AR" w:eastAsia="en-US"/>
              </w:rPr>
              <w:t>309.859</w:t>
            </w:r>
          </w:p>
        </w:tc>
        <w:tc>
          <w:tcPr>
            <w:tcW w:w="1418" w:type="dxa"/>
            <w:vAlign w:val="bottom"/>
          </w:tcPr>
          <w:p w14:paraId="57D920EF" w14:textId="77777777" w:rsidR="0010523F" w:rsidRPr="0010523F" w:rsidRDefault="0010523F" w:rsidP="0010523F">
            <w:pPr>
              <w:tabs>
                <w:tab w:val="decimal" w:pos="1236"/>
              </w:tabs>
              <w:spacing w:line="220" w:lineRule="exact"/>
              <w:ind w:left="-108"/>
              <w:jc w:val="right"/>
              <w:rPr>
                <w:snapToGrid w:val="0"/>
                <w:sz w:val="20"/>
                <w:szCs w:val="20"/>
                <w:highlight w:val="yellow"/>
                <w:u w:val="single"/>
                <w:lang w:val="es-AR" w:eastAsia="en-US"/>
              </w:rPr>
            </w:pPr>
            <w:r w:rsidRPr="0010523F">
              <w:rPr>
                <w:snapToGrid w:val="0"/>
                <w:color w:val="000000"/>
                <w:sz w:val="20"/>
                <w:szCs w:val="20"/>
                <w:u w:val="single"/>
                <w:lang w:val="es-AR" w:eastAsia="en-US"/>
              </w:rPr>
              <w:t>205.484</w:t>
            </w:r>
          </w:p>
        </w:tc>
      </w:tr>
      <w:tr w:rsidR="0010523F" w:rsidRPr="0010523F" w14:paraId="4C7FB7DB" w14:textId="77777777" w:rsidTr="00774E7E">
        <w:tc>
          <w:tcPr>
            <w:tcW w:w="5593" w:type="dxa"/>
            <w:vAlign w:val="bottom"/>
          </w:tcPr>
          <w:p w14:paraId="5B554B7D" w14:textId="77777777" w:rsidR="0010523F" w:rsidRPr="0010523F" w:rsidRDefault="0010523F" w:rsidP="0010523F">
            <w:pPr>
              <w:spacing w:line="60" w:lineRule="exact"/>
              <w:rPr>
                <w:snapToGrid w:val="0"/>
                <w:color w:val="000000"/>
                <w:sz w:val="20"/>
                <w:szCs w:val="20"/>
                <w:lang w:val="es-AR" w:eastAsia="en-US"/>
              </w:rPr>
            </w:pPr>
          </w:p>
        </w:tc>
        <w:tc>
          <w:tcPr>
            <w:tcW w:w="1134" w:type="dxa"/>
            <w:vAlign w:val="bottom"/>
          </w:tcPr>
          <w:p w14:paraId="723DE2B5" w14:textId="77777777" w:rsidR="0010523F" w:rsidRPr="0010523F" w:rsidRDefault="0010523F" w:rsidP="0010523F">
            <w:pPr>
              <w:spacing w:line="60" w:lineRule="exact"/>
              <w:ind w:left="-108"/>
              <w:jc w:val="center"/>
              <w:rPr>
                <w:snapToGrid w:val="0"/>
                <w:color w:val="000000"/>
                <w:sz w:val="20"/>
                <w:szCs w:val="20"/>
                <w:u w:val="single"/>
                <w:lang w:val="es-AR" w:eastAsia="en-US"/>
              </w:rPr>
            </w:pPr>
          </w:p>
        </w:tc>
        <w:tc>
          <w:tcPr>
            <w:tcW w:w="1559" w:type="dxa"/>
            <w:vAlign w:val="bottom"/>
          </w:tcPr>
          <w:p w14:paraId="4B2F33F6" w14:textId="77777777" w:rsidR="0010523F" w:rsidRPr="0010523F" w:rsidRDefault="0010523F" w:rsidP="0010523F">
            <w:pPr>
              <w:tabs>
                <w:tab w:val="decimal" w:pos="1236"/>
              </w:tabs>
              <w:spacing w:line="60" w:lineRule="exact"/>
              <w:ind w:left="-108"/>
              <w:jc w:val="right"/>
              <w:rPr>
                <w:snapToGrid w:val="0"/>
                <w:color w:val="000000"/>
                <w:sz w:val="20"/>
                <w:szCs w:val="20"/>
                <w:u w:val="single"/>
                <w:lang w:val="es-AR" w:eastAsia="en-US"/>
              </w:rPr>
            </w:pPr>
          </w:p>
        </w:tc>
        <w:tc>
          <w:tcPr>
            <w:tcW w:w="1418" w:type="dxa"/>
            <w:vAlign w:val="bottom"/>
          </w:tcPr>
          <w:p w14:paraId="6CE94818" w14:textId="77777777" w:rsidR="0010523F" w:rsidRPr="0010523F" w:rsidRDefault="0010523F" w:rsidP="0010523F">
            <w:pPr>
              <w:tabs>
                <w:tab w:val="decimal" w:pos="1236"/>
              </w:tabs>
              <w:spacing w:line="60" w:lineRule="exact"/>
              <w:ind w:left="-108"/>
              <w:jc w:val="right"/>
              <w:rPr>
                <w:snapToGrid w:val="0"/>
                <w:sz w:val="20"/>
                <w:szCs w:val="20"/>
                <w:highlight w:val="yellow"/>
                <w:u w:val="single"/>
                <w:lang w:val="es-AR" w:eastAsia="en-US"/>
              </w:rPr>
            </w:pPr>
          </w:p>
        </w:tc>
      </w:tr>
      <w:tr w:rsidR="0010523F" w:rsidRPr="0010523F" w14:paraId="62A2EE8C" w14:textId="77777777" w:rsidTr="00774E7E">
        <w:tc>
          <w:tcPr>
            <w:tcW w:w="5593" w:type="dxa"/>
            <w:vAlign w:val="bottom"/>
          </w:tcPr>
          <w:p w14:paraId="5ABD1F34" w14:textId="77777777" w:rsidR="0010523F" w:rsidRPr="0010523F" w:rsidRDefault="0010523F" w:rsidP="0010523F">
            <w:pPr>
              <w:spacing w:line="220" w:lineRule="exact"/>
              <w:rPr>
                <w:snapToGrid w:val="0"/>
                <w:color w:val="000000"/>
                <w:sz w:val="20"/>
                <w:szCs w:val="20"/>
                <w:lang w:val="es-AR" w:eastAsia="en-US"/>
              </w:rPr>
            </w:pPr>
            <w:r w:rsidRPr="0010523F">
              <w:rPr>
                <w:snapToGrid w:val="0"/>
                <w:color w:val="000000"/>
                <w:sz w:val="20"/>
                <w:szCs w:val="20"/>
                <w:lang w:val="es-AR" w:eastAsia="en-US"/>
              </w:rPr>
              <w:t xml:space="preserve">   Total del patrimonio y del pasivo</w:t>
            </w:r>
          </w:p>
        </w:tc>
        <w:tc>
          <w:tcPr>
            <w:tcW w:w="1134" w:type="dxa"/>
            <w:vAlign w:val="bottom"/>
          </w:tcPr>
          <w:p w14:paraId="2462F525" w14:textId="77777777" w:rsidR="0010523F" w:rsidRPr="0010523F" w:rsidRDefault="0010523F" w:rsidP="0010523F">
            <w:pPr>
              <w:spacing w:line="220" w:lineRule="exact"/>
              <w:ind w:left="-108"/>
              <w:jc w:val="center"/>
              <w:rPr>
                <w:snapToGrid w:val="0"/>
                <w:color w:val="000000"/>
                <w:sz w:val="20"/>
                <w:szCs w:val="20"/>
                <w:u w:val="double"/>
                <w:lang w:val="es-AR" w:eastAsia="en-US"/>
              </w:rPr>
            </w:pPr>
          </w:p>
        </w:tc>
        <w:tc>
          <w:tcPr>
            <w:tcW w:w="1559" w:type="dxa"/>
            <w:vAlign w:val="bottom"/>
          </w:tcPr>
          <w:p w14:paraId="03634B76" w14:textId="77777777" w:rsidR="0010523F" w:rsidRPr="0010523F" w:rsidRDefault="0010523F" w:rsidP="0010523F">
            <w:pPr>
              <w:tabs>
                <w:tab w:val="decimal" w:pos="1236"/>
              </w:tabs>
              <w:spacing w:line="220" w:lineRule="exact"/>
              <w:ind w:left="-108"/>
              <w:jc w:val="right"/>
              <w:rPr>
                <w:snapToGrid w:val="0"/>
                <w:color w:val="000000"/>
                <w:sz w:val="20"/>
                <w:szCs w:val="20"/>
                <w:u w:val="double"/>
                <w:lang w:val="es-AR" w:eastAsia="en-US"/>
              </w:rPr>
            </w:pPr>
            <w:r w:rsidRPr="0010523F">
              <w:rPr>
                <w:snapToGrid w:val="0"/>
                <w:color w:val="000000"/>
                <w:sz w:val="20"/>
                <w:szCs w:val="20"/>
                <w:u w:val="double"/>
                <w:lang w:val="es-AR" w:eastAsia="en-US"/>
              </w:rPr>
              <w:t>712.126</w:t>
            </w:r>
          </w:p>
        </w:tc>
        <w:tc>
          <w:tcPr>
            <w:tcW w:w="1418" w:type="dxa"/>
            <w:vAlign w:val="bottom"/>
          </w:tcPr>
          <w:p w14:paraId="13529821" w14:textId="77777777" w:rsidR="0010523F" w:rsidRPr="0010523F" w:rsidRDefault="0010523F" w:rsidP="0010523F">
            <w:pPr>
              <w:tabs>
                <w:tab w:val="decimal" w:pos="1236"/>
              </w:tabs>
              <w:spacing w:line="220" w:lineRule="exact"/>
              <w:ind w:left="-108"/>
              <w:jc w:val="right"/>
              <w:rPr>
                <w:snapToGrid w:val="0"/>
                <w:sz w:val="20"/>
                <w:szCs w:val="20"/>
                <w:highlight w:val="yellow"/>
                <w:u w:val="double"/>
                <w:lang w:val="es-AR" w:eastAsia="en-US"/>
              </w:rPr>
            </w:pPr>
            <w:r w:rsidRPr="0010523F">
              <w:rPr>
                <w:snapToGrid w:val="0"/>
                <w:color w:val="000000"/>
                <w:sz w:val="20"/>
                <w:szCs w:val="20"/>
                <w:u w:val="double"/>
                <w:lang w:val="es-AR" w:eastAsia="en-US"/>
              </w:rPr>
              <w:t>465.831</w:t>
            </w:r>
          </w:p>
        </w:tc>
      </w:tr>
    </w:tbl>
    <w:p w14:paraId="22F97C16" w14:textId="77777777" w:rsidR="0010523F" w:rsidRPr="0010523F" w:rsidRDefault="0010523F" w:rsidP="0010523F">
      <w:pPr>
        <w:widowControl w:val="0"/>
        <w:tabs>
          <w:tab w:val="center" w:pos="1980"/>
          <w:tab w:val="center" w:pos="8080"/>
          <w:tab w:val="center" w:pos="12474"/>
        </w:tabs>
        <w:spacing w:line="220" w:lineRule="exact"/>
        <w:ind w:right="12"/>
        <w:jc w:val="both"/>
        <w:rPr>
          <w:sz w:val="20"/>
          <w:szCs w:val="20"/>
          <w:lang w:val="es-AR" w:eastAsia="en-US"/>
        </w:rPr>
        <w:sectPr w:rsidR="0010523F" w:rsidRPr="0010523F" w:rsidSect="008E1861">
          <w:headerReference w:type="even" r:id="rId33"/>
          <w:headerReference w:type="default" r:id="rId34"/>
          <w:footerReference w:type="default" r:id="rId35"/>
          <w:headerReference w:type="first" r:id="rId36"/>
          <w:footerReference w:type="first" r:id="rId37"/>
          <w:pgSz w:w="11907" w:h="16840" w:code="9"/>
          <w:pgMar w:top="1134" w:right="1134" w:bottom="425" w:left="1134" w:header="720" w:footer="454" w:gutter="0"/>
          <w:paperSrc w:first="15" w:other="15"/>
          <w:pgNumType w:start="1"/>
          <w:cols w:space="720"/>
          <w:titlePg/>
          <w:docGrid w:linePitch="326"/>
        </w:sectPr>
      </w:pPr>
    </w:p>
    <w:p w14:paraId="581A13A3" w14:textId="77777777" w:rsidR="0010523F" w:rsidRPr="0010523F" w:rsidRDefault="0010523F" w:rsidP="0010523F">
      <w:pPr>
        <w:spacing w:line="220" w:lineRule="exact"/>
        <w:jc w:val="both"/>
        <w:rPr>
          <w:b/>
          <w:lang w:val="es-AR" w:eastAsia="en-US"/>
        </w:rPr>
      </w:pPr>
      <w:r w:rsidRPr="0010523F">
        <w:rPr>
          <w:b/>
          <w:szCs w:val="20"/>
          <w:lang w:val="es-AR" w:eastAsia="en-US"/>
        </w:rPr>
        <w:t>PAN AMERICAN ENERGY, S.L., SUCURSAL ARGENTINA</w:t>
      </w:r>
      <w:r w:rsidRPr="0010523F" w:rsidDel="001E12ED">
        <w:rPr>
          <w:b/>
          <w:lang w:val="es-AR" w:eastAsia="en-US"/>
        </w:rPr>
        <w:t xml:space="preserve"> </w:t>
      </w:r>
    </w:p>
    <w:p w14:paraId="7B70352B" w14:textId="77777777" w:rsidR="0010523F" w:rsidRPr="0010523F" w:rsidRDefault="0010523F" w:rsidP="0010523F">
      <w:pPr>
        <w:spacing w:line="200" w:lineRule="exact"/>
        <w:jc w:val="both"/>
        <w:rPr>
          <w:sz w:val="22"/>
          <w:szCs w:val="22"/>
          <w:lang w:val="es-AR" w:eastAsia="en-US"/>
        </w:rPr>
      </w:pPr>
    </w:p>
    <w:p w14:paraId="1AB4B479" w14:textId="77777777" w:rsidR="0010523F" w:rsidRPr="0010523F" w:rsidRDefault="0010523F" w:rsidP="0010523F">
      <w:pPr>
        <w:spacing w:line="200" w:lineRule="exact"/>
        <w:jc w:val="both"/>
        <w:rPr>
          <w:lang w:val="es-AR" w:eastAsia="en-US"/>
        </w:rPr>
      </w:pPr>
      <w:r w:rsidRPr="0010523F">
        <w:rPr>
          <w:b/>
          <w:szCs w:val="20"/>
          <w:lang w:val="es-AR" w:eastAsia="en-US"/>
        </w:rPr>
        <w:t>ESTADO DEL RESULTADO INTERMEDIO CONDENSADO</w:t>
      </w:r>
      <w:r w:rsidRPr="0010523F">
        <w:rPr>
          <w:b/>
          <w:sz w:val="22"/>
          <w:szCs w:val="22"/>
          <w:lang w:val="es-AR" w:eastAsia="en-US"/>
        </w:rPr>
        <w:t xml:space="preserve"> </w:t>
      </w:r>
      <w:r w:rsidRPr="0010523F">
        <w:rPr>
          <w:lang w:val="es-AR" w:eastAsia="en-US"/>
        </w:rPr>
        <w:t>por los períodos de tres y nueve meses finalizados el 30 de septiembre de 2019, presentados en forma comparativa con los mismos períodos del ejercicio anterior (en millones de pesos)</w:t>
      </w:r>
    </w:p>
    <w:p w14:paraId="217C578E" w14:textId="77777777" w:rsidR="0010523F" w:rsidRPr="0010523F" w:rsidRDefault="0010523F" w:rsidP="0010523F">
      <w:pPr>
        <w:spacing w:line="200" w:lineRule="exact"/>
        <w:jc w:val="both"/>
        <w:rPr>
          <w:lang w:val="es-AR" w:eastAsia="en-US"/>
        </w:rPr>
      </w:pPr>
    </w:p>
    <w:tbl>
      <w:tblPr>
        <w:tblW w:w="14742" w:type="dxa"/>
        <w:tblLayout w:type="fixed"/>
        <w:tblCellMar>
          <w:left w:w="30" w:type="dxa"/>
          <w:right w:w="30" w:type="dxa"/>
        </w:tblCellMar>
        <w:tblLook w:val="0000" w:firstRow="0" w:lastRow="0" w:firstColumn="0" w:lastColumn="0" w:noHBand="0" w:noVBand="0"/>
      </w:tblPr>
      <w:tblGrid>
        <w:gridCol w:w="4141"/>
        <w:gridCol w:w="709"/>
        <w:gridCol w:w="142"/>
        <w:gridCol w:w="992"/>
        <w:gridCol w:w="992"/>
        <w:gridCol w:w="284"/>
        <w:gridCol w:w="992"/>
        <w:gridCol w:w="1134"/>
        <w:gridCol w:w="283"/>
        <w:gridCol w:w="1134"/>
        <w:gridCol w:w="1134"/>
        <w:gridCol w:w="396"/>
        <w:gridCol w:w="1417"/>
        <w:gridCol w:w="992"/>
      </w:tblGrid>
      <w:tr w:rsidR="0010523F" w:rsidRPr="0010523F" w14:paraId="197F7E79" w14:textId="77777777" w:rsidTr="00774E7E">
        <w:trPr>
          <w:cantSplit/>
          <w:trHeight w:val="340"/>
        </w:trPr>
        <w:tc>
          <w:tcPr>
            <w:tcW w:w="4141" w:type="dxa"/>
          </w:tcPr>
          <w:p w14:paraId="3A37B502" w14:textId="77777777" w:rsidR="0010523F" w:rsidRPr="0010523F" w:rsidRDefault="0010523F" w:rsidP="0010523F">
            <w:pPr>
              <w:spacing w:line="200" w:lineRule="exact"/>
              <w:jc w:val="both"/>
              <w:rPr>
                <w:b/>
                <w:snapToGrid w:val="0"/>
                <w:color w:val="000000"/>
                <w:sz w:val="20"/>
                <w:szCs w:val="20"/>
                <w:lang w:val="es-AR" w:eastAsia="en-US"/>
              </w:rPr>
            </w:pPr>
          </w:p>
        </w:tc>
        <w:tc>
          <w:tcPr>
            <w:tcW w:w="709" w:type="dxa"/>
            <w:vAlign w:val="bottom"/>
          </w:tcPr>
          <w:p w14:paraId="0627E014" w14:textId="77777777" w:rsidR="0010523F" w:rsidRPr="0010523F" w:rsidRDefault="0010523F" w:rsidP="0010523F">
            <w:pPr>
              <w:spacing w:line="200" w:lineRule="exact"/>
              <w:jc w:val="center"/>
              <w:rPr>
                <w:b/>
                <w:snapToGrid w:val="0"/>
                <w:color w:val="000000"/>
                <w:sz w:val="20"/>
                <w:szCs w:val="20"/>
                <w:lang w:val="es-AR" w:eastAsia="en-US"/>
              </w:rPr>
            </w:pPr>
            <w:r w:rsidRPr="0010523F">
              <w:rPr>
                <w:snapToGrid w:val="0"/>
                <w:color w:val="000000"/>
                <w:sz w:val="20"/>
                <w:szCs w:val="20"/>
                <w:u w:val="single"/>
                <w:lang w:val="es-AR" w:eastAsia="en-US"/>
              </w:rPr>
              <w:t>Notas</w:t>
            </w:r>
          </w:p>
        </w:tc>
        <w:tc>
          <w:tcPr>
            <w:tcW w:w="142" w:type="dxa"/>
          </w:tcPr>
          <w:p w14:paraId="42CC0448" w14:textId="77777777" w:rsidR="0010523F" w:rsidRPr="0010523F" w:rsidRDefault="0010523F" w:rsidP="0010523F">
            <w:pPr>
              <w:tabs>
                <w:tab w:val="left" w:pos="112"/>
                <w:tab w:val="center" w:pos="1388"/>
                <w:tab w:val="right" w:pos="2663"/>
              </w:tabs>
              <w:spacing w:line="200" w:lineRule="exact"/>
              <w:jc w:val="center"/>
              <w:rPr>
                <w:sz w:val="20"/>
                <w:szCs w:val="20"/>
                <w:u w:val="single"/>
                <w:lang w:val="es-AR" w:eastAsia="en-US"/>
              </w:rPr>
            </w:pPr>
          </w:p>
        </w:tc>
        <w:tc>
          <w:tcPr>
            <w:tcW w:w="1984" w:type="dxa"/>
            <w:gridSpan w:val="2"/>
            <w:tcBorders>
              <w:bottom w:val="single" w:sz="4" w:space="0" w:color="auto"/>
            </w:tcBorders>
          </w:tcPr>
          <w:p w14:paraId="27CD0DA8" w14:textId="77777777" w:rsidR="0010523F" w:rsidRPr="0010523F" w:rsidRDefault="0010523F" w:rsidP="0010523F">
            <w:pPr>
              <w:tabs>
                <w:tab w:val="left" w:pos="112"/>
                <w:tab w:val="center" w:pos="1388"/>
                <w:tab w:val="right" w:pos="2663"/>
              </w:tabs>
              <w:spacing w:line="200" w:lineRule="exact"/>
              <w:jc w:val="center"/>
              <w:rPr>
                <w:sz w:val="20"/>
                <w:szCs w:val="20"/>
                <w:lang w:val="es-AR" w:eastAsia="en-US"/>
              </w:rPr>
            </w:pPr>
            <w:r w:rsidRPr="0010523F">
              <w:rPr>
                <w:sz w:val="20"/>
                <w:szCs w:val="20"/>
                <w:lang w:val="es-AR" w:eastAsia="en-US"/>
              </w:rPr>
              <w:t xml:space="preserve">2019 </w:t>
            </w:r>
          </w:p>
          <w:p w14:paraId="0091B529" w14:textId="77777777" w:rsidR="0010523F" w:rsidRPr="0010523F" w:rsidRDefault="0010523F" w:rsidP="0010523F">
            <w:pPr>
              <w:tabs>
                <w:tab w:val="left" w:pos="112"/>
                <w:tab w:val="center" w:pos="1388"/>
                <w:tab w:val="right" w:pos="2663"/>
              </w:tabs>
              <w:spacing w:line="200" w:lineRule="exact"/>
              <w:jc w:val="center"/>
              <w:rPr>
                <w:snapToGrid w:val="0"/>
                <w:color w:val="000000"/>
                <w:sz w:val="20"/>
                <w:szCs w:val="20"/>
                <w:lang w:val="es-AR" w:eastAsia="en-US"/>
              </w:rPr>
            </w:pPr>
            <w:r w:rsidRPr="0010523F">
              <w:rPr>
                <w:snapToGrid w:val="0"/>
                <w:color w:val="000000"/>
                <w:sz w:val="20"/>
                <w:szCs w:val="20"/>
                <w:lang w:val="es-AR" w:eastAsia="en-US"/>
              </w:rPr>
              <w:t>(tercer trimestre)</w:t>
            </w:r>
          </w:p>
        </w:tc>
        <w:tc>
          <w:tcPr>
            <w:tcW w:w="284" w:type="dxa"/>
          </w:tcPr>
          <w:p w14:paraId="70DF922D" w14:textId="77777777" w:rsidR="0010523F" w:rsidRPr="0010523F" w:rsidDel="00067E2E" w:rsidRDefault="0010523F" w:rsidP="0010523F">
            <w:pPr>
              <w:tabs>
                <w:tab w:val="left" w:pos="54"/>
                <w:tab w:val="center" w:pos="1037"/>
                <w:tab w:val="right" w:pos="1955"/>
              </w:tabs>
              <w:spacing w:line="200" w:lineRule="exact"/>
              <w:jc w:val="center"/>
              <w:rPr>
                <w:sz w:val="20"/>
                <w:szCs w:val="20"/>
                <w:lang w:val="es-AR" w:eastAsia="en-US"/>
              </w:rPr>
            </w:pPr>
          </w:p>
        </w:tc>
        <w:tc>
          <w:tcPr>
            <w:tcW w:w="2126" w:type="dxa"/>
            <w:gridSpan w:val="2"/>
            <w:tcBorders>
              <w:bottom w:val="single" w:sz="4" w:space="0" w:color="auto"/>
            </w:tcBorders>
          </w:tcPr>
          <w:p w14:paraId="4BF7AF9A" w14:textId="77777777" w:rsidR="0010523F" w:rsidRPr="0010523F" w:rsidRDefault="0010523F" w:rsidP="0010523F">
            <w:pPr>
              <w:tabs>
                <w:tab w:val="left" w:pos="112"/>
                <w:tab w:val="center" w:pos="1388"/>
                <w:tab w:val="right" w:pos="2663"/>
              </w:tabs>
              <w:spacing w:line="200" w:lineRule="exact"/>
              <w:jc w:val="center"/>
              <w:rPr>
                <w:sz w:val="20"/>
                <w:szCs w:val="20"/>
                <w:lang w:val="es-AR" w:eastAsia="en-US"/>
              </w:rPr>
            </w:pPr>
            <w:r w:rsidRPr="0010523F">
              <w:rPr>
                <w:sz w:val="20"/>
                <w:szCs w:val="20"/>
                <w:lang w:val="es-AR" w:eastAsia="en-US"/>
              </w:rPr>
              <w:t xml:space="preserve">2018 </w:t>
            </w:r>
          </w:p>
          <w:p w14:paraId="7818717F" w14:textId="77777777" w:rsidR="0010523F" w:rsidRPr="0010523F" w:rsidRDefault="0010523F" w:rsidP="0010523F">
            <w:pPr>
              <w:tabs>
                <w:tab w:val="left" w:pos="112"/>
                <w:tab w:val="center" w:pos="1388"/>
                <w:tab w:val="right" w:pos="2663"/>
              </w:tabs>
              <w:spacing w:line="200" w:lineRule="exact"/>
              <w:jc w:val="center"/>
              <w:rPr>
                <w:snapToGrid w:val="0"/>
                <w:color w:val="000000"/>
                <w:sz w:val="20"/>
                <w:szCs w:val="20"/>
                <w:lang w:val="es-AR" w:eastAsia="en-US"/>
              </w:rPr>
            </w:pPr>
            <w:r w:rsidRPr="0010523F">
              <w:rPr>
                <w:snapToGrid w:val="0"/>
                <w:color w:val="000000"/>
                <w:sz w:val="20"/>
                <w:szCs w:val="20"/>
                <w:lang w:val="es-AR" w:eastAsia="en-US"/>
              </w:rPr>
              <w:t>(tercer trimestre)</w:t>
            </w:r>
          </w:p>
        </w:tc>
        <w:tc>
          <w:tcPr>
            <w:tcW w:w="283" w:type="dxa"/>
          </w:tcPr>
          <w:p w14:paraId="5CC70B13" w14:textId="77777777" w:rsidR="0010523F" w:rsidRPr="0010523F" w:rsidRDefault="0010523F" w:rsidP="0010523F">
            <w:pPr>
              <w:tabs>
                <w:tab w:val="left" w:pos="112"/>
                <w:tab w:val="center" w:pos="1388"/>
                <w:tab w:val="right" w:pos="2663"/>
              </w:tabs>
              <w:spacing w:line="200" w:lineRule="exact"/>
              <w:jc w:val="center"/>
              <w:rPr>
                <w:sz w:val="20"/>
                <w:szCs w:val="20"/>
                <w:u w:val="single"/>
                <w:lang w:val="es-AR" w:eastAsia="en-US"/>
              </w:rPr>
            </w:pPr>
          </w:p>
        </w:tc>
        <w:tc>
          <w:tcPr>
            <w:tcW w:w="2268" w:type="dxa"/>
            <w:gridSpan w:val="2"/>
            <w:tcBorders>
              <w:bottom w:val="single" w:sz="4" w:space="0" w:color="auto"/>
            </w:tcBorders>
          </w:tcPr>
          <w:p w14:paraId="5B00AE25" w14:textId="77777777" w:rsidR="0010523F" w:rsidRPr="0010523F" w:rsidRDefault="0010523F" w:rsidP="0010523F">
            <w:pPr>
              <w:tabs>
                <w:tab w:val="left" w:pos="112"/>
                <w:tab w:val="center" w:pos="1388"/>
                <w:tab w:val="right" w:pos="2663"/>
              </w:tabs>
              <w:spacing w:line="200" w:lineRule="exact"/>
              <w:jc w:val="center"/>
              <w:rPr>
                <w:sz w:val="20"/>
                <w:szCs w:val="20"/>
                <w:lang w:val="es-AR" w:eastAsia="en-US"/>
              </w:rPr>
            </w:pPr>
            <w:r w:rsidRPr="0010523F">
              <w:rPr>
                <w:sz w:val="20"/>
                <w:szCs w:val="20"/>
                <w:lang w:val="es-AR" w:eastAsia="en-US"/>
              </w:rPr>
              <w:t xml:space="preserve">2019 </w:t>
            </w:r>
          </w:p>
          <w:p w14:paraId="44259DE7" w14:textId="77777777" w:rsidR="0010523F" w:rsidRPr="0010523F" w:rsidRDefault="0010523F" w:rsidP="0010523F">
            <w:pPr>
              <w:tabs>
                <w:tab w:val="left" w:pos="112"/>
                <w:tab w:val="center" w:pos="1388"/>
                <w:tab w:val="right" w:pos="2663"/>
              </w:tabs>
              <w:spacing w:line="200" w:lineRule="exact"/>
              <w:jc w:val="center"/>
              <w:rPr>
                <w:sz w:val="20"/>
                <w:szCs w:val="20"/>
                <w:lang w:val="es-AR" w:eastAsia="en-US"/>
              </w:rPr>
            </w:pPr>
            <w:r w:rsidRPr="0010523F">
              <w:rPr>
                <w:snapToGrid w:val="0"/>
                <w:color w:val="000000"/>
                <w:sz w:val="20"/>
                <w:szCs w:val="20"/>
                <w:lang w:val="es-AR" w:eastAsia="en-US"/>
              </w:rPr>
              <w:t>(9 meses)</w:t>
            </w:r>
          </w:p>
        </w:tc>
        <w:tc>
          <w:tcPr>
            <w:tcW w:w="396" w:type="dxa"/>
          </w:tcPr>
          <w:p w14:paraId="7227864D" w14:textId="77777777" w:rsidR="0010523F" w:rsidRPr="0010523F" w:rsidRDefault="0010523F" w:rsidP="0010523F">
            <w:pPr>
              <w:tabs>
                <w:tab w:val="left" w:pos="112"/>
                <w:tab w:val="center" w:pos="1388"/>
                <w:tab w:val="right" w:pos="2663"/>
              </w:tabs>
              <w:spacing w:line="200" w:lineRule="exact"/>
              <w:jc w:val="center"/>
              <w:rPr>
                <w:sz w:val="20"/>
                <w:szCs w:val="20"/>
                <w:lang w:val="es-AR" w:eastAsia="en-US"/>
              </w:rPr>
            </w:pPr>
          </w:p>
        </w:tc>
        <w:tc>
          <w:tcPr>
            <w:tcW w:w="2406" w:type="dxa"/>
            <w:gridSpan w:val="2"/>
            <w:tcBorders>
              <w:bottom w:val="single" w:sz="4" w:space="0" w:color="auto"/>
            </w:tcBorders>
          </w:tcPr>
          <w:p w14:paraId="71581A93" w14:textId="77777777" w:rsidR="0010523F" w:rsidRPr="0010523F" w:rsidRDefault="0010523F" w:rsidP="0010523F">
            <w:pPr>
              <w:tabs>
                <w:tab w:val="left" w:pos="112"/>
                <w:tab w:val="center" w:pos="1388"/>
                <w:tab w:val="right" w:pos="2663"/>
              </w:tabs>
              <w:spacing w:line="200" w:lineRule="exact"/>
              <w:jc w:val="center"/>
              <w:rPr>
                <w:sz w:val="20"/>
                <w:szCs w:val="20"/>
                <w:lang w:val="es-AR" w:eastAsia="en-US"/>
              </w:rPr>
            </w:pPr>
            <w:r w:rsidRPr="0010523F">
              <w:rPr>
                <w:sz w:val="20"/>
                <w:szCs w:val="20"/>
                <w:lang w:val="es-AR" w:eastAsia="en-US"/>
              </w:rPr>
              <w:t xml:space="preserve">2018 </w:t>
            </w:r>
          </w:p>
          <w:p w14:paraId="5C007B1A" w14:textId="77777777" w:rsidR="0010523F" w:rsidRPr="0010523F" w:rsidRDefault="0010523F" w:rsidP="0010523F">
            <w:pPr>
              <w:tabs>
                <w:tab w:val="left" w:pos="112"/>
                <w:tab w:val="center" w:pos="1388"/>
                <w:tab w:val="right" w:pos="2663"/>
              </w:tabs>
              <w:spacing w:line="200" w:lineRule="exact"/>
              <w:jc w:val="center"/>
              <w:rPr>
                <w:sz w:val="20"/>
                <w:szCs w:val="20"/>
                <w:lang w:val="es-AR" w:eastAsia="en-US"/>
              </w:rPr>
            </w:pPr>
            <w:r w:rsidRPr="0010523F">
              <w:rPr>
                <w:snapToGrid w:val="0"/>
                <w:color w:val="000000"/>
                <w:sz w:val="20"/>
                <w:szCs w:val="20"/>
                <w:lang w:val="es-AR" w:eastAsia="en-US"/>
              </w:rPr>
              <w:t>(9 meses)</w:t>
            </w:r>
          </w:p>
        </w:tc>
      </w:tr>
      <w:tr w:rsidR="0010523F" w:rsidRPr="0010523F" w14:paraId="0BE80676" w14:textId="77777777" w:rsidTr="00774E7E">
        <w:trPr>
          <w:cantSplit/>
        </w:trPr>
        <w:tc>
          <w:tcPr>
            <w:tcW w:w="4141" w:type="dxa"/>
          </w:tcPr>
          <w:p w14:paraId="4B239C42" w14:textId="77777777" w:rsidR="0010523F" w:rsidRPr="0010523F" w:rsidRDefault="0010523F" w:rsidP="0010523F">
            <w:pPr>
              <w:spacing w:line="140" w:lineRule="exact"/>
              <w:jc w:val="both"/>
              <w:rPr>
                <w:b/>
                <w:snapToGrid w:val="0"/>
                <w:color w:val="000000"/>
                <w:sz w:val="20"/>
                <w:szCs w:val="20"/>
                <w:lang w:val="es-AR" w:eastAsia="en-US"/>
              </w:rPr>
            </w:pPr>
          </w:p>
        </w:tc>
        <w:tc>
          <w:tcPr>
            <w:tcW w:w="709" w:type="dxa"/>
          </w:tcPr>
          <w:p w14:paraId="302E6193" w14:textId="77777777" w:rsidR="0010523F" w:rsidRPr="0010523F" w:rsidRDefault="0010523F" w:rsidP="0010523F">
            <w:pPr>
              <w:spacing w:line="140" w:lineRule="exact"/>
              <w:ind w:left="-30"/>
              <w:jc w:val="center"/>
              <w:rPr>
                <w:snapToGrid w:val="0"/>
                <w:color w:val="000000"/>
                <w:sz w:val="20"/>
                <w:szCs w:val="20"/>
                <w:u w:val="single"/>
                <w:lang w:val="es-AR" w:eastAsia="en-US"/>
              </w:rPr>
            </w:pPr>
          </w:p>
        </w:tc>
        <w:tc>
          <w:tcPr>
            <w:tcW w:w="142" w:type="dxa"/>
          </w:tcPr>
          <w:p w14:paraId="7E6216D2" w14:textId="77777777" w:rsidR="0010523F" w:rsidRPr="0010523F" w:rsidRDefault="0010523F" w:rsidP="0010523F">
            <w:pPr>
              <w:tabs>
                <w:tab w:val="left" w:pos="82"/>
                <w:tab w:val="center" w:pos="1022"/>
                <w:tab w:val="right" w:pos="1932"/>
              </w:tabs>
              <w:spacing w:line="140" w:lineRule="exact"/>
              <w:jc w:val="center"/>
              <w:rPr>
                <w:sz w:val="20"/>
                <w:szCs w:val="20"/>
                <w:u w:val="single"/>
                <w:lang w:val="es-AR" w:eastAsia="en-US"/>
              </w:rPr>
            </w:pPr>
          </w:p>
        </w:tc>
        <w:tc>
          <w:tcPr>
            <w:tcW w:w="1984" w:type="dxa"/>
            <w:gridSpan w:val="2"/>
            <w:tcBorders>
              <w:top w:val="single" w:sz="4" w:space="0" w:color="auto"/>
            </w:tcBorders>
          </w:tcPr>
          <w:p w14:paraId="14126F00" w14:textId="77777777" w:rsidR="0010523F" w:rsidRPr="0010523F" w:rsidRDefault="0010523F" w:rsidP="0010523F">
            <w:pPr>
              <w:tabs>
                <w:tab w:val="left" w:pos="82"/>
                <w:tab w:val="center" w:pos="1022"/>
                <w:tab w:val="right" w:pos="1932"/>
              </w:tabs>
              <w:spacing w:line="140" w:lineRule="exact"/>
              <w:jc w:val="center"/>
              <w:rPr>
                <w:sz w:val="20"/>
                <w:szCs w:val="20"/>
                <w:u w:val="single"/>
                <w:lang w:val="es-AR" w:eastAsia="en-US"/>
              </w:rPr>
            </w:pPr>
          </w:p>
        </w:tc>
        <w:tc>
          <w:tcPr>
            <w:tcW w:w="284" w:type="dxa"/>
          </w:tcPr>
          <w:p w14:paraId="22391E74" w14:textId="77777777" w:rsidR="0010523F" w:rsidRPr="0010523F" w:rsidRDefault="0010523F" w:rsidP="0010523F">
            <w:pPr>
              <w:tabs>
                <w:tab w:val="left" w:pos="54"/>
                <w:tab w:val="center" w:pos="1037"/>
                <w:tab w:val="right" w:pos="1955"/>
              </w:tabs>
              <w:spacing w:line="140" w:lineRule="exact"/>
              <w:jc w:val="center"/>
              <w:rPr>
                <w:sz w:val="20"/>
                <w:szCs w:val="20"/>
                <w:lang w:val="es-AR" w:eastAsia="en-US"/>
              </w:rPr>
            </w:pPr>
          </w:p>
        </w:tc>
        <w:tc>
          <w:tcPr>
            <w:tcW w:w="2126" w:type="dxa"/>
            <w:gridSpan w:val="2"/>
            <w:tcBorders>
              <w:top w:val="single" w:sz="4" w:space="0" w:color="auto"/>
            </w:tcBorders>
          </w:tcPr>
          <w:p w14:paraId="04521E9D" w14:textId="77777777" w:rsidR="0010523F" w:rsidRPr="0010523F" w:rsidRDefault="0010523F" w:rsidP="0010523F">
            <w:pPr>
              <w:tabs>
                <w:tab w:val="left" w:pos="54"/>
                <w:tab w:val="center" w:pos="1037"/>
                <w:tab w:val="right" w:pos="1955"/>
              </w:tabs>
              <w:spacing w:line="140" w:lineRule="exact"/>
              <w:jc w:val="center"/>
              <w:rPr>
                <w:sz w:val="20"/>
                <w:szCs w:val="20"/>
                <w:lang w:val="es-AR" w:eastAsia="en-US"/>
              </w:rPr>
            </w:pPr>
          </w:p>
        </w:tc>
        <w:tc>
          <w:tcPr>
            <w:tcW w:w="283" w:type="dxa"/>
          </w:tcPr>
          <w:p w14:paraId="5D6D11AC" w14:textId="77777777" w:rsidR="0010523F" w:rsidRPr="0010523F" w:rsidRDefault="0010523F" w:rsidP="0010523F">
            <w:pPr>
              <w:tabs>
                <w:tab w:val="left" w:pos="54"/>
                <w:tab w:val="center" w:pos="1037"/>
                <w:tab w:val="right" w:pos="1955"/>
              </w:tabs>
              <w:spacing w:line="140" w:lineRule="exact"/>
              <w:jc w:val="center"/>
              <w:rPr>
                <w:sz w:val="20"/>
                <w:szCs w:val="20"/>
                <w:lang w:val="es-AR" w:eastAsia="en-US"/>
              </w:rPr>
            </w:pPr>
          </w:p>
        </w:tc>
        <w:tc>
          <w:tcPr>
            <w:tcW w:w="1134" w:type="dxa"/>
            <w:tcBorders>
              <w:top w:val="single" w:sz="4" w:space="0" w:color="auto"/>
            </w:tcBorders>
          </w:tcPr>
          <w:p w14:paraId="3C4BECDE" w14:textId="77777777" w:rsidR="0010523F" w:rsidRPr="0010523F" w:rsidRDefault="0010523F" w:rsidP="0010523F">
            <w:pPr>
              <w:tabs>
                <w:tab w:val="left" w:pos="54"/>
                <w:tab w:val="center" w:pos="1037"/>
                <w:tab w:val="right" w:pos="1955"/>
              </w:tabs>
              <w:spacing w:line="140" w:lineRule="exact"/>
              <w:jc w:val="center"/>
              <w:rPr>
                <w:sz w:val="20"/>
                <w:szCs w:val="20"/>
                <w:lang w:val="es-AR" w:eastAsia="en-US"/>
              </w:rPr>
            </w:pPr>
          </w:p>
        </w:tc>
        <w:tc>
          <w:tcPr>
            <w:tcW w:w="1134" w:type="dxa"/>
            <w:tcBorders>
              <w:top w:val="single" w:sz="4" w:space="0" w:color="auto"/>
            </w:tcBorders>
          </w:tcPr>
          <w:p w14:paraId="47CAE461" w14:textId="77777777" w:rsidR="0010523F" w:rsidRPr="0010523F" w:rsidRDefault="0010523F" w:rsidP="0010523F">
            <w:pPr>
              <w:tabs>
                <w:tab w:val="left" w:pos="54"/>
                <w:tab w:val="center" w:pos="1037"/>
                <w:tab w:val="right" w:pos="1955"/>
              </w:tabs>
              <w:spacing w:line="140" w:lineRule="exact"/>
              <w:jc w:val="center"/>
              <w:rPr>
                <w:sz w:val="20"/>
                <w:szCs w:val="20"/>
                <w:lang w:val="es-AR" w:eastAsia="en-US"/>
              </w:rPr>
            </w:pPr>
          </w:p>
        </w:tc>
        <w:tc>
          <w:tcPr>
            <w:tcW w:w="396" w:type="dxa"/>
          </w:tcPr>
          <w:p w14:paraId="4DA82E03" w14:textId="77777777" w:rsidR="0010523F" w:rsidRPr="0010523F" w:rsidRDefault="0010523F" w:rsidP="0010523F">
            <w:pPr>
              <w:tabs>
                <w:tab w:val="left" w:pos="54"/>
                <w:tab w:val="center" w:pos="1037"/>
                <w:tab w:val="right" w:pos="1955"/>
              </w:tabs>
              <w:spacing w:line="140" w:lineRule="exact"/>
              <w:jc w:val="center"/>
              <w:rPr>
                <w:sz w:val="20"/>
                <w:szCs w:val="20"/>
                <w:lang w:val="es-AR" w:eastAsia="en-US"/>
              </w:rPr>
            </w:pPr>
          </w:p>
        </w:tc>
        <w:tc>
          <w:tcPr>
            <w:tcW w:w="1417" w:type="dxa"/>
            <w:tcBorders>
              <w:top w:val="single" w:sz="4" w:space="0" w:color="auto"/>
            </w:tcBorders>
          </w:tcPr>
          <w:p w14:paraId="47F9FB96" w14:textId="77777777" w:rsidR="0010523F" w:rsidRPr="0010523F" w:rsidRDefault="0010523F" w:rsidP="0010523F">
            <w:pPr>
              <w:tabs>
                <w:tab w:val="left" w:pos="54"/>
                <w:tab w:val="center" w:pos="1037"/>
                <w:tab w:val="right" w:pos="1955"/>
              </w:tabs>
              <w:spacing w:line="140" w:lineRule="exact"/>
              <w:jc w:val="center"/>
              <w:rPr>
                <w:sz w:val="20"/>
                <w:szCs w:val="20"/>
                <w:lang w:val="es-AR" w:eastAsia="en-US"/>
              </w:rPr>
            </w:pPr>
          </w:p>
        </w:tc>
        <w:tc>
          <w:tcPr>
            <w:tcW w:w="992" w:type="dxa"/>
            <w:tcBorders>
              <w:top w:val="single" w:sz="4" w:space="0" w:color="auto"/>
            </w:tcBorders>
          </w:tcPr>
          <w:p w14:paraId="5C3582CE" w14:textId="77777777" w:rsidR="0010523F" w:rsidRPr="0010523F" w:rsidRDefault="0010523F" w:rsidP="0010523F">
            <w:pPr>
              <w:tabs>
                <w:tab w:val="left" w:pos="54"/>
                <w:tab w:val="center" w:pos="1037"/>
                <w:tab w:val="right" w:pos="1955"/>
              </w:tabs>
              <w:spacing w:line="140" w:lineRule="exact"/>
              <w:jc w:val="center"/>
              <w:rPr>
                <w:sz w:val="20"/>
                <w:szCs w:val="20"/>
                <w:lang w:val="es-AR" w:eastAsia="en-US"/>
              </w:rPr>
            </w:pPr>
          </w:p>
        </w:tc>
      </w:tr>
      <w:tr w:rsidR="0010523F" w:rsidRPr="0010523F" w14:paraId="2617949B" w14:textId="77777777" w:rsidTr="00774E7E">
        <w:tc>
          <w:tcPr>
            <w:tcW w:w="4141" w:type="dxa"/>
          </w:tcPr>
          <w:p w14:paraId="5F4C8660" w14:textId="77777777" w:rsidR="0010523F" w:rsidRPr="0010523F" w:rsidRDefault="0010523F" w:rsidP="0010523F">
            <w:pPr>
              <w:spacing w:line="200" w:lineRule="exact"/>
              <w:jc w:val="both"/>
              <w:rPr>
                <w:snapToGrid w:val="0"/>
                <w:color w:val="000000"/>
                <w:sz w:val="20"/>
                <w:szCs w:val="20"/>
                <w:lang w:val="es-AR" w:eastAsia="en-US"/>
              </w:rPr>
            </w:pPr>
            <w:r w:rsidRPr="0010523F">
              <w:rPr>
                <w:snapToGrid w:val="0"/>
                <w:color w:val="000000"/>
                <w:sz w:val="20"/>
                <w:szCs w:val="20"/>
                <w:lang w:val="es-AR" w:eastAsia="en-US"/>
              </w:rPr>
              <w:t>Ventas netas y subvenciones</w:t>
            </w:r>
          </w:p>
        </w:tc>
        <w:tc>
          <w:tcPr>
            <w:tcW w:w="709" w:type="dxa"/>
          </w:tcPr>
          <w:p w14:paraId="15CC02D8" w14:textId="77777777" w:rsidR="0010523F" w:rsidRPr="0010523F" w:rsidRDefault="0010523F" w:rsidP="0010523F">
            <w:pPr>
              <w:spacing w:line="200" w:lineRule="exact"/>
              <w:jc w:val="center"/>
              <w:rPr>
                <w:snapToGrid w:val="0"/>
                <w:color w:val="000000"/>
                <w:sz w:val="20"/>
                <w:szCs w:val="20"/>
                <w:lang w:val="es-AR" w:eastAsia="en-US"/>
              </w:rPr>
            </w:pPr>
            <w:r w:rsidRPr="0010523F">
              <w:rPr>
                <w:snapToGrid w:val="0"/>
                <w:color w:val="000000"/>
                <w:sz w:val="20"/>
                <w:szCs w:val="20"/>
                <w:lang w:val="es-AR" w:eastAsia="en-US"/>
              </w:rPr>
              <w:t>(4.a)</w:t>
            </w:r>
          </w:p>
        </w:tc>
        <w:tc>
          <w:tcPr>
            <w:tcW w:w="142" w:type="dxa"/>
          </w:tcPr>
          <w:p w14:paraId="4E95D682"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65532259"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4159AA77" w14:textId="77777777" w:rsidR="0010523F" w:rsidRPr="0010523F" w:rsidRDefault="0010523F" w:rsidP="0010523F">
            <w:pPr>
              <w:tabs>
                <w:tab w:val="decimal" w:pos="819"/>
              </w:tabs>
              <w:spacing w:line="200" w:lineRule="exact"/>
              <w:jc w:val="right"/>
              <w:rPr>
                <w:snapToGrid w:val="0"/>
                <w:color w:val="000000"/>
                <w:sz w:val="20"/>
                <w:szCs w:val="20"/>
                <w:lang w:val="es-AR" w:eastAsia="en-US"/>
              </w:rPr>
            </w:pPr>
            <w:r w:rsidRPr="0010523F">
              <w:rPr>
                <w:snapToGrid w:val="0"/>
                <w:color w:val="000000"/>
                <w:sz w:val="20"/>
                <w:szCs w:val="20"/>
                <w:lang w:val="en-US" w:eastAsia="en-US"/>
              </w:rPr>
              <w:t>54.299</w:t>
            </w:r>
          </w:p>
        </w:tc>
        <w:tc>
          <w:tcPr>
            <w:tcW w:w="284" w:type="dxa"/>
          </w:tcPr>
          <w:p w14:paraId="27ED73EB"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5B84CC4C"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109E55DB"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40.345</w:t>
            </w:r>
          </w:p>
        </w:tc>
        <w:tc>
          <w:tcPr>
            <w:tcW w:w="283" w:type="dxa"/>
          </w:tcPr>
          <w:p w14:paraId="255068A9"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1134" w:type="dxa"/>
          </w:tcPr>
          <w:p w14:paraId="18CBD46B"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134" w:type="dxa"/>
          </w:tcPr>
          <w:p w14:paraId="5EA0C91D"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r w:rsidRPr="0010523F">
              <w:rPr>
                <w:snapToGrid w:val="0"/>
                <w:color w:val="000000"/>
                <w:sz w:val="20"/>
                <w:szCs w:val="20"/>
                <w:lang w:val="en-US" w:eastAsia="en-US"/>
              </w:rPr>
              <w:t>141.679</w:t>
            </w:r>
          </w:p>
        </w:tc>
        <w:tc>
          <w:tcPr>
            <w:tcW w:w="396" w:type="dxa"/>
          </w:tcPr>
          <w:p w14:paraId="595038DF"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417" w:type="dxa"/>
          </w:tcPr>
          <w:p w14:paraId="75A2ACF5"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992" w:type="dxa"/>
          </w:tcPr>
          <w:p w14:paraId="7CD22D0F"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r w:rsidRPr="0010523F">
              <w:rPr>
                <w:snapToGrid w:val="0"/>
                <w:color w:val="000000"/>
                <w:sz w:val="20"/>
                <w:szCs w:val="20"/>
                <w:lang w:val="es-AR" w:eastAsia="en-US"/>
              </w:rPr>
              <w:t>81.649</w:t>
            </w:r>
          </w:p>
        </w:tc>
      </w:tr>
      <w:tr w:rsidR="0010523F" w:rsidRPr="0010523F" w14:paraId="4BC28AC6" w14:textId="77777777" w:rsidTr="00774E7E">
        <w:tc>
          <w:tcPr>
            <w:tcW w:w="4141" w:type="dxa"/>
          </w:tcPr>
          <w:p w14:paraId="71ACD765" w14:textId="77777777" w:rsidR="0010523F" w:rsidRPr="0010523F" w:rsidRDefault="0010523F" w:rsidP="0010523F">
            <w:pPr>
              <w:spacing w:line="200" w:lineRule="exact"/>
              <w:jc w:val="both"/>
              <w:rPr>
                <w:snapToGrid w:val="0"/>
                <w:color w:val="000000"/>
                <w:sz w:val="20"/>
                <w:szCs w:val="20"/>
                <w:lang w:val="es-AR" w:eastAsia="en-US"/>
              </w:rPr>
            </w:pPr>
            <w:r w:rsidRPr="0010523F">
              <w:rPr>
                <w:snapToGrid w:val="0"/>
                <w:color w:val="000000"/>
                <w:sz w:val="20"/>
                <w:szCs w:val="20"/>
                <w:lang w:val="es-AR" w:eastAsia="en-US"/>
              </w:rPr>
              <w:t xml:space="preserve">Costo de ventas </w:t>
            </w:r>
          </w:p>
        </w:tc>
        <w:tc>
          <w:tcPr>
            <w:tcW w:w="709" w:type="dxa"/>
          </w:tcPr>
          <w:p w14:paraId="0ED03CC6" w14:textId="77777777" w:rsidR="0010523F" w:rsidRPr="0010523F" w:rsidRDefault="0010523F" w:rsidP="0010523F">
            <w:pPr>
              <w:spacing w:line="200" w:lineRule="exact"/>
              <w:jc w:val="center"/>
              <w:rPr>
                <w:snapToGrid w:val="0"/>
                <w:color w:val="000000"/>
                <w:sz w:val="20"/>
                <w:szCs w:val="20"/>
                <w:lang w:val="es-AR" w:eastAsia="en-US"/>
              </w:rPr>
            </w:pPr>
            <w:r w:rsidRPr="0010523F">
              <w:rPr>
                <w:snapToGrid w:val="0"/>
                <w:color w:val="000000"/>
                <w:sz w:val="20"/>
                <w:szCs w:val="20"/>
                <w:lang w:val="es-AR" w:eastAsia="en-US"/>
              </w:rPr>
              <w:t>(4.b)</w:t>
            </w:r>
          </w:p>
        </w:tc>
        <w:tc>
          <w:tcPr>
            <w:tcW w:w="142" w:type="dxa"/>
          </w:tcPr>
          <w:p w14:paraId="65B82DCD"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65C20250"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5EDFA608" w14:textId="77777777" w:rsidR="0010523F" w:rsidRPr="0010523F" w:rsidRDefault="0010523F" w:rsidP="0010523F">
            <w:pPr>
              <w:tabs>
                <w:tab w:val="decimal" w:pos="819"/>
              </w:tabs>
              <w:spacing w:line="200" w:lineRule="exact"/>
              <w:jc w:val="right"/>
              <w:rPr>
                <w:snapToGrid w:val="0"/>
                <w:color w:val="000000"/>
                <w:sz w:val="20"/>
                <w:szCs w:val="20"/>
                <w:u w:val="single"/>
                <w:lang w:val="es-AR" w:eastAsia="en-US"/>
              </w:rPr>
            </w:pPr>
            <w:r w:rsidRPr="0010523F">
              <w:rPr>
                <w:snapToGrid w:val="0"/>
                <w:color w:val="000000"/>
                <w:sz w:val="20"/>
                <w:szCs w:val="20"/>
                <w:lang w:val="en-US" w:eastAsia="en-US"/>
              </w:rPr>
              <w:t>(</w:t>
            </w:r>
            <w:r w:rsidRPr="0010523F">
              <w:rPr>
                <w:snapToGrid w:val="0"/>
                <w:color w:val="000000"/>
                <w:sz w:val="20"/>
                <w:szCs w:val="20"/>
                <w:u w:val="single"/>
                <w:lang w:val="en-US" w:eastAsia="en-US"/>
              </w:rPr>
              <w:t>39.153</w:t>
            </w:r>
            <w:r w:rsidRPr="0010523F">
              <w:rPr>
                <w:snapToGrid w:val="0"/>
                <w:color w:val="000000"/>
                <w:sz w:val="20"/>
                <w:szCs w:val="20"/>
                <w:lang w:val="en-US" w:eastAsia="en-US"/>
              </w:rPr>
              <w:t>)</w:t>
            </w:r>
          </w:p>
        </w:tc>
        <w:tc>
          <w:tcPr>
            <w:tcW w:w="284" w:type="dxa"/>
          </w:tcPr>
          <w:p w14:paraId="44F15B1F"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7A418269"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3E34E14B"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28.820</w:t>
            </w:r>
            <w:r w:rsidRPr="0010523F">
              <w:rPr>
                <w:snapToGrid w:val="0"/>
                <w:color w:val="000000"/>
                <w:sz w:val="20"/>
                <w:szCs w:val="20"/>
                <w:lang w:val="es-AR" w:eastAsia="en-US"/>
              </w:rPr>
              <w:t>)</w:t>
            </w:r>
          </w:p>
        </w:tc>
        <w:tc>
          <w:tcPr>
            <w:tcW w:w="283" w:type="dxa"/>
          </w:tcPr>
          <w:p w14:paraId="0DB3CA7F"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1134" w:type="dxa"/>
          </w:tcPr>
          <w:p w14:paraId="456C3238"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134" w:type="dxa"/>
          </w:tcPr>
          <w:p w14:paraId="62CF5E24"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r w:rsidRPr="0010523F">
              <w:rPr>
                <w:snapToGrid w:val="0"/>
                <w:color w:val="000000"/>
                <w:sz w:val="20"/>
                <w:szCs w:val="20"/>
                <w:lang w:val="en-US" w:eastAsia="en-US"/>
              </w:rPr>
              <w:t>(</w:t>
            </w:r>
            <w:r w:rsidRPr="0010523F">
              <w:rPr>
                <w:snapToGrid w:val="0"/>
                <w:color w:val="000000"/>
                <w:sz w:val="20"/>
                <w:szCs w:val="20"/>
                <w:u w:val="single"/>
                <w:lang w:val="en-US" w:eastAsia="en-US"/>
              </w:rPr>
              <w:t>100.024</w:t>
            </w:r>
            <w:r w:rsidRPr="0010523F">
              <w:rPr>
                <w:snapToGrid w:val="0"/>
                <w:color w:val="000000"/>
                <w:sz w:val="20"/>
                <w:szCs w:val="20"/>
                <w:lang w:val="en-US" w:eastAsia="en-US"/>
              </w:rPr>
              <w:t>)</w:t>
            </w:r>
          </w:p>
        </w:tc>
        <w:tc>
          <w:tcPr>
            <w:tcW w:w="396" w:type="dxa"/>
          </w:tcPr>
          <w:p w14:paraId="485B7613"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417" w:type="dxa"/>
          </w:tcPr>
          <w:p w14:paraId="77CD9F6D"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992" w:type="dxa"/>
          </w:tcPr>
          <w:p w14:paraId="266A0159"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57.712</w:t>
            </w:r>
            <w:r w:rsidRPr="0010523F">
              <w:rPr>
                <w:snapToGrid w:val="0"/>
                <w:color w:val="000000"/>
                <w:sz w:val="20"/>
                <w:szCs w:val="20"/>
                <w:lang w:val="es-AR" w:eastAsia="en-US"/>
              </w:rPr>
              <w:t>)</w:t>
            </w:r>
          </w:p>
        </w:tc>
      </w:tr>
      <w:tr w:rsidR="0010523F" w:rsidRPr="0010523F" w14:paraId="367E8DAD" w14:textId="77777777" w:rsidTr="00774E7E">
        <w:tc>
          <w:tcPr>
            <w:tcW w:w="4141" w:type="dxa"/>
            <w:vAlign w:val="bottom"/>
          </w:tcPr>
          <w:p w14:paraId="0152A6CC" w14:textId="77777777" w:rsidR="0010523F" w:rsidRPr="0010523F" w:rsidRDefault="0010523F" w:rsidP="0010523F">
            <w:pPr>
              <w:spacing w:line="140" w:lineRule="exact"/>
              <w:jc w:val="right"/>
              <w:rPr>
                <w:snapToGrid w:val="0"/>
                <w:color w:val="000000"/>
                <w:sz w:val="20"/>
                <w:szCs w:val="20"/>
                <w:lang w:val="es-AR" w:eastAsia="en-US"/>
              </w:rPr>
            </w:pPr>
          </w:p>
        </w:tc>
        <w:tc>
          <w:tcPr>
            <w:tcW w:w="709" w:type="dxa"/>
            <w:vAlign w:val="bottom"/>
          </w:tcPr>
          <w:p w14:paraId="5AD5A3EB" w14:textId="77777777" w:rsidR="0010523F" w:rsidRPr="0010523F" w:rsidRDefault="0010523F" w:rsidP="0010523F">
            <w:pPr>
              <w:spacing w:line="140" w:lineRule="exact"/>
              <w:jc w:val="center"/>
              <w:rPr>
                <w:snapToGrid w:val="0"/>
                <w:color w:val="000000"/>
                <w:sz w:val="20"/>
                <w:szCs w:val="20"/>
                <w:lang w:val="es-AR" w:eastAsia="en-US"/>
              </w:rPr>
            </w:pPr>
          </w:p>
        </w:tc>
        <w:tc>
          <w:tcPr>
            <w:tcW w:w="142" w:type="dxa"/>
          </w:tcPr>
          <w:p w14:paraId="50FE56F9" w14:textId="77777777" w:rsidR="0010523F" w:rsidRPr="0010523F" w:rsidRDefault="0010523F" w:rsidP="0010523F">
            <w:pPr>
              <w:tabs>
                <w:tab w:val="decimal" w:pos="934"/>
              </w:tabs>
              <w:spacing w:line="140" w:lineRule="exact"/>
              <w:jc w:val="both"/>
              <w:rPr>
                <w:snapToGrid w:val="0"/>
                <w:color w:val="000000"/>
                <w:sz w:val="20"/>
                <w:szCs w:val="20"/>
                <w:lang w:val="es-AR" w:eastAsia="en-US"/>
              </w:rPr>
            </w:pPr>
          </w:p>
        </w:tc>
        <w:tc>
          <w:tcPr>
            <w:tcW w:w="992" w:type="dxa"/>
          </w:tcPr>
          <w:p w14:paraId="485B6347"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992" w:type="dxa"/>
            <w:vAlign w:val="bottom"/>
          </w:tcPr>
          <w:p w14:paraId="74FC65F1"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284" w:type="dxa"/>
          </w:tcPr>
          <w:p w14:paraId="11DFD5E0"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992" w:type="dxa"/>
          </w:tcPr>
          <w:p w14:paraId="531CA7A6"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1134" w:type="dxa"/>
          </w:tcPr>
          <w:p w14:paraId="0D586AC4"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283" w:type="dxa"/>
          </w:tcPr>
          <w:p w14:paraId="1404A46B"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1134" w:type="dxa"/>
          </w:tcPr>
          <w:p w14:paraId="11244DBA"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1134" w:type="dxa"/>
          </w:tcPr>
          <w:p w14:paraId="38C69C88"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396" w:type="dxa"/>
          </w:tcPr>
          <w:p w14:paraId="366FDD95"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1417" w:type="dxa"/>
          </w:tcPr>
          <w:p w14:paraId="7C945E3D"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992" w:type="dxa"/>
          </w:tcPr>
          <w:p w14:paraId="62F04471"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r>
      <w:tr w:rsidR="0010523F" w:rsidRPr="0010523F" w14:paraId="50D99448" w14:textId="77777777" w:rsidTr="00774E7E">
        <w:tc>
          <w:tcPr>
            <w:tcW w:w="4141" w:type="dxa"/>
          </w:tcPr>
          <w:p w14:paraId="300DEB88" w14:textId="77777777" w:rsidR="0010523F" w:rsidRPr="0010523F" w:rsidRDefault="0010523F" w:rsidP="0010523F">
            <w:pPr>
              <w:spacing w:line="200" w:lineRule="exact"/>
              <w:jc w:val="both"/>
              <w:rPr>
                <w:b/>
                <w:snapToGrid w:val="0"/>
                <w:color w:val="000000"/>
                <w:sz w:val="20"/>
                <w:szCs w:val="20"/>
                <w:lang w:val="es-AR" w:eastAsia="en-US"/>
              </w:rPr>
            </w:pPr>
            <w:r w:rsidRPr="0010523F">
              <w:rPr>
                <w:b/>
                <w:snapToGrid w:val="0"/>
                <w:color w:val="000000"/>
                <w:sz w:val="20"/>
                <w:szCs w:val="20"/>
                <w:lang w:val="es-AR" w:eastAsia="en-US"/>
              </w:rPr>
              <w:t>Ganancia bruta</w:t>
            </w:r>
          </w:p>
        </w:tc>
        <w:tc>
          <w:tcPr>
            <w:tcW w:w="709" w:type="dxa"/>
          </w:tcPr>
          <w:p w14:paraId="21119766" w14:textId="77777777" w:rsidR="0010523F" w:rsidRPr="0010523F" w:rsidRDefault="0010523F" w:rsidP="0010523F">
            <w:pPr>
              <w:spacing w:line="200" w:lineRule="exact"/>
              <w:jc w:val="center"/>
              <w:rPr>
                <w:b/>
                <w:snapToGrid w:val="0"/>
                <w:color w:val="000000"/>
                <w:sz w:val="20"/>
                <w:szCs w:val="20"/>
                <w:lang w:val="es-AR" w:eastAsia="en-US"/>
              </w:rPr>
            </w:pPr>
          </w:p>
        </w:tc>
        <w:tc>
          <w:tcPr>
            <w:tcW w:w="142" w:type="dxa"/>
          </w:tcPr>
          <w:p w14:paraId="3AE9F979"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3D14737E"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549F8F20" w14:textId="77777777" w:rsidR="0010523F" w:rsidRPr="0010523F" w:rsidRDefault="0010523F" w:rsidP="0010523F">
            <w:pPr>
              <w:tabs>
                <w:tab w:val="decimal" w:pos="819"/>
              </w:tabs>
              <w:spacing w:line="200" w:lineRule="exact"/>
              <w:jc w:val="right"/>
              <w:rPr>
                <w:snapToGrid w:val="0"/>
                <w:color w:val="000000"/>
                <w:sz w:val="20"/>
                <w:szCs w:val="20"/>
                <w:lang w:val="es-AR" w:eastAsia="en-US"/>
              </w:rPr>
            </w:pPr>
            <w:r w:rsidRPr="0010523F">
              <w:rPr>
                <w:snapToGrid w:val="0"/>
                <w:color w:val="000000"/>
                <w:sz w:val="20"/>
                <w:szCs w:val="20"/>
                <w:lang w:val="en-US" w:eastAsia="en-US"/>
              </w:rPr>
              <w:t>15.146</w:t>
            </w:r>
          </w:p>
        </w:tc>
        <w:tc>
          <w:tcPr>
            <w:tcW w:w="284" w:type="dxa"/>
          </w:tcPr>
          <w:p w14:paraId="08429D1D"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7E9216E1"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4584C287"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11.525</w:t>
            </w:r>
          </w:p>
        </w:tc>
        <w:tc>
          <w:tcPr>
            <w:tcW w:w="283" w:type="dxa"/>
          </w:tcPr>
          <w:p w14:paraId="11279A93"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1134" w:type="dxa"/>
          </w:tcPr>
          <w:p w14:paraId="3761B199"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134" w:type="dxa"/>
          </w:tcPr>
          <w:p w14:paraId="39E71D43"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r w:rsidRPr="0010523F">
              <w:rPr>
                <w:snapToGrid w:val="0"/>
                <w:color w:val="000000"/>
                <w:sz w:val="20"/>
                <w:szCs w:val="20"/>
                <w:lang w:val="en-US" w:eastAsia="en-US"/>
              </w:rPr>
              <w:t>41.655</w:t>
            </w:r>
          </w:p>
        </w:tc>
        <w:tc>
          <w:tcPr>
            <w:tcW w:w="396" w:type="dxa"/>
          </w:tcPr>
          <w:p w14:paraId="725A75A5"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417" w:type="dxa"/>
          </w:tcPr>
          <w:p w14:paraId="136020C6"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992" w:type="dxa"/>
          </w:tcPr>
          <w:p w14:paraId="69D5F9B5"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r w:rsidRPr="0010523F">
              <w:rPr>
                <w:snapToGrid w:val="0"/>
                <w:color w:val="000000"/>
                <w:sz w:val="20"/>
                <w:szCs w:val="20"/>
                <w:lang w:val="es-AR" w:eastAsia="en-US"/>
              </w:rPr>
              <w:t>23.937</w:t>
            </w:r>
          </w:p>
        </w:tc>
      </w:tr>
      <w:tr w:rsidR="0010523F" w:rsidRPr="0010523F" w14:paraId="77223900" w14:textId="77777777" w:rsidTr="00774E7E">
        <w:tc>
          <w:tcPr>
            <w:tcW w:w="4141" w:type="dxa"/>
          </w:tcPr>
          <w:p w14:paraId="461A6DD7" w14:textId="77777777" w:rsidR="0010523F" w:rsidRPr="0010523F" w:rsidRDefault="0010523F" w:rsidP="0010523F">
            <w:pPr>
              <w:spacing w:line="200" w:lineRule="exact"/>
              <w:jc w:val="both"/>
              <w:rPr>
                <w:snapToGrid w:val="0"/>
                <w:color w:val="000000"/>
                <w:sz w:val="20"/>
                <w:szCs w:val="20"/>
                <w:lang w:val="es-AR" w:eastAsia="en-US"/>
              </w:rPr>
            </w:pPr>
          </w:p>
        </w:tc>
        <w:tc>
          <w:tcPr>
            <w:tcW w:w="709" w:type="dxa"/>
          </w:tcPr>
          <w:p w14:paraId="7EF4A938" w14:textId="77777777" w:rsidR="0010523F" w:rsidRPr="0010523F" w:rsidRDefault="0010523F" w:rsidP="0010523F">
            <w:pPr>
              <w:spacing w:line="200" w:lineRule="exact"/>
              <w:jc w:val="center"/>
              <w:rPr>
                <w:snapToGrid w:val="0"/>
                <w:color w:val="000000"/>
                <w:sz w:val="20"/>
                <w:szCs w:val="20"/>
                <w:lang w:val="es-AR" w:eastAsia="en-US"/>
              </w:rPr>
            </w:pPr>
          </w:p>
        </w:tc>
        <w:tc>
          <w:tcPr>
            <w:tcW w:w="142" w:type="dxa"/>
          </w:tcPr>
          <w:p w14:paraId="0B0CBA90"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025DEB7A"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681F4D88"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284" w:type="dxa"/>
          </w:tcPr>
          <w:p w14:paraId="13EE4CAD"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38005367"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7F8C65FD"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283" w:type="dxa"/>
          </w:tcPr>
          <w:p w14:paraId="4831975E"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1134" w:type="dxa"/>
          </w:tcPr>
          <w:p w14:paraId="3188BFC0"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1134" w:type="dxa"/>
          </w:tcPr>
          <w:p w14:paraId="6630F0FB"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396" w:type="dxa"/>
          </w:tcPr>
          <w:p w14:paraId="7E99AAEA"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1417" w:type="dxa"/>
          </w:tcPr>
          <w:p w14:paraId="683EDC20"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992" w:type="dxa"/>
          </w:tcPr>
          <w:p w14:paraId="4E8FA10C"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r>
      <w:tr w:rsidR="0010523F" w:rsidRPr="0010523F" w14:paraId="7023688F" w14:textId="77777777" w:rsidTr="00774E7E">
        <w:tc>
          <w:tcPr>
            <w:tcW w:w="4141" w:type="dxa"/>
            <w:vAlign w:val="bottom"/>
          </w:tcPr>
          <w:p w14:paraId="76F1A790" w14:textId="77777777" w:rsidR="0010523F" w:rsidRPr="0010523F" w:rsidRDefault="0010523F" w:rsidP="0010523F">
            <w:pPr>
              <w:spacing w:line="200" w:lineRule="exact"/>
              <w:jc w:val="both"/>
              <w:rPr>
                <w:snapToGrid w:val="0"/>
                <w:color w:val="000000"/>
                <w:sz w:val="20"/>
                <w:szCs w:val="20"/>
                <w:lang w:val="es-AR" w:eastAsia="en-US"/>
              </w:rPr>
            </w:pPr>
            <w:r w:rsidRPr="0010523F">
              <w:rPr>
                <w:snapToGrid w:val="0"/>
                <w:color w:val="000000"/>
                <w:sz w:val="20"/>
                <w:szCs w:val="20"/>
                <w:lang w:val="es-AR" w:eastAsia="en-US"/>
              </w:rPr>
              <w:t>Gastos de exploración</w:t>
            </w:r>
          </w:p>
        </w:tc>
        <w:tc>
          <w:tcPr>
            <w:tcW w:w="709" w:type="dxa"/>
            <w:vAlign w:val="bottom"/>
          </w:tcPr>
          <w:p w14:paraId="2FB6352D" w14:textId="77777777" w:rsidR="0010523F" w:rsidRPr="0010523F" w:rsidRDefault="0010523F" w:rsidP="0010523F">
            <w:pPr>
              <w:spacing w:line="200" w:lineRule="exact"/>
              <w:jc w:val="center"/>
              <w:rPr>
                <w:snapToGrid w:val="0"/>
                <w:color w:val="000000"/>
                <w:sz w:val="20"/>
                <w:szCs w:val="20"/>
                <w:lang w:val="es-AR" w:eastAsia="en-US"/>
              </w:rPr>
            </w:pPr>
            <w:r w:rsidRPr="0010523F">
              <w:rPr>
                <w:snapToGrid w:val="0"/>
                <w:color w:val="000000"/>
                <w:sz w:val="20"/>
                <w:szCs w:val="20"/>
                <w:lang w:val="es-AR" w:eastAsia="en-US"/>
              </w:rPr>
              <w:t>(4.c)</w:t>
            </w:r>
          </w:p>
        </w:tc>
        <w:tc>
          <w:tcPr>
            <w:tcW w:w="142" w:type="dxa"/>
          </w:tcPr>
          <w:p w14:paraId="7C22CE8B"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5E5AAA79"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574AC716" w14:textId="77777777" w:rsidR="0010523F" w:rsidRPr="0010523F" w:rsidRDefault="0010523F" w:rsidP="0010523F">
            <w:pPr>
              <w:tabs>
                <w:tab w:val="decimal" w:pos="819"/>
              </w:tabs>
              <w:spacing w:line="200" w:lineRule="exact"/>
              <w:jc w:val="right"/>
              <w:rPr>
                <w:snapToGrid w:val="0"/>
                <w:color w:val="000000"/>
                <w:sz w:val="20"/>
                <w:szCs w:val="20"/>
                <w:lang w:val="es-AR" w:eastAsia="en-US"/>
              </w:rPr>
            </w:pPr>
            <w:r w:rsidRPr="0010523F">
              <w:rPr>
                <w:snapToGrid w:val="0"/>
                <w:color w:val="000000"/>
                <w:sz w:val="20"/>
                <w:szCs w:val="20"/>
                <w:lang w:val="en-US" w:eastAsia="en-US"/>
              </w:rPr>
              <w:t>-</w:t>
            </w:r>
          </w:p>
        </w:tc>
        <w:tc>
          <w:tcPr>
            <w:tcW w:w="284" w:type="dxa"/>
          </w:tcPr>
          <w:p w14:paraId="6AC47CBE"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0EF2787E"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070529CE"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        26)</w:t>
            </w:r>
          </w:p>
        </w:tc>
        <w:tc>
          <w:tcPr>
            <w:tcW w:w="283" w:type="dxa"/>
          </w:tcPr>
          <w:p w14:paraId="6C2187DE"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1134" w:type="dxa"/>
          </w:tcPr>
          <w:p w14:paraId="5D664D27"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134" w:type="dxa"/>
          </w:tcPr>
          <w:p w14:paraId="38AAB499"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r w:rsidRPr="0010523F">
              <w:rPr>
                <w:snapToGrid w:val="0"/>
                <w:color w:val="000000"/>
                <w:sz w:val="20"/>
                <w:szCs w:val="20"/>
                <w:lang w:val="en-US" w:eastAsia="en-US"/>
              </w:rPr>
              <w:t>-</w:t>
            </w:r>
          </w:p>
        </w:tc>
        <w:tc>
          <w:tcPr>
            <w:tcW w:w="396" w:type="dxa"/>
          </w:tcPr>
          <w:p w14:paraId="07DF2CD9"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417" w:type="dxa"/>
          </w:tcPr>
          <w:p w14:paraId="17C83D74"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992" w:type="dxa"/>
          </w:tcPr>
          <w:p w14:paraId="77EA3C97"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r w:rsidRPr="0010523F">
              <w:rPr>
                <w:snapToGrid w:val="0"/>
                <w:color w:val="000000"/>
                <w:sz w:val="20"/>
                <w:szCs w:val="20"/>
                <w:lang w:val="es-AR" w:eastAsia="en-US"/>
              </w:rPr>
              <w:t>(      330)</w:t>
            </w:r>
          </w:p>
        </w:tc>
      </w:tr>
      <w:tr w:rsidR="0010523F" w:rsidRPr="0010523F" w14:paraId="17888467" w14:textId="77777777" w:rsidTr="00774E7E">
        <w:tc>
          <w:tcPr>
            <w:tcW w:w="4141" w:type="dxa"/>
            <w:vAlign w:val="bottom"/>
          </w:tcPr>
          <w:p w14:paraId="196F31F5" w14:textId="77777777" w:rsidR="0010523F" w:rsidRPr="0010523F" w:rsidRDefault="0010523F" w:rsidP="0010523F">
            <w:pPr>
              <w:spacing w:line="200" w:lineRule="exact"/>
              <w:jc w:val="both"/>
              <w:rPr>
                <w:snapToGrid w:val="0"/>
                <w:color w:val="000000"/>
                <w:sz w:val="20"/>
                <w:szCs w:val="20"/>
                <w:lang w:val="es-AR" w:eastAsia="en-US"/>
              </w:rPr>
            </w:pPr>
            <w:r w:rsidRPr="0010523F">
              <w:rPr>
                <w:snapToGrid w:val="0"/>
                <w:color w:val="000000"/>
                <w:sz w:val="20"/>
                <w:szCs w:val="20"/>
                <w:lang w:val="es-AR" w:eastAsia="en-US"/>
              </w:rPr>
              <w:t>Gastos de administración</w:t>
            </w:r>
          </w:p>
        </w:tc>
        <w:tc>
          <w:tcPr>
            <w:tcW w:w="709" w:type="dxa"/>
            <w:vAlign w:val="bottom"/>
          </w:tcPr>
          <w:p w14:paraId="59DC4F28" w14:textId="77777777" w:rsidR="0010523F" w:rsidRPr="0010523F" w:rsidRDefault="0010523F" w:rsidP="0010523F">
            <w:pPr>
              <w:spacing w:line="200" w:lineRule="exact"/>
              <w:jc w:val="center"/>
              <w:rPr>
                <w:snapToGrid w:val="0"/>
                <w:color w:val="000000"/>
                <w:sz w:val="20"/>
                <w:szCs w:val="20"/>
                <w:lang w:val="es-AR" w:eastAsia="en-US"/>
              </w:rPr>
            </w:pPr>
            <w:r w:rsidRPr="0010523F">
              <w:rPr>
                <w:snapToGrid w:val="0"/>
                <w:color w:val="000000"/>
                <w:sz w:val="20"/>
                <w:szCs w:val="20"/>
                <w:lang w:val="es-AR" w:eastAsia="en-US"/>
              </w:rPr>
              <w:t>(4.c)</w:t>
            </w:r>
          </w:p>
        </w:tc>
        <w:tc>
          <w:tcPr>
            <w:tcW w:w="142" w:type="dxa"/>
          </w:tcPr>
          <w:p w14:paraId="73D5927C"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6361A0E5"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vAlign w:val="bottom"/>
          </w:tcPr>
          <w:p w14:paraId="33666927" w14:textId="77777777" w:rsidR="0010523F" w:rsidRPr="0010523F" w:rsidRDefault="0010523F" w:rsidP="0010523F">
            <w:pPr>
              <w:tabs>
                <w:tab w:val="decimal" w:pos="819"/>
              </w:tabs>
              <w:spacing w:line="200" w:lineRule="exact"/>
              <w:jc w:val="right"/>
              <w:rPr>
                <w:snapToGrid w:val="0"/>
                <w:color w:val="000000"/>
                <w:sz w:val="20"/>
                <w:szCs w:val="20"/>
                <w:lang w:val="es-AR" w:eastAsia="en-US"/>
              </w:rPr>
            </w:pPr>
            <w:r w:rsidRPr="0010523F">
              <w:rPr>
                <w:snapToGrid w:val="0"/>
                <w:color w:val="000000"/>
                <w:sz w:val="20"/>
                <w:szCs w:val="20"/>
                <w:lang w:val="en-US" w:eastAsia="en-US"/>
              </w:rPr>
              <w:t>(  3.306)</w:t>
            </w:r>
          </w:p>
        </w:tc>
        <w:tc>
          <w:tcPr>
            <w:tcW w:w="284" w:type="dxa"/>
          </w:tcPr>
          <w:p w14:paraId="7ADCCF96"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0414A635"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2738E458"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   2.350)</w:t>
            </w:r>
          </w:p>
        </w:tc>
        <w:tc>
          <w:tcPr>
            <w:tcW w:w="283" w:type="dxa"/>
          </w:tcPr>
          <w:p w14:paraId="4C9CDA70"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1134" w:type="dxa"/>
          </w:tcPr>
          <w:p w14:paraId="3874C5B1"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134" w:type="dxa"/>
          </w:tcPr>
          <w:p w14:paraId="72D0EA52"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r w:rsidRPr="0010523F">
              <w:rPr>
                <w:snapToGrid w:val="0"/>
                <w:color w:val="000000"/>
                <w:sz w:val="20"/>
                <w:szCs w:val="20"/>
                <w:lang w:val="en-US" w:eastAsia="en-US"/>
              </w:rPr>
              <w:t>(  8.669)</w:t>
            </w:r>
          </w:p>
        </w:tc>
        <w:tc>
          <w:tcPr>
            <w:tcW w:w="396" w:type="dxa"/>
          </w:tcPr>
          <w:p w14:paraId="53BA2F85"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417" w:type="dxa"/>
          </w:tcPr>
          <w:p w14:paraId="28BDD22A"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992" w:type="dxa"/>
          </w:tcPr>
          <w:p w14:paraId="15346EBA"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r w:rsidRPr="0010523F">
              <w:rPr>
                <w:snapToGrid w:val="0"/>
                <w:color w:val="000000"/>
                <w:sz w:val="20"/>
                <w:szCs w:val="20"/>
                <w:lang w:val="es-AR" w:eastAsia="en-US"/>
              </w:rPr>
              <w:t>(   4.979)</w:t>
            </w:r>
          </w:p>
        </w:tc>
      </w:tr>
      <w:tr w:rsidR="0010523F" w:rsidRPr="0010523F" w14:paraId="1230B36E" w14:textId="77777777" w:rsidTr="00774E7E">
        <w:tc>
          <w:tcPr>
            <w:tcW w:w="4141" w:type="dxa"/>
            <w:vAlign w:val="bottom"/>
          </w:tcPr>
          <w:p w14:paraId="6B4C2B0C" w14:textId="77777777" w:rsidR="0010523F" w:rsidRPr="0010523F" w:rsidRDefault="0010523F" w:rsidP="0010523F">
            <w:pPr>
              <w:spacing w:line="200" w:lineRule="exact"/>
              <w:jc w:val="both"/>
              <w:rPr>
                <w:snapToGrid w:val="0"/>
                <w:color w:val="000000"/>
                <w:sz w:val="20"/>
                <w:szCs w:val="20"/>
                <w:lang w:val="es-AR" w:eastAsia="en-US"/>
              </w:rPr>
            </w:pPr>
            <w:r w:rsidRPr="0010523F">
              <w:rPr>
                <w:snapToGrid w:val="0"/>
                <w:color w:val="000000"/>
                <w:sz w:val="20"/>
                <w:szCs w:val="20"/>
                <w:lang w:val="es-AR" w:eastAsia="en-US"/>
              </w:rPr>
              <w:t xml:space="preserve">Gastos de comercialización </w:t>
            </w:r>
          </w:p>
        </w:tc>
        <w:tc>
          <w:tcPr>
            <w:tcW w:w="709" w:type="dxa"/>
            <w:vAlign w:val="bottom"/>
          </w:tcPr>
          <w:p w14:paraId="641C5E13" w14:textId="77777777" w:rsidR="0010523F" w:rsidRPr="0010523F" w:rsidRDefault="0010523F" w:rsidP="0010523F">
            <w:pPr>
              <w:spacing w:line="200" w:lineRule="exact"/>
              <w:jc w:val="center"/>
              <w:rPr>
                <w:snapToGrid w:val="0"/>
                <w:color w:val="000000"/>
                <w:sz w:val="20"/>
                <w:szCs w:val="20"/>
                <w:lang w:val="es-AR" w:eastAsia="en-US"/>
              </w:rPr>
            </w:pPr>
            <w:r w:rsidRPr="0010523F">
              <w:rPr>
                <w:snapToGrid w:val="0"/>
                <w:color w:val="000000"/>
                <w:sz w:val="20"/>
                <w:szCs w:val="20"/>
                <w:lang w:val="es-AR" w:eastAsia="en-US"/>
              </w:rPr>
              <w:t>(4.c)</w:t>
            </w:r>
          </w:p>
        </w:tc>
        <w:tc>
          <w:tcPr>
            <w:tcW w:w="142" w:type="dxa"/>
          </w:tcPr>
          <w:p w14:paraId="2F51DC57"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727EBC7C"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vAlign w:val="bottom"/>
          </w:tcPr>
          <w:p w14:paraId="0311DACF" w14:textId="77777777" w:rsidR="0010523F" w:rsidRPr="0010523F" w:rsidRDefault="0010523F" w:rsidP="0010523F">
            <w:pPr>
              <w:tabs>
                <w:tab w:val="decimal" w:pos="819"/>
              </w:tabs>
              <w:spacing w:line="200" w:lineRule="exact"/>
              <w:jc w:val="right"/>
              <w:rPr>
                <w:snapToGrid w:val="0"/>
                <w:color w:val="000000"/>
                <w:sz w:val="20"/>
                <w:szCs w:val="20"/>
                <w:u w:val="single"/>
                <w:lang w:val="es-AR" w:eastAsia="en-US"/>
              </w:rPr>
            </w:pPr>
            <w:r w:rsidRPr="0010523F">
              <w:rPr>
                <w:snapToGrid w:val="0"/>
                <w:color w:val="000000"/>
                <w:sz w:val="20"/>
                <w:szCs w:val="20"/>
                <w:u w:val="single"/>
                <w:lang w:val="es-AR" w:eastAsia="en-US"/>
              </w:rPr>
              <w:t>(  3.655)</w:t>
            </w:r>
          </w:p>
        </w:tc>
        <w:tc>
          <w:tcPr>
            <w:tcW w:w="284" w:type="dxa"/>
          </w:tcPr>
          <w:p w14:paraId="5F03F11E"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3545F567"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57E4314E"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2.047</w:t>
            </w:r>
            <w:r w:rsidRPr="0010523F">
              <w:rPr>
                <w:snapToGrid w:val="0"/>
                <w:color w:val="000000"/>
                <w:sz w:val="20"/>
                <w:szCs w:val="20"/>
                <w:lang w:val="es-AR" w:eastAsia="en-US"/>
              </w:rPr>
              <w:t>)</w:t>
            </w:r>
          </w:p>
        </w:tc>
        <w:tc>
          <w:tcPr>
            <w:tcW w:w="283" w:type="dxa"/>
          </w:tcPr>
          <w:p w14:paraId="684462B6"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1134" w:type="dxa"/>
          </w:tcPr>
          <w:p w14:paraId="228BD71B"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p>
        </w:tc>
        <w:tc>
          <w:tcPr>
            <w:tcW w:w="1134" w:type="dxa"/>
          </w:tcPr>
          <w:p w14:paraId="69C7EB5E"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r w:rsidRPr="0010523F">
              <w:rPr>
                <w:snapToGrid w:val="0"/>
                <w:color w:val="000000"/>
                <w:sz w:val="20"/>
                <w:szCs w:val="20"/>
                <w:lang w:val="en-US" w:eastAsia="en-US"/>
              </w:rPr>
              <w:t>(</w:t>
            </w:r>
            <w:r w:rsidRPr="0010523F">
              <w:rPr>
                <w:snapToGrid w:val="0"/>
                <w:color w:val="000000"/>
                <w:sz w:val="20"/>
                <w:szCs w:val="20"/>
                <w:u w:val="single"/>
                <w:lang w:val="en-US" w:eastAsia="en-US"/>
              </w:rPr>
              <w:t xml:space="preserve">  9.806</w:t>
            </w:r>
            <w:r w:rsidRPr="0010523F">
              <w:rPr>
                <w:snapToGrid w:val="0"/>
                <w:color w:val="000000"/>
                <w:sz w:val="20"/>
                <w:szCs w:val="20"/>
                <w:lang w:val="en-US" w:eastAsia="en-US"/>
              </w:rPr>
              <w:t>)</w:t>
            </w:r>
          </w:p>
        </w:tc>
        <w:tc>
          <w:tcPr>
            <w:tcW w:w="396" w:type="dxa"/>
          </w:tcPr>
          <w:p w14:paraId="359D56B5"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p>
        </w:tc>
        <w:tc>
          <w:tcPr>
            <w:tcW w:w="1417" w:type="dxa"/>
          </w:tcPr>
          <w:p w14:paraId="70142442"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992" w:type="dxa"/>
          </w:tcPr>
          <w:p w14:paraId="4FBFF542"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3.702</w:t>
            </w:r>
            <w:r w:rsidRPr="0010523F">
              <w:rPr>
                <w:snapToGrid w:val="0"/>
                <w:color w:val="000000"/>
                <w:sz w:val="20"/>
                <w:szCs w:val="20"/>
                <w:lang w:val="es-AR" w:eastAsia="en-US"/>
              </w:rPr>
              <w:t>)</w:t>
            </w:r>
          </w:p>
        </w:tc>
      </w:tr>
      <w:tr w:rsidR="0010523F" w:rsidRPr="0010523F" w14:paraId="1088695B" w14:textId="77777777" w:rsidTr="00774E7E">
        <w:tc>
          <w:tcPr>
            <w:tcW w:w="4141" w:type="dxa"/>
            <w:vAlign w:val="bottom"/>
          </w:tcPr>
          <w:p w14:paraId="71603D41" w14:textId="77777777" w:rsidR="0010523F" w:rsidRPr="0010523F" w:rsidRDefault="0010523F" w:rsidP="0010523F">
            <w:pPr>
              <w:spacing w:line="140" w:lineRule="exact"/>
              <w:jc w:val="right"/>
              <w:rPr>
                <w:snapToGrid w:val="0"/>
                <w:color w:val="000000"/>
                <w:sz w:val="20"/>
                <w:szCs w:val="20"/>
                <w:lang w:val="es-AR" w:eastAsia="en-US"/>
              </w:rPr>
            </w:pPr>
          </w:p>
        </w:tc>
        <w:tc>
          <w:tcPr>
            <w:tcW w:w="709" w:type="dxa"/>
            <w:vAlign w:val="bottom"/>
          </w:tcPr>
          <w:p w14:paraId="141ACC98" w14:textId="77777777" w:rsidR="0010523F" w:rsidRPr="0010523F" w:rsidRDefault="0010523F" w:rsidP="0010523F">
            <w:pPr>
              <w:spacing w:line="140" w:lineRule="exact"/>
              <w:jc w:val="center"/>
              <w:rPr>
                <w:snapToGrid w:val="0"/>
                <w:color w:val="000000"/>
                <w:sz w:val="20"/>
                <w:szCs w:val="20"/>
                <w:lang w:val="es-AR" w:eastAsia="en-US"/>
              </w:rPr>
            </w:pPr>
          </w:p>
        </w:tc>
        <w:tc>
          <w:tcPr>
            <w:tcW w:w="142" w:type="dxa"/>
          </w:tcPr>
          <w:p w14:paraId="63279EEF" w14:textId="77777777" w:rsidR="0010523F" w:rsidRPr="0010523F" w:rsidRDefault="0010523F" w:rsidP="0010523F">
            <w:pPr>
              <w:tabs>
                <w:tab w:val="decimal" w:pos="934"/>
              </w:tabs>
              <w:spacing w:line="140" w:lineRule="exact"/>
              <w:jc w:val="both"/>
              <w:rPr>
                <w:snapToGrid w:val="0"/>
                <w:color w:val="000000"/>
                <w:sz w:val="20"/>
                <w:szCs w:val="20"/>
                <w:lang w:val="es-AR" w:eastAsia="en-US"/>
              </w:rPr>
            </w:pPr>
          </w:p>
        </w:tc>
        <w:tc>
          <w:tcPr>
            <w:tcW w:w="992" w:type="dxa"/>
          </w:tcPr>
          <w:p w14:paraId="02092E1D"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992" w:type="dxa"/>
            <w:vAlign w:val="bottom"/>
          </w:tcPr>
          <w:p w14:paraId="353AC89B"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284" w:type="dxa"/>
          </w:tcPr>
          <w:p w14:paraId="2B2EB363"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992" w:type="dxa"/>
          </w:tcPr>
          <w:p w14:paraId="39A4959D"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1134" w:type="dxa"/>
          </w:tcPr>
          <w:p w14:paraId="7A0C67CC"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283" w:type="dxa"/>
          </w:tcPr>
          <w:p w14:paraId="48F6ED0D"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1134" w:type="dxa"/>
          </w:tcPr>
          <w:p w14:paraId="43F0F3F3"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1134" w:type="dxa"/>
          </w:tcPr>
          <w:p w14:paraId="0DCB7E28"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396" w:type="dxa"/>
          </w:tcPr>
          <w:p w14:paraId="52B385F1"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1417" w:type="dxa"/>
          </w:tcPr>
          <w:p w14:paraId="4C265E58"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992" w:type="dxa"/>
          </w:tcPr>
          <w:p w14:paraId="76FE301B"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r>
      <w:tr w:rsidR="0010523F" w:rsidRPr="0010523F" w14:paraId="23D7FDA5" w14:textId="77777777" w:rsidTr="00774E7E">
        <w:tc>
          <w:tcPr>
            <w:tcW w:w="4141" w:type="dxa"/>
            <w:vAlign w:val="bottom"/>
          </w:tcPr>
          <w:p w14:paraId="5C3E911D" w14:textId="77777777" w:rsidR="0010523F" w:rsidRPr="0010523F" w:rsidRDefault="0010523F" w:rsidP="0010523F">
            <w:pPr>
              <w:spacing w:line="200" w:lineRule="exact"/>
              <w:jc w:val="both"/>
              <w:rPr>
                <w:b/>
                <w:snapToGrid w:val="0"/>
                <w:color w:val="000000"/>
                <w:sz w:val="20"/>
                <w:szCs w:val="20"/>
                <w:lang w:val="es-AR" w:eastAsia="en-US"/>
              </w:rPr>
            </w:pPr>
            <w:r w:rsidRPr="0010523F">
              <w:rPr>
                <w:b/>
                <w:snapToGrid w:val="0"/>
                <w:color w:val="000000"/>
                <w:sz w:val="20"/>
                <w:szCs w:val="20"/>
                <w:lang w:val="es-AR" w:eastAsia="en-US"/>
              </w:rPr>
              <w:t>Resultado operativo - ganancia</w:t>
            </w:r>
          </w:p>
        </w:tc>
        <w:tc>
          <w:tcPr>
            <w:tcW w:w="709" w:type="dxa"/>
            <w:vAlign w:val="bottom"/>
          </w:tcPr>
          <w:p w14:paraId="6751E332" w14:textId="77777777" w:rsidR="0010523F" w:rsidRPr="0010523F" w:rsidRDefault="0010523F" w:rsidP="0010523F">
            <w:pPr>
              <w:spacing w:line="200" w:lineRule="exact"/>
              <w:jc w:val="center"/>
              <w:rPr>
                <w:b/>
                <w:snapToGrid w:val="0"/>
                <w:color w:val="000000"/>
                <w:sz w:val="20"/>
                <w:szCs w:val="20"/>
                <w:lang w:val="es-AR" w:eastAsia="en-US"/>
              </w:rPr>
            </w:pPr>
          </w:p>
        </w:tc>
        <w:tc>
          <w:tcPr>
            <w:tcW w:w="142" w:type="dxa"/>
          </w:tcPr>
          <w:p w14:paraId="4B85D0F3"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67ADE7AC"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159D92D2" w14:textId="77777777" w:rsidR="0010523F" w:rsidRPr="0010523F" w:rsidRDefault="0010523F" w:rsidP="0010523F">
            <w:pPr>
              <w:tabs>
                <w:tab w:val="decimal" w:pos="819"/>
              </w:tabs>
              <w:spacing w:line="200" w:lineRule="exact"/>
              <w:jc w:val="right"/>
              <w:rPr>
                <w:snapToGrid w:val="0"/>
                <w:color w:val="000000"/>
                <w:sz w:val="20"/>
                <w:szCs w:val="20"/>
                <w:lang w:val="es-AR" w:eastAsia="en-US"/>
              </w:rPr>
            </w:pPr>
            <w:r w:rsidRPr="0010523F">
              <w:rPr>
                <w:snapToGrid w:val="0"/>
                <w:color w:val="000000"/>
                <w:sz w:val="20"/>
                <w:szCs w:val="20"/>
                <w:lang w:val="en-US" w:eastAsia="en-US"/>
              </w:rPr>
              <w:t>8.185</w:t>
            </w:r>
          </w:p>
        </w:tc>
        <w:tc>
          <w:tcPr>
            <w:tcW w:w="284" w:type="dxa"/>
          </w:tcPr>
          <w:p w14:paraId="591633E4"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43D1951C"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5A52207F"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7.102</w:t>
            </w:r>
          </w:p>
        </w:tc>
        <w:tc>
          <w:tcPr>
            <w:tcW w:w="283" w:type="dxa"/>
          </w:tcPr>
          <w:p w14:paraId="1BB5935D"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1134" w:type="dxa"/>
          </w:tcPr>
          <w:p w14:paraId="1FE3077E"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134" w:type="dxa"/>
          </w:tcPr>
          <w:p w14:paraId="63A322CB"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r w:rsidRPr="0010523F">
              <w:rPr>
                <w:snapToGrid w:val="0"/>
                <w:color w:val="000000"/>
                <w:sz w:val="20"/>
                <w:szCs w:val="20"/>
                <w:lang w:val="en-US" w:eastAsia="en-US"/>
              </w:rPr>
              <w:t>23.180</w:t>
            </w:r>
          </w:p>
        </w:tc>
        <w:tc>
          <w:tcPr>
            <w:tcW w:w="396" w:type="dxa"/>
          </w:tcPr>
          <w:p w14:paraId="047AC487"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417" w:type="dxa"/>
          </w:tcPr>
          <w:p w14:paraId="74D22F67"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992" w:type="dxa"/>
          </w:tcPr>
          <w:p w14:paraId="3E7183BF"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r w:rsidRPr="0010523F">
              <w:rPr>
                <w:snapToGrid w:val="0"/>
                <w:color w:val="000000"/>
                <w:sz w:val="20"/>
                <w:szCs w:val="20"/>
                <w:lang w:val="es-AR" w:eastAsia="en-US"/>
              </w:rPr>
              <w:t>14.926</w:t>
            </w:r>
          </w:p>
        </w:tc>
      </w:tr>
      <w:tr w:rsidR="0010523F" w:rsidRPr="0010523F" w14:paraId="38FF1A6B" w14:textId="77777777" w:rsidTr="00774E7E">
        <w:tc>
          <w:tcPr>
            <w:tcW w:w="4141" w:type="dxa"/>
            <w:vAlign w:val="bottom"/>
          </w:tcPr>
          <w:p w14:paraId="302A72D1" w14:textId="77777777" w:rsidR="0010523F" w:rsidRPr="0010523F" w:rsidRDefault="0010523F" w:rsidP="0010523F">
            <w:pPr>
              <w:spacing w:line="120" w:lineRule="exact"/>
              <w:jc w:val="both"/>
              <w:rPr>
                <w:snapToGrid w:val="0"/>
                <w:color w:val="000000"/>
                <w:sz w:val="20"/>
                <w:szCs w:val="20"/>
                <w:lang w:val="es-AR" w:eastAsia="en-US"/>
              </w:rPr>
            </w:pPr>
          </w:p>
        </w:tc>
        <w:tc>
          <w:tcPr>
            <w:tcW w:w="709" w:type="dxa"/>
            <w:vAlign w:val="bottom"/>
          </w:tcPr>
          <w:p w14:paraId="67838787" w14:textId="77777777" w:rsidR="0010523F" w:rsidRPr="0010523F" w:rsidRDefault="0010523F" w:rsidP="0010523F">
            <w:pPr>
              <w:spacing w:line="120" w:lineRule="exact"/>
              <w:jc w:val="center"/>
              <w:rPr>
                <w:snapToGrid w:val="0"/>
                <w:color w:val="000000"/>
                <w:sz w:val="20"/>
                <w:szCs w:val="20"/>
                <w:lang w:val="es-AR" w:eastAsia="en-US"/>
              </w:rPr>
            </w:pPr>
          </w:p>
        </w:tc>
        <w:tc>
          <w:tcPr>
            <w:tcW w:w="142" w:type="dxa"/>
          </w:tcPr>
          <w:p w14:paraId="3BF32A73" w14:textId="77777777" w:rsidR="0010523F" w:rsidRPr="0010523F" w:rsidRDefault="0010523F" w:rsidP="0010523F">
            <w:pPr>
              <w:tabs>
                <w:tab w:val="decimal" w:pos="934"/>
              </w:tabs>
              <w:spacing w:line="120" w:lineRule="exact"/>
              <w:jc w:val="both"/>
              <w:rPr>
                <w:snapToGrid w:val="0"/>
                <w:color w:val="000000"/>
                <w:sz w:val="20"/>
                <w:szCs w:val="20"/>
                <w:lang w:val="es-AR" w:eastAsia="en-US"/>
              </w:rPr>
            </w:pPr>
          </w:p>
        </w:tc>
        <w:tc>
          <w:tcPr>
            <w:tcW w:w="992" w:type="dxa"/>
          </w:tcPr>
          <w:p w14:paraId="7AB04089"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p>
        </w:tc>
        <w:tc>
          <w:tcPr>
            <w:tcW w:w="992" w:type="dxa"/>
          </w:tcPr>
          <w:p w14:paraId="56A8C1E7" w14:textId="77777777" w:rsidR="0010523F" w:rsidRPr="0010523F" w:rsidRDefault="0010523F" w:rsidP="0010523F">
            <w:pPr>
              <w:tabs>
                <w:tab w:val="decimal" w:pos="796"/>
              </w:tabs>
              <w:spacing w:line="120" w:lineRule="exact"/>
              <w:jc w:val="right"/>
              <w:rPr>
                <w:snapToGrid w:val="0"/>
                <w:color w:val="000000"/>
                <w:sz w:val="20"/>
                <w:szCs w:val="20"/>
                <w:lang w:val="es-AR" w:eastAsia="en-US"/>
              </w:rPr>
            </w:pPr>
          </w:p>
        </w:tc>
        <w:tc>
          <w:tcPr>
            <w:tcW w:w="284" w:type="dxa"/>
          </w:tcPr>
          <w:p w14:paraId="232397C2"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p>
        </w:tc>
        <w:tc>
          <w:tcPr>
            <w:tcW w:w="992" w:type="dxa"/>
          </w:tcPr>
          <w:p w14:paraId="2781A2FA"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p>
        </w:tc>
        <w:tc>
          <w:tcPr>
            <w:tcW w:w="1134" w:type="dxa"/>
          </w:tcPr>
          <w:p w14:paraId="33561ED2" w14:textId="77777777" w:rsidR="0010523F" w:rsidRPr="0010523F" w:rsidRDefault="0010523F" w:rsidP="0010523F">
            <w:pPr>
              <w:tabs>
                <w:tab w:val="decimal" w:pos="796"/>
              </w:tabs>
              <w:spacing w:line="120" w:lineRule="exact"/>
              <w:jc w:val="right"/>
              <w:rPr>
                <w:snapToGrid w:val="0"/>
                <w:color w:val="000000"/>
                <w:sz w:val="20"/>
                <w:szCs w:val="20"/>
                <w:highlight w:val="yellow"/>
                <w:lang w:val="es-AR" w:eastAsia="en-US"/>
              </w:rPr>
            </w:pPr>
          </w:p>
        </w:tc>
        <w:tc>
          <w:tcPr>
            <w:tcW w:w="283" w:type="dxa"/>
          </w:tcPr>
          <w:p w14:paraId="09E93B81" w14:textId="77777777" w:rsidR="0010523F" w:rsidRPr="0010523F" w:rsidRDefault="0010523F" w:rsidP="0010523F">
            <w:pPr>
              <w:tabs>
                <w:tab w:val="decimal" w:pos="796"/>
              </w:tabs>
              <w:spacing w:line="120" w:lineRule="exact"/>
              <w:jc w:val="right"/>
              <w:rPr>
                <w:snapToGrid w:val="0"/>
                <w:color w:val="000000"/>
                <w:sz w:val="20"/>
                <w:szCs w:val="20"/>
                <w:highlight w:val="yellow"/>
                <w:lang w:val="es-AR" w:eastAsia="en-US"/>
              </w:rPr>
            </w:pPr>
          </w:p>
        </w:tc>
        <w:tc>
          <w:tcPr>
            <w:tcW w:w="1134" w:type="dxa"/>
          </w:tcPr>
          <w:p w14:paraId="539C75D7" w14:textId="77777777" w:rsidR="0010523F" w:rsidRPr="0010523F" w:rsidRDefault="0010523F" w:rsidP="0010523F">
            <w:pPr>
              <w:tabs>
                <w:tab w:val="decimal" w:pos="796"/>
              </w:tabs>
              <w:spacing w:line="120" w:lineRule="exact"/>
              <w:jc w:val="right"/>
              <w:rPr>
                <w:snapToGrid w:val="0"/>
                <w:color w:val="000000"/>
                <w:sz w:val="20"/>
                <w:szCs w:val="20"/>
                <w:lang w:val="es-AR" w:eastAsia="en-US"/>
              </w:rPr>
            </w:pPr>
          </w:p>
        </w:tc>
        <w:tc>
          <w:tcPr>
            <w:tcW w:w="1134" w:type="dxa"/>
          </w:tcPr>
          <w:p w14:paraId="346198DD" w14:textId="77777777" w:rsidR="0010523F" w:rsidRPr="0010523F" w:rsidRDefault="0010523F" w:rsidP="0010523F">
            <w:pPr>
              <w:tabs>
                <w:tab w:val="decimal" w:pos="796"/>
              </w:tabs>
              <w:spacing w:line="120" w:lineRule="exact"/>
              <w:jc w:val="right"/>
              <w:rPr>
                <w:snapToGrid w:val="0"/>
                <w:color w:val="000000"/>
                <w:sz w:val="20"/>
                <w:szCs w:val="20"/>
                <w:lang w:val="es-AR" w:eastAsia="en-US"/>
              </w:rPr>
            </w:pPr>
          </w:p>
        </w:tc>
        <w:tc>
          <w:tcPr>
            <w:tcW w:w="396" w:type="dxa"/>
          </w:tcPr>
          <w:p w14:paraId="1F32355F" w14:textId="77777777" w:rsidR="0010523F" w:rsidRPr="0010523F" w:rsidRDefault="0010523F" w:rsidP="0010523F">
            <w:pPr>
              <w:tabs>
                <w:tab w:val="decimal" w:pos="796"/>
              </w:tabs>
              <w:spacing w:line="120" w:lineRule="exact"/>
              <w:jc w:val="right"/>
              <w:rPr>
                <w:snapToGrid w:val="0"/>
                <w:color w:val="000000"/>
                <w:sz w:val="20"/>
                <w:szCs w:val="20"/>
                <w:lang w:val="es-AR" w:eastAsia="en-US"/>
              </w:rPr>
            </w:pPr>
          </w:p>
        </w:tc>
        <w:tc>
          <w:tcPr>
            <w:tcW w:w="1417" w:type="dxa"/>
          </w:tcPr>
          <w:p w14:paraId="6436443E" w14:textId="77777777" w:rsidR="0010523F" w:rsidRPr="0010523F" w:rsidRDefault="0010523F" w:rsidP="0010523F">
            <w:pPr>
              <w:tabs>
                <w:tab w:val="decimal" w:pos="796"/>
              </w:tabs>
              <w:spacing w:line="120" w:lineRule="exact"/>
              <w:jc w:val="right"/>
              <w:rPr>
                <w:snapToGrid w:val="0"/>
                <w:color w:val="000000"/>
                <w:sz w:val="20"/>
                <w:szCs w:val="20"/>
                <w:highlight w:val="yellow"/>
                <w:lang w:val="es-AR" w:eastAsia="en-US"/>
              </w:rPr>
            </w:pPr>
          </w:p>
        </w:tc>
        <w:tc>
          <w:tcPr>
            <w:tcW w:w="992" w:type="dxa"/>
          </w:tcPr>
          <w:p w14:paraId="10E4EA59" w14:textId="77777777" w:rsidR="0010523F" w:rsidRPr="0010523F" w:rsidRDefault="0010523F" w:rsidP="0010523F">
            <w:pPr>
              <w:tabs>
                <w:tab w:val="decimal" w:pos="796"/>
              </w:tabs>
              <w:spacing w:line="120" w:lineRule="exact"/>
              <w:jc w:val="right"/>
              <w:rPr>
                <w:snapToGrid w:val="0"/>
                <w:color w:val="000000"/>
                <w:sz w:val="20"/>
                <w:szCs w:val="20"/>
                <w:highlight w:val="yellow"/>
                <w:lang w:val="es-AR" w:eastAsia="en-US"/>
              </w:rPr>
            </w:pPr>
          </w:p>
        </w:tc>
      </w:tr>
      <w:tr w:rsidR="0010523F" w:rsidRPr="0010523F" w14:paraId="5051C163" w14:textId="77777777" w:rsidTr="00774E7E">
        <w:tc>
          <w:tcPr>
            <w:tcW w:w="4141" w:type="dxa"/>
            <w:vAlign w:val="bottom"/>
          </w:tcPr>
          <w:p w14:paraId="2DA55CA7" w14:textId="77777777" w:rsidR="0010523F" w:rsidRPr="0010523F" w:rsidRDefault="0010523F" w:rsidP="0010523F">
            <w:pPr>
              <w:spacing w:line="200" w:lineRule="exact"/>
              <w:jc w:val="both"/>
              <w:rPr>
                <w:snapToGrid w:val="0"/>
                <w:color w:val="000000"/>
                <w:sz w:val="20"/>
                <w:szCs w:val="20"/>
                <w:lang w:val="es-AR" w:eastAsia="en-US"/>
              </w:rPr>
            </w:pPr>
            <w:r w:rsidRPr="0010523F">
              <w:rPr>
                <w:snapToGrid w:val="0"/>
                <w:color w:val="000000"/>
                <w:sz w:val="20"/>
                <w:szCs w:val="20"/>
                <w:lang w:val="es-AR" w:eastAsia="en-US"/>
              </w:rPr>
              <w:t>Resultados financieros</w:t>
            </w:r>
          </w:p>
        </w:tc>
        <w:tc>
          <w:tcPr>
            <w:tcW w:w="709" w:type="dxa"/>
            <w:vAlign w:val="bottom"/>
          </w:tcPr>
          <w:p w14:paraId="3BE04E15" w14:textId="77777777" w:rsidR="0010523F" w:rsidRPr="0010523F" w:rsidRDefault="0010523F" w:rsidP="0010523F">
            <w:pPr>
              <w:spacing w:line="200" w:lineRule="exact"/>
              <w:jc w:val="center"/>
              <w:rPr>
                <w:snapToGrid w:val="0"/>
                <w:color w:val="000000"/>
                <w:sz w:val="20"/>
                <w:szCs w:val="20"/>
                <w:lang w:val="es-AR" w:eastAsia="en-US"/>
              </w:rPr>
            </w:pPr>
          </w:p>
        </w:tc>
        <w:tc>
          <w:tcPr>
            <w:tcW w:w="142" w:type="dxa"/>
          </w:tcPr>
          <w:p w14:paraId="2720462F"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tcPr>
          <w:p w14:paraId="1C3148A7"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29BCDE66"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284" w:type="dxa"/>
          </w:tcPr>
          <w:p w14:paraId="4DACBD94"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76F1BE63"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3321E430"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283" w:type="dxa"/>
          </w:tcPr>
          <w:p w14:paraId="363BC19B"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1134" w:type="dxa"/>
          </w:tcPr>
          <w:p w14:paraId="2D7F2BAE"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1134" w:type="dxa"/>
          </w:tcPr>
          <w:p w14:paraId="02BB79EC"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396" w:type="dxa"/>
          </w:tcPr>
          <w:p w14:paraId="6D40FFB0"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1417" w:type="dxa"/>
          </w:tcPr>
          <w:p w14:paraId="719E028A"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992" w:type="dxa"/>
          </w:tcPr>
          <w:p w14:paraId="55D465C9"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r>
      <w:tr w:rsidR="0010523F" w:rsidRPr="0010523F" w14:paraId="6BBC447F" w14:textId="77777777" w:rsidTr="00774E7E">
        <w:tc>
          <w:tcPr>
            <w:tcW w:w="4141" w:type="dxa"/>
            <w:vAlign w:val="bottom"/>
          </w:tcPr>
          <w:p w14:paraId="6B74C5FC" w14:textId="77777777" w:rsidR="0010523F" w:rsidRPr="0010523F" w:rsidRDefault="0010523F" w:rsidP="0010523F">
            <w:pPr>
              <w:spacing w:line="200" w:lineRule="exact"/>
              <w:ind w:left="360"/>
              <w:jc w:val="both"/>
              <w:rPr>
                <w:snapToGrid w:val="0"/>
                <w:color w:val="000000"/>
                <w:sz w:val="20"/>
                <w:szCs w:val="20"/>
                <w:lang w:val="es-AR" w:eastAsia="en-US"/>
              </w:rPr>
            </w:pPr>
            <w:r w:rsidRPr="0010523F">
              <w:rPr>
                <w:snapToGrid w:val="0"/>
                <w:color w:val="000000"/>
                <w:sz w:val="20"/>
                <w:szCs w:val="20"/>
                <w:lang w:val="es-AR" w:eastAsia="en-US"/>
              </w:rPr>
              <w:t>Intereses generados por activos</w:t>
            </w:r>
          </w:p>
        </w:tc>
        <w:tc>
          <w:tcPr>
            <w:tcW w:w="709" w:type="dxa"/>
            <w:vAlign w:val="bottom"/>
          </w:tcPr>
          <w:p w14:paraId="79DC3846" w14:textId="77777777" w:rsidR="0010523F" w:rsidRPr="0010523F" w:rsidRDefault="0010523F" w:rsidP="0010523F">
            <w:pPr>
              <w:spacing w:line="200" w:lineRule="exact"/>
              <w:jc w:val="center"/>
              <w:rPr>
                <w:snapToGrid w:val="0"/>
                <w:color w:val="000000"/>
                <w:sz w:val="20"/>
                <w:szCs w:val="20"/>
                <w:lang w:val="es-AR" w:eastAsia="en-US"/>
              </w:rPr>
            </w:pPr>
          </w:p>
        </w:tc>
        <w:tc>
          <w:tcPr>
            <w:tcW w:w="142" w:type="dxa"/>
          </w:tcPr>
          <w:p w14:paraId="1067CCA5"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vAlign w:val="bottom"/>
          </w:tcPr>
          <w:p w14:paraId="7922891D" w14:textId="77777777" w:rsidR="0010523F" w:rsidRPr="0010523F" w:rsidRDefault="0010523F" w:rsidP="0010523F">
            <w:pPr>
              <w:spacing w:line="200" w:lineRule="exact"/>
              <w:jc w:val="right"/>
              <w:rPr>
                <w:snapToGrid w:val="0"/>
                <w:color w:val="000000"/>
                <w:sz w:val="20"/>
                <w:szCs w:val="20"/>
                <w:lang w:val="es-AR" w:eastAsia="en-US"/>
              </w:rPr>
            </w:pPr>
            <w:r w:rsidRPr="0010523F">
              <w:rPr>
                <w:snapToGrid w:val="0"/>
                <w:color w:val="000000"/>
                <w:sz w:val="20"/>
                <w:szCs w:val="20"/>
                <w:lang w:val="en-US" w:eastAsia="en-US"/>
              </w:rPr>
              <w:t>135</w:t>
            </w:r>
          </w:p>
        </w:tc>
        <w:tc>
          <w:tcPr>
            <w:tcW w:w="992" w:type="dxa"/>
            <w:vAlign w:val="bottom"/>
          </w:tcPr>
          <w:p w14:paraId="3CF32010"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284" w:type="dxa"/>
          </w:tcPr>
          <w:p w14:paraId="5621C979" w14:textId="77777777" w:rsidR="0010523F" w:rsidRPr="0010523F" w:rsidRDefault="0010523F" w:rsidP="0010523F">
            <w:pPr>
              <w:tabs>
                <w:tab w:val="decimal" w:pos="735"/>
              </w:tabs>
              <w:spacing w:line="200" w:lineRule="exact"/>
              <w:jc w:val="right"/>
              <w:rPr>
                <w:snapToGrid w:val="0"/>
                <w:color w:val="000000"/>
                <w:sz w:val="20"/>
                <w:szCs w:val="20"/>
                <w:highlight w:val="yellow"/>
                <w:lang w:val="es-AR" w:eastAsia="en-US"/>
              </w:rPr>
            </w:pPr>
          </w:p>
        </w:tc>
        <w:tc>
          <w:tcPr>
            <w:tcW w:w="992" w:type="dxa"/>
          </w:tcPr>
          <w:p w14:paraId="693B019E" w14:textId="77777777" w:rsidR="0010523F" w:rsidRPr="0010523F" w:rsidRDefault="0010523F" w:rsidP="0010523F">
            <w:pPr>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112</w:t>
            </w:r>
          </w:p>
        </w:tc>
        <w:tc>
          <w:tcPr>
            <w:tcW w:w="1134" w:type="dxa"/>
            <w:vAlign w:val="bottom"/>
          </w:tcPr>
          <w:p w14:paraId="17BA025D"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283" w:type="dxa"/>
          </w:tcPr>
          <w:p w14:paraId="55F955D8"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1134" w:type="dxa"/>
          </w:tcPr>
          <w:p w14:paraId="595F11D0" w14:textId="77777777" w:rsidR="0010523F" w:rsidRPr="0010523F" w:rsidRDefault="0010523F" w:rsidP="0010523F">
            <w:pPr>
              <w:tabs>
                <w:tab w:val="decimal" w:pos="933"/>
              </w:tabs>
              <w:spacing w:line="200" w:lineRule="exact"/>
              <w:jc w:val="right"/>
              <w:rPr>
                <w:snapToGrid w:val="0"/>
                <w:color w:val="000000"/>
                <w:sz w:val="20"/>
                <w:szCs w:val="20"/>
                <w:lang w:val="es-AR" w:eastAsia="en-US"/>
              </w:rPr>
            </w:pPr>
            <w:r w:rsidRPr="0010523F">
              <w:rPr>
                <w:snapToGrid w:val="0"/>
                <w:color w:val="000000"/>
                <w:sz w:val="20"/>
                <w:szCs w:val="20"/>
                <w:lang w:val="en-US" w:eastAsia="en-US"/>
              </w:rPr>
              <w:t>732</w:t>
            </w:r>
          </w:p>
        </w:tc>
        <w:tc>
          <w:tcPr>
            <w:tcW w:w="1134" w:type="dxa"/>
          </w:tcPr>
          <w:p w14:paraId="2F3B4A4E"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396" w:type="dxa"/>
          </w:tcPr>
          <w:p w14:paraId="109E61D7"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1417" w:type="dxa"/>
          </w:tcPr>
          <w:p w14:paraId="271C1DDE" w14:textId="77777777" w:rsidR="0010523F" w:rsidRPr="0010523F" w:rsidRDefault="0010523F" w:rsidP="0010523F">
            <w:pPr>
              <w:tabs>
                <w:tab w:val="decimal" w:pos="958"/>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245</w:t>
            </w:r>
          </w:p>
        </w:tc>
        <w:tc>
          <w:tcPr>
            <w:tcW w:w="992" w:type="dxa"/>
          </w:tcPr>
          <w:p w14:paraId="7CB2A04A"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r>
      <w:tr w:rsidR="0010523F" w:rsidRPr="0010523F" w14:paraId="3A52A306" w14:textId="77777777" w:rsidTr="00774E7E">
        <w:tc>
          <w:tcPr>
            <w:tcW w:w="4141" w:type="dxa"/>
            <w:vAlign w:val="bottom"/>
          </w:tcPr>
          <w:p w14:paraId="309CA1AA" w14:textId="77777777" w:rsidR="0010523F" w:rsidRPr="0010523F" w:rsidRDefault="0010523F" w:rsidP="0010523F">
            <w:pPr>
              <w:spacing w:line="200" w:lineRule="exact"/>
              <w:ind w:left="360"/>
              <w:jc w:val="both"/>
              <w:rPr>
                <w:snapToGrid w:val="0"/>
                <w:color w:val="000000"/>
                <w:sz w:val="20"/>
                <w:szCs w:val="20"/>
                <w:lang w:val="es-AR" w:eastAsia="en-US"/>
              </w:rPr>
            </w:pPr>
            <w:r w:rsidRPr="0010523F">
              <w:rPr>
                <w:snapToGrid w:val="0"/>
                <w:color w:val="000000"/>
                <w:sz w:val="20"/>
                <w:szCs w:val="20"/>
                <w:lang w:val="es-AR" w:eastAsia="en-US"/>
              </w:rPr>
              <w:t>Intereses generados por pasivos (1)</w:t>
            </w:r>
          </w:p>
        </w:tc>
        <w:tc>
          <w:tcPr>
            <w:tcW w:w="709" w:type="dxa"/>
            <w:vAlign w:val="bottom"/>
          </w:tcPr>
          <w:p w14:paraId="03F2D565" w14:textId="77777777" w:rsidR="0010523F" w:rsidRPr="0010523F" w:rsidRDefault="0010523F" w:rsidP="0010523F">
            <w:pPr>
              <w:spacing w:line="200" w:lineRule="exact"/>
              <w:jc w:val="center"/>
              <w:rPr>
                <w:snapToGrid w:val="0"/>
                <w:color w:val="000000"/>
                <w:sz w:val="20"/>
                <w:szCs w:val="20"/>
                <w:lang w:val="es-AR" w:eastAsia="en-US"/>
              </w:rPr>
            </w:pPr>
          </w:p>
        </w:tc>
        <w:tc>
          <w:tcPr>
            <w:tcW w:w="142" w:type="dxa"/>
          </w:tcPr>
          <w:p w14:paraId="15F146FB"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vAlign w:val="bottom"/>
          </w:tcPr>
          <w:p w14:paraId="643CC301" w14:textId="77777777" w:rsidR="0010523F" w:rsidRPr="0010523F" w:rsidRDefault="0010523F" w:rsidP="0010523F">
            <w:pPr>
              <w:spacing w:line="200" w:lineRule="exact"/>
              <w:jc w:val="right"/>
              <w:rPr>
                <w:snapToGrid w:val="0"/>
                <w:color w:val="000000"/>
                <w:sz w:val="20"/>
                <w:szCs w:val="20"/>
                <w:lang w:val="es-AR" w:eastAsia="en-US"/>
              </w:rPr>
            </w:pPr>
            <w:r w:rsidRPr="0010523F">
              <w:rPr>
                <w:snapToGrid w:val="0"/>
                <w:color w:val="000000"/>
                <w:sz w:val="20"/>
                <w:szCs w:val="20"/>
                <w:lang w:val="en-US" w:eastAsia="en-US"/>
              </w:rPr>
              <w:t>(2.096)</w:t>
            </w:r>
          </w:p>
        </w:tc>
        <w:tc>
          <w:tcPr>
            <w:tcW w:w="992" w:type="dxa"/>
            <w:vAlign w:val="bottom"/>
          </w:tcPr>
          <w:p w14:paraId="0A11E392"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284" w:type="dxa"/>
          </w:tcPr>
          <w:p w14:paraId="6B540239" w14:textId="77777777" w:rsidR="0010523F" w:rsidRPr="0010523F" w:rsidRDefault="0010523F" w:rsidP="0010523F">
            <w:pPr>
              <w:tabs>
                <w:tab w:val="decimal" w:pos="735"/>
              </w:tabs>
              <w:spacing w:line="200" w:lineRule="exact"/>
              <w:jc w:val="right"/>
              <w:rPr>
                <w:snapToGrid w:val="0"/>
                <w:color w:val="000000"/>
                <w:sz w:val="20"/>
                <w:szCs w:val="20"/>
                <w:highlight w:val="yellow"/>
                <w:lang w:val="es-AR" w:eastAsia="en-US"/>
              </w:rPr>
            </w:pPr>
          </w:p>
        </w:tc>
        <w:tc>
          <w:tcPr>
            <w:tcW w:w="992" w:type="dxa"/>
          </w:tcPr>
          <w:p w14:paraId="10E628AA" w14:textId="77777777" w:rsidR="0010523F" w:rsidRPr="0010523F" w:rsidRDefault="0010523F" w:rsidP="0010523F">
            <w:pPr>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(1.170)</w:t>
            </w:r>
          </w:p>
        </w:tc>
        <w:tc>
          <w:tcPr>
            <w:tcW w:w="1134" w:type="dxa"/>
            <w:vAlign w:val="bottom"/>
          </w:tcPr>
          <w:p w14:paraId="68B2C138"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283" w:type="dxa"/>
          </w:tcPr>
          <w:p w14:paraId="2CAB7BC7"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c>
          <w:tcPr>
            <w:tcW w:w="1134" w:type="dxa"/>
          </w:tcPr>
          <w:p w14:paraId="49B8537D" w14:textId="77777777" w:rsidR="0010523F" w:rsidRPr="0010523F" w:rsidRDefault="0010523F" w:rsidP="0010523F">
            <w:pPr>
              <w:tabs>
                <w:tab w:val="decimal" w:pos="933"/>
              </w:tabs>
              <w:spacing w:line="200" w:lineRule="exact"/>
              <w:jc w:val="right"/>
              <w:rPr>
                <w:snapToGrid w:val="0"/>
                <w:color w:val="000000"/>
                <w:sz w:val="20"/>
                <w:szCs w:val="20"/>
                <w:lang w:val="es-AR" w:eastAsia="en-US"/>
              </w:rPr>
            </w:pPr>
            <w:r w:rsidRPr="0010523F">
              <w:rPr>
                <w:snapToGrid w:val="0"/>
                <w:color w:val="000000"/>
                <w:sz w:val="20"/>
                <w:szCs w:val="20"/>
                <w:lang w:val="en-US" w:eastAsia="en-US"/>
              </w:rPr>
              <w:t>(4.968)</w:t>
            </w:r>
          </w:p>
        </w:tc>
        <w:tc>
          <w:tcPr>
            <w:tcW w:w="1134" w:type="dxa"/>
          </w:tcPr>
          <w:p w14:paraId="3F67C637"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396" w:type="dxa"/>
          </w:tcPr>
          <w:p w14:paraId="0B2C03BA" w14:textId="77777777" w:rsidR="0010523F" w:rsidRPr="0010523F" w:rsidRDefault="0010523F" w:rsidP="0010523F">
            <w:pPr>
              <w:tabs>
                <w:tab w:val="decimal" w:pos="796"/>
              </w:tabs>
              <w:spacing w:line="200" w:lineRule="exact"/>
              <w:jc w:val="right"/>
              <w:rPr>
                <w:snapToGrid w:val="0"/>
                <w:color w:val="000000"/>
                <w:sz w:val="20"/>
                <w:szCs w:val="20"/>
                <w:lang w:val="es-AR" w:eastAsia="en-US"/>
              </w:rPr>
            </w:pPr>
          </w:p>
        </w:tc>
        <w:tc>
          <w:tcPr>
            <w:tcW w:w="1417" w:type="dxa"/>
          </w:tcPr>
          <w:p w14:paraId="32979E95" w14:textId="77777777" w:rsidR="0010523F" w:rsidRPr="0010523F" w:rsidRDefault="0010523F" w:rsidP="0010523F">
            <w:pPr>
              <w:tabs>
                <w:tab w:val="decimal" w:pos="958"/>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( 2.551)</w:t>
            </w:r>
          </w:p>
        </w:tc>
        <w:tc>
          <w:tcPr>
            <w:tcW w:w="992" w:type="dxa"/>
          </w:tcPr>
          <w:p w14:paraId="7DAB93D1" w14:textId="77777777" w:rsidR="0010523F" w:rsidRPr="0010523F" w:rsidRDefault="0010523F" w:rsidP="0010523F">
            <w:pPr>
              <w:tabs>
                <w:tab w:val="decimal" w:pos="796"/>
              </w:tabs>
              <w:spacing w:line="200" w:lineRule="exact"/>
              <w:jc w:val="right"/>
              <w:rPr>
                <w:snapToGrid w:val="0"/>
                <w:color w:val="000000"/>
                <w:sz w:val="20"/>
                <w:szCs w:val="20"/>
                <w:highlight w:val="yellow"/>
                <w:lang w:val="es-AR" w:eastAsia="en-US"/>
              </w:rPr>
            </w:pPr>
          </w:p>
        </w:tc>
      </w:tr>
      <w:tr w:rsidR="0010523F" w:rsidRPr="0010523F" w14:paraId="7BEC7435" w14:textId="77777777" w:rsidTr="00774E7E">
        <w:trPr>
          <w:trHeight w:val="242"/>
        </w:trPr>
        <w:tc>
          <w:tcPr>
            <w:tcW w:w="4141" w:type="dxa"/>
            <w:vAlign w:val="bottom"/>
          </w:tcPr>
          <w:p w14:paraId="0F44FED1" w14:textId="77777777" w:rsidR="0010523F" w:rsidRPr="0010523F" w:rsidRDefault="0010523F" w:rsidP="0010523F">
            <w:pPr>
              <w:spacing w:line="200" w:lineRule="exact"/>
              <w:ind w:left="360"/>
              <w:jc w:val="both"/>
              <w:rPr>
                <w:snapToGrid w:val="0"/>
                <w:color w:val="000000"/>
                <w:sz w:val="20"/>
                <w:szCs w:val="20"/>
                <w:lang w:val="es-AR" w:eastAsia="en-US"/>
              </w:rPr>
            </w:pPr>
            <w:r w:rsidRPr="0010523F">
              <w:rPr>
                <w:snapToGrid w:val="0"/>
                <w:color w:val="000000"/>
                <w:sz w:val="20"/>
                <w:szCs w:val="20"/>
                <w:lang w:val="es-AR" w:eastAsia="en-US"/>
              </w:rPr>
              <w:t>Otros resultados financieros</w:t>
            </w:r>
          </w:p>
        </w:tc>
        <w:tc>
          <w:tcPr>
            <w:tcW w:w="709" w:type="dxa"/>
            <w:vAlign w:val="bottom"/>
          </w:tcPr>
          <w:p w14:paraId="64F03F09" w14:textId="77777777" w:rsidR="0010523F" w:rsidRPr="0010523F" w:rsidRDefault="0010523F" w:rsidP="0010523F">
            <w:pPr>
              <w:spacing w:line="200" w:lineRule="exact"/>
              <w:jc w:val="center"/>
              <w:rPr>
                <w:snapToGrid w:val="0"/>
                <w:color w:val="000000"/>
                <w:sz w:val="20"/>
                <w:szCs w:val="20"/>
                <w:lang w:val="es-AR" w:eastAsia="en-US"/>
              </w:rPr>
            </w:pPr>
            <w:r w:rsidRPr="0010523F">
              <w:rPr>
                <w:snapToGrid w:val="0"/>
                <w:color w:val="000000"/>
                <w:sz w:val="20"/>
                <w:szCs w:val="20"/>
                <w:lang w:val="es-AR" w:eastAsia="en-US"/>
              </w:rPr>
              <w:t xml:space="preserve">  </w:t>
            </w:r>
          </w:p>
        </w:tc>
        <w:tc>
          <w:tcPr>
            <w:tcW w:w="142" w:type="dxa"/>
          </w:tcPr>
          <w:p w14:paraId="6FAF356D" w14:textId="77777777" w:rsidR="0010523F" w:rsidRPr="0010523F" w:rsidRDefault="0010523F" w:rsidP="0010523F">
            <w:pPr>
              <w:tabs>
                <w:tab w:val="decimal" w:pos="934"/>
              </w:tabs>
              <w:spacing w:line="200" w:lineRule="exact"/>
              <w:jc w:val="both"/>
              <w:rPr>
                <w:snapToGrid w:val="0"/>
                <w:color w:val="000000"/>
                <w:sz w:val="20"/>
                <w:szCs w:val="20"/>
                <w:u w:val="single"/>
                <w:lang w:val="es-AR" w:eastAsia="en-US"/>
              </w:rPr>
            </w:pPr>
          </w:p>
        </w:tc>
        <w:tc>
          <w:tcPr>
            <w:tcW w:w="992" w:type="dxa"/>
            <w:vAlign w:val="bottom"/>
          </w:tcPr>
          <w:p w14:paraId="2FA18BC9" w14:textId="77777777" w:rsidR="0010523F" w:rsidRPr="0010523F" w:rsidRDefault="0010523F" w:rsidP="0010523F">
            <w:pPr>
              <w:spacing w:line="200" w:lineRule="exact"/>
              <w:jc w:val="right"/>
              <w:rPr>
                <w:snapToGrid w:val="0"/>
                <w:color w:val="000000"/>
                <w:sz w:val="20"/>
                <w:szCs w:val="20"/>
                <w:u w:val="single"/>
                <w:lang w:val="es-AR" w:eastAsia="en-US"/>
              </w:rPr>
            </w:pPr>
            <w:r w:rsidRPr="0010523F">
              <w:rPr>
                <w:snapToGrid w:val="0"/>
                <w:color w:val="000000"/>
                <w:sz w:val="20"/>
                <w:szCs w:val="20"/>
                <w:u w:val="single"/>
                <w:lang w:val="en-US" w:eastAsia="en-US"/>
              </w:rPr>
              <w:t xml:space="preserve">     884</w:t>
            </w:r>
          </w:p>
        </w:tc>
        <w:tc>
          <w:tcPr>
            <w:tcW w:w="992" w:type="dxa"/>
            <w:vAlign w:val="bottom"/>
          </w:tcPr>
          <w:p w14:paraId="637C7B27" w14:textId="77777777" w:rsidR="0010523F" w:rsidRPr="0010523F" w:rsidRDefault="0010523F" w:rsidP="0010523F">
            <w:pPr>
              <w:spacing w:line="200" w:lineRule="exact"/>
              <w:jc w:val="right"/>
              <w:rPr>
                <w:snapToGrid w:val="0"/>
                <w:color w:val="000000"/>
                <w:sz w:val="20"/>
                <w:szCs w:val="20"/>
                <w:lang w:val="es-AR" w:eastAsia="en-US"/>
              </w:rPr>
            </w:pPr>
            <w:r w:rsidRPr="0010523F">
              <w:rPr>
                <w:snapToGrid w:val="0"/>
                <w:color w:val="000000"/>
                <w:sz w:val="20"/>
                <w:szCs w:val="20"/>
                <w:lang w:val="en-US" w:eastAsia="en-US"/>
              </w:rPr>
              <w:t xml:space="preserve">(  1.077) </w:t>
            </w:r>
          </w:p>
        </w:tc>
        <w:tc>
          <w:tcPr>
            <w:tcW w:w="284" w:type="dxa"/>
          </w:tcPr>
          <w:p w14:paraId="398D7EE7" w14:textId="77777777" w:rsidR="0010523F" w:rsidRPr="0010523F" w:rsidRDefault="0010523F" w:rsidP="0010523F">
            <w:pPr>
              <w:tabs>
                <w:tab w:val="decimal" w:pos="735"/>
              </w:tabs>
              <w:spacing w:line="200" w:lineRule="exact"/>
              <w:jc w:val="right"/>
              <w:rPr>
                <w:snapToGrid w:val="0"/>
                <w:color w:val="000000"/>
                <w:sz w:val="20"/>
                <w:szCs w:val="20"/>
                <w:highlight w:val="yellow"/>
                <w:u w:val="single"/>
                <w:lang w:val="es-AR" w:eastAsia="en-US"/>
              </w:rPr>
            </w:pPr>
          </w:p>
        </w:tc>
        <w:tc>
          <w:tcPr>
            <w:tcW w:w="992" w:type="dxa"/>
          </w:tcPr>
          <w:p w14:paraId="044A47CD" w14:textId="77777777" w:rsidR="0010523F" w:rsidRPr="0010523F" w:rsidRDefault="0010523F" w:rsidP="0010523F">
            <w:pPr>
              <w:spacing w:line="200" w:lineRule="exact"/>
              <w:jc w:val="right"/>
              <w:rPr>
                <w:snapToGrid w:val="0"/>
                <w:color w:val="000000"/>
                <w:sz w:val="20"/>
                <w:szCs w:val="20"/>
                <w:highlight w:val="yellow"/>
                <w:u w:val="single"/>
                <w:lang w:val="es-AR" w:eastAsia="en-US"/>
              </w:rPr>
            </w:pPr>
            <w:r w:rsidRPr="0010523F">
              <w:rPr>
                <w:snapToGrid w:val="0"/>
                <w:color w:val="000000"/>
                <w:sz w:val="20"/>
                <w:szCs w:val="20"/>
                <w:u w:val="single"/>
                <w:lang w:val="es-AR" w:eastAsia="en-US"/>
              </w:rPr>
              <w:t xml:space="preserve">  1.264</w:t>
            </w:r>
          </w:p>
        </w:tc>
        <w:tc>
          <w:tcPr>
            <w:tcW w:w="1134" w:type="dxa"/>
          </w:tcPr>
          <w:p w14:paraId="30B13BD2"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206</w:t>
            </w:r>
          </w:p>
        </w:tc>
        <w:tc>
          <w:tcPr>
            <w:tcW w:w="283" w:type="dxa"/>
          </w:tcPr>
          <w:p w14:paraId="1A50B18C"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p>
        </w:tc>
        <w:tc>
          <w:tcPr>
            <w:tcW w:w="1134" w:type="dxa"/>
          </w:tcPr>
          <w:p w14:paraId="24B7FB90"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r w:rsidRPr="0010523F">
              <w:rPr>
                <w:snapToGrid w:val="0"/>
                <w:color w:val="000000"/>
                <w:sz w:val="20"/>
                <w:szCs w:val="20"/>
                <w:lang w:val="en-US" w:eastAsia="en-US"/>
              </w:rPr>
              <w:t>(</w:t>
            </w:r>
            <w:r w:rsidRPr="0010523F">
              <w:rPr>
                <w:snapToGrid w:val="0"/>
                <w:color w:val="000000"/>
                <w:sz w:val="20"/>
                <w:szCs w:val="20"/>
                <w:u w:val="single"/>
                <w:lang w:val="en-US" w:eastAsia="en-US"/>
              </w:rPr>
              <w:t xml:space="preserve">     21</w:t>
            </w:r>
            <w:r w:rsidRPr="0010523F">
              <w:rPr>
                <w:snapToGrid w:val="0"/>
                <w:color w:val="000000"/>
                <w:sz w:val="20"/>
                <w:szCs w:val="20"/>
                <w:lang w:val="en-US" w:eastAsia="en-US"/>
              </w:rPr>
              <w:t>)</w:t>
            </w:r>
          </w:p>
        </w:tc>
        <w:tc>
          <w:tcPr>
            <w:tcW w:w="1134" w:type="dxa"/>
            <w:vAlign w:val="bottom"/>
          </w:tcPr>
          <w:p w14:paraId="413A8387"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r w:rsidRPr="0010523F">
              <w:rPr>
                <w:snapToGrid w:val="0"/>
                <w:color w:val="000000"/>
                <w:sz w:val="20"/>
                <w:szCs w:val="20"/>
                <w:lang w:val="en-US" w:eastAsia="en-US"/>
              </w:rPr>
              <w:t>(  4.257)</w:t>
            </w:r>
          </w:p>
        </w:tc>
        <w:tc>
          <w:tcPr>
            <w:tcW w:w="396" w:type="dxa"/>
          </w:tcPr>
          <w:p w14:paraId="7CD49F11" w14:textId="77777777" w:rsidR="0010523F" w:rsidRPr="0010523F" w:rsidRDefault="0010523F" w:rsidP="0010523F">
            <w:pPr>
              <w:tabs>
                <w:tab w:val="decimal" w:pos="934"/>
              </w:tabs>
              <w:spacing w:line="200" w:lineRule="exact"/>
              <w:jc w:val="right"/>
              <w:rPr>
                <w:snapToGrid w:val="0"/>
                <w:color w:val="000000"/>
                <w:sz w:val="20"/>
                <w:szCs w:val="20"/>
                <w:lang w:val="en-US" w:eastAsia="en-US"/>
              </w:rPr>
            </w:pPr>
          </w:p>
        </w:tc>
        <w:tc>
          <w:tcPr>
            <w:tcW w:w="1417" w:type="dxa"/>
          </w:tcPr>
          <w:p w14:paraId="03E744E4"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r w:rsidRPr="0010523F">
              <w:rPr>
                <w:snapToGrid w:val="0"/>
                <w:color w:val="000000"/>
                <w:sz w:val="20"/>
                <w:szCs w:val="20"/>
                <w:u w:val="single"/>
                <w:lang w:val="es-AR" w:eastAsia="en-US"/>
              </w:rPr>
              <w:t xml:space="preserve">   4.809 </w:t>
            </w:r>
          </w:p>
        </w:tc>
        <w:tc>
          <w:tcPr>
            <w:tcW w:w="992" w:type="dxa"/>
          </w:tcPr>
          <w:p w14:paraId="5A4AA017" w14:textId="77777777" w:rsidR="0010523F" w:rsidRPr="0010523F" w:rsidRDefault="0010523F" w:rsidP="0010523F">
            <w:pPr>
              <w:tabs>
                <w:tab w:val="decimal" w:pos="934"/>
              </w:tabs>
              <w:spacing w:line="200" w:lineRule="exact"/>
              <w:jc w:val="right"/>
              <w:rPr>
                <w:snapToGrid w:val="0"/>
                <w:color w:val="000000"/>
                <w:sz w:val="20"/>
                <w:szCs w:val="20"/>
                <w:highlight w:val="yellow"/>
                <w:lang w:val="en-US" w:eastAsia="en-US"/>
              </w:rPr>
            </w:pPr>
            <w:r w:rsidRPr="0010523F">
              <w:rPr>
                <w:snapToGrid w:val="0"/>
                <w:color w:val="000000"/>
                <w:sz w:val="20"/>
                <w:szCs w:val="20"/>
                <w:lang w:val="es-AR" w:eastAsia="en-US"/>
              </w:rPr>
              <w:t>2.503</w:t>
            </w:r>
          </w:p>
        </w:tc>
      </w:tr>
      <w:tr w:rsidR="0010523F" w:rsidRPr="0010523F" w14:paraId="6CB38D7B" w14:textId="77777777" w:rsidTr="00774E7E">
        <w:tc>
          <w:tcPr>
            <w:tcW w:w="4141" w:type="dxa"/>
            <w:vAlign w:val="bottom"/>
          </w:tcPr>
          <w:p w14:paraId="39331E00" w14:textId="77777777" w:rsidR="0010523F" w:rsidRPr="0010523F" w:rsidRDefault="0010523F" w:rsidP="0010523F">
            <w:pPr>
              <w:spacing w:line="120" w:lineRule="exact"/>
              <w:jc w:val="both"/>
              <w:rPr>
                <w:snapToGrid w:val="0"/>
                <w:color w:val="000000"/>
                <w:sz w:val="20"/>
                <w:szCs w:val="20"/>
                <w:lang w:val="es-AR" w:eastAsia="en-US"/>
              </w:rPr>
            </w:pPr>
          </w:p>
        </w:tc>
        <w:tc>
          <w:tcPr>
            <w:tcW w:w="709" w:type="dxa"/>
            <w:vAlign w:val="bottom"/>
          </w:tcPr>
          <w:p w14:paraId="7912AC81" w14:textId="77777777" w:rsidR="0010523F" w:rsidRPr="0010523F" w:rsidRDefault="0010523F" w:rsidP="0010523F">
            <w:pPr>
              <w:spacing w:line="120" w:lineRule="exact"/>
              <w:jc w:val="center"/>
              <w:rPr>
                <w:snapToGrid w:val="0"/>
                <w:color w:val="000000"/>
                <w:sz w:val="20"/>
                <w:szCs w:val="20"/>
                <w:lang w:val="es-AR" w:eastAsia="en-US"/>
              </w:rPr>
            </w:pPr>
          </w:p>
        </w:tc>
        <w:tc>
          <w:tcPr>
            <w:tcW w:w="142" w:type="dxa"/>
          </w:tcPr>
          <w:p w14:paraId="5C70CE24" w14:textId="77777777" w:rsidR="0010523F" w:rsidRPr="0010523F" w:rsidRDefault="0010523F" w:rsidP="0010523F">
            <w:pPr>
              <w:tabs>
                <w:tab w:val="decimal" w:pos="934"/>
              </w:tabs>
              <w:spacing w:line="120" w:lineRule="exact"/>
              <w:jc w:val="both"/>
              <w:rPr>
                <w:snapToGrid w:val="0"/>
                <w:color w:val="000000"/>
                <w:sz w:val="20"/>
                <w:szCs w:val="20"/>
                <w:lang w:val="es-AR" w:eastAsia="en-US"/>
              </w:rPr>
            </w:pPr>
          </w:p>
        </w:tc>
        <w:tc>
          <w:tcPr>
            <w:tcW w:w="992" w:type="dxa"/>
          </w:tcPr>
          <w:p w14:paraId="6EA12FE4" w14:textId="77777777" w:rsidR="0010523F" w:rsidRPr="0010523F" w:rsidRDefault="0010523F" w:rsidP="0010523F">
            <w:pPr>
              <w:tabs>
                <w:tab w:val="decimal" w:pos="934"/>
              </w:tabs>
              <w:spacing w:line="120" w:lineRule="exact"/>
              <w:jc w:val="right"/>
              <w:rPr>
                <w:snapToGrid w:val="0"/>
                <w:color w:val="000000"/>
                <w:sz w:val="20"/>
                <w:szCs w:val="20"/>
                <w:lang w:val="es-AR" w:eastAsia="en-US"/>
              </w:rPr>
            </w:pPr>
          </w:p>
        </w:tc>
        <w:tc>
          <w:tcPr>
            <w:tcW w:w="992" w:type="dxa"/>
          </w:tcPr>
          <w:p w14:paraId="38B71E7D" w14:textId="77777777" w:rsidR="0010523F" w:rsidRPr="0010523F" w:rsidRDefault="0010523F" w:rsidP="0010523F">
            <w:pPr>
              <w:tabs>
                <w:tab w:val="decimal" w:pos="796"/>
              </w:tabs>
              <w:spacing w:line="120" w:lineRule="exact"/>
              <w:jc w:val="right"/>
              <w:rPr>
                <w:snapToGrid w:val="0"/>
                <w:color w:val="000000"/>
                <w:sz w:val="20"/>
                <w:szCs w:val="20"/>
                <w:lang w:val="es-AR" w:eastAsia="en-US"/>
              </w:rPr>
            </w:pPr>
          </w:p>
        </w:tc>
        <w:tc>
          <w:tcPr>
            <w:tcW w:w="284" w:type="dxa"/>
          </w:tcPr>
          <w:p w14:paraId="6419612C"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p>
        </w:tc>
        <w:tc>
          <w:tcPr>
            <w:tcW w:w="992" w:type="dxa"/>
          </w:tcPr>
          <w:p w14:paraId="3CB1C4EE"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p>
        </w:tc>
        <w:tc>
          <w:tcPr>
            <w:tcW w:w="1134" w:type="dxa"/>
          </w:tcPr>
          <w:p w14:paraId="0ADCA02D" w14:textId="77777777" w:rsidR="0010523F" w:rsidRPr="0010523F" w:rsidRDefault="0010523F" w:rsidP="0010523F">
            <w:pPr>
              <w:tabs>
                <w:tab w:val="decimal" w:pos="796"/>
              </w:tabs>
              <w:spacing w:line="120" w:lineRule="exact"/>
              <w:jc w:val="right"/>
              <w:rPr>
                <w:snapToGrid w:val="0"/>
                <w:color w:val="000000"/>
                <w:sz w:val="20"/>
                <w:szCs w:val="20"/>
                <w:highlight w:val="yellow"/>
                <w:lang w:val="es-AR" w:eastAsia="en-US"/>
              </w:rPr>
            </w:pPr>
          </w:p>
        </w:tc>
        <w:tc>
          <w:tcPr>
            <w:tcW w:w="283" w:type="dxa"/>
          </w:tcPr>
          <w:p w14:paraId="4CF99D49" w14:textId="77777777" w:rsidR="0010523F" w:rsidRPr="0010523F" w:rsidRDefault="0010523F" w:rsidP="0010523F">
            <w:pPr>
              <w:tabs>
                <w:tab w:val="decimal" w:pos="796"/>
              </w:tabs>
              <w:spacing w:line="120" w:lineRule="exact"/>
              <w:jc w:val="right"/>
              <w:rPr>
                <w:snapToGrid w:val="0"/>
                <w:color w:val="000000"/>
                <w:sz w:val="20"/>
                <w:szCs w:val="20"/>
                <w:highlight w:val="yellow"/>
                <w:lang w:val="es-AR" w:eastAsia="en-US"/>
              </w:rPr>
            </w:pPr>
          </w:p>
        </w:tc>
        <w:tc>
          <w:tcPr>
            <w:tcW w:w="1134" w:type="dxa"/>
          </w:tcPr>
          <w:p w14:paraId="1F13E98A" w14:textId="77777777" w:rsidR="0010523F" w:rsidRPr="0010523F" w:rsidRDefault="0010523F" w:rsidP="0010523F">
            <w:pPr>
              <w:tabs>
                <w:tab w:val="decimal" w:pos="796"/>
              </w:tabs>
              <w:spacing w:line="120" w:lineRule="exact"/>
              <w:jc w:val="right"/>
              <w:rPr>
                <w:snapToGrid w:val="0"/>
                <w:color w:val="000000"/>
                <w:sz w:val="20"/>
                <w:szCs w:val="20"/>
                <w:lang w:val="es-AR" w:eastAsia="en-US"/>
              </w:rPr>
            </w:pPr>
          </w:p>
        </w:tc>
        <w:tc>
          <w:tcPr>
            <w:tcW w:w="1134" w:type="dxa"/>
          </w:tcPr>
          <w:p w14:paraId="59F31BD0" w14:textId="77777777" w:rsidR="0010523F" w:rsidRPr="0010523F" w:rsidRDefault="0010523F" w:rsidP="0010523F">
            <w:pPr>
              <w:tabs>
                <w:tab w:val="decimal" w:pos="796"/>
              </w:tabs>
              <w:spacing w:line="120" w:lineRule="exact"/>
              <w:jc w:val="right"/>
              <w:rPr>
                <w:snapToGrid w:val="0"/>
                <w:color w:val="000000"/>
                <w:sz w:val="20"/>
                <w:szCs w:val="20"/>
                <w:lang w:val="es-AR" w:eastAsia="en-US"/>
              </w:rPr>
            </w:pPr>
          </w:p>
        </w:tc>
        <w:tc>
          <w:tcPr>
            <w:tcW w:w="396" w:type="dxa"/>
          </w:tcPr>
          <w:p w14:paraId="5E7EDBBE" w14:textId="77777777" w:rsidR="0010523F" w:rsidRPr="0010523F" w:rsidRDefault="0010523F" w:rsidP="0010523F">
            <w:pPr>
              <w:tabs>
                <w:tab w:val="decimal" w:pos="796"/>
              </w:tabs>
              <w:spacing w:line="120" w:lineRule="exact"/>
              <w:jc w:val="right"/>
              <w:rPr>
                <w:snapToGrid w:val="0"/>
                <w:color w:val="000000"/>
                <w:sz w:val="20"/>
                <w:szCs w:val="20"/>
                <w:lang w:val="es-AR" w:eastAsia="en-US"/>
              </w:rPr>
            </w:pPr>
          </w:p>
        </w:tc>
        <w:tc>
          <w:tcPr>
            <w:tcW w:w="1417" w:type="dxa"/>
          </w:tcPr>
          <w:p w14:paraId="43C0F86A" w14:textId="77777777" w:rsidR="0010523F" w:rsidRPr="0010523F" w:rsidRDefault="0010523F" w:rsidP="0010523F">
            <w:pPr>
              <w:tabs>
                <w:tab w:val="decimal" w:pos="796"/>
              </w:tabs>
              <w:spacing w:line="120" w:lineRule="exact"/>
              <w:jc w:val="right"/>
              <w:rPr>
                <w:snapToGrid w:val="0"/>
                <w:color w:val="000000"/>
                <w:sz w:val="20"/>
                <w:szCs w:val="20"/>
                <w:highlight w:val="yellow"/>
                <w:lang w:val="es-AR" w:eastAsia="en-US"/>
              </w:rPr>
            </w:pPr>
          </w:p>
        </w:tc>
        <w:tc>
          <w:tcPr>
            <w:tcW w:w="992" w:type="dxa"/>
          </w:tcPr>
          <w:p w14:paraId="5D06E607" w14:textId="77777777" w:rsidR="0010523F" w:rsidRPr="0010523F" w:rsidRDefault="0010523F" w:rsidP="0010523F">
            <w:pPr>
              <w:tabs>
                <w:tab w:val="decimal" w:pos="796"/>
              </w:tabs>
              <w:spacing w:line="120" w:lineRule="exact"/>
              <w:jc w:val="right"/>
              <w:rPr>
                <w:snapToGrid w:val="0"/>
                <w:color w:val="000000"/>
                <w:sz w:val="20"/>
                <w:szCs w:val="20"/>
                <w:highlight w:val="yellow"/>
                <w:lang w:val="es-AR" w:eastAsia="en-US"/>
              </w:rPr>
            </w:pPr>
          </w:p>
        </w:tc>
      </w:tr>
      <w:tr w:rsidR="0010523F" w:rsidRPr="0010523F" w14:paraId="73912CF0" w14:textId="77777777" w:rsidTr="00774E7E">
        <w:tc>
          <w:tcPr>
            <w:tcW w:w="4141" w:type="dxa"/>
            <w:vAlign w:val="bottom"/>
          </w:tcPr>
          <w:p w14:paraId="3F4799F3" w14:textId="77777777" w:rsidR="0010523F" w:rsidRPr="0010523F" w:rsidRDefault="0010523F" w:rsidP="0010523F">
            <w:pPr>
              <w:spacing w:line="200" w:lineRule="exact"/>
              <w:jc w:val="both"/>
              <w:rPr>
                <w:snapToGrid w:val="0"/>
                <w:color w:val="000000"/>
                <w:sz w:val="20"/>
                <w:szCs w:val="20"/>
                <w:lang w:val="es-AR" w:eastAsia="en-US"/>
              </w:rPr>
            </w:pPr>
            <w:r w:rsidRPr="0010523F">
              <w:rPr>
                <w:snapToGrid w:val="0"/>
                <w:color w:val="000000"/>
                <w:sz w:val="20"/>
                <w:szCs w:val="20"/>
                <w:lang w:val="es-AR" w:eastAsia="en-US"/>
              </w:rPr>
              <w:t xml:space="preserve">(Deterioro) recupero neto de activos financieros </w:t>
            </w:r>
          </w:p>
        </w:tc>
        <w:tc>
          <w:tcPr>
            <w:tcW w:w="709" w:type="dxa"/>
            <w:vAlign w:val="bottom"/>
          </w:tcPr>
          <w:p w14:paraId="38E9D944" w14:textId="77777777" w:rsidR="0010523F" w:rsidRPr="0010523F" w:rsidRDefault="0010523F" w:rsidP="0010523F">
            <w:pPr>
              <w:spacing w:line="200" w:lineRule="exact"/>
              <w:jc w:val="both"/>
              <w:rPr>
                <w:snapToGrid w:val="0"/>
                <w:color w:val="000000"/>
                <w:sz w:val="20"/>
                <w:szCs w:val="20"/>
                <w:lang w:val="es-AR" w:eastAsia="en-US"/>
              </w:rPr>
            </w:pPr>
          </w:p>
        </w:tc>
        <w:tc>
          <w:tcPr>
            <w:tcW w:w="142" w:type="dxa"/>
          </w:tcPr>
          <w:p w14:paraId="7E40E54F" w14:textId="77777777" w:rsidR="0010523F" w:rsidRPr="0010523F" w:rsidRDefault="0010523F" w:rsidP="0010523F">
            <w:pPr>
              <w:tabs>
                <w:tab w:val="decimal" w:pos="934"/>
              </w:tabs>
              <w:spacing w:line="200" w:lineRule="exact"/>
              <w:jc w:val="both"/>
              <w:rPr>
                <w:snapToGrid w:val="0"/>
                <w:color w:val="000000"/>
                <w:sz w:val="20"/>
                <w:szCs w:val="20"/>
                <w:u w:val="single"/>
                <w:lang w:val="es-AR" w:eastAsia="en-US"/>
              </w:rPr>
            </w:pPr>
          </w:p>
        </w:tc>
        <w:tc>
          <w:tcPr>
            <w:tcW w:w="992" w:type="dxa"/>
          </w:tcPr>
          <w:p w14:paraId="1AA9FF36"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p>
        </w:tc>
        <w:tc>
          <w:tcPr>
            <w:tcW w:w="992" w:type="dxa"/>
          </w:tcPr>
          <w:p w14:paraId="06B089AC" w14:textId="77777777" w:rsidR="0010523F" w:rsidRPr="0010523F" w:rsidRDefault="0010523F" w:rsidP="0010523F">
            <w:pPr>
              <w:tabs>
                <w:tab w:val="decimal" w:pos="819"/>
              </w:tabs>
              <w:spacing w:line="200" w:lineRule="exact"/>
              <w:jc w:val="right"/>
              <w:rPr>
                <w:snapToGrid w:val="0"/>
                <w:color w:val="000000"/>
                <w:sz w:val="20"/>
                <w:szCs w:val="20"/>
                <w:u w:val="single"/>
                <w:lang w:val="es-AR" w:eastAsia="en-US"/>
              </w:rPr>
            </w:pPr>
            <w:r w:rsidRPr="0010523F">
              <w:rPr>
                <w:snapToGrid w:val="0"/>
                <w:color w:val="000000"/>
                <w:sz w:val="20"/>
                <w:szCs w:val="20"/>
                <w:lang w:val="es-AR" w:eastAsia="en-US"/>
              </w:rPr>
              <w:t>(       53)</w:t>
            </w:r>
          </w:p>
        </w:tc>
        <w:tc>
          <w:tcPr>
            <w:tcW w:w="284" w:type="dxa"/>
            <w:vAlign w:val="bottom"/>
          </w:tcPr>
          <w:p w14:paraId="3D9E30CD"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78C2ED7A"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1134" w:type="dxa"/>
          </w:tcPr>
          <w:p w14:paraId="691D6CAF"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     349)</w:t>
            </w:r>
          </w:p>
        </w:tc>
        <w:tc>
          <w:tcPr>
            <w:tcW w:w="283" w:type="dxa"/>
          </w:tcPr>
          <w:p w14:paraId="28DF7015"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1EDBAECC"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p>
        </w:tc>
        <w:tc>
          <w:tcPr>
            <w:tcW w:w="1134" w:type="dxa"/>
          </w:tcPr>
          <w:p w14:paraId="6CCD816D"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r w:rsidRPr="0010523F">
              <w:rPr>
                <w:snapToGrid w:val="0"/>
                <w:color w:val="000000"/>
                <w:sz w:val="20"/>
                <w:szCs w:val="20"/>
                <w:lang w:val="es-AR" w:eastAsia="en-US"/>
              </w:rPr>
              <w:t xml:space="preserve">     38</w:t>
            </w:r>
          </w:p>
        </w:tc>
        <w:tc>
          <w:tcPr>
            <w:tcW w:w="396" w:type="dxa"/>
          </w:tcPr>
          <w:p w14:paraId="22EB3114"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r w:rsidRPr="0010523F">
              <w:rPr>
                <w:snapToGrid w:val="0"/>
                <w:color w:val="000000"/>
                <w:sz w:val="20"/>
                <w:szCs w:val="20"/>
                <w:lang w:val="es-AR" w:eastAsia="en-US"/>
              </w:rPr>
              <w:t>(2)</w:t>
            </w:r>
          </w:p>
        </w:tc>
        <w:tc>
          <w:tcPr>
            <w:tcW w:w="1417" w:type="dxa"/>
          </w:tcPr>
          <w:p w14:paraId="33C6971F"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tcPr>
          <w:p w14:paraId="64A04558"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     512)</w:t>
            </w:r>
          </w:p>
        </w:tc>
      </w:tr>
      <w:tr w:rsidR="0010523F" w:rsidRPr="0010523F" w14:paraId="54AFDD92" w14:textId="77777777" w:rsidTr="00774E7E">
        <w:tc>
          <w:tcPr>
            <w:tcW w:w="4141" w:type="dxa"/>
            <w:vAlign w:val="bottom"/>
          </w:tcPr>
          <w:p w14:paraId="2375E994" w14:textId="77777777" w:rsidR="0010523F" w:rsidRPr="0010523F" w:rsidRDefault="0010523F" w:rsidP="0010523F">
            <w:pPr>
              <w:spacing w:line="200" w:lineRule="exact"/>
              <w:ind w:left="561" w:hanging="561"/>
              <w:jc w:val="both"/>
              <w:rPr>
                <w:snapToGrid w:val="0"/>
                <w:color w:val="000000"/>
                <w:sz w:val="20"/>
                <w:szCs w:val="20"/>
                <w:lang w:val="es-AR" w:eastAsia="en-US"/>
              </w:rPr>
            </w:pPr>
            <w:r w:rsidRPr="0010523F">
              <w:rPr>
                <w:snapToGrid w:val="0"/>
                <w:color w:val="000000"/>
                <w:sz w:val="20"/>
                <w:szCs w:val="20"/>
                <w:lang w:val="es-AR" w:eastAsia="en-US"/>
              </w:rPr>
              <w:t xml:space="preserve">Otros ingresos y (egresos) - neto </w:t>
            </w:r>
          </w:p>
        </w:tc>
        <w:tc>
          <w:tcPr>
            <w:tcW w:w="709" w:type="dxa"/>
            <w:vAlign w:val="bottom"/>
          </w:tcPr>
          <w:p w14:paraId="7D8E85F0" w14:textId="77777777" w:rsidR="0010523F" w:rsidRPr="0010523F" w:rsidRDefault="0010523F" w:rsidP="0010523F">
            <w:pPr>
              <w:spacing w:line="200" w:lineRule="exact"/>
              <w:jc w:val="center"/>
              <w:rPr>
                <w:snapToGrid w:val="0"/>
                <w:color w:val="000000"/>
                <w:sz w:val="20"/>
                <w:szCs w:val="20"/>
                <w:lang w:val="es-AR" w:eastAsia="en-US"/>
              </w:rPr>
            </w:pPr>
          </w:p>
        </w:tc>
        <w:tc>
          <w:tcPr>
            <w:tcW w:w="142" w:type="dxa"/>
          </w:tcPr>
          <w:p w14:paraId="5FB54AB6" w14:textId="77777777" w:rsidR="0010523F" w:rsidRPr="0010523F" w:rsidRDefault="0010523F" w:rsidP="0010523F">
            <w:pPr>
              <w:tabs>
                <w:tab w:val="decimal" w:pos="934"/>
              </w:tabs>
              <w:spacing w:line="200" w:lineRule="exact"/>
              <w:jc w:val="both"/>
              <w:rPr>
                <w:snapToGrid w:val="0"/>
                <w:color w:val="000000"/>
                <w:sz w:val="20"/>
                <w:szCs w:val="20"/>
                <w:u w:val="single"/>
                <w:lang w:val="es-AR" w:eastAsia="en-US"/>
              </w:rPr>
            </w:pPr>
          </w:p>
        </w:tc>
        <w:tc>
          <w:tcPr>
            <w:tcW w:w="992" w:type="dxa"/>
          </w:tcPr>
          <w:p w14:paraId="49001224"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p>
        </w:tc>
        <w:tc>
          <w:tcPr>
            <w:tcW w:w="992" w:type="dxa"/>
          </w:tcPr>
          <w:p w14:paraId="22C4C9BE" w14:textId="77777777" w:rsidR="0010523F" w:rsidRPr="0010523F" w:rsidRDefault="0010523F" w:rsidP="0010523F">
            <w:pPr>
              <w:tabs>
                <w:tab w:val="decimal" w:pos="819"/>
              </w:tabs>
              <w:spacing w:line="200" w:lineRule="exact"/>
              <w:jc w:val="right"/>
              <w:rPr>
                <w:snapToGrid w:val="0"/>
                <w:color w:val="000000"/>
                <w:sz w:val="20"/>
                <w:szCs w:val="20"/>
                <w:u w:val="single"/>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6</w:t>
            </w:r>
            <w:r w:rsidRPr="0010523F">
              <w:rPr>
                <w:snapToGrid w:val="0"/>
                <w:color w:val="000000"/>
                <w:sz w:val="20"/>
                <w:szCs w:val="20"/>
                <w:lang w:val="es-AR" w:eastAsia="en-US"/>
              </w:rPr>
              <w:t>)</w:t>
            </w:r>
          </w:p>
        </w:tc>
        <w:tc>
          <w:tcPr>
            <w:tcW w:w="284" w:type="dxa"/>
          </w:tcPr>
          <w:p w14:paraId="727C4F9E"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992" w:type="dxa"/>
          </w:tcPr>
          <w:p w14:paraId="2607592F"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1134" w:type="dxa"/>
          </w:tcPr>
          <w:p w14:paraId="02F5326D"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271</w:t>
            </w:r>
          </w:p>
        </w:tc>
        <w:tc>
          <w:tcPr>
            <w:tcW w:w="283" w:type="dxa"/>
          </w:tcPr>
          <w:p w14:paraId="139C249E"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1134" w:type="dxa"/>
          </w:tcPr>
          <w:p w14:paraId="68356A89"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p>
        </w:tc>
        <w:tc>
          <w:tcPr>
            <w:tcW w:w="1134" w:type="dxa"/>
          </w:tcPr>
          <w:p w14:paraId="6444EFE5"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446</w:t>
            </w:r>
            <w:r w:rsidRPr="0010523F">
              <w:rPr>
                <w:snapToGrid w:val="0"/>
                <w:color w:val="000000"/>
                <w:sz w:val="20"/>
                <w:szCs w:val="20"/>
                <w:lang w:val="es-AR" w:eastAsia="en-US"/>
              </w:rPr>
              <w:t>)</w:t>
            </w:r>
          </w:p>
        </w:tc>
        <w:tc>
          <w:tcPr>
            <w:tcW w:w="396" w:type="dxa"/>
          </w:tcPr>
          <w:p w14:paraId="43B41422" w14:textId="77777777" w:rsidR="0010523F" w:rsidRPr="0010523F" w:rsidRDefault="0010523F" w:rsidP="0010523F">
            <w:pPr>
              <w:tabs>
                <w:tab w:val="decimal" w:pos="934"/>
              </w:tabs>
              <w:spacing w:line="200" w:lineRule="exact"/>
              <w:jc w:val="right"/>
              <w:rPr>
                <w:snapToGrid w:val="0"/>
                <w:color w:val="000000"/>
                <w:sz w:val="20"/>
                <w:szCs w:val="20"/>
                <w:u w:val="single"/>
                <w:lang w:val="es-AR" w:eastAsia="en-US"/>
              </w:rPr>
            </w:pPr>
          </w:p>
        </w:tc>
        <w:tc>
          <w:tcPr>
            <w:tcW w:w="1417" w:type="dxa"/>
          </w:tcPr>
          <w:p w14:paraId="6E75446D"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992" w:type="dxa"/>
            <w:shd w:val="clear" w:color="auto" w:fill="auto"/>
          </w:tcPr>
          <w:p w14:paraId="23CEEEE7"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r w:rsidRPr="0010523F">
              <w:rPr>
                <w:snapToGrid w:val="0"/>
                <w:color w:val="000000"/>
                <w:sz w:val="20"/>
                <w:szCs w:val="20"/>
                <w:u w:val="single"/>
                <w:lang w:val="es-AR" w:eastAsia="en-US"/>
              </w:rPr>
              <w:t xml:space="preserve">     825</w:t>
            </w:r>
          </w:p>
        </w:tc>
      </w:tr>
      <w:tr w:rsidR="0010523F" w:rsidRPr="0010523F" w14:paraId="0F011680" w14:textId="77777777" w:rsidTr="00774E7E">
        <w:tc>
          <w:tcPr>
            <w:tcW w:w="4141" w:type="dxa"/>
            <w:vAlign w:val="bottom"/>
          </w:tcPr>
          <w:p w14:paraId="79D41914" w14:textId="77777777" w:rsidR="0010523F" w:rsidRPr="0010523F" w:rsidRDefault="0010523F" w:rsidP="0010523F">
            <w:pPr>
              <w:spacing w:line="140" w:lineRule="exact"/>
              <w:jc w:val="right"/>
              <w:rPr>
                <w:snapToGrid w:val="0"/>
                <w:color w:val="000000"/>
                <w:sz w:val="20"/>
                <w:szCs w:val="20"/>
                <w:lang w:val="es-AR" w:eastAsia="en-US"/>
              </w:rPr>
            </w:pPr>
          </w:p>
        </w:tc>
        <w:tc>
          <w:tcPr>
            <w:tcW w:w="709" w:type="dxa"/>
            <w:vAlign w:val="bottom"/>
          </w:tcPr>
          <w:p w14:paraId="58D31BCF" w14:textId="77777777" w:rsidR="0010523F" w:rsidRPr="0010523F" w:rsidRDefault="0010523F" w:rsidP="0010523F">
            <w:pPr>
              <w:spacing w:line="140" w:lineRule="exact"/>
              <w:jc w:val="center"/>
              <w:rPr>
                <w:snapToGrid w:val="0"/>
                <w:color w:val="000000"/>
                <w:sz w:val="20"/>
                <w:szCs w:val="20"/>
                <w:lang w:val="es-AR" w:eastAsia="en-US"/>
              </w:rPr>
            </w:pPr>
          </w:p>
        </w:tc>
        <w:tc>
          <w:tcPr>
            <w:tcW w:w="142" w:type="dxa"/>
          </w:tcPr>
          <w:p w14:paraId="35DEC4AB" w14:textId="77777777" w:rsidR="0010523F" w:rsidRPr="0010523F" w:rsidRDefault="0010523F" w:rsidP="0010523F">
            <w:pPr>
              <w:tabs>
                <w:tab w:val="decimal" w:pos="934"/>
              </w:tabs>
              <w:spacing w:line="140" w:lineRule="exact"/>
              <w:jc w:val="both"/>
              <w:rPr>
                <w:snapToGrid w:val="0"/>
                <w:color w:val="000000"/>
                <w:sz w:val="20"/>
                <w:szCs w:val="20"/>
                <w:lang w:val="es-AR" w:eastAsia="en-US"/>
              </w:rPr>
            </w:pPr>
          </w:p>
        </w:tc>
        <w:tc>
          <w:tcPr>
            <w:tcW w:w="992" w:type="dxa"/>
          </w:tcPr>
          <w:p w14:paraId="3E2BA040"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992" w:type="dxa"/>
          </w:tcPr>
          <w:p w14:paraId="2AAF7FB5"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284" w:type="dxa"/>
          </w:tcPr>
          <w:p w14:paraId="29C30F08"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992" w:type="dxa"/>
          </w:tcPr>
          <w:p w14:paraId="3B247C4D"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1134" w:type="dxa"/>
          </w:tcPr>
          <w:p w14:paraId="01C15A03"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283" w:type="dxa"/>
          </w:tcPr>
          <w:p w14:paraId="71A6D5DE"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1134" w:type="dxa"/>
          </w:tcPr>
          <w:p w14:paraId="28678902"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1134" w:type="dxa"/>
          </w:tcPr>
          <w:p w14:paraId="26FFD6BD"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396" w:type="dxa"/>
          </w:tcPr>
          <w:p w14:paraId="3FDDCF4D"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1417" w:type="dxa"/>
          </w:tcPr>
          <w:p w14:paraId="3B66911E"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992" w:type="dxa"/>
            <w:shd w:val="clear" w:color="auto" w:fill="auto"/>
          </w:tcPr>
          <w:p w14:paraId="68DA0510"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r>
      <w:tr w:rsidR="0010523F" w:rsidRPr="0010523F" w14:paraId="2237E6F0" w14:textId="77777777" w:rsidTr="00774E7E">
        <w:tc>
          <w:tcPr>
            <w:tcW w:w="4141" w:type="dxa"/>
            <w:vAlign w:val="bottom"/>
          </w:tcPr>
          <w:p w14:paraId="37C8DE41" w14:textId="77777777" w:rsidR="0010523F" w:rsidRPr="0010523F" w:rsidRDefault="0010523F" w:rsidP="0010523F">
            <w:pPr>
              <w:spacing w:line="200" w:lineRule="exact"/>
              <w:jc w:val="both"/>
              <w:rPr>
                <w:b/>
                <w:snapToGrid w:val="0"/>
                <w:color w:val="000000"/>
                <w:sz w:val="20"/>
                <w:szCs w:val="20"/>
                <w:lang w:val="es-AR" w:eastAsia="en-US"/>
              </w:rPr>
            </w:pPr>
            <w:r w:rsidRPr="0010523F">
              <w:rPr>
                <w:b/>
                <w:snapToGrid w:val="0"/>
                <w:color w:val="000000"/>
                <w:sz w:val="20"/>
                <w:szCs w:val="20"/>
                <w:lang w:val="es-AR" w:eastAsia="en-US"/>
              </w:rPr>
              <w:t xml:space="preserve">Resultado antes de impuesto a las ganancias </w:t>
            </w:r>
          </w:p>
        </w:tc>
        <w:tc>
          <w:tcPr>
            <w:tcW w:w="709" w:type="dxa"/>
            <w:vAlign w:val="bottom"/>
          </w:tcPr>
          <w:p w14:paraId="30032E78" w14:textId="77777777" w:rsidR="0010523F" w:rsidRPr="0010523F" w:rsidRDefault="0010523F" w:rsidP="0010523F">
            <w:pPr>
              <w:spacing w:line="200" w:lineRule="exact"/>
              <w:jc w:val="center"/>
              <w:rPr>
                <w:b/>
                <w:snapToGrid w:val="0"/>
                <w:color w:val="000000"/>
                <w:sz w:val="20"/>
                <w:szCs w:val="20"/>
                <w:lang w:val="es-AR" w:eastAsia="en-US"/>
              </w:rPr>
            </w:pPr>
          </w:p>
        </w:tc>
        <w:tc>
          <w:tcPr>
            <w:tcW w:w="142" w:type="dxa"/>
          </w:tcPr>
          <w:p w14:paraId="051A76AE" w14:textId="77777777" w:rsidR="0010523F" w:rsidRPr="0010523F" w:rsidRDefault="0010523F" w:rsidP="0010523F">
            <w:pPr>
              <w:tabs>
                <w:tab w:val="decimal" w:pos="934"/>
              </w:tabs>
              <w:spacing w:line="200" w:lineRule="exact"/>
              <w:jc w:val="both"/>
              <w:rPr>
                <w:b/>
                <w:snapToGrid w:val="0"/>
                <w:color w:val="000000"/>
                <w:sz w:val="20"/>
                <w:szCs w:val="20"/>
                <w:lang w:val="es-AR" w:eastAsia="en-US"/>
              </w:rPr>
            </w:pPr>
          </w:p>
        </w:tc>
        <w:tc>
          <w:tcPr>
            <w:tcW w:w="992" w:type="dxa"/>
          </w:tcPr>
          <w:p w14:paraId="6347B6D1" w14:textId="77777777" w:rsidR="0010523F" w:rsidRPr="0010523F" w:rsidRDefault="0010523F" w:rsidP="0010523F">
            <w:pPr>
              <w:tabs>
                <w:tab w:val="decimal" w:pos="934"/>
              </w:tabs>
              <w:spacing w:line="200" w:lineRule="exact"/>
              <w:jc w:val="right"/>
              <w:rPr>
                <w:b/>
                <w:snapToGrid w:val="0"/>
                <w:color w:val="000000"/>
                <w:sz w:val="20"/>
                <w:szCs w:val="20"/>
                <w:lang w:val="es-AR" w:eastAsia="en-US"/>
              </w:rPr>
            </w:pPr>
          </w:p>
        </w:tc>
        <w:tc>
          <w:tcPr>
            <w:tcW w:w="992" w:type="dxa"/>
          </w:tcPr>
          <w:p w14:paraId="513D6650" w14:textId="77777777" w:rsidR="0010523F" w:rsidRPr="0010523F" w:rsidRDefault="0010523F" w:rsidP="0010523F">
            <w:pPr>
              <w:tabs>
                <w:tab w:val="decimal" w:pos="819"/>
              </w:tabs>
              <w:spacing w:line="200" w:lineRule="exact"/>
              <w:jc w:val="right"/>
              <w:rPr>
                <w:snapToGrid w:val="0"/>
                <w:color w:val="000000"/>
                <w:sz w:val="20"/>
                <w:szCs w:val="20"/>
                <w:lang w:val="es-AR" w:eastAsia="en-US"/>
              </w:rPr>
            </w:pPr>
            <w:r w:rsidRPr="0010523F">
              <w:rPr>
                <w:snapToGrid w:val="0"/>
                <w:color w:val="000000"/>
                <w:sz w:val="20"/>
                <w:szCs w:val="20"/>
                <w:lang w:val="es-AR" w:eastAsia="en-US"/>
              </w:rPr>
              <w:t>7.049</w:t>
            </w:r>
          </w:p>
        </w:tc>
        <w:tc>
          <w:tcPr>
            <w:tcW w:w="284" w:type="dxa"/>
          </w:tcPr>
          <w:p w14:paraId="3B8AE49A" w14:textId="77777777" w:rsidR="0010523F" w:rsidRPr="0010523F" w:rsidRDefault="0010523F" w:rsidP="0010523F">
            <w:pPr>
              <w:tabs>
                <w:tab w:val="decimal" w:pos="934"/>
              </w:tabs>
              <w:spacing w:line="200" w:lineRule="exact"/>
              <w:jc w:val="right"/>
              <w:rPr>
                <w:b/>
                <w:snapToGrid w:val="0"/>
                <w:color w:val="000000"/>
                <w:sz w:val="20"/>
                <w:szCs w:val="20"/>
                <w:highlight w:val="yellow"/>
                <w:lang w:val="es-AR" w:eastAsia="en-US"/>
              </w:rPr>
            </w:pPr>
          </w:p>
        </w:tc>
        <w:tc>
          <w:tcPr>
            <w:tcW w:w="992" w:type="dxa"/>
          </w:tcPr>
          <w:p w14:paraId="5A70C41B" w14:textId="77777777" w:rsidR="0010523F" w:rsidRPr="0010523F" w:rsidRDefault="0010523F" w:rsidP="0010523F">
            <w:pPr>
              <w:tabs>
                <w:tab w:val="decimal" w:pos="934"/>
              </w:tabs>
              <w:spacing w:line="200" w:lineRule="exact"/>
              <w:jc w:val="right"/>
              <w:rPr>
                <w:b/>
                <w:snapToGrid w:val="0"/>
                <w:color w:val="000000"/>
                <w:sz w:val="20"/>
                <w:szCs w:val="20"/>
                <w:highlight w:val="yellow"/>
                <w:lang w:val="es-AR" w:eastAsia="en-US"/>
              </w:rPr>
            </w:pPr>
          </w:p>
        </w:tc>
        <w:tc>
          <w:tcPr>
            <w:tcW w:w="1134" w:type="dxa"/>
          </w:tcPr>
          <w:p w14:paraId="332029AF"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r w:rsidRPr="0010523F">
              <w:rPr>
                <w:snapToGrid w:val="0"/>
                <w:color w:val="000000"/>
                <w:sz w:val="20"/>
                <w:szCs w:val="20"/>
                <w:lang w:val="es-AR" w:eastAsia="en-US"/>
              </w:rPr>
              <w:t>7.230</w:t>
            </w:r>
          </w:p>
        </w:tc>
        <w:tc>
          <w:tcPr>
            <w:tcW w:w="283" w:type="dxa"/>
          </w:tcPr>
          <w:p w14:paraId="73EBEB4C"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3CAEC2D0"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p>
        </w:tc>
        <w:tc>
          <w:tcPr>
            <w:tcW w:w="1134" w:type="dxa"/>
          </w:tcPr>
          <w:p w14:paraId="17747750"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r w:rsidRPr="0010523F">
              <w:rPr>
                <w:snapToGrid w:val="0"/>
                <w:color w:val="000000"/>
                <w:sz w:val="20"/>
                <w:szCs w:val="20"/>
                <w:lang w:val="es-AR" w:eastAsia="en-US"/>
              </w:rPr>
              <w:t>18.515</w:t>
            </w:r>
          </w:p>
        </w:tc>
        <w:tc>
          <w:tcPr>
            <w:tcW w:w="396" w:type="dxa"/>
          </w:tcPr>
          <w:p w14:paraId="6A11F20E"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p>
        </w:tc>
        <w:tc>
          <w:tcPr>
            <w:tcW w:w="1417" w:type="dxa"/>
          </w:tcPr>
          <w:p w14:paraId="4D7FF38E"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shd w:val="clear" w:color="auto" w:fill="auto"/>
          </w:tcPr>
          <w:p w14:paraId="40AF5AB7"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17.742</w:t>
            </w:r>
          </w:p>
        </w:tc>
      </w:tr>
      <w:tr w:rsidR="0010523F" w:rsidRPr="0010523F" w14:paraId="7BEF1820" w14:textId="77777777" w:rsidTr="00774E7E">
        <w:tc>
          <w:tcPr>
            <w:tcW w:w="4141" w:type="dxa"/>
            <w:vAlign w:val="bottom"/>
          </w:tcPr>
          <w:p w14:paraId="55A35177" w14:textId="77777777" w:rsidR="0010523F" w:rsidRPr="0010523F" w:rsidRDefault="0010523F" w:rsidP="0010523F">
            <w:pPr>
              <w:spacing w:line="120" w:lineRule="exact"/>
              <w:jc w:val="both"/>
              <w:rPr>
                <w:snapToGrid w:val="0"/>
                <w:color w:val="000000"/>
                <w:sz w:val="20"/>
                <w:szCs w:val="20"/>
                <w:lang w:val="es-AR" w:eastAsia="en-US"/>
              </w:rPr>
            </w:pPr>
          </w:p>
        </w:tc>
        <w:tc>
          <w:tcPr>
            <w:tcW w:w="709" w:type="dxa"/>
            <w:vAlign w:val="bottom"/>
          </w:tcPr>
          <w:p w14:paraId="7579189F" w14:textId="77777777" w:rsidR="0010523F" w:rsidRPr="0010523F" w:rsidRDefault="0010523F" w:rsidP="0010523F">
            <w:pPr>
              <w:spacing w:line="120" w:lineRule="exact"/>
              <w:jc w:val="center"/>
              <w:rPr>
                <w:snapToGrid w:val="0"/>
                <w:color w:val="000000"/>
                <w:sz w:val="20"/>
                <w:szCs w:val="20"/>
                <w:lang w:val="es-AR" w:eastAsia="en-US"/>
              </w:rPr>
            </w:pPr>
          </w:p>
        </w:tc>
        <w:tc>
          <w:tcPr>
            <w:tcW w:w="142" w:type="dxa"/>
          </w:tcPr>
          <w:p w14:paraId="41B27629" w14:textId="77777777" w:rsidR="0010523F" w:rsidRPr="0010523F" w:rsidRDefault="0010523F" w:rsidP="0010523F">
            <w:pPr>
              <w:tabs>
                <w:tab w:val="decimal" w:pos="934"/>
              </w:tabs>
              <w:spacing w:line="120" w:lineRule="exact"/>
              <w:jc w:val="both"/>
              <w:rPr>
                <w:snapToGrid w:val="0"/>
                <w:color w:val="000000"/>
                <w:sz w:val="20"/>
                <w:szCs w:val="20"/>
                <w:u w:val="single"/>
                <w:lang w:val="es-AR" w:eastAsia="en-US"/>
              </w:rPr>
            </w:pPr>
          </w:p>
        </w:tc>
        <w:tc>
          <w:tcPr>
            <w:tcW w:w="992" w:type="dxa"/>
          </w:tcPr>
          <w:p w14:paraId="766BDA08" w14:textId="77777777" w:rsidR="0010523F" w:rsidRPr="0010523F" w:rsidRDefault="0010523F" w:rsidP="0010523F">
            <w:pPr>
              <w:tabs>
                <w:tab w:val="decimal" w:pos="934"/>
              </w:tabs>
              <w:spacing w:line="120" w:lineRule="exact"/>
              <w:jc w:val="right"/>
              <w:rPr>
                <w:snapToGrid w:val="0"/>
                <w:color w:val="000000"/>
                <w:sz w:val="20"/>
                <w:szCs w:val="20"/>
                <w:highlight w:val="yellow"/>
                <w:u w:val="single"/>
                <w:lang w:val="es-AR" w:eastAsia="en-US"/>
              </w:rPr>
            </w:pPr>
          </w:p>
        </w:tc>
        <w:tc>
          <w:tcPr>
            <w:tcW w:w="992" w:type="dxa"/>
          </w:tcPr>
          <w:p w14:paraId="22986EA0" w14:textId="77777777" w:rsidR="0010523F" w:rsidRPr="0010523F" w:rsidRDefault="0010523F" w:rsidP="0010523F">
            <w:pPr>
              <w:tabs>
                <w:tab w:val="decimal" w:pos="796"/>
              </w:tabs>
              <w:spacing w:line="120" w:lineRule="exact"/>
              <w:jc w:val="right"/>
              <w:rPr>
                <w:snapToGrid w:val="0"/>
                <w:color w:val="000000"/>
                <w:sz w:val="20"/>
                <w:szCs w:val="20"/>
                <w:highlight w:val="yellow"/>
                <w:u w:val="single"/>
                <w:lang w:val="es-AR" w:eastAsia="en-US"/>
              </w:rPr>
            </w:pPr>
          </w:p>
        </w:tc>
        <w:tc>
          <w:tcPr>
            <w:tcW w:w="284" w:type="dxa"/>
          </w:tcPr>
          <w:p w14:paraId="4CD8C492" w14:textId="77777777" w:rsidR="0010523F" w:rsidRPr="0010523F" w:rsidRDefault="0010523F" w:rsidP="0010523F">
            <w:pPr>
              <w:tabs>
                <w:tab w:val="decimal" w:pos="934"/>
              </w:tabs>
              <w:spacing w:line="120" w:lineRule="exact"/>
              <w:jc w:val="right"/>
              <w:rPr>
                <w:snapToGrid w:val="0"/>
                <w:color w:val="000000"/>
                <w:sz w:val="20"/>
                <w:szCs w:val="20"/>
                <w:highlight w:val="yellow"/>
                <w:u w:val="single"/>
                <w:lang w:val="es-AR" w:eastAsia="en-US"/>
              </w:rPr>
            </w:pPr>
          </w:p>
        </w:tc>
        <w:tc>
          <w:tcPr>
            <w:tcW w:w="992" w:type="dxa"/>
          </w:tcPr>
          <w:p w14:paraId="32F9E3B7" w14:textId="77777777" w:rsidR="0010523F" w:rsidRPr="0010523F" w:rsidRDefault="0010523F" w:rsidP="0010523F">
            <w:pPr>
              <w:tabs>
                <w:tab w:val="decimal" w:pos="934"/>
              </w:tabs>
              <w:spacing w:line="120" w:lineRule="exact"/>
              <w:jc w:val="right"/>
              <w:rPr>
                <w:snapToGrid w:val="0"/>
                <w:color w:val="000000"/>
                <w:sz w:val="20"/>
                <w:szCs w:val="20"/>
                <w:highlight w:val="yellow"/>
                <w:u w:val="single"/>
                <w:lang w:val="es-AR" w:eastAsia="en-US"/>
              </w:rPr>
            </w:pPr>
          </w:p>
        </w:tc>
        <w:tc>
          <w:tcPr>
            <w:tcW w:w="1134" w:type="dxa"/>
          </w:tcPr>
          <w:p w14:paraId="37A1B2AE" w14:textId="77777777" w:rsidR="0010523F" w:rsidRPr="0010523F" w:rsidRDefault="0010523F" w:rsidP="0010523F">
            <w:pPr>
              <w:tabs>
                <w:tab w:val="decimal" w:pos="796"/>
              </w:tabs>
              <w:spacing w:line="120" w:lineRule="exact"/>
              <w:jc w:val="right"/>
              <w:rPr>
                <w:snapToGrid w:val="0"/>
                <w:color w:val="000000"/>
                <w:sz w:val="20"/>
                <w:szCs w:val="20"/>
                <w:highlight w:val="yellow"/>
                <w:u w:val="single"/>
                <w:lang w:val="es-AR" w:eastAsia="en-US"/>
              </w:rPr>
            </w:pPr>
          </w:p>
        </w:tc>
        <w:tc>
          <w:tcPr>
            <w:tcW w:w="283" w:type="dxa"/>
          </w:tcPr>
          <w:p w14:paraId="515096D3" w14:textId="77777777" w:rsidR="0010523F" w:rsidRPr="0010523F" w:rsidRDefault="0010523F" w:rsidP="0010523F">
            <w:pPr>
              <w:tabs>
                <w:tab w:val="decimal" w:pos="796"/>
              </w:tabs>
              <w:spacing w:line="120" w:lineRule="exact"/>
              <w:jc w:val="right"/>
              <w:rPr>
                <w:snapToGrid w:val="0"/>
                <w:color w:val="000000"/>
                <w:sz w:val="20"/>
                <w:szCs w:val="20"/>
                <w:highlight w:val="yellow"/>
                <w:u w:val="single"/>
                <w:lang w:val="es-AR" w:eastAsia="en-US"/>
              </w:rPr>
            </w:pPr>
          </w:p>
        </w:tc>
        <w:tc>
          <w:tcPr>
            <w:tcW w:w="1134" w:type="dxa"/>
          </w:tcPr>
          <w:p w14:paraId="1BB6FFC9" w14:textId="77777777" w:rsidR="0010523F" w:rsidRPr="0010523F" w:rsidRDefault="0010523F" w:rsidP="0010523F">
            <w:pPr>
              <w:tabs>
                <w:tab w:val="decimal" w:pos="796"/>
              </w:tabs>
              <w:spacing w:line="120" w:lineRule="exact"/>
              <w:jc w:val="right"/>
              <w:rPr>
                <w:snapToGrid w:val="0"/>
                <w:color w:val="000000"/>
                <w:sz w:val="20"/>
                <w:szCs w:val="20"/>
                <w:u w:val="single"/>
                <w:lang w:val="es-AR" w:eastAsia="en-US"/>
              </w:rPr>
            </w:pPr>
          </w:p>
        </w:tc>
        <w:tc>
          <w:tcPr>
            <w:tcW w:w="1134" w:type="dxa"/>
          </w:tcPr>
          <w:p w14:paraId="567F8168" w14:textId="77777777" w:rsidR="0010523F" w:rsidRPr="0010523F" w:rsidRDefault="0010523F" w:rsidP="0010523F">
            <w:pPr>
              <w:tabs>
                <w:tab w:val="decimal" w:pos="796"/>
              </w:tabs>
              <w:spacing w:line="120" w:lineRule="exact"/>
              <w:jc w:val="right"/>
              <w:rPr>
                <w:snapToGrid w:val="0"/>
                <w:color w:val="000000"/>
                <w:sz w:val="20"/>
                <w:szCs w:val="20"/>
                <w:u w:val="single"/>
                <w:lang w:val="es-AR" w:eastAsia="en-US"/>
              </w:rPr>
            </w:pPr>
          </w:p>
        </w:tc>
        <w:tc>
          <w:tcPr>
            <w:tcW w:w="396" w:type="dxa"/>
          </w:tcPr>
          <w:p w14:paraId="7494663E" w14:textId="77777777" w:rsidR="0010523F" w:rsidRPr="0010523F" w:rsidRDefault="0010523F" w:rsidP="0010523F">
            <w:pPr>
              <w:tabs>
                <w:tab w:val="decimal" w:pos="796"/>
              </w:tabs>
              <w:spacing w:line="120" w:lineRule="exact"/>
              <w:jc w:val="right"/>
              <w:rPr>
                <w:snapToGrid w:val="0"/>
                <w:color w:val="000000"/>
                <w:sz w:val="20"/>
                <w:szCs w:val="20"/>
                <w:u w:val="single"/>
                <w:lang w:val="es-AR" w:eastAsia="en-US"/>
              </w:rPr>
            </w:pPr>
          </w:p>
        </w:tc>
        <w:tc>
          <w:tcPr>
            <w:tcW w:w="1417" w:type="dxa"/>
          </w:tcPr>
          <w:p w14:paraId="7C235533" w14:textId="77777777" w:rsidR="0010523F" w:rsidRPr="0010523F" w:rsidRDefault="0010523F" w:rsidP="0010523F">
            <w:pPr>
              <w:tabs>
                <w:tab w:val="decimal" w:pos="796"/>
              </w:tabs>
              <w:spacing w:line="120" w:lineRule="exact"/>
              <w:jc w:val="right"/>
              <w:rPr>
                <w:snapToGrid w:val="0"/>
                <w:color w:val="000000"/>
                <w:sz w:val="20"/>
                <w:szCs w:val="20"/>
                <w:highlight w:val="yellow"/>
                <w:u w:val="single"/>
                <w:lang w:val="es-AR" w:eastAsia="en-US"/>
              </w:rPr>
            </w:pPr>
          </w:p>
        </w:tc>
        <w:tc>
          <w:tcPr>
            <w:tcW w:w="992" w:type="dxa"/>
            <w:shd w:val="clear" w:color="auto" w:fill="auto"/>
          </w:tcPr>
          <w:p w14:paraId="72888F51" w14:textId="77777777" w:rsidR="0010523F" w:rsidRPr="0010523F" w:rsidRDefault="0010523F" w:rsidP="0010523F">
            <w:pPr>
              <w:tabs>
                <w:tab w:val="decimal" w:pos="796"/>
              </w:tabs>
              <w:spacing w:line="120" w:lineRule="exact"/>
              <w:jc w:val="right"/>
              <w:rPr>
                <w:snapToGrid w:val="0"/>
                <w:color w:val="000000"/>
                <w:sz w:val="20"/>
                <w:szCs w:val="20"/>
                <w:highlight w:val="yellow"/>
                <w:u w:val="single"/>
                <w:lang w:val="es-AR" w:eastAsia="en-US"/>
              </w:rPr>
            </w:pPr>
          </w:p>
        </w:tc>
      </w:tr>
      <w:tr w:rsidR="0010523F" w:rsidRPr="0010523F" w14:paraId="6D6C33B4" w14:textId="77777777" w:rsidTr="00774E7E">
        <w:tc>
          <w:tcPr>
            <w:tcW w:w="4141" w:type="dxa"/>
            <w:vAlign w:val="bottom"/>
          </w:tcPr>
          <w:p w14:paraId="1E7D6DA7"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(Cargo) beneficio por impuesto a las ganancias - corriente</w:t>
            </w:r>
          </w:p>
        </w:tc>
        <w:tc>
          <w:tcPr>
            <w:tcW w:w="709" w:type="dxa"/>
            <w:vAlign w:val="bottom"/>
          </w:tcPr>
          <w:p w14:paraId="4CE4540B" w14:textId="77777777" w:rsidR="0010523F" w:rsidRPr="0010523F" w:rsidRDefault="0010523F" w:rsidP="0010523F">
            <w:pPr>
              <w:spacing w:line="200" w:lineRule="exact"/>
              <w:jc w:val="center"/>
              <w:rPr>
                <w:snapToGrid w:val="0"/>
                <w:color w:val="000000"/>
                <w:sz w:val="20"/>
                <w:szCs w:val="20"/>
                <w:lang w:val="es-AR" w:eastAsia="en-US"/>
              </w:rPr>
            </w:pPr>
          </w:p>
        </w:tc>
        <w:tc>
          <w:tcPr>
            <w:tcW w:w="142" w:type="dxa"/>
          </w:tcPr>
          <w:p w14:paraId="6E79028F" w14:textId="77777777" w:rsidR="0010523F" w:rsidRPr="0010523F" w:rsidRDefault="0010523F" w:rsidP="0010523F">
            <w:pPr>
              <w:tabs>
                <w:tab w:val="decimal" w:pos="934"/>
              </w:tabs>
              <w:spacing w:line="200" w:lineRule="exact"/>
              <w:jc w:val="both"/>
              <w:rPr>
                <w:snapToGrid w:val="0"/>
                <w:color w:val="000000"/>
                <w:sz w:val="20"/>
                <w:szCs w:val="20"/>
                <w:lang w:val="es-AR" w:eastAsia="en-US"/>
              </w:rPr>
            </w:pPr>
          </w:p>
        </w:tc>
        <w:tc>
          <w:tcPr>
            <w:tcW w:w="992" w:type="dxa"/>
            <w:vAlign w:val="bottom"/>
          </w:tcPr>
          <w:p w14:paraId="33641C9D"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vAlign w:val="bottom"/>
          </w:tcPr>
          <w:p w14:paraId="22AA85D5" w14:textId="77777777" w:rsidR="0010523F" w:rsidRPr="0010523F" w:rsidRDefault="0010523F" w:rsidP="0010523F">
            <w:pPr>
              <w:tabs>
                <w:tab w:val="decimal" w:pos="819"/>
              </w:tabs>
              <w:spacing w:line="200" w:lineRule="exact"/>
              <w:jc w:val="right"/>
              <w:rPr>
                <w:snapToGrid w:val="0"/>
                <w:color w:val="000000"/>
                <w:sz w:val="20"/>
                <w:szCs w:val="20"/>
                <w:lang w:val="es-AR" w:eastAsia="en-US"/>
              </w:rPr>
            </w:pPr>
            <w:r w:rsidRPr="0010523F">
              <w:rPr>
                <w:snapToGrid w:val="0"/>
                <w:color w:val="000000"/>
                <w:sz w:val="20"/>
                <w:szCs w:val="20"/>
                <w:lang w:val="es-AR" w:eastAsia="en-US"/>
              </w:rPr>
              <w:t>(  1.501)</w:t>
            </w:r>
          </w:p>
        </w:tc>
        <w:tc>
          <w:tcPr>
            <w:tcW w:w="284" w:type="dxa"/>
            <w:vAlign w:val="bottom"/>
          </w:tcPr>
          <w:p w14:paraId="02DD0B35"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vAlign w:val="bottom"/>
          </w:tcPr>
          <w:p w14:paraId="7503A706"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vAlign w:val="bottom"/>
          </w:tcPr>
          <w:p w14:paraId="282B88EB"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1.834</w:t>
            </w:r>
          </w:p>
        </w:tc>
        <w:tc>
          <w:tcPr>
            <w:tcW w:w="283" w:type="dxa"/>
          </w:tcPr>
          <w:p w14:paraId="293073F8"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tcPr>
          <w:p w14:paraId="42DDA758"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p>
        </w:tc>
        <w:tc>
          <w:tcPr>
            <w:tcW w:w="1134" w:type="dxa"/>
            <w:vAlign w:val="bottom"/>
          </w:tcPr>
          <w:p w14:paraId="4C69A1ED"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r w:rsidRPr="0010523F">
              <w:rPr>
                <w:snapToGrid w:val="0"/>
                <w:color w:val="000000"/>
                <w:sz w:val="20"/>
                <w:szCs w:val="20"/>
                <w:lang w:val="en-US" w:eastAsia="en-US"/>
              </w:rPr>
              <w:t>(  4.356)</w:t>
            </w:r>
          </w:p>
        </w:tc>
        <w:tc>
          <w:tcPr>
            <w:tcW w:w="396" w:type="dxa"/>
          </w:tcPr>
          <w:p w14:paraId="0B75DB77"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p>
        </w:tc>
        <w:tc>
          <w:tcPr>
            <w:tcW w:w="1417" w:type="dxa"/>
          </w:tcPr>
          <w:p w14:paraId="437119F4"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vAlign w:val="bottom"/>
          </w:tcPr>
          <w:p w14:paraId="64FD888B"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w:t>
            </w:r>
          </w:p>
        </w:tc>
      </w:tr>
      <w:tr w:rsidR="0010523F" w:rsidRPr="0010523F" w14:paraId="1E37233F" w14:textId="77777777" w:rsidTr="00774E7E">
        <w:tc>
          <w:tcPr>
            <w:tcW w:w="4141" w:type="dxa"/>
            <w:vAlign w:val="bottom"/>
          </w:tcPr>
          <w:p w14:paraId="6B088037" w14:textId="77777777" w:rsidR="0010523F" w:rsidRPr="0010523F" w:rsidRDefault="0010523F" w:rsidP="0010523F">
            <w:pPr>
              <w:spacing w:line="120" w:lineRule="exact"/>
              <w:rPr>
                <w:snapToGrid w:val="0"/>
                <w:color w:val="000000"/>
                <w:sz w:val="20"/>
                <w:szCs w:val="20"/>
                <w:lang w:val="es-AR" w:eastAsia="en-US"/>
              </w:rPr>
            </w:pPr>
          </w:p>
        </w:tc>
        <w:tc>
          <w:tcPr>
            <w:tcW w:w="709" w:type="dxa"/>
            <w:vAlign w:val="bottom"/>
          </w:tcPr>
          <w:p w14:paraId="402BB9B0" w14:textId="77777777" w:rsidR="0010523F" w:rsidRPr="0010523F" w:rsidRDefault="0010523F" w:rsidP="0010523F">
            <w:pPr>
              <w:spacing w:line="120" w:lineRule="exact"/>
              <w:jc w:val="center"/>
              <w:rPr>
                <w:snapToGrid w:val="0"/>
                <w:color w:val="000000"/>
                <w:sz w:val="20"/>
                <w:szCs w:val="20"/>
                <w:lang w:val="es-AR" w:eastAsia="en-US"/>
              </w:rPr>
            </w:pPr>
          </w:p>
        </w:tc>
        <w:tc>
          <w:tcPr>
            <w:tcW w:w="142" w:type="dxa"/>
          </w:tcPr>
          <w:p w14:paraId="687F6A94" w14:textId="77777777" w:rsidR="0010523F" w:rsidRPr="0010523F" w:rsidRDefault="0010523F" w:rsidP="0010523F">
            <w:pPr>
              <w:tabs>
                <w:tab w:val="decimal" w:pos="934"/>
              </w:tabs>
              <w:spacing w:line="120" w:lineRule="exact"/>
              <w:jc w:val="both"/>
              <w:rPr>
                <w:snapToGrid w:val="0"/>
                <w:color w:val="000000"/>
                <w:sz w:val="20"/>
                <w:szCs w:val="20"/>
                <w:u w:val="single"/>
                <w:lang w:val="es-AR" w:eastAsia="en-US"/>
              </w:rPr>
            </w:pPr>
          </w:p>
        </w:tc>
        <w:tc>
          <w:tcPr>
            <w:tcW w:w="992" w:type="dxa"/>
          </w:tcPr>
          <w:p w14:paraId="7B28A134" w14:textId="77777777" w:rsidR="0010523F" w:rsidRPr="0010523F" w:rsidRDefault="0010523F" w:rsidP="0010523F">
            <w:pPr>
              <w:tabs>
                <w:tab w:val="decimal" w:pos="934"/>
              </w:tabs>
              <w:spacing w:line="120" w:lineRule="exact"/>
              <w:jc w:val="right"/>
              <w:rPr>
                <w:snapToGrid w:val="0"/>
                <w:color w:val="000000"/>
                <w:sz w:val="20"/>
                <w:szCs w:val="20"/>
                <w:highlight w:val="yellow"/>
                <w:u w:val="single"/>
                <w:lang w:val="es-AR" w:eastAsia="en-US"/>
              </w:rPr>
            </w:pPr>
          </w:p>
        </w:tc>
        <w:tc>
          <w:tcPr>
            <w:tcW w:w="992" w:type="dxa"/>
          </w:tcPr>
          <w:p w14:paraId="60BD483E" w14:textId="77777777" w:rsidR="0010523F" w:rsidRPr="0010523F" w:rsidRDefault="0010523F" w:rsidP="0010523F">
            <w:pPr>
              <w:tabs>
                <w:tab w:val="decimal" w:pos="819"/>
              </w:tabs>
              <w:spacing w:line="120" w:lineRule="exact"/>
              <w:jc w:val="right"/>
              <w:rPr>
                <w:snapToGrid w:val="0"/>
                <w:color w:val="000000"/>
                <w:sz w:val="20"/>
                <w:szCs w:val="20"/>
                <w:lang w:val="es-AR" w:eastAsia="en-US"/>
              </w:rPr>
            </w:pPr>
            <w:r w:rsidRPr="0010523F">
              <w:rPr>
                <w:snapToGrid w:val="0"/>
                <w:color w:val="000000"/>
                <w:sz w:val="20"/>
                <w:szCs w:val="20"/>
                <w:lang w:val="es-AR" w:eastAsia="en-US"/>
              </w:rPr>
              <w:t xml:space="preserve"> </w:t>
            </w:r>
          </w:p>
        </w:tc>
        <w:tc>
          <w:tcPr>
            <w:tcW w:w="284" w:type="dxa"/>
          </w:tcPr>
          <w:p w14:paraId="58895235" w14:textId="77777777" w:rsidR="0010523F" w:rsidRPr="0010523F" w:rsidRDefault="0010523F" w:rsidP="0010523F">
            <w:pPr>
              <w:tabs>
                <w:tab w:val="decimal" w:pos="934"/>
              </w:tabs>
              <w:spacing w:line="120" w:lineRule="exact"/>
              <w:jc w:val="right"/>
              <w:rPr>
                <w:snapToGrid w:val="0"/>
                <w:color w:val="000000"/>
                <w:sz w:val="20"/>
                <w:szCs w:val="20"/>
                <w:highlight w:val="yellow"/>
                <w:u w:val="single"/>
                <w:lang w:val="es-AR" w:eastAsia="en-US"/>
              </w:rPr>
            </w:pPr>
          </w:p>
        </w:tc>
        <w:tc>
          <w:tcPr>
            <w:tcW w:w="992" w:type="dxa"/>
          </w:tcPr>
          <w:p w14:paraId="2723935F" w14:textId="77777777" w:rsidR="0010523F" w:rsidRPr="0010523F" w:rsidRDefault="0010523F" w:rsidP="0010523F">
            <w:pPr>
              <w:tabs>
                <w:tab w:val="decimal" w:pos="934"/>
              </w:tabs>
              <w:spacing w:line="120" w:lineRule="exact"/>
              <w:jc w:val="right"/>
              <w:rPr>
                <w:snapToGrid w:val="0"/>
                <w:color w:val="000000"/>
                <w:sz w:val="20"/>
                <w:szCs w:val="20"/>
                <w:highlight w:val="yellow"/>
                <w:u w:val="single"/>
                <w:lang w:val="es-AR" w:eastAsia="en-US"/>
              </w:rPr>
            </w:pPr>
          </w:p>
        </w:tc>
        <w:tc>
          <w:tcPr>
            <w:tcW w:w="1134" w:type="dxa"/>
          </w:tcPr>
          <w:p w14:paraId="1AD96E5E"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p>
        </w:tc>
        <w:tc>
          <w:tcPr>
            <w:tcW w:w="283" w:type="dxa"/>
          </w:tcPr>
          <w:p w14:paraId="226BD13C"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p>
        </w:tc>
        <w:tc>
          <w:tcPr>
            <w:tcW w:w="1134" w:type="dxa"/>
          </w:tcPr>
          <w:p w14:paraId="1D46B068" w14:textId="77777777" w:rsidR="0010523F" w:rsidRPr="0010523F" w:rsidRDefault="0010523F" w:rsidP="0010523F">
            <w:pPr>
              <w:tabs>
                <w:tab w:val="decimal" w:pos="934"/>
              </w:tabs>
              <w:spacing w:line="120" w:lineRule="exact"/>
              <w:jc w:val="right"/>
              <w:rPr>
                <w:snapToGrid w:val="0"/>
                <w:color w:val="000000"/>
                <w:sz w:val="20"/>
                <w:szCs w:val="20"/>
                <w:lang w:val="es-AR" w:eastAsia="en-US"/>
              </w:rPr>
            </w:pPr>
          </w:p>
        </w:tc>
        <w:tc>
          <w:tcPr>
            <w:tcW w:w="1134" w:type="dxa"/>
          </w:tcPr>
          <w:p w14:paraId="3BEA55CE" w14:textId="77777777" w:rsidR="0010523F" w:rsidRPr="0010523F" w:rsidRDefault="0010523F" w:rsidP="0010523F">
            <w:pPr>
              <w:tabs>
                <w:tab w:val="decimal" w:pos="934"/>
              </w:tabs>
              <w:spacing w:line="120" w:lineRule="exact"/>
              <w:jc w:val="right"/>
              <w:rPr>
                <w:snapToGrid w:val="0"/>
                <w:color w:val="000000"/>
                <w:sz w:val="20"/>
                <w:szCs w:val="20"/>
                <w:lang w:val="es-AR" w:eastAsia="en-US"/>
              </w:rPr>
            </w:pPr>
            <w:r w:rsidRPr="0010523F">
              <w:rPr>
                <w:snapToGrid w:val="0"/>
                <w:color w:val="000000"/>
                <w:sz w:val="20"/>
                <w:szCs w:val="20"/>
                <w:lang w:val="en-US" w:eastAsia="en-US"/>
              </w:rPr>
              <w:t xml:space="preserve"> </w:t>
            </w:r>
          </w:p>
        </w:tc>
        <w:tc>
          <w:tcPr>
            <w:tcW w:w="396" w:type="dxa"/>
          </w:tcPr>
          <w:p w14:paraId="27EA9961" w14:textId="77777777" w:rsidR="0010523F" w:rsidRPr="0010523F" w:rsidRDefault="0010523F" w:rsidP="0010523F">
            <w:pPr>
              <w:tabs>
                <w:tab w:val="decimal" w:pos="934"/>
              </w:tabs>
              <w:spacing w:line="120" w:lineRule="exact"/>
              <w:jc w:val="right"/>
              <w:rPr>
                <w:snapToGrid w:val="0"/>
                <w:color w:val="000000"/>
                <w:sz w:val="20"/>
                <w:szCs w:val="20"/>
                <w:lang w:val="es-AR" w:eastAsia="en-US"/>
              </w:rPr>
            </w:pPr>
          </w:p>
        </w:tc>
        <w:tc>
          <w:tcPr>
            <w:tcW w:w="1417" w:type="dxa"/>
          </w:tcPr>
          <w:p w14:paraId="6E0AD409"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p>
        </w:tc>
        <w:tc>
          <w:tcPr>
            <w:tcW w:w="992" w:type="dxa"/>
          </w:tcPr>
          <w:p w14:paraId="30754725" w14:textId="77777777" w:rsidR="0010523F" w:rsidRPr="0010523F" w:rsidRDefault="0010523F" w:rsidP="0010523F">
            <w:pPr>
              <w:tabs>
                <w:tab w:val="decimal" w:pos="934"/>
              </w:tabs>
              <w:spacing w:line="120" w:lineRule="exact"/>
              <w:jc w:val="right"/>
              <w:rPr>
                <w:snapToGrid w:val="0"/>
                <w:color w:val="000000"/>
                <w:sz w:val="20"/>
                <w:szCs w:val="20"/>
                <w:highlight w:val="yellow"/>
                <w:lang w:val="es-AR" w:eastAsia="en-US"/>
              </w:rPr>
            </w:pPr>
            <w:r w:rsidRPr="0010523F">
              <w:rPr>
                <w:snapToGrid w:val="0"/>
                <w:color w:val="000000"/>
                <w:sz w:val="20"/>
                <w:szCs w:val="20"/>
                <w:lang w:val="es-AR" w:eastAsia="en-US"/>
              </w:rPr>
              <w:t xml:space="preserve"> </w:t>
            </w:r>
          </w:p>
        </w:tc>
      </w:tr>
      <w:tr w:rsidR="0010523F" w:rsidRPr="0010523F" w14:paraId="7E523F59" w14:textId="77777777" w:rsidTr="00774E7E">
        <w:tc>
          <w:tcPr>
            <w:tcW w:w="4141" w:type="dxa"/>
            <w:vAlign w:val="bottom"/>
          </w:tcPr>
          <w:p w14:paraId="444FE255" w14:textId="77777777" w:rsidR="0010523F" w:rsidRPr="0010523F" w:rsidRDefault="0010523F" w:rsidP="0010523F">
            <w:pPr>
              <w:spacing w:line="200" w:lineRule="exact"/>
              <w:rPr>
                <w:snapToGrid w:val="0"/>
                <w:color w:val="000000"/>
                <w:sz w:val="20"/>
                <w:szCs w:val="20"/>
                <w:lang w:val="es-AR" w:eastAsia="en-US"/>
              </w:rPr>
            </w:pPr>
            <w:r w:rsidRPr="0010523F">
              <w:rPr>
                <w:snapToGrid w:val="0"/>
                <w:color w:val="000000"/>
                <w:sz w:val="20"/>
                <w:szCs w:val="20"/>
                <w:lang w:val="es-AR" w:eastAsia="en-US"/>
              </w:rPr>
              <w:t>Cargo por impuesto a las ganancias - diferido</w:t>
            </w:r>
          </w:p>
        </w:tc>
        <w:tc>
          <w:tcPr>
            <w:tcW w:w="709" w:type="dxa"/>
            <w:vAlign w:val="bottom"/>
          </w:tcPr>
          <w:p w14:paraId="47AAA46E" w14:textId="77777777" w:rsidR="0010523F" w:rsidRPr="0010523F" w:rsidRDefault="0010523F" w:rsidP="0010523F">
            <w:pPr>
              <w:spacing w:line="200" w:lineRule="exact"/>
              <w:ind w:left="-50" w:right="-59"/>
              <w:jc w:val="center"/>
              <w:rPr>
                <w:snapToGrid w:val="0"/>
                <w:color w:val="000000"/>
                <w:sz w:val="20"/>
                <w:szCs w:val="20"/>
                <w:lang w:val="es-AR" w:eastAsia="en-US"/>
              </w:rPr>
            </w:pPr>
          </w:p>
        </w:tc>
        <w:tc>
          <w:tcPr>
            <w:tcW w:w="142" w:type="dxa"/>
          </w:tcPr>
          <w:p w14:paraId="7872E9B9" w14:textId="77777777" w:rsidR="0010523F" w:rsidRPr="0010523F" w:rsidRDefault="0010523F" w:rsidP="0010523F">
            <w:pPr>
              <w:tabs>
                <w:tab w:val="decimal" w:pos="934"/>
              </w:tabs>
              <w:spacing w:line="200" w:lineRule="exact"/>
              <w:jc w:val="both"/>
              <w:rPr>
                <w:snapToGrid w:val="0"/>
                <w:color w:val="000000"/>
                <w:sz w:val="20"/>
                <w:szCs w:val="20"/>
                <w:u w:val="single"/>
                <w:lang w:val="es-AR" w:eastAsia="en-US"/>
              </w:rPr>
            </w:pPr>
          </w:p>
        </w:tc>
        <w:tc>
          <w:tcPr>
            <w:tcW w:w="992" w:type="dxa"/>
          </w:tcPr>
          <w:p w14:paraId="6B7D4F46"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992" w:type="dxa"/>
            <w:vAlign w:val="bottom"/>
          </w:tcPr>
          <w:p w14:paraId="41570E04" w14:textId="77777777" w:rsidR="0010523F" w:rsidRPr="0010523F" w:rsidRDefault="0010523F" w:rsidP="0010523F">
            <w:pPr>
              <w:tabs>
                <w:tab w:val="decimal" w:pos="819"/>
              </w:tabs>
              <w:spacing w:line="200" w:lineRule="exact"/>
              <w:jc w:val="right"/>
              <w:rPr>
                <w:snapToGrid w:val="0"/>
                <w:color w:val="000000"/>
                <w:sz w:val="20"/>
                <w:szCs w:val="20"/>
                <w:lang w:val="es-AR" w:eastAsia="en-US"/>
              </w:rPr>
            </w:pPr>
            <w:r w:rsidRPr="0010523F">
              <w:rPr>
                <w:snapToGrid w:val="0"/>
                <w:color w:val="000000"/>
                <w:sz w:val="20"/>
                <w:szCs w:val="20"/>
                <w:lang w:val="es-AR" w:eastAsia="en-US"/>
              </w:rPr>
              <w:t xml:space="preserve"> (</w:t>
            </w:r>
            <w:r w:rsidRPr="0010523F">
              <w:rPr>
                <w:snapToGrid w:val="0"/>
                <w:color w:val="000000"/>
                <w:sz w:val="20"/>
                <w:szCs w:val="20"/>
                <w:u w:val="single"/>
                <w:lang w:val="es-AR" w:eastAsia="en-US"/>
              </w:rPr>
              <w:t xml:space="preserve">  5.306)</w:t>
            </w:r>
          </w:p>
        </w:tc>
        <w:tc>
          <w:tcPr>
            <w:tcW w:w="284" w:type="dxa"/>
            <w:vAlign w:val="bottom"/>
          </w:tcPr>
          <w:p w14:paraId="43C18459"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992" w:type="dxa"/>
            <w:vAlign w:val="bottom"/>
          </w:tcPr>
          <w:p w14:paraId="71FF1C73" w14:textId="77777777" w:rsidR="0010523F" w:rsidRPr="0010523F" w:rsidRDefault="0010523F" w:rsidP="0010523F">
            <w:pPr>
              <w:tabs>
                <w:tab w:val="decimal" w:pos="934"/>
              </w:tabs>
              <w:spacing w:line="200" w:lineRule="exact"/>
              <w:jc w:val="right"/>
              <w:rPr>
                <w:snapToGrid w:val="0"/>
                <w:color w:val="000000"/>
                <w:sz w:val="20"/>
                <w:szCs w:val="20"/>
                <w:highlight w:val="yellow"/>
                <w:u w:val="single"/>
                <w:lang w:val="es-AR" w:eastAsia="en-US"/>
              </w:rPr>
            </w:pPr>
          </w:p>
        </w:tc>
        <w:tc>
          <w:tcPr>
            <w:tcW w:w="1134" w:type="dxa"/>
            <w:vAlign w:val="bottom"/>
          </w:tcPr>
          <w:p w14:paraId="62F36AFA" w14:textId="77777777" w:rsidR="0010523F" w:rsidRPr="0010523F" w:rsidRDefault="0010523F" w:rsidP="0010523F">
            <w:pPr>
              <w:spacing w:line="200" w:lineRule="exact"/>
              <w:ind w:right="4"/>
              <w:jc w:val="right"/>
              <w:rPr>
                <w:snapToGrid w:val="0"/>
                <w:color w:val="000000"/>
                <w:sz w:val="20"/>
                <w:szCs w:val="20"/>
                <w:highlight w:val="yellow"/>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6.977</w:t>
            </w:r>
            <w:r w:rsidRPr="0010523F">
              <w:rPr>
                <w:snapToGrid w:val="0"/>
                <w:color w:val="000000"/>
                <w:sz w:val="20"/>
                <w:szCs w:val="20"/>
                <w:lang w:val="es-AR" w:eastAsia="en-US"/>
              </w:rPr>
              <w:t>)</w:t>
            </w:r>
          </w:p>
        </w:tc>
        <w:tc>
          <w:tcPr>
            <w:tcW w:w="283" w:type="dxa"/>
            <w:vAlign w:val="bottom"/>
          </w:tcPr>
          <w:p w14:paraId="2F5BD4C2"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1134" w:type="dxa"/>
            <w:vAlign w:val="bottom"/>
          </w:tcPr>
          <w:p w14:paraId="70FDEB71"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p>
        </w:tc>
        <w:tc>
          <w:tcPr>
            <w:tcW w:w="1134" w:type="dxa"/>
            <w:vAlign w:val="bottom"/>
          </w:tcPr>
          <w:p w14:paraId="583E4D81" w14:textId="77777777" w:rsidR="0010523F" w:rsidRPr="0010523F" w:rsidRDefault="0010523F" w:rsidP="0010523F">
            <w:pPr>
              <w:spacing w:line="200" w:lineRule="exact"/>
              <w:jc w:val="right"/>
              <w:rPr>
                <w:snapToGrid w:val="0"/>
                <w:color w:val="000000"/>
                <w:sz w:val="20"/>
                <w:szCs w:val="20"/>
                <w:lang w:val="es-AR" w:eastAsia="en-US"/>
              </w:rPr>
            </w:pPr>
            <w:r w:rsidRPr="0010523F">
              <w:rPr>
                <w:snapToGrid w:val="0"/>
                <w:color w:val="000000"/>
                <w:sz w:val="20"/>
                <w:szCs w:val="20"/>
                <w:lang w:val="en-US" w:eastAsia="en-US"/>
              </w:rPr>
              <w:t>(</w:t>
            </w:r>
            <w:r w:rsidRPr="0010523F">
              <w:rPr>
                <w:snapToGrid w:val="0"/>
                <w:color w:val="000000"/>
                <w:sz w:val="20"/>
                <w:szCs w:val="20"/>
                <w:u w:val="single"/>
                <w:lang w:val="en-US" w:eastAsia="en-US"/>
              </w:rPr>
              <w:t xml:space="preserve">  8.238</w:t>
            </w:r>
            <w:r w:rsidRPr="0010523F">
              <w:rPr>
                <w:snapToGrid w:val="0"/>
                <w:color w:val="000000"/>
                <w:sz w:val="20"/>
                <w:szCs w:val="20"/>
                <w:lang w:val="en-US" w:eastAsia="en-US"/>
              </w:rPr>
              <w:t>)</w:t>
            </w:r>
          </w:p>
        </w:tc>
        <w:tc>
          <w:tcPr>
            <w:tcW w:w="396" w:type="dxa"/>
            <w:vAlign w:val="bottom"/>
          </w:tcPr>
          <w:p w14:paraId="693026A7" w14:textId="77777777" w:rsidR="0010523F" w:rsidRPr="0010523F" w:rsidRDefault="0010523F" w:rsidP="0010523F">
            <w:pPr>
              <w:tabs>
                <w:tab w:val="decimal" w:pos="934"/>
              </w:tabs>
              <w:spacing w:line="200" w:lineRule="exact"/>
              <w:jc w:val="right"/>
              <w:rPr>
                <w:snapToGrid w:val="0"/>
                <w:color w:val="000000"/>
                <w:sz w:val="20"/>
                <w:szCs w:val="20"/>
                <w:lang w:val="es-AR" w:eastAsia="en-US"/>
              </w:rPr>
            </w:pPr>
          </w:p>
        </w:tc>
        <w:tc>
          <w:tcPr>
            <w:tcW w:w="1417" w:type="dxa"/>
            <w:vAlign w:val="bottom"/>
          </w:tcPr>
          <w:p w14:paraId="7747B7DF" w14:textId="77777777" w:rsidR="0010523F" w:rsidRPr="0010523F" w:rsidRDefault="0010523F" w:rsidP="0010523F">
            <w:pPr>
              <w:tabs>
                <w:tab w:val="decimal" w:pos="934"/>
              </w:tabs>
              <w:spacing w:line="200" w:lineRule="exact"/>
              <w:jc w:val="right"/>
              <w:rPr>
                <w:snapToGrid w:val="0"/>
                <w:color w:val="000000"/>
                <w:sz w:val="20"/>
                <w:szCs w:val="20"/>
                <w:highlight w:val="yellow"/>
                <w:lang w:val="es-AR" w:eastAsia="en-US"/>
              </w:rPr>
            </w:pPr>
          </w:p>
        </w:tc>
        <w:tc>
          <w:tcPr>
            <w:tcW w:w="992" w:type="dxa"/>
            <w:vAlign w:val="bottom"/>
          </w:tcPr>
          <w:p w14:paraId="1565D2BC" w14:textId="77777777" w:rsidR="0010523F" w:rsidRPr="0010523F" w:rsidRDefault="0010523F" w:rsidP="0010523F">
            <w:pPr>
              <w:tabs>
                <w:tab w:val="decimal" w:pos="959"/>
              </w:tabs>
              <w:spacing w:line="200" w:lineRule="exact"/>
              <w:jc w:val="right"/>
              <w:rPr>
                <w:snapToGrid w:val="0"/>
                <w:color w:val="000000"/>
                <w:sz w:val="20"/>
                <w:szCs w:val="20"/>
                <w:highlight w:val="yellow"/>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10.027</w:t>
            </w:r>
            <w:r w:rsidRPr="0010523F">
              <w:rPr>
                <w:snapToGrid w:val="0"/>
                <w:color w:val="000000"/>
                <w:sz w:val="20"/>
                <w:szCs w:val="20"/>
                <w:lang w:val="es-AR" w:eastAsia="en-US"/>
              </w:rPr>
              <w:t>)</w:t>
            </w:r>
          </w:p>
        </w:tc>
      </w:tr>
      <w:tr w:rsidR="0010523F" w:rsidRPr="0010523F" w14:paraId="75EAD7AB" w14:textId="77777777" w:rsidTr="00774E7E">
        <w:tc>
          <w:tcPr>
            <w:tcW w:w="4141" w:type="dxa"/>
            <w:vAlign w:val="bottom"/>
          </w:tcPr>
          <w:p w14:paraId="34553D5B" w14:textId="77777777" w:rsidR="0010523F" w:rsidRPr="0010523F" w:rsidRDefault="0010523F" w:rsidP="0010523F">
            <w:pPr>
              <w:spacing w:line="140" w:lineRule="exact"/>
              <w:jc w:val="right"/>
              <w:rPr>
                <w:snapToGrid w:val="0"/>
                <w:color w:val="000000"/>
                <w:sz w:val="20"/>
                <w:szCs w:val="20"/>
                <w:lang w:val="es-AR" w:eastAsia="en-US"/>
              </w:rPr>
            </w:pPr>
          </w:p>
        </w:tc>
        <w:tc>
          <w:tcPr>
            <w:tcW w:w="709" w:type="dxa"/>
            <w:vAlign w:val="bottom"/>
          </w:tcPr>
          <w:p w14:paraId="451FA7FF" w14:textId="77777777" w:rsidR="0010523F" w:rsidRPr="0010523F" w:rsidRDefault="0010523F" w:rsidP="0010523F">
            <w:pPr>
              <w:spacing w:line="140" w:lineRule="exact"/>
              <w:jc w:val="center"/>
              <w:rPr>
                <w:snapToGrid w:val="0"/>
                <w:color w:val="000000"/>
                <w:sz w:val="20"/>
                <w:szCs w:val="20"/>
                <w:lang w:val="es-AR" w:eastAsia="en-US"/>
              </w:rPr>
            </w:pPr>
          </w:p>
        </w:tc>
        <w:tc>
          <w:tcPr>
            <w:tcW w:w="142" w:type="dxa"/>
          </w:tcPr>
          <w:p w14:paraId="6A7CB69A" w14:textId="77777777" w:rsidR="0010523F" w:rsidRPr="0010523F" w:rsidRDefault="0010523F" w:rsidP="0010523F">
            <w:pPr>
              <w:tabs>
                <w:tab w:val="decimal" w:pos="934"/>
              </w:tabs>
              <w:spacing w:line="140" w:lineRule="exact"/>
              <w:jc w:val="both"/>
              <w:rPr>
                <w:snapToGrid w:val="0"/>
                <w:color w:val="000000"/>
                <w:sz w:val="20"/>
                <w:szCs w:val="20"/>
                <w:lang w:val="es-AR" w:eastAsia="en-US"/>
              </w:rPr>
            </w:pPr>
          </w:p>
        </w:tc>
        <w:tc>
          <w:tcPr>
            <w:tcW w:w="992" w:type="dxa"/>
          </w:tcPr>
          <w:p w14:paraId="4D763166"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992" w:type="dxa"/>
          </w:tcPr>
          <w:p w14:paraId="4A51EEC5"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284" w:type="dxa"/>
          </w:tcPr>
          <w:p w14:paraId="4441D7CE"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992" w:type="dxa"/>
          </w:tcPr>
          <w:p w14:paraId="2D00C451" w14:textId="77777777" w:rsidR="0010523F" w:rsidRPr="0010523F" w:rsidRDefault="0010523F" w:rsidP="0010523F">
            <w:pPr>
              <w:tabs>
                <w:tab w:val="decimal" w:pos="934"/>
              </w:tabs>
              <w:spacing w:line="140" w:lineRule="exact"/>
              <w:jc w:val="right"/>
              <w:rPr>
                <w:snapToGrid w:val="0"/>
                <w:color w:val="000000"/>
                <w:sz w:val="20"/>
                <w:szCs w:val="20"/>
                <w:highlight w:val="yellow"/>
                <w:lang w:val="es-AR" w:eastAsia="en-US"/>
              </w:rPr>
            </w:pPr>
          </w:p>
        </w:tc>
        <w:tc>
          <w:tcPr>
            <w:tcW w:w="1134" w:type="dxa"/>
          </w:tcPr>
          <w:p w14:paraId="11782009"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283" w:type="dxa"/>
          </w:tcPr>
          <w:p w14:paraId="4871AD1F"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1134" w:type="dxa"/>
          </w:tcPr>
          <w:p w14:paraId="4C0B4C69"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1134" w:type="dxa"/>
          </w:tcPr>
          <w:p w14:paraId="687F434A"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396" w:type="dxa"/>
          </w:tcPr>
          <w:p w14:paraId="75456457" w14:textId="77777777" w:rsidR="0010523F" w:rsidRPr="0010523F" w:rsidRDefault="0010523F" w:rsidP="0010523F">
            <w:pPr>
              <w:tabs>
                <w:tab w:val="decimal" w:pos="796"/>
              </w:tabs>
              <w:spacing w:line="140" w:lineRule="exact"/>
              <w:jc w:val="right"/>
              <w:rPr>
                <w:snapToGrid w:val="0"/>
                <w:color w:val="000000"/>
                <w:sz w:val="20"/>
                <w:szCs w:val="20"/>
                <w:lang w:val="es-AR" w:eastAsia="en-US"/>
              </w:rPr>
            </w:pPr>
          </w:p>
        </w:tc>
        <w:tc>
          <w:tcPr>
            <w:tcW w:w="1417" w:type="dxa"/>
          </w:tcPr>
          <w:p w14:paraId="0227647B"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c>
          <w:tcPr>
            <w:tcW w:w="992" w:type="dxa"/>
          </w:tcPr>
          <w:p w14:paraId="3C46745D" w14:textId="77777777" w:rsidR="0010523F" w:rsidRPr="0010523F" w:rsidRDefault="0010523F" w:rsidP="0010523F">
            <w:pPr>
              <w:tabs>
                <w:tab w:val="decimal" w:pos="796"/>
              </w:tabs>
              <w:spacing w:line="140" w:lineRule="exact"/>
              <w:jc w:val="right"/>
              <w:rPr>
                <w:snapToGrid w:val="0"/>
                <w:color w:val="000000"/>
                <w:sz w:val="20"/>
                <w:szCs w:val="20"/>
                <w:highlight w:val="yellow"/>
                <w:lang w:val="es-AR" w:eastAsia="en-US"/>
              </w:rPr>
            </w:pPr>
          </w:p>
        </w:tc>
      </w:tr>
      <w:tr w:rsidR="0010523F" w:rsidRPr="0010523F" w14:paraId="1BEAE70B" w14:textId="77777777" w:rsidTr="00774E7E">
        <w:tc>
          <w:tcPr>
            <w:tcW w:w="4141" w:type="dxa"/>
            <w:vAlign w:val="bottom"/>
          </w:tcPr>
          <w:p w14:paraId="4D60C1B1" w14:textId="77777777" w:rsidR="0010523F" w:rsidRPr="0010523F" w:rsidRDefault="0010523F" w:rsidP="0010523F">
            <w:pPr>
              <w:jc w:val="both"/>
              <w:rPr>
                <w:b/>
                <w:snapToGrid w:val="0"/>
                <w:color w:val="000000"/>
                <w:sz w:val="20"/>
                <w:szCs w:val="20"/>
                <w:lang w:val="es-AR" w:eastAsia="en-US"/>
              </w:rPr>
            </w:pPr>
            <w:r w:rsidRPr="0010523F">
              <w:rPr>
                <w:b/>
                <w:snapToGrid w:val="0"/>
                <w:color w:val="000000"/>
                <w:sz w:val="20"/>
                <w:szCs w:val="20"/>
                <w:lang w:val="es-AR" w:eastAsia="en-US"/>
              </w:rPr>
              <w:t>Ganancia neta del período</w:t>
            </w:r>
          </w:p>
        </w:tc>
        <w:tc>
          <w:tcPr>
            <w:tcW w:w="709" w:type="dxa"/>
            <w:vAlign w:val="bottom"/>
          </w:tcPr>
          <w:p w14:paraId="13F385D6" w14:textId="77777777" w:rsidR="0010523F" w:rsidRPr="0010523F" w:rsidRDefault="0010523F" w:rsidP="0010523F">
            <w:pPr>
              <w:jc w:val="center"/>
              <w:rPr>
                <w:b/>
                <w:snapToGrid w:val="0"/>
                <w:color w:val="000000"/>
                <w:sz w:val="20"/>
                <w:szCs w:val="20"/>
                <w:lang w:val="es-AR" w:eastAsia="en-US"/>
              </w:rPr>
            </w:pPr>
          </w:p>
        </w:tc>
        <w:tc>
          <w:tcPr>
            <w:tcW w:w="142" w:type="dxa"/>
          </w:tcPr>
          <w:p w14:paraId="006210C1" w14:textId="77777777" w:rsidR="0010523F" w:rsidRPr="0010523F" w:rsidRDefault="0010523F" w:rsidP="0010523F">
            <w:pPr>
              <w:tabs>
                <w:tab w:val="decimal" w:pos="934"/>
              </w:tabs>
              <w:jc w:val="both"/>
              <w:rPr>
                <w:b/>
                <w:snapToGrid w:val="0"/>
                <w:color w:val="000000"/>
                <w:sz w:val="20"/>
                <w:szCs w:val="20"/>
                <w:u w:val="double"/>
                <w:lang w:val="es-AR" w:eastAsia="en-US"/>
              </w:rPr>
            </w:pPr>
          </w:p>
        </w:tc>
        <w:tc>
          <w:tcPr>
            <w:tcW w:w="992" w:type="dxa"/>
          </w:tcPr>
          <w:p w14:paraId="4D295D75" w14:textId="77777777" w:rsidR="0010523F" w:rsidRPr="0010523F" w:rsidRDefault="0010523F" w:rsidP="0010523F">
            <w:pPr>
              <w:tabs>
                <w:tab w:val="decimal" w:pos="934"/>
              </w:tabs>
              <w:jc w:val="right"/>
              <w:rPr>
                <w:b/>
                <w:snapToGrid w:val="0"/>
                <w:color w:val="000000"/>
                <w:sz w:val="20"/>
                <w:szCs w:val="20"/>
                <w:highlight w:val="yellow"/>
                <w:u w:val="double"/>
                <w:lang w:val="es-AR" w:eastAsia="en-US"/>
              </w:rPr>
            </w:pPr>
          </w:p>
        </w:tc>
        <w:tc>
          <w:tcPr>
            <w:tcW w:w="992" w:type="dxa"/>
          </w:tcPr>
          <w:p w14:paraId="46F324D3" w14:textId="77777777" w:rsidR="0010523F" w:rsidRPr="0010523F" w:rsidRDefault="0010523F" w:rsidP="0010523F">
            <w:pPr>
              <w:tabs>
                <w:tab w:val="decimal" w:pos="819"/>
              </w:tabs>
              <w:spacing w:line="200" w:lineRule="exact"/>
              <w:jc w:val="right"/>
              <w:rPr>
                <w:snapToGrid w:val="0"/>
                <w:color w:val="000000"/>
                <w:sz w:val="20"/>
                <w:szCs w:val="20"/>
                <w:u w:val="double"/>
                <w:lang w:val="es-AR" w:eastAsia="en-US"/>
              </w:rPr>
            </w:pPr>
            <w:r w:rsidRPr="0010523F">
              <w:rPr>
                <w:snapToGrid w:val="0"/>
                <w:color w:val="000000"/>
                <w:sz w:val="20"/>
                <w:szCs w:val="20"/>
                <w:u w:val="double"/>
                <w:lang w:val="es-AR" w:eastAsia="en-US"/>
              </w:rPr>
              <w:t xml:space="preserve">      242</w:t>
            </w:r>
          </w:p>
        </w:tc>
        <w:tc>
          <w:tcPr>
            <w:tcW w:w="284" w:type="dxa"/>
          </w:tcPr>
          <w:p w14:paraId="78D89A46" w14:textId="77777777" w:rsidR="0010523F" w:rsidRPr="0010523F" w:rsidRDefault="0010523F" w:rsidP="0010523F">
            <w:pPr>
              <w:tabs>
                <w:tab w:val="decimal" w:pos="934"/>
              </w:tabs>
              <w:jc w:val="right"/>
              <w:rPr>
                <w:b/>
                <w:snapToGrid w:val="0"/>
                <w:color w:val="000000"/>
                <w:sz w:val="20"/>
                <w:szCs w:val="20"/>
                <w:highlight w:val="yellow"/>
                <w:u w:val="double"/>
                <w:lang w:val="es-AR" w:eastAsia="en-US"/>
              </w:rPr>
            </w:pPr>
          </w:p>
        </w:tc>
        <w:tc>
          <w:tcPr>
            <w:tcW w:w="992" w:type="dxa"/>
          </w:tcPr>
          <w:p w14:paraId="28A377A7" w14:textId="77777777" w:rsidR="0010523F" w:rsidRPr="0010523F" w:rsidRDefault="0010523F" w:rsidP="0010523F">
            <w:pPr>
              <w:tabs>
                <w:tab w:val="decimal" w:pos="934"/>
              </w:tabs>
              <w:jc w:val="right"/>
              <w:rPr>
                <w:b/>
                <w:snapToGrid w:val="0"/>
                <w:color w:val="000000"/>
                <w:sz w:val="20"/>
                <w:szCs w:val="20"/>
                <w:highlight w:val="yellow"/>
                <w:u w:val="double"/>
                <w:lang w:val="es-AR" w:eastAsia="en-US"/>
              </w:rPr>
            </w:pPr>
          </w:p>
        </w:tc>
        <w:tc>
          <w:tcPr>
            <w:tcW w:w="1134" w:type="dxa"/>
          </w:tcPr>
          <w:p w14:paraId="2231FDD6" w14:textId="77777777" w:rsidR="0010523F" w:rsidRPr="0010523F" w:rsidRDefault="0010523F" w:rsidP="0010523F">
            <w:pPr>
              <w:tabs>
                <w:tab w:val="decimal" w:pos="934"/>
              </w:tabs>
              <w:spacing w:line="200" w:lineRule="exact"/>
              <w:jc w:val="right"/>
              <w:rPr>
                <w:snapToGrid w:val="0"/>
                <w:color w:val="000000"/>
                <w:sz w:val="20"/>
                <w:szCs w:val="20"/>
                <w:highlight w:val="yellow"/>
                <w:u w:val="double"/>
                <w:lang w:val="es-AR" w:eastAsia="en-US"/>
              </w:rPr>
            </w:pPr>
            <w:r w:rsidRPr="0010523F">
              <w:rPr>
                <w:snapToGrid w:val="0"/>
                <w:color w:val="000000"/>
                <w:sz w:val="20"/>
                <w:szCs w:val="20"/>
                <w:u w:val="double"/>
                <w:lang w:val="es-AR" w:eastAsia="en-US"/>
              </w:rPr>
              <w:t xml:space="preserve">   2.087</w:t>
            </w:r>
          </w:p>
        </w:tc>
        <w:tc>
          <w:tcPr>
            <w:tcW w:w="283" w:type="dxa"/>
          </w:tcPr>
          <w:p w14:paraId="72E3CF1C" w14:textId="77777777" w:rsidR="0010523F" w:rsidRPr="0010523F" w:rsidRDefault="0010523F" w:rsidP="0010523F">
            <w:pPr>
              <w:tabs>
                <w:tab w:val="decimal" w:pos="934"/>
              </w:tabs>
              <w:spacing w:line="200" w:lineRule="exact"/>
              <w:jc w:val="right"/>
              <w:rPr>
                <w:snapToGrid w:val="0"/>
                <w:color w:val="000000"/>
                <w:sz w:val="20"/>
                <w:szCs w:val="20"/>
                <w:highlight w:val="yellow"/>
                <w:u w:val="double"/>
                <w:lang w:val="es-AR" w:eastAsia="en-US"/>
              </w:rPr>
            </w:pPr>
          </w:p>
        </w:tc>
        <w:tc>
          <w:tcPr>
            <w:tcW w:w="1134" w:type="dxa"/>
          </w:tcPr>
          <w:p w14:paraId="288D533E" w14:textId="77777777" w:rsidR="0010523F" w:rsidRPr="0010523F" w:rsidRDefault="0010523F" w:rsidP="0010523F">
            <w:pPr>
              <w:tabs>
                <w:tab w:val="decimal" w:pos="934"/>
              </w:tabs>
              <w:spacing w:line="200" w:lineRule="exact"/>
              <w:jc w:val="right"/>
              <w:rPr>
                <w:snapToGrid w:val="0"/>
                <w:color w:val="000000"/>
                <w:sz w:val="20"/>
                <w:szCs w:val="20"/>
                <w:u w:val="double"/>
                <w:lang w:val="es-AR" w:eastAsia="en-US"/>
              </w:rPr>
            </w:pPr>
          </w:p>
        </w:tc>
        <w:tc>
          <w:tcPr>
            <w:tcW w:w="1134" w:type="dxa"/>
          </w:tcPr>
          <w:p w14:paraId="50BF44EB" w14:textId="77777777" w:rsidR="0010523F" w:rsidRPr="0010523F" w:rsidRDefault="0010523F" w:rsidP="0010523F">
            <w:pPr>
              <w:tabs>
                <w:tab w:val="decimal" w:pos="934"/>
              </w:tabs>
              <w:spacing w:line="200" w:lineRule="exact"/>
              <w:jc w:val="right"/>
              <w:rPr>
                <w:snapToGrid w:val="0"/>
                <w:color w:val="000000"/>
                <w:sz w:val="20"/>
                <w:szCs w:val="20"/>
                <w:u w:val="double"/>
                <w:lang w:val="es-AR" w:eastAsia="en-US"/>
              </w:rPr>
            </w:pPr>
            <w:r w:rsidRPr="0010523F">
              <w:rPr>
                <w:snapToGrid w:val="0"/>
                <w:color w:val="000000"/>
                <w:sz w:val="20"/>
                <w:szCs w:val="20"/>
                <w:u w:val="double"/>
                <w:lang w:val="en-US" w:eastAsia="en-US"/>
              </w:rPr>
              <w:t xml:space="preserve">   5.921</w:t>
            </w:r>
          </w:p>
        </w:tc>
        <w:tc>
          <w:tcPr>
            <w:tcW w:w="396" w:type="dxa"/>
          </w:tcPr>
          <w:p w14:paraId="54C3CB94" w14:textId="77777777" w:rsidR="0010523F" w:rsidRPr="0010523F" w:rsidRDefault="0010523F" w:rsidP="0010523F">
            <w:pPr>
              <w:tabs>
                <w:tab w:val="decimal" w:pos="934"/>
              </w:tabs>
              <w:spacing w:line="200" w:lineRule="exact"/>
              <w:jc w:val="right"/>
              <w:rPr>
                <w:snapToGrid w:val="0"/>
                <w:color w:val="000000"/>
                <w:sz w:val="20"/>
                <w:szCs w:val="20"/>
                <w:u w:val="double"/>
                <w:lang w:val="es-AR" w:eastAsia="en-US"/>
              </w:rPr>
            </w:pPr>
          </w:p>
        </w:tc>
        <w:tc>
          <w:tcPr>
            <w:tcW w:w="1417" w:type="dxa"/>
          </w:tcPr>
          <w:p w14:paraId="7665CF4B" w14:textId="77777777" w:rsidR="0010523F" w:rsidRPr="0010523F" w:rsidRDefault="0010523F" w:rsidP="0010523F">
            <w:pPr>
              <w:tabs>
                <w:tab w:val="decimal" w:pos="934"/>
              </w:tabs>
              <w:spacing w:line="200" w:lineRule="exact"/>
              <w:jc w:val="right"/>
              <w:rPr>
                <w:snapToGrid w:val="0"/>
                <w:color w:val="000000"/>
                <w:sz w:val="20"/>
                <w:szCs w:val="20"/>
                <w:highlight w:val="yellow"/>
                <w:u w:val="double"/>
                <w:lang w:val="es-AR" w:eastAsia="en-US"/>
              </w:rPr>
            </w:pPr>
          </w:p>
        </w:tc>
        <w:tc>
          <w:tcPr>
            <w:tcW w:w="992" w:type="dxa"/>
          </w:tcPr>
          <w:p w14:paraId="3ACE6AFB" w14:textId="77777777" w:rsidR="0010523F" w:rsidRPr="0010523F" w:rsidRDefault="0010523F" w:rsidP="0010523F">
            <w:pPr>
              <w:tabs>
                <w:tab w:val="decimal" w:pos="934"/>
              </w:tabs>
              <w:spacing w:line="200" w:lineRule="exact"/>
              <w:jc w:val="right"/>
              <w:rPr>
                <w:snapToGrid w:val="0"/>
                <w:color w:val="000000"/>
                <w:sz w:val="20"/>
                <w:szCs w:val="20"/>
                <w:highlight w:val="yellow"/>
                <w:u w:val="double"/>
                <w:lang w:val="es-AR" w:eastAsia="en-US"/>
              </w:rPr>
            </w:pPr>
            <w:r w:rsidRPr="0010523F">
              <w:rPr>
                <w:snapToGrid w:val="0"/>
                <w:color w:val="000000"/>
                <w:sz w:val="20"/>
                <w:szCs w:val="20"/>
                <w:u w:val="double"/>
                <w:lang w:val="es-AR" w:eastAsia="en-US"/>
              </w:rPr>
              <w:t xml:space="preserve">     7.715</w:t>
            </w:r>
          </w:p>
        </w:tc>
      </w:tr>
    </w:tbl>
    <w:p w14:paraId="1DAE4BE4" w14:textId="77777777" w:rsidR="0010523F" w:rsidRPr="0010523F" w:rsidRDefault="0010523F" w:rsidP="0010523F">
      <w:pPr>
        <w:tabs>
          <w:tab w:val="right" w:pos="10440"/>
        </w:tabs>
        <w:spacing w:line="140" w:lineRule="exact"/>
        <w:jc w:val="both"/>
        <w:rPr>
          <w:sz w:val="18"/>
          <w:szCs w:val="18"/>
          <w:lang w:val="es-AR" w:eastAsia="en-US"/>
        </w:rPr>
      </w:pPr>
      <w:r w:rsidRPr="0010523F">
        <w:rPr>
          <w:sz w:val="18"/>
          <w:szCs w:val="18"/>
          <w:lang w:val="es-AR" w:eastAsia="en-US"/>
        </w:rPr>
        <w:tab/>
      </w:r>
    </w:p>
    <w:p w14:paraId="42A23AD3" w14:textId="77777777" w:rsidR="0010523F" w:rsidRPr="0010523F" w:rsidRDefault="0010523F" w:rsidP="0010523F">
      <w:pPr>
        <w:tabs>
          <w:tab w:val="left" w:pos="5529"/>
        </w:tabs>
        <w:spacing w:line="220" w:lineRule="exact"/>
        <w:ind w:left="284" w:hanging="284"/>
        <w:jc w:val="both"/>
        <w:rPr>
          <w:sz w:val="18"/>
          <w:szCs w:val="18"/>
          <w:highlight w:val="yellow"/>
          <w:lang w:val="es-AR" w:eastAsia="en-US"/>
        </w:rPr>
      </w:pPr>
      <w:r w:rsidRPr="0010523F">
        <w:rPr>
          <w:sz w:val="18"/>
          <w:szCs w:val="18"/>
          <w:lang w:val="es-AR" w:eastAsia="en-US"/>
        </w:rPr>
        <w:t xml:space="preserve">(1) </w:t>
      </w:r>
      <w:r w:rsidRPr="0010523F">
        <w:rPr>
          <w:sz w:val="18"/>
          <w:szCs w:val="18"/>
          <w:lang w:val="es-AR" w:eastAsia="en-US"/>
        </w:rPr>
        <w:tab/>
        <w:t>Neto de 486 y 354 en 2019 (tercer trimestre) y 2018 (tercer trimestre), respectivamente, y 1.378 en 2019 (9 meses) y 584 en 2018 (9 meses), correspondientes a intereses activados en propiedad, planta y equipo, a una tasa promedio del 6,6% anual en dólares, según se describe en la Nota 2.3.3. a los estados financieros al 31 de diciembre de 2018.</w:t>
      </w:r>
    </w:p>
    <w:p w14:paraId="64B7980D" w14:textId="77777777" w:rsidR="0010523F" w:rsidRPr="0010523F" w:rsidRDefault="0010523F" w:rsidP="0010523F">
      <w:pPr>
        <w:tabs>
          <w:tab w:val="left" w:pos="5529"/>
        </w:tabs>
        <w:spacing w:line="220" w:lineRule="exact"/>
        <w:ind w:left="284" w:hanging="284"/>
        <w:jc w:val="both"/>
        <w:rPr>
          <w:sz w:val="18"/>
          <w:szCs w:val="18"/>
          <w:lang w:val="es-AR" w:eastAsia="en-US"/>
        </w:rPr>
      </w:pPr>
      <w:r w:rsidRPr="0010523F">
        <w:rPr>
          <w:sz w:val="18"/>
          <w:szCs w:val="18"/>
          <w:lang w:val="es-AR" w:eastAsia="en-US"/>
        </w:rPr>
        <w:t>(2) Ver Anexo E-1.</w:t>
      </w:r>
    </w:p>
    <w:p w14:paraId="72511E09" w14:textId="77777777" w:rsidR="0010523F" w:rsidRPr="0010523F" w:rsidRDefault="0010523F" w:rsidP="0010523F">
      <w:pPr>
        <w:rPr>
          <w:b/>
          <w:lang w:val="es-AR" w:eastAsia="en-US"/>
        </w:rPr>
      </w:pPr>
      <w:r w:rsidRPr="0010523F">
        <w:rPr>
          <w:b/>
          <w:szCs w:val="20"/>
          <w:lang w:val="es-AR" w:eastAsia="en-US"/>
        </w:rPr>
        <w:t>PAN AMERICAN ENERGY, S.L., SUCURSAL ARGENTINA</w:t>
      </w:r>
      <w:r w:rsidRPr="0010523F" w:rsidDel="001E12ED">
        <w:rPr>
          <w:b/>
          <w:lang w:val="es-AR" w:eastAsia="en-US"/>
        </w:rPr>
        <w:t xml:space="preserve"> </w:t>
      </w:r>
    </w:p>
    <w:p w14:paraId="2CFA2E04" w14:textId="77777777" w:rsidR="0010523F" w:rsidRPr="0010523F" w:rsidRDefault="0010523F" w:rsidP="0010523F">
      <w:pPr>
        <w:spacing w:line="220" w:lineRule="exact"/>
        <w:jc w:val="both"/>
        <w:rPr>
          <w:sz w:val="22"/>
          <w:szCs w:val="22"/>
          <w:lang w:val="es-AR" w:eastAsia="en-US"/>
        </w:rPr>
      </w:pPr>
    </w:p>
    <w:p w14:paraId="14C414EA" w14:textId="77777777" w:rsidR="0010523F" w:rsidRPr="0010523F" w:rsidRDefault="0010523F" w:rsidP="0010523F">
      <w:pPr>
        <w:spacing w:line="200" w:lineRule="exact"/>
        <w:jc w:val="both"/>
        <w:rPr>
          <w:sz w:val="22"/>
          <w:szCs w:val="22"/>
          <w:lang w:val="es-AR" w:eastAsia="en-US"/>
        </w:rPr>
      </w:pPr>
      <w:r w:rsidRPr="0010523F">
        <w:rPr>
          <w:b/>
          <w:szCs w:val="20"/>
          <w:lang w:val="es-AR" w:eastAsia="en-US"/>
        </w:rPr>
        <w:t>ESTADO DE OTRO RESULTADO INTEGRAL INTERMEDIO CONDENSADO</w:t>
      </w:r>
      <w:r w:rsidRPr="0010523F">
        <w:rPr>
          <w:sz w:val="22"/>
          <w:szCs w:val="22"/>
          <w:lang w:val="es-AR" w:eastAsia="en-US"/>
        </w:rPr>
        <w:t xml:space="preserve"> </w:t>
      </w:r>
      <w:r w:rsidRPr="0010523F">
        <w:rPr>
          <w:lang w:val="es-AR" w:eastAsia="en-US"/>
        </w:rPr>
        <w:t>por los períodos de tres y nueve meses finalizados el 30 de septiembre de 2019, presentados en forma comparativa con los mismos períodos del ejercicio anterior (en millones de pesos</w:t>
      </w:r>
      <w:r w:rsidRPr="0010523F">
        <w:rPr>
          <w:sz w:val="22"/>
          <w:szCs w:val="22"/>
          <w:lang w:val="es-AR" w:eastAsia="en-US"/>
        </w:rPr>
        <w:t>)</w:t>
      </w:r>
    </w:p>
    <w:p w14:paraId="41631718" w14:textId="77777777" w:rsidR="0010523F" w:rsidRPr="0010523F" w:rsidRDefault="0010523F" w:rsidP="0010523F">
      <w:pPr>
        <w:spacing w:line="220" w:lineRule="exact"/>
        <w:jc w:val="both"/>
        <w:rPr>
          <w:szCs w:val="20"/>
          <w:lang w:val="es-AR" w:eastAsia="en-US"/>
        </w:rPr>
      </w:pPr>
    </w:p>
    <w:tbl>
      <w:tblPr>
        <w:tblW w:w="12191" w:type="dxa"/>
        <w:tblInd w:w="172" w:type="dxa"/>
        <w:tblLayout w:type="fixed"/>
        <w:tblCellMar>
          <w:left w:w="30" w:type="dxa"/>
          <w:right w:w="30" w:type="dxa"/>
        </w:tblCellMar>
        <w:tblLook w:val="0000" w:firstRow="0" w:lastRow="0" w:firstColumn="0" w:lastColumn="0" w:noHBand="0" w:noVBand="0"/>
      </w:tblPr>
      <w:tblGrid>
        <w:gridCol w:w="7088"/>
        <w:gridCol w:w="80"/>
        <w:gridCol w:w="1195"/>
        <w:gridCol w:w="142"/>
        <w:gridCol w:w="1134"/>
        <w:gridCol w:w="142"/>
        <w:gridCol w:w="1134"/>
        <w:gridCol w:w="142"/>
        <w:gridCol w:w="1134"/>
      </w:tblGrid>
      <w:tr w:rsidR="0010523F" w:rsidRPr="0010523F" w14:paraId="2752AFC9" w14:textId="77777777" w:rsidTr="00774E7E">
        <w:trPr>
          <w:trHeight w:val="283"/>
        </w:trPr>
        <w:tc>
          <w:tcPr>
            <w:tcW w:w="7088" w:type="dxa"/>
            <w:shd w:val="clear" w:color="auto" w:fill="auto"/>
            <w:vAlign w:val="bottom"/>
          </w:tcPr>
          <w:p w14:paraId="1179D581" w14:textId="77777777" w:rsidR="0010523F" w:rsidRPr="0010523F" w:rsidRDefault="0010523F" w:rsidP="0010523F">
            <w:pPr>
              <w:jc w:val="both"/>
              <w:rPr>
                <w:snapToGrid w:val="0"/>
                <w:color w:val="000000"/>
                <w:sz w:val="22"/>
                <w:szCs w:val="22"/>
                <w:lang w:val="es-AR" w:eastAsia="en-US"/>
              </w:rPr>
            </w:pPr>
          </w:p>
        </w:tc>
        <w:tc>
          <w:tcPr>
            <w:tcW w:w="80" w:type="dxa"/>
            <w:shd w:val="clear" w:color="auto" w:fill="auto"/>
            <w:vAlign w:val="bottom"/>
          </w:tcPr>
          <w:p w14:paraId="0A006AEB" w14:textId="77777777" w:rsidR="0010523F" w:rsidRPr="0010523F" w:rsidRDefault="0010523F" w:rsidP="0010523F">
            <w:pPr>
              <w:jc w:val="center"/>
              <w:rPr>
                <w:snapToGrid w:val="0"/>
                <w:color w:val="000000"/>
                <w:sz w:val="22"/>
                <w:szCs w:val="22"/>
                <w:lang w:val="es-AR" w:eastAsia="en-US"/>
              </w:rPr>
            </w:pPr>
          </w:p>
        </w:tc>
        <w:tc>
          <w:tcPr>
            <w:tcW w:w="1195" w:type="dxa"/>
            <w:shd w:val="clear" w:color="auto" w:fill="auto"/>
            <w:vAlign w:val="bottom"/>
          </w:tcPr>
          <w:p w14:paraId="4D125D90" w14:textId="77777777" w:rsidR="0010523F" w:rsidRPr="0010523F" w:rsidRDefault="0010523F" w:rsidP="0010523F">
            <w:pPr>
              <w:jc w:val="center"/>
              <w:rPr>
                <w:snapToGrid w:val="0"/>
                <w:color w:val="000000"/>
                <w:sz w:val="22"/>
                <w:szCs w:val="22"/>
                <w:lang w:val="es-AR" w:eastAsia="en-US"/>
              </w:rPr>
            </w:pPr>
            <w:r w:rsidRPr="0010523F">
              <w:rPr>
                <w:snapToGrid w:val="0"/>
                <w:color w:val="000000"/>
                <w:sz w:val="22"/>
                <w:szCs w:val="22"/>
                <w:lang w:val="es-AR" w:eastAsia="en-US"/>
              </w:rPr>
              <w:t>2019</w:t>
            </w:r>
          </w:p>
        </w:tc>
        <w:tc>
          <w:tcPr>
            <w:tcW w:w="142" w:type="dxa"/>
            <w:shd w:val="clear" w:color="auto" w:fill="auto"/>
            <w:vAlign w:val="bottom"/>
          </w:tcPr>
          <w:p w14:paraId="549C2CE3" w14:textId="77777777" w:rsidR="0010523F" w:rsidRPr="0010523F" w:rsidRDefault="0010523F" w:rsidP="0010523F">
            <w:pPr>
              <w:jc w:val="center"/>
              <w:rPr>
                <w:snapToGrid w:val="0"/>
                <w:color w:val="000000"/>
                <w:sz w:val="22"/>
                <w:szCs w:val="22"/>
                <w:u w:val="single"/>
                <w:lang w:val="es-AR" w:eastAsia="en-US"/>
              </w:rPr>
            </w:pPr>
          </w:p>
        </w:tc>
        <w:tc>
          <w:tcPr>
            <w:tcW w:w="1134" w:type="dxa"/>
            <w:shd w:val="clear" w:color="auto" w:fill="auto"/>
            <w:vAlign w:val="bottom"/>
          </w:tcPr>
          <w:p w14:paraId="0672D690" w14:textId="77777777" w:rsidR="0010523F" w:rsidRPr="0010523F" w:rsidRDefault="0010523F" w:rsidP="0010523F">
            <w:pPr>
              <w:jc w:val="center"/>
              <w:rPr>
                <w:snapToGrid w:val="0"/>
                <w:color w:val="000000"/>
                <w:sz w:val="22"/>
                <w:szCs w:val="22"/>
                <w:lang w:val="es-AR" w:eastAsia="en-US"/>
              </w:rPr>
            </w:pPr>
            <w:r w:rsidRPr="0010523F">
              <w:rPr>
                <w:snapToGrid w:val="0"/>
                <w:color w:val="000000"/>
                <w:sz w:val="22"/>
                <w:szCs w:val="22"/>
                <w:lang w:val="es-AR" w:eastAsia="en-US"/>
              </w:rPr>
              <w:t>2018</w:t>
            </w:r>
          </w:p>
        </w:tc>
        <w:tc>
          <w:tcPr>
            <w:tcW w:w="142" w:type="dxa"/>
            <w:vAlign w:val="bottom"/>
          </w:tcPr>
          <w:p w14:paraId="7E9DFA78" w14:textId="77777777" w:rsidR="0010523F" w:rsidRPr="0010523F" w:rsidRDefault="0010523F" w:rsidP="0010523F">
            <w:pPr>
              <w:jc w:val="center"/>
              <w:rPr>
                <w:snapToGrid w:val="0"/>
                <w:color w:val="000000"/>
                <w:sz w:val="22"/>
                <w:szCs w:val="22"/>
                <w:lang w:val="es-AR" w:eastAsia="en-US"/>
              </w:rPr>
            </w:pPr>
          </w:p>
        </w:tc>
        <w:tc>
          <w:tcPr>
            <w:tcW w:w="1134" w:type="dxa"/>
            <w:vAlign w:val="bottom"/>
          </w:tcPr>
          <w:p w14:paraId="0D9EDB96" w14:textId="77777777" w:rsidR="0010523F" w:rsidRPr="0010523F" w:rsidRDefault="0010523F" w:rsidP="0010523F">
            <w:pPr>
              <w:jc w:val="center"/>
              <w:rPr>
                <w:snapToGrid w:val="0"/>
                <w:color w:val="000000"/>
                <w:sz w:val="22"/>
                <w:szCs w:val="22"/>
                <w:lang w:val="es-AR" w:eastAsia="en-US"/>
              </w:rPr>
            </w:pPr>
            <w:r w:rsidRPr="0010523F">
              <w:rPr>
                <w:snapToGrid w:val="0"/>
                <w:color w:val="000000"/>
                <w:sz w:val="22"/>
                <w:szCs w:val="22"/>
                <w:lang w:val="es-AR" w:eastAsia="en-US"/>
              </w:rPr>
              <w:t>2019</w:t>
            </w:r>
          </w:p>
        </w:tc>
        <w:tc>
          <w:tcPr>
            <w:tcW w:w="142" w:type="dxa"/>
            <w:vAlign w:val="bottom"/>
          </w:tcPr>
          <w:p w14:paraId="225AC510" w14:textId="77777777" w:rsidR="0010523F" w:rsidRPr="0010523F" w:rsidRDefault="0010523F" w:rsidP="0010523F">
            <w:pPr>
              <w:jc w:val="center"/>
              <w:rPr>
                <w:snapToGrid w:val="0"/>
                <w:color w:val="000000"/>
                <w:sz w:val="22"/>
                <w:szCs w:val="22"/>
                <w:lang w:val="es-AR" w:eastAsia="en-US"/>
              </w:rPr>
            </w:pPr>
          </w:p>
        </w:tc>
        <w:tc>
          <w:tcPr>
            <w:tcW w:w="1134" w:type="dxa"/>
            <w:vAlign w:val="bottom"/>
          </w:tcPr>
          <w:p w14:paraId="0F46B9CD" w14:textId="77777777" w:rsidR="0010523F" w:rsidRPr="0010523F" w:rsidRDefault="0010523F" w:rsidP="0010523F">
            <w:pPr>
              <w:jc w:val="center"/>
              <w:rPr>
                <w:snapToGrid w:val="0"/>
                <w:color w:val="000000"/>
                <w:sz w:val="22"/>
                <w:szCs w:val="22"/>
                <w:lang w:val="es-AR" w:eastAsia="en-US"/>
              </w:rPr>
            </w:pPr>
            <w:r w:rsidRPr="0010523F">
              <w:rPr>
                <w:snapToGrid w:val="0"/>
                <w:color w:val="000000"/>
                <w:sz w:val="22"/>
                <w:szCs w:val="22"/>
                <w:lang w:val="es-AR" w:eastAsia="en-US"/>
              </w:rPr>
              <w:t>2018</w:t>
            </w:r>
          </w:p>
        </w:tc>
      </w:tr>
      <w:tr w:rsidR="0010523F" w:rsidRPr="0010523F" w14:paraId="034CCEB9" w14:textId="77777777" w:rsidTr="00774E7E">
        <w:tc>
          <w:tcPr>
            <w:tcW w:w="7088" w:type="dxa"/>
            <w:shd w:val="clear" w:color="auto" w:fill="auto"/>
            <w:vAlign w:val="bottom"/>
          </w:tcPr>
          <w:p w14:paraId="2A2E8258" w14:textId="77777777" w:rsidR="0010523F" w:rsidRPr="0010523F" w:rsidRDefault="0010523F" w:rsidP="0010523F">
            <w:pPr>
              <w:jc w:val="both"/>
              <w:rPr>
                <w:snapToGrid w:val="0"/>
                <w:color w:val="000000"/>
                <w:sz w:val="22"/>
                <w:szCs w:val="22"/>
                <w:lang w:val="es-AR" w:eastAsia="en-US"/>
              </w:rPr>
            </w:pPr>
          </w:p>
        </w:tc>
        <w:tc>
          <w:tcPr>
            <w:tcW w:w="80" w:type="dxa"/>
            <w:shd w:val="clear" w:color="auto" w:fill="auto"/>
            <w:vAlign w:val="bottom"/>
          </w:tcPr>
          <w:p w14:paraId="554B3904" w14:textId="77777777" w:rsidR="0010523F" w:rsidRPr="0010523F" w:rsidRDefault="0010523F" w:rsidP="0010523F">
            <w:pPr>
              <w:jc w:val="center"/>
              <w:rPr>
                <w:snapToGrid w:val="0"/>
                <w:color w:val="000000"/>
                <w:sz w:val="22"/>
                <w:szCs w:val="22"/>
                <w:lang w:val="es-AR" w:eastAsia="en-US"/>
              </w:rPr>
            </w:pPr>
          </w:p>
        </w:tc>
        <w:tc>
          <w:tcPr>
            <w:tcW w:w="1195" w:type="dxa"/>
            <w:tcBorders>
              <w:bottom w:val="single" w:sz="4" w:space="0" w:color="auto"/>
            </w:tcBorders>
            <w:shd w:val="clear" w:color="auto" w:fill="auto"/>
            <w:vAlign w:val="center"/>
          </w:tcPr>
          <w:p w14:paraId="41D7407F" w14:textId="77777777" w:rsidR="0010523F" w:rsidRPr="0010523F" w:rsidRDefault="0010523F" w:rsidP="0010523F">
            <w:pPr>
              <w:jc w:val="center"/>
              <w:rPr>
                <w:snapToGrid w:val="0"/>
                <w:color w:val="000000"/>
                <w:sz w:val="22"/>
                <w:szCs w:val="22"/>
                <w:lang w:val="es-AR" w:eastAsia="en-US"/>
              </w:rPr>
            </w:pPr>
            <w:r w:rsidRPr="0010523F">
              <w:rPr>
                <w:snapToGrid w:val="0"/>
                <w:color w:val="000000"/>
                <w:sz w:val="22"/>
                <w:szCs w:val="22"/>
                <w:lang w:val="es-AR" w:eastAsia="en-US"/>
              </w:rPr>
              <w:t>(tercer trimestre)</w:t>
            </w:r>
          </w:p>
        </w:tc>
        <w:tc>
          <w:tcPr>
            <w:tcW w:w="142" w:type="dxa"/>
            <w:shd w:val="clear" w:color="auto" w:fill="auto"/>
            <w:vAlign w:val="center"/>
          </w:tcPr>
          <w:p w14:paraId="79D20D24" w14:textId="77777777" w:rsidR="0010523F" w:rsidRPr="0010523F" w:rsidRDefault="0010523F" w:rsidP="0010523F">
            <w:pPr>
              <w:jc w:val="center"/>
              <w:rPr>
                <w:snapToGrid w:val="0"/>
                <w:color w:val="000000"/>
                <w:sz w:val="22"/>
                <w:szCs w:val="22"/>
                <w:lang w:val="es-AR" w:eastAsia="en-US"/>
              </w:rPr>
            </w:pPr>
          </w:p>
        </w:tc>
        <w:tc>
          <w:tcPr>
            <w:tcW w:w="1134" w:type="dxa"/>
            <w:tcBorders>
              <w:bottom w:val="single" w:sz="4" w:space="0" w:color="auto"/>
            </w:tcBorders>
            <w:shd w:val="clear" w:color="auto" w:fill="auto"/>
            <w:vAlign w:val="center"/>
          </w:tcPr>
          <w:p w14:paraId="0A4F2973" w14:textId="77777777" w:rsidR="0010523F" w:rsidRPr="0010523F" w:rsidRDefault="0010523F" w:rsidP="0010523F">
            <w:pPr>
              <w:jc w:val="center"/>
              <w:rPr>
                <w:snapToGrid w:val="0"/>
                <w:color w:val="000000"/>
                <w:sz w:val="22"/>
                <w:szCs w:val="22"/>
                <w:lang w:val="es-AR" w:eastAsia="en-US"/>
              </w:rPr>
            </w:pPr>
            <w:r w:rsidRPr="0010523F">
              <w:rPr>
                <w:snapToGrid w:val="0"/>
                <w:color w:val="000000"/>
                <w:sz w:val="22"/>
                <w:szCs w:val="22"/>
                <w:lang w:val="es-AR" w:eastAsia="en-US"/>
              </w:rPr>
              <w:t>(tercer trimestre)</w:t>
            </w:r>
          </w:p>
        </w:tc>
        <w:tc>
          <w:tcPr>
            <w:tcW w:w="142" w:type="dxa"/>
          </w:tcPr>
          <w:p w14:paraId="19F5CE90" w14:textId="77777777" w:rsidR="0010523F" w:rsidRPr="0010523F" w:rsidRDefault="0010523F" w:rsidP="0010523F">
            <w:pPr>
              <w:jc w:val="center"/>
              <w:rPr>
                <w:snapToGrid w:val="0"/>
                <w:color w:val="000000"/>
                <w:sz w:val="22"/>
                <w:szCs w:val="22"/>
                <w:lang w:val="es-AR" w:eastAsia="en-US"/>
              </w:rPr>
            </w:pPr>
          </w:p>
        </w:tc>
        <w:tc>
          <w:tcPr>
            <w:tcW w:w="1134" w:type="dxa"/>
            <w:tcBorders>
              <w:bottom w:val="single" w:sz="4" w:space="0" w:color="auto"/>
            </w:tcBorders>
            <w:vAlign w:val="center"/>
          </w:tcPr>
          <w:p w14:paraId="06021D1E" w14:textId="77777777" w:rsidR="0010523F" w:rsidRPr="0010523F" w:rsidRDefault="0010523F" w:rsidP="0010523F">
            <w:pPr>
              <w:jc w:val="center"/>
              <w:rPr>
                <w:snapToGrid w:val="0"/>
                <w:color w:val="000000"/>
                <w:sz w:val="22"/>
                <w:szCs w:val="22"/>
                <w:lang w:val="es-AR" w:eastAsia="en-US"/>
              </w:rPr>
            </w:pPr>
            <w:r w:rsidRPr="0010523F">
              <w:rPr>
                <w:snapToGrid w:val="0"/>
                <w:color w:val="000000"/>
                <w:sz w:val="22"/>
                <w:szCs w:val="22"/>
                <w:lang w:val="es-AR" w:eastAsia="en-US"/>
              </w:rPr>
              <w:t>(9 meses)</w:t>
            </w:r>
          </w:p>
        </w:tc>
        <w:tc>
          <w:tcPr>
            <w:tcW w:w="142" w:type="dxa"/>
          </w:tcPr>
          <w:p w14:paraId="1A23C139" w14:textId="77777777" w:rsidR="0010523F" w:rsidRPr="0010523F" w:rsidRDefault="0010523F" w:rsidP="0010523F">
            <w:pPr>
              <w:jc w:val="center"/>
              <w:rPr>
                <w:snapToGrid w:val="0"/>
                <w:color w:val="000000"/>
                <w:sz w:val="22"/>
                <w:szCs w:val="22"/>
                <w:lang w:val="es-AR" w:eastAsia="en-US"/>
              </w:rPr>
            </w:pPr>
          </w:p>
        </w:tc>
        <w:tc>
          <w:tcPr>
            <w:tcW w:w="1134" w:type="dxa"/>
            <w:tcBorders>
              <w:bottom w:val="single" w:sz="4" w:space="0" w:color="auto"/>
            </w:tcBorders>
            <w:vAlign w:val="center"/>
          </w:tcPr>
          <w:p w14:paraId="68B85975" w14:textId="77777777" w:rsidR="0010523F" w:rsidRPr="0010523F" w:rsidRDefault="0010523F" w:rsidP="0010523F">
            <w:pPr>
              <w:jc w:val="center"/>
              <w:rPr>
                <w:snapToGrid w:val="0"/>
                <w:color w:val="000000"/>
                <w:sz w:val="22"/>
                <w:szCs w:val="22"/>
                <w:lang w:val="es-AR" w:eastAsia="en-US"/>
              </w:rPr>
            </w:pPr>
            <w:r w:rsidRPr="0010523F">
              <w:rPr>
                <w:snapToGrid w:val="0"/>
                <w:color w:val="000000"/>
                <w:sz w:val="22"/>
                <w:szCs w:val="22"/>
                <w:lang w:val="es-AR" w:eastAsia="en-US"/>
              </w:rPr>
              <w:t>(9 meses)</w:t>
            </w:r>
          </w:p>
        </w:tc>
      </w:tr>
      <w:tr w:rsidR="0010523F" w:rsidRPr="0010523F" w14:paraId="12D8AAE6" w14:textId="77777777" w:rsidTr="00774E7E">
        <w:tc>
          <w:tcPr>
            <w:tcW w:w="7088" w:type="dxa"/>
            <w:shd w:val="clear" w:color="auto" w:fill="auto"/>
            <w:vAlign w:val="bottom"/>
          </w:tcPr>
          <w:p w14:paraId="34A3544B" w14:textId="77777777" w:rsidR="0010523F" w:rsidRPr="0010523F" w:rsidRDefault="0010523F" w:rsidP="0010523F">
            <w:pPr>
              <w:spacing w:line="180" w:lineRule="exact"/>
              <w:jc w:val="both"/>
              <w:rPr>
                <w:snapToGrid w:val="0"/>
                <w:color w:val="000000"/>
                <w:sz w:val="22"/>
                <w:szCs w:val="22"/>
                <w:lang w:val="es-AR" w:eastAsia="en-US"/>
              </w:rPr>
            </w:pPr>
          </w:p>
        </w:tc>
        <w:tc>
          <w:tcPr>
            <w:tcW w:w="80" w:type="dxa"/>
            <w:shd w:val="clear" w:color="auto" w:fill="auto"/>
          </w:tcPr>
          <w:p w14:paraId="78E586DB" w14:textId="77777777" w:rsidR="0010523F" w:rsidRPr="0010523F" w:rsidRDefault="0010523F" w:rsidP="0010523F">
            <w:pPr>
              <w:spacing w:line="180" w:lineRule="exact"/>
              <w:jc w:val="both"/>
              <w:rPr>
                <w:snapToGrid w:val="0"/>
                <w:color w:val="000000"/>
                <w:sz w:val="22"/>
                <w:szCs w:val="22"/>
                <w:lang w:val="es-AR" w:eastAsia="en-US"/>
              </w:rPr>
            </w:pPr>
          </w:p>
        </w:tc>
        <w:tc>
          <w:tcPr>
            <w:tcW w:w="1195" w:type="dxa"/>
            <w:tcBorders>
              <w:top w:val="single" w:sz="4" w:space="0" w:color="auto"/>
            </w:tcBorders>
            <w:shd w:val="clear" w:color="auto" w:fill="auto"/>
          </w:tcPr>
          <w:p w14:paraId="18736696" w14:textId="77777777" w:rsidR="0010523F" w:rsidRPr="0010523F" w:rsidRDefault="0010523F" w:rsidP="0010523F">
            <w:pPr>
              <w:spacing w:line="180" w:lineRule="exact"/>
              <w:jc w:val="both"/>
              <w:rPr>
                <w:snapToGrid w:val="0"/>
                <w:color w:val="000000"/>
                <w:sz w:val="22"/>
                <w:szCs w:val="22"/>
                <w:u w:val="single"/>
                <w:lang w:val="es-AR" w:eastAsia="en-US"/>
              </w:rPr>
            </w:pPr>
          </w:p>
        </w:tc>
        <w:tc>
          <w:tcPr>
            <w:tcW w:w="142" w:type="dxa"/>
            <w:shd w:val="clear" w:color="auto" w:fill="auto"/>
          </w:tcPr>
          <w:p w14:paraId="1E33590B" w14:textId="77777777" w:rsidR="0010523F" w:rsidRPr="0010523F" w:rsidRDefault="0010523F" w:rsidP="0010523F">
            <w:pPr>
              <w:spacing w:line="180" w:lineRule="exact"/>
              <w:jc w:val="both"/>
              <w:rPr>
                <w:snapToGrid w:val="0"/>
                <w:color w:val="000000"/>
                <w:sz w:val="22"/>
                <w:szCs w:val="22"/>
                <w:u w:val="single"/>
                <w:lang w:val="es-AR" w:eastAsia="en-US"/>
              </w:rPr>
            </w:pPr>
          </w:p>
        </w:tc>
        <w:tc>
          <w:tcPr>
            <w:tcW w:w="1134" w:type="dxa"/>
            <w:tcBorders>
              <w:top w:val="single" w:sz="4" w:space="0" w:color="auto"/>
            </w:tcBorders>
            <w:shd w:val="clear" w:color="auto" w:fill="auto"/>
            <w:vAlign w:val="bottom"/>
          </w:tcPr>
          <w:p w14:paraId="32EBB897" w14:textId="77777777" w:rsidR="0010523F" w:rsidRPr="0010523F" w:rsidRDefault="0010523F" w:rsidP="0010523F">
            <w:pPr>
              <w:spacing w:line="180" w:lineRule="exact"/>
              <w:jc w:val="both"/>
              <w:rPr>
                <w:snapToGrid w:val="0"/>
                <w:color w:val="000000"/>
                <w:sz w:val="22"/>
                <w:szCs w:val="22"/>
                <w:lang w:val="es-AR" w:eastAsia="en-US"/>
              </w:rPr>
            </w:pPr>
          </w:p>
        </w:tc>
        <w:tc>
          <w:tcPr>
            <w:tcW w:w="142" w:type="dxa"/>
          </w:tcPr>
          <w:p w14:paraId="1815382C" w14:textId="77777777" w:rsidR="0010523F" w:rsidRPr="0010523F" w:rsidRDefault="0010523F" w:rsidP="0010523F">
            <w:pPr>
              <w:spacing w:line="180" w:lineRule="exact"/>
              <w:jc w:val="both"/>
              <w:rPr>
                <w:snapToGrid w:val="0"/>
                <w:color w:val="000000"/>
                <w:sz w:val="22"/>
                <w:szCs w:val="22"/>
                <w:lang w:val="es-AR" w:eastAsia="en-US"/>
              </w:rPr>
            </w:pPr>
          </w:p>
        </w:tc>
        <w:tc>
          <w:tcPr>
            <w:tcW w:w="1134" w:type="dxa"/>
            <w:tcBorders>
              <w:top w:val="single" w:sz="4" w:space="0" w:color="auto"/>
            </w:tcBorders>
          </w:tcPr>
          <w:p w14:paraId="0118B61F" w14:textId="77777777" w:rsidR="0010523F" w:rsidRPr="0010523F" w:rsidRDefault="0010523F" w:rsidP="0010523F">
            <w:pPr>
              <w:spacing w:line="180" w:lineRule="exact"/>
              <w:jc w:val="both"/>
              <w:rPr>
                <w:snapToGrid w:val="0"/>
                <w:color w:val="000000"/>
                <w:sz w:val="22"/>
                <w:szCs w:val="22"/>
                <w:lang w:val="es-AR" w:eastAsia="en-US"/>
              </w:rPr>
            </w:pPr>
          </w:p>
        </w:tc>
        <w:tc>
          <w:tcPr>
            <w:tcW w:w="142" w:type="dxa"/>
          </w:tcPr>
          <w:p w14:paraId="2C0F7757" w14:textId="77777777" w:rsidR="0010523F" w:rsidRPr="0010523F" w:rsidRDefault="0010523F" w:rsidP="0010523F">
            <w:pPr>
              <w:spacing w:line="180" w:lineRule="exact"/>
              <w:jc w:val="both"/>
              <w:rPr>
                <w:snapToGrid w:val="0"/>
                <w:color w:val="000000"/>
                <w:sz w:val="22"/>
                <w:szCs w:val="22"/>
                <w:lang w:val="es-AR" w:eastAsia="en-US"/>
              </w:rPr>
            </w:pPr>
          </w:p>
        </w:tc>
        <w:tc>
          <w:tcPr>
            <w:tcW w:w="1134" w:type="dxa"/>
            <w:tcBorders>
              <w:top w:val="single" w:sz="4" w:space="0" w:color="auto"/>
            </w:tcBorders>
          </w:tcPr>
          <w:p w14:paraId="6862014C" w14:textId="77777777" w:rsidR="0010523F" w:rsidRPr="0010523F" w:rsidRDefault="0010523F" w:rsidP="0010523F">
            <w:pPr>
              <w:spacing w:line="180" w:lineRule="exact"/>
              <w:jc w:val="both"/>
              <w:rPr>
                <w:snapToGrid w:val="0"/>
                <w:color w:val="000000"/>
                <w:sz w:val="22"/>
                <w:szCs w:val="22"/>
                <w:lang w:val="es-AR" w:eastAsia="en-US"/>
              </w:rPr>
            </w:pPr>
          </w:p>
        </w:tc>
      </w:tr>
      <w:tr w:rsidR="0010523F" w:rsidRPr="0010523F" w14:paraId="09D28418" w14:textId="77777777" w:rsidTr="00774E7E">
        <w:tc>
          <w:tcPr>
            <w:tcW w:w="7088" w:type="dxa"/>
            <w:shd w:val="clear" w:color="auto" w:fill="auto"/>
            <w:vAlign w:val="bottom"/>
          </w:tcPr>
          <w:p w14:paraId="1D20F31A" w14:textId="77777777" w:rsidR="0010523F" w:rsidRPr="0010523F" w:rsidRDefault="0010523F" w:rsidP="0010523F">
            <w:pPr>
              <w:jc w:val="both"/>
              <w:rPr>
                <w:snapToGrid w:val="0"/>
                <w:color w:val="000000"/>
                <w:sz w:val="22"/>
                <w:szCs w:val="22"/>
                <w:lang w:val="es-AR" w:eastAsia="en-US"/>
              </w:rPr>
            </w:pPr>
            <w:r w:rsidRPr="0010523F">
              <w:rPr>
                <w:snapToGrid w:val="0"/>
                <w:color w:val="000000"/>
                <w:sz w:val="22"/>
                <w:szCs w:val="22"/>
                <w:lang w:val="es-AR" w:eastAsia="en-US"/>
              </w:rPr>
              <w:t>Resultado del período - ganancia</w:t>
            </w:r>
          </w:p>
        </w:tc>
        <w:tc>
          <w:tcPr>
            <w:tcW w:w="80" w:type="dxa"/>
            <w:shd w:val="clear" w:color="auto" w:fill="auto"/>
          </w:tcPr>
          <w:p w14:paraId="141AF31B" w14:textId="77777777" w:rsidR="0010523F" w:rsidRPr="0010523F" w:rsidRDefault="0010523F" w:rsidP="0010523F">
            <w:pPr>
              <w:jc w:val="right"/>
              <w:rPr>
                <w:snapToGrid w:val="0"/>
                <w:color w:val="000000"/>
                <w:sz w:val="22"/>
                <w:szCs w:val="22"/>
                <w:lang w:val="es-AR" w:eastAsia="en-US"/>
              </w:rPr>
            </w:pPr>
          </w:p>
        </w:tc>
        <w:tc>
          <w:tcPr>
            <w:tcW w:w="1195" w:type="dxa"/>
            <w:shd w:val="clear" w:color="auto" w:fill="auto"/>
            <w:vAlign w:val="bottom"/>
          </w:tcPr>
          <w:p w14:paraId="68ED114C"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 xml:space="preserve">       242</w:t>
            </w:r>
          </w:p>
        </w:tc>
        <w:tc>
          <w:tcPr>
            <w:tcW w:w="142" w:type="dxa"/>
            <w:shd w:val="clear" w:color="auto" w:fill="auto"/>
          </w:tcPr>
          <w:p w14:paraId="69BD7D2E" w14:textId="77777777" w:rsidR="0010523F" w:rsidRPr="0010523F" w:rsidRDefault="0010523F" w:rsidP="0010523F">
            <w:pPr>
              <w:jc w:val="right"/>
              <w:rPr>
                <w:snapToGrid w:val="0"/>
                <w:color w:val="000000"/>
                <w:sz w:val="22"/>
                <w:szCs w:val="22"/>
                <w:highlight w:val="yellow"/>
                <w:u w:val="single"/>
                <w:lang w:val="es-AR" w:eastAsia="en-US"/>
              </w:rPr>
            </w:pPr>
          </w:p>
        </w:tc>
        <w:tc>
          <w:tcPr>
            <w:tcW w:w="1134" w:type="dxa"/>
            <w:shd w:val="clear" w:color="auto" w:fill="auto"/>
          </w:tcPr>
          <w:p w14:paraId="25782F1F"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 xml:space="preserve">   2.087</w:t>
            </w:r>
          </w:p>
        </w:tc>
        <w:tc>
          <w:tcPr>
            <w:tcW w:w="142" w:type="dxa"/>
          </w:tcPr>
          <w:p w14:paraId="0EB470D6" w14:textId="77777777" w:rsidR="0010523F" w:rsidRPr="0010523F" w:rsidRDefault="0010523F" w:rsidP="0010523F">
            <w:pPr>
              <w:jc w:val="right"/>
              <w:rPr>
                <w:snapToGrid w:val="0"/>
                <w:color w:val="000000"/>
                <w:sz w:val="22"/>
                <w:szCs w:val="22"/>
                <w:u w:val="single"/>
                <w:lang w:val="es-AR" w:eastAsia="en-US"/>
              </w:rPr>
            </w:pPr>
          </w:p>
        </w:tc>
        <w:tc>
          <w:tcPr>
            <w:tcW w:w="1134" w:type="dxa"/>
            <w:shd w:val="clear" w:color="auto" w:fill="auto"/>
            <w:vAlign w:val="bottom"/>
          </w:tcPr>
          <w:p w14:paraId="3B597A8A"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 xml:space="preserve">   5.921</w:t>
            </w:r>
          </w:p>
        </w:tc>
        <w:tc>
          <w:tcPr>
            <w:tcW w:w="142" w:type="dxa"/>
          </w:tcPr>
          <w:p w14:paraId="72BECDD5" w14:textId="77777777" w:rsidR="0010523F" w:rsidRPr="0010523F" w:rsidRDefault="0010523F" w:rsidP="0010523F">
            <w:pPr>
              <w:jc w:val="right"/>
              <w:rPr>
                <w:snapToGrid w:val="0"/>
                <w:color w:val="000000"/>
                <w:sz w:val="22"/>
                <w:szCs w:val="22"/>
                <w:u w:val="single"/>
                <w:lang w:val="es-AR" w:eastAsia="en-US"/>
              </w:rPr>
            </w:pPr>
          </w:p>
        </w:tc>
        <w:tc>
          <w:tcPr>
            <w:tcW w:w="1134" w:type="dxa"/>
          </w:tcPr>
          <w:p w14:paraId="1CEB4C15"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 xml:space="preserve">    7.715</w:t>
            </w:r>
          </w:p>
        </w:tc>
      </w:tr>
      <w:tr w:rsidR="0010523F" w:rsidRPr="0010523F" w14:paraId="67B43A6B" w14:textId="77777777" w:rsidTr="00774E7E">
        <w:tc>
          <w:tcPr>
            <w:tcW w:w="7088" w:type="dxa"/>
            <w:shd w:val="clear" w:color="auto" w:fill="auto"/>
            <w:vAlign w:val="bottom"/>
          </w:tcPr>
          <w:p w14:paraId="6C22449D" w14:textId="77777777" w:rsidR="0010523F" w:rsidRPr="0010523F" w:rsidRDefault="0010523F" w:rsidP="0010523F">
            <w:pPr>
              <w:spacing w:line="180" w:lineRule="exact"/>
              <w:jc w:val="both"/>
              <w:rPr>
                <w:snapToGrid w:val="0"/>
                <w:color w:val="000000"/>
                <w:sz w:val="22"/>
                <w:szCs w:val="22"/>
                <w:lang w:val="es-AR" w:eastAsia="en-US"/>
              </w:rPr>
            </w:pPr>
          </w:p>
        </w:tc>
        <w:tc>
          <w:tcPr>
            <w:tcW w:w="80" w:type="dxa"/>
            <w:shd w:val="clear" w:color="auto" w:fill="auto"/>
          </w:tcPr>
          <w:p w14:paraId="79AF2834" w14:textId="77777777" w:rsidR="0010523F" w:rsidRPr="0010523F" w:rsidRDefault="0010523F" w:rsidP="0010523F">
            <w:pPr>
              <w:spacing w:line="180" w:lineRule="exact"/>
              <w:jc w:val="right"/>
              <w:rPr>
                <w:snapToGrid w:val="0"/>
                <w:color w:val="000000"/>
                <w:sz w:val="22"/>
                <w:szCs w:val="22"/>
                <w:lang w:val="es-AR" w:eastAsia="en-US"/>
              </w:rPr>
            </w:pPr>
          </w:p>
        </w:tc>
        <w:tc>
          <w:tcPr>
            <w:tcW w:w="1195" w:type="dxa"/>
            <w:shd w:val="clear" w:color="auto" w:fill="auto"/>
            <w:vAlign w:val="bottom"/>
          </w:tcPr>
          <w:p w14:paraId="4FA645C1" w14:textId="77777777" w:rsidR="0010523F" w:rsidRPr="0010523F" w:rsidRDefault="0010523F" w:rsidP="0010523F">
            <w:pPr>
              <w:spacing w:line="180" w:lineRule="exact"/>
              <w:jc w:val="right"/>
              <w:rPr>
                <w:snapToGrid w:val="0"/>
                <w:color w:val="000000"/>
                <w:sz w:val="22"/>
                <w:szCs w:val="22"/>
                <w:u w:val="single"/>
                <w:lang w:val="es-AR" w:eastAsia="en-US"/>
              </w:rPr>
            </w:pPr>
          </w:p>
        </w:tc>
        <w:tc>
          <w:tcPr>
            <w:tcW w:w="142" w:type="dxa"/>
            <w:shd w:val="clear" w:color="auto" w:fill="auto"/>
          </w:tcPr>
          <w:p w14:paraId="38CEE87C" w14:textId="77777777" w:rsidR="0010523F" w:rsidRPr="0010523F" w:rsidRDefault="0010523F" w:rsidP="0010523F">
            <w:pPr>
              <w:spacing w:line="180" w:lineRule="exact"/>
              <w:jc w:val="right"/>
              <w:rPr>
                <w:snapToGrid w:val="0"/>
                <w:color w:val="000000"/>
                <w:sz w:val="22"/>
                <w:szCs w:val="22"/>
                <w:highlight w:val="yellow"/>
                <w:u w:val="single"/>
                <w:lang w:val="es-AR" w:eastAsia="en-US"/>
              </w:rPr>
            </w:pPr>
          </w:p>
        </w:tc>
        <w:tc>
          <w:tcPr>
            <w:tcW w:w="1134" w:type="dxa"/>
            <w:shd w:val="clear" w:color="auto" w:fill="auto"/>
          </w:tcPr>
          <w:p w14:paraId="74B9C20C"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155640DF"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shd w:val="clear" w:color="auto" w:fill="auto"/>
            <w:vAlign w:val="bottom"/>
          </w:tcPr>
          <w:p w14:paraId="29035DE4"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0135B41F"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tcPr>
          <w:p w14:paraId="044BB6E6" w14:textId="77777777" w:rsidR="0010523F" w:rsidRPr="0010523F" w:rsidRDefault="0010523F" w:rsidP="0010523F">
            <w:pPr>
              <w:spacing w:line="180" w:lineRule="exact"/>
              <w:jc w:val="right"/>
              <w:rPr>
                <w:snapToGrid w:val="0"/>
                <w:color w:val="000000"/>
                <w:sz w:val="22"/>
                <w:szCs w:val="22"/>
                <w:lang w:val="es-AR" w:eastAsia="en-US"/>
              </w:rPr>
            </w:pPr>
          </w:p>
        </w:tc>
      </w:tr>
      <w:tr w:rsidR="0010523F" w:rsidRPr="0010523F" w14:paraId="1D3570EE" w14:textId="77777777" w:rsidTr="00774E7E">
        <w:tc>
          <w:tcPr>
            <w:tcW w:w="7088" w:type="dxa"/>
            <w:shd w:val="clear" w:color="auto" w:fill="auto"/>
            <w:vAlign w:val="bottom"/>
          </w:tcPr>
          <w:p w14:paraId="08320E4C" w14:textId="77777777" w:rsidR="0010523F" w:rsidRPr="0010523F" w:rsidRDefault="0010523F" w:rsidP="0010523F">
            <w:pPr>
              <w:jc w:val="both"/>
              <w:rPr>
                <w:snapToGrid w:val="0"/>
                <w:color w:val="000000"/>
                <w:sz w:val="22"/>
                <w:szCs w:val="22"/>
                <w:lang w:val="es-AR" w:eastAsia="en-US"/>
              </w:rPr>
            </w:pPr>
            <w:r w:rsidRPr="0010523F">
              <w:rPr>
                <w:snapToGrid w:val="0"/>
                <w:color w:val="000000"/>
                <w:sz w:val="22"/>
                <w:szCs w:val="22"/>
                <w:lang w:val="es-AR" w:eastAsia="en-US"/>
              </w:rPr>
              <w:t>Otro resultado integral:</w:t>
            </w:r>
          </w:p>
        </w:tc>
        <w:tc>
          <w:tcPr>
            <w:tcW w:w="80" w:type="dxa"/>
            <w:shd w:val="clear" w:color="auto" w:fill="auto"/>
          </w:tcPr>
          <w:p w14:paraId="035B31A9" w14:textId="77777777" w:rsidR="0010523F" w:rsidRPr="0010523F" w:rsidRDefault="0010523F" w:rsidP="0010523F">
            <w:pPr>
              <w:jc w:val="right"/>
              <w:rPr>
                <w:snapToGrid w:val="0"/>
                <w:color w:val="000000"/>
                <w:sz w:val="22"/>
                <w:szCs w:val="22"/>
                <w:lang w:val="es-AR" w:eastAsia="en-US"/>
              </w:rPr>
            </w:pPr>
          </w:p>
        </w:tc>
        <w:tc>
          <w:tcPr>
            <w:tcW w:w="1195" w:type="dxa"/>
            <w:shd w:val="clear" w:color="auto" w:fill="auto"/>
            <w:vAlign w:val="bottom"/>
          </w:tcPr>
          <w:p w14:paraId="5C8CCEC6" w14:textId="77777777" w:rsidR="0010523F" w:rsidRPr="0010523F" w:rsidRDefault="0010523F" w:rsidP="0010523F">
            <w:pPr>
              <w:jc w:val="right"/>
              <w:rPr>
                <w:snapToGrid w:val="0"/>
                <w:color w:val="000000"/>
                <w:sz w:val="22"/>
                <w:szCs w:val="22"/>
                <w:u w:val="single"/>
                <w:lang w:val="es-AR" w:eastAsia="en-US"/>
              </w:rPr>
            </w:pPr>
          </w:p>
        </w:tc>
        <w:tc>
          <w:tcPr>
            <w:tcW w:w="142" w:type="dxa"/>
            <w:shd w:val="clear" w:color="auto" w:fill="auto"/>
          </w:tcPr>
          <w:p w14:paraId="20E56C7B" w14:textId="77777777" w:rsidR="0010523F" w:rsidRPr="0010523F" w:rsidRDefault="0010523F" w:rsidP="0010523F">
            <w:pPr>
              <w:jc w:val="right"/>
              <w:rPr>
                <w:snapToGrid w:val="0"/>
                <w:color w:val="000000"/>
                <w:sz w:val="22"/>
                <w:szCs w:val="22"/>
                <w:highlight w:val="yellow"/>
                <w:u w:val="single"/>
                <w:lang w:val="es-AR" w:eastAsia="en-US"/>
              </w:rPr>
            </w:pPr>
          </w:p>
        </w:tc>
        <w:tc>
          <w:tcPr>
            <w:tcW w:w="1134" w:type="dxa"/>
            <w:shd w:val="clear" w:color="auto" w:fill="auto"/>
          </w:tcPr>
          <w:p w14:paraId="1C7F6967" w14:textId="77777777" w:rsidR="0010523F" w:rsidRPr="0010523F" w:rsidRDefault="0010523F" w:rsidP="0010523F">
            <w:pPr>
              <w:jc w:val="right"/>
              <w:rPr>
                <w:snapToGrid w:val="0"/>
                <w:color w:val="000000"/>
                <w:sz w:val="22"/>
                <w:szCs w:val="22"/>
                <w:lang w:val="es-AR" w:eastAsia="en-US"/>
              </w:rPr>
            </w:pPr>
          </w:p>
        </w:tc>
        <w:tc>
          <w:tcPr>
            <w:tcW w:w="142" w:type="dxa"/>
          </w:tcPr>
          <w:p w14:paraId="5EFB492A" w14:textId="77777777" w:rsidR="0010523F" w:rsidRPr="0010523F" w:rsidRDefault="0010523F" w:rsidP="0010523F">
            <w:pPr>
              <w:jc w:val="right"/>
              <w:rPr>
                <w:snapToGrid w:val="0"/>
                <w:color w:val="000000"/>
                <w:sz w:val="22"/>
                <w:szCs w:val="22"/>
                <w:lang w:val="es-AR" w:eastAsia="en-US"/>
              </w:rPr>
            </w:pPr>
          </w:p>
        </w:tc>
        <w:tc>
          <w:tcPr>
            <w:tcW w:w="1134" w:type="dxa"/>
            <w:shd w:val="clear" w:color="auto" w:fill="auto"/>
            <w:vAlign w:val="bottom"/>
          </w:tcPr>
          <w:p w14:paraId="6932CBAA" w14:textId="77777777" w:rsidR="0010523F" w:rsidRPr="0010523F" w:rsidRDefault="0010523F" w:rsidP="0010523F">
            <w:pPr>
              <w:jc w:val="right"/>
              <w:rPr>
                <w:snapToGrid w:val="0"/>
                <w:color w:val="000000"/>
                <w:sz w:val="22"/>
                <w:szCs w:val="22"/>
                <w:lang w:val="es-AR" w:eastAsia="en-US"/>
              </w:rPr>
            </w:pPr>
          </w:p>
        </w:tc>
        <w:tc>
          <w:tcPr>
            <w:tcW w:w="142" w:type="dxa"/>
          </w:tcPr>
          <w:p w14:paraId="5CBC18D1" w14:textId="77777777" w:rsidR="0010523F" w:rsidRPr="0010523F" w:rsidRDefault="0010523F" w:rsidP="0010523F">
            <w:pPr>
              <w:jc w:val="right"/>
              <w:rPr>
                <w:snapToGrid w:val="0"/>
                <w:color w:val="000000"/>
                <w:sz w:val="22"/>
                <w:szCs w:val="22"/>
                <w:lang w:val="es-AR" w:eastAsia="en-US"/>
              </w:rPr>
            </w:pPr>
          </w:p>
        </w:tc>
        <w:tc>
          <w:tcPr>
            <w:tcW w:w="1134" w:type="dxa"/>
          </w:tcPr>
          <w:p w14:paraId="3710DE85" w14:textId="77777777" w:rsidR="0010523F" w:rsidRPr="0010523F" w:rsidRDefault="0010523F" w:rsidP="0010523F">
            <w:pPr>
              <w:jc w:val="right"/>
              <w:rPr>
                <w:snapToGrid w:val="0"/>
                <w:color w:val="000000"/>
                <w:sz w:val="22"/>
                <w:szCs w:val="22"/>
                <w:lang w:val="es-AR" w:eastAsia="en-US"/>
              </w:rPr>
            </w:pPr>
          </w:p>
        </w:tc>
      </w:tr>
      <w:tr w:rsidR="0010523F" w:rsidRPr="0010523F" w14:paraId="39494E79" w14:textId="77777777" w:rsidTr="00774E7E">
        <w:tc>
          <w:tcPr>
            <w:tcW w:w="7088" w:type="dxa"/>
            <w:shd w:val="clear" w:color="auto" w:fill="auto"/>
            <w:vAlign w:val="bottom"/>
          </w:tcPr>
          <w:p w14:paraId="263A216C" w14:textId="77777777" w:rsidR="0010523F" w:rsidRPr="0010523F" w:rsidRDefault="0010523F" w:rsidP="0010523F">
            <w:pPr>
              <w:spacing w:line="180" w:lineRule="exact"/>
              <w:jc w:val="both"/>
              <w:rPr>
                <w:snapToGrid w:val="0"/>
                <w:color w:val="000000"/>
                <w:sz w:val="22"/>
                <w:szCs w:val="22"/>
                <w:lang w:val="es-AR" w:eastAsia="en-US"/>
              </w:rPr>
            </w:pPr>
          </w:p>
        </w:tc>
        <w:tc>
          <w:tcPr>
            <w:tcW w:w="80" w:type="dxa"/>
            <w:shd w:val="clear" w:color="auto" w:fill="auto"/>
          </w:tcPr>
          <w:p w14:paraId="1F20E03D" w14:textId="77777777" w:rsidR="0010523F" w:rsidRPr="0010523F" w:rsidRDefault="0010523F" w:rsidP="0010523F">
            <w:pPr>
              <w:spacing w:line="180" w:lineRule="exact"/>
              <w:jc w:val="right"/>
              <w:rPr>
                <w:snapToGrid w:val="0"/>
                <w:color w:val="000000"/>
                <w:sz w:val="22"/>
                <w:szCs w:val="22"/>
                <w:lang w:val="es-AR" w:eastAsia="en-US"/>
              </w:rPr>
            </w:pPr>
          </w:p>
        </w:tc>
        <w:tc>
          <w:tcPr>
            <w:tcW w:w="1195" w:type="dxa"/>
            <w:shd w:val="clear" w:color="auto" w:fill="auto"/>
            <w:vAlign w:val="bottom"/>
          </w:tcPr>
          <w:p w14:paraId="4B4739E2" w14:textId="77777777" w:rsidR="0010523F" w:rsidRPr="0010523F" w:rsidRDefault="0010523F" w:rsidP="0010523F">
            <w:pPr>
              <w:spacing w:line="180" w:lineRule="exact"/>
              <w:jc w:val="right"/>
              <w:rPr>
                <w:snapToGrid w:val="0"/>
                <w:color w:val="000000"/>
                <w:sz w:val="22"/>
                <w:szCs w:val="22"/>
                <w:u w:val="single"/>
                <w:lang w:val="es-AR" w:eastAsia="en-US"/>
              </w:rPr>
            </w:pPr>
          </w:p>
        </w:tc>
        <w:tc>
          <w:tcPr>
            <w:tcW w:w="142" w:type="dxa"/>
            <w:shd w:val="clear" w:color="auto" w:fill="auto"/>
          </w:tcPr>
          <w:p w14:paraId="06847603" w14:textId="77777777" w:rsidR="0010523F" w:rsidRPr="0010523F" w:rsidRDefault="0010523F" w:rsidP="0010523F">
            <w:pPr>
              <w:spacing w:line="180" w:lineRule="exact"/>
              <w:jc w:val="right"/>
              <w:rPr>
                <w:snapToGrid w:val="0"/>
                <w:color w:val="000000"/>
                <w:sz w:val="22"/>
                <w:szCs w:val="22"/>
                <w:highlight w:val="yellow"/>
                <w:u w:val="single"/>
                <w:lang w:val="es-AR" w:eastAsia="en-US"/>
              </w:rPr>
            </w:pPr>
          </w:p>
        </w:tc>
        <w:tc>
          <w:tcPr>
            <w:tcW w:w="1134" w:type="dxa"/>
            <w:shd w:val="clear" w:color="auto" w:fill="auto"/>
          </w:tcPr>
          <w:p w14:paraId="22AFFB94"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54530FDE"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shd w:val="clear" w:color="auto" w:fill="auto"/>
            <w:vAlign w:val="bottom"/>
          </w:tcPr>
          <w:p w14:paraId="11948CD8"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0AEC021B"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tcPr>
          <w:p w14:paraId="1B196BCD" w14:textId="77777777" w:rsidR="0010523F" w:rsidRPr="0010523F" w:rsidRDefault="0010523F" w:rsidP="0010523F">
            <w:pPr>
              <w:spacing w:line="180" w:lineRule="exact"/>
              <w:jc w:val="right"/>
              <w:rPr>
                <w:snapToGrid w:val="0"/>
                <w:color w:val="000000"/>
                <w:sz w:val="22"/>
                <w:szCs w:val="22"/>
                <w:lang w:val="es-AR" w:eastAsia="en-US"/>
              </w:rPr>
            </w:pPr>
          </w:p>
        </w:tc>
      </w:tr>
      <w:tr w:rsidR="0010523F" w:rsidRPr="0010523F" w14:paraId="549FF87F" w14:textId="77777777" w:rsidTr="00774E7E">
        <w:tc>
          <w:tcPr>
            <w:tcW w:w="7088" w:type="dxa"/>
            <w:shd w:val="clear" w:color="auto" w:fill="auto"/>
            <w:vAlign w:val="bottom"/>
          </w:tcPr>
          <w:p w14:paraId="4C5437DF" w14:textId="77777777" w:rsidR="0010523F" w:rsidRPr="0010523F" w:rsidRDefault="0010523F" w:rsidP="0010523F">
            <w:pPr>
              <w:jc w:val="both"/>
              <w:rPr>
                <w:snapToGrid w:val="0"/>
                <w:color w:val="000000"/>
                <w:sz w:val="22"/>
                <w:szCs w:val="22"/>
                <w:lang w:val="es-AR" w:eastAsia="en-US"/>
              </w:rPr>
            </w:pPr>
            <w:r w:rsidRPr="0010523F">
              <w:rPr>
                <w:snapToGrid w:val="0"/>
                <w:color w:val="000000"/>
                <w:sz w:val="22"/>
                <w:szCs w:val="22"/>
                <w:lang w:val="es-AR" w:eastAsia="en-US"/>
              </w:rPr>
              <w:t>Items que no se van a revertir contra resultados en el futuro</w:t>
            </w:r>
          </w:p>
        </w:tc>
        <w:tc>
          <w:tcPr>
            <w:tcW w:w="80" w:type="dxa"/>
            <w:shd w:val="clear" w:color="auto" w:fill="auto"/>
          </w:tcPr>
          <w:p w14:paraId="55F03D87" w14:textId="77777777" w:rsidR="0010523F" w:rsidRPr="0010523F" w:rsidRDefault="0010523F" w:rsidP="0010523F">
            <w:pPr>
              <w:jc w:val="right"/>
              <w:rPr>
                <w:snapToGrid w:val="0"/>
                <w:color w:val="000000"/>
                <w:sz w:val="22"/>
                <w:szCs w:val="22"/>
                <w:lang w:val="es-AR" w:eastAsia="en-US"/>
              </w:rPr>
            </w:pPr>
          </w:p>
        </w:tc>
        <w:tc>
          <w:tcPr>
            <w:tcW w:w="1195" w:type="dxa"/>
            <w:shd w:val="clear" w:color="auto" w:fill="auto"/>
            <w:vAlign w:val="bottom"/>
          </w:tcPr>
          <w:p w14:paraId="7C7543DF" w14:textId="77777777" w:rsidR="0010523F" w:rsidRPr="0010523F" w:rsidRDefault="0010523F" w:rsidP="0010523F">
            <w:pPr>
              <w:jc w:val="right"/>
              <w:rPr>
                <w:snapToGrid w:val="0"/>
                <w:color w:val="000000"/>
                <w:sz w:val="22"/>
                <w:szCs w:val="22"/>
                <w:u w:val="single"/>
                <w:lang w:val="es-AR" w:eastAsia="en-US"/>
              </w:rPr>
            </w:pPr>
          </w:p>
        </w:tc>
        <w:tc>
          <w:tcPr>
            <w:tcW w:w="142" w:type="dxa"/>
            <w:shd w:val="clear" w:color="auto" w:fill="auto"/>
          </w:tcPr>
          <w:p w14:paraId="39B9CE6E" w14:textId="77777777" w:rsidR="0010523F" w:rsidRPr="0010523F" w:rsidRDefault="0010523F" w:rsidP="0010523F">
            <w:pPr>
              <w:jc w:val="right"/>
              <w:rPr>
                <w:snapToGrid w:val="0"/>
                <w:color w:val="000000"/>
                <w:sz w:val="22"/>
                <w:szCs w:val="22"/>
                <w:highlight w:val="yellow"/>
                <w:u w:val="single"/>
                <w:lang w:val="es-AR" w:eastAsia="en-US"/>
              </w:rPr>
            </w:pPr>
          </w:p>
        </w:tc>
        <w:tc>
          <w:tcPr>
            <w:tcW w:w="1134" w:type="dxa"/>
            <w:shd w:val="clear" w:color="auto" w:fill="auto"/>
          </w:tcPr>
          <w:p w14:paraId="283114B9" w14:textId="77777777" w:rsidR="0010523F" w:rsidRPr="0010523F" w:rsidRDefault="0010523F" w:rsidP="0010523F">
            <w:pPr>
              <w:jc w:val="right"/>
              <w:rPr>
                <w:snapToGrid w:val="0"/>
                <w:color w:val="000000"/>
                <w:sz w:val="22"/>
                <w:szCs w:val="22"/>
                <w:lang w:val="es-AR" w:eastAsia="en-US"/>
              </w:rPr>
            </w:pPr>
          </w:p>
        </w:tc>
        <w:tc>
          <w:tcPr>
            <w:tcW w:w="142" w:type="dxa"/>
          </w:tcPr>
          <w:p w14:paraId="7DF4D0F9" w14:textId="77777777" w:rsidR="0010523F" w:rsidRPr="0010523F" w:rsidRDefault="0010523F" w:rsidP="0010523F">
            <w:pPr>
              <w:jc w:val="right"/>
              <w:rPr>
                <w:snapToGrid w:val="0"/>
                <w:color w:val="000000"/>
                <w:sz w:val="22"/>
                <w:szCs w:val="22"/>
                <w:lang w:val="es-AR" w:eastAsia="en-US"/>
              </w:rPr>
            </w:pPr>
          </w:p>
        </w:tc>
        <w:tc>
          <w:tcPr>
            <w:tcW w:w="1134" w:type="dxa"/>
            <w:shd w:val="clear" w:color="auto" w:fill="auto"/>
            <w:vAlign w:val="bottom"/>
          </w:tcPr>
          <w:p w14:paraId="3401E382" w14:textId="77777777" w:rsidR="0010523F" w:rsidRPr="0010523F" w:rsidRDefault="0010523F" w:rsidP="0010523F">
            <w:pPr>
              <w:jc w:val="right"/>
              <w:rPr>
                <w:snapToGrid w:val="0"/>
                <w:color w:val="000000"/>
                <w:sz w:val="22"/>
                <w:szCs w:val="22"/>
                <w:lang w:val="es-AR" w:eastAsia="en-US"/>
              </w:rPr>
            </w:pPr>
          </w:p>
        </w:tc>
        <w:tc>
          <w:tcPr>
            <w:tcW w:w="142" w:type="dxa"/>
          </w:tcPr>
          <w:p w14:paraId="4781C03A" w14:textId="77777777" w:rsidR="0010523F" w:rsidRPr="0010523F" w:rsidRDefault="0010523F" w:rsidP="0010523F">
            <w:pPr>
              <w:jc w:val="right"/>
              <w:rPr>
                <w:snapToGrid w:val="0"/>
                <w:color w:val="000000"/>
                <w:sz w:val="22"/>
                <w:szCs w:val="22"/>
                <w:lang w:val="es-AR" w:eastAsia="en-US"/>
              </w:rPr>
            </w:pPr>
          </w:p>
        </w:tc>
        <w:tc>
          <w:tcPr>
            <w:tcW w:w="1134" w:type="dxa"/>
          </w:tcPr>
          <w:p w14:paraId="57B84E48" w14:textId="77777777" w:rsidR="0010523F" w:rsidRPr="0010523F" w:rsidRDefault="0010523F" w:rsidP="0010523F">
            <w:pPr>
              <w:jc w:val="right"/>
              <w:rPr>
                <w:snapToGrid w:val="0"/>
                <w:color w:val="000000"/>
                <w:sz w:val="22"/>
                <w:szCs w:val="22"/>
                <w:lang w:val="es-AR" w:eastAsia="en-US"/>
              </w:rPr>
            </w:pPr>
          </w:p>
        </w:tc>
      </w:tr>
      <w:tr w:rsidR="0010523F" w:rsidRPr="0010523F" w14:paraId="14F2ED4E" w14:textId="77777777" w:rsidTr="00774E7E">
        <w:tc>
          <w:tcPr>
            <w:tcW w:w="7088" w:type="dxa"/>
            <w:shd w:val="clear" w:color="auto" w:fill="auto"/>
            <w:vAlign w:val="bottom"/>
          </w:tcPr>
          <w:p w14:paraId="180CFFE6" w14:textId="77777777" w:rsidR="0010523F" w:rsidRPr="0010523F" w:rsidRDefault="0010523F" w:rsidP="0010523F">
            <w:pPr>
              <w:jc w:val="both"/>
              <w:rPr>
                <w:snapToGrid w:val="0"/>
                <w:color w:val="000000"/>
                <w:sz w:val="22"/>
                <w:szCs w:val="22"/>
                <w:lang w:val="es-AR" w:eastAsia="en-US"/>
              </w:rPr>
            </w:pPr>
            <w:r w:rsidRPr="0010523F">
              <w:rPr>
                <w:snapToGrid w:val="0"/>
                <w:color w:val="000000"/>
                <w:sz w:val="22"/>
                <w:szCs w:val="22"/>
                <w:lang w:val="es-AR" w:eastAsia="en-US"/>
              </w:rPr>
              <w:t xml:space="preserve">  - Diferencia de conversión de la moneda funcional a la de presentación</w:t>
            </w:r>
          </w:p>
        </w:tc>
        <w:tc>
          <w:tcPr>
            <w:tcW w:w="80" w:type="dxa"/>
            <w:shd w:val="clear" w:color="auto" w:fill="auto"/>
          </w:tcPr>
          <w:p w14:paraId="45C1D346" w14:textId="77777777" w:rsidR="0010523F" w:rsidRPr="0010523F" w:rsidRDefault="0010523F" w:rsidP="0010523F">
            <w:pPr>
              <w:jc w:val="right"/>
              <w:rPr>
                <w:snapToGrid w:val="0"/>
                <w:color w:val="000000"/>
                <w:sz w:val="22"/>
                <w:szCs w:val="22"/>
                <w:lang w:val="es-AR" w:eastAsia="en-US"/>
              </w:rPr>
            </w:pPr>
          </w:p>
        </w:tc>
        <w:tc>
          <w:tcPr>
            <w:tcW w:w="1195" w:type="dxa"/>
            <w:shd w:val="clear" w:color="auto" w:fill="auto"/>
            <w:vAlign w:val="bottom"/>
          </w:tcPr>
          <w:p w14:paraId="37D31187" w14:textId="77777777" w:rsidR="0010523F" w:rsidRPr="0010523F" w:rsidRDefault="0010523F" w:rsidP="0010523F">
            <w:pPr>
              <w:jc w:val="right"/>
              <w:rPr>
                <w:snapToGrid w:val="0"/>
                <w:color w:val="000000"/>
                <w:sz w:val="22"/>
                <w:szCs w:val="22"/>
                <w:lang w:val="es-AR" w:eastAsia="en-US"/>
              </w:rPr>
            </w:pPr>
            <w:r w:rsidRPr="0010523F">
              <w:rPr>
                <w:snapToGrid w:val="0"/>
                <w:color w:val="000000"/>
                <w:sz w:val="22"/>
                <w:szCs w:val="22"/>
                <w:lang w:val="es-AR" w:eastAsia="en-US"/>
              </w:rPr>
              <w:t>104.517</w:t>
            </w:r>
          </w:p>
        </w:tc>
        <w:tc>
          <w:tcPr>
            <w:tcW w:w="142" w:type="dxa"/>
            <w:shd w:val="clear" w:color="auto" w:fill="auto"/>
          </w:tcPr>
          <w:p w14:paraId="37542D81" w14:textId="77777777" w:rsidR="0010523F" w:rsidRPr="0010523F" w:rsidRDefault="0010523F" w:rsidP="0010523F">
            <w:pPr>
              <w:jc w:val="right"/>
              <w:rPr>
                <w:snapToGrid w:val="0"/>
                <w:color w:val="000000"/>
                <w:sz w:val="22"/>
                <w:szCs w:val="22"/>
                <w:highlight w:val="yellow"/>
                <w:lang w:val="es-AR" w:eastAsia="en-US"/>
              </w:rPr>
            </w:pPr>
          </w:p>
        </w:tc>
        <w:tc>
          <w:tcPr>
            <w:tcW w:w="1134" w:type="dxa"/>
            <w:shd w:val="clear" w:color="auto" w:fill="auto"/>
          </w:tcPr>
          <w:p w14:paraId="33626FF3" w14:textId="77777777" w:rsidR="0010523F" w:rsidRPr="0010523F" w:rsidRDefault="0010523F" w:rsidP="0010523F">
            <w:pPr>
              <w:jc w:val="right"/>
              <w:rPr>
                <w:snapToGrid w:val="0"/>
                <w:color w:val="000000"/>
                <w:sz w:val="22"/>
                <w:szCs w:val="22"/>
                <w:lang w:val="es-AR" w:eastAsia="en-US"/>
              </w:rPr>
            </w:pPr>
            <w:r w:rsidRPr="0010523F">
              <w:rPr>
                <w:snapToGrid w:val="0"/>
                <w:color w:val="000000"/>
                <w:sz w:val="22"/>
                <w:szCs w:val="22"/>
                <w:lang w:val="es-AR" w:eastAsia="en-US"/>
              </w:rPr>
              <w:t>84.483</w:t>
            </w:r>
          </w:p>
        </w:tc>
        <w:tc>
          <w:tcPr>
            <w:tcW w:w="142" w:type="dxa"/>
          </w:tcPr>
          <w:p w14:paraId="626D9F0F" w14:textId="77777777" w:rsidR="0010523F" w:rsidRPr="0010523F" w:rsidRDefault="0010523F" w:rsidP="0010523F">
            <w:pPr>
              <w:jc w:val="right"/>
              <w:rPr>
                <w:snapToGrid w:val="0"/>
                <w:color w:val="000000"/>
                <w:sz w:val="22"/>
                <w:szCs w:val="22"/>
                <w:lang w:val="es-AR" w:eastAsia="en-US"/>
              </w:rPr>
            </w:pPr>
          </w:p>
        </w:tc>
        <w:tc>
          <w:tcPr>
            <w:tcW w:w="1134" w:type="dxa"/>
            <w:shd w:val="clear" w:color="auto" w:fill="auto"/>
            <w:vAlign w:val="bottom"/>
          </w:tcPr>
          <w:p w14:paraId="227BDDDD" w14:textId="77777777" w:rsidR="0010523F" w:rsidRPr="0010523F" w:rsidRDefault="0010523F" w:rsidP="0010523F">
            <w:pPr>
              <w:jc w:val="right"/>
              <w:rPr>
                <w:snapToGrid w:val="0"/>
                <w:color w:val="000000"/>
                <w:sz w:val="22"/>
                <w:szCs w:val="22"/>
                <w:lang w:val="es-AR" w:eastAsia="en-US"/>
              </w:rPr>
            </w:pPr>
            <w:r w:rsidRPr="0010523F">
              <w:rPr>
                <w:snapToGrid w:val="0"/>
                <w:color w:val="000000"/>
                <w:sz w:val="22"/>
                <w:szCs w:val="22"/>
                <w:lang w:val="es-AR" w:eastAsia="en-US"/>
              </w:rPr>
              <w:t>136.045</w:t>
            </w:r>
          </w:p>
        </w:tc>
        <w:tc>
          <w:tcPr>
            <w:tcW w:w="142" w:type="dxa"/>
          </w:tcPr>
          <w:p w14:paraId="04FB31D8" w14:textId="77777777" w:rsidR="0010523F" w:rsidRPr="0010523F" w:rsidRDefault="0010523F" w:rsidP="0010523F">
            <w:pPr>
              <w:jc w:val="right"/>
              <w:rPr>
                <w:snapToGrid w:val="0"/>
                <w:color w:val="000000"/>
                <w:sz w:val="22"/>
                <w:szCs w:val="22"/>
                <w:lang w:val="es-AR" w:eastAsia="en-US"/>
              </w:rPr>
            </w:pPr>
          </w:p>
        </w:tc>
        <w:tc>
          <w:tcPr>
            <w:tcW w:w="1134" w:type="dxa"/>
          </w:tcPr>
          <w:p w14:paraId="33B3D4AE" w14:textId="77777777" w:rsidR="0010523F" w:rsidRPr="0010523F" w:rsidRDefault="0010523F" w:rsidP="0010523F">
            <w:pPr>
              <w:jc w:val="right"/>
              <w:rPr>
                <w:snapToGrid w:val="0"/>
                <w:color w:val="000000"/>
                <w:sz w:val="22"/>
                <w:szCs w:val="22"/>
                <w:lang w:val="es-AR" w:eastAsia="en-US"/>
              </w:rPr>
            </w:pPr>
            <w:r w:rsidRPr="0010523F">
              <w:rPr>
                <w:snapToGrid w:val="0"/>
                <w:color w:val="000000"/>
                <w:sz w:val="22"/>
                <w:szCs w:val="22"/>
                <w:lang w:val="es-AR" w:eastAsia="en-US"/>
              </w:rPr>
              <w:t>149.436</w:t>
            </w:r>
          </w:p>
        </w:tc>
      </w:tr>
      <w:tr w:rsidR="0010523F" w:rsidRPr="0010523F" w14:paraId="51CAFDBB" w14:textId="77777777" w:rsidTr="00774E7E">
        <w:tc>
          <w:tcPr>
            <w:tcW w:w="7088" w:type="dxa"/>
            <w:shd w:val="clear" w:color="auto" w:fill="auto"/>
            <w:vAlign w:val="bottom"/>
          </w:tcPr>
          <w:p w14:paraId="468697DC" w14:textId="77777777" w:rsidR="0010523F" w:rsidRPr="0010523F" w:rsidRDefault="0010523F" w:rsidP="0010523F">
            <w:pPr>
              <w:spacing w:line="180" w:lineRule="exact"/>
              <w:jc w:val="both"/>
              <w:rPr>
                <w:snapToGrid w:val="0"/>
                <w:color w:val="000000"/>
                <w:sz w:val="22"/>
                <w:szCs w:val="22"/>
                <w:lang w:val="es-AR" w:eastAsia="en-US"/>
              </w:rPr>
            </w:pPr>
          </w:p>
        </w:tc>
        <w:tc>
          <w:tcPr>
            <w:tcW w:w="80" w:type="dxa"/>
            <w:shd w:val="clear" w:color="auto" w:fill="auto"/>
          </w:tcPr>
          <w:p w14:paraId="347CBA8C" w14:textId="77777777" w:rsidR="0010523F" w:rsidRPr="0010523F" w:rsidRDefault="0010523F" w:rsidP="0010523F">
            <w:pPr>
              <w:spacing w:line="180" w:lineRule="exact"/>
              <w:jc w:val="right"/>
              <w:rPr>
                <w:snapToGrid w:val="0"/>
                <w:color w:val="000000"/>
                <w:sz w:val="22"/>
                <w:szCs w:val="22"/>
                <w:lang w:val="es-AR" w:eastAsia="en-US"/>
              </w:rPr>
            </w:pPr>
          </w:p>
        </w:tc>
        <w:tc>
          <w:tcPr>
            <w:tcW w:w="1195" w:type="dxa"/>
            <w:shd w:val="clear" w:color="auto" w:fill="auto"/>
            <w:vAlign w:val="bottom"/>
          </w:tcPr>
          <w:p w14:paraId="300D6EB8"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shd w:val="clear" w:color="auto" w:fill="auto"/>
          </w:tcPr>
          <w:p w14:paraId="0E5D44DD" w14:textId="77777777" w:rsidR="0010523F" w:rsidRPr="0010523F" w:rsidRDefault="0010523F" w:rsidP="0010523F">
            <w:pPr>
              <w:spacing w:line="180" w:lineRule="exact"/>
              <w:jc w:val="right"/>
              <w:rPr>
                <w:snapToGrid w:val="0"/>
                <w:color w:val="000000"/>
                <w:sz w:val="22"/>
                <w:szCs w:val="22"/>
                <w:highlight w:val="yellow"/>
                <w:lang w:val="es-AR" w:eastAsia="en-US"/>
              </w:rPr>
            </w:pPr>
          </w:p>
        </w:tc>
        <w:tc>
          <w:tcPr>
            <w:tcW w:w="1134" w:type="dxa"/>
            <w:shd w:val="clear" w:color="auto" w:fill="auto"/>
          </w:tcPr>
          <w:p w14:paraId="2B2798B8"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291A9ACB"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shd w:val="clear" w:color="auto" w:fill="auto"/>
            <w:vAlign w:val="bottom"/>
          </w:tcPr>
          <w:p w14:paraId="7CB13050"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349773B6"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tcPr>
          <w:p w14:paraId="313ED054" w14:textId="77777777" w:rsidR="0010523F" w:rsidRPr="0010523F" w:rsidRDefault="0010523F" w:rsidP="0010523F">
            <w:pPr>
              <w:spacing w:line="180" w:lineRule="exact"/>
              <w:jc w:val="right"/>
              <w:rPr>
                <w:snapToGrid w:val="0"/>
                <w:color w:val="000000"/>
                <w:sz w:val="22"/>
                <w:szCs w:val="22"/>
                <w:lang w:val="es-AR" w:eastAsia="en-US"/>
              </w:rPr>
            </w:pPr>
          </w:p>
        </w:tc>
      </w:tr>
      <w:tr w:rsidR="0010523F" w:rsidRPr="0010523F" w14:paraId="0F929142" w14:textId="77777777" w:rsidTr="00774E7E">
        <w:tc>
          <w:tcPr>
            <w:tcW w:w="7088" w:type="dxa"/>
            <w:shd w:val="clear" w:color="auto" w:fill="auto"/>
            <w:vAlign w:val="bottom"/>
          </w:tcPr>
          <w:p w14:paraId="7374D941" w14:textId="77777777" w:rsidR="0010523F" w:rsidRPr="0010523F" w:rsidRDefault="0010523F" w:rsidP="0010523F">
            <w:pPr>
              <w:jc w:val="both"/>
              <w:rPr>
                <w:snapToGrid w:val="0"/>
                <w:color w:val="000000"/>
                <w:sz w:val="22"/>
                <w:szCs w:val="22"/>
                <w:lang w:val="es-AR" w:eastAsia="en-US"/>
              </w:rPr>
            </w:pPr>
            <w:r w:rsidRPr="0010523F">
              <w:rPr>
                <w:snapToGrid w:val="0"/>
                <w:color w:val="000000"/>
                <w:sz w:val="22"/>
                <w:szCs w:val="22"/>
                <w:lang w:val="es-AR" w:eastAsia="en-US"/>
              </w:rPr>
              <w:t>Items que se reclasificaron o se van a revertir contra resultados en el futuro</w:t>
            </w:r>
          </w:p>
        </w:tc>
        <w:tc>
          <w:tcPr>
            <w:tcW w:w="80" w:type="dxa"/>
            <w:shd w:val="clear" w:color="auto" w:fill="auto"/>
          </w:tcPr>
          <w:p w14:paraId="64BF8926" w14:textId="77777777" w:rsidR="0010523F" w:rsidRPr="0010523F" w:rsidRDefault="0010523F" w:rsidP="0010523F">
            <w:pPr>
              <w:jc w:val="right"/>
              <w:rPr>
                <w:snapToGrid w:val="0"/>
                <w:color w:val="000000"/>
                <w:sz w:val="22"/>
                <w:szCs w:val="22"/>
                <w:lang w:val="es-AR" w:eastAsia="en-US"/>
              </w:rPr>
            </w:pPr>
          </w:p>
        </w:tc>
        <w:tc>
          <w:tcPr>
            <w:tcW w:w="1195" w:type="dxa"/>
            <w:shd w:val="clear" w:color="auto" w:fill="auto"/>
            <w:vAlign w:val="bottom"/>
          </w:tcPr>
          <w:p w14:paraId="22FD5E6F" w14:textId="77777777" w:rsidR="0010523F" w:rsidRPr="0010523F" w:rsidRDefault="0010523F" w:rsidP="0010523F">
            <w:pPr>
              <w:jc w:val="right"/>
              <w:rPr>
                <w:snapToGrid w:val="0"/>
                <w:color w:val="000000"/>
                <w:sz w:val="22"/>
                <w:szCs w:val="22"/>
                <w:lang w:val="es-AR" w:eastAsia="en-US"/>
              </w:rPr>
            </w:pPr>
          </w:p>
        </w:tc>
        <w:tc>
          <w:tcPr>
            <w:tcW w:w="142" w:type="dxa"/>
            <w:shd w:val="clear" w:color="auto" w:fill="auto"/>
          </w:tcPr>
          <w:p w14:paraId="6D1C83D1" w14:textId="77777777" w:rsidR="0010523F" w:rsidRPr="0010523F" w:rsidRDefault="0010523F" w:rsidP="0010523F">
            <w:pPr>
              <w:jc w:val="right"/>
              <w:rPr>
                <w:snapToGrid w:val="0"/>
                <w:color w:val="000000"/>
                <w:sz w:val="22"/>
                <w:szCs w:val="22"/>
                <w:highlight w:val="yellow"/>
                <w:lang w:val="es-AR" w:eastAsia="en-US"/>
              </w:rPr>
            </w:pPr>
          </w:p>
        </w:tc>
        <w:tc>
          <w:tcPr>
            <w:tcW w:w="1134" w:type="dxa"/>
            <w:shd w:val="clear" w:color="auto" w:fill="auto"/>
          </w:tcPr>
          <w:p w14:paraId="79F9CB4E" w14:textId="77777777" w:rsidR="0010523F" w:rsidRPr="0010523F" w:rsidRDefault="0010523F" w:rsidP="0010523F">
            <w:pPr>
              <w:jc w:val="right"/>
              <w:rPr>
                <w:snapToGrid w:val="0"/>
                <w:color w:val="000000"/>
                <w:sz w:val="22"/>
                <w:szCs w:val="22"/>
                <w:lang w:val="es-AR" w:eastAsia="en-US"/>
              </w:rPr>
            </w:pPr>
          </w:p>
        </w:tc>
        <w:tc>
          <w:tcPr>
            <w:tcW w:w="142" w:type="dxa"/>
          </w:tcPr>
          <w:p w14:paraId="7EF95C34" w14:textId="77777777" w:rsidR="0010523F" w:rsidRPr="0010523F" w:rsidRDefault="0010523F" w:rsidP="0010523F">
            <w:pPr>
              <w:jc w:val="right"/>
              <w:rPr>
                <w:snapToGrid w:val="0"/>
                <w:color w:val="000000"/>
                <w:sz w:val="22"/>
                <w:szCs w:val="22"/>
                <w:lang w:val="es-AR" w:eastAsia="en-US"/>
              </w:rPr>
            </w:pPr>
          </w:p>
        </w:tc>
        <w:tc>
          <w:tcPr>
            <w:tcW w:w="1134" w:type="dxa"/>
            <w:shd w:val="clear" w:color="auto" w:fill="auto"/>
            <w:vAlign w:val="bottom"/>
          </w:tcPr>
          <w:p w14:paraId="3F53343F" w14:textId="77777777" w:rsidR="0010523F" w:rsidRPr="0010523F" w:rsidRDefault="0010523F" w:rsidP="0010523F">
            <w:pPr>
              <w:jc w:val="right"/>
              <w:rPr>
                <w:snapToGrid w:val="0"/>
                <w:color w:val="000000"/>
                <w:sz w:val="22"/>
                <w:szCs w:val="22"/>
                <w:lang w:val="es-AR" w:eastAsia="en-US"/>
              </w:rPr>
            </w:pPr>
          </w:p>
        </w:tc>
        <w:tc>
          <w:tcPr>
            <w:tcW w:w="142" w:type="dxa"/>
          </w:tcPr>
          <w:p w14:paraId="76082A60" w14:textId="77777777" w:rsidR="0010523F" w:rsidRPr="0010523F" w:rsidRDefault="0010523F" w:rsidP="0010523F">
            <w:pPr>
              <w:jc w:val="right"/>
              <w:rPr>
                <w:snapToGrid w:val="0"/>
                <w:color w:val="000000"/>
                <w:sz w:val="22"/>
                <w:szCs w:val="22"/>
                <w:lang w:val="es-AR" w:eastAsia="en-US"/>
              </w:rPr>
            </w:pPr>
          </w:p>
        </w:tc>
        <w:tc>
          <w:tcPr>
            <w:tcW w:w="1134" w:type="dxa"/>
          </w:tcPr>
          <w:p w14:paraId="324EAEBF" w14:textId="77777777" w:rsidR="0010523F" w:rsidRPr="0010523F" w:rsidRDefault="0010523F" w:rsidP="0010523F">
            <w:pPr>
              <w:jc w:val="right"/>
              <w:rPr>
                <w:snapToGrid w:val="0"/>
                <w:color w:val="000000"/>
                <w:sz w:val="22"/>
                <w:szCs w:val="22"/>
                <w:lang w:val="es-AR" w:eastAsia="en-US"/>
              </w:rPr>
            </w:pPr>
          </w:p>
        </w:tc>
      </w:tr>
      <w:tr w:rsidR="0010523F" w:rsidRPr="0010523F" w14:paraId="4997D3E8" w14:textId="77777777" w:rsidTr="00774E7E">
        <w:tc>
          <w:tcPr>
            <w:tcW w:w="7088" w:type="dxa"/>
            <w:shd w:val="clear" w:color="auto" w:fill="auto"/>
            <w:vAlign w:val="bottom"/>
          </w:tcPr>
          <w:p w14:paraId="04DB497A" w14:textId="77777777" w:rsidR="0010523F" w:rsidRPr="0010523F" w:rsidRDefault="0010523F" w:rsidP="0010523F">
            <w:pPr>
              <w:jc w:val="both"/>
              <w:rPr>
                <w:snapToGrid w:val="0"/>
                <w:color w:val="000000"/>
                <w:sz w:val="22"/>
                <w:szCs w:val="22"/>
                <w:lang w:val="es-AR" w:eastAsia="en-US"/>
              </w:rPr>
            </w:pPr>
            <w:r w:rsidRPr="0010523F">
              <w:rPr>
                <w:snapToGrid w:val="0"/>
                <w:color w:val="000000"/>
                <w:sz w:val="22"/>
                <w:szCs w:val="22"/>
                <w:lang w:val="es-AR" w:eastAsia="en-US"/>
              </w:rPr>
              <w:t xml:space="preserve">  - Resultados de instrumentos financieros</w:t>
            </w:r>
          </w:p>
        </w:tc>
        <w:tc>
          <w:tcPr>
            <w:tcW w:w="80" w:type="dxa"/>
            <w:shd w:val="clear" w:color="auto" w:fill="auto"/>
          </w:tcPr>
          <w:p w14:paraId="6B9E7F25" w14:textId="77777777" w:rsidR="0010523F" w:rsidRPr="0010523F" w:rsidRDefault="0010523F" w:rsidP="0010523F">
            <w:pPr>
              <w:jc w:val="right"/>
              <w:rPr>
                <w:snapToGrid w:val="0"/>
                <w:color w:val="000000"/>
                <w:sz w:val="22"/>
                <w:szCs w:val="22"/>
                <w:lang w:val="es-AR" w:eastAsia="en-US"/>
              </w:rPr>
            </w:pPr>
          </w:p>
        </w:tc>
        <w:tc>
          <w:tcPr>
            <w:tcW w:w="1195" w:type="dxa"/>
            <w:shd w:val="clear" w:color="auto" w:fill="auto"/>
            <w:vAlign w:val="bottom"/>
          </w:tcPr>
          <w:p w14:paraId="3A80A6A1" w14:textId="77777777" w:rsidR="0010523F" w:rsidRPr="0010523F" w:rsidRDefault="0010523F" w:rsidP="0010523F">
            <w:pPr>
              <w:jc w:val="right"/>
              <w:rPr>
                <w:snapToGrid w:val="0"/>
                <w:color w:val="000000"/>
                <w:sz w:val="22"/>
                <w:szCs w:val="22"/>
                <w:lang w:val="es-AR" w:eastAsia="en-US"/>
              </w:rPr>
            </w:pPr>
            <w:r w:rsidRPr="0010523F">
              <w:rPr>
                <w:snapToGrid w:val="0"/>
                <w:color w:val="000000"/>
                <w:sz w:val="22"/>
                <w:szCs w:val="22"/>
                <w:lang w:val="es-AR" w:eastAsia="en-US"/>
              </w:rPr>
              <w:t xml:space="preserve"> (</w:t>
            </w:r>
            <w:r w:rsidRPr="0010523F">
              <w:rPr>
                <w:snapToGrid w:val="0"/>
                <w:color w:val="000000"/>
                <w:sz w:val="22"/>
                <w:szCs w:val="22"/>
                <w:u w:val="single"/>
                <w:lang w:val="es-AR" w:eastAsia="en-US"/>
              </w:rPr>
              <w:t xml:space="preserve">           4</w:t>
            </w:r>
            <w:r w:rsidRPr="0010523F">
              <w:rPr>
                <w:snapToGrid w:val="0"/>
                <w:color w:val="000000"/>
                <w:sz w:val="22"/>
                <w:szCs w:val="22"/>
                <w:lang w:val="es-AR" w:eastAsia="en-US"/>
              </w:rPr>
              <w:t>)</w:t>
            </w:r>
          </w:p>
        </w:tc>
        <w:tc>
          <w:tcPr>
            <w:tcW w:w="142" w:type="dxa"/>
            <w:shd w:val="clear" w:color="auto" w:fill="auto"/>
          </w:tcPr>
          <w:p w14:paraId="74852F73" w14:textId="77777777" w:rsidR="0010523F" w:rsidRPr="0010523F" w:rsidRDefault="0010523F" w:rsidP="0010523F">
            <w:pPr>
              <w:jc w:val="right"/>
              <w:rPr>
                <w:snapToGrid w:val="0"/>
                <w:color w:val="000000"/>
                <w:sz w:val="22"/>
                <w:szCs w:val="22"/>
                <w:highlight w:val="yellow"/>
                <w:lang w:val="es-AR" w:eastAsia="en-US"/>
              </w:rPr>
            </w:pPr>
          </w:p>
        </w:tc>
        <w:tc>
          <w:tcPr>
            <w:tcW w:w="1134" w:type="dxa"/>
            <w:shd w:val="clear" w:color="auto" w:fill="auto"/>
          </w:tcPr>
          <w:p w14:paraId="347A3B20"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 xml:space="preserve">         5</w:t>
            </w:r>
          </w:p>
        </w:tc>
        <w:tc>
          <w:tcPr>
            <w:tcW w:w="142" w:type="dxa"/>
          </w:tcPr>
          <w:p w14:paraId="503B0747" w14:textId="77777777" w:rsidR="0010523F" w:rsidRPr="0010523F" w:rsidRDefault="0010523F" w:rsidP="0010523F">
            <w:pPr>
              <w:jc w:val="right"/>
              <w:rPr>
                <w:snapToGrid w:val="0"/>
                <w:color w:val="000000"/>
                <w:sz w:val="22"/>
                <w:szCs w:val="22"/>
                <w:lang w:val="es-AR" w:eastAsia="en-US"/>
              </w:rPr>
            </w:pPr>
          </w:p>
        </w:tc>
        <w:tc>
          <w:tcPr>
            <w:tcW w:w="1134" w:type="dxa"/>
            <w:shd w:val="clear" w:color="auto" w:fill="auto"/>
            <w:vAlign w:val="bottom"/>
          </w:tcPr>
          <w:p w14:paraId="039301AB" w14:textId="77777777" w:rsidR="0010523F" w:rsidRPr="0010523F" w:rsidRDefault="0010523F" w:rsidP="0010523F">
            <w:pPr>
              <w:jc w:val="right"/>
              <w:rPr>
                <w:snapToGrid w:val="0"/>
                <w:color w:val="000000"/>
                <w:sz w:val="22"/>
                <w:szCs w:val="22"/>
                <w:lang w:val="es-AR" w:eastAsia="en-US"/>
              </w:rPr>
            </w:pPr>
            <w:r w:rsidRPr="0010523F">
              <w:rPr>
                <w:snapToGrid w:val="0"/>
                <w:color w:val="000000"/>
                <w:sz w:val="22"/>
                <w:szCs w:val="22"/>
                <w:lang w:val="es-AR" w:eastAsia="en-US"/>
              </w:rPr>
              <w:t xml:space="preserve"> </w:t>
            </w:r>
            <w:r w:rsidRPr="0010523F">
              <w:rPr>
                <w:snapToGrid w:val="0"/>
                <w:color w:val="000000"/>
                <w:sz w:val="22"/>
                <w:szCs w:val="22"/>
                <w:u w:val="single"/>
                <w:lang w:val="es-AR" w:eastAsia="en-US"/>
              </w:rPr>
              <w:t>(        46)</w:t>
            </w:r>
          </w:p>
        </w:tc>
        <w:tc>
          <w:tcPr>
            <w:tcW w:w="142" w:type="dxa"/>
          </w:tcPr>
          <w:p w14:paraId="39B3AC8D" w14:textId="77777777" w:rsidR="0010523F" w:rsidRPr="0010523F" w:rsidRDefault="0010523F" w:rsidP="0010523F">
            <w:pPr>
              <w:jc w:val="right"/>
              <w:rPr>
                <w:snapToGrid w:val="0"/>
                <w:color w:val="000000"/>
                <w:sz w:val="22"/>
                <w:szCs w:val="22"/>
                <w:lang w:val="es-AR" w:eastAsia="en-US"/>
              </w:rPr>
            </w:pPr>
          </w:p>
        </w:tc>
        <w:tc>
          <w:tcPr>
            <w:tcW w:w="1134" w:type="dxa"/>
          </w:tcPr>
          <w:p w14:paraId="3CEF763D" w14:textId="77777777" w:rsidR="0010523F" w:rsidRPr="0010523F" w:rsidRDefault="0010523F" w:rsidP="0010523F">
            <w:pPr>
              <w:jc w:val="right"/>
              <w:rPr>
                <w:snapToGrid w:val="0"/>
                <w:color w:val="000000"/>
                <w:sz w:val="22"/>
                <w:szCs w:val="22"/>
                <w:lang w:val="es-AR" w:eastAsia="en-US"/>
              </w:rPr>
            </w:pPr>
            <w:r w:rsidRPr="0010523F">
              <w:rPr>
                <w:snapToGrid w:val="0"/>
                <w:color w:val="000000"/>
                <w:sz w:val="22"/>
                <w:szCs w:val="22"/>
                <w:lang w:val="es-AR" w:eastAsia="en-US"/>
              </w:rPr>
              <w:t>(</w:t>
            </w:r>
            <w:r w:rsidRPr="0010523F">
              <w:rPr>
                <w:snapToGrid w:val="0"/>
                <w:color w:val="000000"/>
                <w:sz w:val="22"/>
                <w:szCs w:val="22"/>
                <w:u w:val="single"/>
                <w:lang w:val="es-AR" w:eastAsia="en-US"/>
              </w:rPr>
              <w:t xml:space="preserve">        58</w:t>
            </w:r>
            <w:r w:rsidRPr="0010523F">
              <w:rPr>
                <w:snapToGrid w:val="0"/>
                <w:color w:val="000000"/>
                <w:sz w:val="22"/>
                <w:szCs w:val="22"/>
                <w:lang w:val="es-AR" w:eastAsia="en-US"/>
              </w:rPr>
              <w:t>)</w:t>
            </w:r>
          </w:p>
        </w:tc>
      </w:tr>
      <w:tr w:rsidR="0010523F" w:rsidRPr="0010523F" w14:paraId="2080B157" w14:textId="77777777" w:rsidTr="00774E7E">
        <w:tc>
          <w:tcPr>
            <w:tcW w:w="7088" w:type="dxa"/>
            <w:shd w:val="clear" w:color="auto" w:fill="auto"/>
            <w:vAlign w:val="bottom"/>
          </w:tcPr>
          <w:p w14:paraId="60A94BA3" w14:textId="77777777" w:rsidR="0010523F" w:rsidRPr="0010523F" w:rsidRDefault="0010523F" w:rsidP="0010523F">
            <w:pPr>
              <w:spacing w:line="180" w:lineRule="exact"/>
              <w:jc w:val="both"/>
              <w:rPr>
                <w:snapToGrid w:val="0"/>
                <w:color w:val="000000"/>
                <w:sz w:val="22"/>
                <w:szCs w:val="22"/>
                <w:lang w:val="es-AR" w:eastAsia="en-US"/>
              </w:rPr>
            </w:pPr>
          </w:p>
        </w:tc>
        <w:tc>
          <w:tcPr>
            <w:tcW w:w="80" w:type="dxa"/>
            <w:shd w:val="clear" w:color="auto" w:fill="auto"/>
          </w:tcPr>
          <w:p w14:paraId="59C79CAE" w14:textId="77777777" w:rsidR="0010523F" w:rsidRPr="0010523F" w:rsidRDefault="0010523F" w:rsidP="0010523F">
            <w:pPr>
              <w:spacing w:line="180" w:lineRule="exact"/>
              <w:jc w:val="right"/>
              <w:rPr>
                <w:snapToGrid w:val="0"/>
                <w:color w:val="000000"/>
                <w:sz w:val="22"/>
                <w:szCs w:val="22"/>
                <w:lang w:val="es-AR" w:eastAsia="en-US"/>
              </w:rPr>
            </w:pPr>
          </w:p>
        </w:tc>
        <w:tc>
          <w:tcPr>
            <w:tcW w:w="1195" w:type="dxa"/>
            <w:shd w:val="clear" w:color="auto" w:fill="auto"/>
            <w:vAlign w:val="bottom"/>
          </w:tcPr>
          <w:p w14:paraId="59D2B1B3" w14:textId="77777777" w:rsidR="0010523F" w:rsidRPr="0010523F" w:rsidRDefault="0010523F" w:rsidP="0010523F">
            <w:pPr>
              <w:spacing w:line="180" w:lineRule="exact"/>
              <w:jc w:val="right"/>
              <w:rPr>
                <w:snapToGrid w:val="0"/>
                <w:color w:val="000000"/>
                <w:sz w:val="22"/>
                <w:szCs w:val="22"/>
                <w:u w:val="single"/>
                <w:lang w:val="es-AR" w:eastAsia="en-US"/>
              </w:rPr>
            </w:pPr>
          </w:p>
        </w:tc>
        <w:tc>
          <w:tcPr>
            <w:tcW w:w="142" w:type="dxa"/>
            <w:shd w:val="clear" w:color="auto" w:fill="auto"/>
          </w:tcPr>
          <w:p w14:paraId="02F80EDA" w14:textId="77777777" w:rsidR="0010523F" w:rsidRPr="0010523F" w:rsidRDefault="0010523F" w:rsidP="0010523F">
            <w:pPr>
              <w:spacing w:line="180" w:lineRule="exact"/>
              <w:jc w:val="right"/>
              <w:rPr>
                <w:snapToGrid w:val="0"/>
                <w:color w:val="000000"/>
                <w:sz w:val="22"/>
                <w:szCs w:val="22"/>
                <w:highlight w:val="yellow"/>
                <w:u w:val="single"/>
                <w:lang w:val="es-AR" w:eastAsia="en-US"/>
              </w:rPr>
            </w:pPr>
          </w:p>
        </w:tc>
        <w:tc>
          <w:tcPr>
            <w:tcW w:w="1134" w:type="dxa"/>
            <w:shd w:val="clear" w:color="auto" w:fill="auto"/>
          </w:tcPr>
          <w:p w14:paraId="015E671D"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1DA67392"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shd w:val="clear" w:color="auto" w:fill="auto"/>
            <w:vAlign w:val="bottom"/>
          </w:tcPr>
          <w:p w14:paraId="15AC5CB6"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106D6D0D"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tcPr>
          <w:p w14:paraId="50FD4D06" w14:textId="77777777" w:rsidR="0010523F" w:rsidRPr="0010523F" w:rsidRDefault="0010523F" w:rsidP="0010523F">
            <w:pPr>
              <w:spacing w:line="180" w:lineRule="exact"/>
              <w:jc w:val="right"/>
              <w:rPr>
                <w:snapToGrid w:val="0"/>
                <w:color w:val="000000"/>
                <w:sz w:val="22"/>
                <w:szCs w:val="22"/>
                <w:lang w:val="es-AR" w:eastAsia="en-US"/>
              </w:rPr>
            </w:pPr>
          </w:p>
        </w:tc>
      </w:tr>
      <w:tr w:rsidR="0010523F" w:rsidRPr="0010523F" w14:paraId="6EE88FDD" w14:textId="77777777" w:rsidTr="00774E7E">
        <w:tc>
          <w:tcPr>
            <w:tcW w:w="7088" w:type="dxa"/>
            <w:shd w:val="clear" w:color="auto" w:fill="auto"/>
            <w:vAlign w:val="bottom"/>
          </w:tcPr>
          <w:p w14:paraId="042023C9" w14:textId="77777777" w:rsidR="0010523F" w:rsidRPr="0010523F" w:rsidRDefault="0010523F" w:rsidP="0010523F">
            <w:pPr>
              <w:jc w:val="both"/>
              <w:rPr>
                <w:snapToGrid w:val="0"/>
                <w:color w:val="000000"/>
                <w:sz w:val="22"/>
                <w:szCs w:val="22"/>
                <w:lang w:val="es-AR" w:eastAsia="en-US"/>
              </w:rPr>
            </w:pPr>
            <w:r w:rsidRPr="0010523F">
              <w:rPr>
                <w:snapToGrid w:val="0"/>
                <w:color w:val="000000"/>
                <w:sz w:val="22"/>
                <w:szCs w:val="22"/>
                <w:lang w:val="es-AR" w:eastAsia="en-US"/>
              </w:rPr>
              <w:t xml:space="preserve">Otro resultado integral </w:t>
            </w:r>
          </w:p>
        </w:tc>
        <w:tc>
          <w:tcPr>
            <w:tcW w:w="80" w:type="dxa"/>
            <w:shd w:val="clear" w:color="auto" w:fill="auto"/>
          </w:tcPr>
          <w:p w14:paraId="60098CF1" w14:textId="77777777" w:rsidR="0010523F" w:rsidRPr="0010523F" w:rsidRDefault="0010523F" w:rsidP="0010523F">
            <w:pPr>
              <w:jc w:val="right"/>
              <w:rPr>
                <w:snapToGrid w:val="0"/>
                <w:color w:val="000000"/>
                <w:sz w:val="22"/>
                <w:szCs w:val="22"/>
                <w:lang w:val="es-AR" w:eastAsia="en-US"/>
              </w:rPr>
            </w:pPr>
          </w:p>
        </w:tc>
        <w:tc>
          <w:tcPr>
            <w:tcW w:w="1195" w:type="dxa"/>
            <w:shd w:val="clear" w:color="auto" w:fill="auto"/>
            <w:vAlign w:val="bottom"/>
          </w:tcPr>
          <w:p w14:paraId="6970D8DB"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104.513</w:t>
            </w:r>
          </w:p>
        </w:tc>
        <w:tc>
          <w:tcPr>
            <w:tcW w:w="142" w:type="dxa"/>
            <w:shd w:val="clear" w:color="auto" w:fill="auto"/>
          </w:tcPr>
          <w:p w14:paraId="293C4B90" w14:textId="77777777" w:rsidR="0010523F" w:rsidRPr="0010523F" w:rsidRDefault="0010523F" w:rsidP="0010523F">
            <w:pPr>
              <w:jc w:val="right"/>
              <w:rPr>
                <w:snapToGrid w:val="0"/>
                <w:color w:val="000000"/>
                <w:sz w:val="22"/>
                <w:szCs w:val="22"/>
                <w:highlight w:val="yellow"/>
                <w:u w:val="single"/>
                <w:lang w:val="es-AR" w:eastAsia="en-US"/>
              </w:rPr>
            </w:pPr>
          </w:p>
        </w:tc>
        <w:tc>
          <w:tcPr>
            <w:tcW w:w="1134" w:type="dxa"/>
            <w:shd w:val="clear" w:color="auto" w:fill="auto"/>
          </w:tcPr>
          <w:p w14:paraId="092B8C69"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84.488</w:t>
            </w:r>
          </w:p>
        </w:tc>
        <w:tc>
          <w:tcPr>
            <w:tcW w:w="142" w:type="dxa"/>
          </w:tcPr>
          <w:p w14:paraId="66B65B5A" w14:textId="77777777" w:rsidR="0010523F" w:rsidRPr="0010523F" w:rsidRDefault="0010523F" w:rsidP="0010523F">
            <w:pPr>
              <w:jc w:val="right"/>
              <w:rPr>
                <w:snapToGrid w:val="0"/>
                <w:color w:val="000000"/>
                <w:sz w:val="22"/>
                <w:szCs w:val="22"/>
                <w:u w:val="single"/>
                <w:lang w:val="es-AR" w:eastAsia="en-US"/>
              </w:rPr>
            </w:pPr>
          </w:p>
        </w:tc>
        <w:tc>
          <w:tcPr>
            <w:tcW w:w="1134" w:type="dxa"/>
            <w:shd w:val="clear" w:color="auto" w:fill="auto"/>
            <w:vAlign w:val="bottom"/>
          </w:tcPr>
          <w:p w14:paraId="7CDB8946"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135.999</w:t>
            </w:r>
          </w:p>
        </w:tc>
        <w:tc>
          <w:tcPr>
            <w:tcW w:w="142" w:type="dxa"/>
          </w:tcPr>
          <w:p w14:paraId="0D2E2CC2" w14:textId="77777777" w:rsidR="0010523F" w:rsidRPr="0010523F" w:rsidRDefault="0010523F" w:rsidP="0010523F">
            <w:pPr>
              <w:jc w:val="right"/>
              <w:rPr>
                <w:snapToGrid w:val="0"/>
                <w:color w:val="000000"/>
                <w:sz w:val="22"/>
                <w:szCs w:val="22"/>
                <w:u w:val="single"/>
                <w:lang w:val="es-AR" w:eastAsia="en-US"/>
              </w:rPr>
            </w:pPr>
          </w:p>
        </w:tc>
        <w:tc>
          <w:tcPr>
            <w:tcW w:w="1134" w:type="dxa"/>
          </w:tcPr>
          <w:p w14:paraId="3F77B85D" w14:textId="77777777" w:rsidR="0010523F" w:rsidRPr="0010523F" w:rsidRDefault="0010523F" w:rsidP="0010523F">
            <w:pPr>
              <w:jc w:val="right"/>
              <w:rPr>
                <w:snapToGrid w:val="0"/>
                <w:color w:val="000000"/>
                <w:sz w:val="22"/>
                <w:szCs w:val="22"/>
                <w:u w:val="single"/>
                <w:lang w:val="es-AR" w:eastAsia="en-US"/>
              </w:rPr>
            </w:pPr>
            <w:r w:rsidRPr="0010523F">
              <w:rPr>
                <w:snapToGrid w:val="0"/>
                <w:color w:val="000000"/>
                <w:sz w:val="22"/>
                <w:szCs w:val="22"/>
                <w:u w:val="single"/>
                <w:lang w:val="es-AR" w:eastAsia="en-US"/>
              </w:rPr>
              <w:t xml:space="preserve"> 149.378</w:t>
            </w:r>
          </w:p>
        </w:tc>
      </w:tr>
      <w:tr w:rsidR="0010523F" w:rsidRPr="0010523F" w14:paraId="1B5BA1BB" w14:textId="77777777" w:rsidTr="00774E7E">
        <w:tc>
          <w:tcPr>
            <w:tcW w:w="7088" w:type="dxa"/>
            <w:shd w:val="clear" w:color="auto" w:fill="auto"/>
            <w:vAlign w:val="bottom"/>
          </w:tcPr>
          <w:p w14:paraId="6AE40772" w14:textId="77777777" w:rsidR="0010523F" w:rsidRPr="0010523F" w:rsidRDefault="0010523F" w:rsidP="0010523F">
            <w:pPr>
              <w:spacing w:line="180" w:lineRule="exact"/>
              <w:jc w:val="both"/>
              <w:rPr>
                <w:snapToGrid w:val="0"/>
                <w:color w:val="000000"/>
                <w:sz w:val="22"/>
                <w:szCs w:val="22"/>
                <w:lang w:val="es-AR" w:eastAsia="en-US"/>
              </w:rPr>
            </w:pPr>
          </w:p>
        </w:tc>
        <w:tc>
          <w:tcPr>
            <w:tcW w:w="80" w:type="dxa"/>
            <w:shd w:val="clear" w:color="auto" w:fill="auto"/>
          </w:tcPr>
          <w:p w14:paraId="48FE8B7D" w14:textId="77777777" w:rsidR="0010523F" w:rsidRPr="0010523F" w:rsidRDefault="0010523F" w:rsidP="0010523F">
            <w:pPr>
              <w:spacing w:line="180" w:lineRule="exact"/>
              <w:jc w:val="right"/>
              <w:rPr>
                <w:snapToGrid w:val="0"/>
                <w:color w:val="000000"/>
                <w:sz w:val="22"/>
                <w:szCs w:val="22"/>
                <w:lang w:val="es-AR" w:eastAsia="en-US"/>
              </w:rPr>
            </w:pPr>
          </w:p>
        </w:tc>
        <w:tc>
          <w:tcPr>
            <w:tcW w:w="1195" w:type="dxa"/>
            <w:shd w:val="clear" w:color="auto" w:fill="auto"/>
            <w:vAlign w:val="bottom"/>
          </w:tcPr>
          <w:p w14:paraId="683A039D" w14:textId="77777777" w:rsidR="0010523F" w:rsidRPr="0010523F" w:rsidRDefault="0010523F" w:rsidP="0010523F">
            <w:pPr>
              <w:spacing w:line="180" w:lineRule="exact"/>
              <w:jc w:val="right"/>
              <w:rPr>
                <w:snapToGrid w:val="0"/>
                <w:color w:val="000000"/>
                <w:sz w:val="22"/>
                <w:szCs w:val="22"/>
                <w:u w:val="single"/>
                <w:lang w:val="es-AR" w:eastAsia="en-US"/>
              </w:rPr>
            </w:pPr>
          </w:p>
        </w:tc>
        <w:tc>
          <w:tcPr>
            <w:tcW w:w="142" w:type="dxa"/>
            <w:shd w:val="clear" w:color="auto" w:fill="auto"/>
          </w:tcPr>
          <w:p w14:paraId="14A989A3" w14:textId="77777777" w:rsidR="0010523F" w:rsidRPr="0010523F" w:rsidRDefault="0010523F" w:rsidP="0010523F">
            <w:pPr>
              <w:spacing w:line="180" w:lineRule="exact"/>
              <w:jc w:val="right"/>
              <w:rPr>
                <w:snapToGrid w:val="0"/>
                <w:color w:val="000000"/>
                <w:sz w:val="22"/>
                <w:szCs w:val="22"/>
                <w:highlight w:val="yellow"/>
                <w:u w:val="single"/>
                <w:lang w:val="es-AR" w:eastAsia="en-US"/>
              </w:rPr>
            </w:pPr>
          </w:p>
        </w:tc>
        <w:tc>
          <w:tcPr>
            <w:tcW w:w="1134" w:type="dxa"/>
            <w:shd w:val="clear" w:color="auto" w:fill="auto"/>
          </w:tcPr>
          <w:p w14:paraId="4711DF66"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13B413D7"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shd w:val="clear" w:color="auto" w:fill="auto"/>
            <w:vAlign w:val="bottom"/>
          </w:tcPr>
          <w:p w14:paraId="7E69D307" w14:textId="77777777" w:rsidR="0010523F" w:rsidRPr="0010523F" w:rsidRDefault="0010523F" w:rsidP="0010523F">
            <w:pPr>
              <w:spacing w:line="180" w:lineRule="exact"/>
              <w:jc w:val="right"/>
              <w:rPr>
                <w:snapToGrid w:val="0"/>
                <w:color w:val="000000"/>
                <w:sz w:val="22"/>
                <w:szCs w:val="22"/>
                <w:lang w:val="es-AR" w:eastAsia="en-US"/>
              </w:rPr>
            </w:pPr>
          </w:p>
        </w:tc>
        <w:tc>
          <w:tcPr>
            <w:tcW w:w="142" w:type="dxa"/>
          </w:tcPr>
          <w:p w14:paraId="3CD1AF06" w14:textId="77777777" w:rsidR="0010523F" w:rsidRPr="0010523F" w:rsidRDefault="0010523F" w:rsidP="0010523F">
            <w:pPr>
              <w:spacing w:line="180" w:lineRule="exact"/>
              <w:jc w:val="right"/>
              <w:rPr>
                <w:snapToGrid w:val="0"/>
                <w:color w:val="000000"/>
                <w:sz w:val="22"/>
                <w:szCs w:val="22"/>
                <w:lang w:val="es-AR" w:eastAsia="en-US"/>
              </w:rPr>
            </w:pPr>
          </w:p>
        </w:tc>
        <w:tc>
          <w:tcPr>
            <w:tcW w:w="1134" w:type="dxa"/>
          </w:tcPr>
          <w:p w14:paraId="53346035" w14:textId="77777777" w:rsidR="0010523F" w:rsidRPr="0010523F" w:rsidRDefault="0010523F" w:rsidP="0010523F">
            <w:pPr>
              <w:spacing w:line="180" w:lineRule="exact"/>
              <w:jc w:val="right"/>
              <w:rPr>
                <w:snapToGrid w:val="0"/>
                <w:color w:val="000000"/>
                <w:sz w:val="22"/>
                <w:szCs w:val="22"/>
                <w:lang w:val="es-AR" w:eastAsia="en-US"/>
              </w:rPr>
            </w:pPr>
          </w:p>
        </w:tc>
      </w:tr>
      <w:tr w:rsidR="0010523F" w:rsidRPr="0010523F" w14:paraId="32D1C9FD" w14:textId="77777777" w:rsidTr="00774E7E">
        <w:tc>
          <w:tcPr>
            <w:tcW w:w="7088" w:type="dxa"/>
            <w:shd w:val="clear" w:color="auto" w:fill="auto"/>
            <w:vAlign w:val="bottom"/>
          </w:tcPr>
          <w:p w14:paraId="2558398F" w14:textId="77777777" w:rsidR="0010523F" w:rsidRPr="0010523F" w:rsidRDefault="0010523F" w:rsidP="0010523F">
            <w:pPr>
              <w:jc w:val="both"/>
              <w:rPr>
                <w:snapToGrid w:val="0"/>
                <w:color w:val="000000"/>
                <w:sz w:val="22"/>
                <w:szCs w:val="22"/>
                <w:lang w:val="es-AR" w:eastAsia="en-US"/>
              </w:rPr>
            </w:pPr>
            <w:r w:rsidRPr="0010523F">
              <w:rPr>
                <w:snapToGrid w:val="0"/>
                <w:color w:val="000000"/>
                <w:sz w:val="22"/>
                <w:szCs w:val="22"/>
                <w:lang w:val="es-AR" w:eastAsia="en-US"/>
              </w:rPr>
              <w:t xml:space="preserve">Resultado integral del período - ganancia </w:t>
            </w:r>
          </w:p>
        </w:tc>
        <w:tc>
          <w:tcPr>
            <w:tcW w:w="80" w:type="dxa"/>
            <w:shd w:val="clear" w:color="auto" w:fill="auto"/>
          </w:tcPr>
          <w:p w14:paraId="44A4E662" w14:textId="77777777" w:rsidR="0010523F" w:rsidRPr="0010523F" w:rsidRDefault="0010523F" w:rsidP="0010523F">
            <w:pPr>
              <w:jc w:val="right"/>
              <w:rPr>
                <w:snapToGrid w:val="0"/>
                <w:color w:val="000000"/>
                <w:sz w:val="22"/>
                <w:szCs w:val="22"/>
                <w:lang w:val="es-AR" w:eastAsia="en-US"/>
              </w:rPr>
            </w:pPr>
          </w:p>
        </w:tc>
        <w:tc>
          <w:tcPr>
            <w:tcW w:w="1195" w:type="dxa"/>
            <w:shd w:val="clear" w:color="auto" w:fill="auto"/>
            <w:vAlign w:val="bottom"/>
          </w:tcPr>
          <w:p w14:paraId="052729BA" w14:textId="77777777" w:rsidR="0010523F" w:rsidRPr="0010523F" w:rsidRDefault="0010523F" w:rsidP="0010523F">
            <w:pPr>
              <w:jc w:val="right"/>
              <w:rPr>
                <w:snapToGrid w:val="0"/>
                <w:color w:val="000000"/>
                <w:sz w:val="22"/>
                <w:szCs w:val="22"/>
                <w:u w:val="double"/>
                <w:lang w:val="es-AR" w:eastAsia="en-US"/>
              </w:rPr>
            </w:pPr>
            <w:r w:rsidRPr="0010523F">
              <w:rPr>
                <w:snapToGrid w:val="0"/>
                <w:color w:val="000000"/>
                <w:sz w:val="22"/>
                <w:szCs w:val="22"/>
                <w:u w:val="double"/>
                <w:lang w:val="es-AR" w:eastAsia="en-US"/>
              </w:rPr>
              <w:t>104.755</w:t>
            </w:r>
          </w:p>
        </w:tc>
        <w:tc>
          <w:tcPr>
            <w:tcW w:w="142" w:type="dxa"/>
            <w:shd w:val="clear" w:color="auto" w:fill="auto"/>
          </w:tcPr>
          <w:p w14:paraId="4A787C2B" w14:textId="77777777" w:rsidR="0010523F" w:rsidRPr="0010523F" w:rsidRDefault="0010523F" w:rsidP="0010523F">
            <w:pPr>
              <w:jc w:val="right"/>
              <w:rPr>
                <w:snapToGrid w:val="0"/>
                <w:color w:val="000000"/>
                <w:sz w:val="22"/>
                <w:szCs w:val="22"/>
                <w:highlight w:val="yellow"/>
                <w:u w:val="single"/>
                <w:lang w:val="es-AR" w:eastAsia="en-US"/>
              </w:rPr>
            </w:pPr>
          </w:p>
        </w:tc>
        <w:tc>
          <w:tcPr>
            <w:tcW w:w="1134" w:type="dxa"/>
            <w:shd w:val="clear" w:color="auto" w:fill="auto"/>
          </w:tcPr>
          <w:p w14:paraId="0B404EEC" w14:textId="77777777" w:rsidR="0010523F" w:rsidRPr="0010523F" w:rsidRDefault="0010523F" w:rsidP="0010523F">
            <w:pPr>
              <w:jc w:val="right"/>
              <w:rPr>
                <w:snapToGrid w:val="0"/>
                <w:color w:val="000000"/>
                <w:sz w:val="22"/>
                <w:szCs w:val="22"/>
                <w:u w:val="double"/>
                <w:lang w:val="es-AR" w:eastAsia="en-US"/>
              </w:rPr>
            </w:pPr>
            <w:r w:rsidRPr="0010523F">
              <w:rPr>
                <w:snapToGrid w:val="0"/>
                <w:color w:val="000000"/>
                <w:sz w:val="22"/>
                <w:szCs w:val="22"/>
                <w:u w:val="double"/>
                <w:lang w:val="es-AR" w:eastAsia="en-US"/>
              </w:rPr>
              <w:t>86.575</w:t>
            </w:r>
          </w:p>
        </w:tc>
        <w:tc>
          <w:tcPr>
            <w:tcW w:w="142" w:type="dxa"/>
          </w:tcPr>
          <w:p w14:paraId="3D206A48" w14:textId="77777777" w:rsidR="0010523F" w:rsidRPr="0010523F" w:rsidRDefault="0010523F" w:rsidP="0010523F">
            <w:pPr>
              <w:jc w:val="right"/>
              <w:rPr>
                <w:snapToGrid w:val="0"/>
                <w:color w:val="000000"/>
                <w:sz w:val="22"/>
                <w:szCs w:val="22"/>
                <w:u w:val="double"/>
                <w:lang w:val="es-AR" w:eastAsia="en-US"/>
              </w:rPr>
            </w:pPr>
          </w:p>
        </w:tc>
        <w:tc>
          <w:tcPr>
            <w:tcW w:w="1134" w:type="dxa"/>
            <w:shd w:val="clear" w:color="auto" w:fill="auto"/>
            <w:vAlign w:val="bottom"/>
          </w:tcPr>
          <w:p w14:paraId="1F9A2EFD" w14:textId="77777777" w:rsidR="0010523F" w:rsidRPr="0010523F" w:rsidRDefault="0010523F" w:rsidP="0010523F">
            <w:pPr>
              <w:jc w:val="right"/>
              <w:rPr>
                <w:snapToGrid w:val="0"/>
                <w:color w:val="000000"/>
                <w:sz w:val="22"/>
                <w:szCs w:val="22"/>
                <w:u w:val="double"/>
                <w:lang w:val="es-AR" w:eastAsia="en-US"/>
              </w:rPr>
            </w:pPr>
            <w:r w:rsidRPr="0010523F">
              <w:rPr>
                <w:snapToGrid w:val="0"/>
                <w:color w:val="000000"/>
                <w:sz w:val="22"/>
                <w:szCs w:val="22"/>
                <w:u w:val="double"/>
                <w:lang w:val="es-AR" w:eastAsia="en-US"/>
              </w:rPr>
              <w:t>141.920</w:t>
            </w:r>
          </w:p>
        </w:tc>
        <w:tc>
          <w:tcPr>
            <w:tcW w:w="142" w:type="dxa"/>
          </w:tcPr>
          <w:p w14:paraId="790969C9" w14:textId="77777777" w:rsidR="0010523F" w:rsidRPr="0010523F" w:rsidRDefault="0010523F" w:rsidP="0010523F">
            <w:pPr>
              <w:jc w:val="right"/>
              <w:rPr>
                <w:snapToGrid w:val="0"/>
                <w:color w:val="000000"/>
                <w:sz w:val="22"/>
                <w:szCs w:val="22"/>
                <w:u w:val="double"/>
                <w:lang w:val="es-AR" w:eastAsia="en-US"/>
              </w:rPr>
            </w:pPr>
          </w:p>
        </w:tc>
        <w:tc>
          <w:tcPr>
            <w:tcW w:w="1134" w:type="dxa"/>
          </w:tcPr>
          <w:p w14:paraId="792C47F7" w14:textId="77777777" w:rsidR="0010523F" w:rsidRPr="0010523F" w:rsidRDefault="0010523F" w:rsidP="0010523F">
            <w:pPr>
              <w:jc w:val="right"/>
              <w:rPr>
                <w:snapToGrid w:val="0"/>
                <w:color w:val="000000"/>
                <w:sz w:val="22"/>
                <w:szCs w:val="22"/>
                <w:u w:val="double"/>
                <w:lang w:val="es-AR" w:eastAsia="en-US"/>
              </w:rPr>
            </w:pPr>
            <w:r w:rsidRPr="0010523F">
              <w:rPr>
                <w:snapToGrid w:val="0"/>
                <w:color w:val="000000"/>
                <w:sz w:val="22"/>
                <w:szCs w:val="22"/>
                <w:u w:val="double"/>
                <w:lang w:val="es-AR" w:eastAsia="en-US"/>
              </w:rPr>
              <w:t>157.093</w:t>
            </w:r>
          </w:p>
        </w:tc>
      </w:tr>
    </w:tbl>
    <w:p w14:paraId="1587BAC7" w14:textId="77777777" w:rsidR="0010523F" w:rsidRPr="0010523F" w:rsidRDefault="0010523F" w:rsidP="0010523F">
      <w:pPr>
        <w:widowControl w:val="0"/>
        <w:tabs>
          <w:tab w:val="center" w:pos="1980"/>
          <w:tab w:val="center" w:pos="8080"/>
          <w:tab w:val="center" w:pos="12474"/>
        </w:tabs>
        <w:spacing w:line="220" w:lineRule="exact"/>
        <w:ind w:right="12"/>
        <w:jc w:val="both"/>
        <w:rPr>
          <w:sz w:val="20"/>
          <w:szCs w:val="20"/>
          <w:lang w:val="es-AR" w:eastAsia="en-US"/>
        </w:rPr>
      </w:pPr>
      <w:r w:rsidRPr="0010523F">
        <w:rPr>
          <w:sz w:val="20"/>
          <w:szCs w:val="20"/>
          <w:lang w:val="es-AR" w:eastAsia="en-US"/>
        </w:rPr>
        <w:br w:type="page"/>
      </w:r>
    </w:p>
    <w:p w14:paraId="131532AC" w14:textId="77777777" w:rsidR="0010523F" w:rsidRPr="0010523F" w:rsidRDefault="0010523F" w:rsidP="0010523F">
      <w:pPr>
        <w:spacing w:line="220" w:lineRule="exact"/>
        <w:jc w:val="both"/>
        <w:rPr>
          <w:b/>
          <w:szCs w:val="20"/>
          <w:lang w:val="es-AR" w:eastAsia="en-US"/>
        </w:rPr>
        <w:sectPr w:rsidR="0010523F" w:rsidRPr="0010523F" w:rsidSect="001957FB">
          <w:headerReference w:type="even" r:id="rId38"/>
          <w:headerReference w:type="default" r:id="rId39"/>
          <w:footerReference w:type="default" r:id="rId40"/>
          <w:headerReference w:type="first" r:id="rId41"/>
          <w:footerReference w:type="first" r:id="rId42"/>
          <w:pgSz w:w="16840" w:h="11907" w:orient="landscape" w:code="9"/>
          <w:pgMar w:top="1134" w:right="1247" w:bottom="567" w:left="1247" w:header="720" w:footer="908" w:gutter="0"/>
          <w:paperSrc w:first="7" w:other="7"/>
          <w:cols w:space="720"/>
          <w:docGrid w:linePitch="326"/>
        </w:sectPr>
      </w:pPr>
    </w:p>
    <w:p w14:paraId="2F45A3D0" w14:textId="77777777" w:rsidR="0010523F" w:rsidRPr="0010523F" w:rsidRDefault="0010523F" w:rsidP="0010523F">
      <w:pPr>
        <w:spacing w:line="220" w:lineRule="exact"/>
        <w:jc w:val="both"/>
        <w:rPr>
          <w:b/>
          <w:lang w:val="es-AR" w:eastAsia="en-US"/>
        </w:rPr>
      </w:pPr>
      <w:r w:rsidRPr="0010523F">
        <w:rPr>
          <w:b/>
          <w:szCs w:val="20"/>
          <w:lang w:val="es-AR" w:eastAsia="en-US"/>
        </w:rPr>
        <w:t>PAN AMERICAN ENERGY, S.L., SUCURSAL ARGENTINA</w:t>
      </w:r>
      <w:r w:rsidRPr="0010523F" w:rsidDel="001E12ED">
        <w:rPr>
          <w:b/>
          <w:lang w:val="es-AR" w:eastAsia="en-US"/>
        </w:rPr>
        <w:t xml:space="preserve"> </w:t>
      </w:r>
    </w:p>
    <w:p w14:paraId="1DAA264D" w14:textId="77777777" w:rsidR="0010523F" w:rsidRPr="0010523F" w:rsidRDefault="0010523F" w:rsidP="0010523F">
      <w:pPr>
        <w:widowControl w:val="0"/>
        <w:tabs>
          <w:tab w:val="center" w:pos="1980"/>
          <w:tab w:val="center" w:pos="8080"/>
          <w:tab w:val="center" w:pos="12474"/>
        </w:tabs>
        <w:spacing w:line="100" w:lineRule="exact"/>
        <w:ind w:right="11"/>
        <w:jc w:val="both"/>
        <w:rPr>
          <w:sz w:val="20"/>
          <w:szCs w:val="20"/>
          <w:lang w:val="es-AR" w:eastAsia="en-US"/>
        </w:rPr>
      </w:pPr>
    </w:p>
    <w:p w14:paraId="238C133E" w14:textId="77777777" w:rsidR="0010523F" w:rsidRPr="0010523F" w:rsidRDefault="0010523F" w:rsidP="0010523F">
      <w:pPr>
        <w:spacing w:line="220" w:lineRule="exact"/>
        <w:jc w:val="both"/>
        <w:rPr>
          <w:sz w:val="22"/>
          <w:szCs w:val="22"/>
          <w:lang w:val="es-AR" w:eastAsia="en-US"/>
        </w:rPr>
      </w:pPr>
      <w:r w:rsidRPr="0010523F">
        <w:rPr>
          <w:b/>
          <w:szCs w:val="20"/>
          <w:lang w:val="es-AR" w:eastAsia="en-US"/>
        </w:rPr>
        <w:t>ESTADO DE CAMBIOS EN EL PATRIMONIO INTERMEDIO CONDENSADO</w:t>
      </w:r>
      <w:r w:rsidRPr="0010523F">
        <w:rPr>
          <w:b/>
          <w:sz w:val="22"/>
          <w:szCs w:val="22"/>
          <w:lang w:val="es-AR" w:eastAsia="en-US"/>
        </w:rPr>
        <w:t xml:space="preserve"> </w:t>
      </w:r>
      <w:r w:rsidRPr="0010523F">
        <w:rPr>
          <w:lang w:val="es-AR" w:eastAsia="en-US"/>
        </w:rPr>
        <w:t>por el período de nueve meses finalizado el 30 de septiembre de 2019, presentado en forma comparativa con el mismo período del ejercicio anterior (en millones de pesos)</w:t>
      </w:r>
    </w:p>
    <w:p w14:paraId="4FCAFF00" w14:textId="77777777" w:rsidR="0010523F" w:rsidRPr="0010523F" w:rsidRDefault="0010523F" w:rsidP="0010523F">
      <w:pPr>
        <w:widowControl w:val="0"/>
        <w:tabs>
          <w:tab w:val="center" w:pos="1980"/>
          <w:tab w:val="center" w:pos="8080"/>
          <w:tab w:val="center" w:pos="12474"/>
        </w:tabs>
        <w:spacing w:line="100" w:lineRule="exact"/>
        <w:ind w:right="11"/>
        <w:jc w:val="both"/>
        <w:rPr>
          <w:sz w:val="20"/>
          <w:szCs w:val="20"/>
          <w:lang w:val="es-AR" w:eastAsia="en-US"/>
        </w:rPr>
      </w:pPr>
    </w:p>
    <w:p w14:paraId="39A575CC" w14:textId="77777777" w:rsidR="0010523F" w:rsidRPr="0010523F" w:rsidRDefault="0010523F" w:rsidP="0010523F">
      <w:pPr>
        <w:spacing w:line="100" w:lineRule="exact"/>
        <w:jc w:val="center"/>
        <w:rPr>
          <w:sz w:val="20"/>
          <w:szCs w:val="20"/>
          <w:lang w:val="es-AR" w:eastAsia="en-US"/>
        </w:rPr>
      </w:pPr>
    </w:p>
    <w:tbl>
      <w:tblPr>
        <w:tblW w:w="14763" w:type="dxa"/>
        <w:tblLayout w:type="fixed"/>
        <w:tblLook w:val="04A0" w:firstRow="1" w:lastRow="0" w:firstColumn="1" w:lastColumn="0" w:noHBand="0" w:noVBand="1"/>
      </w:tblPr>
      <w:tblGrid>
        <w:gridCol w:w="3652"/>
        <w:gridCol w:w="1218"/>
        <w:gridCol w:w="1438"/>
        <w:gridCol w:w="1171"/>
        <w:gridCol w:w="1985"/>
        <w:gridCol w:w="1732"/>
        <w:gridCol w:w="1789"/>
        <w:gridCol w:w="1778"/>
      </w:tblGrid>
      <w:tr w:rsidR="0010523F" w:rsidRPr="0010523F" w14:paraId="25C8CC4B" w14:textId="77777777" w:rsidTr="00774E7E">
        <w:trPr>
          <w:trHeight w:val="452"/>
        </w:trPr>
        <w:tc>
          <w:tcPr>
            <w:tcW w:w="3652" w:type="dxa"/>
            <w:vAlign w:val="bottom"/>
          </w:tcPr>
          <w:p w14:paraId="1BA4E1F0" w14:textId="77777777" w:rsidR="0010523F" w:rsidRPr="0010523F" w:rsidRDefault="0010523F" w:rsidP="0010523F">
            <w:pPr>
              <w:spacing w:line="200" w:lineRule="exact"/>
              <w:jc w:val="center"/>
              <w:rPr>
                <w:sz w:val="20"/>
                <w:szCs w:val="20"/>
                <w:lang w:val="es-AR" w:eastAsia="en-US"/>
              </w:rPr>
            </w:pPr>
          </w:p>
        </w:tc>
        <w:tc>
          <w:tcPr>
            <w:tcW w:w="1218" w:type="dxa"/>
            <w:tcBorders>
              <w:bottom w:val="single" w:sz="4" w:space="0" w:color="auto"/>
            </w:tcBorders>
            <w:vAlign w:val="bottom"/>
          </w:tcPr>
          <w:p w14:paraId="1F7C6AF6"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xml:space="preserve">Capital </w:t>
            </w:r>
          </w:p>
          <w:p w14:paraId="032030BE"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asignado </w:t>
            </w:r>
          </w:p>
        </w:tc>
        <w:tc>
          <w:tcPr>
            <w:tcW w:w="1438" w:type="dxa"/>
            <w:tcBorders>
              <w:bottom w:val="single" w:sz="4" w:space="0" w:color="auto"/>
            </w:tcBorders>
            <w:vAlign w:val="bottom"/>
          </w:tcPr>
          <w:p w14:paraId="04FAA68B"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xml:space="preserve">Ajuste </w:t>
            </w:r>
            <w:r w:rsidRPr="0010523F">
              <w:rPr>
                <w:sz w:val="20"/>
                <w:szCs w:val="20"/>
                <w:lang w:val="es-AR" w:eastAsia="en-US"/>
              </w:rPr>
              <w:br/>
              <w:t>  de capital  </w:t>
            </w:r>
          </w:p>
        </w:tc>
        <w:tc>
          <w:tcPr>
            <w:tcW w:w="1171" w:type="dxa"/>
            <w:tcBorders>
              <w:bottom w:val="single" w:sz="4" w:space="0" w:color="auto"/>
            </w:tcBorders>
            <w:vAlign w:val="bottom"/>
          </w:tcPr>
          <w:p w14:paraId="1ED3DAD9"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Reserva</w:t>
            </w:r>
          </w:p>
          <w:p w14:paraId="407F71B7"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especial (1) </w:t>
            </w:r>
          </w:p>
        </w:tc>
        <w:tc>
          <w:tcPr>
            <w:tcW w:w="1985" w:type="dxa"/>
            <w:tcBorders>
              <w:bottom w:val="single" w:sz="4" w:space="0" w:color="auto"/>
            </w:tcBorders>
            <w:vAlign w:val="bottom"/>
          </w:tcPr>
          <w:p w14:paraId="743A6197"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Reserva transferencia fondo de comercio (2)</w:t>
            </w:r>
          </w:p>
        </w:tc>
        <w:tc>
          <w:tcPr>
            <w:tcW w:w="1732" w:type="dxa"/>
            <w:tcBorders>
              <w:bottom w:val="single" w:sz="4" w:space="0" w:color="auto"/>
            </w:tcBorders>
            <w:vAlign w:val="bottom"/>
          </w:tcPr>
          <w:p w14:paraId="7EBED9C9" w14:textId="77777777" w:rsidR="0010523F" w:rsidRPr="0010523F" w:rsidRDefault="0010523F" w:rsidP="0010523F">
            <w:pPr>
              <w:spacing w:line="200" w:lineRule="exact"/>
              <w:jc w:val="center"/>
              <w:rPr>
                <w:sz w:val="20"/>
                <w:szCs w:val="20"/>
                <w:lang w:val="es-AR" w:eastAsia="en-US"/>
              </w:rPr>
            </w:pPr>
          </w:p>
          <w:p w14:paraId="7AB5DEA4"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xml:space="preserve">Otro resultado </w:t>
            </w:r>
            <w:r w:rsidRPr="0010523F">
              <w:rPr>
                <w:sz w:val="20"/>
                <w:szCs w:val="20"/>
                <w:lang w:val="es-AR" w:eastAsia="en-US"/>
              </w:rPr>
              <w:br/>
              <w:t>      integral (3)  </w:t>
            </w:r>
          </w:p>
        </w:tc>
        <w:tc>
          <w:tcPr>
            <w:tcW w:w="1789" w:type="dxa"/>
            <w:tcBorders>
              <w:bottom w:val="single" w:sz="4" w:space="0" w:color="auto"/>
            </w:tcBorders>
            <w:vAlign w:val="bottom"/>
          </w:tcPr>
          <w:p w14:paraId="2E2B25B3"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xml:space="preserve">Resultados </w:t>
            </w:r>
          </w:p>
          <w:p w14:paraId="48522210"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no asignados -</w:t>
            </w:r>
            <w:r w:rsidRPr="0010523F">
              <w:rPr>
                <w:sz w:val="20"/>
                <w:szCs w:val="20"/>
                <w:lang w:val="es-AR" w:eastAsia="en-US"/>
              </w:rPr>
              <w:br/>
              <w:t>  Casa Matriz  </w:t>
            </w:r>
          </w:p>
        </w:tc>
        <w:tc>
          <w:tcPr>
            <w:tcW w:w="1778" w:type="dxa"/>
            <w:tcBorders>
              <w:bottom w:val="single" w:sz="4" w:space="0" w:color="auto"/>
            </w:tcBorders>
            <w:vAlign w:val="bottom"/>
          </w:tcPr>
          <w:p w14:paraId="11F19815"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Total patrimonio</w:t>
            </w:r>
          </w:p>
          <w:p w14:paraId="7C64100D"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2019         </w:t>
            </w:r>
          </w:p>
        </w:tc>
      </w:tr>
      <w:tr w:rsidR="0010523F" w:rsidRPr="0010523F" w14:paraId="2E2411D4" w14:textId="77777777" w:rsidTr="00774E7E">
        <w:tc>
          <w:tcPr>
            <w:tcW w:w="3652" w:type="dxa"/>
            <w:vAlign w:val="bottom"/>
          </w:tcPr>
          <w:p w14:paraId="23521F9B" w14:textId="77777777" w:rsidR="0010523F" w:rsidRPr="0010523F" w:rsidRDefault="0010523F" w:rsidP="0010523F">
            <w:pPr>
              <w:spacing w:line="200" w:lineRule="exact"/>
              <w:jc w:val="center"/>
              <w:rPr>
                <w:sz w:val="20"/>
                <w:szCs w:val="20"/>
                <w:lang w:val="es-AR" w:eastAsia="en-US"/>
              </w:rPr>
            </w:pPr>
          </w:p>
        </w:tc>
        <w:tc>
          <w:tcPr>
            <w:tcW w:w="1218" w:type="dxa"/>
            <w:tcBorders>
              <w:top w:val="single" w:sz="4" w:space="0" w:color="auto"/>
            </w:tcBorders>
            <w:vAlign w:val="bottom"/>
          </w:tcPr>
          <w:p w14:paraId="2093464A" w14:textId="77777777" w:rsidR="0010523F" w:rsidRPr="0010523F" w:rsidRDefault="0010523F" w:rsidP="0010523F">
            <w:pPr>
              <w:spacing w:line="200" w:lineRule="exact"/>
              <w:jc w:val="center"/>
              <w:rPr>
                <w:sz w:val="20"/>
                <w:szCs w:val="20"/>
                <w:lang w:val="es-AR" w:eastAsia="en-US"/>
              </w:rPr>
            </w:pPr>
          </w:p>
        </w:tc>
        <w:tc>
          <w:tcPr>
            <w:tcW w:w="1438" w:type="dxa"/>
            <w:tcBorders>
              <w:top w:val="single" w:sz="4" w:space="0" w:color="auto"/>
            </w:tcBorders>
            <w:vAlign w:val="bottom"/>
          </w:tcPr>
          <w:p w14:paraId="4CFC5B93" w14:textId="77777777" w:rsidR="0010523F" w:rsidRPr="0010523F" w:rsidRDefault="0010523F" w:rsidP="0010523F">
            <w:pPr>
              <w:spacing w:line="200" w:lineRule="exact"/>
              <w:jc w:val="center"/>
              <w:rPr>
                <w:sz w:val="20"/>
                <w:szCs w:val="20"/>
                <w:lang w:val="es-AR" w:eastAsia="en-US"/>
              </w:rPr>
            </w:pPr>
          </w:p>
        </w:tc>
        <w:tc>
          <w:tcPr>
            <w:tcW w:w="1171" w:type="dxa"/>
            <w:tcBorders>
              <w:top w:val="single" w:sz="4" w:space="0" w:color="auto"/>
            </w:tcBorders>
            <w:vAlign w:val="bottom"/>
          </w:tcPr>
          <w:p w14:paraId="0851F650" w14:textId="77777777" w:rsidR="0010523F" w:rsidRPr="0010523F" w:rsidRDefault="0010523F" w:rsidP="0010523F">
            <w:pPr>
              <w:spacing w:line="200" w:lineRule="exact"/>
              <w:jc w:val="center"/>
              <w:rPr>
                <w:sz w:val="20"/>
                <w:szCs w:val="20"/>
                <w:lang w:val="es-AR" w:eastAsia="en-US"/>
              </w:rPr>
            </w:pPr>
          </w:p>
        </w:tc>
        <w:tc>
          <w:tcPr>
            <w:tcW w:w="1985" w:type="dxa"/>
            <w:tcBorders>
              <w:top w:val="single" w:sz="4" w:space="0" w:color="auto"/>
            </w:tcBorders>
          </w:tcPr>
          <w:p w14:paraId="4B6321B8" w14:textId="77777777" w:rsidR="0010523F" w:rsidRPr="0010523F" w:rsidRDefault="0010523F" w:rsidP="0010523F">
            <w:pPr>
              <w:spacing w:line="200" w:lineRule="exact"/>
              <w:jc w:val="center"/>
              <w:rPr>
                <w:sz w:val="20"/>
                <w:szCs w:val="20"/>
                <w:lang w:val="es-AR" w:eastAsia="en-US"/>
              </w:rPr>
            </w:pPr>
          </w:p>
        </w:tc>
        <w:tc>
          <w:tcPr>
            <w:tcW w:w="1732" w:type="dxa"/>
            <w:tcBorders>
              <w:top w:val="single" w:sz="4" w:space="0" w:color="auto"/>
            </w:tcBorders>
            <w:vAlign w:val="bottom"/>
          </w:tcPr>
          <w:p w14:paraId="351174B3" w14:textId="77777777" w:rsidR="0010523F" w:rsidRPr="0010523F" w:rsidRDefault="0010523F" w:rsidP="0010523F">
            <w:pPr>
              <w:spacing w:line="200" w:lineRule="exact"/>
              <w:jc w:val="center"/>
              <w:rPr>
                <w:sz w:val="20"/>
                <w:szCs w:val="20"/>
                <w:lang w:val="es-AR" w:eastAsia="en-US"/>
              </w:rPr>
            </w:pPr>
          </w:p>
        </w:tc>
        <w:tc>
          <w:tcPr>
            <w:tcW w:w="1789" w:type="dxa"/>
            <w:tcBorders>
              <w:top w:val="single" w:sz="4" w:space="0" w:color="auto"/>
            </w:tcBorders>
            <w:vAlign w:val="bottom"/>
          </w:tcPr>
          <w:p w14:paraId="79B6BD3B" w14:textId="77777777" w:rsidR="0010523F" w:rsidRPr="0010523F" w:rsidRDefault="0010523F" w:rsidP="0010523F">
            <w:pPr>
              <w:spacing w:line="200" w:lineRule="exact"/>
              <w:jc w:val="center"/>
              <w:rPr>
                <w:sz w:val="20"/>
                <w:szCs w:val="20"/>
                <w:lang w:val="es-AR" w:eastAsia="en-US"/>
              </w:rPr>
            </w:pPr>
          </w:p>
        </w:tc>
        <w:tc>
          <w:tcPr>
            <w:tcW w:w="1778" w:type="dxa"/>
            <w:tcBorders>
              <w:top w:val="single" w:sz="4" w:space="0" w:color="auto"/>
            </w:tcBorders>
            <w:vAlign w:val="bottom"/>
          </w:tcPr>
          <w:p w14:paraId="72868833" w14:textId="77777777" w:rsidR="0010523F" w:rsidRPr="0010523F" w:rsidRDefault="0010523F" w:rsidP="0010523F">
            <w:pPr>
              <w:spacing w:line="200" w:lineRule="exact"/>
              <w:jc w:val="center"/>
              <w:rPr>
                <w:sz w:val="20"/>
                <w:szCs w:val="20"/>
                <w:lang w:val="es-AR" w:eastAsia="en-US"/>
              </w:rPr>
            </w:pPr>
          </w:p>
        </w:tc>
      </w:tr>
      <w:tr w:rsidR="0010523F" w:rsidRPr="0010523F" w14:paraId="53DC9E0A" w14:textId="77777777" w:rsidTr="00774E7E">
        <w:tc>
          <w:tcPr>
            <w:tcW w:w="3652" w:type="dxa"/>
            <w:vAlign w:val="bottom"/>
          </w:tcPr>
          <w:p w14:paraId="38CCAAE3" w14:textId="77777777" w:rsidR="0010523F" w:rsidRPr="0010523F" w:rsidRDefault="0010523F" w:rsidP="0010523F">
            <w:pPr>
              <w:spacing w:line="100" w:lineRule="exact"/>
              <w:jc w:val="center"/>
              <w:rPr>
                <w:sz w:val="20"/>
                <w:szCs w:val="20"/>
                <w:lang w:val="es-AR" w:eastAsia="en-US"/>
              </w:rPr>
            </w:pPr>
          </w:p>
        </w:tc>
        <w:tc>
          <w:tcPr>
            <w:tcW w:w="1218" w:type="dxa"/>
            <w:vAlign w:val="bottom"/>
          </w:tcPr>
          <w:p w14:paraId="1EC49B23" w14:textId="77777777" w:rsidR="0010523F" w:rsidRPr="0010523F" w:rsidRDefault="0010523F" w:rsidP="0010523F">
            <w:pPr>
              <w:spacing w:line="100" w:lineRule="exact"/>
              <w:jc w:val="center"/>
              <w:rPr>
                <w:sz w:val="20"/>
                <w:szCs w:val="20"/>
                <w:lang w:val="es-AR" w:eastAsia="en-US"/>
              </w:rPr>
            </w:pPr>
          </w:p>
        </w:tc>
        <w:tc>
          <w:tcPr>
            <w:tcW w:w="1438" w:type="dxa"/>
            <w:vAlign w:val="bottom"/>
          </w:tcPr>
          <w:p w14:paraId="77804AEE" w14:textId="77777777" w:rsidR="0010523F" w:rsidRPr="0010523F" w:rsidRDefault="0010523F" w:rsidP="0010523F">
            <w:pPr>
              <w:spacing w:line="100" w:lineRule="exact"/>
              <w:jc w:val="center"/>
              <w:rPr>
                <w:sz w:val="20"/>
                <w:szCs w:val="20"/>
                <w:lang w:val="es-AR" w:eastAsia="en-US"/>
              </w:rPr>
            </w:pPr>
          </w:p>
        </w:tc>
        <w:tc>
          <w:tcPr>
            <w:tcW w:w="1171" w:type="dxa"/>
          </w:tcPr>
          <w:p w14:paraId="0FC775AA" w14:textId="77777777" w:rsidR="0010523F" w:rsidRPr="0010523F" w:rsidRDefault="0010523F" w:rsidP="0010523F">
            <w:pPr>
              <w:spacing w:line="100" w:lineRule="exact"/>
              <w:jc w:val="center"/>
              <w:rPr>
                <w:sz w:val="20"/>
                <w:szCs w:val="20"/>
                <w:lang w:val="es-AR" w:eastAsia="en-US"/>
              </w:rPr>
            </w:pPr>
          </w:p>
        </w:tc>
        <w:tc>
          <w:tcPr>
            <w:tcW w:w="1985" w:type="dxa"/>
          </w:tcPr>
          <w:p w14:paraId="71F9AF21" w14:textId="77777777" w:rsidR="0010523F" w:rsidRPr="0010523F" w:rsidRDefault="0010523F" w:rsidP="0010523F">
            <w:pPr>
              <w:spacing w:line="100" w:lineRule="exact"/>
              <w:jc w:val="center"/>
              <w:rPr>
                <w:sz w:val="20"/>
                <w:szCs w:val="20"/>
                <w:lang w:val="es-AR" w:eastAsia="en-US"/>
              </w:rPr>
            </w:pPr>
          </w:p>
        </w:tc>
        <w:tc>
          <w:tcPr>
            <w:tcW w:w="1732" w:type="dxa"/>
            <w:vAlign w:val="bottom"/>
          </w:tcPr>
          <w:p w14:paraId="12C083EB" w14:textId="77777777" w:rsidR="0010523F" w:rsidRPr="0010523F" w:rsidRDefault="0010523F" w:rsidP="0010523F">
            <w:pPr>
              <w:spacing w:line="100" w:lineRule="exact"/>
              <w:jc w:val="center"/>
              <w:rPr>
                <w:sz w:val="20"/>
                <w:szCs w:val="20"/>
                <w:lang w:val="es-AR" w:eastAsia="en-US"/>
              </w:rPr>
            </w:pPr>
          </w:p>
        </w:tc>
        <w:tc>
          <w:tcPr>
            <w:tcW w:w="1789" w:type="dxa"/>
            <w:vAlign w:val="bottom"/>
          </w:tcPr>
          <w:p w14:paraId="7E919CD1" w14:textId="77777777" w:rsidR="0010523F" w:rsidRPr="0010523F" w:rsidRDefault="0010523F" w:rsidP="0010523F">
            <w:pPr>
              <w:spacing w:line="100" w:lineRule="exact"/>
              <w:jc w:val="center"/>
              <w:rPr>
                <w:sz w:val="20"/>
                <w:szCs w:val="20"/>
                <w:lang w:val="es-AR" w:eastAsia="en-US"/>
              </w:rPr>
            </w:pPr>
          </w:p>
        </w:tc>
        <w:tc>
          <w:tcPr>
            <w:tcW w:w="1778" w:type="dxa"/>
            <w:vAlign w:val="bottom"/>
          </w:tcPr>
          <w:p w14:paraId="333A04F3" w14:textId="77777777" w:rsidR="0010523F" w:rsidRPr="0010523F" w:rsidRDefault="0010523F" w:rsidP="0010523F">
            <w:pPr>
              <w:spacing w:line="100" w:lineRule="exact"/>
              <w:jc w:val="center"/>
              <w:rPr>
                <w:sz w:val="20"/>
                <w:szCs w:val="20"/>
                <w:lang w:val="es-AR" w:eastAsia="en-US"/>
              </w:rPr>
            </w:pPr>
          </w:p>
        </w:tc>
      </w:tr>
      <w:tr w:rsidR="0010523F" w:rsidRPr="0010523F" w14:paraId="0B7F5FA5" w14:textId="77777777" w:rsidTr="00774E7E">
        <w:tc>
          <w:tcPr>
            <w:tcW w:w="3652" w:type="dxa"/>
            <w:vAlign w:val="bottom"/>
          </w:tcPr>
          <w:p w14:paraId="51A7D593" w14:textId="77777777" w:rsidR="0010523F" w:rsidRPr="0010523F" w:rsidRDefault="0010523F" w:rsidP="0010523F">
            <w:pPr>
              <w:spacing w:line="200" w:lineRule="exact"/>
              <w:jc w:val="both"/>
              <w:rPr>
                <w:sz w:val="20"/>
                <w:szCs w:val="20"/>
                <w:lang w:val="es-AR" w:eastAsia="en-US"/>
              </w:rPr>
            </w:pPr>
            <w:r w:rsidRPr="0010523F">
              <w:rPr>
                <w:sz w:val="20"/>
                <w:szCs w:val="20"/>
                <w:lang w:val="es-AR" w:eastAsia="en-US"/>
              </w:rPr>
              <w:t>Saldos al 1 de enero de 2019</w:t>
            </w:r>
          </w:p>
        </w:tc>
        <w:tc>
          <w:tcPr>
            <w:tcW w:w="1218" w:type="dxa"/>
            <w:vAlign w:val="bottom"/>
          </w:tcPr>
          <w:p w14:paraId="2EB9507B" w14:textId="77777777" w:rsidR="0010523F" w:rsidRPr="0010523F" w:rsidRDefault="0010523F" w:rsidP="0010523F">
            <w:pPr>
              <w:tabs>
                <w:tab w:val="decimal" w:pos="872"/>
              </w:tabs>
              <w:spacing w:line="200" w:lineRule="exact"/>
              <w:jc w:val="right"/>
              <w:rPr>
                <w:sz w:val="20"/>
                <w:szCs w:val="20"/>
                <w:lang w:val="es-AR" w:eastAsia="en-US"/>
              </w:rPr>
            </w:pPr>
            <w:r w:rsidRPr="0010523F">
              <w:rPr>
                <w:sz w:val="20"/>
                <w:szCs w:val="20"/>
                <w:lang w:val="es-AR" w:eastAsia="en-US"/>
              </w:rPr>
              <w:t>222</w:t>
            </w:r>
          </w:p>
        </w:tc>
        <w:tc>
          <w:tcPr>
            <w:tcW w:w="1438" w:type="dxa"/>
            <w:vAlign w:val="bottom"/>
          </w:tcPr>
          <w:p w14:paraId="16513DA0" w14:textId="77777777" w:rsidR="0010523F" w:rsidRPr="0010523F" w:rsidRDefault="0010523F" w:rsidP="0010523F">
            <w:pPr>
              <w:tabs>
                <w:tab w:val="decimal" w:pos="1081"/>
              </w:tabs>
              <w:spacing w:line="200" w:lineRule="exact"/>
              <w:jc w:val="right"/>
              <w:rPr>
                <w:sz w:val="20"/>
                <w:szCs w:val="20"/>
                <w:lang w:val="es-AR" w:eastAsia="en-US"/>
              </w:rPr>
            </w:pPr>
            <w:r w:rsidRPr="0010523F">
              <w:rPr>
                <w:sz w:val="20"/>
                <w:szCs w:val="20"/>
                <w:lang w:val="es-AR" w:eastAsia="en-US"/>
              </w:rPr>
              <w:t>239</w:t>
            </w:r>
          </w:p>
        </w:tc>
        <w:tc>
          <w:tcPr>
            <w:tcW w:w="1171" w:type="dxa"/>
          </w:tcPr>
          <w:p w14:paraId="45B5ECC8" w14:textId="77777777" w:rsidR="0010523F" w:rsidRPr="0010523F" w:rsidRDefault="0010523F" w:rsidP="0010523F">
            <w:pPr>
              <w:tabs>
                <w:tab w:val="decimal" w:pos="948"/>
              </w:tabs>
              <w:spacing w:line="200" w:lineRule="exact"/>
              <w:jc w:val="right"/>
              <w:rPr>
                <w:sz w:val="20"/>
                <w:szCs w:val="20"/>
                <w:lang w:val="es-AR" w:eastAsia="en-US"/>
              </w:rPr>
            </w:pPr>
            <w:r w:rsidRPr="0010523F">
              <w:rPr>
                <w:sz w:val="20"/>
                <w:szCs w:val="20"/>
                <w:lang w:val="es-AR" w:eastAsia="en-US"/>
              </w:rPr>
              <w:t>3.932</w:t>
            </w:r>
          </w:p>
        </w:tc>
        <w:tc>
          <w:tcPr>
            <w:tcW w:w="1985" w:type="dxa"/>
          </w:tcPr>
          <w:p w14:paraId="6F497D56" w14:textId="77777777" w:rsidR="0010523F" w:rsidRPr="0010523F" w:rsidRDefault="0010523F" w:rsidP="0010523F">
            <w:pPr>
              <w:tabs>
                <w:tab w:val="decimal" w:pos="1226"/>
              </w:tabs>
              <w:ind w:right="176"/>
              <w:jc w:val="right"/>
              <w:rPr>
                <w:sz w:val="20"/>
                <w:szCs w:val="20"/>
                <w:lang w:val="es-AR" w:eastAsia="en-US"/>
              </w:rPr>
            </w:pPr>
            <w:r w:rsidRPr="0010523F">
              <w:rPr>
                <w:sz w:val="20"/>
                <w:szCs w:val="20"/>
                <w:lang w:val="es-AR" w:eastAsia="en-US"/>
              </w:rPr>
              <w:t>21.788</w:t>
            </w:r>
          </w:p>
        </w:tc>
        <w:tc>
          <w:tcPr>
            <w:tcW w:w="1732" w:type="dxa"/>
            <w:vAlign w:val="bottom"/>
          </w:tcPr>
          <w:p w14:paraId="715A2D6C" w14:textId="77777777" w:rsidR="0010523F" w:rsidRPr="0010523F" w:rsidRDefault="0010523F" w:rsidP="0010523F">
            <w:pPr>
              <w:tabs>
                <w:tab w:val="decimal" w:pos="1226"/>
              </w:tabs>
              <w:jc w:val="right"/>
              <w:rPr>
                <w:sz w:val="20"/>
                <w:szCs w:val="20"/>
                <w:lang w:val="es-AR" w:eastAsia="en-US"/>
              </w:rPr>
            </w:pPr>
            <w:r w:rsidRPr="0010523F">
              <w:rPr>
                <w:sz w:val="20"/>
                <w:szCs w:val="20"/>
                <w:lang w:val="es-AR" w:eastAsia="en-US"/>
              </w:rPr>
              <w:t>190.811</w:t>
            </w:r>
          </w:p>
        </w:tc>
        <w:tc>
          <w:tcPr>
            <w:tcW w:w="1789" w:type="dxa"/>
            <w:vAlign w:val="bottom"/>
          </w:tcPr>
          <w:p w14:paraId="2B8D78B4" w14:textId="77777777" w:rsidR="0010523F" w:rsidRPr="0010523F" w:rsidRDefault="0010523F" w:rsidP="0010523F">
            <w:pPr>
              <w:tabs>
                <w:tab w:val="decimal" w:pos="1320"/>
              </w:tabs>
              <w:jc w:val="right"/>
              <w:rPr>
                <w:sz w:val="20"/>
                <w:szCs w:val="20"/>
                <w:lang w:val="es-AR" w:eastAsia="en-US"/>
              </w:rPr>
            </w:pPr>
            <w:r w:rsidRPr="0010523F">
              <w:rPr>
                <w:sz w:val="20"/>
                <w:szCs w:val="20"/>
                <w:lang w:val="es-AR" w:eastAsia="en-US"/>
              </w:rPr>
              <w:t>43.355</w:t>
            </w:r>
          </w:p>
        </w:tc>
        <w:tc>
          <w:tcPr>
            <w:tcW w:w="1778" w:type="dxa"/>
            <w:vAlign w:val="bottom"/>
          </w:tcPr>
          <w:p w14:paraId="6D5C5D97" w14:textId="77777777" w:rsidR="0010523F" w:rsidRPr="0010523F" w:rsidRDefault="0010523F" w:rsidP="0010523F">
            <w:pPr>
              <w:tabs>
                <w:tab w:val="decimal" w:pos="1352"/>
              </w:tabs>
              <w:jc w:val="right"/>
              <w:rPr>
                <w:sz w:val="20"/>
                <w:szCs w:val="20"/>
                <w:lang w:val="es-AR" w:eastAsia="en-US"/>
              </w:rPr>
            </w:pPr>
            <w:r w:rsidRPr="0010523F">
              <w:rPr>
                <w:sz w:val="20"/>
                <w:szCs w:val="20"/>
                <w:lang w:val="es-AR" w:eastAsia="en-US"/>
              </w:rPr>
              <w:t>260.347</w:t>
            </w:r>
          </w:p>
        </w:tc>
      </w:tr>
      <w:tr w:rsidR="0010523F" w:rsidRPr="0010523F" w14:paraId="39E4FA11" w14:textId="77777777" w:rsidTr="00774E7E">
        <w:tc>
          <w:tcPr>
            <w:tcW w:w="3652" w:type="dxa"/>
            <w:vAlign w:val="bottom"/>
          </w:tcPr>
          <w:p w14:paraId="30850519" w14:textId="77777777" w:rsidR="0010523F" w:rsidRPr="0010523F" w:rsidRDefault="0010523F" w:rsidP="0010523F">
            <w:pPr>
              <w:spacing w:line="100" w:lineRule="exact"/>
              <w:jc w:val="center"/>
              <w:rPr>
                <w:sz w:val="20"/>
                <w:szCs w:val="20"/>
                <w:lang w:val="es-AR" w:eastAsia="en-US"/>
              </w:rPr>
            </w:pPr>
          </w:p>
        </w:tc>
        <w:tc>
          <w:tcPr>
            <w:tcW w:w="1218" w:type="dxa"/>
            <w:vAlign w:val="bottom"/>
          </w:tcPr>
          <w:p w14:paraId="7A2166D9" w14:textId="77777777" w:rsidR="0010523F" w:rsidRPr="0010523F" w:rsidRDefault="0010523F" w:rsidP="0010523F">
            <w:pPr>
              <w:spacing w:line="100" w:lineRule="exact"/>
              <w:jc w:val="right"/>
              <w:rPr>
                <w:sz w:val="20"/>
                <w:szCs w:val="20"/>
                <w:lang w:val="es-AR" w:eastAsia="en-US"/>
              </w:rPr>
            </w:pPr>
          </w:p>
        </w:tc>
        <w:tc>
          <w:tcPr>
            <w:tcW w:w="1438" w:type="dxa"/>
            <w:vAlign w:val="bottom"/>
          </w:tcPr>
          <w:p w14:paraId="6E7379B5" w14:textId="77777777" w:rsidR="0010523F" w:rsidRPr="0010523F" w:rsidRDefault="0010523F" w:rsidP="0010523F">
            <w:pPr>
              <w:spacing w:line="100" w:lineRule="exact"/>
              <w:jc w:val="right"/>
              <w:rPr>
                <w:sz w:val="20"/>
                <w:szCs w:val="20"/>
                <w:lang w:val="es-AR" w:eastAsia="en-US"/>
              </w:rPr>
            </w:pPr>
          </w:p>
        </w:tc>
        <w:tc>
          <w:tcPr>
            <w:tcW w:w="1171" w:type="dxa"/>
          </w:tcPr>
          <w:p w14:paraId="5F10FDBA" w14:textId="77777777" w:rsidR="0010523F" w:rsidRPr="0010523F" w:rsidRDefault="0010523F" w:rsidP="0010523F">
            <w:pPr>
              <w:spacing w:line="100" w:lineRule="exact"/>
              <w:jc w:val="right"/>
              <w:rPr>
                <w:sz w:val="20"/>
                <w:szCs w:val="20"/>
                <w:lang w:val="es-AR" w:eastAsia="en-US"/>
              </w:rPr>
            </w:pPr>
          </w:p>
        </w:tc>
        <w:tc>
          <w:tcPr>
            <w:tcW w:w="1985" w:type="dxa"/>
          </w:tcPr>
          <w:p w14:paraId="29E2B4D8" w14:textId="77777777" w:rsidR="0010523F" w:rsidRPr="0010523F" w:rsidRDefault="0010523F" w:rsidP="0010523F">
            <w:pPr>
              <w:spacing w:line="100" w:lineRule="exact"/>
              <w:ind w:right="176"/>
              <w:jc w:val="right"/>
              <w:rPr>
                <w:sz w:val="20"/>
                <w:szCs w:val="20"/>
                <w:lang w:val="es-AR" w:eastAsia="en-US"/>
              </w:rPr>
            </w:pPr>
          </w:p>
        </w:tc>
        <w:tc>
          <w:tcPr>
            <w:tcW w:w="1732" w:type="dxa"/>
            <w:vAlign w:val="bottom"/>
          </w:tcPr>
          <w:p w14:paraId="79408800" w14:textId="77777777" w:rsidR="0010523F" w:rsidRPr="0010523F" w:rsidRDefault="0010523F" w:rsidP="0010523F">
            <w:pPr>
              <w:spacing w:line="100" w:lineRule="exact"/>
              <w:jc w:val="right"/>
              <w:rPr>
                <w:sz w:val="20"/>
                <w:szCs w:val="20"/>
                <w:lang w:val="es-AR" w:eastAsia="en-US"/>
              </w:rPr>
            </w:pPr>
          </w:p>
        </w:tc>
        <w:tc>
          <w:tcPr>
            <w:tcW w:w="1789" w:type="dxa"/>
            <w:vAlign w:val="bottom"/>
          </w:tcPr>
          <w:p w14:paraId="3BAE576B" w14:textId="77777777" w:rsidR="0010523F" w:rsidRPr="0010523F" w:rsidRDefault="0010523F" w:rsidP="0010523F">
            <w:pPr>
              <w:spacing w:line="100" w:lineRule="exact"/>
              <w:jc w:val="right"/>
              <w:rPr>
                <w:sz w:val="20"/>
                <w:szCs w:val="20"/>
                <w:lang w:val="es-AR" w:eastAsia="en-US"/>
              </w:rPr>
            </w:pPr>
          </w:p>
        </w:tc>
        <w:tc>
          <w:tcPr>
            <w:tcW w:w="1778" w:type="dxa"/>
            <w:vAlign w:val="bottom"/>
          </w:tcPr>
          <w:p w14:paraId="2A5C819C" w14:textId="77777777" w:rsidR="0010523F" w:rsidRPr="0010523F" w:rsidRDefault="0010523F" w:rsidP="0010523F">
            <w:pPr>
              <w:tabs>
                <w:tab w:val="decimal" w:pos="1352"/>
              </w:tabs>
              <w:spacing w:line="100" w:lineRule="exact"/>
              <w:jc w:val="right"/>
              <w:rPr>
                <w:sz w:val="20"/>
                <w:szCs w:val="20"/>
                <w:lang w:val="es-AR" w:eastAsia="en-US"/>
              </w:rPr>
            </w:pPr>
          </w:p>
        </w:tc>
      </w:tr>
      <w:tr w:rsidR="0010523F" w:rsidRPr="0010523F" w14:paraId="3C64B0CE" w14:textId="77777777" w:rsidTr="00774E7E">
        <w:tc>
          <w:tcPr>
            <w:tcW w:w="3652" w:type="dxa"/>
            <w:vAlign w:val="bottom"/>
          </w:tcPr>
          <w:p w14:paraId="205A2117" w14:textId="77777777" w:rsidR="0010523F" w:rsidRPr="0010523F" w:rsidRDefault="0010523F" w:rsidP="0010523F">
            <w:pPr>
              <w:spacing w:line="200" w:lineRule="exact"/>
              <w:jc w:val="both"/>
              <w:rPr>
                <w:sz w:val="20"/>
                <w:szCs w:val="20"/>
                <w:lang w:val="es-AR" w:eastAsia="en-US"/>
              </w:rPr>
            </w:pPr>
            <w:r w:rsidRPr="0010523F">
              <w:rPr>
                <w:sz w:val="20"/>
                <w:szCs w:val="20"/>
                <w:lang w:val="es-AR" w:eastAsia="en-US"/>
              </w:rPr>
              <w:t>Ganancia neta del período</w:t>
            </w:r>
          </w:p>
        </w:tc>
        <w:tc>
          <w:tcPr>
            <w:tcW w:w="1218" w:type="dxa"/>
            <w:vAlign w:val="bottom"/>
          </w:tcPr>
          <w:p w14:paraId="3CB42AB3" w14:textId="77777777" w:rsidR="0010523F" w:rsidRPr="0010523F" w:rsidRDefault="0010523F" w:rsidP="0010523F">
            <w:pPr>
              <w:tabs>
                <w:tab w:val="decimal" w:pos="872"/>
              </w:tabs>
              <w:spacing w:line="200" w:lineRule="exact"/>
              <w:jc w:val="right"/>
              <w:rPr>
                <w:sz w:val="20"/>
                <w:szCs w:val="20"/>
                <w:lang w:val="es-AR" w:eastAsia="en-US"/>
              </w:rPr>
            </w:pPr>
            <w:r w:rsidRPr="0010523F">
              <w:rPr>
                <w:sz w:val="20"/>
                <w:szCs w:val="20"/>
                <w:lang w:val="es-AR" w:eastAsia="en-US"/>
              </w:rPr>
              <w:t>-</w:t>
            </w:r>
          </w:p>
        </w:tc>
        <w:tc>
          <w:tcPr>
            <w:tcW w:w="1438" w:type="dxa"/>
            <w:vAlign w:val="bottom"/>
          </w:tcPr>
          <w:p w14:paraId="66D6E978" w14:textId="77777777" w:rsidR="0010523F" w:rsidRPr="0010523F" w:rsidRDefault="0010523F" w:rsidP="0010523F">
            <w:pPr>
              <w:tabs>
                <w:tab w:val="decimal" w:pos="1081"/>
              </w:tabs>
              <w:spacing w:line="200" w:lineRule="exact"/>
              <w:jc w:val="right"/>
              <w:rPr>
                <w:sz w:val="20"/>
                <w:szCs w:val="20"/>
                <w:lang w:val="es-AR" w:eastAsia="en-US"/>
              </w:rPr>
            </w:pPr>
            <w:r w:rsidRPr="0010523F">
              <w:rPr>
                <w:sz w:val="20"/>
                <w:szCs w:val="20"/>
                <w:lang w:val="es-AR" w:eastAsia="en-US"/>
              </w:rPr>
              <w:t>-</w:t>
            </w:r>
          </w:p>
        </w:tc>
        <w:tc>
          <w:tcPr>
            <w:tcW w:w="1171" w:type="dxa"/>
          </w:tcPr>
          <w:p w14:paraId="5DC795A1" w14:textId="77777777" w:rsidR="0010523F" w:rsidRPr="0010523F" w:rsidRDefault="0010523F" w:rsidP="0010523F">
            <w:pPr>
              <w:tabs>
                <w:tab w:val="decimal" w:pos="948"/>
              </w:tabs>
              <w:spacing w:line="200" w:lineRule="exact"/>
              <w:jc w:val="right"/>
              <w:rPr>
                <w:sz w:val="20"/>
                <w:szCs w:val="20"/>
                <w:lang w:val="es-AR" w:eastAsia="en-US"/>
              </w:rPr>
            </w:pPr>
            <w:r w:rsidRPr="0010523F">
              <w:rPr>
                <w:sz w:val="20"/>
                <w:szCs w:val="20"/>
                <w:lang w:val="es-AR" w:eastAsia="en-US"/>
              </w:rPr>
              <w:t>-</w:t>
            </w:r>
          </w:p>
        </w:tc>
        <w:tc>
          <w:tcPr>
            <w:tcW w:w="1985" w:type="dxa"/>
          </w:tcPr>
          <w:p w14:paraId="4CC4370D" w14:textId="77777777" w:rsidR="0010523F" w:rsidRPr="0010523F" w:rsidRDefault="0010523F" w:rsidP="0010523F">
            <w:pPr>
              <w:tabs>
                <w:tab w:val="decimal" w:pos="1226"/>
              </w:tabs>
              <w:spacing w:line="200" w:lineRule="exact"/>
              <w:ind w:right="176"/>
              <w:jc w:val="right"/>
              <w:rPr>
                <w:sz w:val="20"/>
                <w:szCs w:val="20"/>
                <w:lang w:val="es-AR" w:eastAsia="en-US"/>
              </w:rPr>
            </w:pPr>
            <w:r w:rsidRPr="0010523F">
              <w:rPr>
                <w:sz w:val="20"/>
                <w:szCs w:val="20"/>
                <w:lang w:val="es-AR" w:eastAsia="en-US"/>
              </w:rPr>
              <w:t>-</w:t>
            </w:r>
          </w:p>
        </w:tc>
        <w:tc>
          <w:tcPr>
            <w:tcW w:w="1732" w:type="dxa"/>
            <w:vAlign w:val="bottom"/>
          </w:tcPr>
          <w:p w14:paraId="1E80C757" w14:textId="77777777" w:rsidR="0010523F" w:rsidRPr="0010523F" w:rsidRDefault="0010523F" w:rsidP="0010523F">
            <w:pPr>
              <w:tabs>
                <w:tab w:val="decimal" w:pos="1226"/>
              </w:tabs>
              <w:spacing w:line="200" w:lineRule="exact"/>
              <w:jc w:val="right"/>
              <w:rPr>
                <w:sz w:val="20"/>
                <w:szCs w:val="20"/>
                <w:lang w:val="es-AR" w:eastAsia="en-US"/>
              </w:rPr>
            </w:pPr>
            <w:r w:rsidRPr="0010523F">
              <w:rPr>
                <w:sz w:val="20"/>
                <w:szCs w:val="20"/>
                <w:lang w:val="es-AR" w:eastAsia="en-US"/>
              </w:rPr>
              <w:t>-</w:t>
            </w:r>
          </w:p>
        </w:tc>
        <w:tc>
          <w:tcPr>
            <w:tcW w:w="1789" w:type="dxa"/>
            <w:vAlign w:val="bottom"/>
          </w:tcPr>
          <w:p w14:paraId="4D6C115F" w14:textId="77777777" w:rsidR="0010523F" w:rsidRPr="0010523F" w:rsidRDefault="0010523F" w:rsidP="0010523F">
            <w:pPr>
              <w:tabs>
                <w:tab w:val="decimal" w:pos="1320"/>
              </w:tabs>
              <w:spacing w:line="200" w:lineRule="exact"/>
              <w:jc w:val="right"/>
              <w:rPr>
                <w:sz w:val="20"/>
                <w:szCs w:val="20"/>
                <w:lang w:val="es-AR" w:eastAsia="en-US"/>
              </w:rPr>
            </w:pPr>
            <w:r w:rsidRPr="0010523F">
              <w:rPr>
                <w:sz w:val="20"/>
                <w:szCs w:val="20"/>
                <w:lang w:val="es-AR" w:eastAsia="en-US"/>
              </w:rPr>
              <w:t>5.921</w:t>
            </w:r>
          </w:p>
        </w:tc>
        <w:tc>
          <w:tcPr>
            <w:tcW w:w="1778" w:type="dxa"/>
            <w:vAlign w:val="bottom"/>
          </w:tcPr>
          <w:p w14:paraId="45E34F44" w14:textId="77777777" w:rsidR="0010523F" w:rsidRPr="0010523F" w:rsidRDefault="0010523F" w:rsidP="0010523F">
            <w:pPr>
              <w:tabs>
                <w:tab w:val="decimal" w:pos="1352"/>
              </w:tabs>
              <w:spacing w:line="200" w:lineRule="exact"/>
              <w:jc w:val="right"/>
              <w:rPr>
                <w:sz w:val="20"/>
                <w:szCs w:val="20"/>
                <w:lang w:val="es-AR" w:eastAsia="en-US"/>
              </w:rPr>
            </w:pPr>
            <w:r w:rsidRPr="0010523F">
              <w:rPr>
                <w:sz w:val="20"/>
                <w:szCs w:val="20"/>
                <w:lang w:val="es-AR" w:eastAsia="en-US"/>
              </w:rPr>
              <w:t>5.921</w:t>
            </w:r>
          </w:p>
        </w:tc>
      </w:tr>
      <w:tr w:rsidR="0010523F" w:rsidRPr="0010523F" w14:paraId="673440C0" w14:textId="77777777" w:rsidTr="00774E7E">
        <w:trPr>
          <w:trHeight w:val="88"/>
        </w:trPr>
        <w:tc>
          <w:tcPr>
            <w:tcW w:w="3652" w:type="dxa"/>
            <w:vAlign w:val="bottom"/>
          </w:tcPr>
          <w:p w14:paraId="7DDFA526" w14:textId="77777777" w:rsidR="0010523F" w:rsidRPr="0010523F" w:rsidRDefault="0010523F" w:rsidP="0010523F">
            <w:pPr>
              <w:spacing w:line="100" w:lineRule="exact"/>
              <w:jc w:val="center"/>
              <w:rPr>
                <w:sz w:val="20"/>
                <w:szCs w:val="20"/>
                <w:lang w:val="es-AR" w:eastAsia="en-US"/>
              </w:rPr>
            </w:pPr>
          </w:p>
        </w:tc>
        <w:tc>
          <w:tcPr>
            <w:tcW w:w="1218" w:type="dxa"/>
            <w:vAlign w:val="bottom"/>
          </w:tcPr>
          <w:p w14:paraId="07CFAC9A" w14:textId="77777777" w:rsidR="0010523F" w:rsidRPr="0010523F" w:rsidRDefault="0010523F" w:rsidP="0010523F">
            <w:pPr>
              <w:spacing w:line="100" w:lineRule="exact"/>
              <w:jc w:val="right"/>
              <w:rPr>
                <w:sz w:val="20"/>
                <w:szCs w:val="20"/>
                <w:lang w:val="es-AR" w:eastAsia="en-US"/>
              </w:rPr>
            </w:pPr>
          </w:p>
        </w:tc>
        <w:tc>
          <w:tcPr>
            <w:tcW w:w="1438" w:type="dxa"/>
            <w:vAlign w:val="bottom"/>
          </w:tcPr>
          <w:p w14:paraId="451D44EB" w14:textId="77777777" w:rsidR="0010523F" w:rsidRPr="0010523F" w:rsidRDefault="0010523F" w:rsidP="0010523F">
            <w:pPr>
              <w:spacing w:line="100" w:lineRule="exact"/>
              <w:jc w:val="right"/>
              <w:rPr>
                <w:sz w:val="20"/>
                <w:szCs w:val="20"/>
                <w:lang w:val="es-AR" w:eastAsia="en-US"/>
              </w:rPr>
            </w:pPr>
          </w:p>
        </w:tc>
        <w:tc>
          <w:tcPr>
            <w:tcW w:w="1171" w:type="dxa"/>
          </w:tcPr>
          <w:p w14:paraId="0EE9D553" w14:textId="77777777" w:rsidR="0010523F" w:rsidRPr="0010523F" w:rsidRDefault="0010523F" w:rsidP="0010523F">
            <w:pPr>
              <w:spacing w:line="100" w:lineRule="exact"/>
              <w:jc w:val="right"/>
              <w:rPr>
                <w:sz w:val="20"/>
                <w:szCs w:val="20"/>
                <w:lang w:val="es-AR" w:eastAsia="en-US"/>
              </w:rPr>
            </w:pPr>
          </w:p>
        </w:tc>
        <w:tc>
          <w:tcPr>
            <w:tcW w:w="1985" w:type="dxa"/>
          </w:tcPr>
          <w:p w14:paraId="3BA97E7C" w14:textId="77777777" w:rsidR="0010523F" w:rsidRPr="0010523F" w:rsidRDefault="0010523F" w:rsidP="0010523F">
            <w:pPr>
              <w:spacing w:line="100" w:lineRule="exact"/>
              <w:ind w:right="176"/>
              <w:jc w:val="right"/>
              <w:rPr>
                <w:sz w:val="20"/>
                <w:szCs w:val="20"/>
                <w:lang w:val="es-AR" w:eastAsia="en-US"/>
              </w:rPr>
            </w:pPr>
          </w:p>
        </w:tc>
        <w:tc>
          <w:tcPr>
            <w:tcW w:w="1732" w:type="dxa"/>
            <w:vAlign w:val="bottom"/>
          </w:tcPr>
          <w:p w14:paraId="706630C3" w14:textId="77777777" w:rsidR="0010523F" w:rsidRPr="0010523F" w:rsidRDefault="0010523F" w:rsidP="0010523F">
            <w:pPr>
              <w:spacing w:line="100" w:lineRule="exact"/>
              <w:jc w:val="right"/>
              <w:rPr>
                <w:sz w:val="20"/>
                <w:szCs w:val="20"/>
                <w:lang w:val="es-AR" w:eastAsia="en-US"/>
              </w:rPr>
            </w:pPr>
          </w:p>
        </w:tc>
        <w:tc>
          <w:tcPr>
            <w:tcW w:w="1789" w:type="dxa"/>
            <w:vAlign w:val="bottom"/>
          </w:tcPr>
          <w:p w14:paraId="1B69A141" w14:textId="77777777" w:rsidR="0010523F" w:rsidRPr="0010523F" w:rsidRDefault="0010523F" w:rsidP="0010523F">
            <w:pPr>
              <w:spacing w:line="100" w:lineRule="exact"/>
              <w:jc w:val="right"/>
              <w:rPr>
                <w:sz w:val="20"/>
                <w:szCs w:val="20"/>
                <w:lang w:val="es-AR" w:eastAsia="en-US"/>
              </w:rPr>
            </w:pPr>
          </w:p>
        </w:tc>
        <w:tc>
          <w:tcPr>
            <w:tcW w:w="1778" w:type="dxa"/>
            <w:vAlign w:val="bottom"/>
          </w:tcPr>
          <w:p w14:paraId="3E5BEA31" w14:textId="77777777" w:rsidR="0010523F" w:rsidRPr="0010523F" w:rsidRDefault="0010523F" w:rsidP="0010523F">
            <w:pPr>
              <w:tabs>
                <w:tab w:val="decimal" w:pos="1352"/>
              </w:tabs>
              <w:spacing w:line="100" w:lineRule="exact"/>
              <w:jc w:val="right"/>
              <w:rPr>
                <w:sz w:val="20"/>
                <w:szCs w:val="20"/>
                <w:lang w:val="es-AR" w:eastAsia="en-US"/>
              </w:rPr>
            </w:pPr>
          </w:p>
        </w:tc>
      </w:tr>
      <w:tr w:rsidR="0010523F" w:rsidRPr="0010523F" w14:paraId="0B91B2F4" w14:textId="77777777" w:rsidTr="00774E7E">
        <w:tc>
          <w:tcPr>
            <w:tcW w:w="3652" w:type="dxa"/>
            <w:vAlign w:val="bottom"/>
          </w:tcPr>
          <w:p w14:paraId="5AA4F59E" w14:textId="77777777" w:rsidR="0010523F" w:rsidRPr="0010523F" w:rsidRDefault="0010523F" w:rsidP="0010523F">
            <w:pPr>
              <w:spacing w:line="200" w:lineRule="exact"/>
              <w:jc w:val="both"/>
              <w:rPr>
                <w:sz w:val="20"/>
                <w:szCs w:val="20"/>
                <w:lang w:val="es-AR" w:eastAsia="en-US"/>
              </w:rPr>
            </w:pPr>
            <w:r w:rsidRPr="0010523F">
              <w:rPr>
                <w:sz w:val="20"/>
                <w:szCs w:val="20"/>
                <w:lang w:val="es-AR" w:eastAsia="en-US"/>
              </w:rPr>
              <w:t>Otro resultado integral del período</w:t>
            </w:r>
          </w:p>
        </w:tc>
        <w:tc>
          <w:tcPr>
            <w:tcW w:w="1218" w:type="dxa"/>
            <w:vAlign w:val="bottom"/>
          </w:tcPr>
          <w:p w14:paraId="056F8F82" w14:textId="77777777" w:rsidR="0010523F" w:rsidRPr="0010523F" w:rsidRDefault="0010523F" w:rsidP="0010523F">
            <w:pPr>
              <w:tabs>
                <w:tab w:val="decimal" w:pos="872"/>
              </w:tabs>
              <w:spacing w:line="200" w:lineRule="exact"/>
              <w:jc w:val="right"/>
              <w:rPr>
                <w:sz w:val="20"/>
                <w:szCs w:val="20"/>
                <w:u w:val="single"/>
                <w:lang w:val="es-AR" w:eastAsia="en-US"/>
              </w:rPr>
            </w:pPr>
            <w:r w:rsidRPr="0010523F">
              <w:rPr>
                <w:sz w:val="20"/>
                <w:szCs w:val="20"/>
                <w:u w:val="single"/>
                <w:lang w:val="es-AR" w:eastAsia="en-US"/>
              </w:rPr>
              <w:t xml:space="preserve">     -</w:t>
            </w:r>
          </w:p>
        </w:tc>
        <w:tc>
          <w:tcPr>
            <w:tcW w:w="1438" w:type="dxa"/>
            <w:vAlign w:val="bottom"/>
          </w:tcPr>
          <w:p w14:paraId="23E1314A" w14:textId="77777777" w:rsidR="0010523F" w:rsidRPr="0010523F" w:rsidRDefault="0010523F" w:rsidP="0010523F">
            <w:pPr>
              <w:tabs>
                <w:tab w:val="decimal" w:pos="1081"/>
              </w:tabs>
              <w:spacing w:line="200" w:lineRule="exact"/>
              <w:jc w:val="right"/>
              <w:rPr>
                <w:sz w:val="20"/>
                <w:szCs w:val="20"/>
                <w:u w:val="single"/>
                <w:lang w:val="es-AR" w:eastAsia="en-US"/>
              </w:rPr>
            </w:pPr>
            <w:r w:rsidRPr="0010523F">
              <w:rPr>
                <w:sz w:val="20"/>
                <w:szCs w:val="20"/>
                <w:u w:val="single"/>
                <w:lang w:val="es-AR" w:eastAsia="en-US"/>
              </w:rPr>
              <w:t xml:space="preserve">     -</w:t>
            </w:r>
          </w:p>
        </w:tc>
        <w:tc>
          <w:tcPr>
            <w:tcW w:w="1171" w:type="dxa"/>
          </w:tcPr>
          <w:p w14:paraId="112CAD2A" w14:textId="77777777" w:rsidR="0010523F" w:rsidRPr="0010523F" w:rsidRDefault="0010523F" w:rsidP="0010523F">
            <w:pPr>
              <w:tabs>
                <w:tab w:val="decimal" w:pos="948"/>
              </w:tabs>
              <w:spacing w:line="200" w:lineRule="exact"/>
              <w:jc w:val="right"/>
              <w:rPr>
                <w:sz w:val="20"/>
                <w:szCs w:val="20"/>
                <w:u w:val="single"/>
                <w:lang w:val="es-AR" w:eastAsia="en-US"/>
              </w:rPr>
            </w:pPr>
            <w:r w:rsidRPr="0010523F">
              <w:rPr>
                <w:sz w:val="20"/>
                <w:szCs w:val="20"/>
                <w:u w:val="single"/>
                <w:lang w:val="es-AR" w:eastAsia="en-US"/>
              </w:rPr>
              <w:t xml:space="preserve">        -</w:t>
            </w:r>
          </w:p>
        </w:tc>
        <w:tc>
          <w:tcPr>
            <w:tcW w:w="1985" w:type="dxa"/>
          </w:tcPr>
          <w:p w14:paraId="79FBF075" w14:textId="77777777" w:rsidR="0010523F" w:rsidRPr="0010523F" w:rsidRDefault="0010523F" w:rsidP="0010523F">
            <w:pPr>
              <w:tabs>
                <w:tab w:val="decimal" w:pos="1226"/>
              </w:tabs>
              <w:spacing w:line="200" w:lineRule="exact"/>
              <w:ind w:right="176"/>
              <w:jc w:val="right"/>
              <w:rPr>
                <w:sz w:val="20"/>
                <w:szCs w:val="20"/>
                <w:u w:val="single"/>
                <w:lang w:val="es-AR" w:eastAsia="en-US"/>
              </w:rPr>
            </w:pPr>
            <w:r w:rsidRPr="0010523F">
              <w:rPr>
                <w:sz w:val="20"/>
                <w:szCs w:val="20"/>
                <w:u w:val="single"/>
                <w:lang w:val="es-AR" w:eastAsia="en-US"/>
              </w:rPr>
              <w:t xml:space="preserve">          -</w:t>
            </w:r>
          </w:p>
        </w:tc>
        <w:tc>
          <w:tcPr>
            <w:tcW w:w="1732" w:type="dxa"/>
            <w:vAlign w:val="bottom"/>
          </w:tcPr>
          <w:p w14:paraId="5144AE4A" w14:textId="77777777" w:rsidR="0010523F" w:rsidRPr="0010523F" w:rsidRDefault="0010523F" w:rsidP="0010523F">
            <w:pPr>
              <w:tabs>
                <w:tab w:val="decimal" w:pos="1226"/>
              </w:tabs>
              <w:spacing w:line="200" w:lineRule="exact"/>
              <w:jc w:val="right"/>
              <w:rPr>
                <w:sz w:val="20"/>
                <w:szCs w:val="20"/>
                <w:u w:val="single"/>
                <w:lang w:val="es-AR" w:eastAsia="en-US"/>
              </w:rPr>
            </w:pPr>
            <w:r w:rsidRPr="0010523F">
              <w:rPr>
                <w:sz w:val="20"/>
                <w:szCs w:val="20"/>
                <w:u w:val="single"/>
                <w:lang w:val="es-AR" w:eastAsia="en-US"/>
              </w:rPr>
              <w:t>135.999</w:t>
            </w:r>
          </w:p>
        </w:tc>
        <w:tc>
          <w:tcPr>
            <w:tcW w:w="1789" w:type="dxa"/>
            <w:vAlign w:val="bottom"/>
          </w:tcPr>
          <w:p w14:paraId="52DF3B67" w14:textId="77777777" w:rsidR="0010523F" w:rsidRPr="0010523F" w:rsidRDefault="0010523F" w:rsidP="0010523F">
            <w:pPr>
              <w:tabs>
                <w:tab w:val="decimal" w:pos="1320"/>
              </w:tabs>
              <w:spacing w:line="200" w:lineRule="exact"/>
              <w:jc w:val="right"/>
              <w:rPr>
                <w:sz w:val="20"/>
                <w:szCs w:val="20"/>
                <w:u w:val="single"/>
                <w:lang w:val="es-AR" w:eastAsia="en-US"/>
              </w:rPr>
            </w:pPr>
            <w:r w:rsidRPr="0010523F">
              <w:rPr>
                <w:sz w:val="20"/>
                <w:szCs w:val="20"/>
                <w:u w:val="single"/>
                <w:lang w:val="es-AR" w:eastAsia="en-US"/>
              </w:rPr>
              <w:t xml:space="preserve">          -</w:t>
            </w:r>
          </w:p>
        </w:tc>
        <w:tc>
          <w:tcPr>
            <w:tcW w:w="1778" w:type="dxa"/>
            <w:vAlign w:val="bottom"/>
          </w:tcPr>
          <w:p w14:paraId="58F6B52F" w14:textId="77777777" w:rsidR="0010523F" w:rsidRPr="0010523F" w:rsidRDefault="0010523F" w:rsidP="0010523F">
            <w:pPr>
              <w:tabs>
                <w:tab w:val="decimal" w:pos="1352"/>
              </w:tabs>
              <w:spacing w:line="200" w:lineRule="exact"/>
              <w:jc w:val="right"/>
              <w:rPr>
                <w:sz w:val="20"/>
                <w:szCs w:val="20"/>
                <w:u w:val="single"/>
                <w:lang w:val="es-AR" w:eastAsia="en-US"/>
              </w:rPr>
            </w:pPr>
            <w:r w:rsidRPr="0010523F">
              <w:rPr>
                <w:sz w:val="20"/>
                <w:szCs w:val="20"/>
                <w:u w:val="single"/>
                <w:lang w:val="es-AR" w:eastAsia="en-US"/>
              </w:rPr>
              <w:t>135.999</w:t>
            </w:r>
          </w:p>
        </w:tc>
      </w:tr>
      <w:tr w:rsidR="0010523F" w:rsidRPr="0010523F" w14:paraId="53C9E2AE" w14:textId="77777777" w:rsidTr="00774E7E">
        <w:tc>
          <w:tcPr>
            <w:tcW w:w="3652" w:type="dxa"/>
            <w:vAlign w:val="bottom"/>
          </w:tcPr>
          <w:p w14:paraId="6F8AFD2D" w14:textId="77777777" w:rsidR="0010523F" w:rsidRPr="0010523F" w:rsidRDefault="0010523F" w:rsidP="0010523F">
            <w:pPr>
              <w:spacing w:line="100" w:lineRule="exact"/>
              <w:jc w:val="center"/>
              <w:rPr>
                <w:sz w:val="20"/>
                <w:szCs w:val="20"/>
                <w:lang w:val="es-AR" w:eastAsia="en-US"/>
              </w:rPr>
            </w:pPr>
          </w:p>
        </w:tc>
        <w:tc>
          <w:tcPr>
            <w:tcW w:w="1218" w:type="dxa"/>
            <w:vAlign w:val="bottom"/>
          </w:tcPr>
          <w:p w14:paraId="421F8C93" w14:textId="77777777" w:rsidR="0010523F" w:rsidRPr="0010523F" w:rsidRDefault="0010523F" w:rsidP="0010523F">
            <w:pPr>
              <w:spacing w:line="100" w:lineRule="exact"/>
              <w:jc w:val="right"/>
              <w:rPr>
                <w:sz w:val="20"/>
                <w:szCs w:val="20"/>
                <w:lang w:val="es-AR" w:eastAsia="en-US"/>
              </w:rPr>
            </w:pPr>
          </w:p>
        </w:tc>
        <w:tc>
          <w:tcPr>
            <w:tcW w:w="1438" w:type="dxa"/>
            <w:vAlign w:val="bottom"/>
          </w:tcPr>
          <w:p w14:paraId="4F60CC87" w14:textId="77777777" w:rsidR="0010523F" w:rsidRPr="0010523F" w:rsidRDefault="0010523F" w:rsidP="0010523F">
            <w:pPr>
              <w:spacing w:line="100" w:lineRule="exact"/>
              <w:jc w:val="right"/>
              <w:rPr>
                <w:sz w:val="20"/>
                <w:szCs w:val="20"/>
                <w:lang w:val="es-AR" w:eastAsia="en-US"/>
              </w:rPr>
            </w:pPr>
          </w:p>
        </w:tc>
        <w:tc>
          <w:tcPr>
            <w:tcW w:w="1171" w:type="dxa"/>
          </w:tcPr>
          <w:p w14:paraId="4F932AD0" w14:textId="77777777" w:rsidR="0010523F" w:rsidRPr="0010523F" w:rsidRDefault="0010523F" w:rsidP="0010523F">
            <w:pPr>
              <w:spacing w:line="100" w:lineRule="exact"/>
              <w:jc w:val="right"/>
              <w:rPr>
                <w:sz w:val="20"/>
                <w:szCs w:val="20"/>
                <w:lang w:val="es-AR" w:eastAsia="en-US"/>
              </w:rPr>
            </w:pPr>
          </w:p>
        </w:tc>
        <w:tc>
          <w:tcPr>
            <w:tcW w:w="1985" w:type="dxa"/>
          </w:tcPr>
          <w:p w14:paraId="5BDE4A3F" w14:textId="77777777" w:rsidR="0010523F" w:rsidRPr="0010523F" w:rsidRDefault="0010523F" w:rsidP="0010523F">
            <w:pPr>
              <w:spacing w:line="100" w:lineRule="exact"/>
              <w:ind w:right="176"/>
              <w:jc w:val="right"/>
              <w:rPr>
                <w:sz w:val="20"/>
                <w:szCs w:val="20"/>
                <w:lang w:val="es-AR" w:eastAsia="en-US"/>
              </w:rPr>
            </w:pPr>
          </w:p>
        </w:tc>
        <w:tc>
          <w:tcPr>
            <w:tcW w:w="1732" w:type="dxa"/>
            <w:vAlign w:val="bottom"/>
          </w:tcPr>
          <w:p w14:paraId="79D3472C" w14:textId="77777777" w:rsidR="0010523F" w:rsidRPr="0010523F" w:rsidRDefault="0010523F" w:rsidP="0010523F">
            <w:pPr>
              <w:spacing w:line="100" w:lineRule="exact"/>
              <w:jc w:val="right"/>
              <w:rPr>
                <w:sz w:val="20"/>
                <w:szCs w:val="20"/>
                <w:lang w:val="es-AR" w:eastAsia="en-US"/>
              </w:rPr>
            </w:pPr>
          </w:p>
        </w:tc>
        <w:tc>
          <w:tcPr>
            <w:tcW w:w="1789" w:type="dxa"/>
            <w:vAlign w:val="bottom"/>
          </w:tcPr>
          <w:p w14:paraId="395E5F97" w14:textId="77777777" w:rsidR="0010523F" w:rsidRPr="0010523F" w:rsidRDefault="0010523F" w:rsidP="0010523F">
            <w:pPr>
              <w:spacing w:line="100" w:lineRule="exact"/>
              <w:jc w:val="right"/>
              <w:rPr>
                <w:sz w:val="20"/>
                <w:szCs w:val="20"/>
                <w:lang w:val="es-AR" w:eastAsia="en-US"/>
              </w:rPr>
            </w:pPr>
          </w:p>
        </w:tc>
        <w:tc>
          <w:tcPr>
            <w:tcW w:w="1778" w:type="dxa"/>
            <w:vAlign w:val="bottom"/>
          </w:tcPr>
          <w:p w14:paraId="74860064" w14:textId="77777777" w:rsidR="0010523F" w:rsidRPr="0010523F" w:rsidRDefault="0010523F" w:rsidP="0010523F">
            <w:pPr>
              <w:tabs>
                <w:tab w:val="decimal" w:pos="1352"/>
              </w:tabs>
              <w:spacing w:line="100" w:lineRule="exact"/>
              <w:jc w:val="right"/>
              <w:rPr>
                <w:sz w:val="20"/>
                <w:szCs w:val="20"/>
                <w:lang w:val="es-AR" w:eastAsia="en-US"/>
              </w:rPr>
            </w:pPr>
          </w:p>
        </w:tc>
      </w:tr>
      <w:tr w:rsidR="0010523F" w:rsidRPr="0010523F" w14:paraId="328EC51B" w14:textId="77777777" w:rsidTr="00774E7E">
        <w:tc>
          <w:tcPr>
            <w:tcW w:w="3652" w:type="dxa"/>
            <w:vAlign w:val="bottom"/>
          </w:tcPr>
          <w:p w14:paraId="030A0BD9" w14:textId="77777777" w:rsidR="0010523F" w:rsidRPr="0010523F" w:rsidRDefault="0010523F" w:rsidP="0010523F">
            <w:pPr>
              <w:jc w:val="both"/>
              <w:rPr>
                <w:sz w:val="20"/>
                <w:szCs w:val="20"/>
                <w:lang w:val="es-AR" w:eastAsia="en-US"/>
              </w:rPr>
            </w:pPr>
            <w:r w:rsidRPr="0010523F">
              <w:rPr>
                <w:sz w:val="20"/>
                <w:szCs w:val="20"/>
                <w:lang w:val="es-AR" w:eastAsia="en-US"/>
              </w:rPr>
              <w:t>Saldos al 30 de septiembre de 2019</w:t>
            </w:r>
          </w:p>
        </w:tc>
        <w:tc>
          <w:tcPr>
            <w:tcW w:w="1218" w:type="dxa"/>
            <w:vAlign w:val="bottom"/>
          </w:tcPr>
          <w:p w14:paraId="3375471E" w14:textId="77777777" w:rsidR="0010523F" w:rsidRPr="0010523F" w:rsidRDefault="0010523F" w:rsidP="0010523F">
            <w:pPr>
              <w:tabs>
                <w:tab w:val="decimal" w:pos="872"/>
              </w:tabs>
              <w:jc w:val="right"/>
              <w:rPr>
                <w:sz w:val="20"/>
                <w:szCs w:val="20"/>
                <w:u w:val="double"/>
                <w:lang w:val="es-AR" w:eastAsia="en-US"/>
              </w:rPr>
            </w:pPr>
            <w:r w:rsidRPr="0010523F">
              <w:rPr>
                <w:sz w:val="20"/>
                <w:szCs w:val="20"/>
                <w:u w:val="double"/>
                <w:lang w:val="es-AR" w:eastAsia="en-US"/>
              </w:rPr>
              <w:t>222</w:t>
            </w:r>
          </w:p>
        </w:tc>
        <w:tc>
          <w:tcPr>
            <w:tcW w:w="1438" w:type="dxa"/>
            <w:vAlign w:val="bottom"/>
          </w:tcPr>
          <w:p w14:paraId="35362816" w14:textId="77777777" w:rsidR="0010523F" w:rsidRPr="0010523F" w:rsidRDefault="0010523F" w:rsidP="0010523F">
            <w:pPr>
              <w:tabs>
                <w:tab w:val="decimal" w:pos="1081"/>
              </w:tabs>
              <w:jc w:val="right"/>
              <w:rPr>
                <w:sz w:val="20"/>
                <w:szCs w:val="20"/>
                <w:u w:val="double"/>
                <w:lang w:val="es-AR" w:eastAsia="en-US"/>
              </w:rPr>
            </w:pPr>
            <w:r w:rsidRPr="0010523F">
              <w:rPr>
                <w:sz w:val="20"/>
                <w:szCs w:val="20"/>
                <w:u w:val="double"/>
                <w:lang w:val="es-AR" w:eastAsia="en-US"/>
              </w:rPr>
              <w:t>239</w:t>
            </w:r>
          </w:p>
        </w:tc>
        <w:tc>
          <w:tcPr>
            <w:tcW w:w="1171" w:type="dxa"/>
          </w:tcPr>
          <w:p w14:paraId="79ACAAD5" w14:textId="77777777" w:rsidR="0010523F" w:rsidRPr="0010523F" w:rsidRDefault="0010523F" w:rsidP="0010523F">
            <w:pPr>
              <w:tabs>
                <w:tab w:val="decimal" w:pos="948"/>
              </w:tabs>
              <w:jc w:val="right"/>
              <w:rPr>
                <w:sz w:val="20"/>
                <w:szCs w:val="20"/>
                <w:u w:val="double"/>
                <w:lang w:val="es-AR" w:eastAsia="en-US"/>
              </w:rPr>
            </w:pPr>
            <w:r w:rsidRPr="0010523F">
              <w:rPr>
                <w:sz w:val="20"/>
                <w:szCs w:val="20"/>
                <w:u w:val="double"/>
                <w:lang w:val="es-AR" w:eastAsia="en-US"/>
              </w:rPr>
              <w:t>3.932</w:t>
            </w:r>
          </w:p>
        </w:tc>
        <w:tc>
          <w:tcPr>
            <w:tcW w:w="1985" w:type="dxa"/>
          </w:tcPr>
          <w:p w14:paraId="70229B39" w14:textId="77777777" w:rsidR="0010523F" w:rsidRPr="0010523F" w:rsidRDefault="0010523F" w:rsidP="0010523F">
            <w:pPr>
              <w:tabs>
                <w:tab w:val="decimal" w:pos="1226"/>
              </w:tabs>
              <w:ind w:right="176"/>
              <w:jc w:val="right"/>
              <w:rPr>
                <w:sz w:val="20"/>
                <w:szCs w:val="20"/>
                <w:u w:val="double"/>
                <w:lang w:val="es-AR" w:eastAsia="en-US"/>
              </w:rPr>
            </w:pPr>
            <w:r w:rsidRPr="0010523F">
              <w:rPr>
                <w:sz w:val="20"/>
                <w:szCs w:val="20"/>
                <w:u w:val="double"/>
                <w:lang w:val="es-AR" w:eastAsia="en-US"/>
              </w:rPr>
              <w:t>21.788</w:t>
            </w:r>
          </w:p>
        </w:tc>
        <w:tc>
          <w:tcPr>
            <w:tcW w:w="1732" w:type="dxa"/>
            <w:vAlign w:val="bottom"/>
          </w:tcPr>
          <w:p w14:paraId="7AA9BEA2" w14:textId="77777777" w:rsidR="0010523F" w:rsidRPr="0010523F" w:rsidRDefault="0010523F" w:rsidP="0010523F">
            <w:pPr>
              <w:tabs>
                <w:tab w:val="decimal" w:pos="1226"/>
              </w:tabs>
              <w:jc w:val="right"/>
              <w:rPr>
                <w:sz w:val="20"/>
                <w:szCs w:val="20"/>
                <w:u w:val="double"/>
                <w:lang w:val="es-AR" w:eastAsia="en-US"/>
              </w:rPr>
            </w:pPr>
            <w:r w:rsidRPr="0010523F">
              <w:rPr>
                <w:sz w:val="20"/>
                <w:szCs w:val="20"/>
                <w:u w:val="double"/>
                <w:lang w:val="es-AR" w:eastAsia="en-US"/>
              </w:rPr>
              <w:t>326.810</w:t>
            </w:r>
          </w:p>
        </w:tc>
        <w:tc>
          <w:tcPr>
            <w:tcW w:w="1789" w:type="dxa"/>
            <w:vAlign w:val="bottom"/>
          </w:tcPr>
          <w:p w14:paraId="5D034077" w14:textId="77777777" w:rsidR="0010523F" w:rsidRPr="0010523F" w:rsidRDefault="0010523F" w:rsidP="0010523F">
            <w:pPr>
              <w:tabs>
                <w:tab w:val="decimal" w:pos="1320"/>
              </w:tabs>
              <w:jc w:val="right"/>
              <w:rPr>
                <w:sz w:val="20"/>
                <w:szCs w:val="20"/>
                <w:u w:val="double"/>
                <w:lang w:val="es-AR" w:eastAsia="en-US"/>
              </w:rPr>
            </w:pPr>
            <w:r w:rsidRPr="0010523F">
              <w:rPr>
                <w:sz w:val="20"/>
                <w:szCs w:val="20"/>
                <w:u w:val="double"/>
                <w:lang w:val="es-AR" w:eastAsia="en-US"/>
              </w:rPr>
              <w:t>49.276</w:t>
            </w:r>
          </w:p>
        </w:tc>
        <w:tc>
          <w:tcPr>
            <w:tcW w:w="1778" w:type="dxa"/>
            <w:vAlign w:val="bottom"/>
          </w:tcPr>
          <w:p w14:paraId="60CCF98F" w14:textId="77777777" w:rsidR="0010523F" w:rsidRPr="0010523F" w:rsidRDefault="0010523F" w:rsidP="0010523F">
            <w:pPr>
              <w:tabs>
                <w:tab w:val="decimal" w:pos="1352"/>
              </w:tabs>
              <w:jc w:val="right"/>
              <w:rPr>
                <w:sz w:val="20"/>
                <w:szCs w:val="20"/>
                <w:u w:val="double"/>
                <w:lang w:val="es-AR" w:eastAsia="en-US"/>
              </w:rPr>
            </w:pPr>
            <w:r w:rsidRPr="0010523F">
              <w:rPr>
                <w:sz w:val="20"/>
                <w:szCs w:val="20"/>
                <w:u w:val="double"/>
                <w:lang w:val="es-AR" w:eastAsia="en-US"/>
              </w:rPr>
              <w:t>402.267</w:t>
            </w:r>
          </w:p>
        </w:tc>
      </w:tr>
      <w:tr w:rsidR="0010523F" w:rsidRPr="0010523F" w14:paraId="586429B7" w14:textId="77777777" w:rsidTr="00774E7E">
        <w:trPr>
          <w:trHeight w:val="80"/>
        </w:trPr>
        <w:tc>
          <w:tcPr>
            <w:tcW w:w="3652" w:type="dxa"/>
            <w:vAlign w:val="bottom"/>
          </w:tcPr>
          <w:p w14:paraId="2A2C74B3" w14:textId="77777777" w:rsidR="0010523F" w:rsidRPr="0010523F" w:rsidRDefault="0010523F" w:rsidP="0010523F">
            <w:pPr>
              <w:jc w:val="both"/>
              <w:rPr>
                <w:sz w:val="20"/>
                <w:szCs w:val="20"/>
                <w:highlight w:val="yellow"/>
                <w:lang w:val="es-AR" w:eastAsia="en-US"/>
              </w:rPr>
            </w:pPr>
          </w:p>
        </w:tc>
        <w:tc>
          <w:tcPr>
            <w:tcW w:w="1218" w:type="dxa"/>
            <w:vAlign w:val="bottom"/>
          </w:tcPr>
          <w:p w14:paraId="0685D358" w14:textId="77777777" w:rsidR="0010523F" w:rsidRPr="0010523F" w:rsidRDefault="0010523F" w:rsidP="0010523F">
            <w:pPr>
              <w:tabs>
                <w:tab w:val="decimal" w:pos="872"/>
              </w:tabs>
              <w:jc w:val="right"/>
              <w:rPr>
                <w:sz w:val="20"/>
                <w:szCs w:val="20"/>
                <w:highlight w:val="yellow"/>
                <w:u w:val="double"/>
                <w:lang w:val="es-AR" w:eastAsia="en-US"/>
              </w:rPr>
            </w:pPr>
          </w:p>
        </w:tc>
        <w:tc>
          <w:tcPr>
            <w:tcW w:w="1438" w:type="dxa"/>
            <w:vAlign w:val="bottom"/>
          </w:tcPr>
          <w:p w14:paraId="5709820D" w14:textId="77777777" w:rsidR="0010523F" w:rsidRPr="0010523F" w:rsidRDefault="0010523F" w:rsidP="0010523F">
            <w:pPr>
              <w:tabs>
                <w:tab w:val="decimal" w:pos="1081"/>
              </w:tabs>
              <w:jc w:val="right"/>
              <w:rPr>
                <w:sz w:val="20"/>
                <w:szCs w:val="20"/>
                <w:highlight w:val="yellow"/>
                <w:u w:val="double"/>
                <w:lang w:val="es-AR" w:eastAsia="en-US"/>
              </w:rPr>
            </w:pPr>
          </w:p>
        </w:tc>
        <w:tc>
          <w:tcPr>
            <w:tcW w:w="1171" w:type="dxa"/>
          </w:tcPr>
          <w:p w14:paraId="22CF1793" w14:textId="77777777" w:rsidR="0010523F" w:rsidRPr="0010523F" w:rsidRDefault="0010523F" w:rsidP="0010523F">
            <w:pPr>
              <w:tabs>
                <w:tab w:val="decimal" w:pos="948"/>
              </w:tabs>
              <w:jc w:val="right"/>
              <w:rPr>
                <w:sz w:val="20"/>
                <w:szCs w:val="20"/>
                <w:highlight w:val="yellow"/>
                <w:u w:val="double"/>
                <w:lang w:val="es-AR" w:eastAsia="en-US"/>
              </w:rPr>
            </w:pPr>
          </w:p>
        </w:tc>
        <w:tc>
          <w:tcPr>
            <w:tcW w:w="1985" w:type="dxa"/>
          </w:tcPr>
          <w:p w14:paraId="7DC816A0" w14:textId="77777777" w:rsidR="0010523F" w:rsidRPr="0010523F" w:rsidRDefault="0010523F" w:rsidP="0010523F">
            <w:pPr>
              <w:tabs>
                <w:tab w:val="decimal" w:pos="1226"/>
              </w:tabs>
              <w:ind w:right="176"/>
              <w:jc w:val="right"/>
              <w:rPr>
                <w:sz w:val="20"/>
                <w:szCs w:val="20"/>
                <w:highlight w:val="yellow"/>
                <w:u w:val="double"/>
                <w:lang w:val="es-AR" w:eastAsia="en-US"/>
              </w:rPr>
            </w:pPr>
          </w:p>
        </w:tc>
        <w:tc>
          <w:tcPr>
            <w:tcW w:w="1732" w:type="dxa"/>
            <w:vAlign w:val="bottom"/>
          </w:tcPr>
          <w:p w14:paraId="0018E91F" w14:textId="77777777" w:rsidR="0010523F" w:rsidRPr="0010523F" w:rsidRDefault="0010523F" w:rsidP="0010523F">
            <w:pPr>
              <w:tabs>
                <w:tab w:val="decimal" w:pos="1226"/>
              </w:tabs>
              <w:jc w:val="right"/>
              <w:rPr>
                <w:sz w:val="20"/>
                <w:szCs w:val="20"/>
                <w:highlight w:val="yellow"/>
                <w:u w:val="double"/>
                <w:lang w:val="es-AR" w:eastAsia="en-US"/>
              </w:rPr>
            </w:pPr>
          </w:p>
        </w:tc>
        <w:tc>
          <w:tcPr>
            <w:tcW w:w="1789" w:type="dxa"/>
            <w:vAlign w:val="bottom"/>
          </w:tcPr>
          <w:p w14:paraId="56B3FA71" w14:textId="77777777" w:rsidR="0010523F" w:rsidRPr="0010523F" w:rsidRDefault="0010523F" w:rsidP="0010523F">
            <w:pPr>
              <w:tabs>
                <w:tab w:val="decimal" w:pos="1320"/>
              </w:tabs>
              <w:jc w:val="right"/>
              <w:rPr>
                <w:sz w:val="20"/>
                <w:szCs w:val="20"/>
                <w:highlight w:val="yellow"/>
                <w:u w:val="double"/>
                <w:lang w:val="es-AR" w:eastAsia="en-US"/>
              </w:rPr>
            </w:pPr>
          </w:p>
        </w:tc>
        <w:tc>
          <w:tcPr>
            <w:tcW w:w="1778" w:type="dxa"/>
            <w:vAlign w:val="bottom"/>
          </w:tcPr>
          <w:p w14:paraId="519B9306" w14:textId="77777777" w:rsidR="0010523F" w:rsidRPr="0010523F" w:rsidRDefault="0010523F" w:rsidP="0010523F">
            <w:pPr>
              <w:tabs>
                <w:tab w:val="decimal" w:pos="1185"/>
              </w:tabs>
              <w:jc w:val="right"/>
              <w:rPr>
                <w:sz w:val="20"/>
                <w:szCs w:val="20"/>
                <w:highlight w:val="yellow"/>
                <w:u w:val="double"/>
                <w:lang w:val="es-AR" w:eastAsia="en-US"/>
              </w:rPr>
            </w:pPr>
          </w:p>
        </w:tc>
      </w:tr>
    </w:tbl>
    <w:p w14:paraId="15A137D6" w14:textId="77777777" w:rsidR="0010523F" w:rsidRPr="0010523F" w:rsidRDefault="0010523F" w:rsidP="0010523F">
      <w:pPr>
        <w:tabs>
          <w:tab w:val="right" w:pos="10440"/>
        </w:tabs>
        <w:spacing w:line="140" w:lineRule="exact"/>
        <w:jc w:val="both"/>
        <w:rPr>
          <w:sz w:val="20"/>
          <w:szCs w:val="20"/>
          <w:highlight w:val="yellow"/>
          <w:lang w:val="es-AR" w:eastAsia="en-US"/>
        </w:rPr>
      </w:pPr>
    </w:p>
    <w:tbl>
      <w:tblPr>
        <w:tblW w:w="14709" w:type="dxa"/>
        <w:tblLayout w:type="fixed"/>
        <w:tblLook w:val="04A0" w:firstRow="1" w:lastRow="0" w:firstColumn="1" w:lastColumn="0" w:noHBand="0" w:noVBand="1"/>
      </w:tblPr>
      <w:tblGrid>
        <w:gridCol w:w="3652"/>
        <w:gridCol w:w="1276"/>
        <w:gridCol w:w="1417"/>
        <w:gridCol w:w="1134"/>
        <w:gridCol w:w="1985"/>
        <w:gridCol w:w="1701"/>
        <w:gridCol w:w="1843"/>
        <w:gridCol w:w="1701"/>
      </w:tblGrid>
      <w:tr w:rsidR="0010523F" w:rsidRPr="0010523F" w14:paraId="4ECEDD49" w14:textId="77777777" w:rsidTr="00774E7E">
        <w:tc>
          <w:tcPr>
            <w:tcW w:w="3652" w:type="dxa"/>
            <w:vAlign w:val="bottom"/>
          </w:tcPr>
          <w:p w14:paraId="64E7C4DD" w14:textId="77777777" w:rsidR="0010523F" w:rsidRPr="0010523F" w:rsidRDefault="0010523F" w:rsidP="0010523F">
            <w:pPr>
              <w:spacing w:line="200" w:lineRule="exact"/>
              <w:jc w:val="center"/>
              <w:rPr>
                <w:sz w:val="20"/>
                <w:szCs w:val="20"/>
                <w:highlight w:val="yellow"/>
                <w:lang w:val="es-AR" w:eastAsia="en-US"/>
              </w:rPr>
            </w:pPr>
          </w:p>
        </w:tc>
        <w:tc>
          <w:tcPr>
            <w:tcW w:w="1276" w:type="dxa"/>
            <w:tcBorders>
              <w:bottom w:val="single" w:sz="4" w:space="0" w:color="auto"/>
            </w:tcBorders>
            <w:shd w:val="clear" w:color="auto" w:fill="auto"/>
            <w:vAlign w:val="bottom"/>
          </w:tcPr>
          <w:p w14:paraId="2A782E00"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xml:space="preserve">Capital </w:t>
            </w:r>
          </w:p>
          <w:p w14:paraId="5F897610"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asignado </w:t>
            </w:r>
          </w:p>
        </w:tc>
        <w:tc>
          <w:tcPr>
            <w:tcW w:w="1417" w:type="dxa"/>
            <w:tcBorders>
              <w:bottom w:val="single" w:sz="4" w:space="0" w:color="auto"/>
            </w:tcBorders>
            <w:shd w:val="clear" w:color="auto" w:fill="auto"/>
            <w:vAlign w:val="bottom"/>
          </w:tcPr>
          <w:p w14:paraId="37832944"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xml:space="preserve">Ajuste </w:t>
            </w:r>
            <w:r w:rsidRPr="0010523F">
              <w:rPr>
                <w:sz w:val="20"/>
                <w:szCs w:val="20"/>
                <w:lang w:val="es-AR" w:eastAsia="en-US"/>
              </w:rPr>
              <w:br/>
              <w:t>  de capital  </w:t>
            </w:r>
          </w:p>
        </w:tc>
        <w:tc>
          <w:tcPr>
            <w:tcW w:w="1134" w:type="dxa"/>
            <w:tcBorders>
              <w:bottom w:val="single" w:sz="4" w:space="0" w:color="auto"/>
            </w:tcBorders>
            <w:shd w:val="clear" w:color="auto" w:fill="auto"/>
            <w:vAlign w:val="bottom"/>
          </w:tcPr>
          <w:p w14:paraId="3DD2ED4B"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Reserva</w:t>
            </w:r>
          </w:p>
          <w:p w14:paraId="5FE63D0C"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especial (1)</w:t>
            </w:r>
          </w:p>
        </w:tc>
        <w:tc>
          <w:tcPr>
            <w:tcW w:w="1985" w:type="dxa"/>
            <w:tcBorders>
              <w:bottom w:val="single" w:sz="4" w:space="0" w:color="auto"/>
            </w:tcBorders>
          </w:tcPr>
          <w:p w14:paraId="1EC0D74B"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Reserva transferencia fondo de comercio (2)</w:t>
            </w:r>
          </w:p>
        </w:tc>
        <w:tc>
          <w:tcPr>
            <w:tcW w:w="1701" w:type="dxa"/>
            <w:tcBorders>
              <w:bottom w:val="single" w:sz="4" w:space="0" w:color="auto"/>
            </w:tcBorders>
            <w:shd w:val="clear" w:color="auto" w:fill="auto"/>
            <w:vAlign w:val="bottom"/>
          </w:tcPr>
          <w:p w14:paraId="67101B3B" w14:textId="77777777" w:rsidR="0010523F" w:rsidRPr="0010523F" w:rsidRDefault="0010523F" w:rsidP="0010523F">
            <w:pPr>
              <w:spacing w:line="200" w:lineRule="exact"/>
              <w:jc w:val="center"/>
              <w:rPr>
                <w:sz w:val="20"/>
                <w:szCs w:val="20"/>
                <w:lang w:val="es-AR" w:eastAsia="en-US"/>
              </w:rPr>
            </w:pPr>
          </w:p>
          <w:p w14:paraId="6FF18F1B"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xml:space="preserve">Otro resultado </w:t>
            </w:r>
            <w:r w:rsidRPr="0010523F">
              <w:rPr>
                <w:sz w:val="20"/>
                <w:szCs w:val="20"/>
                <w:lang w:val="es-AR" w:eastAsia="en-US"/>
              </w:rPr>
              <w:br/>
              <w:t>      integral (3)    </w:t>
            </w:r>
          </w:p>
        </w:tc>
        <w:tc>
          <w:tcPr>
            <w:tcW w:w="1843" w:type="dxa"/>
            <w:tcBorders>
              <w:bottom w:val="single" w:sz="4" w:space="0" w:color="auto"/>
            </w:tcBorders>
            <w:shd w:val="clear" w:color="auto" w:fill="auto"/>
            <w:vAlign w:val="bottom"/>
          </w:tcPr>
          <w:p w14:paraId="210BF57F"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xml:space="preserve">Resultados </w:t>
            </w:r>
          </w:p>
          <w:p w14:paraId="62D5D82F"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no asignados -</w:t>
            </w:r>
            <w:r w:rsidRPr="0010523F">
              <w:rPr>
                <w:sz w:val="20"/>
                <w:szCs w:val="20"/>
                <w:lang w:val="es-AR" w:eastAsia="en-US"/>
              </w:rPr>
              <w:br/>
              <w:t>  Casa Matriz  </w:t>
            </w:r>
          </w:p>
        </w:tc>
        <w:tc>
          <w:tcPr>
            <w:tcW w:w="1701" w:type="dxa"/>
            <w:tcBorders>
              <w:bottom w:val="single" w:sz="4" w:space="0" w:color="auto"/>
            </w:tcBorders>
            <w:shd w:val="clear" w:color="auto" w:fill="auto"/>
            <w:vAlign w:val="bottom"/>
          </w:tcPr>
          <w:p w14:paraId="40D3751E"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Total patrimonio</w:t>
            </w:r>
          </w:p>
          <w:p w14:paraId="0B40C4E9"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         2018         </w:t>
            </w:r>
          </w:p>
        </w:tc>
      </w:tr>
      <w:tr w:rsidR="0010523F" w:rsidRPr="0010523F" w14:paraId="18F01BF1" w14:textId="77777777" w:rsidTr="00774E7E">
        <w:tc>
          <w:tcPr>
            <w:tcW w:w="3652" w:type="dxa"/>
            <w:vAlign w:val="bottom"/>
          </w:tcPr>
          <w:p w14:paraId="710C0DA9" w14:textId="77777777" w:rsidR="0010523F" w:rsidRPr="0010523F" w:rsidRDefault="0010523F" w:rsidP="0010523F">
            <w:pPr>
              <w:spacing w:line="100" w:lineRule="exact"/>
              <w:jc w:val="center"/>
              <w:rPr>
                <w:sz w:val="20"/>
                <w:szCs w:val="20"/>
                <w:highlight w:val="yellow"/>
                <w:lang w:val="es-AR" w:eastAsia="en-US"/>
              </w:rPr>
            </w:pPr>
          </w:p>
        </w:tc>
        <w:tc>
          <w:tcPr>
            <w:tcW w:w="1276" w:type="dxa"/>
            <w:tcBorders>
              <w:top w:val="single" w:sz="4" w:space="0" w:color="auto"/>
            </w:tcBorders>
            <w:shd w:val="clear" w:color="auto" w:fill="auto"/>
            <w:vAlign w:val="bottom"/>
          </w:tcPr>
          <w:p w14:paraId="76750BEB" w14:textId="77777777" w:rsidR="0010523F" w:rsidRPr="0010523F" w:rsidRDefault="0010523F" w:rsidP="0010523F">
            <w:pPr>
              <w:spacing w:line="100" w:lineRule="exact"/>
              <w:jc w:val="center"/>
              <w:rPr>
                <w:sz w:val="20"/>
                <w:szCs w:val="20"/>
                <w:lang w:val="es-AR" w:eastAsia="en-US"/>
              </w:rPr>
            </w:pPr>
          </w:p>
        </w:tc>
        <w:tc>
          <w:tcPr>
            <w:tcW w:w="1417" w:type="dxa"/>
            <w:tcBorders>
              <w:top w:val="single" w:sz="4" w:space="0" w:color="auto"/>
            </w:tcBorders>
            <w:shd w:val="clear" w:color="auto" w:fill="auto"/>
            <w:vAlign w:val="bottom"/>
          </w:tcPr>
          <w:p w14:paraId="03573C92" w14:textId="77777777" w:rsidR="0010523F" w:rsidRPr="0010523F" w:rsidRDefault="0010523F" w:rsidP="0010523F">
            <w:pPr>
              <w:spacing w:line="100" w:lineRule="exact"/>
              <w:jc w:val="center"/>
              <w:rPr>
                <w:sz w:val="20"/>
                <w:szCs w:val="20"/>
                <w:lang w:val="es-AR" w:eastAsia="en-US"/>
              </w:rPr>
            </w:pPr>
          </w:p>
        </w:tc>
        <w:tc>
          <w:tcPr>
            <w:tcW w:w="1134" w:type="dxa"/>
            <w:tcBorders>
              <w:top w:val="single" w:sz="4" w:space="0" w:color="auto"/>
            </w:tcBorders>
            <w:shd w:val="clear" w:color="auto" w:fill="auto"/>
          </w:tcPr>
          <w:p w14:paraId="44BB6CCE" w14:textId="77777777" w:rsidR="0010523F" w:rsidRPr="0010523F" w:rsidRDefault="0010523F" w:rsidP="0010523F">
            <w:pPr>
              <w:spacing w:line="100" w:lineRule="exact"/>
              <w:jc w:val="center"/>
              <w:rPr>
                <w:sz w:val="20"/>
                <w:szCs w:val="20"/>
                <w:lang w:val="es-AR" w:eastAsia="en-US"/>
              </w:rPr>
            </w:pPr>
          </w:p>
        </w:tc>
        <w:tc>
          <w:tcPr>
            <w:tcW w:w="1985" w:type="dxa"/>
            <w:tcBorders>
              <w:top w:val="single" w:sz="4" w:space="0" w:color="auto"/>
            </w:tcBorders>
          </w:tcPr>
          <w:p w14:paraId="6549E46A" w14:textId="77777777" w:rsidR="0010523F" w:rsidRPr="0010523F" w:rsidRDefault="0010523F" w:rsidP="0010523F">
            <w:pPr>
              <w:spacing w:line="100" w:lineRule="exact"/>
              <w:jc w:val="center"/>
              <w:rPr>
                <w:sz w:val="20"/>
                <w:szCs w:val="20"/>
                <w:lang w:val="es-AR" w:eastAsia="en-US"/>
              </w:rPr>
            </w:pPr>
          </w:p>
        </w:tc>
        <w:tc>
          <w:tcPr>
            <w:tcW w:w="1701" w:type="dxa"/>
            <w:tcBorders>
              <w:top w:val="single" w:sz="4" w:space="0" w:color="auto"/>
            </w:tcBorders>
            <w:shd w:val="clear" w:color="auto" w:fill="auto"/>
            <w:vAlign w:val="bottom"/>
          </w:tcPr>
          <w:p w14:paraId="5ECC9E95" w14:textId="77777777" w:rsidR="0010523F" w:rsidRPr="0010523F" w:rsidRDefault="0010523F" w:rsidP="0010523F">
            <w:pPr>
              <w:spacing w:line="100" w:lineRule="exact"/>
              <w:jc w:val="center"/>
              <w:rPr>
                <w:sz w:val="20"/>
                <w:szCs w:val="20"/>
                <w:lang w:val="es-AR" w:eastAsia="en-US"/>
              </w:rPr>
            </w:pPr>
          </w:p>
        </w:tc>
        <w:tc>
          <w:tcPr>
            <w:tcW w:w="1843" w:type="dxa"/>
            <w:tcBorders>
              <w:top w:val="single" w:sz="4" w:space="0" w:color="auto"/>
            </w:tcBorders>
            <w:shd w:val="clear" w:color="auto" w:fill="auto"/>
            <w:vAlign w:val="bottom"/>
          </w:tcPr>
          <w:p w14:paraId="6AEC9F6E" w14:textId="77777777" w:rsidR="0010523F" w:rsidRPr="0010523F" w:rsidRDefault="0010523F" w:rsidP="0010523F">
            <w:pPr>
              <w:spacing w:line="100" w:lineRule="exact"/>
              <w:jc w:val="center"/>
              <w:rPr>
                <w:sz w:val="20"/>
                <w:szCs w:val="20"/>
                <w:lang w:val="es-AR" w:eastAsia="en-US"/>
              </w:rPr>
            </w:pPr>
          </w:p>
        </w:tc>
        <w:tc>
          <w:tcPr>
            <w:tcW w:w="1701" w:type="dxa"/>
            <w:tcBorders>
              <w:top w:val="single" w:sz="4" w:space="0" w:color="auto"/>
            </w:tcBorders>
            <w:shd w:val="clear" w:color="auto" w:fill="auto"/>
            <w:vAlign w:val="bottom"/>
          </w:tcPr>
          <w:p w14:paraId="12AD2EFB" w14:textId="77777777" w:rsidR="0010523F" w:rsidRPr="0010523F" w:rsidRDefault="0010523F" w:rsidP="0010523F">
            <w:pPr>
              <w:spacing w:line="100" w:lineRule="exact"/>
              <w:jc w:val="center"/>
              <w:rPr>
                <w:sz w:val="20"/>
                <w:szCs w:val="20"/>
                <w:lang w:val="es-AR" w:eastAsia="en-US"/>
              </w:rPr>
            </w:pPr>
          </w:p>
        </w:tc>
      </w:tr>
      <w:tr w:rsidR="0010523F" w:rsidRPr="0010523F" w14:paraId="04FECE83" w14:textId="77777777" w:rsidTr="00774E7E">
        <w:tc>
          <w:tcPr>
            <w:tcW w:w="3652" w:type="dxa"/>
            <w:vAlign w:val="bottom"/>
          </w:tcPr>
          <w:p w14:paraId="4E6CAE56" w14:textId="77777777" w:rsidR="0010523F" w:rsidRPr="0010523F" w:rsidRDefault="0010523F" w:rsidP="0010523F">
            <w:pPr>
              <w:ind w:right="-129"/>
              <w:jc w:val="both"/>
              <w:rPr>
                <w:sz w:val="20"/>
                <w:szCs w:val="20"/>
                <w:lang w:val="es-AR" w:eastAsia="en-US"/>
              </w:rPr>
            </w:pPr>
            <w:r w:rsidRPr="0010523F">
              <w:rPr>
                <w:sz w:val="20"/>
                <w:szCs w:val="20"/>
                <w:lang w:val="es-AR" w:eastAsia="en-US"/>
              </w:rPr>
              <w:t>Saldos al 1 de enero de 2018</w:t>
            </w:r>
          </w:p>
        </w:tc>
        <w:tc>
          <w:tcPr>
            <w:tcW w:w="1276" w:type="dxa"/>
            <w:shd w:val="clear" w:color="auto" w:fill="auto"/>
            <w:vAlign w:val="bottom"/>
          </w:tcPr>
          <w:p w14:paraId="3A690584" w14:textId="77777777" w:rsidR="0010523F" w:rsidRPr="0010523F" w:rsidRDefault="0010523F" w:rsidP="0010523F">
            <w:pPr>
              <w:tabs>
                <w:tab w:val="decimal" w:pos="872"/>
              </w:tabs>
              <w:jc w:val="right"/>
              <w:rPr>
                <w:sz w:val="20"/>
                <w:szCs w:val="20"/>
                <w:lang w:val="es-AR" w:eastAsia="en-US"/>
              </w:rPr>
            </w:pPr>
            <w:r w:rsidRPr="0010523F">
              <w:rPr>
                <w:sz w:val="20"/>
                <w:szCs w:val="20"/>
                <w:lang w:val="es-AR" w:eastAsia="en-US"/>
              </w:rPr>
              <w:t>222</w:t>
            </w:r>
          </w:p>
        </w:tc>
        <w:tc>
          <w:tcPr>
            <w:tcW w:w="1417" w:type="dxa"/>
            <w:shd w:val="clear" w:color="auto" w:fill="auto"/>
            <w:vAlign w:val="bottom"/>
          </w:tcPr>
          <w:p w14:paraId="6A055E7C" w14:textId="77777777" w:rsidR="0010523F" w:rsidRPr="0010523F" w:rsidRDefault="0010523F" w:rsidP="0010523F">
            <w:pPr>
              <w:tabs>
                <w:tab w:val="decimal" w:pos="1081"/>
              </w:tabs>
              <w:jc w:val="right"/>
              <w:rPr>
                <w:sz w:val="20"/>
                <w:szCs w:val="20"/>
                <w:lang w:val="es-AR" w:eastAsia="en-US"/>
              </w:rPr>
            </w:pPr>
            <w:r w:rsidRPr="0010523F">
              <w:rPr>
                <w:sz w:val="20"/>
                <w:szCs w:val="20"/>
                <w:lang w:val="es-AR" w:eastAsia="en-US"/>
              </w:rPr>
              <w:t>239</w:t>
            </w:r>
          </w:p>
        </w:tc>
        <w:tc>
          <w:tcPr>
            <w:tcW w:w="1134" w:type="dxa"/>
            <w:shd w:val="clear" w:color="auto" w:fill="auto"/>
          </w:tcPr>
          <w:p w14:paraId="6B06AA77" w14:textId="77777777" w:rsidR="0010523F" w:rsidRPr="0010523F" w:rsidRDefault="0010523F" w:rsidP="0010523F">
            <w:pPr>
              <w:tabs>
                <w:tab w:val="decimal" w:pos="948"/>
              </w:tabs>
              <w:jc w:val="right"/>
              <w:rPr>
                <w:sz w:val="20"/>
                <w:szCs w:val="20"/>
                <w:lang w:val="es-AR" w:eastAsia="en-US"/>
              </w:rPr>
            </w:pPr>
            <w:r w:rsidRPr="0010523F">
              <w:rPr>
                <w:sz w:val="20"/>
                <w:szCs w:val="20"/>
                <w:lang w:val="es-AR" w:eastAsia="en-US"/>
              </w:rPr>
              <w:t>3.932</w:t>
            </w:r>
          </w:p>
        </w:tc>
        <w:tc>
          <w:tcPr>
            <w:tcW w:w="1985" w:type="dxa"/>
          </w:tcPr>
          <w:p w14:paraId="79C674E3" w14:textId="77777777" w:rsidR="0010523F" w:rsidRPr="0010523F" w:rsidRDefault="0010523F" w:rsidP="0010523F">
            <w:pPr>
              <w:tabs>
                <w:tab w:val="decimal" w:pos="1226"/>
              </w:tabs>
              <w:jc w:val="right"/>
              <w:rPr>
                <w:sz w:val="20"/>
                <w:szCs w:val="20"/>
                <w:lang w:val="es-AR" w:eastAsia="en-US"/>
              </w:rPr>
            </w:pPr>
            <w:r w:rsidRPr="0010523F">
              <w:rPr>
                <w:sz w:val="20"/>
                <w:szCs w:val="20"/>
                <w:lang w:val="es-AR" w:eastAsia="en-US"/>
              </w:rPr>
              <w:t>-</w:t>
            </w:r>
          </w:p>
        </w:tc>
        <w:tc>
          <w:tcPr>
            <w:tcW w:w="1701" w:type="dxa"/>
            <w:shd w:val="clear" w:color="auto" w:fill="auto"/>
            <w:vAlign w:val="bottom"/>
          </w:tcPr>
          <w:p w14:paraId="4D7F2AC4" w14:textId="77777777" w:rsidR="0010523F" w:rsidRPr="0010523F" w:rsidRDefault="0010523F" w:rsidP="0010523F">
            <w:pPr>
              <w:tabs>
                <w:tab w:val="decimal" w:pos="1226"/>
              </w:tabs>
              <w:jc w:val="right"/>
              <w:rPr>
                <w:sz w:val="20"/>
                <w:szCs w:val="20"/>
                <w:lang w:val="es-AR" w:eastAsia="en-US"/>
              </w:rPr>
            </w:pPr>
            <w:r w:rsidRPr="0010523F">
              <w:rPr>
                <w:sz w:val="20"/>
                <w:szCs w:val="20"/>
                <w:lang w:val="es-AR" w:eastAsia="en-US"/>
              </w:rPr>
              <w:t>65.874</w:t>
            </w:r>
          </w:p>
        </w:tc>
        <w:tc>
          <w:tcPr>
            <w:tcW w:w="1843" w:type="dxa"/>
            <w:shd w:val="clear" w:color="auto" w:fill="auto"/>
            <w:vAlign w:val="bottom"/>
          </w:tcPr>
          <w:p w14:paraId="22987640" w14:textId="77777777" w:rsidR="0010523F" w:rsidRPr="0010523F" w:rsidRDefault="0010523F" w:rsidP="0010523F">
            <w:pPr>
              <w:tabs>
                <w:tab w:val="decimal" w:pos="1320"/>
              </w:tabs>
              <w:jc w:val="right"/>
              <w:rPr>
                <w:sz w:val="20"/>
                <w:szCs w:val="20"/>
                <w:lang w:val="es-AR" w:eastAsia="en-US"/>
              </w:rPr>
            </w:pPr>
            <w:r w:rsidRPr="0010523F">
              <w:rPr>
                <w:sz w:val="20"/>
                <w:szCs w:val="20"/>
                <w:lang w:val="es-AR" w:eastAsia="en-US"/>
              </w:rPr>
              <w:t>32.874</w:t>
            </w:r>
          </w:p>
        </w:tc>
        <w:tc>
          <w:tcPr>
            <w:tcW w:w="1701" w:type="dxa"/>
            <w:shd w:val="clear" w:color="auto" w:fill="auto"/>
            <w:vAlign w:val="bottom"/>
          </w:tcPr>
          <w:p w14:paraId="4DFD2EF2" w14:textId="77777777" w:rsidR="0010523F" w:rsidRPr="0010523F" w:rsidRDefault="0010523F" w:rsidP="0010523F">
            <w:pPr>
              <w:tabs>
                <w:tab w:val="decimal" w:pos="1298"/>
              </w:tabs>
              <w:spacing w:line="200" w:lineRule="exact"/>
              <w:jc w:val="right"/>
              <w:rPr>
                <w:sz w:val="20"/>
                <w:szCs w:val="20"/>
                <w:lang w:val="es-AR" w:eastAsia="en-US"/>
              </w:rPr>
            </w:pPr>
            <w:r w:rsidRPr="0010523F">
              <w:rPr>
                <w:sz w:val="20"/>
                <w:szCs w:val="20"/>
                <w:lang w:val="es-AR" w:eastAsia="en-US"/>
              </w:rPr>
              <w:t>103.141</w:t>
            </w:r>
          </w:p>
        </w:tc>
      </w:tr>
      <w:tr w:rsidR="0010523F" w:rsidRPr="0010523F" w14:paraId="1203EE74" w14:textId="77777777" w:rsidTr="00774E7E">
        <w:tc>
          <w:tcPr>
            <w:tcW w:w="3652" w:type="dxa"/>
            <w:vAlign w:val="bottom"/>
          </w:tcPr>
          <w:p w14:paraId="3E452DD7" w14:textId="77777777" w:rsidR="0010523F" w:rsidRPr="0010523F" w:rsidRDefault="0010523F" w:rsidP="0010523F">
            <w:pPr>
              <w:spacing w:line="100" w:lineRule="exact"/>
              <w:jc w:val="center"/>
              <w:rPr>
                <w:sz w:val="20"/>
                <w:szCs w:val="20"/>
                <w:lang w:val="es-AR" w:eastAsia="en-US"/>
              </w:rPr>
            </w:pPr>
          </w:p>
        </w:tc>
        <w:tc>
          <w:tcPr>
            <w:tcW w:w="1276" w:type="dxa"/>
            <w:vAlign w:val="bottom"/>
          </w:tcPr>
          <w:p w14:paraId="7EFC580F" w14:textId="77777777" w:rsidR="0010523F" w:rsidRPr="0010523F" w:rsidRDefault="0010523F" w:rsidP="0010523F">
            <w:pPr>
              <w:spacing w:line="100" w:lineRule="exact"/>
              <w:jc w:val="right"/>
              <w:rPr>
                <w:sz w:val="20"/>
                <w:szCs w:val="20"/>
                <w:highlight w:val="yellow"/>
                <w:lang w:val="es-AR" w:eastAsia="en-US"/>
              </w:rPr>
            </w:pPr>
          </w:p>
        </w:tc>
        <w:tc>
          <w:tcPr>
            <w:tcW w:w="1417" w:type="dxa"/>
            <w:vAlign w:val="bottom"/>
          </w:tcPr>
          <w:p w14:paraId="31CB382D" w14:textId="77777777" w:rsidR="0010523F" w:rsidRPr="0010523F" w:rsidRDefault="0010523F" w:rsidP="0010523F">
            <w:pPr>
              <w:spacing w:line="100" w:lineRule="exact"/>
              <w:jc w:val="right"/>
              <w:rPr>
                <w:sz w:val="20"/>
                <w:szCs w:val="20"/>
                <w:highlight w:val="yellow"/>
                <w:lang w:val="es-AR" w:eastAsia="en-US"/>
              </w:rPr>
            </w:pPr>
          </w:p>
        </w:tc>
        <w:tc>
          <w:tcPr>
            <w:tcW w:w="1134" w:type="dxa"/>
          </w:tcPr>
          <w:p w14:paraId="5C36F295" w14:textId="77777777" w:rsidR="0010523F" w:rsidRPr="0010523F" w:rsidRDefault="0010523F" w:rsidP="0010523F">
            <w:pPr>
              <w:spacing w:line="100" w:lineRule="exact"/>
              <w:jc w:val="right"/>
              <w:rPr>
                <w:sz w:val="20"/>
                <w:szCs w:val="20"/>
                <w:highlight w:val="yellow"/>
                <w:lang w:val="es-AR" w:eastAsia="en-US"/>
              </w:rPr>
            </w:pPr>
          </w:p>
        </w:tc>
        <w:tc>
          <w:tcPr>
            <w:tcW w:w="1985" w:type="dxa"/>
          </w:tcPr>
          <w:p w14:paraId="43052EF9" w14:textId="77777777" w:rsidR="0010523F" w:rsidRPr="0010523F" w:rsidRDefault="0010523F" w:rsidP="0010523F">
            <w:pPr>
              <w:spacing w:line="100" w:lineRule="exact"/>
              <w:jc w:val="right"/>
              <w:rPr>
                <w:sz w:val="20"/>
                <w:szCs w:val="20"/>
                <w:highlight w:val="yellow"/>
                <w:lang w:val="es-AR" w:eastAsia="en-US"/>
              </w:rPr>
            </w:pPr>
          </w:p>
        </w:tc>
        <w:tc>
          <w:tcPr>
            <w:tcW w:w="1701" w:type="dxa"/>
            <w:vAlign w:val="bottom"/>
          </w:tcPr>
          <w:p w14:paraId="38E7CF10" w14:textId="77777777" w:rsidR="0010523F" w:rsidRPr="0010523F" w:rsidRDefault="0010523F" w:rsidP="0010523F">
            <w:pPr>
              <w:spacing w:line="100" w:lineRule="exact"/>
              <w:jc w:val="right"/>
              <w:rPr>
                <w:sz w:val="20"/>
                <w:szCs w:val="20"/>
                <w:highlight w:val="yellow"/>
                <w:lang w:val="es-AR" w:eastAsia="en-US"/>
              </w:rPr>
            </w:pPr>
          </w:p>
        </w:tc>
        <w:tc>
          <w:tcPr>
            <w:tcW w:w="1843" w:type="dxa"/>
            <w:vAlign w:val="bottom"/>
          </w:tcPr>
          <w:p w14:paraId="2FFF7307" w14:textId="77777777" w:rsidR="0010523F" w:rsidRPr="0010523F" w:rsidRDefault="0010523F" w:rsidP="0010523F">
            <w:pPr>
              <w:spacing w:line="100" w:lineRule="exact"/>
              <w:jc w:val="right"/>
              <w:rPr>
                <w:sz w:val="20"/>
                <w:szCs w:val="20"/>
                <w:highlight w:val="yellow"/>
                <w:lang w:val="es-AR" w:eastAsia="en-US"/>
              </w:rPr>
            </w:pPr>
          </w:p>
        </w:tc>
        <w:tc>
          <w:tcPr>
            <w:tcW w:w="1701" w:type="dxa"/>
            <w:vAlign w:val="bottom"/>
          </w:tcPr>
          <w:p w14:paraId="75ECA1B1" w14:textId="77777777" w:rsidR="0010523F" w:rsidRPr="0010523F" w:rsidRDefault="0010523F" w:rsidP="0010523F">
            <w:pPr>
              <w:tabs>
                <w:tab w:val="decimal" w:pos="1298"/>
              </w:tabs>
              <w:spacing w:line="100" w:lineRule="exact"/>
              <w:jc w:val="right"/>
              <w:rPr>
                <w:sz w:val="20"/>
                <w:szCs w:val="20"/>
                <w:highlight w:val="yellow"/>
                <w:lang w:val="es-AR" w:eastAsia="en-US"/>
              </w:rPr>
            </w:pPr>
          </w:p>
        </w:tc>
      </w:tr>
      <w:tr w:rsidR="0010523F" w:rsidRPr="0010523F" w14:paraId="0C7751C7" w14:textId="77777777" w:rsidTr="00774E7E">
        <w:tc>
          <w:tcPr>
            <w:tcW w:w="3652" w:type="dxa"/>
            <w:vAlign w:val="bottom"/>
          </w:tcPr>
          <w:p w14:paraId="3BDF8207" w14:textId="77777777" w:rsidR="0010523F" w:rsidRPr="0010523F" w:rsidRDefault="0010523F" w:rsidP="0010523F">
            <w:pPr>
              <w:spacing w:line="200" w:lineRule="exact"/>
              <w:jc w:val="both"/>
              <w:rPr>
                <w:sz w:val="20"/>
                <w:szCs w:val="20"/>
                <w:lang w:val="es-AR" w:eastAsia="en-US"/>
              </w:rPr>
            </w:pPr>
            <w:r w:rsidRPr="0010523F">
              <w:rPr>
                <w:sz w:val="20"/>
                <w:szCs w:val="20"/>
                <w:lang w:val="es-AR" w:eastAsia="en-US"/>
              </w:rPr>
              <w:t xml:space="preserve">Ganancia neta del período </w:t>
            </w:r>
          </w:p>
        </w:tc>
        <w:tc>
          <w:tcPr>
            <w:tcW w:w="1276" w:type="dxa"/>
            <w:vAlign w:val="bottom"/>
          </w:tcPr>
          <w:p w14:paraId="088C0EA1" w14:textId="77777777" w:rsidR="0010523F" w:rsidRPr="0010523F" w:rsidRDefault="0010523F" w:rsidP="0010523F">
            <w:pPr>
              <w:tabs>
                <w:tab w:val="decimal" w:pos="872"/>
              </w:tabs>
              <w:spacing w:line="200" w:lineRule="exact"/>
              <w:jc w:val="right"/>
              <w:rPr>
                <w:sz w:val="20"/>
                <w:szCs w:val="20"/>
                <w:highlight w:val="yellow"/>
                <w:lang w:val="es-AR" w:eastAsia="en-US"/>
              </w:rPr>
            </w:pPr>
            <w:r w:rsidRPr="0010523F">
              <w:rPr>
                <w:sz w:val="20"/>
                <w:szCs w:val="20"/>
                <w:lang w:val="es-AR" w:eastAsia="en-US"/>
              </w:rPr>
              <w:t>-</w:t>
            </w:r>
          </w:p>
        </w:tc>
        <w:tc>
          <w:tcPr>
            <w:tcW w:w="1417" w:type="dxa"/>
            <w:vAlign w:val="bottom"/>
          </w:tcPr>
          <w:p w14:paraId="0019DFEE" w14:textId="77777777" w:rsidR="0010523F" w:rsidRPr="0010523F" w:rsidRDefault="0010523F" w:rsidP="0010523F">
            <w:pPr>
              <w:tabs>
                <w:tab w:val="decimal" w:pos="1081"/>
              </w:tabs>
              <w:spacing w:line="200" w:lineRule="exact"/>
              <w:jc w:val="right"/>
              <w:rPr>
                <w:sz w:val="20"/>
                <w:szCs w:val="20"/>
                <w:highlight w:val="yellow"/>
                <w:lang w:val="es-AR" w:eastAsia="en-US"/>
              </w:rPr>
            </w:pPr>
            <w:r w:rsidRPr="0010523F">
              <w:rPr>
                <w:sz w:val="20"/>
                <w:szCs w:val="20"/>
                <w:lang w:val="es-AR" w:eastAsia="en-US"/>
              </w:rPr>
              <w:t>-</w:t>
            </w:r>
          </w:p>
        </w:tc>
        <w:tc>
          <w:tcPr>
            <w:tcW w:w="1134" w:type="dxa"/>
          </w:tcPr>
          <w:p w14:paraId="7BB04BBB" w14:textId="77777777" w:rsidR="0010523F" w:rsidRPr="0010523F" w:rsidRDefault="0010523F" w:rsidP="0010523F">
            <w:pPr>
              <w:tabs>
                <w:tab w:val="decimal" w:pos="948"/>
              </w:tabs>
              <w:spacing w:line="200" w:lineRule="exact"/>
              <w:jc w:val="right"/>
              <w:rPr>
                <w:sz w:val="20"/>
                <w:szCs w:val="20"/>
                <w:highlight w:val="yellow"/>
                <w:lang w:val="es-AR" w:eastAsia="en-US"/>
              </w:rPr>
            </w:pPr>
            <w:r w:rsidRPr="0010523F">
              <w:rPr>
                <w:sz w:val="20"/>
                <w:szCs w:val="20"/>
                <w:lang w:val="es-AR" w:eastAsia="en-US"/>
              </w:rPr>
              <w:t>-</w:t>
            </w:r>
          </w:p>
        </w:tc>
        <w:tc>
          <w:tcPr>
            <w:tcW w:w="1985" w:type="dxa"/>
          </w:tcPr>
          <w:p w14:paraId="35562D76" w14:textId="77777777" w:rsidR="0010523F" w:rsidRPr="0010523F" w:rsidRDefault="0010523F" w:rsidP="0010523F">
            <w:pPr>
              <w:tabs>
                <w:tab w:val="decimal" w:pos="1226"/>
              </w:tabs>
              <w:spacing w:line="200" w:lineRule="exact"/>
              <w:jc w:val="right"/>
              <w:rPr>
                <w:sz w:val="20"/>
                <w:szCs w:val="20"/>
                <w:lang w:val="es-AR" w:eastAsia="en-US"/>
              </w:rPr>
            </w:pPr>
            <w:r w:rsidRPr="0010523F">
              <w:rPr>
                <w:sz w:val="20"/>
                <w:szCs w:val="20"/>
                <w:lang w:val="es-AR" w:eastAsia="en-US"/>
              </w:rPr>
              <w:t>-</w:t>
            </w:r>
          </w:p>
        </w:tc>
        <w:tc>
          <w:tcPr>
            <w:tcW w:w="1701" w:type="dxa"/>
            <w:vAlign w:val="bottom"/>
          </w:tcPr>
          <w:p w14:paraId="461AD7F7" w14:textId="77777777" w:rsidR="0010523F" w:rsidRPr="0010523F" w:rsidRDefault="0010523F" w:rsidP="0010523F">
            <w:pPr>
              <w:tabs>
                <w:tab w:val="decimal" w:pos="1226"/>
              </w:tabs>
              <w:spacing w:line="200" w:lineRule="exact"/>
              <w:jc w:val="right"/>
              <w:rPr>
                <w:sz w:val="20"/>
                <w:szCs w:val="20"/>
                <w:highlight w:val="yellow"/>
                <w:lang w:val="es-AR" w:eastAsia="en-US"/>
              </w:rPr>
            </w:pPr>
            <w:r w:rsidRPr="0010523F">
              <w:rPr>
                <w:sz w:val="20"/>
                <w:szCs w:val="20"/>
                <w:lang w:val="es-AR" w:eastAsia="en-US"/>
              </w:rPr>
              <w:t>-</w:t>
            </w:r>
          </w:p>
        </w:tc>
        <w:tc>
          <w:tcPr>
            <w:tcW w:w="1843" w:type="dxa"/>
            <w:vAlign w:val="bottom"/>
          </w:tcPr>
          <w:p w14:paraId="0EDBFF3E" w14:textId="77777777" w:rsidR="0010523F" w:rsidRPr="0010523F" w:rsidRDefault="0010523F" w:rsidP="0010523F">
            <w:pPr>
              <w:tabs>
                <w:tab w:val="decimal" w:pos="1320"/>
              </w:tabs>
              <w:spacing w:line="200" w:lineRule="exact"/>
              <w:jc w:val="right"/>
              <w:rPr>
                <w:sz w:val="20"/>
                <w:szCs w:val="20"/>
                <w:highlight w:val="yellow"/>
                <w:lang w:val="es-AR" w:eastAsia="en-US"/>
              </w:rPr>
            </w:pPr>
            <w:r w:rsidRPr="0010523F">
              <w:rPr>
                <w:sz w:val="20"/>
                <w:szCs w:val="20"/>
                <w:lang w:val="es-AR" w:eastAsia="en-US"/>
              </w:rPr>
              <w:t>7.715</w:t>
            </w:r>
          </w:p>
        </w:tc>
        <w:tc>
          <w:tcPr>
            <w:tcW w:w="1701" w:type="dxa"/>
            <w:vAlign w:val="bottom"/>
          </w:tcPr>
          <w:p w14:paraId="28DB9F34" w14:textId="77777777" w:rsidR="0010523F" w:rsidRPr="0010523F" w:rsidRDefault="0010523F" w:rsidP="0010523F">
            <w:pPr>
              <w:tabs>
                <w:tab w:val="decimal" w:pos="1298"/>
              </w:tabs>
              <w:spacing w:line="200" w:lineRule="exact"/>
              <w:jc w:val="right"/>
              <w:rPr>
                <w:sz w:val="20"/>
                <w:szCs w:val="20"/>
                <w:highlight w:val="yellow"/>
                <w:lang w:val="es-AR" w:eastAsia="en-US"/>
              </w:rPr>
            </w:pPr>
            <w:r w:rsidRPr="0010523F">
              <w:rPr>
                <w:sz w:val="20"/>
                <w:szCs w:val="20"/>
                <w:lang w:val="es-AR" w:eastAsia="en-US"/>
              </w:rPr>
              <w:t>7.715</w:t>
            </w:r>
          </w:p>
        </w:tc>
      </w:tr>
      <w:tr w:rsidR="0010523F" w:rsidRPr="0010523F" w14:paraId="03BDDB90" w14:textId="77777777" w:rsidTr="00774E7E">
        <w:tc>
          <w:tcPr>
            <w:tcW w:w="3652" w:type="dxa"/>
            <w:vAlign w:val="bottom"/>
          </w:tcPr>
          <w:p w14:paraId="5889087F" w14:textId="77777777" w:rsidR="0010523F" w:rsidRPr="0010523F" w:rsidRDefault="0010523F" w:rsidP="0010523F">
            <w:pPr>
              <w:spacing w:line="100" w:lineRule="exact"/>
              <w:jc w:val="center"/>
              <w:rPr>
                <w:sz w:val="20"/>
                <w:szCs w:val="20"/>
                <w:lang w:val="es-AR" w:eastAsia="en-US"/>
              </w:rPr>
            </w:pPr>
          </w:p>
        </w:tc>
        <w:tc>
          <w:tcPr>
            <w:tcW w:w="1276" w:type="dxa"/>
            <w:vAlign w:val="bottom"/>
          </w:tcPr>
          <w:p w14:paraId="1C17DBBC" w14:textId="77777777" w:rsidR="0010523F" w:rsidRPr="0010523F" w:rsidRDefault="0010523F" w:rsidP="0010523F">
            <w:pPr>
              <w:spacing w:line="100" w:lineRule="exact"/>
              <w:jc w:val="right"/>
              <w:rPr>
                <w:sz w:val="20"/>
                <w:szCs w:val="20"/>
                <w:highlight w:val="yellow"/>
                <w:lang w:val="es-AR" w:eastAsia="en-US"/>
              </w:rPr>
            </w:pPr>
          </w:p>
        </w:tc>
        <w:tc>
          <w:tcPr>
            <w:tcW w:w="1417" w:type="dxa"/>
            <w:vAlign w:val="bottom"/>
          </w:tcPr>
          <w:p w14:paraId="5A558ED7" w14:textId="77777777" w:rsidR="0010523F" w:rsidRPr="0010523F" w:rsidRDefault="0010523F" w:rsidP="0010523F">
            <w:pPr>
              <w:spacing w:line="100" w:lineRule="exact"/>
              <w:jc w:val="right"/>
              <w:rPr>
                <w:sz w:val="20"/>
                <w:szCs w:val="20"/>
                <w:highlight w:val="yellow"/>
                <w:lang w:val="es-AR" w:eastAsia="en-US"/>
              </w:rPr>
            </w:pPr>
          </w:p>
        </w:tc>
        <w:tc>
          <w:tcPr>
            <w:tcW w:w="1134" w:type="dxa"/>
          </w:tcPr>
          <w:p w14:paraId="1F55BC41" w14:textId="77777777" w:rsidR="0010523F" w:rsidRPr="0010523F" w:rsidRDefault="0010523F" w:rsidP="0010523F">
            <w:pPr>
              <w:spacing w:line="100" w:lineRule="exact"/>
              <w:jc w:val="right"/>
              <w:rPr>
                <w:sz w:val="20"/>
                <w:szCs w:val="20"/>
                <w:highlight w:val="yellow"/>
                <w:lang w:val="es-AR" w:eastAsia="en-US"/>
              </w:rPr>
            </w:pPr>
          </w:p>
        </w:tc>
        <w:tc>
          <w:tcPr>
            <w:tcW w:w="1985" w:type="dxa"/>
          </w:tcPr>
          <w:p w14:paraId="3723BD8A" w14:textId="77777777" w:rsidR="0010523F" w:rsidRPr="0010523F" w:rsidRDefault="0010523F" w:rsidP="0010523F">
            <w:pPr>
              <w:spacing w:line="100" w:lineRule="exact"/>
              <w:jc w:val="right"/>
              <w:rPr>
                <w:sz w:val="20"/>
                <w:szCs w:val="20"/>
                <w:highlight w:val="yellow"/>
                <w:lang w:val="es-AR" w:eastAsia="en-US"/>
              </w:rPr>
            </w:pPr>
          </w:p>
        </w:tc>
        <w:tc>
          <w:tcPr>
            <w:tcW w:w="1701" w:type="dxa"/>
            <w:vAlign w:val="bottom"/>
          </w:tcPr>
          <w:p w14:paraId="712B2C40" w14:textId="77777777" w:rsidR="0010523F" w:rsidRPr="0010523F" w:rsidRDefault="0010523F" w:rsidP="0010523F">
            <w:pPr>
              <w:spacing w:line="100" w:lineRule="exact"/>
              <w:jc w:val="right"/>
              <w:rPr>
                <w:sz w:val="20"/>
                <w:szCs w:val="20"/>
                <w:highlight w:val="yellow"/>
                <w:lang w:val="es-AR" w:eastAsia="en-US"/>
              </w:rPr>
            </w:pPr>
          </w:p>
        </w:tc>
        <w:tc>
          <w:tcPr>
            <w:tcW w:w="1843" w:type="dxa"/>
            <w:vAlign w:val="bottom"/>
          </w:tcPr>
          <w:p w14:paraId="204D7A47" w14:textId="77777777" w:rsidR="0010523F" w:rsidRPr="0010523F" w:rsidRDefault="0010523F" w:rsidP="0010523F">
            <w:pPr>
              <w:spacing w:line="100" w:lineRule="exact"/>
              <w:jc w:val="right"/>
              <w:rPr>
                <w:sz w:val="20"/>
                <w:szCs w:val="20"/>
                <w:highlight w:val="yellow"/>
                <w:lang w:val="es-AR" w:eastAsia="en-US"/>
              </w:rPr>
            </w:pPr>
          </w:p>
        </w:tc>
        <w:tc>
          <w:tcPr>
            <w:tcW w:w="1701" w:type="dxa"/>
            <w:vAlign w:val="bottom"/>
          </w:tcPr>
          <w:p w14:paraId="5758C657" w14:textId="77777777" w:rsidR="0010523F" w:rsidRPr="0010523F" w:rsidRDefault="0010523F" w:rsidP="0010523F">
            <w:pPr>
              <w:tabs>
                <w:tab w:val="decimal" w:pos="1298"/>
              </w:tabs>
              <w:spacing w:line="100" w:lineRule="exact"/>
              <w:jc w:val="right"/>
              <w:rPr>
                <w:sz w:val="20"/>
                <w:szCs w:val="20"/>
                <w:highlight w:val="yellow"/>
                <w:lang w:val="es-AR" w:eastAsia="en-US"/>
              </w:rPr>
            </w:pPr>
          </w:p>
        </w:tc>
      </w:tr>
      <w:tr w:rsidR="0010523F" w:rsidRPr="0010523F" w14:paraId="16781D86" w14:textId="77777777" w:rsidTr="00774E7E">
        <w:tc>
          <w:tcPr>
            <w:tcW w:w="3652" w:type="dxa"/>
            <w:vAlign w:val="bottom"/>
          </w:tcPr>
          <w:p w14:paraId="259CE2A1" w14:textId="77777777" w:rsidR="0010523F" w:rsidRPr="0010523F" w:rsidRDefault="0010523F" w:rsidP="0010523F">
            <w:pPr>
              <w:spacing w:line="200" w:lineRule="exact"/>
              <w:jc w:val="both"/>
              <w:rPr>
                <w:sz w:val="20"/>
                <w:szCs w:val="20"/>
                <w:lang w:val="es-AR" w:eastAsia="en-US"/>
              </w:rPr>
            </w:pPr>
            <w:r w:rsidRPr="0010523F">
              <w:rPr>
                <w:sz w:val="20"/>
                <w:szCs w:val="20"/>
                <w:lang w:val="es-AR" w:eastAsia="en-US"/>
              </w:rPr>
              <w:t>Otro resultado integral del período</w:t>
            </w:r>
          </w:p>
        </w:tc>
        <w:tc>
          <w:tcPr>
            <w:tcW w:w="1276" w:type="dxa"/>
            <w:vAlign w:val="bottom"/>
          </w:tcPr>
          <w:p w14:paraId="0EAF00A0" w14:textId="77777777" w:rsidR="0010523F" w:rsidRPr="0010523F" w:rsidRDefault="0010523F" w:rsidP="0010523F">
            <w:pPr>
              <w:tabs>
                <w:tab w:val="decimal" w:pos="872"/>
              </w:tabs>
              <w:spacing w:line="200" w:lineRule="exact"/>
              <w:jc w:val="right"/>
              <w:rPr>
                <w:sz w:val="20"/>
                <w:szCs w:val="20"/>
                <w:highlight w:val="yellow"/>
                <w:lang w:val="es-AR" w:eastAsia="en-US"/>
              </w:rPr>
            </w:pPr>
            <w:r w:rsidRPr="0010523F">
              <w:rPr>
                <w:sz w:val="20"/>
                <w:szCs w:val="20"/>
                <w:lang w:val="es-AR" w:eastAsia="en-US"/>
              </w:rPr>
              <w:t xml:space="preserve">     -</w:t>
            </w:r>
          </w:p>
        </w:tc>
        <w:tc>
          <w:tcPr>
            <w:tcW w:w="1417" w:type="dxa"/>
            <w:vAlign w:val="bottom"/>
          </w:tcPr>
          <w:p w14:paraId="6AB7AE33" w14:textId="77777777" w:rsidR="0010523F" w:rsidRPr="0010523F" w:rsidRDefault="0010523F" w:rsidP="0010523F">
            <w:pPr>
              <w:tabs>
                <w:tab w:val="decimal" w:pos="1081"/>
              </w:tabs>
              <w:spacing w:line="200" w:lineRule="exact"/>
              <w:jc w:val="right"/>
              <w:rPr>
                <w:sz w:val="20"/>
                <w:szCs w:val="20"/>
                <w:highlight w:val="yellow"/>
                <w:lang w:val="es-AR" w:eastAsia="en-US"/>
              </w:rPr>
            </w:pPr>
            <w:r w:rsidRPr="0010523F">
              <w:rPr>
                <w:sz w:val="20"/>
                <w:szCs w:val="20"/>
                <w:lang w:val="es-AR" w:eastAsia="en-US"/>
              </w:rPr>
              <w:t xml:space="preserve">     -</w:t>
            </w:r>
          </w:p>
        </w:tc>
        <w:tc>
          <w:tcPr>
            <w:tcW w:w="1134" w:type="dxa"/>
          </w:tcPr>
          <w:p w14:paraId="23A2BD96" w14:textId="77777777" w:rsidR="0010523F" w:rsidRPr="0010523F" w:rsidRDefault="0010523F" w:rsidP="0010523F">
            <w:pPr>
              <w:tabs>
                <w:tab w:val="decimal" w:pos="948"/>
              </w:tabs>
              <w:spacing w:line="200" w:lineRule="exact"/>
              <w:jc w:val="right"/>
              <w:rPr>
                <w:sz w:val="20"/>
                <w:szCs w:val="20"/>
                <w:highlight w:val="yellow"/>
                <w:lang w:val="es-AR" w:eastAsia="en-US"/>
              </w:rPr>
            </w:pPr>
            <w:r w:rsidRPr="0010523F">
              <w:rPr>
                <w:sz w:val="20"/>
                <w:szCs w:val="20"/>
                <w:lang w:val="es-AR" w:eastAsia="en-US"/>
              </w:rPr>
              <w:t xml:space="preserve">        -</w:t>
            </w:r>
          </w:p>
        </w:tc>
        <w:tc>
          <w:tcPr>
            <w:tcW w:w="1985" w:type="dxa"/>
          </w:tcPr>
          <w:p w14:paraId="354FDBEA" w14:textId="77777777" w:rsidR="0010523F" w:rsidRPr="0010523F" w:rsidRDefault="0010523F" w:rsidP="0010523F">
            <w:pPr>
              <w:tabs>
                <w:tab w:val="decimal" w:pos="1226"/>
              </w:tabs>
              <w:spacing w:line="200" w:lineRule="exact"/>
              <w:jc w:val="right"/>
              <w:rPr>
                <w:sz w:val="20"/>
                <w:szCs w:val="20"/>
                <w:lang w:val="es-AR" w:eastAsia="en-US"/>
              </w:rPr>
            </w:pPr>
            <w:r w:rsidRPr="0010523F">
              <w:rPr>
                <w:sz w:val="20"/>
                <w:szCs w:val="20"/>
                <w:lang w:val="es-AR" w:eastAsia="en-US"/>
              </w:rPr>
              <w:t>-</w:t>
            </w:r>
          </w:p>
        </w:tc>
        <w:tc>
          <w:tcPr>
            <w:tcW w:w="1701" w:type="dxa"/>
            <w:vAlign w:val="bottom"/>
          </w:tcPr>
          <w:p w14:paraId="53B4713B" w14:textId="77777777" w:rsidR="0010523F" w:rsidRPr="0010523F" w:rsidRDefault="0010523F" w:rsidP="0010523F">
            <w:pPr>
              <w:tabs>
                <w:tab w:val="decimal" w:pos="1226"/>
              </w:tabs>
              <w:spacing w:line="200" w:lineRule="exact"/>
              <w:jc w:val="right"/>
              <w:rPr>
                <w:sz w:val="20"/>
                <w:szCs w:val="20"/>
                <w:highlight w:val="yellow"/>
                <w:lang w:val="es-AR" w:eastAsia="en-US"/>
              </w:rPr>
            </w:pPr>
            <w:r w:rsidRPr="0010523F">
              <w:rPr>
                <w:sz w:val="20"/>
                <w:szCs w:val="20"/>
                <w:lang w:val="es-AR" w:eastAsia="en-US"/>
              </w:rPr>
              <w:t xml:space="preserve"> 149.378</w:t>
            </w:r>
          </w:p>
        </w:tc>
        <w:tc>
          <w:tcPr>
            <w:tcW w:w="1843" w:type="dxa"/>
            <w:vAlign w:val="bottom"/>
          </w:tcPr>
          <w:p w14:paraId="4C68BA60" w14:textId="77777777" w:rsidR="0010523F" w:rsidRPr="0010523F" w:rsidRDefault="0010523F" w:rsidP="0010523F">
            <w:pPr>
              <w:tabs>
                <w:tab w:val="decimal" w:pos="1320"/>
              </w:tabs>
              <w:spacing w:line="200" w:lineRule="exact"/>
              <w:jc w:val="right"/>
              <w:rPr>
                <w:sz w:val="20"/>
                <w:szCs w:val="20"/>
                <w:highlight w:val="yellow"/>
                <w:lang w:val="es-AR" w:eastAsia="en-US"/>
              </w:rPr>
            </w:pPr>
            <w:r w:rsidRPr="0010523F">
              <w:rPr>
                <w:sz w:val="20"/>
                <w:szCs w:val="20"/>
                <w:lang w:val="es-AR" w:eastAsia="en-US"/>
              </w:rPr>
              <w:t xml:space="preserve">          -</w:t>
            </w:r>
          </w:p>
        </w:tc>
        <w:tc>
          <w:tcPr>
            <w:tcW w:w="1701" w:type="dxa"/>
            <w:vAlign w:val="bottom"/>
          </w:tcPr>
          <w:p w14:paraId="68C2DBD3" w14:textId="77777777" w:rsidR="0010523F" w:rsidRPr="0010523F" w:rsidRDefault="0010523F" w:rsidP="0010523F">
            <w:pPr>
              <w:tabs>
                <w:tab w:val="decimal" w:pos="1298"/>
              </w:tabs>
              <w:spacing w:line="200" w:lineRule="exact"/>
              <w:jc w:val="right"/>
              <w:rPr>
                <w:sz w:val="20"/>
                <w:szCs w:val="20"/>
                <w:highlight w:val="yellow"/>
                <w:lang w:val="es-AR" w:eastAsia="en-US"/>
              </w:rPr>
            </w:pPr>
            <w:r w:rsidRPr="0010523F">
              <w:rPr>
                <w:sz w:val="20"/>
                <w:szCs w:val="20"/>
                <w:lang w:val="es-AR" w:eastAsia="en-US"/>
              </w:rPr>
              <w:t xml:space="preserve">    149.378</w:t>
            </w:r>
          </w:p>
        </w:tc>
      </w:tr>
      <w:tr w:rsidR="0010523F" w:rsidRPr="0010523F" w14:paraId="1F247857" w14:textId="77777777" w:rsidTr="00774E7E">
        <w:tc>
          <w:tcPr>
            <w:tcW w:w="3652" w:type="dxa"/>
            <w:vAlign w:val="bottom"/>
          </w:tcPr>
          <w:p w14:paraId="1911586D" w14:textId="77777777" w:rsidR="0010523F" w:rsidRPr="0010523F" w:rsidRDefault="0010523F" w:rsidP="0010523F">
            <w:pPr>
              <w:spacing w:line="100" w:lineRule="exact"/>
              <w:jc w:val="center"/>
              <w:rPr>
                <w:sz w:val="20"/>
                <w:szCs w:val="20"/>
                <w:lang w:val="es-AR" w:eastAsia="en-US"/>
              </w:rPr>
            </w:pPr>
          </w:p>
        </w:tc>
        <w:tc>
          <w:tcPr>
            <w:tcW w:w="1276" w:type="dxa"/>
            <w:vAlign w:val="bottom"/>
          </w:tcPr>
          <w:p w14:paraId="497A10A9" w14:textId="77777777" w:rsidR="0010523F" w:rsidRPr="0010523F" w:rsidRDefault="0010523F" w:rsidP="0010523F">
            <w:pPr>
              <w:spacing w:line="100" w:lineRule="exact"/>
              <w:jc w:val="right"/>
              <w:rPr>
                <w:sz w:val="20"/>
                <w:szCs w:val="20"/>
                <w:highlight w:val="yellow"/>
                <w:lang w:val="es-AR" w:eastAsia="en-US"/>
              </w:rPr>
            </w:pPr>
          </w:p>
        </w:tc>
        <w:tc>
          <w:tcPr>
            <w:tcW w:w="1417" w:type="dxa"/>
            <w:vAlign w:val="bottom"/>
          </w:tcPr>
          <w:p w14:paraId="6ADDECAC" w14:textId="77777777" w:rsidR="0010523F" w:rsidRPr="0010523F" w:rsidRDefault="0010523F" w:rsidP="0010523F">
            <w:pPr>
              <w:spacing w:line="100" w:lineRule="exact"/>
              <w:jc w:val="right"/>
              <w:rPr>
                <w:sz w:val="20"/>
                <w:szCs w:val="20"/>
                <w:highlight w:val="yellow"/>
                <w:lang w:val="es-AR" w:eastAsia="en-US"/>
              </w:rPr>
            </w:pPr>
          </w:p>
        </w:tc>
        <w:tc>
          <w:tcPr>
            <w:tcW w:w="1134" w:type="dxa"/>
          </w:tcPr>
          <w:p w14:paraId="5ECD750C" w14:textId="77777777" w:rsidR="0010523F" w:rsidRPr="0010523F" w:rsidRDefault="0010523F" w:rsidP="0010523F">
            <w:pPr>
              <w:spacing w:line="100" w:lineRule="exact"/>
              <w:jc w:val="right"/>
              <w:rPr>
                <w:sz w:val="20"/>
                <w:szCs w:val="20"/>
                <w:highlight w:val="yellow"/>
                <w:lang w:val="es-AR" w:eastAsia="en-US"/>
              </w:rPr>
            </w:pPr>
          </w:p>
        </w:tc>
        <w:tc>
          <w:tcPr>
            <w:tcW w:w="1985" w:type="dxa"/>
          </w:tcPr>
          <w:p w14:paraId="0B10433A" w14:textId="77777777" w:rsidR="0010523F" w:rsidRPr="0010523F" w:rsidRDefault="0010523F" w:rsidP="0010523F">
            <w:pPr>
              <w:spacing w:line="100" w:lineRule="exact"/>
              <w:jc w:val="right"/>
              <w:rPr>
                <w:sz w:val="20"/>
                <w:szCs w:val="20"/>
                <w:highlight w:val="yellow"/>
                <w:lang w:val="es-AR" w:eastAsia="en-US"/>
              </w:rPr>
            </w:pPr>
          </w:p>
        </w:tc>
        <w:tc>
          <w:tcPr>
            <w:tcW w:w="1701" w:type="dxa"/>
            <w:vAlign w:val="bottom"/>
          </w:tcPr>
          <w:p w14:paraId="09EFB0D6" w14:textId="77777777" w:rsidR="0010523F" w:rsidRPr="0010523F" w:rsidRDefault="0010523F" w:rsidP="0010523F">
            <w:pPr>
              <w:spacing w:line="100" w:lineRule="exact"/>
              <w:jc w:val="right"/>
              <w:rPr>
                <w:sz w:val="20"/>
                <w:szCs w:val="20"/>
                <w:highlight w:val="yellow"/>
                <w:lang w:val="es-AR" w:eastAsia="en-US"/>
              </w:rPr>
            </w:pPr>
          </w:p>
        </w:tc>
        <w:tc>
          <w:tcPr>
            <w:tcW w:w="1843" w:type="dxa"/>
            <w:vAlign w:val="bottom"/>
          </w:tcPr>
          <w:p w14:paraId="4B5FAE06" w14:textId="77777777" w:rsidR="0010523F" w:rsidRPr="0010523F" w:rsidRDefault="0010523F" w:rsidP="0010523F">
            <w:pPr>
              <w:spacing w:line="100" w:lineRule="exact"/>
              <w:jc w:val="right"/>
              <w:rPr>
                <w:sz w:val="20"/>
                <w:szCs w:val="20"/>
                <w:highlight w:val="yellow"/>
                <w:lang w:val="es-AR" w:eastAsia="en-US"/>
              </w:rPr>
            </w:pPr>
          </w:p>
        </w:tc>
        <w:tc>
          <w:tcPr>
            <w:tcW w:w="1701" w:type="dxa"/>
            <w:vAlign w:val="bottom"/>
          </w:tcPr>
          <w:p w14:paraId="30A4036F" w14:textId="77777777" w:rsidR="0010523F" w:rsidRPr="0010523F" w:rsidRDefault="0010523F" w:rsidP="0010523F">
            <w:pPr>
              <w:tabs>
                <w:tab w:val="decimal" w:pos="1298"/>
              </w:tabs>
              <w:spacing w:line="100" w:lineRule="exact"/>
              <w:jc w:val="right"/>
              <w:rPr>
                <w:sz w:val="20"/>
                <w:szCs w:val="20"/>
                <w:highlight w:val="yellow"/>
                <w:lang w:val="es-AR" w:eastAsia="en-US"/>
              </w:rPr>
            </w:pPr>
          </w:p>
        </w:tc>
      </w:tr>
      <w:tr w:rsidR="0010523F" w:rsidRPr="0010523F" w14:paraId="6F8F97E0" w14:textId="77777777" w:rsidTr="00774E7E">
        <w:trPr>
          <w:trHeight w:val="80"/>
        </w:trPr>
        <w:tc>
          <w:tcPr>
            <w:tcW w:w="3652" w:type="dxa"/>
            <w:vAlign w:val="bottom"/>
          </w:tcPr>
          <w:p w14:paraId="5529723A" w14:textId="77777777" w:rsidR="0010523F" w:rsidRPr="0010523F" w:rsidRDefault="0010523F" w:rsidP="0010523F">
            <w:pPr>
              <w:spacing w:line="200" w:lineRule="exact"/>
              <w:jc w:val="both"/>
              <w:rPr>
                <w:sz w:val="20"/>
                <w:szCs w:val="20"/>
                <w:lang w:val="es-AR" w:eastAsia="en-US"/>
              </w:rPr>
            </w:pPr>
            <w:r w:rsidRPr="0010523F">
              <w:rPr>
                <w:sz w:val="20"/>
                <w:szCs w:val="20"/>
                <w:lang w:val="es-AR" w:eastAsia="en-US"/>
              </w:rPr>
              <w:t>Transferencia fondo de comercio (2)</w:t>
            </w:r>
          </w:p>
        </w:tc>
        <w:tc>
          <w:tcPr>
            <w:tcW w:w="1276" w:type="dxa"/>
            <w:vAlign w:val="bottom"/>
          </w:tcPr>
          <w:p w14:paraId="321005FF" w14:textId="77777777" w:rsidR="0010523F" w:rsidRPr="0010523F" w:rsidRDefault="0010523F" w:rsidP="0010523F">
            <w:pPr>
              <w:tabs>
                <w:tab w:val="decimal" w:pos="872"/>
              </w:tabs>
              <w:spacing w:line="200" w:lineRule="exact"/>
              <w:jc w:val="right"/>
              <w:rPr>
                <w:sz w:val="20"/>
                <w:szCs w:val="20"/>
                <w:u w:val="single"/>
                <w:lang w:val="es-AR" w:eastAsia="en-US"/>
              </w:rPr>
            </w:pPr>
            <w:r w:rsidRPr="0010523F">
              <w:rPr>
                <w:sz w:val="20"/>
                <w:szCs w:val="20"/>
                <w:u w:val="single"/>
                <w:lang w:val="es-AR" w:eastAsia="en-US"/>
              </w:rPr>
              <w:t xml:space="preserve">     -</w:t>
            </w:r>
          </w:p>
        </w:tc>
        <w:tc>
          <w:tcPr>
            <w:tcW w:w="1417" w:type="dxa"/>
            <w:vAlign w:val="bottom"/>
          </w:tcPr>
          <w:p w14:paraId="2BC2C2D5" w14:textId="77777777" w:rsidR="0010523F" w:rsidRPr="0010523F" w:rsidRDefault="0010523F" w:rsidP="0010523F">
            <w:pPr>
              <w:tabs>
                <w:tab w:val="decimal" w:pos="1081"/>
              </w:tabs>
              <w:spacing w:line="200" w:lineRule="exact"/>
              <w:jc w:val="right"/>
              <w:rPr>
                <w:sz w:val="20"/>
                <w:szCs w:val="20"/>
                <w:u w:val="single"/>
                <w:lang w:val="es-AR" w:eastAsia="en-US"/>
              </w:rPr>
            </w:pPr>
            <w:r w:rsidRPr="0010523F">
              <w:rPr>
                <w:sz w:val="20"/>
                <w:szCs w:val="20"/>
                <w:u w:val="single"/>
                <w:lang w:val="es-AR" w:eastAsia="en-US"/>
              </w:rPr>
              <w:t xml:space="preserve">     -  </w:t>
            </w:r>
          </w:p>
        </w:tc>
        <w:tc>
          <w:tcPr>
            <w:tcW w:w="1134" w:type="dxa"/>
          </w:tcPr>
          <w:p w14:paraId="69B92BE2" w14:textId="77777777" w:rsidR="0010523F" w:rsidRPr="0010523F" w:rsidRDefault="0010523F" w:rsidP="0010523F">
            <w:pPr>
              <w:tabs>
                <w:tab w:val="decimal" w:pos="948"/>
              </w:tabs>
              <w:spacing w:line="200" w:lineRule="exact"/>
              <w:jc w:val="right"/>
              <w:rPr>
                <w:sz w:val="20"/>
                <w:szCs w:val="20"/>
                <w:u w:val="single"/>
                <w:lang w:val="es-AR" w:eastAsia="en-US"/>
              </w:rPr>
            </w:pPr>
            <w:r w:rsidRPr="0010523F">
              <w:rPr>
                <w:sz w:val="20"/>
                <w:szCs w:val="20"/>
                <w:u w:val="single"/>
                <w:lang w:val="es-AR" w:eastAsia="en-US"/>
              </w:rPr>
              <w:t xml:space="preserve">        - </w:t>
            </w:r>
          </w:p>
        </w:tc>
        <w:tc>
          <w:tcPr>
            <w:tcW w:w="1985" w:type="dxa"/>
          </w:tcPr>
          <w:p w14:paraId="7FD57A61" w14:textId="77777777" w:rsidR="0010523F" w:rsidRPr="0010523F" w:rsidRDefault="0010523F" w:rsidP="0010523F">
            <w:pPr>
              <w:tabs>
                <w:tab w:val="decimal" w:pos="1226"/>
              </w:tabs>
              <w:spacing w:line="200" w:lineRule="exact"/>
              <w:jc w:val="right"/>
              <w:rPr>
                <w:sz w:val="20"/>
                <w:szCs w:val="20"/>
                <w:u w:val="single"/>
                <w:lang w:val="es-AR" w:eastAsia="en-US"/>
              </w:rPr>
            </w:pPr>
            <w:r w:rsidRPr="0010523F">
              <w:rPr>
                <w:sz w:val="20"/>
                <w:szCs w:val="20"/>
                <w:u w:val="single"/>
                <w:lang w:val="es-AR" w:eastAsia="en-US"/>
              </w:rPr>
              <w:t>21.788</w:t>
            </w:r>
          </w:p>
        </w:tc>
        <w:tc>
          <w:tcPr>
            <w:tcW w:w="1701" w:type="dxa"/>
            <w:vAlign w:val="bottom"/>
          </w:tcPr>
          <w:p w14:paraId="3BC4D00D" w14:textId="77777777" w:rsidR="0010523F" w:rsidRPr="0010523F" w:rsidRDefault="0010523F" w:rsidP="0010523F">
            <w:pPr>
              <w:tabs>
                <w:tab w:val="decimal" w:pos="1226"/>
              </w:tabs>
              <w:spacing w:line="200" w:lineRule="exact"/>
              <w:jc w:val="right"/>
              <w:rPr>
                <w:sz w:val="20"/>
                <w:szCs w:val="20"/>
                <w:u w:val="single"/>
                <w:lang w:val="es-AR" w:eastAsia="en-US"/>
              </w:rPr>
            </w:pPr>
            <w:r w:rsidRPr="0010523F">
              <w:rPr>
                <w:sz w:val="20"/>
                <w:szCs w:val="20"/>
                <w:u w:val="single"/>
                <w:lang w:val="es-AR" w:eastAsia="en-US"/>
              </w:rPr>
              <w:t xml:space="preserve">            -</w:t>
            </w:r>
          </w:p>
        </w:tc>
        <w:tc>
          <w:tcPr>
            <w:tcW w:w="1843" w:type="dxa"/>
            <w:vAlign w:val="bottom"/>
          </w:tcPr>
          <w:p w14:paraId="086E6375" w14:textId="77777777" w:rsidR="0010523F" w:rsidRPr="0010523F" w:rsidRDefault="0010523F" w:rsidP="0010523F">
            <w:pPr>
              <w:tabs>
                <w:tab w:val="decimal" w:pos="1320"/>
              </w:tabs>
              <w:spacing w:line="200" w:lineRule="exact"/>
              <w:jc w:val="right"/>
              <w:rPr>
                <w:sz w:val="20"/>
                <w:szCs w:val="20"/>
                <w:u w:val="single"/>
                <w:lang w:val="es-AR" w:eastAsia="en-US"/>
              </w:rPr>
            </w:pPr>
            <w:r w:rsidRPr="0010523F">
              <w:rPr>
                <w:sz w:val="20"/>
                <w:szCs w:val="20"/>
                <w:u w:val="single"/>
                <w:lang w:val="es-AR" w:eastAsia="en-US"/>
              </w:rPr>
              <w:t xml:space="preserve">          -  </w:t>
            </w:r>
          </w:p>
        </w:tc>
        <w:tc>
          <w:tcPr>
            <w:tcW w:w="1701" w:type="dxa"/>
            <w:vAlign w:val="bottom"/>
          </w:tcPr>
          <w:p w14:paraId="0DEA4617" w14:textId="77777777" w:rsidR="0010523F" w:rsidRPr="0010523F" w:rsidRDefault="0010523F" w:rsidP="0010523F">
            <w:pPr>
              <w:tabs>
                <w:tab w:val="decimal" w:pos="1298"/>
              </w:tabs>
              <w:spacing w:line="200" w:lineRule="exact"/>
              <w:jc w:val="right"/>
              <w:rPr>
                <w:sz w:val="20"/>
                <w:szCs w:val="20"/>
                <w:u w:val="single"/>
                <w:lang w:val="es-AR" w:eastAsia="en-US"/>
              </w:rPr>
            </w:pPr>
            <w:r w:rsidRPr="0010523F">
              <w:rPr>
                <w:sz w:val="20"/>
                <w:szCs w:val="20"/>
                <w:u w:val="single"/>
                <w:lang w:val="es-AR" w:eastAsia="en-US"/>
              </w:rPr>
              <w:t xml:space="preserve">  21.788</w:t>
            </w:r>
          </w:p>
        </w:tc>
      </w:tr>
      <w:tr w:rsidR="0010523F" w:rsidRPr="0010523F" w14:paraId="1958DD82" w14:textId="77777777" w:rsidTr="00774E7E">
        <w:tc>
          <w:tcPr>
            <w:tcW w:w="3652" w:type="dxa"/>
            <w:vAlign w:val="bottom"/>
          </w:tcPr>
          <w:p w14:paraId="72C25D10" w14:textId="77777777" w:rsidR="0010523F" w:rsidRPr="0010523F" w:rsidRDefault="0010523F" w:rsidP="0010523F">
            <w:pPr>
              <w:spacing w:line="100" w:lineRule="exact"/>
              <w:jc w:val="center"/>
              <w:rPr>
                <w:sz w:val="20"/>
                <w:szCs w:val="20"/>
                <w:lang w:val="es-AR" w:eastAsia="en-US"/>
              </w:rPr>
            </w:pPr>
          </w:p>
        </w:tc>
        <w:tc>
          <w:tcPr>
            <w:tcW w:w="1276" w:type="dxa"/>
            <w:vAlign w:val="bottom"/>
          </w:tcPr>
          <w:p w14:paraId="25793636" w14:textId="77777777" w:rsidR="0010523F" w:rsidRPr="0010523F" w:rsidRDefault="0010523F" w:rsidP="0010523F">
            <w:pPr>
              <w:spacing w:line="100" w:lineRule="exact"/>
              <w:jc w:val="right"/>
              <w:rPr>
                <w:sz w:val="20"/>
                <w:szCs w:val="20"/>
                <w:highlight w:val="yellow"/>
                <w:lang w:val="es-AR" w:eastAsia="en-US"/>
              </w:rPr>
            </w:pPr>
          </w:p>
        </w:tc>
        <w:tc>
          <w:tcPr>
            <w:tcW w:w="1417" w:type="dxa"/>
            <w:vAlign w:val="bottom"/>
          </w:tcPr>
          <w:p w14:paraId="362171C9" w14:textId="77777777" w:rsidR="0010523F" w:rsidRPr="0010523F" w:rsidRDefault="0010523F" w:rsidP="0010523F">
            <w:pPr>
              <w:spacing w:line="100" w:lineRule="exact"/>
              <w:jc w:val="right"/>
              <w:rPr>
                <w:sz w:val="20"/>
                <w:szCs w:val="20"/>
                <w:highlight w:val="yellow"/>
                <w:lang w:val="es-AR" w:eastAsia="en-US"/>
              </w:rPr>
            </w:pPr>
          </w:p>
        </w:tc>
        <w:tc>
          <w:tcPr>
            <w:tcW w:w="1134" w:type="dxa"/>
          </w:tcPr>
          <w:p w14:paraId="3C170064" w14:textId="77777777" w:rsidR="0010523F" w:rsidRPr="0010523F" w:rsidRDefault="0010523F" w:rsidP="0010523F">
            <w:pPr>
              <w:spacing w:line="100" w:lineRule="exact"/>
              <w:jc w:val="right"/>
              <w:rPr>
                <w:sz w:val="20"/>
                <w:szCs w:val="20"/>
                <w:highlight w:val="yellow"/>
                <w:lang w:val="es-AR" w:eastAsia="en-US"/>
              </w:rPr>
            </w:pPr>
          </w:p>
        </w:tc>
        <w:tc>
          <w:tcPr>
            <w:tcW w:w="1985" w:type="dxa"/>
          </w:tcPr>
          <w:p w14:paraId="5976C409" w14:textId="77777777" w:rsidR="0010523F" w:rsidRPr="0010523F" w:rsidRDefault="0010523F" w:rsidP="0010523F">
            <w:pPr>
              <w:spacing w:line="100" w:lineRule="exact"/>
              <w:jc w:val="right"/>
              <w:rPr>
                <w:sz w:val="20"/>
                <w:szCs w:val="20"/>
                <w:highlight w:val="yellow"/>
                <w:lang w:val="es-AR" w:eastAsia="en-US"/>
              </w:rPr>
            </w:pPr>
          </w:p>
        </w:tc>
        <w:tc>
          <w:tcPr>
            <w:tcW w:w="1701" w:type="dxa"/>
            <w:vAlign w:val="bottom"/>
          </w:tcPr>
          <w:p w14:paraId="3C4B6097" w14:textId="77777777" w:rsidR="0010523F" w:rsidRPr="0010523F" w:rsidRDefault="0010523F" w:rsidP="0010523F">
            <w:pPr>
              <w:spacing w:line="100" w:lineRule="exact"/>
              <w:jc w:val="right"/>
              <w:rPr>
                <w:sz w:val="20"/>
                <w:szCs w:val="20"/>
                <w:highlight w:val="yellow"/>
                <w:lang w:val="es-AR" w:eastAsia="en-US"/>
              </w:rPr>
            </w:pPr>
          </w:p>
        </w:tc>
        <w:tc>
          <w:tcPr>
            <w:tcW w:w="1843" w:type="dxa"/>
            <w:vAlign w:val="bottom"/>
          </w:tcPr>
          <w:p w14:paraId="32C55A19" w14:textId="77777777" w:rsidR="0010523F" w:rsidRPr="0010523F" w:rsidRDefault="0010523F" w:rsidP="0010523F">
            <w:pPr>
              <w:spacing w:line="100" w:lineRule="exact"/>
              <w:jc w:val="right"/>
              <w:rPr>
                <w:sz w:val="20"/>
                <w:szCs w:val="20"/>
                <w:highlight w:val="yellow"/>
                <w:lang w:val="es-AR" w:eastAsia="en-US"/>
              </w:rPr>
            </w:pPr>
          </w:p>
        </w:tc>
        <w:tc>
          <w:tcPr>
            <w:tcW w:w="1701" w:type="dxa"/>
            <w:vAlign w:val="bottom"/>
          </w:tcPr>
          <w:p w14:paraId="581E315F" w14:textId="77777777" w:rsidR="0010523F" w:rsidRPr="0010523F" w:rsidRDefault="0010523F" w:rsidP="0010523F">
            <w:pPr>
              <w:tabs>
                <w:tab w:val="decimal" w:pos="1298"/>
              </w:tabs>
              <w:spacing w:line="100" w:lineRule="exact"/>
              <w:jc w:val="right"/>
              <w:rPr>
                <w:sz w:val="20"/>
                <w:szCs w:val="20"/>
                <w:highlight w:val="yellow"/>
                <w:lang w:val="es-AR" w:eastAsia="en-US"/>
              </w:rPr>
            </w:pPr>
          </w:p>
        </w:tc>
      </w:tr>
      <w:tr w:rsidR="0010523F" w:rsidRPr="0010523F" w14:paraId="15D06E41" w14:textId="77777777" w:rsidTr="00774E7E">
        <w:trPr>
          <w:trHeight w:val="80"/>
        </w:trPr>
        <w:tc>
          <w:tcPr>
            <w:tcW w:w="3652" w:type="dxa"/>
            <w:vAlign w:val="bottom"/>
          </w:tcPr>
          <w:p w14:paraId="01368F75" w14:textId="77777777" w:rsidR="0010523F" w:rsidRPr="0010523F" w:rsidRDefault="0010523F" w:rsidP="0010523F">
            <w:pPr>
              <w:jc w:val="both"/>
              <w:rPr>
                <w:sz w:val="20"/>
                <w:szCs w:val="20"/>
                <w:lang w:val="es-AR" w:eastAsia="en-US"/>
              </w:rPr>
            </w:pPr>
            <w:r w:rsidRPr="0010523F">
              <w:rPr>
                <w:sz w:val="20"/>
                <w:szCs w:val="20"/>
                <w:lang w:val="es-AR" w:eastAsia="en-US"/>
              </w:rPr>
              <w:t>Saldos al 30 de septiembre de 2018</w:t>
            </w:r>
          </w:p>
        </w:tc>
        <w:tc>
          <w:tcPr>
            <w:tcW w:w="1276" w:type="dxa"/>
            <w:vAlign w:val="bottom"/>
          </w:tcPr>
          <w:p w14:paraId="252A3D11" w14:textId="77777777" w:rsidR="0010523F" w:rsidRPr="0010523F" w:rsidRDefault="0010523F" w:rsidP="0010523F">
            <w:pPr>
              <w:tabs>
                <w:tab w:val="decimal" w:pos="872"/>
              </w:tabs>
              <w:jc w:val="right"/>
              <w:rPr>
                <w:sz w:val="20"/>
                <w:szCs w:val="20"/>
                <w:highlight w:val="yellow"/>
                <w:u w:val="double"/>
                <w:lang w:val="es-AR" w:eastAsia="en-US"/>
              </w:rPr>
            </w:pPr>
            <w:r w:rsidRPr="0010523F">
              <w:rPr>
                <w:sz w:val="20"/>
                <w:szCs w:val="20"/>
                <w:u w:val="double"/>
                <w:lang w:val="es-AR" w:eastAsia="en-US"/>
              </w:rPr>
              <w:t>222</w:t>
            </w:r>
          </w:p>
        </w:tc>
        <w:tc>
          <w:tcPr>
            <w:tcW w:w="1417" w:type="dxa"/>
            <w:vAlign w:val="bottom"/>
          </w:tcPr>
          <w:p w14:paraId="60758C8B" w14:textId="77777777" w:rsidR="0010523F" w:rsidRPr="0010523F" w:rsidRDefault="0010523F" w:rsidP="0010523F">
            <w:pPr>
              <w:tabs>
                <w:tab w:val="decimal" w:pos="1081"/>
              </w:tabs>
              <w:jc w:val="right"/>
              <w:rPr>
                <w:sz w:val="20"/>
                <w:szCs w:val="20"/>
                <w:highlight w:val="yellow"/>
                <w:u w:val="double"/>
                <w:lang w:val="es-AR" w:eastAsia="en-US"/>
              </w:rPr>
            </w:pPr>
            <w:r w:rsidRPr="0010523F">
              <w:rPr>
                <w:sz w:val="20"/>
                <w:szCs w:val="20"/>
                <w:u w:val="double"/>
                <w:lang w:val="es-AR" w:eastAsia="en-US"/>
              </w:rPr>
              <w:t>239</w:t>
            </w:r>
          </w:p>
        </w:tc>
        <w:tc>
          <w:tcPr>
            <w:tcW w:w="1134" w:type="dxa"/>
          </w:tcPr>
          <w:p w14:paraId="189D8DE6" w14:textId="77777777" w:rsidR="0010523F" w:rsidRPr="0010523F" w:rsidRDefault="0010523F" w:rsidP="0010523F">
            <w:pPr>
              <w:tabs>
                <w:tab w:val="decimal" w:pos="948"/>
              </w:tabs>
              <w:jc w:val="right"/>
              <w:rPr>
                <w:sz w:val="20"/>
                <w:szCs w:val="20"/>
                <w:highlight w:val="yellow"/>
                <w:u w:val="double"/>
                <w:lang w:val="es-AR" w:eastAsia="en-US"/>
              </w:rPr>
            </w:pPr>
            <w:r w:rsidRPr="0010523F">
              <w:rPr>
                <w:sz w:val="20"/>
                <w:szCs w:val="20"/>
                <w:u w:val="double"/>
                <w:lang w:val="es-AR" w:eastAsia="en-US"/>
              </w:rPr>
              <w:t>3.932</w:t>
            </w:r>
          </w:p>
        </w:tc>
        <w:tc>
          <w:tcPr>
            <w:tcW w:w="1985" w:type="dxa"/>
          </w:tcPr>
          <w:p w14:paraId="6F5960CE" w14:textId="77777777" w:rsidR="0010523F" w:rsidRPr="0010523F" w:rsidRDefault="0010523F" w:rsidP="0010523F">
            <w:pPr>
              <w:tabs>
                <w:tab w:val="decimal" w:pos="1226"/>
              </w:tabs>
              <w:jc w:val="right"/>
              <w:rPr>
                <w:sz w:val="20"/>
                <w:szCs w:val="20"/>
                <w:u w:val="double"/>
                <w:lang w:val="es-AR" w:eastAsia="en-US"/>
              </w:rPr>
            </w:pPr>
            <w:r w:rsidRPr="0010523F">
              <w:rPr>
                <w:sz w:val="20"/>
                <w:szCs w:val="20"/>
                <w:u w:val="double"/>
                <w:lang w:val="es-AR" w:eastAsia="en-US"/>
              </w:rPr>
              <w:t>21.788</w:t>
            </w:r>
          </w:p>
        </w:tc>
        <w:tc>
          <w:tcPr>
            <w:tcW w:w="1701" w:type="dxa"/>
            <w:vAlign w:val="bottom"/>
          </w:tcPr>
          <w:p w14:paraId="52E3BE23" w14:textId="77777777" w:rsidR="0010523F" w:rsidRPr="0010523F" w:rsidRDefault="0010523F" w:rsidP="0010523F">
            <w:pPr>
              <w:tabs>
                <w:tab w:val="decimal" w:pos="1226"/>
              </w:tabs>
              <w:jc w:val="right"/>
              <w:rPr>
                <w:sz w:val="20"/>
                <w:szCs w:val="20"/>
                <w:highlight w:val="yellow"/>
                <w:u w:val="double"/>
                <w:lang w:val="es-AR" w:eastAsia="en-US"/>
              </w:rPr>
            </w:pPr>
            <w:r w:rsidRPr="0010523F">
              <w:rPr>
                <w:sz w:val="20"/>
                <w:szCs w:val="20"/>
                <w:u w:val="double"/>
                <w:lang w:val="es-AR" w:eastAsia="en-US"/>
              </w:rPr>
              <w:t>215.252</w:t>
            </w:r>
          </w:p>
        </w:tc>
        <w:tc>
          <w:tcPr>
            <w:tcW w:w="1843" w:type="dxa"/>
            <w:vAlign w:val="bottom"/>
          </w:tcPr>
          <w:p w14:paraId="060235EF" w14:textId="77777777" w:rsidR="0010523F" w:rsidRPr="0010523F" w:rsidRDefault="0010523F" w:rsidP="0010523F">
            <w:pPr>
              <w:tabs>
                <w:tab w:val="decimal" w:pos="1320"/>
              </w:tabs>
              <w:jc w:val="right"/>
              <w:rPr>
                <w:sz w:val="20"/>
                <w:szCs w:val="20"/>
                <w:highlight w:val="yellow"/>
                <w:u w:val="double"/>
                <w:lang w:val="es-AR" w:eastAsia="en-US"/>
              </w:rPr>
            </w:pPr>
            <w:r w:rsidRPr="0010523F">
              <w:rPr>
                <w:sz w:val="20"/>
                <w:szCs w:val="20"/>
                <w:u w:val="double"/>
                <w:lang w:val="es-AR" w:eastAsia="en-US"/>
              </w:rPr>
              <w:t>40.589</w:t>
            </w:r>
          </w:p>
        </w:tc>
        <w:tc>
          <w:tcPr>
            <w:tcW w:w="1701" w:type="dxa"/>
            <w:vAlign w:val="bottom"/>
          </w:tcPr>
          <w:p w14:paraId="1DDBD6E9" w14:textId="77777777" w:rsidR="0010523F" w:rsidRPr="0010523F" w:rsidRDefault="0010523F" w:rsidP="0010523F">
            <w:pPr>
              <w:tabs>
                <w:tab w:val="decimal" w:pos="1298"/>
              </w:tabs>
              <w:jc w:val="right"/>
              <w:rPr>
                <w:sz w:val="20"/>
                <w:szCs w:val="20"/>
                <w:u w:val="double"/>
                <w:lang w:val="es-AR" w:eastAsia="en-US"/>
              </w:rPr>
            </w:pPr>
            <w:r w:rsidRPr="0010523F">
              <w:rPr>
                <w:sz w:val="20"/>
                <w:szCs w:val="20"/>
                <w:u w:val="double"/>
                <w:lang w:val="es-AR" w:eastAsia="en-US"/>
              </w:rPr>
              <w:t>282.022</w:t>
            </w:r>
          </w:p>
        </w:tc>
      </w:tr>
    </w:tbl>
    <w:p w14:paraId="782283A2" w14:textId="77777777" w:rsidR="0010523F" w:rsidRPr="0010523F" w:rsidRDefault="0010523F" w:rsidP="0010523F">
      <w:pPr>
        <w:tabs>
          <w:tab w:val="right" w:pos="10440"/>
        </w:tabs>
        <w:spacing w:after="80" w:line="180" w:lineRule="exact"/>
        <w:ind w:left="426"/>
        <w:jc w:val="both"/>
        <w:rPr>
          <w:sz w:val="18"/>
          <w:szCs w:val="18"/>
          <w:lang w:val="es-AR" w:eastAsia="en-US"/>
        </w:rPr>
      </w:pPr>
    </w:p>
    <w:p w14:paraId="5F20DDC1" w14:textId="77777777" w:rsidR="0010523F" w:rsidRPr="0010523F" w:rsidRDefault="0010523F" w:rsidP="00E2318E">
      <w:pPr>
        <w:numPr>
          <w:ilvl w:val="0"/>
          <w:numId w:val="66"/>
        </w:numPr>
        <w:tabs>
          <w:tab w:val="right" w:pos="10440"/>
        </w:tabs>
        <w:spacing w:after="80" w:line="180" w:lineRule="exact"/>
        <w:ind w:left="426" w:hanging="426"/>
        <w:jc w:val="both"/>
        <w:rPr>
          <w:sz w:val="18"/>
          <w:szCs w:val="18"/>
          <w:lang w:val="es-AR" w:eastAsia="en-US"/>
        </w:rPr>
      </w:pPr>
      <w:r w:rsidRPr="0010523F">
        <w:rPr>
          <w:sz w:val="18"/>
          <w:szCs w:val="18"/>
          <w:lang w:val="es-AR" w:eastAsia="en-US"/>
        </w:rPr>
        <w:t>Según lo dispuesto por la Resolución General N° 609/2012 de la CNV, esta reserva no podrá desafectarse para efectuar distribuciones en efectivo o en especie entre los accionistas o propietarios de la entidad y sólo podrá ser desafectada para su capitalización o para absorber eventuales saldos negativos de resultados no asignados.</w:t>
      </w:r>
    </w:p>
    <w:p w14:paraId="0AE8115B" w14:textId="77777777" w:rsidR="0010523F" w:rsidRPr="0010523F" w:rsidRDefault="0010523F" w:rsidP="00E2318E">
      <w:pPr>
        <w:numPr>
          <w:ilvl w:val="0"/>
          <w:numId w:val="66"/>
        </w:numPr>
        <w:tabs>
          <w:tab w:val="right" w:pos="10440"/>
        </w:tabs>
        <w:spacing w:after="80" w:line="180" w:lineRule="exact"/>
        <w:ind w:left="426" w:hanging="426"/>
        <w:jc w:val="both"/>
        <w:rPr>
          <w:sz w:val="18"/>
          <w:szCs w:val="18"/>
          <w:lang w:val="es-AR" w:eastAsia="en-US"/>
        </w:rPr>
      </w:pPr>
      <w:r w:rsidRPr="0010523F">
        <w:rPr>
          <w:sz w:val="18"/>
          <w:szCs w:val="18"/>
          <w:lang w:val="es-AR" w:eastAsia="en-US"/>
        </w:rPr>
        <w:t>Ver Nota 1 a los estados financieros al 31 de diciembre de 2018.</w:t>
      </w:r>
    </w:p>
    <w:p w14:paraId="03EE742E" w14:textId="77777777" w:rsidR="0010523F" w:rsidRPr="0010523F" w:rsidRDefault="0010523F" w:rsidP="00E2318E">
      <w:pPr>
        <w:numPr>
          <w:ilvl w:val="0"/>
          <w:numId w:val="66"/>
        </w:numPr>
        <w:tabs>
          <w:tab w:val="right" w:pos="10440"/>
        </w:tabs>
        <w:spacing w:after="80" w:line="180" w:lineRule="exact"/>
        <w:ind w:left="426" w:hanging="426"/>
        <w:jc w:val="both"/>
        <w:rPr>
          <w:sz w:val="18"/>
          <w:szCs w:val="18"/>
          <w:lang w:val="es-AR" w:eastAsia="en-US"/>
        </w:rPr>
      </w:pPr>
      <w:r w:rsidRPr="0010523F">
        <w:rPr>
          <w:sz w:val="18"/>
          <w:szCs w:val="18"/>
          <w:lang w:val="es-AR" w:eastAsia="en-US"/>
        </w:rPr>
        <w:t>Al 30 de septiembre de 2019: diferencia de cambio por conversión 327.864 y resultado de instrumentos financieros 2. Al 30 de septiembre de 2018: diferencia de cambio por conversión 215.221 y resultado de instrumentos financieros 31.</w:t>
      </w:r>
    </w:p>
    <w:p w14:paraId="6DEBAAF3" w14:textId="77777777" w:rsidR="0010523F" w:rsidRPr="0010523F" w:rsidRDefault="0010523F" w:rsidP="0010523F">
      <w:pPr>
        <w:tabs>
          <w:tab w:val="right" w:pos="10440"/>
        </w:tabs>
        <w:spacing w:after="80" w:line="180" w:lineRule="exact"/>
        <w:ind w:left="306" w:hanging="306"/>
        <w:jc w:val="both"/>
        <w:rPr>
          <w:sz w:val="18"/>
          <w:szCs w:val="18"/>
          <w:lang w:val="es-AR" w:eastAsia="en-US"/>
        </w:rPr>
        <w:sectPr w:rsidR="0010523F" w:rsidRPr="0010523F" w:rsidSect="0071006A">
          <w:pgSz w:w="16840" w:h="11907" w:orient="landscape" w:code="9"/>
          <w:pgMar w:top="1134" w:right="1247" w:bottom="567" w:left="1247" w:header="720" w:footer="908" w:gutter="0"/>
          <w:paperSrc w:first="7" w:other="7"/>
          <w:cols w:space="720"/>
          <w:docGrid w:linePitch="326"/>
        </w:sectPr>
      </w:pPr>
    </w:p>
    <w:bookmarkEnd w:id="150"/>
    <w:bookmarkEnd w:id="151"/>
    <w:p w14:paraId="050A2CDC" w14:textId="77777777" w:rsidR="0010523F" w:rsidRPr="0010523F" w:rsidRDefault="0010523F" w:rsidP="0010523F">
      <w:pPr>
        <w:spacing w:line="220" w:lineRule="exact"/>
        <w:jc w:val="both"/>
        <w:rPr>
          <w:b/>
          <w:lang w:val="es-AR" w:eastAsia="en-US"/>
        </w:rPr>
      </w:pPr>
      <w:r w:rsidRPr="0010523F">
        <w:rPr>
          <w:b/>
          <w:szCs w:val="20"/>
          <w:lang w:val="es-AR" w:eastAsia="en-US"/>
        </w:rPr>
        <w:t>PAN AMERICAN ENERGY, S.L., SUCURSAL ARGENTINA</w:t>
      </w:r>
      <w:r w:rsidRPr="0010523F" w:rsidDel="001E12ED">
        <w:rPr>
          <w:b/>
          <w:lang w:val="es-AR" w:eastAsia="en-US"/>
        </w:rPr>
        <w:t xml:space="preserve"> </w:t>
      </w:r>
    </w:p>
    <w:p w14:paraId="72679BB5" w14:textId="77777777" w:rsidR="0010523F" w:rsidRPr="0010523F" w:rsidRDefault="0010523F" w:rsidP="0010523F">
      <w:pPr>
        <w:spacing w:line="140" w:lineRule="exact"/>
        <w:jc w:val="both"/>
        <w:rPr>
          <w:sz w:val="22"/>
          <w:szCs w:val="22"/>
          <w:lang w:val="es-AR" w:eastAsia="en-US"/>
        </w:rPr>
      </w:pPr>
    </w:p>
    <w:p w14:paraId="0BCD59E8" w14:textId="77777777" w:rsidR="0010523F" w:rsidRPr="0010523F" w:rsidRDefault="0010523F" w:rsidP="0010523F">
      <w:pPr>
        <w:spacing w:line="220" w:lineRule="exact"/>
        <w:jc w:val="both"/>
        <w:rPr>
          <w:lang w:val="es-AR" w:eastAsia="en-US"/>
        </w:rPr>
      </w:pPr>
      <w:r w:rsidRPr="0010523F">
        <w:rPr>
          <w:b/>
          <w:szCs w:val="20"/>
          <w:lang w:val="es-AR" w:eastAsia="en-US"/>
        </w:rPr>
        <w:t>ESTADO DE FLUJOS DE EFECTIVO INTERMEDIO CONDENSADO</w:t>
      </w:r>
      <w:r w:rsidRPr="0010523F">
        <w:rPr>
          <w:b/>
          <w:sz w:val="22"/>
          <w:szCs w:val="22"/>
          <w:lang w:val="es-AR" w:eastAsia="en-US"/>
        </w:rPr>
        <w:t xml:space="preserve"> </w:t>
      </w:r>
      <w:r w:rsidRPr="0010523F">
        <w:rPr>
          <w:lang w:val="es-AR" w:eastAsia="en-US"/>
        </w:rPr>
        <w:t>por el período de nueve meses finalizado el 30 de septiembre de 2019, presentado en forma comparativa con el mismo período del ejercicio anterior (en millones de pesos)</w:t>
      </w:r>
    </w:p>
    <w:tbl>
      <w:tblPr>
        <w:tblW w:w="9893" w:type="dxa"/>
        <w:tblLayout w:type="fixed"/>
        <w:tblCellMar>
          <w:left w:w="30" w:type="dxa"/>
          <w:right w:w="30" w:type="dxa"/>
        </w:tblCellMar>
        <w:tblLook w:val="0000" w:firstRow="0" w:lastRow="0" w:firstColumn="0" w:lastColumn="0" w:noHBand="0" w:noVBand="0"/>
      </w:tblPr>
      <w:tblGrid>
        <w:gridCol w:w="7371"/>
        <w:gridCol w:w="1246"/>
        <w:gridCol w:w="80"/>
        <w:gridCol w:w="1196"/>
      </w:tblGrid>
      <w:tr w:rsidR="0010523F" w:rsidRPr="0010523F" w14:paraId="5C8FD7D9" w14:textId="77777777" w:rsidTr="00774E7E">
        <w:tc>
          <w:tcPr>
            <w:tcW w:w="7371" w:type="dxa"/>
            <w:vAlign w:val="bottom"/>
          </w:tcPr>
          <w:p w14:paraId="5FFEC32A" w14:textId="77777777" w:rsidR="0010523F" w:rsidRPr="0010523F" w:rsidRDefault="0010523F" w:rsidP="0010523F">
            <w:pPr>
              <w:spacing w:line="200" w:lineRule="exact"/>
              <w:jc w:val="both"/>
              <w:rPr>
                <w:snapToGrid w:val="0"/>
                <w:color w:val="000000"/>
                <w:sz w:val="20"/>
                <w:szCs w:val="20"/>
                <w:lang w:val="es-AR" w:eastAsia="en-US"/>
              </w:rPr>
            </w:pPr>
          </w:p>
        </w:tc>
        <w:tc>
          <w:tcPr>
            <w:tcW w:w="1246" w:type="dxa"/>
            <w:vAlign w:val="bottom"/>
          </w:tcPr>
          <w:p w14:paraId="4B9210B4" w14:textId="77777777" w:rsidR="0010523F" w:rsidRPr="0010523F" w:rsidRDefault="0010523F" w:rsidP="0010523F">
            <w:pPr>
              <w:spacing w:line="200" w:lineRule="exact"/>
              <w:ind w:left="-7" w:right="-23"/>
              <w:jc w:val="center"/>
              <w:rPr>
                <w:snapToGrid w:val="0"/>
                <w:color w:val="000000"/>
                <w:sz w:val="20"/>
                <w:szCs w:val="20"/>
                <w:lang w:val="es-AR" w:eastAsia="en-US"/>
              </w:rPr>
            </w:pPr>
            <w:r w:rsidRPr="0010523F">
              <w:rPr>
                <w:sz w:val="20"/>
                <w:szCs w:val="20"/>
                <w:lang w:val="es-AR" w:eastAsia="en-US"/>
              </w:rPr>
              <w:t xml:space="preserve">    2019      </w:t>
            </w:r>
          </w:p>
        </w:tc>
        <w:tc>
          <w:tcPr>
            <w:tcW w:w="80" w:type="dxa"/>
          </w:tcPr>
          <w:p w14:paraId="3D979931" w14:textId="77777777" w:rsidR="0010523F" w:rsidRPr="0010523F" w:rsidRDefault="0010523F" w:rsidP="0010523F">
            <w:pPr>
              <w:spacing w:line="200" w:lineRule="exact"/>
              <w:ind w:left="-7" w:right="-23"/>
              <w:jc w:val="center"/>
              <w:rPr>
                <w:sz w:val="20"/>
                <w:szCs w:val="20"/>
                <w:lang w:val="es-AR" w:eastAsia="en-US"/>
              </w:rPr>
            </w:pPr>
          </w:p>
        </w:tc>
        <w:tc>
          <w:tcPr>
            <w:tcW w:w="1196" w:type="dxa"/>
            <w:vAlign w:val="bottom"/>
          </w:tcPr>
          <w:p w14:paraId="7BDCB16F" w14:textId="77777777" w:rsidR="0010523F" w:rsidRPr="0010523F" w:rsidRDefault="0010523F" w:rsidP="0010523F">
            <w:pPr>
              <w:spacing w:line="200" w:lineRule="exact"/>
              <w:ind w:left="-7" w:right="-23"/>
              <w:jc w:val="center"/>
              <w:rPr>
                <w:snapToGrid w:val="0"/>
                <w:color w:val="000000"/>
                <w:sz w:val="20"/>
                <w:szCs w:val="20"/>
                <w:lang w:val="es-AR" w:eastAsia="en-US"/>
              </w:rPr>
            </w:pPr>
            <w:r w:rsidRPr="0010523F">
              <w:rPr>
                <w:sz w:val="20"/>
                <w:szCs w:val="20"/>
                <w:lang w:val="es-AR" w:eastAsia="en-US"/>
              </w:rPr>
              <w:t xml:space="preserve">    2018      </w:t>
            </w:r>
          </w:p>
        </w:tc>
      </w:tr>
      <w:tr w:rsidR="0010523F" w:rsidRPr="0010523F" w14:paraId="7FAC256B" w14:textId="77777777" w:rsidTr="00774E7E">
        <w:tc>
          <w:tcPr>
            <w:tcW w:w="7371" w:type="dxa"/>
            <w:vAlign w:val="bottom"/>
          </w:tcPr>
          <w:p w14:paraId="155888A9" w14:textId="77777777" w:rsidR="0010523F" w:rsidRPr="0010523F" w:rsidRDefault="0010523F" w:rsidP="0010523F">
            <w:pPr>
              <w:spacing w:line="200" w:lineRule="exact"/>
              <w:jc w:val="both"/>
              <w:rPr>
                <w:snapToGrid w:val="0"/>
                <w:color w:val="000000"/>
                <w:sz w:val="20"/>
                <w:szCs w:val="20"/>
                <w:lang w:val="es-AR" w:eastAsia="en-US"/>
              </w:rPr>
            </w:pPr>
          </w:p>
        </w:tc>
        <w:tc>
          <w:tcPr>
            <w:tcW w:w="1246" w:type="dxa"/>
            <w:tcBorders>
              <w:bottom w:val="single" w:sz="4" w:space="0" w:color="auto"/>
            </w:tcBorders>
            <w:vAlign w:val="bottom"/>
          </w:tcPr>
          <w:p w14:paraId="007F734C"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(9 meses)</w:t>
            </w:r>
          </w:p>
        </w:tc>
        <w:tc>
          <w:tcPr>
            <w:tcW w:w="80" w:type="dxa"/>
          </w:tcPr>
          <w:p w14:paraId="3476CB0E" w14:textId="77777777" w:rsidR="0010523F" w:rsidRPr="0010523F" w:rsidRDefault="0010523F" w:rsidP="0010523F">
            <w:pPr>
              <w:spacing w:line="200" w:lineRule="exact"/>
              <w:jc w:val="center"/>
              <w:rPr>
                <w:sz w:val="20"/>
                <w:szCs w:val="20"/>
                <w:lang w:val="es-AR" w:eastAsia="en-US"/>
              </w:rPr>
            </w:pPr>
          </w:p>
        </w:tc>
        <w:tc>
          <w:tcPr>
            <w:tcW w:w="1196" w:type="dxa"/>
            <w:tcBorders>
              <w:bottom w:val="single" w:sz="4" w:space="0" w:color="auto"/>
            </w:tcBorders>
            <w:vAlign w:val="bottom"/>
          </w:tcPr>
          <w:p w14:paraId="4C58A483" w14:textId="77777777" w:rsidR="0010523F" w:rsidRPr="0010523F" w:rsidRDefault="0010523F" w:rsidP="0010523F">
            <w:pPr>
              <w:spacing w:line="200" w:lineRule="exact"/>
              <w:jc w:val="center"/>
              <w:rPr>
                <w:sz w:val="20"/>
                <w:szCs w:val="20"/>
                <w:lang w:val="es-AR" w:eastAsia="en-US"/>
              </w:rPr>
            </w:pPr>
            <w:r w:rsidRPr="0010523F">
              <w:rPr>
                <w:sz w:val="20"/>
                <w:szCs w:val="20"/>
                <w:lang w:val="es-AR" w:eastAsia="en-US"/>
              </w:rPr>
              <w:t>(9 meses)</w:t>
            </w:r>
          </w:p>
        </w:tc>
      </w:tr>
      <w:tr w:rsidR="0010523F" w:rsidRPr="0010523F" w14:paraId="60E5C6F8" w14:textId="77777777" w:rsidTr="00774E7E">
        <w:trPr>
          <w:trHeight w:val="170"/>
        </w:trPr>
        <w:tc>
          <w:tcPr>
            <w:tcW w:w="7371" w:type="dxa"/>
            <w:vAlign w:val="bottom"/>
          </w:tcPr>
          <w:p w14:paraId="0A246AB7" w14:textId="77777777" w:rsidR="0010523F" w:rsidRPr="0010523F" w:rsidRDefault="0010523F" w:rsidP="0010523F">
            <w:pPr>
              <w:spacing w:line="180" w:lineRule="exact"/>
              <w:jc w:val="both"/>
              <w:rPr>
                <w:b/>
                <w:bCs/>
                <w:snapToGrid w:val="0"/>
                <w:color w:val="000000"/>
                <w:sz w:val="20"/>
                <w:szCs w:val="20"/>
                <w:lang w:val="es-AR" w:eastAsia="en-US"/>
              </w:rPr>
            </w:pPr>
            <w:r w:rsidRPr="0010523F">
              <w:rPr>
                <w:b/>
                <w:bCs/>
                <w:snapToGrid w:val="0"/>
                <w:color w:val="000000"/>
                <w:sz w:val="20"/>
                <w:szCs w:val="20"/>
                <w:lang w:val="es-AR" w:eastAsia="en-US"/>
              </w:rPr>
              <w:t>Efectivo generado por las operaciones:</w:t>
            </w:r>
          </w:p>
        </w:tc>
        <w:tc>
          <w:tcPr>
            <w:tcW w:w="1246" w:type="dxa"/>
            <w:tcBorders>
              <w:top w:val="single" w:sz="4" w:space="0" w:color="auto"/>
            </w:tcBorders>
            <w:vAlign w:val="bottom"/>
          </w:tcPr>
          <w:p w14:paraId="321EB73D" w14:textId="77777777" w:rsidR="0010523F" w:rsidRPr="0010523F" w:rsidRDefault="0010523F" w:rsidP="0010523F">
            <w:pPr>
              <w:tabs>
                <w:tab w:val="decimal" w:pos="1375"/>
              </w:tabs>
              <w:spacing w:line="180" w:lineRule="exact"/>
              <w:ind w:left="-7"/>
              <w:jc w:val="both"/>
              <w:rPr>
                <w:snapToGrid w:val="0"/>
                <w:color w:val="000000"/>
                <w:sz w:val="20"/>
                <w:szCs w:val="20"/>
                <w:lang w:val="es-AR" w:eastAsia="en-US"/>
              </w:rPr>
            </w:pPr>
          </w:p>
        </w:tc>
        <w:tc>
          <w:tcPr>
            <w:tcW w:w="80" w:type="dxa"/>
          </w:tcPr>
          <w:p w14:paraId="5F6860F2" w14:textId="77777777" w:rsidR="0010523F" w:rsidRPr="0010523F" w:rsidRDefault="0010523F" w:rsidP="0010523F">
            <w:pPr>
              <w:tabs>
                <w:tab w:val="decimal" w:pos="1387"/>
              </w:tabs>
              <w:spacing w:line="180" w:lineRule="exact"/>
              <w:jc w:val="both"/>
              <w:rPr>
                <w:snapToGrid w:val="0"/>
                <w:color w:val="000000"/>
                <w:sz w:val="20"/>
                <w:szCs w:val="20"/>
                <w:lang w:val="es-AR" w:eastAsia="en-US"/>
              </w:rPr>
            </w:pPr>
          </w:p>
        </w:tc>
        <w:tc>
          <w:tcPr>
            <w:tcW w:w="1196" w:type="dxa"/>
            <w:tcBorders>
              <w:top w:val="single" w:sz="4" w:space="0" w:color="auto"/>
            </w:tcBorders>
            <w:vAlign w:val="bottom"/>
          </w:tcPr>
          <w:p w14:paraId="425C1030" w14:textId="77777777" w:rsidR="0010523F" w:rsidRPr="0010523F" w:rsidRDefault="0010523F" w:rsidP="0010523F">
            <w:pPr>
              <w:tabs>
                <w:tab w:val="decimal" w:pos="1387"/>
              </w:tabs>
              <w:spacing w:line="180" w:lineRule="exact"/>
              <w:jc w:val="both"/>
              <w:rPr>
                <w:snapToGrid w:val="0"/>
                <w:color w:val="000000"/>
                <w:sz w:val="20"/>
                <w:szCs w:val="20"/>
                <w:lang w:val="es-AR" w:eastAsia="en-US"/>
              </w:rPr>
            </w:pPr>
          </w:p>
        </w:tc>
      </w:tr>
      <w:tr w:rsidR="0010523F" w:rsidRPr="0010523F" w14:paraId="4C314617" w14:textId="77777777" w:rsidTr="00774E7E">
        <w:tc>
          <w:tcPr>
            <w:tcW w:w="7371" w:type="dxa"/>
            <w:vAlign w:val="bottom"/>
          </w:tcPr>
          <w:p w14:paraId="6A0F0783" w14:textId="77777777" w:rsidR="0010523F" w:rsidRPr="0010523F" w:rsidRDefault="0010523F" w:rsidP="0010523F">
            <w:pPr>
              <w:spacing w:line="80" w:lineRule="exact"/>
              <w:rPr>
                <w:snapToGrid w:val="0"/>
                <w:color w:val="000000"/>
                <w:sz w:val="20"/>
                <w:szCs w:val="20"/>
                <w:lang w:val="es-AR" w:eastAsia="en-US"/>
              </w:rPr>
            </w:pPr>
          </w:p>
        </w:tc>
        <w:tc>
          <w:tcPr>
            <w:tcW w:w="1246" w:type="dxa"/>
            <w:vAlign w:val="bottom"/>
          </w:tcPr>
          <w:p w14:paraId="5DA00A40" w14:textId="77777777" w:rsidR="0010523F" w:rsidRPr="0010523F" w:rsidRDefault="0010523F" w:rsidP="0010523F">
            <w:pPr>
              <w:spacing w:line="80" w:lineRule="exact"/>
              <w:ind w:left="-7"/>
              <w:rPr>
                <w:snapToGrid w:val="0"/>
                <w:color w:val="000000"/>
                <w:sz w:val="20"/>
                <w:szCs w:val="20"/>
                <w:lang w:val="es-AR" w:eastAsia="en-US"/>
              </w:rPr>
            </w:pPr>
          </w:p>
        </w:tc>
        <w:tc>
          <w:tcPr>
            <w:tcW w:w="80" w:type="dxa"/>
          </w:tcPr>
          <w:p w14:paraId="5FB61509" w14:textId="77777777" w:rsidR="0010523F" w:rsidRPr="0010523F" w:rsidRDefault="0010523F" w:rsidP="0010523F">
            <w:pPr>
              <w:spacing w:line="80" w:lineRule="exact"/>
              <w:rPr>
                <w:snapToGrid w:val="0"/>
                <w:color w:val="000000"/>
                <w:sz w:val="20"/>
                <w:szCs w:val="20"/>
                <w:lang w:val="es-AR" w:eastAsia="en-US"/>
              </w:rPr>
            </w:pPr>
          </w:p>
        </w:tc>
        <w:tc>
          <w:tcPr>
            <w:tcW w:w="1196" w:type="dxa"/>
            <w:vAlign w:val="bottom"/>
          </w:tcPr>
          <w:p w14:paraId="6751E7AA" w14:textId="77777777" w:rsidR="0010523F" w:rsidRPr="0010523F" w:rsidRDefault="0010523F" w:rsidP="0010523F">
            <w:pPr>
              <w:spacing w:line="80" w:lineRule="exact"/>
              <w:rPr>
                <w:snapToGrid w:val="0"/>
                <w:color w:val="000000"/>
                <w:sz w:val="20"/>
                <w:szCs w:val="20"/>
                <w:lang w:val="es-AR" w:eastAsia="en-US"/>
              </w:rPr>
            </w:pPr>
          </w:p>
        </w:tc>
      </w:tr>
      <w:tr w:rsidR="0010523F" w:rsidRPr="0010523F" w14:paraId="3DDB674B" w14:textId="77777777" w:rsidTr="00774E7E">
        <w:trPr>
          <w:trHeight w:val="170"/>
        </w:trPr>
        <w:tc>
          <w:tcPr>
            <w:tcW w:w="7371" w:type="dxa"/>
            <w:vAlign w:val="bottom"/>
          </w:tcPr>
          <w:p w14:paraId="195AB853"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Ganancia neta del período</w:t>
            </w:r>
          </w:p>
        </w:tc>
        <w:tc>
          <w:tcPr>
            <w:tcW w:w="1246" w:type="dxa"/>
            <w:shd w:val="clear" w:color="auto" w:fill="auto"/>
            <w:vAlign w:val="bottom"/>
          </w:tcPr>
          <w:p w14:paraId="485E0512"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5.921</w:t>
            </w:r>
          </w:p>
        </w:tc>
        <w:tc>
          <w:tcPr>
            <w:tcW w:w="80" w:type="dxa"/>
          </w:tcPr>
          <w:p w14:paraId="59F550DD"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332C1982"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7.715</w:t>
            </w:r>
          </w:p>
        </w:tc>
      </w:tr>
      <w:tr w:rsidR="0010523F" w:rsidRPr="0010523F" w14:paraId="352AD714" w14:textId="77777777" w:rsidTr="00774E7E">
        <w:tc>
          <w:tcPr>
            <w:tcW w:w="7371" w:type="dxa"/>
            <w:vAlign w:val="bottom"/>
          </w:tcPr>
          <w:p w14:paraId="251684A2" w14:textId="77777777" w:rsidR="0010523F" w:rsidRPr="0010523F" w:rsidRDefault="0010523F" w:rsidP="0010523F">
            <w:pPr>
              <w:spacing w:line="80" w:lineRule="exact"/>
              <w:rPr>
                <w:snapToGrid w:val="0"/>
                <w:color w:val="000000"/>
                <w:sz w:val="20"/>
                <w:szCs w:val="20"/>
                <w:lang w:val="es-AR" w:eastAsia="en-US"/>
              </w:rPr>
            </w:pPr>
          </w:p>
        </w:tc>
        <w:tc>
          <w:tcPr>
            <w:tcW w:w="1246" w:type="dxa"/>
            <w:shd w:val="clear" w:color="auto" w:fill="auto"/>
            <w:vAlign w:val="bottom"/>
          </w:tcPr>
          <w:p w14:paraId="6BEB1344" w14:textId="77777777" w:rsidR="0010523F" w:rsidRPr="0010523F" w:rsidRDefault="0010523F" w:rsidP="0010523F">
            <w:pPr>
              <w:tabs>
                <w:tab w:val="decimal" w:pos="1300"/>
              </w:tabs>
              <w:spacing w:line="80" w:lineRule="exact"/>
              <w:ind w:left="-7"/>
              <w:rPr>
                <w:snapToGrid w:val="0"/>
                <w:color w:val="000000"/>
                <w:sz w:val="20"/>
                <w:szCs w:val="20"/>
                <w:highlight w:val="yellow"/>
                <w:lang w:val="es-AR" w:eastAsia="en-US"/>
              </w:rPr>
            </w:pPr>
          </w:p>
        </w:tc>
        <w:tc>
          <w:tcPr>
            <w:tcW w:w="80" w:type="dxa"/>
          </w:tcPr>
          <w:p w14:paraId="344EFE6E" w14:textId="77777777" w:rsidR="0010523F" w:rsidRPr="0010523F" w:rsidRDefault="0010523F" w:rsidP="0010523F">
            <w:pPr>
              <w:tabs>
                <w:tab w:val="decimal" w:pos="995"/>
              </w:tabs>
              <w:spacing w:line="80" w:lineRule="exact"/>
              <w:ind w:left="-7"/>
              <w:rPr>
                <w:snapToGrid w:val="0"/>
                <w:color w:val="000000"/>
                <w:sz w:val="20"/>
                <w:szCs w:val="20"/>
                <w:lang w:val="es-AR" w:eastAsia="en-US"/>
              </w:rPr>
            </w:pPr>
          </w:p>
        </w:tc>
        <w:tc>
          <w:tcPr>
            <w:tcW w:w="1196" w:type="dxa"/>
            <w:vAlign w:val="bottom"/>
          </w:tcPr>
          <w:p w14:paraId="55839CFF" w14:textId="77777777" w:rsidR="0010523F" w:rsidRPr="0010523F" w:rsidRDefault="0010523F" w:rsidP="0010523F">
            <w:pPr>
              <w:spacing w:line="80" w:lineRule="exact"/>
              <w:ind w:left="-7" w:right="89"/>
              <w:jc w:val="right"/>
              <w:rPr>
                <w:snapToGrid w:val="0"/>
                <w:color w:val="000000"/>
                <w:sz w:val="20"/>
                <w:szCs w:val="20"/>
                <w:lang w:val="es-AR" w:eastAsia="en-US"/>
              </w:rPr>
            </w:pPr>
          </w:p>
        </w:tc>
      </w:tr>
      <w:tr w:rsidR="0010523F" w:rsidRPr="0010523F" w14:paraId="674B06FD" w14:textId="77777777" w:rsidTr="00774E7E">
        <w:trPr>
          <w:trHeight w:val="170"/>
        </w:trPr>
        <w:tc>
          <w:tcPr>
            <w:tcW w:w="7371" w:type="dxa"/>
            <w:vAlign w:val="bottom"/>
          </w:tcPr>
          <w:p w14:paraId="4789D815" w14:textId="77777777" w:rsidR="0010523F" w:rsidRPr="0010523F" w:rsidRDefault="0010523F" w:rsidP="0010523F">
            <w:pPr>
              <w:tabs>
                <w:tab w:val="left" w:pos="284"/>
              </w:tabs>
              <w:spacing w:line="200" w:lineRule="exact"/>
              <w:jc w:val="both"/>
              <w:rPr>
                <w:bCs/>
                <w:snapToGrid w:val="0"/>
                <w:color w:val="000000"/>
                <w:sz w:val="20"/>
                <w:szCs w:val="20"/>
                <w:lang w:val="es-AR" w:eastAsia="en-US"/>
              </w:rPr>
            </w:pPr>
            <w:r w:rsidRPr="0010523F">
              <w:rPr>
                <w:snapToGrid w:val="0"/>
                <w:color w:val="000000"/>
                <w:sz w:val="20"/>
                <w:szCs w:val="20"/>
                <w:lang w:val="es-AR" w:eastAsia="en-US"/>
              </w:rPr>
              <w:tab/>
              <w:t>Ajustes</w:t>
            </w:r>
            <w:r w:rsidRPr="0010523F">
              <w:rPr>
                <w:bCs/>
                <w:snapToGrid w:val="0"/>
                <w:color w:val="000000"/>
                <w:sz w:val="20"/>
                <w:szCs w:val="20"/>
                <w:lang w:val="es-AR" w:eastAsia="en-US"/>
              </w:rPr>
              <w:t xml:space="preserve"> para conciliar el resultado del </w:t>
            </w:r>
            <w:r w:rsidRPr="0010523F">
              <w:rPr>
                <w:snapToGrid w:val="0"/>
                <w:color w:val="000000"/>
                <w:sz w:val="20"/>
                <w:szCs w:val="20"/>
                <w:lang w:val="es-AR" w:eastAsia="en-US"/>
              </w:rPr>
              <w:t>período</w:t>
            </w:r>
            <w:r w:rsidRPr="0010523F">
              <w:rPr>
                <w:bCs/>
                <w:snapToGrid w:val="0"/>
                <w:color w:val="000000"/>
                <w:sz w:val="20"/>
                <w:szCs w:val="20"/>
                <w:lang w:val="es-AR" w:eastAsia="en-US"/>
              </w:rPr>
              <w:t xml:space="preserve"> con el efectivo generado </w:t>
            </w:r>
          </w:p>
          <w:p w14:paraId="0E3371DA" w14:textId="77777777" w:rsidR="0010523F" w:rsidRPr="0010523F" w:rsidRDefault="0010523F" w:rsidP="0010523F">
            <w:pPr>
              <w:spacing w:line="200" w:lineRule="exact"/>
              <w:ind w:left="284"/>
              <w:jc w:val="both"/>
              <w:rPr>
                <w:snapToGrid w:val="0"/>
                <w:color w:val="000000"/>
                <w:sz w:val="20"/>
                <w:szCs w:val="20"/>
                <w:lang w:val="es-AR" w:eastAsia="en-US"/>
              </w:rPr>
            </w:pPr>
            <w:r w:rsidRPr="0010523F">
              <w:rPr>
                <w:bCs/>
                <w:snapToGrid w:val="0"/>
                <w:color w:val="000000"/>
                <w:sz w:val="20"/>
                <w:szCs w:val="20"/>
                <w:lang w:val="es-AR" w:eastAsia="en-US"/>
              </w:rPr>
              <w:t>por las operaciones:</w:t>
            </w:r>
          </w:p>
        </w:tc>
        <w:tc>
          <w:tcPr>
            <w:tcW w:w="1246" w:type="dxa"/>
            <w:shd w:val="clear" w:color="auto" w:fill="auto"/>
            <w:vAlign w:val="bottom"/>
          </w:tcPr>
          <w:p w14:paraId="66A371F7"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p>
        </w:tc>
        <w:tc>
          <w:tcPr>
            <w:tcW w:w="80" w:type="dxa"/>
          </w:tcPr>
          <w:p w14:paraId="2757EC4B"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7310D1BC" w14:textId="77777777" w:rsidR="0010523F" w:rsidRPr="0010523F" w:rsidRDefault="0010523F" w:rsidP="0010523F">
            <w:pPr>
              <w:spacing w:line="200" w:lineRule="exact"/>
              <w:ind w:left="-7" w:right="89"/>
              <w:jc w:val="right"/>
              <w:rPr>
                <w:snapToGrid w:val="0"/>
                <w:color w:val="000000"/>
                <w:sz w:val="20"/>
                <w:szCs w:val="20"/>
                <w:lang w:val="es-AR" w:eastAsia="en-US"/>
              </w:rPr>
            </w:pPr>
          </w:p>
        </w:tc>
      </w:tr>
      <w:tr w:rsidR="0010523F" w:rsidRPr="0010523F" w14:paraId="1EF2199E" w14:textId="77777777" w:rsidTr="00774E7E">
        <w:trPr>
          <w:trHeight w:val="170"/>
        </w:trPr>
        <w:tc>
          <w:tcPr>
            <w:tcW w:w="7371" w:type="dxa"/>
            <w:vAlign w:val="bottom"/>
          </w:tcPr>
          <w:p w14:paraId="4458151E"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Depreciación de propiedad, planta y equipo</w:t>
            </w:r>
          </w:p>
        </w:tc>
        <w:tc>
          <w:tcPr>
            <w:tcW w:w="1246" w:type="dxa"/>
            <w:shd w:val="clear" w:color="auto" w:fill="auto"/>
            <w:vAlign w:val="bottom"/>
          </w:tcPr>
          <w:p w14:paraId="022EE762"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27.259</w:t>
            </w:r>
          </w:p>
        </w:tc>
        <w:tc>
          <w:tcPr>
            <w:tcW w:w="80" w:type="dxa"/>
          </w:tcPr>
          <w:p w14:paraId="5C6F5904"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36B6D40F"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15.103</w:t>
            </w:r>
          </w:p>
        </w:tc>
      </w:tr>
      <w:tr w:rsidR="0010523F" w:rsidRPr="0010523F" w14:paraId="27BC9C19" w14:textId="77777777" w:rsidTr="00774E7E">
        <w:trPr>
          <w:trHeight w:val="170"/>
        </w:trPr>
        <w:tc>
          <w:tcPr>
            <w:tcW w:w="7371" w:type="dxa"/>
            <w:vAlign w:val="bottom"/>
          </w:tcPr>
          <w:p w14:paraId="48CD97E4"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Amortización de activos intangibles</w:t>
            </w:r>
          </w:p>
        </w:tc>
        <w:tc>
          <w:tcPr>
            <w:tcW w:w="1246" w:type="dxa"/>
            <w:shd w:val="clear" w:color="auto" w:fill="auto"/>
            <w:vAlign w:val="bottom"/>
          </w:tcPr>
          <w:p w14:paraId="1248E956"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422</w:t>
            </w:r>
          </w:p>
        </w:tc>
        <w:tc>
          <w:tcPr>
            <w:tcW w:w="80" w:type="dxa"/>
          </w:tcPr>
          <w:p w14:paraId="122C441D"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473DC508"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220</w:t>
            </w:r>
          </w:p>
        </w:tc>
      </w:tr>
      <w:tr w:rsidR="0010523F" w:rsidRPr="0010523F" w14:paraId="28DA82E4" w14:textId="77777777" w:rsidTr="00774E7E">
        <w:trPr>
          <w:trHeight w:val="170"/>
        </w:trPr>
        <w:tc>
          <w:tcPr>
            <w:tcW w:w="7371" w:type="dxa"/>
            <w:vAlign w:val="bottom"/>
          </w:tcPr>
          <w:p w14:paraId="09BD3CE8" w14:textId="77777777" w:rsidR="0010523F" w:rsidRPr="0010523F" w:rsidRDefault="0010523F" w:rsidP="0010523F">
            <w:pPr>
              <w:spacing w:line="200" w:lineRule="exact"/>
              <w:ind w:left="396" w:hanging="142"/>
              <w:jc w:val="both"/>
              <w:rPr>
                <w:snapToGrid w:val="0"/>
                <w:color w:val="000000"/>
                <w:sz w:val="20"/>
                <w:szCs w:val="20"/>
                <w:lang w:val="es-AR" w:eastAsia="en-US"/>
              </w:rPr>
            </w:pPr>
            <w:r w:rsidRPr="0010523F">
              <w:rPr>
                <w:snapToGrid w:val="0"/>
                <w:color w:val="000000"/>
                <w:sz w:val="20"/>
                <w:szCs w:val="20"/>
                <w:lang w:val="es-AR" w:eastAsia="en-US"/>
              </w:rPr>
              <w:t xml:space="preserve"> Depreciación de activo por derecho a uso</w:t>
            </w:r>
          </w:p>
        </w:tc>
        <w:tc>
          <w:tcPr>
            <w:tcW w:w="1246" w:type="dxa"/>
            <w:shd w:val="clear" w:color="auto" w:fill="auto"/>
            <w:vAlign w:val="bottom"/>
          </w:tcPr>
          <w:p w14:paraId="3BD6513F"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1.062</w:t>
            </w:r>
          </w:p>
        </w:tc>
        <w:tc>
          <w:tcPr>
            <w:tcW w:w="80" w:type="dxa"/>
          </w:tcPr>
          <w:p w14:paraId="27F7A3DF"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62566E83"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w:t>
            </w:r>
          </w:p>
        </w:tc>
      </w:tr>
      <w:tr w:rsidR="0010523F" w:rsidRPr="0010523F" w14:paraId="06BAA50C" w14:textId="77777777" w:rsidTr="00774E7E">
        <w:trPr>
          <w:trHeight w:val="170"/>
        </w:trPr>
        <w:tc>
          <w:tcPr>
            <w:tcW w:w="7371" w:type="dxa"/>
            <w:vAlign w:val="bottom"/>
          </w:tcPr>
          <w:p w14:paraId="61DC1C80"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Cargo por impuesto a las ganancias corriente</w:t>
            </w:r>
          </w:p>
        </w:tc>
        <w:tc>
          <w:tcPr>
            <w:tcW w:w="1246" w:type="dxa"/>
            <w:shd w:val="clear" w:color="auto" w:fill="auto"/>
            <w:vAlign w:val="bottom"/>
          </w:tcPr>
          <w:p w14:paraId="543E32C4"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4.356</w:t>
            </w:r>
          </w:p>
        </w:tc>
        <w:tc>
          <w:tcPr>
            <w:tcW w:w="80" w:type="dxa"/>
          </w:tcPr>
          <w:p w14:paraId="712E61FE"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1B72307B"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w:t>
            </w:r>
          </w:p>
        </w:tc>
      </w:tr>
      <w:tr w:rsidR="0010523F" w:rsidRPr="0010523F" w14:paraId="20F33D63" w14:textId="77777777" w:rsidTr="00774E7E">
        <w:trPr>
          <w:trHeight w:val="170"/>
        </w:trPr>
        <w:tc>
          <w:tcPr>
            <w:tcW w:w="7371" w:type="dxa"/>
            <w:vAlign w:val="bottom"/>
          </w:tcPr>
          <w:p w14:paraId="415A5FFA"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Cargo por impuesto a las ganancias diferido</w:t>
            </w:r>
          </w:p>
        </w:tc>
        <w:tc>
          <w:tcPr>
            <w:tcW w:w="1246" w:type="dxa"/>
            <w:shd w:val="clear" w:color="auto" w:fill="auto"/>
            <w:vAlign w:val="bottom"/>
          </w:tcPr>
          <w:p w14:paraId="4320D083"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8.238</w:t>
            </w:r>
          </w:p>
        </w:tc>
        <w:tc>
          <w:tcPr>
            <w:tcW w:w="80" w:type="dxa"/>
          </w:tcPr>
          <w:p w14:paraId="5CEC117F"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67682228"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10.027</w:t>
            </w:r>
          </w:p>
        </w:tc>
      </w:tr>
      <w:tr w:rsidR="0010523F" w:rsidRPr="0010523F" w14:paraId="65C9DD34" w14:textId="77777777" w:rsidTr="00774E7E">
        <w:trPr>
          <w:trHeight w:val="170"/>
        </w:trPr>
        <w:tc>
          <w:tcPr>
            <w:tcW w:w="7371" w:type="dxa"/>
            <w:vAlign w:val="bottom"/>
          </w:tcPr>
          <w:p w14:paraId="2E86C52D" w14:textId="77777777" w:rsidR="0010523F" w:rsidRPr="0010523F" w:rsidRDefault="0010523F" w:rsidP="0010523F">
            <w:pPr>
              <w:spacing w:line="200" w:lineRule="exact"/>
              <w:ind w:left="284"/>
              <w:jc w:val="both"/>
              <w:rPr>
                <w:snapToGrid w:val="0"/>
                <w:color w:val="000000"/>
                <w:sz w:val="20"/>
                <w:szCs w:val="20"/>
                <w:lang w:val="es-AR" w:eastAsia="en-US"/>
              </w:rPr>
            </w:pPr>
            <w:r w:rsidRPr="0010523F">
              <w:rPr>
                <w:snapToGrid w:val="0"/>
                <w:color w:val="000000"/>
                <w:sz w:val="20"/>
                <w:szCs w:val="20"/>
                <w:lang w:val="es-AR" w:eastAsia="en-US"/>
              </w:rPr>
              <w:t>Aumento neto de las previsiones para deudores incobrables y por obsolescencia de materiales y de las provisiones para juicios y por acuerdo de precios de petróleo crudo, naftas y gas oil</w:t>
            </w:r>
          </w:p>
        </w:tc>
        <w:tc>
          <w:tcPr>
            <w:tcW w:w="1246" w:type="dxa"/>
            <w:shd w:val="clear" w:color="auto" w:fill="auto"/>
            <w:vAlign w:val="bottom"/>
          </w:tcPr>
          <w:p w14:paraId="03470A65"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329</w:t>
            </w:r>
          </w:p>
        </w:tc>
        <w:tc>
          <w:tcPr>
            <w:tcW w:w="80" w:type="dxa"/>
          </w:tcPr>
          <w:p w14:paraId="57667D43"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11E05281"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645</w:t>
            </w:r>
          </w:p>
        </w:tc>
      </w:tr>
      <w:tr w:rsidR="0010523F" w:rsidRPr="0010523F" w14:paraId="5FB978FB" w14:textId="77777777" w:rsidTr="00774E7E">
        <w:trPr>
          <w:trHeight w:val="170"/>
        </w:trPr>
        <w:tc>
          <w:tcPr>
            <w:tcW w:w="7371" w:type="dxa"/>
            <w:vAlign w:val="bottom"/>
          </w:tcPr>
          <w:p w14:paraId="0C37F287"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Resultado de bajas de propiedad, planta y equipo</w:t>
            </w:r>
          </w:p>
        </w:tc>
        <w:tc>
          <w:tcPr>
            <w:tcW w:w="1246" w:type="dxa"/>
            <w:shd w:val="clear" w:color="auto" w:fill="auto"/>
            <w:vAlign w:val="bottom"/>
          </w:tcPr>
          <w:p w14:paraId="595FE854"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398</w:t>
            </w:r>
          </w:p>
        </w:tc>
        <w:tc>
          <w:tcPr>
            <w:tcW w:w="80" w:type="dxa"/>
          </w:tcPr>
          <w:p w14:paraId="4F60BCB3"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4D34053B"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6)</w:t>
            </w:r>
          </w:p>
        </w:tc>
      </w:tr>
      <w:tr w:rsidR="0010523F" w:rsidRPr="0010523F" w14:paraId="77D08F68" w14:textId="77777777" w:rsidTr="00774E7E">
        <w:trPr>
          <w:trHeight w:val="170"/>
        </w:trPr>
        <w:tc>
          <w:tcPr>
            <w:tcW w:w="7371" w:type="dxa"/>
            <w:vAlign w:val="bottom"/>
          </w:tcPr>
          <w:p w14:paraId="69631923"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Aumento de la provisión para planes de beneficios y contribuciones definidos</w:t>
            </w:r>
          </w:p>
        </w:tc>
        <w:tc>
          <w:tcPr>
            <w:tcW w:w="1246" w:type="dxa"/>
            <w:shd w:val="clear" w:color="auto" w:fill="auto"/>
            <w:vAlign w:val="bottom"/>
          </w:tcPr>
          <w:p w14:paraId="19C83965"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557</w:t>
            </w:r>
          </w:p>
        </w:tc>
        <w:tc>
          <w:tcPr>
            <w:tcW w:w="80" w:type="dxa"/>
          </w:tcPr>
          <w:p w14:paraId="314E9DD3"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30098218"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xml:space="preserve">    92</w:t>
            </w:r>
          </w:p>
        </w:tc>
      </w:tr>
      <w:tr w:rsidR="0010523F" w:rsidRPr="0010523F" w14:paraId="205F5EFE" w14:textId="77777777" w:rsidTr="00774E7E">
        <w:trPr>
          <w:trHeight w:val="170"/>
        </w:trPr>
        <w:tc>
          <w:tcPr>
            <w:tcW w:w="7371" w:type="dxa"/>
            <w:vAlign w:val="bottom"/>
          </w:tcPr>
          <w:p w14:paraId="171A8DEF"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 xml:space="preserve">Aumento de la provisión para abandono de pozos y </w:t>
            </w:r>
            <w:r w:rsidRPr="0010523F">
              <w:rPr>
                <w:snapToGrid w:val="0"/>
                <w:sz w:val="20"/>
                <w:szCs w:val="20"/>
                <w:lang w:val="es-AR" w:eastAsia="en-US"/>
              </w:rPr>
              <w:t>remediación</w:t>
            </w:r>
          </w:p>
        </w:tc>
        <w:tc>
          <w:tcPr>
            <w:tcW w:w="1246" w:type="dxa"/>
            <w:shd w:val="clear" w:color="auto" w:fill="auto"/>
            <w:vAlign w:val="bottom"/>
          </w:tcPr>
          <w:p w14:paraId="70C3B4C1"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654</w:t>
            </w:r>
          </w:p>
        </w:tc>
        <w:tc>
          <w:tcPr>
            <w:tcW w:w="80" w:type="dxa"/>
          </w:tcPr>
          <w:p w14:paraId="1EFA5364"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045DDFCD"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376</w:t>
            </w:r>
          </w:p>
        </w:tc>
      </w:tr>
      <w:tr w:rsidR="0010523F" w:rsidRPr="0010523F" w14:paraId="4A4754C5" w14:textId="77777777" w:rsidTr="00774E7E">
        <w:trPr>
          <w:trHeight w:val="170"/>
        </w:trPr>
        <w:tc>
          <w:tcPr>
            <w:tcW w:w="7371" w:type="dxa"/>
            <w:vAlign w:val="bottom"/>
          </w:tcPr>
          <w:p w14:paraId="05CBED80" w14:textId="77777777" w:rsidR="0010523F" w:rsidRPr="0010523F" w:rsidRDefault="0010523F" w:rsidP="0010523F">
            <w:pPr>
              <w:spacing w:line="200" w:lineRule="exact"/>
              <w:ind w:left="284"/>
              <w:jc w:val="both"/>
              <w:rPr>
                <w:snapToGrid w:val="0"/>
                <w:color w:val="000000"/>
                <w:sz w:val="20"/>
                <w:szCs w:val="20"/>
                <w:lang w:val="es-AR" w:eastAsia="en-US"/>
              </w:rPr>
            </w:pPr>
            <w:r w:rsidRPr="0010523F">
              <w:rPr>
                <w:snapToGrid w:val="0"/>
                <w:color w:val="000000"/>
                <w:sz w:val="20"/>
                <w:szCs w:val="20"/>
                <w:lang w:val="es-AR" w:eastAsia="en-US"/>
              </w:rPr>
              <w:t>Intereses y otros resultados financieros correspondientes a préstamos y otros distintos de efectivo</w:t>
            </w:r>
          </w:p>
        </w:tc>
        <w:tc>
          <w:tcPr>
            <w:tcW w:w="1246" w:type="dxa"/>
            <w:shd w:val="clear" w:color="auto" w:fill="auto"/>
            <w:vAlign w:val="bottom"/>
          </w:tcPr>
          <w:p w14:paraId="7B62F5F4"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5.525</w:t>
            </w:r>
          </w:p>
        </w:tc>
        <w:tc>
          <w:tcPr>
            <w:tcW w:w="80" w:type="dxa"/>
          </w:tcPr>
          <w:p w14:paraId="1E828329"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0FEE7691"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2.701</w:t>
            </w:r>
          </w:p>
        </w:tc>
      </w:tr>
      <w:tr w:rsidR="0010523F" w:rsidRPr="0010523F" w14:paraId="2CBC275A" w14:textId="77777777" w:rsidTr="00774E7E">
        <w:tc>
          <w:tcPr>
            <w:tcW w:w="7371" w:type="dxa"/>
            <w:vAlign w:val="bottom"/>
          </w:tcPr>
          <w:p w14:paraId="2D8BD6F8" w14:textId="77777777" w:rsidR="0010523F" w:rsidRPr="0010523F" w:rsidRDefault="0010523F" w:rsidP="0010523F">
            <w:pPr>
              <w:spacing w:line="80" w:lineRule="exact"/>
              <w:rPr>
                <w:snapToGrid w:val="0"/>
                <w:color w:val="000000"/>
                <w:sz w:val="20"/>
                <w:szCs w:val="20"/>
                <w:lang w:val="es-AR" w:eastAsia="en-US"/>
              </w:rPr>
            </w:pPr>
          </w:p>
        </w:tc>
        <w:tc>
          <w:tcPr>
            <w:tcW w:w="1246" w:type="dxa"/>
            <w:shd w:val="clear" w:color="auto" w:fill="auto"/>
            <w:vAlign w:val="bottom"/>
          </w:tcPr>
          <w:p w14:paraId="68C2B3EB" w14:textId="77777777" w:rsidR="0010523F" w:rsidRPr="0010523F" w:rsidRDefault="0010523F" w:rsidP="0010523F">
            <w:pPr>
              <w:tabs>
                <w:tab w:val="decimal" w:pos="1300"/>
              </w:tabs>
              <w:spacing w:line="80" w:lineRule="exact"/>
              <w:rPr>
                <w:snapToGrid w:val="0"/>
                <w:color w:val="000000"/>
                <w:sz w:val="20"/>
                <w:szCs w:val="20"/>
                <w:lang w:val="es-AR" w:eastAsia="en-US"/>
              </w:rPr>
            </w:pPr>
          </w:p>
        </w:tc>
        <w:tc>
          <w:tcPr>
            <w:tcW w:w="80" w:type="dxa"/>
          </w:tcPr>
          <w:p w14:paraId="107D37AF" w14:textId="77777777" w:rsidR="0010523F" w:rsidRPr="0010523F" w:rsidRDefault="0010523F" w:rsidP="0010523F">
            <w:pPr>
              <w:tabs>
                <w:tab w:val="decimal" w:pos="995"/>
              </w:tabs>
              <w:spacing w:line="80" w:lineRule="exact"/>
              <w:rPr>
                <w:snapToGrid w:val="0"/>
                <w:color w:val="000000"/>
                <w:sz w:val="20"/>
                <w:szCs w:val="20"/>
                <w:highlight w:val="yellow"/>
                <w:lang w:val="es-AR" w:eastAsia="en-US"/>
              </w:rPr>
            </w:pPr>
          </w:p>
        </w:tc>
        <w:tc>
          <w:tcPr>
            <w:tcW w:w="1196" w:type="dxa"/>
            <w:vAlign w:val="bottom"/>
          </w:tcPr>
          <w:p w14:paraId="2ECDEAF9" w14:textId="77777777" w:rsidR="0010523F" w:rsidRPr="0010523F" w:rsidRDefault="0010523F" w:rsidP="0010523F">
            <w:pPr>
              <w:spacing w:line="80" w:lineRule="exact"/>
              <w:ind w:right="89"/>
              <w:jc w:val="right"/>
              <w:rPr>
                <w:snapToGrid w:val="0"/>
                <w:color w:val="000000"/>
                <w:sz w:val="20"/>
                <w:szCs w:val="20"/>
                <w:highlight w:val="yellow"/>
                <w:lang w:val="es-AR" w:eastAsia="en-US"/>
              </w:rPr>
            </w:pPr>
          </w:p>
        </w:tc>
      </w:tr>
      <w:tr w:rsidR="0010523F" w:rsidRPr="0010523F" w14:paraId="3569475B" w14:textId="77777777" w:rsidTr="00774E7E">
        <w:trPr>
          <w:trHeight w:val="227"/>
        </w:trPr>
        <w:tc>
          <w:tcPr>
            <w:tcW w:w="7371" w:type="dxa"/>
            <w:vAlign w:val="bottom"/>
          </w:tcPr>
          <w:p w14:paraId="493E79D1" w14:textId="77777777" w:rsidR="0010523F" w:rsidRPr="0010523F" w:rsidRDefault="0010523F" w:rsidP="0010523F">
            <w:pPr>
              <w:tabs>
                <w:tab w:val="left" w:pos="284"/>
              </w:tabs>
              <w:spacing w:line="200" w:lineRule="exact"/>
              <w:jc w:val="both"/>
              <w:rPr>
                <w:bCs/>
                <w:snapToGrid w:val="0"/>
                <w:color w:val="000000"/>
                <w:sz w:val="20"/>
                <w:szCs w:val="20"/>
                <w:lang w:val="es-AR" w:eastAsia="en-US"/>
              </w:rPr>
            </w:pPr>
            <w:r w:rsidRPr="0010523F">
              <w:rPr>
                <w:bCs/>
                <w:snapToGrid w:val="0"/>
                <w:color w:val="000000"/>
                <w:sz w:val="20"/>
                <w:szCs w:val="20"/>
                <w:lang w:val="es-AR" w:eastAsia="en-US"/>
              </w:rPr>
              <w:tab/>
              <w:t>Cambios en activos y pasivos operativos:</w:t>
            </w:r>
          </w:p>
        </w:tc>
        <w:tc>
          <w:tcPr>
            <w:tcW w:w="1246" w:type="dxa"/>
            <w:shd w:val="clear" w:color="auto" w:fill="auto"/>
            <w:vAlign w:val="bottom"/>
          </w:tcPr>
          <w:p w14:paraId="7CD423C2"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p>
        </w:tc>
        <w:tc>
          <w:tcPr>
            <w:tcW w:w="80" w:type="dxa"/>
          </w:tcPr>
          <w:p w14:paraId="716CCBB3" w14:textId="77777777" w:rsidR="0010523F" w:rsidRPr="0010523F" w:rsidRDefault="0010523F" w:rsidP="0010523F">
            <w:pPr>
              <w:tabs>
                <w:tab w:val="decimal" w:pos="995"/>
              </w:tabs>
              <w:spacing w:line="200" w:lineRule="exact"/>
              <w:ind w:left="-7"/>
              <w:jc w:val="both"/>
              <w:rPr>
                <w:snapToGrid w:val="0"/>
                <w:color w:val="000000"/>
                <w:sz w:val="20"/>
                <w:szCs w:val="20"/>
                <w:highlight w:val="yellow"/>
                <w:lang w:val="es-AR" w:eastAsia="en-US"/>
              </w:rPr>
            </w:pPr>
          </w:p>
        </w:tc>
        <w:tc>
          <w:tcPr>
            <w:tcW w:w="1196" w:type="dxa"/>
            <w:vAlign w:val="bottom"/>
          </w:tcPr>
          <w:p w14:paraId="75CF868A" w14:textId="77777777" w:rsidR="0010523F" w:rsidRPr="0010523F" w:rsidRDefault="0010523F" w:rsidP="0010523F">
            <w:pPr>
              <w:spacing w:line="200" w:lineRule="exact"/>
              <w:ind w:left="-7" w:right="89"/>
              <w:jc w:val="right"/>
              <w:rPr>
                <w:snapToGrid w:val="0"/>
                <w:color w:val="000000"/>
                <w:sz w:val="20"/>
                <w:szCs w:val="20"/>
                <w:highlight w:val="yellow"/>
                <w:lang w:val="es-AR" w:eastAsia="en-US"/>
              </w:rPr>
            </w:pPr>
          </w:p>
        </w:tc>
      </w:tr>
      <w:tr w:rsidR="0010523F" w:rsidRPr="0010523F" w14:paraId="1EF14231" w14:textId="77777777" w:rsidTr="00774E7E">
        <w:tc>
          <w:tcPr>
            <w:tcW w:w="7371" w:type="dxa"/>
            <w:vAlign w:val="bottom"/>
          </w:tcPr>
          <w:p w14:paraId="22E34534" w14:textId="77777777" w:rsidR="0010523F" w:rsidRPr="0010523F" w:rsidRDefault="0010523F" w:rsidP="0010523F">
            <w:pPr>
              <w:spacing w:line="80" w:lineRule="exact"/>
              <w:rPr>
                <w:snapToGrid w:val="0"/>
                <w:color w:val="000000"/>
                <w:sz w:val="20"/>
                <w:szCs w:val="20"/>
                <w:lang w:val="es-AR" w:eastAsia="en-US"/>
              </w:rPr>
            </w:pPr>
          </w:p>
        </w:tc>
        <w:tc>
          <w:tcPr>
            <w:tcW w:w="1246" w:type="dxa"/>
            <w:shd w:val="clear" w:color="auto" w:fill="auto"/>
            <w:vAlign w:val="bottom"/>
          </w:tcPr>
          <w:p w14:paraId="03E298E3" w14:textId="77777777" w:rsidR="0010523F" w:rsidRPr="0010523F" w:rsidRDefault="0010523F" w:rsidP="0010523F">
            <w:pPr>
              <w:tabs>
                <w:tab w:val="decimal" w:pos="1300"/>
              </w:tabs>
              <w:spacing w:line="80" w:lineRule="exact"/>
              <w:ind w:left="-7"/>
              <w:rPr>
                <w:snapToGrid w:val="0"/>
                <w:color w:val="000000"/>
                <w:sz w:val="20"/>
                <w:szCs w:val="20"/>
                <w:lang w:val="es-AR" w:eastAsia="en-US"/>
              </w:rPr>
            </w:pPr>
          </w:p>
        </w:tc>
        <w:tc>
          <w:tcPr>
            <w:tcW w:w="80" w:type="dxa"/>
          </w:tcPr>
          <w:p w14:paraId="270FEA66" w14:textId="77777777" w:rsidR="0010523F" w:rsidRPr="0010523F" w:rsidRDefault="0010523F" w:rsidP="0010523F">
            <w:pPr>
              <w:tabs>
                <w:tab w:val="decimal" w:pos="995"/>
              </w:tabs>
              <w:spacing w:line="80" w:lineRule="exact"/>
              <w:ind w:left="-7"/>
              <w:rPr>
                <w:snapToGrid w:val="0"/>
                <w:color w:val="000000"/>
                <w:sz w:val="20"/>
                <w:szCs w:val="20"/>
                <w:highlight w:val="yellow"/>
                <w:lang w:val="es-AR" w:eastAsia="en-US"/>
              </w:rPr>
            </w:pPr>
          </w:p>
        </w:tc>
        <w:tc>
          <w:tcPr>
            <w:tcW w:w="1196" w:type="dxa"/>
            <w:vAlign w:val="bottom"/>
          </w:tcPr>
          <w:p w14:paraId="28A00BCB" w14:textId="77777777" w:rsidR="0010523F" w:rsidRPr="0010523F" w:rsidRDefault="0010523F" w:rsidP="0010523F">
            <w:pPr>
              <w:spacing w:line="80" w:lineRule="exact"/>
              <w:ind w:left="-7" w:right="89"/>
              <w:jc w:val="right"/>
              <w:rPr>
                <w:snapToGrid w:val="0"/>
                <w:color w:val="000000"/>
                <w:sz w:val="20"/>
                <w:szCs w:val="20"/>
                <w:highlight w:val="yellow"/>
                <w:lang w:val="es-AR" w:eastAsia="en-US"/>
              </w:rPr>
            </w:pPr>
          </w:p>
        </w:tc>
      </w:tr>
      <w:tr w:rsidR="0010523F" w:rsidRPr="0010523F" w14:paraId="58423EDD" w14:textId="77777777" w:rsidTr="00774E7E">
        <w:trPr>
          <w:trHeight w:val="170"/>
        </w:trPr>
        <w:tc>
          <w:tcPr>
            <w:tcW w:w="7371" w:type="dxa"/>
            <w:vAlign w:val="bottom"/>
          </w:tcPr>
          <w:p w14:paraId="2885044E"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Aumento de créditos por ventas</w:t>
            </w:r>
          </w:p>
        </w:tc>
        <w:tc>
          <w:tcPr>
            <w:tcW w:w="1246" w:type="dxa"/>
            <w:shd w:val="clear" w:color="auto" w:fill="auto"/>
            <w:vAlign w:val="bottom"/>
          </w:tcPr>
          <w:p w14:paraId="1202E826"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   4.644)</w:t>
            </w:r>
          </w:p>
        </w:tc>
        <w:tc>
          <w:tcPr>
            <w:tcW w:w="80" w:type="dxa"/>
          </w:tcPr>
          <w:p w14:paraId="1490BC0B"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0F8ABB5B"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3.673)</w:t>
            </w:r>
          </w:p>
        </w:tc>
      </w:tr>
      <w:tr w:rsidR="0010523F" w:rsidRPr="0010523F" w14:paraId="200F7A74" w14:textId="77777777" w:rsidTr="00774E7E">
        <w:trPr>
          <w:trHeight w:val="170"/>
        </w:trPr>
        <w:tc>
          <w:tcPr>
            <w:tcW w:w="7371" w:type="dxa"/>
            <w:vAlign w:val="bottom"/>
          </w:tcPr>
          <w:p w14:paraId="007295F5"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Aumento de inventarios</w:t>
            </w:r>
          </w:p>
        </w:tc>
        <w:tc>
          <w:tcPr>
            <w:tcW w:w="1246" w:type="dxa"/>
            <w:shd w:val="clear" w:color="auto" w:fill="auto"/>
            <w:vAlign w:val="bottom"/>
          </w:tcPr>
          <w:p w14:paraId="46EF7A2C"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   5.467)</w:t>
            </w:r>
          </w:p>
        </w:tc>
        <w:tc>
          <w:tcPr>
            <w:tcW w:w="80" w:type="dxa"/>
          </w:tcPr>
          <w:p w14:paraId="6C2EBD3A"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581E5E2B"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1.725)</w:t>
            </w:r>
          </w:p>
        </w:tc>
      </w:tr>
      <w:tr w:rsidR="0010523F" w:rsidRPr="0010523F" w14:paraId="671E0405" w14:textId="77777777" w:rsidTr="00774E7E">
        <w:trPr>
          <w:trHeight w:val="170"/>
        </w:trPr>
        <w:tc>
          <w:tcPr>
            <w:tcW w:w="7371" w:type="dxa"/>
            <w:vAlign w:val="bottom"/>
          </w:tcPr>
          <w:p w14:paraId="0CD97E06"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Disminución de otros créditos</w:t>
            </w:r>
          </w:p>
        </w:tc>
        <w:tc>
          <w:tcPr>
            <w:tcW w:w="1246" w:type="dxa"/>
            <w:shd w:val="clear" w:color="auto" w:fill="auto"/>
            <w:vAlign w:val="bottom"/>
          </w:tcPr>
          <w:p w14:paraId="0EC46368"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1.167</w:t>
            </w:r>
          </w:p>
        </w:tc>
        <w:tc>
          <w:tcPr>
            <w:tcW w:w="80" w:type="dxa"/>
          </w:tcPr>
          <w:p w14:paraId="1F263B3D"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18BB5E51"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1.010</w:t>
            </w:r>
          </w:p>
        </w:tc>
      </w:tr>
      <w:tr w:rsidR="0010523F" w:rsidRPr="0010523F" w14:paraId="3FF2B97A" w14:textId="77777777" w:rsidTr="00774E7E">
        <w:trPr>
          <w:trHeight w:val="170"/>
        </w:trPr>
        <w:tc>
          <w:tcPr>
            <w:tcW w:w="7371" w:type="dxa"/>
            <w:vAlign w:val="bottom"/>
          </w:tcPr>
          <w:p w14:paraId="058D0F4F"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Aumento neto de cuentas por pagar, remuneraciones y cargas</w:t>
            </w:r>
          </w:p>
          <w:p w14:paraId="0F90F4DC"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 xml:space="preserve"> sociales, deudas fiscales netas de provisiones y anticipos de clientes </w:t>
            </w:r>
          </w:p>
        </w:tc>
        <w:tc>
          <w:tcPr>
            <w:tcW w:w="1246" w:type="dxa"/>
            <w:shd w:val="clear" w:color="auto" w:fill="auto"/>
            <w:vAlign w:val="bottom"/>
          </w:tcPr>
          <w:p w14:paraId="470E6760"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5.407</w:t>
            </w:r>
          </w:p>
        </w:tc>
        <w:tc>
          <w:tcPr>
            <w:tcW w:w="80" w:type="dxa"/>
          </w:tcPr>
          <w:p w14:paraId="0EA0A458"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43CD8EF9"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4.220</w:t>
            </w:r>
          </w:p>
        </w:tc>
      </w:tr>
      <w:tr w:rsidR="0010523F" w:rsidRPr="0010523F" w14:paraId="5DE141AF" w14:textId="77777777" w:rsidTr="00774E7E">
        <w:trPr>
          <w:trHeight w:val="170"/>
        </w:trPr>
        <w:tc>
          <w:tcPr>
            <w:tcW w:w="7371" w:type="dxa"/>
            <w:vAlign w:val="bottom"/>
          </w:tcPr>
          <w:p w14:paraId="5DC2610C"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 xml:space="preserve">Compensaciones abonadas al personal por planes de beneficios </w:t>
            </w:r>
          </w:p>
          <w:p w14:paraId="05120080" w14:textId="77777777" w:rsidR="0010523F" w:rsidRPr="0010523F" w:rsidRDefault="0010523F" w:rsidP="0010523F">
            <w:pPr>
              <w:tabs>
                <w:tab w:val="left" w:pos="284"/>
              </w:tabs>
              <w:spacing w:line="200" w:lineRule="exact"/>
              <w:jc w:val="both"/>
              <w:rPr>
                <w:strike/>
                <w:snapToGrid w:val="0"/>
                <w:color w:val="000000"/>
                <w:sz w:val="20"/>
                <w:szCs w:val="20"/>
                <w:lang w:val="es-AR" w:eastAsia="en-US"/>
              </w:rPr>
            </w:pPr>
            <w:r w:rsidRPr="0010523F">
              <w:rPr>
                <w:snapToGrid w:val="0"/>
                <w:color w:val="000000"/>
                <w:sz w:val="20"/>
                <w:szCs w:val="20"/>
                <w:lang w:val="es-AR" w:eastAsia="en-US"/>
              </w:rPr>
              <w:tab/>
              <w:t xml:space="preserve"> y contribuciones definidos</w:t>
            </w:r>
          </w:p>
        </w:tc>
        <w:tc>
          <w:tcPr>
            <w:tcW w:w="1246" w:type="dxa"/>
            <w:shd w:val="clear" w:color="auto" w:fill="auto"/>
            <w:vAlign w:val="bottom"/>
          </w:tcPr>
          <w:p w14:paraId="1EA9DAA3"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      177)</w:t>
            </w:r>
          </w:p>
        </w:tc>
        <w:tc>
          <w:tcPr>
            <w:tcW w:w="80" w:type="dxa"/>
          </w:tcPr>
          <w:p w14:paraId="7535522A"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199E02E1"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75)</w:t>
            </w:r>
          </w:p>
        </w:tc>
      </w:tr>
      <w:tr w:rsidR="0010523F" w:rsidRPr="0010523F" w14:paraId="584D1D5E" w14:textId="77777777" w:rsidTr="00774E7E">
        <w:trPr>
          <w:trHeight w:val="170"/>
        </w:trPr>
        <w:tc>
          <w:tcPr>
            <w:tcW w:w="7371" w:type="dxa"/>
            <w:vAlign w:val="bottom"/>
          </w:tcPr>
          <w:p w14:paraId="25A1CF83"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Utilización de la provisión para juicios</w:t>
            </w:r>
          </w:p>
        </w:tc>
        <w:tc>
          <w:tcPr>
            <w:tcW w:w="1246" w:type="dxa"/>
            <w:shd w:val="clear" w:color="auto" w:fill="auto"/>
            <w:vAlign w:val="bottom"/>
          </w:tcPr>
          <w:p w14:paraId="4BA28E82"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   1.132)</w:t>
            </w:r>
          </w:p>
        </w:tc>
        <w:tc>
          <w:tcPr>
            <w:tcW w:w="80" w:type="dxa"/>
          </w:tcPr>
          <w:p w14:paraId="3641FABA"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1C3C81D2"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9)</w:t>
            </w:r>
          </w:p>
        </w:tc>
      </w:tr>
      <w:tr w:rsidR="0010523F" w:rsidRPr="0010523F" w14:paraId="2E2EE1BB" w14:textId="77777777" w:rsidTr="00774E7E">
        <w:trPr>
          <w:trHeight w:val="170"/>
        </w:trPr>
        <w:tc>
          <w:tcPr>
            <w:tcW w:w="7371" w:type="dxa"/>
            <w:vAlign w:val="bottom"/>
          </w:tcPr>
          <w:p w14:paraId="216C9550"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Utilización de la provisión para abandono de pozos y remediación</w:t>
            </w:r>
          </w:p>
        </w:tc>
        <w:tc>
          <w:tcPr>
            <w:tcW w:w="1246" w:type="dxa"/>
            <w:shd w:val="clear" w:color="auto" w:fill="auto"/>
            <w:vAlign w:val="bottom"/>
          </w:tcPr>
          <w:p w14:paraId="5DA8E2B2"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        88)</w:t>
            </w:r>
          </w:p>
        </w:tc>
        <w:tc>
          <w:tcPr>
            <w:tcW w:w="80" w:type="dxa"/>
          </w:tcPr>
          <w:p w14:paraId="330DAF31"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2F06AD30"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545)</w:t>
            </w:r>
          </w:p>
        </w:tc>
      </w:tr>
      <w:tr w:rsidR="0010523F" w:rsidRPr="0010523F" w14:paraId="20168BEB" w14:textId="77777777" w:rsidTr="00774E7E">
        <w:trPr>
          <w:trHeight w:val="170"/>
        </w:trPr>
        <w:tc>
          <w:tcPr>
            <w:tcW w:w="7371" w:type="dxa"/>
            <w:vAlign w:val="bottom"/>
          </w:tcPr>
          <w:p w14:paraId="57968DDC"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Impuesto a las ganancias pagado</w:t>
            </w:r>
          </w:p>
        </w:tc>
        <w:tc>
          <w:tcPr>
            <w:tcW w:w="1246" w:type="dxa"/>
            <w:shd w:val="clear" w:color="auto" w:fill="auto"/>
            <w:vAlign w:val="bottom"/>
          </w:tcPr>
          <w:p w14:paraId="45CD2356" w14:textId="77777777" w:rsidR="0010523F" w:rsidRPr="0010523F" w:rsidRDefault="0010523F" w:rsidP="0010523F">
            <w:pPr>
              <w:tabs>
                <w:tab w:val="decimal" w:pos="1300"/>
              </w:tabs>
              <w:spacing w:line="200" w:lineRule="exact"/>
              <w:ind w:left="-7"/>
              <w:jc w:val="both"/>
              <w:rPr>
                <w:snapToGrid w:val="0"/>
                <w:color w:val="000000"/>
                <w:sz w:val="20"/>
                <w:szCs w:val="20"/>
                <w:u w:val="single"/>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1.715</w:t>
            </w:r>
            <w:r w:rsidRPr="0010523F">
              <w:rPr>
                <w:snapToGrid w:val="0"/>
                <w:color w:val="000000"/>
                <w:sz w:val="20"/>
                <w:szCs w:val="20"/>
                <w:lang w:val="es-AR" w:eastAsia="en-US"/>
              </w:rPr>
              <w:t>)</w:t>
            </w:r>
          </w:p>
        </w:tc>
        <w:tc>
          <w:tcPr>
            <w:tcW w:w="80" w:type="dxa"/>
          </w:tcPr>
          <w:p w14:paraId="69D18217"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2578A31E" w14:textId="77777777" w:rsidR="0010523F" w:rsidRPr="0010523F" w:rsidRDefault="0010523F" w:rsidP="0010523F">
            <w:pPr>
              <w:spacing w:line="200" w:lineRule="exact"/>
              <w:ind w:left="-7" w:right="89"/>
              <w:jc w:val="right"/>
              <w:rPr>
                <w:snapToGrid w:val="0"/>
                <w:color w:val="000000"/>
                <w:sz w:val="20"/>
                <w:szCs w:val="20"/>
                <w:u w:val="single"/>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2.399</w:t>
            </w:r>
            <w:r w:rsidRPr="0010523F">
              <w:rPr>
                <w:snapToGrid w:val="0"/>
                <w:color w:val="000000"/>
                <w:sz w:val="20"/>
                <w:szCs w:val="20"/>
                <w:lang w:val="es-AR" w:eastAsia="en-US"/>
              </w:rPr>
              <w:t>)</w:t>
            </w:r>
          </w:p>
        </w:tc>
      </w:tr>
      <w:tr w:rsidR="0010523F" w:rsidRPr="0010523F" w14:paraId="66E47EBF" w14:textId="77777777" w:rsidTr="00774E7E">
        <w:trPr>
          <w:trHeight w:val="170"/>
        </w:trPr>
        <w:tc>
          <w:tcPr>
            <w:tcW w:w="7371" w:type="dxa"/>
            <w:vAlign w:val="bottom"/>
          </w:tcPr>
          <w:p w14:paraId="1C027DEE"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Efectivo neto generado por las operaciones</w:t>
            </w:r>
          </w:p>
        </w:tc>
        <w:tc>
          <w:tcPr>
            <w:tcW w:w="1246" w:type="dxa"/>
            <w:shd w:val="clear" w:color="auto" w:fill="auto"/>
            <w:vAlign w:val="bottom"/>
          </w:tcPr>
          <w:p w14:paraId="26A5D8D9" w14:textId="77777777" w:rsidR="0010523F" w:rsidRPr="0010523F" w:rsidRDefault="0010523F" w:rsidP="0010523F">
            <w:pPr>
              <w:tabs>
                <w:tab w:val="decimal" w:pos="1300"/>
              </w:tabs>
              <w:spacing w:line="180" w:lineRule="exact"/>
              <w:ind w:left="-7"/>
              <w:jc w:val="both"/>
              <w:rPr>
                <w:snapToGrid w:val="0"/>
                <w:color w:val="000000"/>
                <w:sz w:val="20"/>
                <w:szCs w:val="20"/>
                <w:u w:val="single"/>
                <w:lang w:val="es-AR" w:eastAsia="en-US"/>
              </w:rPr>
            </w:pPr>
            <w:r w:rsidRPr="0010523F">
              <w:rPr>
                <w:snapToGrid w:val="0"/>
                <w:color w:val="000000"/>
                <w:sz w:val="20"/>
                <w:szCs w:val="20"/>
                <w:u w:val="single"/>
                <w:lang w:val="es-AR" w:eastAsia="en-US"/>
              </w:rPr>
              <w:t xml:space="preserve">  48.072</w:t>
            </w:r>
          </w:p>
        </w:tc>
        <w:tc>
          <w:tcPr>
            <w:tcW w:w="80" w:type="dxa"/>
          </w:tcPr>
          <w:p w14:paraId="437CB7F3" w14:textId="77777777" w:rsidR="0010523F" w:rsidRPr="0010523F" w:rsidRDefault="0010523F" w:rsidP="0010523F">
            <w:pPr>
              <w:tabs>
                <w:tab w:val="decimal" w:pos="995"/>
              </w:tabs>
              <w:spacing w:line="180" w:lineRule="exact"/>
              <w:ind w:left="-7"/>
              <w:jc w:val="both"/>
              <w:rPr>
                <w:snapToGrid w:val="0"/>
                <w:color w:val="000000"/>
                <w:sz w:val="20"/>
                <w:szCs w:val="20"/>
                <w:u w:val="single"/>
                <w:lang w:val="es-AR" w:eastAsia="en-US"/>
              </w:rPr>
            </w:pPr>
          </w:p>
        </w:tc>
        <w:tc>
          <w:tcPr>
            <w:tcW w:w="1196" w:type="dxa"/>
            <w:vAlign w:val="bottom"/>
          </w:tcPr>
          <w:p w14:paraId="22A9CB2F" w14:textId="77777777" w:rsidR="0010523F" w:rsidRPr="0010523F" w:rsidRDefault="0010523F" w:rsidP="0010523F">
            <w:pPr>
              <w:spacing w:line="180" w:lineRule="exact"/>
              <w:ind w:left="-7" w:right="89"/>
              <w:jc w:val="right"/>
              <w:rPr>
                <w:snapToGrid w:val="0"/>
                <w:color w:val="000000"/>
                <w:sz w:val="20"/>
                <w:szCs w:val="20"/>
                <w:u w:val="single"/>
                <w:lang w:val="es-AR" w:eastAsia="en-US"/>
              </w:rPr>
            </w:pPr>
            <w:r w:rsidRPr="0010523F">
              <w:rPr>
                <w:snapToGrid w:val="0"/>
                <w:color w:val="000000"/>
                <w:sz w:val="20"/>
                <w:szCs w:val="20"/>
                <w:u w:val="single"/>
                <w:lang w:val="es-AR" w:eastAsia="en-US"/>
              </w:rPr>
              <w:t>33.677</w:t>
            </w:r>
          </w:p>
        </w:tc>
      </w:tr>
      <w:tr w:rsidR="0010523F" w:rsidRPr="0010523F" w14:paraId="1451EB0C" w14:textId="77777777" w:rsidTr="00774E7E">
        <w:tc>
          <w:tcPr>
            <w:tcW w:w="7371" w:type="dxa"/>
            <w:vAlign w:val="bottom"/>
          </w:tcPr>
          <w:p w14:paraId="66DF59D3" w14:textId="77777777" w:rsidR="0010523F" w:rsidRPr="0010523F" w:rsidRDefault="0010523F" w:rsidP="0010523F">
            <w:pPr>
              <w:spacing w:line="100" w:lineRule="exact"/>
              <w:rPr>
                <w:snapToGrid w:val="0"/>
                <w:color w:val="000000"/>
                <w:sz w:val="20"/>
                <w:szCs w:val="20"/>
                <w:lang w:val="es-AR" w:eastAsia="en-US"/>
              </w:rPr>
            </w:pPr>
          </w:p>
        </w:tc>
        <w:tc>
          <w:tcPr>
            <w:tcW w:w="1246" w:type="dxa"/>
            <w:shd w:val="clear" w:color="auto" w:fill="auto"/>
            <w:vAlign w:val="bottom"/>
          </w:tcPr>
          <w:p w14:paraId="2185D7D5" w14:textId="77777777" w:rsidR="0010523F" w:rsidRPr="0010523F" w:rsidRDefault="0010523F" w:rsidP="0010523F">
            <w:pPr>
              <w:tabs>
                <w:tab w:val="decimal" w:pos="1300"/>
              </w:tabs>
              <w:spacing w:line="100" w:lineRule="exact"/>
              <w:ind w:left="-7"/>
              <w:rPr>
                <w:snapToGrid w:val="0"/>
                <w:color w:val="000000"/>
                <w:sz w:val="20"/>
                <w:szCs w:val="20"/>
                <w:lang w:val="es-AR" w:eastAsia="en-US"/>
              </w:rPr>
            </w:pPr>
          </w:p>
        </w:tc>
        <w:tc>
          <w:tcPr>
            <w:tcW w:w="80" w:type="dxa"/>
          </w:tcPr>
          <w:p w14:paraId="26B5DA9A" w14:textId="77777777" w:rsidR="0010523F" w:rsidRPr="0010523F" w:rsidRDefault="0010523F" w:rsidP="0010523F">
            <w:pPr>
              <w:tabs>
                <w:tab w:val="decimal" w:pos="995"/>
              </w:tabs>
              <w:spacing w:line="100" w:lineRule="exact"/>
              <w:ind w:left="-7"/>
              <w:rPr>
                <w:snapToGrid w:val="0"/>
                <w:color w:val="000000"/>
                <w:sz w:val="20"/>
                <w:szCs w:val="20"/>
                <w:highlight w:val="yellow"/>
                <w:lang w:val="es-AR" w:eastAsia="en-US"/>
              </w:rPr>
            </w:pPr>
          </w:p>
        </w:tc>
        <w:tc>
          <w:tcPr>
            <w:tcW w:w="1196" w:type="dxa"/>
            <w:vAlign w:val="bottom"/>
          </w:tcPr>
          <w:p w14:paraId="298FFFB7" w14:textId="77777777" w:rsidR="0010523F" w:rsidRPr="0010523F" w:rsidRDefault="0010523F" w:rsidP="0010523F">
            <w:pPr>
              <w:spacing w:line="100" w:lineRule="exact"/>
              <w:ind w:left="-7" w:right="89"/>
              <w:jc w:val="right"/>
              <w:rPr>
                <w:snapToGrid w:val="0"/>
                <w:color w:val="000000"/>
                <w:sz w:val="20"/>
                <w:szCs w:val="20"/>
                <w:highlight w:val="yellow"/>
                <w:lang w:val="es-AR" w:eastAsia="en-US"/>
              </w:rPr>
            </w:pPr>
          </w:p>
        </w:tc>
      </w:tr>
      <w:tr w:rsidR="0010523F" w:rsidRPr="0010523F" w14:paraId="3D7530C4" w14:textId="77777777" w:rsidTr="00774E7E">
        <w:trPr>
          <w:trHeight w:val="170"/>
        </w:trPr>
        <w:tc>
          <w:tcPr>
            <w:tcW w:w="7371" w:type="dxa"/>
            <w:vAlign w:val="bottom"/>
          </w:tcPr>
          <w:p w14:paraId="25B2DD7D" w14:textId="77777777" w:rsidR="0010523F" w:rsidRPr="0010523F" w:rsidRDefault="0010523F" w:rsidP="0010523F">
            <w:pPr>
              <w:spacing w:line="180" w:lineRule="exact"/>
              <w:jc w:val="both"/>
              <w:rPr>
                <w:snapToGrid w:val="0"/>
                <w:color w:val="000000"/>
                <w:sz w:val="20"/>
                <w:szCs w:val="20"/>
                <w:lang w:val="es-AR" w:eastAsia="en-US"/>
              </w:rPr>
            </w:pPr>
            <w:r w:rsidRPr="0010523F">
              <w:rPr>
                <w:b/>
                <w:bCs/>
                <w:snapToGrid w:val="0"/>
                <w:color w:val="000000"/>
                <w:sz w:val="20"/>
                <w:szCs w:val="20"/>
                <w:lang w:val="es-AR" w:eastAsia="en-US"/>
              </w:rPr>
              <w:t>Efectivo aplicado a las actividades de inversión</w:t>
            </w:r>
            <w:r w:rsidRPr="0010523F">
              <w:rPr>
                <w:snapToGrid w:val="0"/>
                <w:color w:val="000000"/>
                <w:sz w:val="20"/>
                <w:szCs w:val="20"/>
                <w:lang w:val="es-AR" w:eastAsia="en-US"/>
              </w:rPr>
              <w:t>:</w:t>
            </w:r>
          </w:p>
        </w:tc>
        <w:tc>
          <w:tcPr>
            <w:tcW w:w="1246" w:type="dxa"/>
            <w:shd w:val="clear" w:color="auto" w:fill="auto"/>
            <w:vAlign w:val="bottom"/>
          </w:tcPr>
          <w:p w14:paraId="59E7CBBE" w14:textId="77777777" w:rsidR="0010523F" w:rsidRPr="0010523F" w:rsidRDefault="0010523F" w:rsidP="0010523F">
            <w:pPr>
              <w:tabs>
                <w:tab w:val="decimal" w:pos="1300"/>
              </w:tabs>
              <w:spacing w:line="180" w:lineRule="exact"/>
              <w:ind w:left="-7"/>
              <w:jc w:val="both"/>
              <w:rPr>
                <w:snapToGrid w:val="0"/>
                <w:color w:val="000000"/>
                <w:sz w:val="20"/>
                <w:szCs w:val="20"/>
                <w:u w:val="single"/>
                <w:lang w:val="es-AR" w:eastAsia="en-US"/>
              </w:rPr>
            </w:pPr>
          </w:p>
        </w:tc>
        <w:tc>
          <w:tcPr>
            <w:tcW w:w="80" w:type="dxa"/>
          </w:tcPr>
          <w:p w14:paraId="2C800EDE" w14:textId="77777777" w:rsidR="0010523F" w:rsidRPr="0010523F" w:rsidRDefault="0010523F" w:rsidP="0010523F">
            <w:pPr>
              <w:tabs>
                <w:tab w:val="decimal" w:pos="995"/>
              </w:tabs>
              <w:spacing w:line="180" w:lineRule="exact"/>
              <w:ind w:left="-7"/>
              <w:jc w:val="both"/>
              <w:rPr>
                <w:snapToGrid w:val="0"/>
                <w:color w:val="000000"/>
                <w:sz w:val="20"/>
                <w:szCs w:val="20"/>
                <w:highlight w:val="yellow"/>
                <w:u w:val="single"/>
                <w:lang w:val="es-AR" w:eastAsia="en-US"/>
              </w:rPr>
            </w:pPr>
          </w:p>
        </w:tc>
        <w:tc>
          <w:tcPr>
            <w:tcW w:w="1196" w:type="dxa"/>
            <w:vAlign w:val="bottom"/>
          </w:tcPr>
          <w:p w14:paraId="47C72221" w14:textId="77777777" w:rsidR="0010523F" w:rsidRPr="0010523F" w:rsidRDefault="0010523F" w:rsidP="0010523F">
            <w:pPr>
              <w:spacing w:line="180" w:lineRule="exact"/>
              <w:ind w:left="-7" w:right="89"/>
              <w:jc w:val="right"/>
              <w:rPr>
                <w:snapToGrid w:val="0"/>
                <w:color w:val="000000"/>
                <w:sz w:val="20"/>
                <w:szCs w:val="20"/>
                <w:highlight w:val="yellow"/>
                <w:u w:val="single"/>
                <w:lang w:val="es-AR" w:eastAsia="en-US"/>
              </w:rPr>
            </w:pPr>
          </w:p>
        </w:tc>
      </w:tr>
      <w:tr w:rsidR="0010523F" w:rsidRPr="0010523F" w14:paraId="1F01D29D" w14:textId="77777777" w:rsidTr="00774E7E">
        <w:tc>
          <w:tcPr>
            <w:tcW w:w="7371" w:type="dxa"/>
            <w:vAlign w:val="bottom"/>
          </w:tcPr>
          <w:p w14:paraId="53DCB4CE" w14:textId="77777777" w:rsidR="0010523F" w:rsidRPr="0010523F" w:rsidRDefault="0010523F" w:rsidP="0010523F">
            <w:pPr>
              <w:spacing w:line="80" w:lineRule="exact"/>
              <w:rPr>
                <w:snapToGrid w:val="0"/>
                <w:color w:val="000000"/>
                <w:sz w:val="20"/>
                <w:szCs w:val="20"/>
                <w:lang w:val="es-AR" w:eastAsia="en-US"/>
              </w:rPr>
            </w:pPr>
          </w:p>
        </w:tc>
        <w:tc>
          <w:tcPr>
            <w:tcW w:w="1246" w:type="dxa"/>
            <w:shd w:val="clear" w:color="auto" w:fill="auto"/>
            <w:vAlign w:val="bottom"/>
          </w:tcPr>
          <w:p w14:paraId="5511285D" w14:textId="77777777" w:rsidR="0010523F" w:rsidRPr="0010523F" w:rsidRDefault="0010523F" w:rsidP="0010523F">
            <w:pPr>
              <w:tabs>
                <w:tab w:val="decimal" w:pos="1300"/>
              </w:tabs>
              <w:spacing w:line="80" w:lineRule="exact"/>
              <w:ind w:left="-7"/>
              <w:rPr>
                <w:snapToGrid w:val="0"/>
                <w:color w:val="000000"/>
                <w:sz w:val="20"/>
                <w:szCs w:val="20"/>
                <w:lang w:val="es-AR" w:eastAsia="en-US"/>
              </w:rPr>
            </w:pPr>
          </w:p>
        </w:tc>
        <w:tc>
          <w:tcPr>
            <w:tcW w:w="80" w:type="dxa"/>
          </w:tcPr>
          <w:p w14:paraId="0E465659" w14:textId="77777777" w:rsidR="0010523F" w:rsidRPr="0010523F" w:rsidRDefault="0010523F" w:rsidP="0010523F">
            <w:pPr>
              <w:tabs>
                <w:tab w:val="decimal" w:pos="995"/>
              </w:tabs>
              <w:spacing w:line="80" w:lineRule="exact"/>
              <w:ind w:left="-7"/>
              <w:rPr>
                <w:snapToGrid w:val="0"/>
                <w:color w:val="000000"/>
                <w:sz w:val="20"/>
                <w:szCs w:val="20"/>
                <w:highlight w:val="yellow"/>
                <w:lang w:val="es-AR" w:eastAsia="en-US"/>
              </w:rPr>
            </w:pPr>
          </w:p>
        </w:tc>
        <w:tc>
          <w:tcPr>
            <w:tcW w:w="1196" w:type="dxa"/>
            <w:vAlign w:val="bottom"/>
          </w:tcPr>
          <w:p w14:paraId="3B6B50A6" w14:textId="77777777" w:rsidR="0010523F" w:rsidRPr="0010523F" w:rsidRDefault="0010523F" w:rsidP="0010523F">
            <w:pPr>
              <w:spacing w:line="80" w:lineRule="exact"/>
              <w:ind w:left="-7" w:right="89"/>
              <w:jc w:val="right"/>
              <w:rPr>
                <w:snapToGrid w:val="0"/>
                <w:color w:val="000000"/>
                <w:sz w:val="20"/>
                <w:szCs w:val="20"/>
                <w:highlight w:val="yellow"/>
                <w:lang w:val="es-AR" w:eastAsia="en-US"/>
              </w:rPr>
            </w:pPr>
          </w:p>
        </w:tc>
      </w:tr>
      <w:tr w:rsidR="0010523F" w:rsidRPr="0010523F" w14:paraId="21C0CDB0" w14:textId="77777777" w:rsidTr="00774E7E">
        <w:trPr>
          <w:trHeight w:val="227"/>
        </w:trPr>
        <w:tc>
          <w:tcPr>
            <w:tcW w:w="7371" w:type="dxa"/>
            <w:vAlign w:val="bottom"/>
          </w:tcPr>
          <w:p w14:paraId="23F99080"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 xml:space="preserve">Cobro por ventas, amortizaciones e intereses de inversiones </w:t>
            </w:r>
          </w:p>
        </w:tc>
        <w:tc>
          <w:tcPr>
            <w:tcW w:w="1246" w:type="dxa"/>
            <w:shd w:val="clear" w:color="auto" w:fill="auto"/>
            <w:vAlign w:val="bottom"/>
          </w:tcPr>
          <w:p w14:paraId="38295292"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4.895</w:t>
            </w:r>
          </w:p>
        </w:tc>
        <w:tc>
          <w:tcPr>
            <w:tcW w:w="80" w:type="dxa"/>
          </w:tcPr>
          <w:p w14:paraId="24517D3D"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653E4A99"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5.444</w:t>
            </w:r>
          </w:p>
        </w:tc>
      </w:tr>
      <w:tr w:rsidR="0010523F" w:rsidRPr="0010523F" w14:paraId="7C290698" w14:textId="77777777" w:rsidTr="00774E7E">
        <w:trPr>
          <w:trHeight w:val="227"/>
        </w:trPr>
        <w:tc>
          <w:tcPr>
            <w:tcW w:w="7371" w:type="dxa"/>
            <w:vAlign w:val="bottom"/>
          </w:tcPr>
          <w:p w14:paraId="7C9FA74F"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Adquisición de inversiones</w:t>
            </w:r>
          </w:p>
        </w:tc>
        <w:tc>
          <w:tcPr>
            <w:tcW w:w="1246" w:type="dxa"/>
            <w:shd w:val="clear" w:color="auto" w:fill="auto"/>
            <w:vAlign w:val="bottom"/>
          </w:tcPr>
          <w:p w14:paraId="13E281C1"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   3.037)</w:t>
            </w:r>
          </w:p>
        </w:tc>
        <w:tc>
          <w:tcPr>
            <w:tcW w:w="80" w:type="dxa"/>
          </w:tcPr>
          <w:p w14:paraId="73988CEC"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3E632256"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w:t>
            </w:r>
          </w:p>
        </w:tc>
      </w:tr>
      <w:tr w:rsidR="0010523F" w:rsidRPr="0010523F" w14:paraId="5056E06F" w14:textId="77777777" w:rsidTr="00774E7E">
        <w:trPr>
          <w:trHeight w:val="227"/>
        </w:trPr>
        <w:tc>
          <w:tcPr>
            <w:tcW w:w="7371" w:type="dxa"/>
            <w:vAlign w:val="bottom"/>
          </w:tcPr>
          <w:p w14:paraId="4CEEEEC1"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Adquisición de propiedad, planta y equipo</w:t>
            </w:r>
          </w:p>
        </w:tc>
        <w:tc>
          <w:tcPr>
            <w:tcW w:w="1246" w:type="dxa"/>
            <w:shd w:val="clear" w:color="auto" w:fill="auto"/>
            <w:vAlign w:val="bottom"/>
          </w:tcPr>
          <w:p w14:paraId="054A2D92"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( 47.654)</w:t>
            </w:r>
          </w:p>
        </w:tc>
        <w:tc>
          <w:tcPr>
            <w:tcW w:w="80" w:type="dxa"/>
          </w:tcPr>
          <w:p w14:paraId="09C2EA26"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159D5873"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(27.754)</w:t>
            </w:r>
          </w:p>
        </w:tc>
      </w:tr>
      <w:tr w:rsidR="0010523F" w:rsidRPr="0010523F" w14:paraId="0277FFB3" w14:textId="77777777" w:rsidTr="00774E7E">
        <w:trPr>
          <w:trHeight w:val="227"/>
        </w:trPr>
        <w:tc>
          <w:tcPr>
            <w:tcW w:w="7371" w:type="dxa"/>
            <w:vAlign w:val="bottom"/>
          </w:tcPr>
          <w:p w14:paraId="2FECE60E"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Altas de activos intangibles</w:t>
            </w:r>
          </w:p>
        </w:tc>
        <w:tc>
          <w:tcPr>
            <w:tcW w:w="1246" w:type="dxa"/>
            <w:shd w:val="clear" w:color="auto" w:fill="auto"/>
            <w:vAlign w:val="bottom"/>
          </w:tcPr>
          <w:p w14:paraId="2E4277DC"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        17)</w:t>
            </w:r>
          </w:p>
        </w:tc>
        <w:tc>
          <w:tcPr>
            <w:tcW w:w="80" w:type="dxa"/>
          </w:tcPr>
          <w:p w14:paraId="46FD056B"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73C5B32F"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5)</w:t>
            </w:r>
          </w:p>
        </w:tc>
      </w:tr>
      <w:tr w:rsidR="0010523F" w:rsidRPr="0010523F" w14:paraId="693407BD" w14:textId="77777777" w:rsidTr="00774E7E">
        <w:trPr>
          <w:trHeight w:val="227"/>
        </w:trPr>
        <w:tc>
          <w:tcPr>
            <w:tcW w:w="7371" w:type="dxa"/>
            <w:vAlign w:val="bottom"/>
          </w:tcPr>
          <w:p w14:paraId="50991F9D"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Cobro por venta de propiedad, planta y equipo</w:t>
            </w:r>
          </w:p>
        </w:tc>
        <w:tc>
          <w:tcPr>
            <w:tcW w:w="1246" w:type="dxa"/>
            <w:shd w:val="clear" w:color="auto" w:fill="auto"/>
            <w:vAlign w:val="bottom"/>
          </w:tcPr>
          <w:p w14:paraId="1D5E9C9C" w14:textId="77777777" w:rsidR="0010523F" w:rsidRPr="0010523F" w:rsidRDefault="0010523F" w:rsidP="0010523F">
            <w:pPr>
              <w:tabs>
                <w:tab w:val="decimal" w:pos="1300"/>
              </w:tabs>
              <w:spacing w:line="200" w:lineRule="exact"/>
              <w:ind w:left="-7"/>
              <w:jc w:val="both"/>
              <w:rPr>
                <w:snapToGrid w:val="0"/>
                <w:color w:val="000000"/>
                <w:sz w:val="20"/>
                <w:szCs w:val="20"/>
                <w:u w:val="single"/>
                <w:lang w:val="es-AR" w:eastAsia="en-US"/>
              </w:rPr>
            </w:pPr>
            <w:r w:rsidRPr="0010523F">
              <w:rPr>
                <w:snapToGrid w:val="0"/>
                <w:color w:val="000000"/>
                <w:sz w:val="20"/>
                <w:szCs w:val="20"/>
                <w:u w:val="single"/>
                <w:lang w:val="es-AR" w:eastAsia="en-US"/>
              </w:rPr>
              <w:t xml:space="preserve">        14</w:t>
            </w:r>
          </w:p>
        </w:tc>
        <w:tc>
          <w:tcPr>
            <w:tcW w:w="80" w:type="dxa"/>
          </w:tcPr>
          <w:p w14:paraId="51AADD98" w14:textId="77777777" w:rsidR="0010523F" w:rsidRPr="0010523F" w:rsidRDefault="0010523F" w:rsidP="0010523F">
            <w:pPr>
              <w:tabs>
                <w:tab w:val="decimal" w:pos="995"/>
              </w:tabs>
              <w:spacing w:line="200" w:lineRule="exact"/>
              <w:ind w:left="-7"/>
              <w:jc w:val="both"/>
              <w:rPr>
                <w:snapToGrid w:val="0"/>
                <w:color w:val="000000"/>
                <w:sz w:val="20"/>
                <w:szCs w:val="20"/>
                <w:u w:val="single"/>
                <w:lang w:val="es-AR" w:eastAsia="en-US"/>
              </w:rPr>
            </w:pPr>
          </w:p>
        </w:tc>
        <w:tc>
          <w:tcPr>
            <w:tcW w:w="1196" w:type="dxa"/>
            <w:vAlign w:val="bottom"/>
          </w:tcPr>
          <w:p w14:paraId="2303F0A7" w14:textId="77777777" w:rsidR="0010523F" w:rsidRPr="0010523F" w:rsidRDefault="0010523F" w:rsidP="0010523F">
            <w:pPr>
              <w:spacing w:line="200" w:lineRule="exact"/>
              <w:ind w:left="-7" w:right="89"/>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16</w:t>
            </w:r>
          </w:p>
        </w:tc>
      </w:tr>
      <w:tr w:rsidR="0010523F" w:rsidRPr="0010523F" w14:paraId="224E214E" w14:textId="77777777" w:rsidTr="00774E7E">
        <w:trPr>
          <w:trHeight w:val="227"/>
        </w:trPr>
        <w:tc>
          <w:tcPr>
            <w:tcW w:w="7371" w:type="dxa"/>
            <w:vAlign w:val="bottom"/>
          </w:tcPr>
          <w:p w14:paraId="0C19CC08"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Efectivo neto aplicado a las actividades de inversión</w:t>
            </w:r>
          </w:p>
        </w:tc>
        <w:tc>
          <w:tcPr>
            <w:tcW w:w="1246" w:type="dxa"/>
            <w:shd w:val="clear" w:color="auto" w:fill="auto"/>
            <w:vAlign w:val="bottom"/>
          </w:tcPr>
          <w:p w14:paraId="54B517BC"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45.799</w:t>
            </w:r>
            <w:r w:rsidRPr="0010523F">
              <w:rPr>
                <w:snapToGrid w:val="0"/>
                <w:color w:val="000000"/>
                <w:sz w:val="20"/>
                <w:szCs w:val="20"/>
                <w:lang w:val="es-AR" w:eastAsia="en-US"/>
              </w:rPr>
              <w:t>)</w:t>
            </w:r>
          </w:p>
        </w:tc>
        <w:tc>
          <w:tcPr>
            <w:tcW w:w="80" w:type="dxa"/>
          </w:tcPr>
          <w:p w14:paraId="425C766A"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7037A8A8"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22.299</w:t>
            </w:r>
            <w:r w:rsidRPr="0010523F">
              <w:rPr>
                <w:snapToGrid w:val="0"/>
                <w:color w:val="000000"/>
                <w:sz w:val="20"/>
                <w:szCs w:val="20"/>
                <w:lang w:val="es-AR" w:eastAsia="en-US"/>
              </w:rPr>
              <w:t>)</w:t>
            </w:r>
          </w:p>
        </w:tc>
      </w:tr>
      <w:tr w:rsidR="0010523F" w:rsidRPr="0010523F" w14:paraId="46029FCF" w14:textId="77777777" w:rsidTr="00774E7E">
        <w:tc>
          <w:tcPr>
            <w:tcW w:w="7371" w:type="dxa"/>
            <w:vAlign w:val="bottom"/>
          </w:tcPr>
          <w:p w14:paraId="2A6072F2" w14:textId="77777777" w:rsidR="0010523F" w:rsidRPr="0010523F" w:rsidRDefault="0010523F" w:rsidP="0010523F">
            <w:pPr>
              <w:spacing w:line="100" w:lineRule="exact"/>
              <w:jc w:val="both"/>
              <w:rPr>
                <w:sz w:val="22"/>
                <w:szCs w:val="22"/>
                <w:lang w:val="es-AR" w:eastAsia="en-US"/>
              </w:rPr>
            </w:pPr>
          </w:p>
        </w:tc>
        <w:tc>
          <w:tcPr>
            <w:tcW w:w="1246" w:type="dxa"/>
            <w:shd w:val="clear" w:color="auto" w:fill="auto"/>
            <w:vAlign w:val="bottom"/>
          </w:tcPr>
          <w:p w14:paraId="51267DF0" w14:textId="77777777" w:rsidR="0010523F" w:rsidRPr="0010523F" w:rsidRDefault="0010523F" w:rsidP="0010523F">
            <w:pPr>
              <w:spacing w:line="100" w:lineRule="exact"/>
              <w:jc w:val="both"/>
              <w:rPr>
                <w:sz w:val="22"/>
                <w:szCs w:val="22"/>
                <w:highlight w:val="yellow"/>
                <w:lang w:val="es-AR" w:eastAsia="en-US"/>
              </w:rPr>
            </w:pPr>
          </w:p>
        </w:tc>
        <w:tc>
          <w:tcPr>
            <w:tcW w:w="80" w:type="dxa"/>
          </w:tcPr>
          <w:p w14:paraId="4CBA39BA" w14:textId="77777777" w:rsidR="0010523F" w:rsidRPr="0010523F" w:rsidRDefault="0010523F" w:rsidP="0010523F">
            <w:pPr>
              <w:spacing w:line="100" w:lineRule="exact"/>
              <w:jc w:val="both"/>
              <w:rPr>
                <w:sz w:val="22"/>
                <w:szCs w:val="22"/>
                <w:lang w:val="es-AR" w:eastAsia="en-US"/>
              </w:rPr>
            </w:pPr>
          </w:p>
        </w:tc>
        <w:tc>
          <w:tcPr>
            <w:tcW w:w="1196" w:type="dxa"/>
            <w:vAlign w:val="bottom"/>
          </w:tcPr>
          <w:p w14:paraId="1F4570BC" w14:textId="77777777" w:rsidR="0010523F" w:rsidRPr="0010523F" w:rsidRDefault="0010523F" w:rsidP="0010523F">
            <w:pPr>
              <w:spacing w:line="100" w:lineRule="exact"/>
              <w:ind w:right="89"/>
              <w:jc w:val="right"/>
              <w:rPr>
                <w:sz w:val="22"/>
                <w:szCs w:val="22"/>
                <w:lang w:val="es-AR" w:eastAsia="en-US"/>
              </w:rPr>
            </w:pPr>
          </w:p>
        </w:tc>
      </w:tr>
      <w:tr w:rsidR="0010523F" w:rsidRPr="0010523F" w14:paraId="01A6CF2F" w14:textId="77777777" w:rsidTr="00774E7E">
        <w:trPr>
          <w:trHeight w:val="170"/>
        </w:trPr>
        <w:tc>
          <w:tcPr>
            <w:tcW w:w="7371" w:type="dxa"/>
            <w:vAlign w:val="bottom"/>
          </w:tcPr>
          <w:p w14:paraId="6DB994EC" w14:textId="77777777" w:rsidR="0010523F" w:rsidRPr="0010523F" w:rsidRDefault="0010523F" w:rsidP="0010523F">
            <w:pPr>
              <w:spacing w:line="200" w:lineRule="exact"/>
              <w:jc w:val="both"/>
              <w:rPr>
                <w:snapToGrid w:val="0"/>
                <w:color w:val="000000"/>
                <w:sz w:val="20"/>
                <w:szCs w:val="20"/>
                <w:lang w:val="es-AR" w:eastAsia="en-US"/>
              </w:rPr>
            </w:pPr>
            <w:r w:rsidRPr="0010523F">
              <w:rPr>
                <w:b/>
                <w:bCs/>
                <w:snapToGrid w:val="0"/>
                <w:color w:val="000000"/>
                <w:sz w:val="20"/>
                <w:szCs w:val="20"/>
                <w:lang w:val="es-AR" w:eastAsia="en-US"/>
              </w:rPr>
              <w:t>Efectivo aplicado a las actividades de financiación</w:t>
            </w:r>
            <w:r w:rsidRPr="0010523F">
              <w:rPr>
                <w:snapToGrid w:val="0"/>
                <w:color w:val="000000"/>
                <w:sz w:val="20"/>
                <w:szCs w:val="20"/>
                <w:lang w:val="es-AR" w:eastAsia="en-US"/>
              </w:rPr>
              <w:t>:</w:t>
            </w:r>
          </w:p>
        </w:tc>
        <w:tc>
          <w:tcPr>
            <w:tcW w:w="1246" w:type="dxa"/>
            <w:shd w:val="clear" w:color="auto" w:fill="auto"/>
            <w:vAlign w:val="bottom"/>
          </w:tcPr>
          <w:p w14:paraId="039321F1" w14:textId="77777777" w:rsidR="0010523F" w:rsidRPr="0010523F" w:rsidRDefault="0010523F" w:rsidP="0010523F">
            <w:pPr>
              <w:tabs>
                <w:tab w:val="decimal" w:pos="1300"/>
              </w:tabs>
              <w:spacing w:line="200" w:lineRule="exact"/>
              <w:ind w:left="-7"/>
              <w:jc w:val="both"/>
              <w:rPr>
                <w:snapToGrid w:val="0"/>
                <w:color w:val="000000"/>
                <w:sz w:val="20"/>
                <w:szCs w:val="20"/>
                <w:highlight w:val="yellow"/>
                <w:lang w:val="es-AR" w:eastAsia="en-US"/>
              </w:rPr>
            </w:pPr>
          </w:p>
        </w:tc>
        <w:tc>
          <w:tcPr>
            <w:tcW w:w="80" w:type="dxa"/>
          </w:tcPr>
          <w:p w14:paraId="3E89C5EF"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467B422F" w14:textId="77777777" w:rsidR="0010523F" w:rsidRPr="0010523F" w:rsidRDefault="0010523F" w:rsidP="0010523F">
            <w:pPr>
              <w:spacing w:line="200" w:lineRule="exact"/>
              <w:ind w:left="-7" w:right="89"/>
              <w:jc w:val="right"/>
              <w:rPr>
                <w:snapToGrid w:val="0"/>
                <w:color w:val="000000"/>
                <w:sz w:val="20"/>
                <w:szCs w:val="20"/>
                <w:lang w:val="es-AR" w:eastAsia="en-US"/>
              </w:rPr>
            </w:pPr>
          </w:p>
        </w:tc>
      </w:tr>
      <w:tr w:rsidR="0010523F" w:rsidRPr="0010523F" w14:paraId="3E576657" w14:textId="77777777" w:rsidTr="00774E7E">
        <w:tc>
          <w:tcPr>
            <w:tcW w:w="7371" w:type="dxa"/>
            <w:vAlign w:val="bottom"/>
          </w:tcPr>
          <w:p w14:paraId="7766E3D6" w14:textId="77777777" w:rsidR="0010523F" w:rsidRPr="0010523F" w:rsidRDefault="0010523F" w:rsidP="0010523F">
            <w:pPr>
              <w:spacing w:line="80" w:lineRule="exact"/>
              <w:jc w:val="both"/>
              <w:rPr>
                <w:sz w:val="22"/>
                <w:szCs w:val="22"/>
                <w:lang w:val="es-AR" w:eastAsia="en-US"/>
              </w:rPr>
            </w:pPr>
          </w:p>
        </w:tc>
        <w:tc>
          <w:tcPr>
            <w:tcW w:w="1246" w:type="dxa"/>
            <w:shd w:val="clear" w:color="auto" w:fill="auto"/>
            <w:vAlign w:val="bottom"/>
          </w:tcPr>
          <w:p w14:paraId="413F7790" w14:textId="77777777" w:rsidR="0010523F" w:rsidRPr="0010523F" w:rsidRDefault="0010523F" w:rsidP="0010523F">
            <w:pPr>
              <w:spacing w:line="80" w:lineRule="exact"/>
              <w:jc w:val="both"/>
              <w:rPr>
                <w:sz w:val="22"/>
                <w:szCs w:val="22"/>
                <w:lang w:val="es-AR" w:eastAsia="en-US"/>
              </w:rPr>
            </w:pPr>
          </w:p>
        </w:tc>
        <w:tc>
          <w:tcPr>
            <w:tcW w:w="80" w:type="dxa"/>
          </w:tcPr>
          <w:p w14:paraId="3ADAA734" w14:textId="77777777" w:rsidR="0010523F" w:rsidRPr="0010523F" w:rsidRDefault="0010523F" w:rsidP="0010523F">
            <w:pPr>
              <w:spacing w:line="80" w:lineRule="exact"/>
              <w:jc w:val="both"/>
              <w:rPr>
                <w:sz w:val="22"/>
                <w:szCs w:val="22"/>
                <w:lang w:val="es-AR" w:eastAsia="en-US"/>
              </w:rPr>
            </w:pPr>
          </w:p>
        </w:tc>
        <w:tc>
          <w:tcPr>
            <w:tcW w:w="1196" w:type="dxa"/>
            <w:vAlign w:val="bottom"/>
          </w:tcPr>
          <w:p w14:paraId="714D5233" w14:textId="77777777" w:rsidR="0010523F" w:rsidRPr="0010523F" w:rsidRDefault="0010523F" w:rsidP="0010523F">
            <w:pPr>
              <w:spacing w:line="80" w:lineRule="exact"/>
              <w:ind w:right="89"/>
              <w:jc w:val="right"/>
              <w:rPr>
                <w:sz w:val="22"/>
                <w:szCs w:val="22"/>
                <w:lang w:val="es-AR" w:eastAsia="en-US"/>
              </w:rPr>
            </w:pPr>
          </w:p>
        </w:tc>
      </w:tr>
      <w:tr w:rsidR="0010523F" w:rsidRPr="0010523F" w14:paraId="619C5DF9" w14:textId="77777777" w:rsidTr="00774E7E">
        <w:trPr>
          <w:trHeight w:val="227"/>
        </w:trPr>
        <w:tc>
          <w:tcPr>
            <w:tcW w:w="7371" w:type="dxa"/>
            <w:vAlign w:val="bottom"/>
          </w:tcPr>
          <w:p w14:paraId="39FDDC2A" w14:textId="77777777" w:rsidR="0010523F" w:rsidRPr="0010523F" w:rsidRDefault="0010523F" w:rsidP="0010523F">
            <w:pPr>
              <w:tabs>
                <w:tab w:val="left" w:pos="284"/>
              </w:tabs>
              <w:spacing w:line="200" w:lineRule="exact"/>
              <w:ind w:left="284"/>
              <w:jc w:val="both"/>
              <w:rPr>
                <w:snapToGrid w:val="0"/>
                <w:color w:val="000000"/>
                <w:sz w:val="20"/>
                <w:szCs w:val="20"/>
                <w:lang w:val="es-AR" w:eastAsia="en-US"/>
              </w:rPr>
            </w:pPr>
            <w:r w:rsidRPr="0010523F">
              <w:rPr>
                <w:snapToGrid w:val="0"/>
                <w:color w:val="000000"/>
                <w:sz w:val="20"/>
                <w:szCs w:val="20"/>
                <w:lang w:val="es-AR" w:eastAsia="en-US"/>
              </w:rPr>
              <w:t xml:space="preserve">Nuevos préstamos y obligaciones negociables </w:t>
            </w:r>
          </w:p>
        </w:tc>
        <w:tc>
          <w:tcPr>
            <w:tcW w:w="1246" w:type="dxa"/>
            <w:shd w:val="clear" w:color="auto" w:fill="auto"/>
            <w:vAlign w:val="bottom"/>
          </w:tcPr>
          <w:p w14:paraId="5AF418D0"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25.933</w:t>
            </w:r>
          </w:p>
        </w:tc>
        <w:tc>
          <w:tcPr>
            <w:tcW w:w="80" w:type="dxa"/>
          </w:tcPr>
          <w:p w14:paraId="6168D06E"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0D11093F"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16.512</w:t>
            </w:r>
          </w:p>
        </w:tc>
      </w:tr>
      <w:tr w:rsidR="0010523F" w:rsidRPr="0010523F" w14:paraId="56081253" w14:textId="77777777" w:rsidTr="00774E7E">
        <w:trPr>
          <w:trHeight w:val="227"/>
        </w:trPr>
        <w:tc>
          <w:tcPr>
            <w:tcW w:w="7371" w:type="dxa"/>
            <w:vAlign w:val="bottom"/>
          </w:tcPr>
          <w:p w14:paraId="46CDFA1D" w14:textId="77777777" w:rsidR="0010523F" w:rsidRPr="0010523F" w:rsidRDefault="0010523F" w:rsidP="0010523F">
            <w:pPr>
              <w:tabs>
                <w:tab w:val="left" w:pos="284"/>
              </w:tabs>
              <w:spacing w:line="200" w:lineRule="exact"/>
              <w:ind w:left="284"/>
              <w:jc w:val="both"/>
              <w:rPr>
                <w:snapToGrid w:val="0"/>
                <w:color w:val="000000"/>
                <w:sz w:val="20"/>
                <w:szCs w:val="20"/>
                <w:lang w:val="es-AR" w:eastAsia="en-US"/>
              </w:rPr>
            </w:pPr>
            <w:r w:rsidRPr="0010523F">
              <w:rPr>
                <w:snapToGrid w:val="0"/>
                <w:color w:val="000000"/>
                <w:sz w:val="20"/>
                <w:szCs w:val="20"/>
                <w:lang w:val="es-AR" w:eastAsia="en-US"/>
              </w:rPr>
              <w:t>Pago de préstamos y obligaciones negociables y deudas financieras por derecho a uso de activos</w:t>
            </w:r>
          </w:p>
        </w:tc>
        <w:tc>
          <w:tcPr>
            <w:tcW w:w="1246" w:type="dxa"/>
            <w:shd w:val="clear" w:color="auto" w:fill="auto"/>
            <w:vAlign w:val="bottom"/>
          </w:tcPr>
          <w:p w14:paraId="67011083"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(38.359)</w:t>
            </w:r>
          </w:p>
        </w:tc>
        <w:tc>
          <w:tcPr>
            <w:tcW w:w="80" w:type="dxa"/>
          </w:tcPr>
          <w:p w14:paraId="2EE35399"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620ADE89"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7.718)</w:t>
            </w:r>
          </w:p>
        </w:tc>
      </w:tr>
      <w:tr w:rsidR="0010523F" w:rsidRPr="0010523F" w14:paraId="1D6DDC92" w14:textId="77777777" w:rsidTr="00774E7E">
        <w:trPr>
          <w:trHeight w:val="227"/>
        </w:trPr>
        <w:tc>
          <w:tcPr>
            <w:tcW w:w="7371" w:type="dxa"/>
            <w:vAlign w:val="bottom"/>
          </w:tcPr>
          <w:p w14:paraId="0EB3CADA"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Disminución neta de préstamos con vencimiento de hasta tres meses</w:t>
            </w:r>
          </w:p>
          <w:p w14:paraId="2279D8BA"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ab/>
              <w:t>desde la fecha de su toma</w:t>
            </w:r>
          </w:p>
        </w:tc>
        <w:tc>
          <w:tcPr>
            <w:tcW w:w="1246" w:type="dxa"/>
            <w:shd w:val="clear" w:color="auto" w:fill="auto"/>
            <w:vAlign w:val="bottom"/>
          </w:tcPr>
          <w:p w14:paraId="377C0EA5"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3.175</w:t>
            </w:r>
          </w:p>
        </w:tc>
        <w:tc>
          <w:tcPr>
            <w:tcW w:w="80" w:type="dxa"/>
          </w:tcPr>
          <w:p w14:paraId="2D4A96D3"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2188F00D"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766)</w:t>
            </w:r>
          </w:p>
        </w:tc>
      </w:tr>
      <w:tr w:rsidR="0010523F" w:rsidRPr="0010523F" w14:paraId="58F9CD23" w14:textId="77777777" w:rsidTr="00774E7E">
        <w:trPr>
          <w:trHeight w:val="227"/>
        </w:trPr>
        <w:tc>
          <w:tcPr>
            <w:tcW w:w="7371" w:type="dxa"/>
            <w:vAlign w:val="bottom"/>
          </w:tcPr>
          <w:p w14:paraId="1AB38936" w14:textId="77777777" w:rsidR="0010523F" w:rsidRPr="0010523F" w:rsidRDefault="0010523F" w:rsidP="0010523F">
            <w:pPr>
              <w:tabs>
                <w:tab w:val="left" w:pos="284"/>
              </w:tabs>
              <w:spacing w:line="200" w:lineRule="exact"/>
              <w:ind w:left="284"/>
              <w:jc w:val="both"/>
              <w:rPr>
                <w:snapToGrid w:val="0"/>
                <w:color w:val="000000"/>
                <w:sz w:val="20"/>
                <w:szCs w:val="20"/>
                <w:lang w:val="es-AR" w:eastAsia="en-US"/>
              </w:rPr>
            </w:pPr>
            <w:r w:rsidRPr="0010523F">
              <w:rPr>
                <w:snapToGrid w:val="0"/>
                <w:color w:val="000000"/>
                <w:sz w:val="20"/>
                <w:szCs w:val="20"/>
                <w:lang w:val="es-AR" w:eastAsia="en-US"/>
              </w:rPr>
              <w:t>Pago de intereses por préstamos, obligaciones negociables y deudas financieras por derecho a uso de activos</w:t>
            </w:r>
          </w:p>
        </w:tc>
        <w:tc>
          <w:tcPr>
            <w:tcW w:w="1246" w:type="dxa"/>
            <w:shd w:val="clear" w:color="auto" w:fill="auto"/>
            <w:vAlign w:val="bottom"/>
          </w:tcPr>
          <w:p w14:paraId="74A38A9F" w14:textId="77777777" w:rsidR="0010523F" w:rsidRPr="0010523F" w:rsidRDefault="0010523F" w:rsidP="0010523F">
            <w:pPr>
              <w:tabs>
                <w:tab w:val="decimal" w:pos="1300"/>
              </w:tabs>
              <w:spacing w:line="200" w:lineRule="exact"/>
              <w:ind w:left="-7"/>
              <w:jc w:val="both"/>
              <w:rPr>
                <w:snapToGrid w:val="0"/>
                <w:color w:val="000000"/>
                <w:sz w:val="20"/>
                <w:szCs w:val="20"/>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5.084</w:t>
            </w:r>
            <w:r w:rsidRPr="0010523F">
              <w:rPr>
                <w:snapToGrid w:val="0"/>
                <w:color w:val="000000"/>
                <w:sz w:val="20"/>
                <w:szCs w:val="20"/>
                <w:lang w:val="es-AR" w:eastAsia="en-US"/>
              </w:rPr>
              <w:t>)</w:t>
            </w:r>
          </w:p>
        </w:tc>
        <w:tc>
          <w:tcPr>
            <w:tcW w:w="80" w:type="dxa"/>
          </w:tcPr>
          <w:p w14:paraId="4109E3D5"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337635C6"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 xml:space="preserve">  2.112</w:t>
            </w:r>
            <w:r w:rsidRPr="0010523F">
              <w:rPr>
                <w:snapToGrid w:val="0"/>
                <w:color w:val="000000"/>
                <w:sz w:val="20"/>
                <w:szCs w:val="20"/>
                <w:lang w:val="es-AR" w:eastAsia="en-US"/>
              </w:rPr>
              <w:t>)</w:t>
            </w:r>
          </w:p>
        </w:tc>
      </w:tr>
      <w:tr w:rsidR="0010523F" w:rsidRPr="0010523F" w14:paraId="56DE54BA" w14:textId="77777777" w:rsidTr="00774E7E">
        <w:trPr>
          <w:trHeight w:val="227"/>
        </w:trPr>
        <w:tc>
          <w:tcPr>
            <w:tcW w:w="7371" w:type="dxa"/>
            <w:vAlign w:val="bottom"/>
          </w:tcPr>
          <w:p w14:paraId="023F9A40"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Efectivo neto (aplicado a) generado por las actividades de financiación</w:t>
            </w:r>
          </w:p>
        </w:tc>
        <w:tc>
          <w:tcPr>
            <w:tcW w:w="1246" w:type="dxa"/>
            <w:shd w:val="clear" w:color="auto" w:fill="auto"/>
            <w:vAlign w:val="bottom"/>
          </w:tcPr>
          <w:p w14:paraId="5D0D3741" w14:textId="77777777" w:rsidR="0010523F" w:rsidRPr="0010523F" w:rsidRDefault="0010523F" w:rsidP="0010523F">
            <w:pPr>
              <w:tabs>
                <w:tab w:val="decimal" w:pos="1300"/>
              </w:tabs>
              <w:spacing w:line="200" w:lineRule="exact"/>
              <w:ind w:left="-7"/>
              <w:jc w:val="both"/>
              <w:rPr>
                <w:snapToGrid w:val="0"/>
                <w:color w:val="000000"/>
                <w:sz w:val="20"/>
                <w:szCs w:val="20"/>
                <w:u w:val="single"/>
                <w:lang w:val="es-AR" w:eastAsia="en-US"/>
              </w:rPr>
            </w:pPr>
            <w:r w:rsidRPr="0010523F">
              <w:rPr>
                <w:snapToGrid w:val="0"/>
                <w:color w:val="000000"/>
                <w:sz w:val="20"/>
                <w:szCs w:val="20"/>
                <w:lang w:val="es-AR" w:eastAsia="en-US"/>
              </w:rPr>
              <w:t>(</w:t>
            </w:r>
            <w:r w:rsidRPr="0010523F">
              <w:rPr>
                <w:snapToGrid w:val="0"/>
                <w:color w:val="000000"/>
                <w:sz w:val="20"/>
                <w:szCs w:val="20"/>
                <w:u w:val="single"/>
                <w:lang w:val="es-AR" w:eastAsia="en-US"/>
              </w:rPr>
              <w:t>14.335</w:t>
            </w:r>
            <w:r w:rsidRPr="0010523F">
              <w:rPr>
                <w:snapToGrid w:val="0"/>
                <w:color w:val="000000"/>
                <w:sz w:val="20"/>
                <w:szCs w:val="20"/>
                <w:lang w:val="es-AR" w:eastAsia="en-US"/>
              </w:rPr>
              <w:t>)</w:t>
            </w:r>
          </w:p>
        </w:tc>
        <w:tc>
          <w:tcPr>
            <w:tcW w:w="80" w:type="dxa"/>
          </w:tcPr>
          <w:p w14:paraId="5F0DA6AF"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29C071E6" w14:textId="77777777" w:rsidR="0010523F" w:rsidRPr="0010523F" w:rsidRDefault="0010523F" w:rsidP="0010523F">
            <w:pPr>
              <w:spacing w:line="200" w:lineRule="exact"/>
              <w:ind w:left="-7" w:right="89"/>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5.916</w:t>
            </w:r>
          </w:p>
        </w:tc>
      </w:tr>
      <w:tr w:rsidR="0010523F" w:rsidRPr="0010523F" w14:paraId="68A9CD93" w14:textId="77777777" w:rsidTr="00774E7E">
        <w:trPr>
          <w:trHeight w:val="113"/>
        </w:trPr>
        <w:tc>
          <w:tcPr>
            <w:tcW w:w="7371" w:type="dxa"/>
            <w:vAlign w:val="bottom"/>
          </w:tcPr>
          <w:p w14:paraId="2A654B0C" w14:textId="77777777" w:rsidR="0010523F" w:rsidRPr="0010523F" w:rsidRDefault="0010523F" w:rsidP="0010523F">
            <w:pPr>
              <w:spacing w:line="100" w:lineRule="exact"/>
              <w:rPr>
                <w:snapToGrid w:val="0"/>
                <w:color w:val="000000"/>
                <w:sz w:val="20"/>
                <w:szCs w:val="20"/>
                <w:lang w:val="es-AR" w:eastAsia="en-US"/>
              </w:rPr>
            </w:pPr>
          </w:p>
        </w:tc>
        <w:tc>
          <w:tcPr>
            <w:tcW w:w="1246" w:type="dxa"/>
            <w:shd w:val="clear" w:color="auto" w:fill="auto"/>
            <w:vAlign w:val="bottom"/>
          </w:tcPr>
          <w:p w14:paraId="0AFCDF48" w14:textId="77777777" w:rsidR="0010523F" w:rsidRPr="0010523F" w:rsidRDefault="0010523F" w:rsidP="0010523F">
            <w:pPr>
              <w:tabs>
                <w:tab w:val="decimal" w:pos="1300"/>
              </w:tabs>
              <w:spacing w:line="100" w:lineRule="exact"/>
              <w:rPr>
                <w:snapToGrid w:val="0"/>
                <w:color w:val="000000"/>
                <w:sz w:val="20"/>
                <w:szCs w:val="20"/>
                <w:lang w:val="es-AR" w:eastAsia="en-US"/>
              </w:rPr>
            </w:pPr>
          </w:p>
        </w:tc>
        <w:tc>
          <w:tcPr>
            <w:tcW w:w="80" w:type="dxa"/>
          </w:tcPr>
          <w:p w14:paraId="220E916B" w14:textId="77777777" w:rsidR="0010523F" w:rsidRPr="0010523F" w:rsidRDefault="0010523F" w:rsidP="0010523F">
            <w:pPr>
              <w:tabs>
                <w:tab w:val="decimal" w:pos="995"/>
              </w:tabs>
              <w:spacing w:line="100" w:lineRule="exact"/>
              <w:rPr>
                <w:snapToGrid w:val="0"/>
                <w:color w:val="000000"/>
                <w:sz w:val="20"/>
                <w:szCs w:val="20"/>
                <w:lang w:val="es-AR" w:eastAsia="en-US"/>
              </w:rPr>
            </w:pPr>
          </w:p>
        </w:tc>
        <w:tc>
          <w:tcPr>
            <w:tcW w:w="1196" w:type="dxa"/>
            <w:vAlign w:val="bottom"/>
          </w:tcPr>
          <w:p w14:paraId="23ED7B8E" w14:textId="77777777" w:rsidR="0010523F" w:rsidRPr="0010523F" w:rsidRDefault="0010523F" w:rsidP="0010523F">
            <w:pPr>
              <w:spacing w:line="100" w:lineRule="exact"/>
              <w:ind w:right="89"/>
              <w:jc w:val="right"/>
              <w:rPr>
                <w:snapToGrid w:val="0"/>
                <w:color w:val="000000"/>
                <w:sz w:val="20"/>
                <w:szCs w:val="20"/>
                <w:lang w:val="es-AR" w:eastAsia="en-US"/>
              </w:rPr>
            </w:pPr>
          </w:p>
        </w:tc>
      </w:tr>
      <w:tr w:rsidR="0010523F" w:rsidRPr="0010523F" w14:paraId="0F8A078C" w14:textId="77777777" w:rsidTr="00774E7E">
        <w:trPr>
          <w:trHeight w:val="227"/>
        </w:trPr>
        <w:tc>
          <w:tcPr>
            <w:tcW w:w="7371" w:type="dxa"/>
            <w:vAlign w:val="bottom"/>
          </w:tcPr>
          <w:p w14:paraId="55407C2F"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Efecto de la variación de los tipos de cambio sobre el efectivo</w:t>
            </w:r>
          </w:p>
        </w:tc>
        <w:tc>
          <w:tcPr>
            <w:tcW w:w="1246" w:type="dxa"/>
            <w:shd w:val="clear" w:color="auto" w:fill="auto"/>
            <w:vAlign w:val="bottom"/>
          </w:tcPr>
          <w:p w14:paraId="25E8F39D" w14:textId="77777777" w:rsidR="0010523F" w:rsidRPr="0010523F" w:rsidRDefault="0010523F" w:rsidP="0010523F">
            <w:pPr>
              <w:tabs>
                <w:tab w:val="decimal" w:pos="1300"/>
              </w:tabs>
              <w:spacing w:line="200" w:lineRule="exact"/>
              <w:ind w:left="-7"/>
              <w:jc w:val="both"/>
              <w:rPr>
                <w:snapToGrid w:val="0"/>
                <w:color w:val="000000"/>
                <w:sz w:val="20"/>
                <w:szCs w:val="20"/>
                <w:u w:val="single"/>
                <w:lang w:val="es-AR" w:eastAsia="en-US"/>
              </w:rPr>
            </w:pPr>
            <w:r w:rsidRPr="0010523F">
              <w:rPr>
                <w:snapToGrid w:val="0"/>
                <w:color w:val="000000"/>
                <w:sz w:val="20"/>
                <w:szCs w:val="20"/>
                <w:u w:val="single"/>
                <w:lang w:val="es-AR" w:eastAsia="en-US"/>
              </w:rPr>
              <w:t xml:space="preserve">   7.891</w:t>
            </w:r>
          </w:p>
        </w:tc>
        <w:tc>
          <w:tcPr>
            <w:tcW w:w="80" w:type="dxa"/>
          </w:tcPr>
          <w:p w14:paraId="74D68E05" w14:textId="77777777" w:rsidR="0010523F" w:rsidRPr="0010523F" w:rsidRDefault="0010523F" w:rsidP="0010523F">
            <w:pPr>
              <w:tabs>
                <w:tab w:val="decimal" w:pos="995"/>
              </w:tabs>
              <w:spacing w:line="200" w:lineRule="exact"/>
              <w:ind w:left="-7"/>
              <w:jc w:val="both"/>
              <w:rPr>
                <w:snapToGrid w:val="0"/>
                <w:color w:val="000000"/>
                <w:sz w:val="20"/>
                <w:szCs w:val="20"/>
                <w:u w:val="single"/>
                <w:lang w:val="es-AR" w:eastAsia="en-US"/>
              </w:rPr>
            </w:pPr>
          </w:p>
        </w:tc>
        <w:tc>
          <w:tcPr>
            <w:tcW w:w="1196" w:type="dxa"/>
            <w:vAlign w:val="bottom"/>
          </w:tcPr>
          <w:p w14:paraId="66135AAA" w14:textId="77777777" w:rsidR="0010523F" w:rsidRPr="0010523F" w:rsidRDefault="0010523F" w:rsidP="0010523F">
            <w:pPr>
              <w:spacing w:line="200" w:lineRule="exact"/>
              <w:ind w:left="-7" w:right="89"/>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4.564</w:t>
            </w:r>
          </w:p>
        </w:tc>
      </w:tr>
      <w:tr w:rsidR="0010523F" w:rsidRPr="0010523F" w14:paraId="1DA04B38" w14:textId="77777777" w:rsidTr="00774E7E">
        <w:tc>
          <w:tcPr>
            <w:tcW w:w="7371" w:type="dxa"/>
            <w:vAlign w:val="bottom"/>
          </w:tcPr>
          <w:p w14:paraId="3D504CE4" w14:textId="77777777" w:rsidR="0010523F" w:rsidRPr="0010523F" w:rsidRDefault="0010523F" w:rsidP="0010523F">
            <w:pPr>
              <w:spacing w:line="80" w:lineRule="exact"/>
              <w:rPr>
                <w:snapToGrid w:val="0"/>
                <w:color w:val="000000"/>
                <w:sz w:val="20"/>
                <w:szCs w:val="20"/>
                <w:lang w:val="es-AR" w:eastAsia="en-US"/>
              </w:rPr>
            </w:pPr>
          </w:p>
        </w:tc>
        <w:tc>
          <w:tcPr>
            <w:tcW w:w="1246" w:type="dxa"/>
            <w:shd w:val="clear" w:color="auto" w:fill="auto"/>
            <w:vAlign w:val="bottom"/>
          </w:tcPr>
          <w:p w14:paraId="4CA2A829" w14:textId="77777777" w:rsidR="0010523F" w:rsidRPr="0010523F" w:rsidRDefault="0010523F" w:rsidP="0010523F">
            <w:pPr>
              <w:tabs>
                <w:tab w:val="decimal" w:pos="1300"/>
              </w:tabs>
              <w:spacing w:line="80" w:lineRule="exact"/>
              <w:ind w:left="-7"/>
              <w:rPr>
                <w:snapToGrid w:val="0"/>
                <w:color w:val="000000"/>
                <w:sz w:val="20"/>
                <w:szCs w:val="20"/>
                <w:highlight w:val="yellow"/>
                <w:lang w:val="es-AR" w:eastAsia="en-US"/>
              </w:rPr>
            </w:pPr>
          </w:p>
        </w:tc>
        <w:tc>
          <w:tcPr>
            <w:tcW w:w="80" w:type="dxa"/>
          </w:tcPr>
          <w:p w14:paraId="171A04DD" w14:textId="77777777" w:rsidR="0010523F" w:rsidRPr="0010523F" w:rsidRDefault="0010523F" w:rsidP="0010523F">
            <w:pPr>
              <w:tabs>
                <w:tab w:val="decimal" w:pos="995"/>
              </w:tabs>
              <w:spacing w:line="80" w:lineRule="exact"/>
              <w:ind w:left="-7"/>
              <w:rPr>
                <w:snapToGrid w:val="0"/>
                <w:color w:val="000000"/>
                <w:sz w:val="20"/>
                <w:szCs w:val="20"/>
                <w:lang w:val="es-AR" w:eastAsia="en-US"/>
              </w:rPr>
            </w:pPr>
          </w:p>
        </w:tc>
        <w:tc>
          <w:tcPr>
            <w:tcW w:w="1196" w:type="dxa"/>
            <w:vAlign w:val="bottom"/>
          </w:tcPr>
          <w:p w14:paraId="5C394F33" w14:textId="77777777" w:rsidR="0010523F" w:rsidRPr="0010523F" w:rsidRDefault="0010523F" w:rsidP="0010523F">
            <w:pPr>
              <w:spacing w:line="80" w:lineRule="exact"/>
              <w:ind w:left="-7" w:right="89"/>
              <w:jc w:val="right"/>
              <w:rPr>
                <w:snapToGrid w:val="0"/>
                <w:color w:val="000000"/>
                <w:sz w:val="20"/>
                <w:szCs w:val="20"/>
                <w:lang w:val="es-AR" w:eastAsia="en-US"/>
              </w:rPr>
            </w:pPr>
          </w:p>
        </w:tc>
      </w:tr>
      <w:tr w:rsidR="0010523F" w:rsidRPr="0010523F" w14:paraId="6C9EDBBF" w14:textId="77777777" w:rsidTr="00774E7E">
        <w:trPr>
          <w:trHeight w:val="170"/>
        </w:trPr>
        <w:tc>
          <w:tcPr>
            <w:tcW w:w="7371" w:type="dxa"/>
            <w:vAlign w:val="bottom"/>
          </w:tcPr>
          <w:p w14:paraId="29726834" w14:textId="77777777" w:rsidR="0010523F" w:rsidRPr="0010523F" w:rsidRDefault="0010523F" w:rsidP="0010523F">
            <w:pPr>
              <w:spacing w:line="200" w:lineRule="exact"/>
              <w:jc w:val="both"/>
              <w:rPr>
                <w:b/>
                <w:bCs/>
                <w:snapToGrid w:val="0"/>
                <w:color w:val="000000"/>
                <w:sz w:val="20"/>
                <w:szCs w:val="20"/>
                <w:lang w:val="es-AR" w:eastAsia="en-US"/>
              </w:rPr>
            </w:pPr>
            <w:r w:rsidRPr="0010523F">
              <w:rPr>
                <w:b/>
                <w:bCs/>
                <w:snapToGrid w:val="0"/>
                <w:color w:val="000000"/>
                <w:sz w:val="20"/>
                <w:szCs w:val="20"/>
                <w:lang w:val="es-AR" w:eastAsia="en-US"/>
              </w:rPr>
              <w:t xml:space="preserve">(Disminución) aumento neta de efectivo </w:t>
            </w:r>
          </w:p>
        </w:tc>
        <w:tc>
          <w:tcPr>
            <w:tcW w:w="1246" w:type="dxa"/>
            <w:shd w:val="clear" w:color="auto" w:fill="auto"/>
            <w:vAlign w:val="bottom"/>
          </w:tcPr>
          <w:p w14:paraId="251469F6" w14:textId="77777777" w:rsidR="0010523F" w:rsidRPr="0010523F" w:rsidRDefault="0010523F" w:rsidP="0010523F">
            <w:pPr>
              <w:tabs>
                <w:tab w:val="decimal" w:pos="1300"/>
              </w:tabs>
              <w:spacing w:line="200" w:lineRule="exact"/>
              <w:ind w:left="-7"/>
              <w:jc w:val="both"/>
              <w:rPr>
                <w:snapToGrid w:val="0"/>
                <w:color w:val="000000"/>
                <w:sz w:val="20"/>
                <w:szCs w:val="20"/>
                <w:highlight w:val="yellow"/>
                <w:lang w:val="es-AR" w:eastAsia="en-US"/>
              </w:rPr>
            </w:pPr>
            <w:r w:rsidRPr="0010523F">
              <w:rPr>
                <w:snapToGrid w:val="0"/>
                <w:color w:val="000000"/>
                <w:sz w:val="20"/>
                <w:szCs w:val="20"/>
                <w:lang w:val="es-AR" w:eastAsia="en-US"/>
              </w:rPr>
              <w:t>(  4.171)</w:t>
            </w:r>
          </w:p>
        </w:tc>
        <w:tc>
          <w:tcPr>
            <w:tcW w:w="80" w:type="dxa"/>
          </w:tcPr>
          <w:p w14:paraId="1B31B865" w14:textId="77777777" w:rsidR="0010523F" w:rsidRPr="0010523F" w:rsidRDefault="0010523F" w:rsidP="0010523F">
            <w:pPr>
              <w:tabs>
                <w:tab w:val="decimal" w:pos="995"/>
              </w:tabs>
              <w:spacing w:line="200" w:lineRule="exact"/>
              <w:ind w:left="-7"/>
              <w:jc w:val="both"/>
              <w:rPr>
                <w:snapToGrid w:val="0"/>
                <w:color w:val="000000"/>
                <w:sz w:val="20"/>
                <w:szCs w:val="20"/>
                <w:lang w:val="es-AR" w:eastAsia="en-US"/>
              </w:rPr>
            </w:pPr>
          </w:p>
        </w:tc>
        <w:tc>
          <w:tcPr>
            <w:tcW w:w="1196" w:type="dxa"/>
            <w:vAlign w:val="bottom"/>
          </w:tcPr>
          <w:p w14:paraId="5D7BACBE"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21.858</w:t>
            </w:r>
          </w:p>
        </w:tc>
      </w:tr>
      <w:tr w:rsidR="0010523F" w:rsidRPr="0010523F" w14:paraId="6ECF57EA" w14:textId="77777777" w:rsidTr="00774E7E">
        <w:tc>
          <w:tcPr>
            <w:tcW w:w="7371" w:type="dxa"/>
            <w:vAlign w:val="bottom"/>
          </w:tcPr>
          <w:p w14:paraId="25612FB7" w14:textId="77777777" w:rsidR="0010523F" w:rsidRPr="0010523F" w:rsidRDefault="0010523F" w:rsidP="0010523F">
            <w:pPr>
              <w:spacing w:line="80" w:lineRule="exact"/>
              <w:rPr>
                <w:snapToGrid w:val="0"/>
                <w:color w:val="000000"/>
                <w:sz w:val="20"/>
                <w:szCs w:val="20"/>
                <w:lang w:val="es-AR" w:eastAsia="en-US"/>
              </w:rPr>
            </w:pPr>
          </w:p>
        </w:tc>
        <w:tc>
          <w:tcPr>
            <w:tcW w:w="1246" w:type="dxa"/>
            <w:shd w:val="clear" w:color="auto" w:fill="auto"/>
            <w:vAlign w:val="bottom"/>
          </w:tcPr>
          <w:p w14:paraId="1C7046BD" w14:textId="77777777" w:rsidR="0010523F" w:rsidRPr="0010523F" w:rsidRDefault="0010523F" w:rsidP="0010523F">
            <w:pPr>
              <w:spacing w:line="80" w:lineRule="exact"/>
              <w:rPr>
                <w:snapToGrid w:val="0"/>
                <w:color w:val="000000"/>
                <w:sz w:val="20"/>
                <w:szCs w:val="20"/>
                <w:highlight w:val="yellow"/>
                <w:lang w:val="es-AR" w:eastAsia="en-US"/>
              </w:rPr>
            </w:pPr>
          </w:p>
        </w:tc>
        <w:tc>
          <w:tcPr>
            <w:tcW w:w="80" w:type="dxa"/>
          </w:tcPr>
          <w:p w14:paraId="1A569089" w14:textId="77777777" w:rsidR="0010523F" w:rsidRPr="0010523F" w:rsidRDefault="0010523F" w:rsidP="0010523F">
            <w:pPr>
              <w:spacing w:line="80" w:lineRule="exact"/>
              <w:rPr>
                <w:snapToGrid w:val="0"/>
                <w:color w:val="000000"/>
                <w:sz w:val="20"/>
                <w:szCs w:val="20"/>
                <w:lang w:val="es-AR" w:eastAsia="en-US"/>
              </w:rPr>
            </w:pPr>
          </w:p>
        </w:tc>
        <w:tc>
          <w:tcPr>
            <w:tcW w:w="1196" w:type="dxa"/>
            <w:vAlign w:val="bottom"/>
          </w:tcPr>
          <w:p w14:paraId="05F3A360" w14:textId="77777777" w:rsidR="0010523F" w:rsidRPr="0010523F" w:rsidRDefault="0010523F" w:rsidP="0010523F">
            <w:pPr>
              <w:spacing w:line="80" w:lineRule="exact"/>
              <w:ind w:right="89"/>
              <w:jc w:val="right"/>
              <w:rPr>
                <w:snapToGrid w:val="0"/>
                <w:color w:val="000000"/>
                <w:sz w:val="20"/>
                <w:szCs w:val="20"/>
                <w:lang w:val="es-AR" w:eastAsia="en-US"/>
              </w:rPr>
            </w:pPr>
          </w:p>
        </w:tc>
      </w:tr>
      <w:tr w:rsidR="0010523F" w:rsidRPr="0010523F" w14:paraId="00DFD357" w14:textId="77777777" w:rsidTr="00774E7E">
        <w:trPr>
          <w:trHeight w:val="197"/>
        </w:trPr>
        <w:tc>
          <w:tcPr>
            <w:tcW w:w="7371" w:type="dxa"/>
            <w:vAlign w:val="bottom"/>
          </w:tcPr>
          <w:p w14:paraId="236C9522" w14:textId="77777777" w:rsidR="0010523F" w:rsidRPr="0010523F" w:rsidRDefault="0010523F" w:rsidP="0010523F">
            <w:pPr>
              <w:tabs>
                <w:tab w:val="left" w:pos="284"/>
              </w:tabs>
              <w:spacing w:line="200" w:lineRule="exact"/>
              <w:jc w:val="both"/>
              <w:rPr>
                <w:snapToGrid w:val="0"/>
                <w:color w:val="000000"/>
                <w:sz w:val="20"/>
                <w:szCs w:val="20"/>
                <w:lang w:val="es-AR" w:eastAsia="en-US"/>
              </w:rPr>
            </w:pPr>
            <w:r w:rsidRPr="0010523F">
              <w:rPr>
                <w:snapToGrid w:val="0"/>
                <w:color w:val="000000"/>
                <w:sz w:val="20"/>
                <w:szCs w:val="20"/>
                <w:lang w:val="es-AR" w:eastAsia="en-US"/>
              </w:rPr>
              <w:t>Incorporación de efectivo y equivalente de efectivo por transferencia de fondo de comercio (Nota 1)</w:t>
            </w:r>
          </w:p>
        </w:tc>
        <w:tc>
          <w:tcPr>
            <w:tcW w:w="1246" w:type="dxa"/>
            <w:shd w:val="clear" w:color="auto" w:fill="auto"/>
            <w:vAlign w:val="bottom"/>
          </w:tcPr>
          <w:p w14:paraId="17A20D33" w14:textId="77777777" w:rsidR="0010523F" w:rsidRPr="0010523F" w:rsidRDefault="0010523F" w:rsidP="0010523F">
            <w:pPr>
              <w:spacing w:line="100" w:lineRule="exact"/>
              <w:jc w:val="right"/>
              <w:rPr>
                <w:snapToGrid w:val="0"/>
                <w:color w:val="000000"/>
                <w:sz w:val="20"/>
                <w:szCs w:val="20"/>
                <w:lang w:val="es-AR" w:eastAsia="en-US"/>
              </w:rPr>
            </w:pPr>
            <w:r w:rsidRPr="0010523F">
              <w:rPr>
                <w:snapToGrid w:val="0"/>
                <w:color w:val="000000"/>
                <w:sz w:val="20"/>
                <w:szCs w:val="20"/>
                <w:lang w:val="es-AR" w:eastAsia="en-US"/>
              </w:rPr>
              <w:t xml:space="preserve">          -</w:t>
            </w:r>
          </w:p>
        </w:tc>
        <w:tc>
          <w:tcPr>
            <w:tcW w:w="80" w:type="dxa"/>
          </w:tcPr>
          <w:p w14:paraId="3EE11AD2" w14:textId="77777777" w:rsidR="0010523F" w:rsidRPr="0010523F" w:rsidRDefault="0010523F" w:rsidP="0010523F">
            <w:pPr>
              <w:spacing w:line="100" w:lineRule="exact"/>
              <w:rPr>
                <w:snapToGrid w:val="0"/>
                <w:color w:val="000000"/>
                <w:sz w:val="20"/>
                <w:szCs w:val="20"/>
                <w:lang w:val="es-AR" w:eastAsia="en-US"/>
              </w:rPr>
            </w:pPr>
          </w:p>
        </w:tc>
        <w:tc>
          <w:tcPr>
            <w:tcW w:w="1196" w:type="dxa"/>
            <w:vAlign w:val="bottom"/>
          </w:tcPr>
          <w:p w14:paraId="5CCEB418" w14:textId="77777777" w:rsidR="0010523F" w:rsidRPr="0010523F" w:rsidRDefault="0010523F" w:rsidP="0010523F">
            <w:pPr>
              <w:spacing w:line="200" w:lineRule="exact"/>
              <w:ind w:left="-7" w:right="89"/>
              <w:jc w:val="right"/>
              <w:rPr>
                <w:snapToGrid w:val="0"/>
                <w:color w:val="000000"/>
                <w:sz w:val="20"/>
                <w:szCs w:val="20"/>
                <w:lang w:val="es-AR" w:eastAsia="en-US"/>
              </w:rPr>
            </w:pPr>
            <w:r w:rsidRPr="0010523F">
              <w:rPr>
                <w:snapToGrid w:val="0"/>
                <w:color w:val="000000"/>
                <w:sz w:val="20"/>
                <w:szCs w:val="20"/>
                <w:lang w:val="es-AR" w:eastAsia="en-US"/>
              </w:rPr>
              <w:t xml:space="preserve">   2.849</w:t>
            </w:r>
          </w:p>
        </w:tc>
      </w:tr>
      <w:tr w:rsidR="0010523F" w:rsidRPr="0010523F" w14:paraId="2863DC98" w14:textId="77777777" w:rsidTr="00774E7E">
        <w:trPr>
          <w:trHeight w:val="74"/>
        </w:trPr>
        <w:tc>
          <w:tcPr>
            <w:tcW w:w="7371" w:type="dxa"/>
            <w:vAlign w:val="bottom"/>
          </w:tcPr>
          <w:p w14:paraId="25BB632F" w14:textId="77777777" w:rsidR="0010523F" w:rsidRPr="0010523F" w:rsidRDefault="0010523F" w:rsidP="0010523F">
            <w:pPr>
              <w:spacing w:line="80" w:lineRule="exact"/>
              <w:rPr>
                <w:snapToGrid w:val="0"/>
                <w:color w:val="000000"/>
                <w:sz w:val="20"/>
                <w:szCs w:val="20"/>
                <w:lang w:val="es-AR" w:eastAsia="en-US"/>
              </w:rPr>
            </w:pPr>
          </w:p>
        </w:tc>
        <w:tc>
          <w:tcPr>
            <w:tcW w:w="1246" w:type="dxa"/>
            <w:shd w:val="clear" w:color="auto" w:fill="auto"/>
            <w:vAlign w:val="bottom"/>
          </w:tcPr>
          <w:p w14:paraId="20D8CCDB" w14:textId="77777777" w:rsidR="0010523F" w:rsidRPr="0010523F" w:rsidRDefault="0010523F" w:rsidP="0010523F">
            <w:pPr>
              <w:spacing w:line="80" w:lineRule="exact"/>
              <w:rPr>
                <w:snapToGrid w:val="0"/>
                <w:color w:val="000000"/>
                <w:sz w:val="20"/>
                <w:szCs w:val="20"/>
                <w:lang w:val="es-AR" w:eastAsia="en-US"/>
              </w:rPr>
            </w:pPr>
          </w:p>
        </w:tc>
        <w:tc>
          <w:tcPr>
            <w:tcW w:w="80" w:type="dxa"/>
          </w:tcPr>
          <w:p w14:paraId="3837B72D" w14:textId="77777777" w:rsidR="0010523F" w:rsidRPr="0010523F" w:rsidRDefault="0010523F" w:rsidP="0010523F">
            <w:pPr>
              <w:spacing w:line="80" w:lineRule="exact"/>
              <w:rPr>
                <w:snapToGrid w:val="0"/>
                <w:color w:val="000000"/>
                <w:sz w:val="20"/>
                <w:szCs w:val="20"/>
                <w:lang w:val="es-AR" w:eastAsia="en-US"/>
              </w:rPr>
            </w:pPr>
          </w:p>
        </w:tc>
        <w:tc>
          <w:tcPr>
            <w:tcW w:w="1196" w:type="dxa"/>
            <w:vAlign w:val="bottom"/>
          </w:tcPr>
          <w:p w14:paraId="4C7B11BA" w14:textId="77777777" w:rsidR="0010523F" w:rsidRPr="0010523F" w:rsidRDefault="0010523F" w:rsidP="0010523F">
            <w:pPr>
              <w:spacing w:line="80" w:lineRule="exact"/>
              <w:ind w:right="89"/>
              <w:jc w:val="right"/>
              <w:rPr>
                <w:snapToGrid w:val="0"/>
                <w:color w:val="000000"/>
                <w:sz w:val="20"/>
                <w:szCs w:val="20"/>
                <w:lang w:val="es-AR" w:eastAsia="en-US"/>
              </w:rPr>
            </w:pPr>
          </w:p>
        </w:tc>
      </w:tr>
      <w:tr w:rsidR="0010523F" w:rsidRPr="0010523F" w14:paraId="57172378" w14:textId="77777777" w:rsidTr="00774E7E">
        <w:trPr>
          <w:trHeight w:val="227"/>
        </w:trPr>
        <w:tc>
          <w:tcPr>
            <w:tcW w:w="7371" w:type="dxa"/>
            <w:vAlign w:val="bottom"/>
          </w:tcPr>
          <w:p w14:paraId="1A128CC3" w14:textId="77777777" w:rsidR="0010523F" w:rsidRPr="0010523F" w:rsidRDefault="0010523F" w:rsidP="0010523F">
            <w:pPr>
              <w:spacing w:line="200" w:lineRule="exact"/>
              <w:jc w:val="both"/>
              <w:rPr>
                <w:b/>
                <w:bCs/>
                <w:snapToGrid w:val="0"/>
                <w:color w:val="000000"/>
                <w:sz w:val="20"/>
                <w:szCs w:val="20"/>
                <w:lang w:val="es-AR" w:eastAsia="en-US"/>
              </w:rPr>
            </w:pPr>
            <w:r w:rsidRPr="0010523F">
              <w:rPr>
                <w:b/>
                <w:bCs/>
                <w:snapToGrid w:val="0"/>
                <w:color w:val="000000"/>
                <w:sz w:val="20"/>
                <w:szCs w:val="20"/>
                <w:lang w:val="es-AR" w:eastAsia="en-US"/>
              </w:rPr>
              <w:t>Efectivo y equivalentes de efectivo al inicio del ejercicio (Nota 3.h)</w:t>
            </w:r>
          </w:p>
        </w:tc>
        <w:tc>
          <w:tcPr>
            <w:tcW w:w="1246" w:type="dxa"/>
            <w:shd w:val="clear" w:color="auto" w:fill="auto"/>
            <w:vAlign w:val="bottom"/>
          </w:tcPr>
          <w:p w14:paraId="54AECAA3" w14:textId="77777777" w:rsidR="0010523F" w:rsidRPr="0010523F" w:rsidRDefault="0010523F" w:rsidP="0010523F">
            <w:pPr>
              <w:tabs>
                <w:tab w:val="decimal" w:pos="1300"/>
              </w:tabs>
              <w:spacing w:line="200" w:lineRule="exact"/>
              <w:ind w:left="-7"/>
              <w:jc w:val="both"/>
              <w:rPr>
                <w:snapToGrid w:val="0"/>
                <w:color w:val="000000"/>
                <w:sz w:val="20"/>
                <w:szCs w:val="20"/>
                <w:u w:val="single"/>
                <w:lang w:val="es-AR" w:eastAsia="en-US"/>
              </w:rPr>
            </w:pPr>
            <w:r w:rsidRPr="0010523F">
              <w:rPr>
                <w:snapToGrid w:val="0"/>
                <w:color w:val="000000"/>
                <w:sz w:val="20"/>
                <w:szCs w:val="20"/>
                <w:u w:val="single"/>
                <w:lang w:val="es-AR" w:eastAsia="en-US"/>
              </w:rPr>
              <w:t xml:space="preserve"> 17.498</w:t>
            </w:r>
          </w:p>
        </w:tc>
        <w:tc>
          <w:tcPr>
            <w:tcW w:w="80" w:type="dxa"/>
          </w:tcPr>
          <w:p w14:paraId="50A0B916" w14:textId="77777777" w:rsidR="0010523F" w:rsidRPr="0010523F" w:rsidRDefault="0010523F" w:rsidP="0010523F">
            <w:pPr>
              <w:tabs>
                <w:tab w:val="decimal" w:pos="995"/>
              </w:tabs>
              <w:spacing w:line="200" w:lineRule="exact"/>
              <w:ind w:left="-7"/>
              <w:jc w:val="both"/>
              <w:rPr>
                <w:snapToGrid w:val="0"/>
                <w:color w:val="000000"/>
                <w:sz w:val="20"/>
                <w:szCs w:val="20"/>
                <w:u w:val="single"/>
                <w:lang w:val="es-AR" w:eastAsia="en-US"/>
              </w:rPr>
            </w:pPr>
          </w:p>
        </w:tc>
        <w:tc>
          <w:tcPr>
            <w:tcW w:w="1196" w:type="dxa"/>
            <w:vAlign w:val="bottom"/>
          </w:tcPr>
          <w:p w14:paraId="40E97415" w14:textId="77777777" w:rsidR="0010523F" w:rsidRPr="0010523F" w:rsidRDefault="0010523F" w:rsidP="0010523F">
            <w:pPr>
              <w:spacing w:line="200" w:lineRule="exact"/>
              <w:ind w:left="-7" w:right="89"/>
              <w:jc w:val="right"/>
              <w:rPr>
                <w:snapToGrid w:val="0"/>
                <w:color w:val="000000"/>
                <w:sz w:val="20"/>
                <w:szCs w:val="20"/>
                <w:u w:val="single"/>
                <w:lang w:val="es-AR" w:eastAsia="en-US"/>
              </w:rPr>
            </w:pPr>
            <w:r w:rsidRPr="0010523F">
              <w:rPr>
                <w:snapToGrid w:val="0"/>
                <w:color w:val="000000"/>
                <w:sz w:val="20"/>
                <w:szCs w:val="20"/>
                <w:u w:val="single"/>
                <w:lang w:val="es-AR" w:eastAsia="en-US"/>
              </w:rPr>
              <w:t xml:space="preserve">      352</w:t>
            </w:r>
          </w:p>
        </w:tc>
      </w:tr>
      <w:tr w:rsidR="0010523F" w:rsidRPr="0010523F" w14:paraId="0F63EB2D" w14:textId="77777777" w:rsidTr="00774E7E">
        <w:trPr>
          <w:trHeight w:val="227"/>
        </w:trPr>
        <w:tc>
          <w:tcPr>
            <w:tcW w:w="7371" w:type="dxa"/>
            <w:vAlign w:val="bottom"/>
          </w:tcPr>
          <w:p w14:paraId="2DB88444" w14:textId="77777777" w:rsidR="0010523F" w:rsidRPr="0010523F" w:rsidRDefault="0010523F" w:rsidP="0010523F">
            <w:pPr>
              <w:jc w:val="both"/>
              <w:rPr>
                <w:b/>
                <w:bCs/>
                <w:snapToGrid w:val="0"/>
                <w:color w:val="000000"/>
                <w:sz w:val="20"/>
                <w:szCs w:val="20"/>
                <w:lang w:val="es-AR" w:eastAsia="en-US"/>
              </w:rPr>
            </w:pPr>
            <w:r w:rsidRPr="0010523F">
              <w:rPr>
                <w:b/>
                <w:bCs/>
                <w:snapToGrid w:val="0"/>
                <w:color w:val="000000"/>
                <w:sz w:val="20"/>
                <w:szCs w:val="20"/>
                <w:lang w:val="es-AR" w:eastAsia="en-US"/>
              </w:rPr>
              <w:t>Efectivo y equivalentes de efectivo al cierre del período (Nota 3.h)</w:t>
            </w:r>
          </w:p>
        </w:tc>
        <w:tc>
          <w:tcPr>
            <w:tcW w:w="1246" w:type="dxa"/>
            <w:shd w:val="clear" w:color="auto" w:fill="auto"/>
            <w:vAlign w:val="bottom"/>
          </w:tcPr>
          <w:p w14:paraId="1AB6FE18" w14:textId="77777777" w:rsidR="0010523F" w:rsidRPr="0010523F" w:rsidRDefault="0010523F" w:rsidP="0010523F">
            <w:pPr>
              <w:tabs>
                <w:tab w:val="decimal" w:pos="1300"/>
              </w:tabs>
              <w:ind w:left="-7"/>
              <w:jc w:val="both"/>
              <w:rPr>
                <w:snapToGrid w:val="0"/>
                <w:color w:val="000000"/>
                <w:sz w:val="20"/>
                <w:szCs w:val="20"/>
                <w:u w:val="double"/>
                <w:lang w:val="es-AR" w:eastAsia="en-US"/>
              </w:rPr>
            </w:pPr>
            <w:r w:rsidRPr="0010523F">
              <w:rPr>
                <w:snapToGrid w:val="0"/>
                <w:color w:val="000000"/>
                <w:sz w:val="20"/>
                <w:szCs w:val="20"/>
                <w:u w:val="double"/>
                <w:lang w:val="es-AR" w:eastAsia="en-US"/>
              </w:rPr>
              <w:t xml:space="preserve"> 13.327</w:t>
            </w:r>
          </w:p>
        </w:tc>
        <w:tc>
          <w:tcPr>
            <w:tcW w:w="80" w:type="dxa"/>
          </w:tcPr>
          <w:p w14:paraId="793EACF1" w14:textId="77777777" w:rsidR="0010523F" w:rsidRPr="0010523F" w:rsidRDefault="0010523F" w:rsidP="0010523F">
            <w:pPr>
              <w:tabs>
                <w:tab w:val="decimal" w:pos="995"/>
              </w:tabs>
              <w:ind w:left="-7"/>
              <w:jc w:val="both"/>
              <w:rPr>
                <w:snapToGrid w:val="0"/>
                <w:color w:val="000000"/>
                <w:sz w:val="20"/>
                <w:szCs w:val="20"/>
                <w:u w:val="double"/>
                <w:lang w:val="es-AR" w:eastAsia="en-US"/>
              </w:rPr>
            </w:pPr>
          </w:p>
        </w:tc>
        <w:tc>
          <w:tcPr>
            <w:tcW w:w="1196" w:type="dxa"/>
            <w:vAlign w:val="bottom"/>
          </w:tcPr>
          <w:p w14:paraId="747D8BAA" w14:textId="77777777" w:rsidR="0010523F" w:rsidRPr="0010523F" w:rsidRDefault="0010523F" w:rsidP="0010523F">
            <w:pPr>
              <w:ind w:left="-7" w:right="89"/>
              <w:jc w:val="right"/>
              <w:rPr>
                <w:snapToGrid w:val="0"/>
                <w:color w:val="000000"/>
                <w:sz w:val="20"/>
                <w:szCs w:val="20"/>
                <w:u w:val="double"/>
                <w:lang w:val="es-AR" w:eastAsia="en-US"/>
              </w:rPr>
            </w:pPr>
            <w:r w:rsidRPr="0010523F">
              <w:rPr>
                <w:snapToGrid w:val="0"/>
                <w:color w:val="000000"/>
                <w:sz w:val="20"/>
                <w:szCs w:val="20"/>
                <w:u w:val="double"/>
                <w:lang w:val="es-AR" w:eastAsia="en-US"/>
              </w:rPr>
              <w:t xml:space="preserve"> 25.059</w:t>
            </w:r>
          </w:p>
        </w:tc>
      </w:tr>
    </w:tbl>
    <w:p w14:paraId="0741DEEA" w14:textId="77777777" w:rsidR="0010523F" w:rsidRPr="0010523F" w:rsidRDefault="0010523F" w:rsidP="0010523F">
      <w:pPr>
        <w:spacing w:line="220" w:lineRule="exact"/>
        <w:jc w:val="both"/>
        <w:rPr>
          <w:b/>
          <w:lang w:val="es-AR" w:eastAsia="en-US"/>
        </w:rPr>
      </w:pPr>
      <w:r w:rsidRPr="0010523F">
        <w:rPr>
          <w:b/>
          <w:szCs w:val="20"/>
          <w:lang w:val="es-AR" w:eastAsia="en-US"/>
        </w:rPr>
        <w:t>PAN AMERICAN ENERGY, S.L., SUCURSAL ARGENTINA</w:t>
      </w:r>
      <w:r w:rsidRPr="0010523F" w:rsidDel="001E12ED">
        <w:rPr>
          <w:b/>
          <w:lang w:val="es-AR" w:eastAsia="en-US"/>
        </w:rPr>
        <w:t xml:space="preserve"> </w:t>
      </w:r>
    </w:p>
    <w:p w14:paraId="05116804" w14:textId="77777777" w:rsidR="0010523F" w:rsidRPr="0010523F" w:rsidRDefault="0010523F" w:rsidP="0010523F">
      <w:pPr>
        <w:spacing w:line="140" w:lineRule="exact"/>
        <w:jc w:val="both"/>
        <w:rPr>
          <w:sz w:val="22"/>
          <w:szCs w:val="22"/>
          <w:lang w:val="es-AR" w:eastAsia="en-US"/>
        </w:rPr>
      </w:pPr>
    </w:p>
    <w:p w14:paraId="07D00CFD" w14:textId="77777777" w:rsidR="0010523F" w:rsidRPr="0010523F" w:rsidRDefault="0010523F" w:rsidP="0010523F">
      <w:pPr>
        <w:spacing w:line="220" w:lineRule="exact"/>
        <w:jc w:val="both"/>
        <w:rPr>
          <w:sz w:val="22"/>
          <w:szCs w:val="22"/>
          <w:lang w:val="es-AR" w:eastAsia="en-US"/>
        </w:rPr>
      </w:pPr>
      <w:r w:rsidRPr="0010523F">
        <w:rPr>
          <w:b/>
          <w:sz w:val="22"/>
          <w:szCs w:val="22"/>
          <w:lang w:val="es-AR" w:eastAsia="en-US"/>
        </w:rPr>
        <w:t>ESTADO DE FLUJOS DE EFECTIVO</w:t>
      </w:r>
      <w:r w:rsidRPr="0010523F">
        <w:rPr>
          <w:sz w:val="22"/>
          <w:szCs w:val="22"/>
          <w:lang w:val="es-AR" w:eastAsia="en-US"/>
        </w:rPr>
        <w:t xml:space="preserve"> </w:t>
      </w:r>
      <w:r w:rsidRPr="0010523F">
        <w:rPr>
          <w:b/>
          <w:sz w:val="22"/>
          <w:szCs w:val="22"/>
          <w:lang w:val="es-AR" w:eastAsia="en-US"/>
        </w:rPr>
        <w:t xml:space="preserve">INTERMEDIO CONDENSADO </w:t>
      </w:r>
      <w:r w:rsidRPr="0010523F">
        <w:rPr>
          <w:sz w:val="22"/>
          <w:szCs w:val="22"/>
          <w:lang w:val="es-AR" w:eastAsia="en-US"/>
        </w:rPr>
        <w:t>por el período de nueve meses finalizado el 30 de septiembre de 2019, presentado en forma comparativa con el mismo período del ejercicio anterior (en millones de pesos) (cont.)</w:t>
      </w:r>
    </w:p>
    <w:p w14:paraId="538F0DD7" w14:textId="77777777" w:rsidR="0010523F" w:rsidRPr="0010523F" w:rsidRDefault="0010523F" w:rsidP="0010523F">
      <w:pPr>
        <w:spacing w:line="220" w:lineRule="exact"/>
        <w:jc w:val="both"/>
        <w:rPr>
          <w:sz w:val="22"/>
          <w:szCs w:val="22"/>
          <w:lang w:val="es-AR" w:eastAsia="en-US"/>
        </w:rPr>
      </w:pPr>
    </w:p>
    <w:p w14:paraId="3212D955" w14:textId="77777777" w:rsidR="0010523F" w:rsidRPr="0010523F" w:rsidRDefault="0010523F" w:rsidP="0010523F">
      <w:pPr>
        <w:tabs>
          <w:tab w:val="decimal" w:pos="7938"/>
          <w:tab w:val="decimal" w:pos="8273"/>
          <w:tab w:val="decimal" w:pos="9356"/>
          <w:tab w:val="decimal" w:pos="9799"/>
        </w:tabs>
        <w:jc w:val="both"/>
        <w:rPr>
          <w:lang w:val="es-AR" w:eastAsia="en-US"/>
        </w:rPr>
      </w:pPr>
      <w:r w:rsidRPr="0010523F">
        <w:rPr>
          <w:lang w:val="es-AR" w:eastAsia="en-US"/>
        </w:rPr>
        <w:tab/>
        <w:t>De acuerdo con la Enmienda a la NIC 7 - Estado de flujos de efectivo - Iniciativa sobre información a revelar, se detallan a continuación los cambios procedentes de los flujos de efectivo por financiación y los cambios distintos al efectivo.</w:t>
      </w:r>
    </w:p>
    <w:p w14:paraId="18285EC2" w14:textId="77777777" w:rsidR="0010523F" w:rsidRPr="0010523F" w:rsidRDefault="0010523F" w:rsidP="0010523F">
      <w:pPr>
        <w:tabs>
          <w:tab w:val="decimal" w:pos="7938"/>
          <w:tab w:val="decimal" w:pos="8273"/>
          <w:tab w:val="decimal" w:pos="9356"/>
          <w:tab w:val="decimal" w:pos="9799"/>
        </w:tabs>
        <w:spacing w:line="200" w:lineRule="exact"/>
        <w:ind w:left="426" w:hanging="426"/>
        <w:jc w:val="both"/>
        <w:rPr>
          <w:sz w:val="20"/>
          <w:szCs w:val="20"/>
          <w:lang w:val="es-AR" w:eastAsia="en-US"/>
        </w:rPr>
      </w:pPr>
    </w:p>
    <w:tbl>
      <w:tblPr>
        <w:tblW w:w="9727" w:type="dxa"/>
        <w:tblInd w:w="55" w:type="dxa"/>
        <w:tblLayout w:type="fixed"/>
        <w:tblCellMar>
          <w:left w:w="70" w:type="dxa"/>
          <w:right w:w="70" w:type="dxa"/>
        </w:tblCellMar>
        <w:tblLook w:val="04A0" w:firstRow="1" w:lastRow="0" w:firstColumn="1" w:lastColumn="0" w:noHBand="0" w:noVBand="1"/>
      </w:tblPr>
      <w:tblGrid>
        <w:gridCol w:w="6678"/>
        <w:gridCol w:w="1205"/>
        <w:gridCol w:w="426"/>
        <w:gridCol w:w="1418"/>
      </w:tblGrid>
      <w:tr w:rsidR="0010523F" w:rsidRPr="0010523F" w14:paraId="6BD79788" w14:textId="77777777" w:rsidTr="00774E7E">
        <w:trPr>
          <w:trHeight w:val="227"/>
        </w:trPr>
        <w:tc>
          <w:tcPr>
            <w:tcW w:w="6678" w:type="dxa"/>
            <w:tcBorders>
              <w:top w:val="nil"/>
              <w:left w:val="nil"/>
              <w:bottom w:val="nil"/>
              <w:right w:val="nil"/>
            </w:tcBorders>
            <w:shd w:val="clear" w:color="auto" w:fill="auto"/>
            <w:vAlign w:val="center"/>
            <w:hideMark/>
          </w:tcPr>
          <w:p w14:paraId="5FC7F9E3" w14:textId="77777777" w:rsidR="0010523F" w:rsidRPr="0010523F" w:rsidRDefault="0010523F" w:rsidP="0010523F">
            <w:pPr>
              <w:jc w:val="both"/>
              <w:rPr>
                <w:color w:val="000000"/>
                <w:sz w:val="22"/>
                <w:szCs w:val="22"/>
                <w:lang w:val="es-AR" w:eastAsia="es-AR"/>
              </w:rPr>
            </w:pPr>
          </w:p>
        </w:tc>
        <w:tc>
          <w:tcPr>
            <w:tcW w:w="1205" w:type="dxa"/>
            <w:tcBorders>
              <w:top w:val="nil"/>
              <w:left w:val="nil"/>
              <w:right w:val="nil"/>
            </w:tcBorders>
            <w:shd w:val="clear" w:color="auto" w:fill="auto"/>
            <w:vAlign w:val="center"/>
            <w:hideMark/>
          </w:tcPr>
          <w:p w14:paraId="15CA6943"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 xml:space="preserve">    2019      </w:t>
            </w:r>
          </w:p>
        </w:tc>
        <w:tc>
          <w:tcPr>
            <w:tcW w:w="426" w:type="dxa"/>
            <w:tcBorders>
              <w:top w:val="nil"/>
              <w:left w:val="nil"/>
              <w:bottom w:val="nil"/>
              <w:right w:val="nil"/>
            </w:tcBorders>
          </w:tcPr>
          <w:p w14:paraId="1134E31E" w14:textId="77777777" w:rsidR="0010523F" w:rsidRPr="0010523F" w:rsidRDefault="0010523F" w:rsidP="0010523F">
            <w:pPr>
              <w:jc w:val="center"/>
              <w:rPr>
                <w:color w:val="000000"/>
                <w:sz w:val="22"/>
                <w:szCs w:val="22"/>
                <w:lang w:val="es-AR" w:eastAsia="es-AR"/>
              </w:rPr>
            </w:pPr>
          </w:p>
        </w:tc>
        <w:tc>
          <w:tcPr>
            <w:tcW w:w="1418" w:type="dxa"/>
            <w:tcBorders>
              <w:top w:val="nil"/>
              <w:left w:val="nil"/>
              <w:right w:val="nil"/>
            </w:tcBorders>
            <w:shd w:val="clear" w:color="auto" w:fill="auto"/>
            <w:vAlign w:val="center"/>
            <w:hideMark/>
          </w:tcPr>
          <w:p w14:paraId="34F9BD15"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 xml:space="preserve">    2018     </w:t>
            </w:r>
          </w:p>
        </w:tc>
      </w:tr>
      <w:tr w:rsidR="0010523F" w:rsidRPr="0010523F" w14:paraId="2303FB52" w14:textId="77777777" w:rsidTr="00774E7E">
        <w:trPr>
          <w:trHeight w:val="227"/>
        </w:trPr>
        <w:tc>
          <w:tcPr>
            <w:tcW w:w="6678" w:type="dxa"/>
            <w:tcBorders>
              <w:top w:val="nil"/>
              <w:left w:val="nil"/>
              <w:bottom w:val="nil"/>
              <w:right w:val="nil"/>
            </w:tcBorders>
            <w:shd w:val="clear" w:color="auto" w:fill="auto"/>
            <w:vAlign w:val="center"/>
            <w:hideMark/>
          </w:tcPr>
          <w:p w14:paraId="48DD327E" w14:textId="77777777" w:rsidR="0010523F" w:rsidRPr="0010523F" w:rsidRDefault="0010523F" w:rsidP="0010523F">
            <w:pPr>
              <w:jc w:val="both"/>
              <w:rPr>
                <w:color w:val="000000"/>
                <w:sz w:val="22"/>
                <w:szCs w:val="22"/>
                <w:lang w:val="es-AR" w:eastAsia="es-AR"/>
              </w:rPr>
            </w:pPr>
          </w:p>
        </w:tc>
        <w:tc>
          <w:tcPr>
            <w:tcW w:w="1205" w:type="dxa"/>
            <w:tcBorders>
              <w:top w:val="nil"/>
              <w:left w:val="nil"/>
              <w:bottom w:val="single" w:sz="4" w:space="0" w:color="auto"/>
              <w:right w:val="nil"/>
            </w:tcBorders>
            <w:shd w:val="clear" w:color="auto" w:fill="auto"/>
            <w:vAlign w:val="center"/>
            <w:hideMark/>
          </w:tcPr>
          <w:p w14:paraId="68E6EFCD"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(9 meses)</w:t>
            </w:r>
          </w:p>
        </w:tc>
        <w:tc>
          <w:tcPr>
            <w:tcW w:w="426" w:type="dxa"/>
            <w:tcBorders>
              <w:top w:val="nil"/>
              <w:left w:val="nil"/>
              <w:bottom w:val="nil"/>
              <w:right w:val="nil"/>
            </w:tcBorders>
          </w:tcPr>
          <w:p w14:paraId="7E8A781D" w14:textId="77777777" w:rsidR="0010523F" w:rsidRPr="0010523F" w:rsidRDefault="0010523F" w:rsidP="0010523F">
            <w:pPr>
              <w:jc w:val="center"/>
              <w:rPr>
                <w:color w:val="000000"/>
                <w:sz w:val="22"/>
                <w:szCs w:val="22"/>
                <w:lang w:val="es-AR" w:eastAsia="es-AR"/>
              </w:rPr>
            </w:pPr>
          </w:p>
        </w:tc>
        <w:tc>
          <w:tcPr>
            <w:tcW w:w="1418" w:type="dxa"/>
            <w:tcBorders>
              <w:top w:val="nil"/>
              <w:left w:val="nil"/>
              <w:bottom w:val="single" w:sz="4" w:space="0" w:color="auto"/>
              <w:right w:val="nil"/>
            </w:tcBorders>
            <w:shd w:val="clear" w:color="auto" w:fill="auto"/>
            <w:vAlign w:val="center"/>
            <w:hideMark/>
          </w:tcPr>
          <w:p w14:paraId="212EFF47"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(9 meses)</w:t>
            </w:r>
          </w:p>
        </w:tc>
      </w:tr>
      <w:tr w:rsidR="0010523F" w:rsidRPr="0010523F" w14:paraId="37996577" w14:textId="77777777" w:rsidTr="00774E7E">
        <w:trPr>
          <w:trHeight w:val="227"/>
        </w:trPr>
        <w:tc>
          <w:tcPr>
            <w:tcW w:w="6678" w:type="dxa"/>
            <w:tcBorders>
              <w:top w:val="nil"/>
              <w:left w:val="nil"/>
              <w:bottom w:val="nil"/>
              <w:right w:val="nil"/>
            </w:tcBorders>
            <w:shd w:val="clear" w:color="auto" w:fill="auto"/>
            <w:vAlign w:val="center"/>
            <w:hideMark/>
          </w:tcPr>
          <w:p w14:paraId="6ACD38ED" w14:textId="77777777" w:rsidR="0010523F" w:rsidRPr="0010523F" w:rsidRDefault="0010523F" w:rsidP="0010523F">
            <w:pPr>
              <w:jc w:val="both"/>
              <w:rPr>
                <w:color w:val="000000"/>
                <w:sz w:val="22"/>
                <w:szCs w:val="22"/>
                <w:lang w:val="es-AR" w:eastAsia="es-AR"/>
              </w:rPr>
            </w:pPr>
            <w:r w:rsidRPr="0010523F">
              <w:rPr>
                <w:u w:val="single"/>
                <w:lang w:val="es-AR" w:eastAsia="en-US"/>
              </w:rPr>
              <w:t>Obligaciones negociables y préstamos y otras deudas financieras</w:t>
            </w:r>
          </w:p>
        </w:tc>
        <w:tc>
          <w:tcPr>
            <w:tcW w:w="1205" w:type="dxa"/>
            <w:tcBorders>
              <w:top w:val="single" w:sz="4" w:space="0" w:color="auto"/>
              <w:left w:val="nil"/>
              <w:bottom w:val="nil"/>
              <w:right w:val="nil"/>
            </w:tcBorders>
            <w:shd w:val="clear" w:color="auto" w:fill="auto"/>
            <w:vAlign w:val="center"/>
            <w:hideMark/>
          </w:tcPr>
          <w:p w14:paraId="5E0DC884" w14:textId="77777777" w:rsidR="0010523F" w:rsidRPr="0010523F" w:rsidRDefault="0010523F" w:rsidP="0010523F">
            <w:pPr>
              <w:jc w:val="center"/>
              <w:rPr>
                <w:color w:val="000000"/>
                <w:sz w:val="22"/>
                <w:szCs w:val="22"/>
                <w:lang w:val="es-AR" w:eastAsia="es-AR"/>
              </w:rPr>
            </w:pPr>
          </w:p>
        </w:tc>
        <w:tc>
          <w:tcPr>
            <w:tcW w:w="426" w:type="dxa"/>
            <w:tcBorders>
              <w:top w:val="nil"/>
              <w:left w:val="nil"/>
              <w:bottom w:val="nil"/>
              <w:right w:val="nil"/>
            </w:tcBorders>
          </w:tcPr>
          <w:p w14:paraId="51D269DC" w14:textId="77777777" w:rsidR="0010523F" w:rsidRPr="0010523F" w:rsidRDefault="0010523F" w:rsidP="0010523F">
            <w:pPr>
              <w:jc w:val="center"/>
              <w:rPr>
                <w:color w:val="000000"/>
                <w:sz w:val="22"/>
                <w:szCs w:val="22"/>
                <w:lang w:val="es-AR" w:eastAsia="es-AR"/>
              </w:rPr>
            </w:pPr>
          </w:p>
        </w:tc>
        <w:tc>
          <w:tcPr>
            <w:tcW w:w="1418" w:type="dxa"/>
            <w:tcBorders>
              <w:top w:val="single" w:sz="4" w:space="0" w:color="auto"/>
              <w:left w:val="nil"/>
              <w:bottom w:val="nil"/>
              <w:right w:val="nil"/>
            </w:tcBorders>
            <w:shd w:val="clear" w:color="auto" w:fill="auto"/>
            <w:vAlign w:val="center"/>
            <w:hideMark/>
          </w:tcPr>
          <w:p w14:paraId="10340B12" w14:textId="77777777" w:rsidR="0010523F" w:rsidRPr="0010523F" w:rsidRDefault="0010523F" w:rsidP="0010523F">
            <w:pPr>
              <w:jc w:val="center"/>
              <w:rPr>
                <w:color w:val="000000"/>
                <w:sz w:val="22"/>
                <w:szCs w:val="22"/>
                <w:lang w:val="es-AR" w:eastAsia="es-AR"/>
              </w:rPr>
            </w:pPr>
          </w:p>
        </w:tc>
      </w:tr>
      <w:tr w:rsidR="0010523F" w:rsidRPr="0010523F" w14:paraId="5BAAFB25" w14:textId="77777777" w:rsidTr="00774E7E">
        <w:trPr>
          <w:trHeight w:val="227"/>
        </w:trPr>
        <w:tc>
          <w:tcPr>
            <w:tcW w:w="6678" w:type="dxa"/>
            <w:tcBorders>
              <w:top w:val="nil"/>
              <w:left w:val="nil"/>
              <w:bottom w:val="nil"/>
              <w:right w:val="nil"/>
            </w:tcBorders>
            <w:shd w:val="clear" w:color="auto" w:fill="auto"/>
            <w:noWrap/>
            <w:vAlign w:val="bottom"/>
          </w:tcPr>
          <w:p w14:paraId="12D65B5A" w14:textId="77777777" w:rsidR="0010523F" w:rsidRPr="0010523F" w:rsidRDefault="0010523F" w:rsidP="0010523F">
            <w:pPr>
              <w:rPr>
                <w:color w:val="000000"/>
                <w:sz w:val="22"/>
                <w:szCs w:val="22"/>
                <w:lang w:val="es-AR" w:eastAsia="es-AR"/>
              </w:rPr>
            </w:pPr>
          </w:p>
        </w:tc>
        <w:tc>
          <w:tcPr>
            <w:tcW w:w="1205" w:type="dxa"/>
            <w:tcBorders>
              <w:top w:val="nil"/>
              <w:left w:val="nil"/>
              <w:bottom w:val="nil"/>
              <w:right w:val="nil"/>
            </w:tcBorders>
            <w:shd w:val="clear" w:color="auto" w:fill="auto"/>
            <w:noWrap/>
            <w:vAlign w:val="bottom"/>
          </w:tcPr>
          <w:p w14:paraId="447B4C5C" w14:textId="77777777" w:rsidR="0010523F" w:rsidRPr="0010523F" w:rsidRDefault="0010523F" w:rsidP="0010523F">
            <w:pPr>
              <w:jc w:val="right"/>
              <w:rPr>
                <w:sz w:val="22"/>
                <w:szCs w:val="22"/>
                <w:lang w:val="es-AR" w:eastAsia="es-AR"/>
              </w:rPr>
            </w:pPr>
          </w:p>
        </w:tc>
        <w:tc>
          <w:tcPr>
            <w:tcW w:w="426" w:type="dxa"/>
            <w:tcBorders>
              <w:top w:val="nil"/>
              <w:left w:val="nil"/>
              <w:bottom w:val="nil"/>
              <w:right w:val="nil"/>
            </w:tcBorders>
          </w:tcPr>
          <w:p w14:paraId="492D35E5" w14:textId="77777777" w:rsidR="0010523F" w:rsidRPr="0010523F" w:rsidRDefault="0010523F" w:rsidP="0010523F">
            <w:pPr>
              <w:jc w:val="right"/>
              <w:rPr>
                <w:color w:val="000000"/>
                <w:sz w:val="22"/>
                <w:szCs w:val="22"/>
                <w:lang w:val="es-AR" w:eastAsia="es-AR"/>
              </w:rPr>
            </w:pPr>
          </w:p>
        </w:tc>
        <w:tc>
          <w:tcPr>
            <w:tcW w:w="1418" w:type="dxa"/>
            <w:tcBorders>
              <w:top w:val="nil"/>
              <w:left w:val="nil"/>
              <w:bottom w:val="nil"/>
              <w:right w:val="nil"/>
            </w:tcBorders>
            <w:shd w:val="clear" w:color="auto" w:fill="auto"/>
            <w:noWrap/>
            <w:vAlign w:val="bottom"/>
          </w:tcPr>
          <w:p w14:paraId="66796F2D" w14:textId="77777777" w:rsidR="0010523F" w:rsidRPr="0010523F" w:rsidRDefault="0010523F" w:rsidP="0010523F">
            <w:pPr>
              <w:jc w:val="right"/>
              <w:rPr>
                <w:color w:val="000000"/>
                <w:sz w:val="22"/>
                <w:szCs w:val="22"/>
                <w:lang w:val="es-AR" w:eastAsia="es-AR"/>
              </w:rPr>
            </w:pPr>
          </w:p>
        </w:tc>
      </w:tr>
      <w:tr w:rsidR="0010523F" w:rsidRPr="0010523F" w14:paraId="07049B85" w14:textId="77777777" w:rsidTr="00774E7E">
        <w:trPr>
          <w:trHeight w:val="227"/>
        </w:trPr>
        <w:tc>
          <w:tcPr>
            <w:tcW w:w="6678" w:type="dxa"/>
            <w:tcBorders>
              <w:top w:val="nil"/>
              <w:left w:val="nil"/>
              <w:bottom w:val="nil"/>
              <w:right w:val="nil"/>
            </w:tcBorders>
            <w:shd w:val="clear" w:color="auto" w:fill="auto"/>
            <w:noWrap/>
            <w:vAlign w:val="bottom"/>
            <w:hideMark/>
          </w:tcPr>
          <w:p w14:paraId="4971A690"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Saldos al inicio del ejercicio</w:t>
            </w:r>
          </w:p>
        </w:tc>
        <w:tc>
          <w:tcPr>
            <w:tcW w:w="1205" w:type="dxa"/>
            <w:tcBorders>
              <w:top w:val="nil"/>
              <w:left w:val="nil"/>
              <w:bottom w:val="nil"/>
              <w:right w:val="nil"/>
            </w:tcBorders>
            <w:shd w:val="clear" w:color="auto" w:fill="auto"/>
            <w:noWrap/>
            <w:vAlign w:val="bottom"/>
            <w:hideMark/>
          </w:tcPr>
          <w:p w14:paraId="280FC046" w14:textId="77777777" w:rsidR="0010523F" w:rsidRPr="0010523F" w:rsidRDefault="0010523F" w:rsidP="0010523F">
            <w:pPr>
              <w:jc w:val="right"/>
              <w:rPr>
                <w:sz w:val="22"/>
                <w:szCs w:val="22"/>
                <w:lang w:val="es-AR" w:eastAsia="es-AR"/>
              </w:rPr>
            </w:pPr>
            <w:r w:rsidRPr="0010523F">
              <w:rPr>
                <w:sz w:val="22"/>
                <w:szCs w:val="22"/>
                <w:lang w:val="es-AR" w:eastAsia="es-AR"/>
              </w:rPr>
              <w:t xml:space="preserve">89.781 </w:t>
            </w:r>
          </w:p>
        </w:tc>
        <w:tc>
          <w:tcPr>
            <w:tcW w:w="426" w:type="dxa"/>
            <w:tcBorders>
              <w:top w:val="nil"/>
              <w:left w:val="nil"/>
              <w:bottom w:val="nil"/>
              <w:right w:val="nil"/>
            </w:tcBorders>
          </w:tcPr>
          <w:p w14:paraId="7F500EB9"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(1)</w:t>
            </w:r>
          </w:p>
        </w:tc>
        <w:tc>
          <w:tcPr>
            <w:tcW w:w="1418" w:type="dxa"/>
            <w:tcBorders>
              <w:top w:val="nil"/>
              <w:left w:val="nil"/>
              <w:bottom w:val="nil"/>
              <w:right w:val="nil"/>
            </w:tcBorders>
            <w:shd w:val="clear" w:color="auto" w:fill="auto"/>
            <w:noWrap/>
            <w:vAlign w:val="bottom"/>
            <w:hideMark/>
          </w:tcPr>
          <w:p w14:paraId="3D51D27B" w14:textId="77777777" w:rsidR="0010523F" w:rsidRPr="0010523F" w:rsidRDefault="0010523F" w:rsidP="0010523F">
            <w:pPr>
              <w:jc w:val="right"/>
              <w:rPr>
                <w:color w:val="000000"/>
                <w:sz w:val="22"/>
                <w:szCs w:val="22"/>
                <w:lang w:val="es-AR" w:eastAsia="es-AR"/>
              </w:rPr>
            </w:pPr>
            <w:r w:rsidRPr="0010523F">
              <w:rPr>
                <w:sz w:val="22"/>
                <w:szCs w:val="22"/>
                <w:lang w:val="es-AR" w:eastAsia="es-AR"/>
              </w:rPr>
              <w:t xml:space="preserve">31.378 </w:t>
            </w:r>
          </w:p>
        </w:tc>
      </w:tr>
      <w:tr w:rsidR="0010523F" w:rsidRPr="0010523F" w14:paraId="45355FD5" w14:textId="77777777" w:rsidTr="00774E7E">
        <w:trPr>
          <w:trHeight w:val="227"/>
        </w:trPr>
        <w:tc>
          <w:tcPr>
            <w:tcW w:w="6678" w:type="dxa"/>
            <w:tcBorders>
              <w:top w:val="nil"/>
              <w:left w:val="nil"/>
              <w:bottom w:val="nil"/>
              <w:right w:val="nil"/>
            </w:tcBorders>
            <w:shd w:val="clear" w:color="auto" w:fill="auto"/>
            <w:noWrap/>
            <w:vAlign w:val="bottom"/>
            <w:hideMark/>
          </w:tcPr>
          <w:p w14:paraId="56CEE0D5"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Flujos de efectivo</w:t>
            </w:r>
          </w:p>
        </w:tc>
        <w:tc>
          <w:tcPr>
            <w:tcW w:w="1205" w:type="dxa"/>
            <w:tcBorders>
              <w:top w:val="nil"/>
              <w:left w:val="nil"/>
              <w:bottom w:val="nil"/>
              <w:right w:val="nil"/>
            </w:tcBorders>
            <w:shd w:val="clear" w:color="auto" w:fill="auto"/>
            <w:noWrap/>
            <w:vAlign w:val="bottom"/>
            <w:hideMark/>
          </w:tcPr>
          <w:p w14:paraId="599428F7" w14:textId="77777777" w:rsidR="0010523F" w:rsidRPr="0010523F" w:rsidRDefault="0010523F" w:rsidP="0010523F">
            <w:pPr>
              <w:jc w:val="right"/>
              <w:rPr>
                <w:sz w:val="22"/>
                <w:szCs w:val="22"/>
                <w:lang w:val="es-AR" w:eastAsia="es-AR"/>
              </w:rPr>
            </w:pPr>
            <w:r w:rsidRPr="0010523F">
              <w:rPr>
                <w:sz w:val="22"/>
                <w:szCs w:val="22"/>
                <w:lang w:val="es-AR" w:eastAsia="es-AR"/>
              </w:rPr>
              <w:t xml:space="preserve">( 14.335) </w:t>
            </w:r>
          </w:p>
        </w:tc>
        <w:tc>
          <w:tcPr>
            <w:tcW w:w="426" w:type="dxa"/>
            <w:tcBorders>
              <w:top w:val="nil"/>
              <w:left w:val="nil"/>
              <w:bottom w:val="nil"/>
              <w:right w:val="nil"/>
            </w:tcBorders>
          </w:tcPr>
          <w:p w14:paraId="23F4608D" w14:textId="77777777" w:rsidR="0010523F" w:rsidRPr="0010523F" w:rsidRDefault="0010523F" w:rsidP="0010523F">
            <w:pPr>
              <w:jc w:val="right"/>
              <w:rPr>
                <w:color w:val="000000"/>
                <w:sz w:val="22"/>
                <w:szCs w:val="22"/>
                <w:lang w:val="es-AR" w:eastAsia="es-AR"/>
              </w:rPr>
            </w:pPr>
          </w:p>
        </w:tc>
        <w:tc>
          <w:tcPr>
            <w:tcW w:w="1418" w:type="dxa"/>
            <w:tcBorders>
              <w:top w:val="nil"/>
              <w:left w:val="nil"/>
              <w:bottom w:val="nil"/>
              <w:right w:val="nil"/>
            </w:tcBorders>
            <w:shd w:val="clear" w:color="auto" w:fill="auto"/>
            <w:noWrap/>
            <w:vAlign w:val="bottom"/>
            <w:hideMark/>
          </w:tcPr>
          <w:p w14:paraId="7128CC60" w14:textId="77777777" w:rsidR="0010523F" w:rsidRPr="0010523F" w:rsidRDefault="0010523F" w:rsidP="0010523F">
            <w:pPr>
              <w:jc w:val="right"/>
              <w:rPr>
                <w:color w:val="000000"/>
                <w:sz w:val="22"/>
                <w:szCs w:val="22"/>
                <w:lang w:val="es-AR" w:eastAsia="es-AR"/>
              </w:rPr>
            </w:pPr>
            <w:r w:rsidRPr="0010523F">
              <w:rPr>
                <w:sz w:val="22"/>
                <w:szCs w:val="22"/>
                <w:lang w:val="es-AR" w:eastAsia="es-AR"/>
              </w:rPr>
              <w:t xml:space="preserve">5.916 </w:t>
            </w:r>
          </w:p>
        </w:tc>
      </w:tr>
      <w:tr w:rsidR="0010523F" w:rsidRPr="0010523F" w14:paraId="4B7BFD46" w14:textId="77777777" w:rsidTr="00774E7E">
        <w:trPr>
          <w:trHeight w:val="227"/>
        </w:trPr>
        <w:tc>
          <w:tcPr>
            <w:tcW w:w="6678" w:type="dxa"/>
            <w:tcBorders>
              <w:top w:val="nil"/>
              <w:left w:val="nil"/>
              <w:bottom w:val="nil"/>
              <w:right w:val="nil"/>
            </w:tcBorders>
            <w:shd w:val="clear" w:color="auto" w:fill="auto"/>
            <w:noWrap/>
            <w:vAlign w:val="bottom"/>
            <w:hideMark/>
          </w:tcPr>
          <w:p w14:paraId="2BAA4A05"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Cambios distintos al efectivo:</w:t>
            </w:r>
          </w:p>
        </w:tc>
        <w:tc>
          <w:tcPr>
            <w:tcW w:w="1205" w:type="dxa"/>
            <w:tcBorders>
              <w:top w:val="nil"/>
              <w:left w:val="nil"/>
              <w:bottom w:val="nil"/>
              <w:right w:val="nil"/>
            </w:tcBorders>
            <w:shd w:val="clear" w:color="auto" w:fill="auto"/>
            <w:noWrap/>
            <w:vAlign w:val="bottom"/>
            <w:hideMark/>
          </w:tcPr>
          <w:p w14:paraId="3EE65AEA" w14:textId="77777777" w:rsidR="0010523F" w:rsidRPr="0010523F" w:rsidRDefault="0010523F" w:rsidP="0010523F">
            <w:pPr>
              <w:jc w:val="right"/>
              <w:rPr>
                <w:sz w:val="22"/>
                <w:szCs w:val="22"/>
                <w:lang w:val="es-AR" w:eastAsia="es-AR"/>
              </w:rPr>
            </w:pPr>
          </w:p>
        </w:tc>
        <w:tc>
          <w:tcPr>
            <w:tcW w:w="426" w:type="dxa"/>
            <w:tcBorders>
              <w:top w:val="nil"/>
              <w:left w:val="nil"/>
              <w:bottom w:val="nil"/>
              <w:right w:val="nil"/>
            </w:tcBorders>
          </w:tcPr>
          <w:p w14:paraId="263A8638" w14:textId="77777777" w:rsidR="0010523F" w:rsidRPr="0010523F" w:rsidRDefault="0010523F" w:rsidP="0010523F">
            <w:pPr>
              <w:jc w:val="right"/>
              <w:rPr>
                <w:color w:val="000000"/>
                <w:sz w:val="22"/>
                <w:szCs w:val="22"/>
                <w:lang w:val="es-AR" w:eastAsia="es-AR"/>
              </w:rPr>
            </w:pPr>
          </w:p>
        </w:tc>
        <w:tc>
          <w:tcPr>
            <w:tcW w:w="1418" w:type="dxa"/>
            <w:tcBorders>
              <w:top w:val="nil"/>
              <w:left w:val="nil"/>
              <w:bottom w:val="nil"/>
              <w:right w:val="nil"/>
            </w:tcBorders>
            <w:shd w:val="clear" w:color="auto" w:fill="auto"/>
            <w:noWrap/>
            <w:vAlign w:val="bottom"/>
            <w:hideMark/>
          </w:tcPr>
          <w:p w14:paraId="2E3BE990" w14:textId="77777777" w:rsidR="0010523F" w:rsidRPr="0010523F" w:rsidRDefault="0010523F" w:rsidP="0010523F">
            <w:pPr>
              <w:jc w:val="right"/>
              <w:rPr>
                <w:color w:val="000000"/>
                <w:sz w:val="22"/>
                <w:szCs w:val="22"/>
                <w:lang w:val="es-AR" w:eastAsia="es-AR"/>
              </w:rPr>
            </w:pPr>
          </w:p>
        </w:tc>
      </w:tr>
      <w:tr w:rsidR="0010523F" w:rsidRPr="0010523F" w14:paraId="22714D31" w14:textId="77777777" w:rsidTr="00774E7E">
        <w:trPr>
          <w:trHeight w:val="227"/>
        </w:trPr>
        <w:tc>
          <w:tcPr>
            <w:tcW w:w="6678" w:type="dxa"/>
            <w:tcBorders>
              <w:top w:val="nil"/>
              <w:left w:val="nil"/>
              <w:bottom w:val="nil"/>
              <w:right w:val="nil"/>
            </w:tcBorders>
            <w:shd w:val="clear" w:color="auto" w:fill="auto"/>
            <w:noWrap/>
            <w:vAlign w:val="bottom"/>
            <w:hideMark/>
          </w:tcPr>
          <w:p w14:paraId="6EB0369A"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Diferencias de cambio / conversión</w:t>
            </w:r>
          </w:p>
        </w:tc>
        <w:tc>
          <w:tcPr>
            <w:tcW w:w="1205" w:type="dxa"/>
            <w:tcBorders>
              <w:top w:val="nil"/>
              <w:left w:val="nil"/>
              <w:bottom w:val="nil"/>
              <w:right w:val="nil"/>
            </w:tcBorders>
            <w:shd w:val="clear" w:color="auto" w:fill="auto"/>
            <w:noWrap/>
            <w:vAlign w:val="bottom"/>
            <w:hideMark/>
          </w:tcPr>
          <w:p w14:paraId="792B996B" w14:textId="77777777" w:rsidR="0010523F" w:rsidRPr="0010523F" w:rsidRDefault="0010523F" w:rsidP="0010523F">
            <w:pPr>
              <w:jc w:val="right"/>
              <w:rPr>
                <w:sz w:val="22"/>
                <w:szCs w:val="22"/>
                <w:lang w:val="es-AR" w:eastAsia="es-AR"/>
              </w:rPr>
            </w:pPr>
            <w:r w:rsidRPr="0010523F">
              <w:rPr>
                <w:sz w:val="22"/>
                <w:szCs w:val="22"/>
                <w:lang w:val="es-AR" w:eastAsia="es-AR"/>
              </w:rPr>
              <w:t xml:space="preserve">42.928 </w:t>
            </w:r>
          </w:p>
        </w:tc>
        <w:tc>
          <w:tcPr>
            <w:tcW w:w="426" w:type="dxa"/>
            <w:tcBorders>
              <w:top w:val="nil"/>
              <w:left w:val="nil"/>
              <w:bottom w:val="nil"/>
              <w:right w:val="nil"/>
            </w:tcBorders>
          </w:tcPr>
          <w:p w14:paraId="18A9983B" w14:textId="77777777" w:rsidR="0010523F" w:rsidRPr="0010523F" w:rsidRDefault="0010523F" w:rsidP="0010523F">
            <w:pPr>
              <w:jc w:val="right"/>
              <w:rPr>
                <w:color w:val="000000"/>
                <w:sz w:val="22"/>
                <w:szCs w:val="22"/>
                <w:lang w:val="es-AR" w:eastAsia="es-AR"/>
              </w:rPr>
            </w:pPr>
          </w:p>
        </w:tc>
        <w:tc>
          <w:tcPr>
            <w:tcW w:w="1418" w:type="dxa"/>
            <w:tcBorders>
              <w:top w:val="nil"/>
              <w:left w:val="nil"/>
              <w:bottom w:val="nil"/>
              <w:right w:val="nil"/>
            </w:tcBorders>
            <w:shd w:val="clear" w:color="auto" w:fill="auto"/>
            <w:noWrap/>
            <w:vAlign w:val="bottom"/>
            <w:hideMark/>
          </w:tcPr>
          <w:p w14:paraId="3D41DABD" w14:textId="77777777" w:rsidR="0010523F" w:rsidRPr="0010523F" w:rsidRDefault="0010523F" w:rsidP="0010523F">
            <w:pPr>
              <w:jc w:val="right"/>
              <w:rPr>
                <w:color w:val="000000"/>
                <w:sz w:val="22"/>
                <w:szCs w:val="22"/>
                <w:lang w:val="es-AR" w:eastAsia="es-AR"/>
              </w:rPr>
            </w:pPr>
            <w:r w:rsidRPr="0010523F">
              <w:rPr>
                <w:sz w:val="22"/>
                <w:szCs w:val="22"/>
                <w:lang w:val="es-AR" w:eastAsia="es-AR"/>
              </w:rPr>
              <w:t xml:space="preserve">46.874 </w:t>
            </w:r>
          </w:p>
        </w:tc>
      </w:tr>
      <w:tr w:rsidR="0010523F" w:rsidRPr="0010523F" w14:paraId="44FCE60C" w14:textId="77777777" w:rsidTr="00774E7E">
        <w:trPr>
          <w:trHeight w:val="227"/>
        </w:trPr>
        <w:tc>
          <w:tcPr>
            <w:tcW w:w="6678" w:type="dxa"/>
            <w:tcBorders>
              <w:top w:val="nil"/>
              <w:left w:val="nil"/>
              <w:bottom w:val="nil"/>
              <w:right w:val="nil"/>
            </w:tcBorders>
            <w:shd w:val="clear" w:color="auto" w:fill="auto"/>
            <w:noWrap/>
            <w:vAlign w:val="bottom"/>
          </w:tcPr>
          <w:p w14:paraId="6FAB240B"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Incorporación obligaciones negociables, préstamos y otras deudas financieras por transferencia de fondo de comercio (Nota 1)</w:t>
            </w:r>
          </w:p>
        </w:tc>
        <w:tc>
          <w:tcPr>
            <w:tcW w:w="1205" w:type="dxa"/>
            <w:tcBorders>
              <w:top w:val="nil"/>
              <w:left w:val="nil"/>
              <w:bottom w:val="nil"/>
              <w:right w:val="nil"/>
            </w:tcBorders>
            <w:shd w:val="clear" w:color="auto" w:fill="auto"/>
            <w:noWrap/>
            <w:vAlign w:val="bottom"/>
          </w:tcPr>
          <w:p w14:paraId="1392B2A2" w14:textId="77777777" w:rsidR="0010523F" w:rsidRPr="0010523F" w:rsidRDefault="0010523F" w:rsidP="0010523F">
            <w:pPr>
              <w:jc w:val="right"/>
              <w:rPr>
                <w:sz w:val="22"/>
                <w:szCs w:val="22"/>
                <w:lang w:val="es-AR" w:eastAsia="es-AR"/>
              </w:rPr>
            </w:pPr>
            <w:r w:rsidRPr="0010523F">
              <w:rPr>
                <w:sz w:val="22"/>
                <w:szCs w:val="22"/>
                <w:lang w:val="es-AR" w:eastAsia="es-AR"/>
              </w:rPr>
              <w:t>-</w:t>
            </w:r>
          </w:p>
        </w:tc>
        <w:tc>
          <w:tcPr>
            <w:tcW w:w="426" w:type="dxa"/>
            <w:tcBorders>
              <w:top w:val="nil"/>
              <w:left w:val="nil"/>
              <w:bottom w:val="nil"/>
              <w:right w:val="nil"/>
            </w:tcBorders>
          </w:tcPr>
          <w:p w14:paraId="7DDBB568" w14:textId="77777777" w:rsidR="0010523F" w:rsidRPr="0010523F" w:rsidRDefault="0010523F" w:rsidP="0010523F">
            <w:pPr>
              <w:jc w:val="right"/>
              <w:rPr>
                <w:color w:val="000000"/>
                <w:sz w:val="22"/>
                <w:szCs w:val="22"/>
                <w:lang w:val="es-AR" w:eastAsia="es-AR"/>
              </w:rPr>
            </w:pPr>
          </w:p>
        </w:tc>
        <w:tc>
          <w:tcPr>
            <w:tcW w:w="1418" w:type="dxa"/>
            <w:tcBorders>
              <w:top w:val="nil"/>
              <w:left w:val="nil"/>
              <w:bottom w:val="nil"/>
              <w:right w:val="nil"/>
            </w:tcBorders>
            <w:shd w:val="clear" w:color="auto" w:fill="auto"/>
            <w:noWrap/>
            <w:vAlign w:val="bottom"/>
          </w:tcPr>
          <w:p w14:paraId="70CB5EB3" w14:textId="77777777" w:rsidR="0010523F" w:rsidRPr="0010523F" w:rsidRDefault="0010523F" w:rsidP="0010523F">
            <w:pPr>
              <w:jc w:val="right"/>
              <w:rPr>
                <w:color w:val="000000"/>
                <w:sz w:val="22"/>
                <w:szCs w:val="22"/>
                <w:lang w:val="es-AR" w:eastAsia="es-AR"/>
              </w:rPr>
            </w:pPr>
            <w:r w:rsidRPr="0010523F">
              <w:rPr>
                <w:sz w:val="22"/>
                <w:szCs w:val="22"/>
                <w:lang w:val="es-AR" w:eastAsia="es-AR"/>
              </w:rPr>
              <w:t xml:space="preserve">15.488 </w:t>
            </w:r>
          </w:p>
        </w:tc>
      </w:tr>
      <w:tr w:rsidR="0010523F" w:rsidRPr="0010523F" w14:paraId="040DF3F3" w14:textId="77777777" w:rsidTr="00774E7E">
        <w:trPr>
          <w:trHeight w:val="227"/>
        </w:trPr>
        <w:tc>
          <w:tcPr>
            <w:tcW w:w="6678" w:type="dxa"/>
            <w:tcBorders>
              <w:top w:val="nil"/>
              <w:left w:val="nil"/>
              <w:bottom w:val="nil"/>
              <w:right w:val="nil"/>
            </w:tcBorders>
            <w:shd w:val="clear" w:color="auto" w:fill="auto"/>
            <w:noWrap/>
            <w:vAlign w:val="bottom"/>
          </w:tcPr>
          <w:p w14:paraId="35123F4A"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Incorporación de deudas financieras por derecho a uso de activos</w:t>
            </w:r>
          </w:p>
        </w:tc>
        <w:tc>
          <w:tcPr>
            <w:tcW w:w="1205" w:type="dxa"/>
            <w:tcBorders>
              <w:top w:val="nil"/>
              <w:left w:val="nil"/>
              <w:bottom w:val="nil"/>
              <w:right w:val="nil"/>
            </w:tcBorders>
            <w:shd w:val="clear" w:color="auto" w:fill="auto"/>
            <w:noWrap/>
            <w:vAlign w:val="bottom"/>
          </w:tcPr>
          <w:p w14:paraId="1812C710" w14:textId="77777777" w:rsidR="0010523F" w:rsidRPr="0010523F" w:rsidRDefault="0010523F" w:rsidP="0010523F">
            <w:pPr>
              <w:jc w:val="right"/>
              <w:rPr>
                <w:sz w:val="22"/>
                <w:szCs w:val="22"/>
                <w:lang w:val="es-AR" w:eastAsia="es-AR"/>
              </w:rPr>
            </w:pPr>
            <w:r w:rsidRPr="0010523F">
              <w:rPr>
                <w:sz w:val="22"/>
                <w:szCs w:val="22"/>
                <w:lang w:val="es-AR" w:eastAsia="es-AR"/>
              </w:rPr>
              <w:t>4.417</w:t>
            </w:r>
          </w:p>
        </w:tc>
        <w:tc>
          <w:tcPr>
            <w:tcW w:w="426" w:type="dxa"/>
            <w:tcBorders>
              <w:top w:val="nil"/>
              <w:left w:val="nil"/>
              <w:bottom w:val="nil"/>
              <w:right w:val="nil"/>
            </w:tcBorders>
          </w:tcPr>
          <w:p w14:paraId="236B67BD" w14:textId="77777777" w:rsidR="0010523F" w:rsidRPr="0010523F" w:rsidRDefault="0010523F" w:rsidP="0010523F">
            <w:pPr>
              <w:jc w:val="right"/>
              <w:rPr>
                <w:color w:val="000000"/>
                <w:sz w:val="22"/>
                <w:szCs w:val="22"/>
                <w:lang w:val="es-AR" w:eastAsia="es-AR"/>
              </w:rPr>
            </w:pPr>
          </w:p>
        </w:tc>
        <w:tc>
          <w:tcPr>
            <w:tcW w:w="1418" w:type="dxa"/>
            <w:tcBorders>
              <w:top w:val="nil"/>
              <w:left w:val="nil"/>
              <w:bottom w:val="nil"/>
              <w:right w:val="nil"/>
            </w:tcBorders>
            <w:shd w:val="clear" w:color="auto" w:fill="auto"/>
            <w:noWrap/>
            <w:vAlign w:val="bottom"/>
          </w:tcPr>
          <w:p w14:paraId="6A77769A"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w:t>
            </w:r>
          </w:p>
        </w:tc>
      </w:tr>
      <w:tr w:rsidR="0010523F" w:rsidRPr="0010523F" w14:paraId="61835003" w14:textId="77777777" w:rsidTr="00774E7E">
        <w:trPr>
          <w:trHeight w:val="227"/>
        </w:trPr>
        <w:tc>
          <w:tcPr>
            <w:tcW w:w="6678" w:type="dxa"/>
            <w:tcBorders>
              <w:top w:val="nil"/>
              <w:left w:val="nil"/>
              <w:bottom w:val="nil"/>
              <w:right w:val="nil"/>
            </w:tcBorders>
            <w:shd w:val="clear" w:color="auto" w:fill="auto"/>
            <w:noWrap/>
            <w:vAlign w:val="bottom"/>
            <w:hideMark/>
          </w:tcPr>
          <w:p w14:paraId="26546A60"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Intereses devengados</w:t>
            </w:r>
          </w:p>
        </w:tc>
        <w:tc>
          <w:tcPr>
            <w:tcW w:w="1205" w:type="dxa"/>
            <w:tcBorders>
              <w:top w:val="nil"/>
              <w:left w:val="nil"/>
              <w:bottom w:val="nil"/>
              <w:right w:val="nil"/>
            </w:tcBorders>
            <w:shd w:val="clear" w:color="auto" w:fill="auto"/>
            <w:noWrap/>
            <w:vAlign w:val="bottom"/>
            <w:hideMark/>
          </w:tcPr>
          <w:p w14:paraId="0F81A817" w14:textId="77777777" w:rsidR="0010523F" w:rsidRPr="0010523F" w:rsidRDefault="0010523F" w:rsidP="0010523F">
            <w:pPr>
              <w:jc w:val="right"/>
              <w:rPr>
                <w:sz w:val="22"/>
                <w:szCs w:val="22"/>
                <w:lang w:val="es-AR" w:eastAsia="es-AR"/>
              </w:rPr>
            </w:pPr>
            <w:r w:rsidRPr="0010523F">
              <w:rPr>
                <w:sz w:val="22"/>
                <w:szCs w:val="22"/>
                <w:lang w:val="es-AR" w:eastAsia="es-AR"/>
              </w:rPr>
              <w:t xml:space="preserve">6.283 </w:t>
            </w:r>
          </w:p>
        </w:tc>
        <w:tc>
          <w:tcPr>
            <w:tcW w:w="426" w:type="dxa"/>
            <w:tcBorders>
              <w:top w:val="nil"/>
              <w:left w:val="nil"/>
              <w:bottom w:val="nil"/>
              <w:right w:val="nil"/>
            </w:tcBorders>
          </w:tcPr>
          <w:p w14:paraId="7C1A2B35" w14:textId="77777777" w:rsidR="0010523F" w:rsidRPr="0010523F" w:rsidRDefault="0010523F" w:rsidP="0010523F">
            <w:pPr>
              <w:jc w:val="right"/>
              <w:rPr>
                <w:color w:val="000000"/>
                <w:sz w:val="22"/>
                <w:szCs w:val="22"/>
                <w:lang w:val="es-AR" w:eastAsia="es-AR"/>
              </w:rPr>
            </w:pPr>
          </w:p>
        </w:tc>
        <w:tc>
          <w:tcPr>
            <w:tcW w:w="1418" w:type="dxa"/>
            <w:tcBorders>
              <w:top w:val="nil"/>
              <w:left w:val="nil"/>
              <w:bottom w:val="nil"/>
              <w:right w:val="nil"/>
            </w:tcBorders>
            <w:shd w:val="clear" w:color="auto" w:fill="auto"/>
            <w:noWrap/>
            <w:vAlign w:val="bottom"/>
            <w:hideMark/>
          </w:tcPr>
          <w:p w14:paraId="12F87A95" w14:textId="77777777" w:rsidR="0010523F" w:rsidRPr="0010523F" w:rsidRDefault="0010523F" w:rsidP="0010523F">
            <w:pPr>
              <w:jc w:val="right"/>
              <w:rPr>
                <w:color w:val="000000"/>
                <w:sz w:val="22"/>
                <w:szCs w:val="22"/>
                <w:lang w:val="es-AR" w:eastAsia="es-AR"/>
              </w:rPr>
            </w:pPr>
            <w:r w:rsidRPr="0010523F">
              <w:rPr>
                <w:sz w:val="22"/>
                <w:szCs w:val="22"/>
                <w:lang w:val="es-AR" w:eastAsia="es-AR"/>
              </w:rPr>
              <w:t xml:space="preserve">2.504 </w:t>
            </w:r>
          </w:p>
        </w:tc>
      </w:tr>
      <w:tr w:rsidR="0010523F" w:rsidRPr="0010523F" w14:paraId="28FC497A" w14:textId="77777777" w:rsidTr="00774E7E">
        <w:trPr>
          <w:trHeight w:val="227"/>
        </w:trPr>
        <w:tc>
          <w:tcPr>
            <w:tcW w:w="6678" w:type="dxa"/>
            <w:tcBorders>
              <w:top w:val="nil"/>
              <w:left w:val="nil"/>
              <w:bottom w:val="nil"/>
              <w:right w:val="nil"/>
            </w:tcBorders>
            <w:shd w:val="clear" w:color="auto" w:fill="auto"/>
            <w:noWrap/>
            <w:vAlign w:val="bottom"/>
            <w:hideMark/>
          </w:tcPr>
          <w:p w14:paraId="05A1718A"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Devengamiento de costos de emisión asociados</w:t>
            </w:r>
          </w:p>
        </w:tc>
        <w:tc>
          <w:tcPr>
            <w:tcW w:w="1205" w:type="dxa"/>
            <w:tcBorders>
              <w:top w:val="nil"/>
              <w:left w:val="nil"/>
              <w:bottom w:val="nil"/>
              <w:right w:val="nil"/>
            </w:tcBorders>
            <w:shd w:val="clear" w:color="auto" w:fill="auto"/>
            <w:noWrap/>
            <w:vAlign w:val="bottom"/>
            <w:hideMark/>
          </w:tcPr>
          <w:p w14:paraId="1D8D6492" w14:textId="77777777" w:rsidR="0010523F" w:rsidRPr="0010523F" w:rsidRDefault="0010523F" w:rsidP="0010523F">
            <w:pPr>
              <w:jc w:val="right"/>
              <w:rPr>
                <w:sz w:val="22"/>
                <w:szCs w:val="22"/>
                <w:u w:val="single"/>
                <w:lang w:val="es-AR" w:eastAsia="es-AR"/>
              </w:rPr>
            </w:pPr>
            <w:r w:rsidRPr="0010523F">
              <w:rPr>
                <w:sz w:val="22"/>
                <w:szCs w:val="22"/>
                <w:u w:val="single"/>
                <w:lang w:val="es-AR" w:eastAsia="es-AR"/>
              </w:rPr>
              <w:t xml:space="preserve">       597   </w:t>
            </w:r>
          </w:p>
        </w:tc>
        <w:tc>
          <w:tcPr>
            <w:tcW w:w="426" w:type="dxa"/>
            <w:tcBorders>
              <w:top w:val="nil"/>
              <w:left w:val="nil"/>
              <w:bottom w:val="nil"/>
              <w:right w:val="nil"/>
            </w:tcBorders>
          </w:tcPr>
          <w:p w14:paraId="5457F9AC" w14:textId="77777777" w:rsidR="0010523F" w:rsidRPr="0010523F" w:rsidRDefault="0010523F" w:rsidP="0010523F">
            <w:pPr>
              <w:jc w:val="right"/>
              <w:rPr>
                <w:color w:val="000000"/>
                <w:sz w:val="22"/>
                <w:szCs w:val="22"/>
                <w:lang w:val="es-AR" w:eastAsia="es-AR"/>
              </w:rPr>
            </w:pPr>
          </w:p>
        </w:tc>
        <w:tc>
          <w:tcPr>
            <w:tcW w:w="1418" w:type="dxa"/>
            <w:tcBorders>
              <w:top w:val="nil"/>
              <w:left w:val="nil"/>
              <w:bottom w:val="nil"/>
              <w:right w:val="nil"/>
            </w:tcBorders>
            <w:shd w:val="clear" w:color="auto" w:fill="auto"/>
            <w:noWrap/>
            <w:vAlign w:val="bottom"/>
            <w:hideMark/>
          </w:tcPr>
          <w:p w14:paraId="4E122402" w14:textId="77777777" w:rsidR="0010523F" w:rsidRPr="0010523F" w:rsidRDefault="0010523F" w:rsidP="0010523F">
            <w:pPr>
              <w:jc w:val="right"/>
              <w:rPr>
                <w:color w:val="000000"/>
                <w:sz w:val="22"/>
                <w:szCs w:val="22"/>
                <w:u w:val="single"/>
                <w:lang w:val="es-AR" w:eastAsia="es-AR"/>
              </w:rPr>
            </w:pPr>
            <w:r w:rsidRPr="0010523F">
              <w:rPr>
                <w:sz w:val="22"/>
                <w:szCs w:val="22"/>
                <w:u w:val="single"/>
                <w:lang w:val="es-AR" w:eastAsia="es-AR"/>
              </w:rPr>
              <w:t xml:space="preserve">       133   </w:t>
            </w:r>
          </w:p>
        </w:tc>
      </w:tr>
      <w:tr w:rsidR="0010523F" w:rsidRPr="0010523F" w14:paraId="70EF8B7E" w14:textId="77777777" w:rsidTr="00774E7E">
        <w:trPr>
          <w:trHeight w:val="227"/>
        </w:trPr>
        <w:tc>
          <w:tcPr>
            <w:tcW w:w="6678" w:type="dxa"/>
            <w:tcBorders>
              <w:top w:val="nil"/>
              <w:left w:val="nil"/>
              <w:bottom w:val="nil"/>
              <w:right w:val="nil"/>
            </w:tcBorders>
            <w:shd w:val="clear" w:color="auto" w:fill="auto"/>
            <w:noWrap/>
            <w:vAlign w:val="bottom"/>
            <w:hideMark/>
          </w:tcPr>
          <w:p w14:paraId="719BA49C"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Saldos al cierre del período</w:t>
            </w:r>
          </w:p>
        </w:tc>
        <w:tc>
          <w:tcPr>
            <w:tcW w:w="1205" w:type="dxa"/>
            <w:tcBorders>
              <w:top w:val="nil"/>
              <w:left w:val="nil"/>
              <w:bottom w:val="nil"/>
              <w:right w:val="nil"/>
            </w:tcBorders>
            <w:shd w:val="clear" w:color="auto" w:fill="auto"/>
            <w:noWrap/>
            <w:vAlign w:val="bottom"/>
            <w:hideMark/>
          </w:tcPr>
          <w:p w14:paraId="7B06E5F6" w14:textId="77777777" w:rsidR="0010523F" w:rsidRPr="0010523F" w:rsidRDefault="0010523F" w:rsidP="0010523F">
            <w:pPr>
              <w:jc w:val="right"/>
              <w:rPr>
                <w:sz w:val="22"/>
                <w:szCs w:val="22"/>
                <w:u w:val="double"/>
                <w:lang w:val="es-AR" w:eastAsia="es-AR"/>
              </w:rPr>
            </w:pPr>
            <w:r w:rsidRPr="0010523F">
              <w:rPr>
                <w:sz w:val="22"/>
                <w:szCs w:val="22"/>
                <w:u w:val="double"/>
                <w:lang w:val="es-AR" w:eastAsia="es-AR"/>
              </w:rPr>
              <w:t xml:space="preserve">129.671 </w:t>
            </w:r>
          </w:p>
        </w:tc>
        <w:tc>
          <w:tcPr>
            <w:tcW w:w="426" w:type="dxa"/>
            <w:tcBorders>
              <w:top w:val="nil"/>
              <w:left w:val="nil"/>
              <w:bottom w:val="nil"/>
              <w:right w:val="nil"/>
            </w:tcBorders>
          </w:tcPr>
          <w:p w14:paraId="52B100C8" w14:textId="77777777" w:rsidR="0010523F" w:rsidRPr="0010523F" w:rsidRDefault="0010523F" w:rsidP="0010523F">
            <w:pPr>
              <w:jc w:val="right"/>
              <w:rPr>
                <w:color w:val="000000"/>
                <w:sz w:val="22"/>
                <w:szCs w:val="22"/>
                <w:u w:val="double"/>
                <w:lang w:val="es-AR" w:eastAsia="es-AR"/>
              </w:rPr>
            </w:pPr>
            <w:r w:rsidRPr="0010523F">
              <w:rPr>
                <w:color w:val="000000"/>
                <w:sz w:val="22"/>
                <w:szCs w:val="22"/>
                <w:lang w:val="es-AR" w:eastAsia="es-AR"/>
              </w:rPr>
              <w:t>(1)</w:t>
            </w:r>
          </w:p>
        </w:tc>
        <w:tc>
          <w:tcPr>
            <w:tcW w:w="1418" w:type="dxa"/>
            <w:tcBorders>
              <w:top w:val="nil"/>
              <w:left w:val="nil"/>
              <w:bottom w:val="nil"/>
              <w:right w:val="nil"/>
            </w:tcBorders>
            <w:shd w:val="clear" w:color="auto" w:fill="auto"/>
            <w:noWrap/>
            <w:vAlign w:val="bottom"/>
            <w:hideMark/>
          </w:tcPr>
          <w:p w14:paraId="6B77E094" w14:textId="77777777" w:rsidR="0010523F" w:rsidRPr="0010523F" w:rsidRDefault="0010523F" w:rsidP="0010523F">
            <w:pPr>
              <w:jc w:val="right"/>
              <w:rPr>
                <w:color w:val="000000"/>
                <w:sz w:val="22"/>
                <w:szCs w:val="22"/>
                <w:u w:val="double"/>
                <w:lang w:val="es-AR" w:eastAsia="es-AR"/>
              </w:rPr>
            </w:pPr>
            <w:r w:rsidRPr="0010523F">
              <w:rPr>
                <w:sz w:val="22"/>
                <w:szCs w:val="22"/>
                <w:u w:val="double"/>
                <w:lang w:val="es-AR" w:eastAsia="es-AR"/>
              </w:rPr>
              <w:t xml:space="preserve">102.293 </w:t>
            </w:r>
          </w:p>
        </w:tc>
      </w:tr>
    </w:tbl>
    <w:p w14:paraId="30C7592F" w14:textId="77777777" w:rsidR="0010523F" w:rsidRPr="0010523F" w:rsidRDefault="0010523F" w:rsidP="0010523F">
      <w:pPr>
        <w:tabs>
          <w:tab w:val="left" w:pos="630"/>
          <w:tab w:val="decimal" w:pos="8273"/>
          <w:tab w:val="decimal" w:pos="9799"/>
        </w:tabs>
        <w:spacing w:line="200" w:lineRule="exact"/>
        <w:ind w:left="426" w:hanging="426"/>
        <w:jc w:val="both"/>
        <w:rPr>
          <w:sz w:val="20"/>
          <w:szCs w:val="20"/>
          <w:lang w:val="es-AR" w:eastAsia="en-US"/>
        </w:rPr>
      </w:pPr>
      <w:r w:rsidRPr="0010523F">
        <w:rPr>
          <w:sz w:val="20"/>
          <w:szCs w:val="20"/>
          <w:lang w:val="es-AR" w:eastAsia="en-US"/>
        </w:rPr>
        <w:tab/>
      </w:r>
    </w:p>
    <w:p w14:paraId="6AB53604" w14:textId="77777777" w:rsidR="0010523F" w:rsidRPr="0010523F" w:rsidRDefault="0010523F" w:rsidP="00E2318E">
      <w:pPr>
        <w:numPr>
          <w:ilvl w:val="0"/>
          <w:numId w:val="70"/>
        </w:numPr>
        <w:tabs>
          <w:tab w:val="decimal" w:pos="7938"/>
          <w:tab w:val="decimal" w:pos="8273"/>
          <w:tab w:val="decimal" w:pos="9356"/>
          <w:tab w:val="decimal" w:pos="9799"/>
        </w:tabs>
        <w:spacing w:line="200" w:lineRule="exact"/>
        <w:jc w:val="both"/>
        <w:rPr>
          <w:sz w:val="20"/>
          <w:szCs w:val="20"/>
          <w:lang w:val="es-AR" w:eastAsia="en-US"/>
        </w:rPr>
      </w:pPr>
      <w:r w:rsidRPr="0010523F">
        <w:rPr>
          <w:sz w:val="20"/>
          <w:szCs w:val="20"/>
          <w:lang w:val="es-AR" w:eastAsia="en-US"/>
        </w:rPr>
        <w:t>Ver Nota 3.j y 3.k.</w:t>
      </w:r>
    </w:p>
    <w:p w14:paraId="44E61E68" w14:textId="77777777" w:rsidR="0010523F" w:rsidRPr="0010523F" w:rsidRDefault="0010523F" w:rsidP="0010523F">
      <w:pPr>
        <w:tabs>
          <w:tab w:val="decimal" w:pos="7938"/>
          <w:tab w:val="decimal" w:pos="8273"/>
          <w:tab w:val="decimal" w:pos="9356"/>
          <w:tab w:val="decimal" w:pos="9799"/>
        </w:tabs>
        <w:spacing w:line="200" w:lineRule="exact"/>
        <w:ind w:left="426" w:hanging="426"/>
        <w:jc w:val="both"/>
        <w:rPr>
          <w:sz w:val="20"/>
          <w:szCs w:val="20"/>
          <w:lang w:val="es-AR" w:eastAsia="en-US"/>
        </w:rPr>
      </w:pPr>
    </w:p>
    <w:p w14:paraId="4B294549" w14:textId="77777777" w:rsidR="0010523F" w:rsidRPr="0010523F" w:rsidRDefault="0010523F" w:rsidP="0010523F">
      <w:pPr>
        <w:tabs>
          <w:tab w:val="decimal" w:pos="7938"/>
          <w:tab w:val="decimal" w:pos="8273"/>
          <w:tab w:val="decimal" w:pos="9356"/>
          <w:tab w:val="decimal" w:pos="9799"/>
        </w:tabs>
        <w:spacing w:line="200" w:lineRule="exact"/>
        <w:ind w:left="426" w:hanging="426"/>
        <w:jc w:val="both"/>
        <w:rPr>
          <w:sz w:val="20"/>
          <w:szCs w:val="20"/>
          <w:lang w:val="es-AR" w:eastAsia="en-US"/>
        </w:rPr>
      </w:pPr>
    </w:p>
    <w:p w14:paraId="0953E2A1" w14:textId="77777777" w:rsidR="0010523F" w:rsidRPr="0010523F" w:rsidRDefault="0010523F" w:rsidP="0010523F">
      <w:pPr>
        <w:tabs>
          <w:tab w:val="decimal" w:pos="7938"/>
          <w:tab w:val="decimal" w:pos="8273"/>
          <w:tab w:val="decimal" w:pos="9356"/>
          <w:tab w:val="decimal" w:pos="9799"/>
        </w:tabs>
        <w:spacing w:line="200" w:lineRule="exact"/>
        <w:ind w:left="426" w:hanging="426"/>
        <w:jc w:val="both"/>
        <w:rPr>
          <w:sz w:val="20"/>
          <w:szCs w:val="20"/>
          <w:lang w:val="es-AR" w:eastAsia="en-US"/>
        </w:rPr>
      </w:pPr>
    </w:p>
    <w:p w14:paraId="7229FD8C" w14:textId="77777777" w:rsidR="0010523F" w:rsidRPr="0010523F" w:rsidRDefault="0010523F" w:rsidP="0010523F">
      <w:pPr>
        <w:tabs>
          <w:tab w:val="decimal" w:pos="7938"/>
          <w:tab w:val="decimal" w:pos="8273"/>
          <w:tab w:val="decimal" w:pos="9356"/>
          <w:tab w:val="decimal" w:pos="9799"/>
        </w:tabs>
        <w:spacing w:line="200" w:lineRule="exact"/>
        <w:ind w:left="426" w:hanging="426"/>
        <w:jc w:val="both"/>
        <w:rPr>
          <w:sz w:val="20"/>
          <w:szCs w:val="20"/>
          <w:lang w:val="es-AR" w:eastAsia="en-US"/>
        </w:rPr>
      </w:pPr>
    </w:p>
    <w:p w14:paraId="4FF0D380" w14:textId="77777777" w:rsidR="0010523F" w:rsidRPr="0010523F" w:rsidRDefault="0010523F" w:rsidP="0010523F">
      <w:pPr>
        <w:tabs>
          <w:tab w:val="decimal" w:pos="7938"/>
          <w:tab w:val="decimal" w:pos="8273"/>
          <w:tab w:val="decimal" w:pos="9356"/>
          <w:tab w:val="decimal" w:pos="9799"/>
        </w:tabs>
        <w:spacing w:line="200" w:lineRule="exact"/>
        <w:ind w:left="426" w:hanging="426"/>
        <w:jc w:val="both"/>
        <w:rPr>
          <w:sz w:val="20"/>
          <w:szCs w:val="20"/>
          <w:lang w:val="es-AR" w:eastAsia="en-US"/>
        </w:rPr>
      </w:pPr>
    </w:p>
    <w:p w14:paraId="64EEC837" w14:textId="77777777" w:rsidR="0010523F" w:rsidRPr="0010523F" w:rsidRDefault="0010523F" w:rsidP="0010523F">
      <w:pPr>
        <w:widowControl w:val="0"/>
        <w:tabs>
          <w:tab w:val="center" w:pos="1980"/>
          <w:tab w:val="center" w:pos="8080"/>
          <w:tab w:val="center" w:pos="12474"/>
        </w:tabs>
        <w:spacing w:line="220" w:lineRule="exact"/>
        <w:ind w:right="12"/>
        <w:jc w:val="both"/>
        <w:rPr>
          <w:sz w:val="20"/>
          <w:szCs w:val="20"/>
          <w:lang w:val="es-AR" w:eastAsia="en-US"/>
        </w:rPr>
        <w:sectPr w:rsidR="0010523F" w:rsidRPr="0010523F" w:rsidSect="0071006A">
          <w:headerReference w:type="even" r:id="rId43"/>
          <w:headerReference w:type="default" r:id="rId44"/>
          <w:footerReference w:type="default" r:id="rId45"/>
          <w:headerReference w:type="first" r:id="rId46"/>
          <w:footerReference w:type="first" r:id="rId47"/>
          <w:pgSz w:w="11907" w:h="16839" w:code="9"/>
          <w:pgMar w:top="567" w:right="1134" w:bottom="425" w:left="1134" w:header="720" w:footer="454" w:gutter="0"/>
          <w:paperSrc w:first="15" w:other="15"/>
          <w:cols w:space="720"/>
          <w:docGrid w:linePitch="326"/>
        </w:sectPr>
      </w:pPr>
    </w:p>
    <w:p w14:paraId="3783C358" w14:textId="77777777" w:rsidR="0010523F" w:rsidRPr="0010523F" w:rsidRDefault="0010523F" w:rsidP="0010523F">
      <w:pPr>
        <w:keepNext/>
        <w:tabs>
          <w:tab w:val="right" w:pos="5596"/>
        </w:tabs>
        <w:spacing w:line="220" w:lineRule="exact"/>
        <w:jc w:val="both"/>
        <w:outlineLvl w:val="0"/>
        <w:rPr>
          <w:b/>
          <w:szCs w:val="20"/>
          <w:lang w:val="es-AR" w:eastAsia="en-US"/>
        </w:rPr>
      </w:pPr>
      <w:bookmarkStart w:id="152" w:name="_Toc309132442"/>
      <w:r w:rsidRPr="0010523F">
        <w:rPr>
          <w:b/>
          <w:szCs w:val="20"/>
          <w:lang w:val="es-AR" w:eastAsia="en-US"/>
        </w:rPr>
        <w:t xml:space="preserve">NOTA 1 - </w:t>
      </w:r>
      <w:r w:rsidRPr="0010523F">
        <w:rPr>
          <w:b/>
          <w:szCs w:val="20"/>
          <w:lang w:val="es-AR" w:eastAsia="en-US"/>
        </w:rPr>
        <w:tab/>
        <w:t>INFORMACIÓN GENERAL SOBRE PAN AMERICAN ENERGY, S.L., SUCURSAL ARGENTINA Y SUS OPERACIONES</w:t>
      </w:r>
      <w:bookmarkEnd w:id="152"/>
      <w:r w:rsidRPr="0010523F">
        <w:rPr>
          <w:b/>
          <w:szCs w:val="20"/>
          <w:lang w:val="es-AR" w:eastAsia="en-US"/>
        </w:rPr>
        <w:t xml:space="preserve"> </w:t>
      </w:r>
    </w:p>
    <w:p w14:paraId="54E9C6E2" w14:textId="77777777" w:rsidR="0010523F" w:rsidRPr="0010523F" w:rsidRDefault="0010523F" w:rsidP="0010523F">
      <w:pPr>
        <w:spacing w:line="180" w:lineRule="exact"/>
        <w:jc w:val="both"/>
        <w:rPr>
          <w:lang w:val="es-AR" w:eastAsia="en-US"/>
        </w:rPr>
      </w:pPr>
    </w:p>
    <w:p w14:paraId="277FA39F" w14:textId="77777777" w:rsidR="0010523F" w:rsidRPr="0010523F" w:rsidRDefault="0010523F" w:rsidP="0010523F">
      <w:pPr>
        <w:jc w:val="both"/>
        <w:rPr>
          <w:lang w:val="es-AR" w:eastAsia="en-US"/>
        </w:rPr>
      </w:pPr>
      <w:r w:rsidRPr="0010523F">
        <w:rPr>
          <w:lang w:val="es-AR" w:eastAsia="en-US"/>
        </w:rPr>
        <w:t>Pan American Energy, S.L., Sucursal Argentina, en adelante la “Sucursal”, tiene como actividad principal la exploración, desarrollo y producción de petróleo y gas (“Upstream”), refinación y comercialización de hidrocarburos y subproductos (“Downstream”).</w:t>
      </w:r>
    </w:p>
    <w:p w14:paraId="66B4C43B" w14:textId="77777777" w:rsidR="0010523F" w:rsidRPr="0010523F" w:rsidRDefault="0010523F" w:rsidP="0010523F">
      <w:pPr>
        <w:spacing w:line="140" w:lineRule="exact"/>
        <w:jc w:val="both"/>
        <w:rPr>
          <w:lang w:val="es-AR" w:eastAsia="en-US"/>
        </w:rPr>
      </w:pPr>
    </w:p>
    <w:p w14:paraId="3FD8F17C" w14:textId="77777777" w:rsidR="0010523F" w:rsidRPr="0010523F" w:rsidRDefault="0010523F" w:rsidP="0010523F">
      <w:pPr>
        <w:jc w:val="both"/>
        <w:rPr>
          <w:bCs/>
          <w:color w:val="000000"/>
          <w:lang w:val="es-AR" w:eastAsia="en-US"/>
        </w:rPr>
      </w:pPr>
      <w:r w:rsidRPr="0010523F">
        <w:rPr>
          <w:bCs/>
          <w:color w:val="000000"/>
          <w:lang w:val="es-AR" w:eastAsia="en-US"/>
        </w:rPr>
        <w:t xml:space="preserve">Pan American Energy, S.L., la Casa Matriz de la Sucursal (la “Casa Matriz”), originalmente una sociedad </w:t>
      </w:r>
      <w:r w:rsidRPr="0010523F">
        <w:rPr>
          <w:bCs/>
          <w:lang w:val="es-AR" w:eastAsia="en-US"/>
        </w:rPr>
        <w:t xml:space="preserve">limitada </w:t>
      </w:r>
      <w:r w:rsidRPr="0010523F">
        <w:rPr>
          <w:bCs/>
          <w:color w:val="000000"/>
          <w:lang w:val="es-AR" w:eastAsia="en-US"/>
        </w:rPr>
        <w:t xml:space="preserve">(“Limited Liability Company”) constituida el 29 de septiembre de 1997 en el Estado de Delaware, Estados Unidos de América (“EE.UU.”), con fecha 15 de noviembre de 2018 trasladó su domicilio social a Madrid, España, con mantenimiento de su personería jurídica y adoptando la forma de sociedad limitada (S.L.). </w:t>
      </w:r>
    </w:p>
    <w:p w14:paraId="00B50B07" w14:textId="77777777" w:rsidR="0010523F" w:rsidRPr="0010523F" w:rsidRDefault="0010523F" w:rsidP="0010523F">
      <w:pPr>
        <w:spacing w:line="140" w:lineRule="exact"/>
        <w:jc w:val="both"/>
        <w:rPr>
          <w:lang w:val="es-AR" w:eastAsia="en-US"/>
        </w:rPr>
      </w:pPr>
    </w:p>
    <w:p w14:paraId="3C74AB03" w14:textId="77777777" w:rsidR="0010523F" w:rsidRPr="0010523F" w:rsidRDefault="0010523F" w:rsidP="0010523F">
      <w:pPr>
        <w:jc w:val="both"/>
        <w:rPr>
          <w:lang w:val="es-AR" w:eastAsia="en-US"/>
        </w:rPr>
      </w:pPr>
      <w:r w:rsidRPr="0010523F">
        <w:rPr>
          <w:lang w:val="es-AR" w:eastAsia="en-US"/>
        </w:rPr>
        <w:t>Desde el 16 de diciembre de 2017, el socio único de la Casa Matriz es la sociedad española Pan American Energy Group, S.L. (“PAEG”), cuyos socios son sociedades controladas por BP plc (“BP”) y BC Energy Invesments Corp. - anteriormente denominada Bridas Corporation - (“BC”), con un 50% cada uno. Con anterioridad a esa fecha, la participación societaria era 60% BP y 40% BC.</w:t>
      </w:r>
    </w:p>
    <w:p w14:paraId="62D17705" w14:textId="77777777" w:rsidR="0010523F" w:rsidRPr="0010523F" w:rsidRDefault="0010523F" w:rsidP="0010523F">
      <w:pPr>
        <w:spacing w:line="140" w:lineRule="exact"/>
        <w:jc w:val="both"/>
        <w:rPr>
          <w:lang w:val="es-AR" w:eastAsia="en-US"/>
        </w:rPr>
      </w:pPr>
    </w:p>
    <w:p w14:paraId="18CFD376" w14:textId="77777777" w:rsidR="0010523F" w:rsidRPr="0010523F" w:rsidRDefault="0010523F" w:rsidP="0010523F">
      <w:pPr>
        <w:jc w:val="both"/>
        <w:rPr>
          <w:lang w:val="es-AR" w:eastAsia="en-US"/>
        </w:rPr>
      </w:pPr>
      <w:r w:rsidRPr="0010523F">
        <w:rPr>
          <w:lang w:val="es-AR" w:eastAsia="en-US"/>
        </w:rPr>
        <w:t>En el marco de la reorganización de las subsidiarias de PAEG, controlante directa de Pan American Energy, S.L., se previó integrar los negocios de la Sucursal y de Axion Energy Argentina S.A. (“Axion”).</w:t>
      </w:r>
    </w:p>
    <w:p w14:paraId="77F004C5" w14:textId="77777777" w:rsidR="0010523F" w:rsidRPr="0010523F" w:rsidRDefault="0010523F" w:rsidP="0010523F">
      <w:pPr>
        <w:spacing w:line="140" w:lineRule="exact"/>
        <w:jc w:val="both"/>
        <w:rPr>
          <w:lang w:val="es-AR" w:eastAsia="en-US"/>
        </w:rPr>
      </w:pPr>
    </w:p>
    <w:p w14:paraId="4DF3EE87" w14:textId="77777777" w:rsidR="0010523F" w:rsidRPr="0010523F" w:rsidRDefault="0010523F" w:rsidP="0010523F">
      <w:pPr>
        <w:jc w:val="both"/>
        <w:rPr>
          <w:lang w:val="es-AR" w:eastAsia="en-US"/>
        </w:rPr>
      </w:pPr>
      <w:r w:rsidRPr="0010523F">
        <w:rPr>
          <w:lang w:val="es-AR" w:eastAsia="en-US"/>
        </w:rPr>
        <w:t>Con fecha 27 de marzo de 2018, la Sucursal celebró, como parte compradora, con Axion, como parte vendedora, el acuerdo definitivo de la transferencia del fondo de comercio (“TFC”) relativo a la refinación de petróleo crudo y al almacenamiento, distribución y comercialización de productos derivados, incluyendo la totalidad de los activos y pasivos de Axion. Dicho acuerdo tuvo fecha efectiva 1 de abril de 2018. Ver Nota 1 a los estados financieros al 31 de diciembre de 2018.</w:t>
      </w:r>
    </w:p>
    <w:p w14:paraId="22129FB7" w14:textId="77777777" w:rsidR="0010523F" w:rsidRPr="0010523F" w:rsidRDefault="0010523F" w:rsidP="0010523F">
      <w:pPr>
        <w:spacing w:line="140" w:lineRule="exact"/>
        <w:jc w:val="both"/>
        <w:rPr>
          <w:lang w:val="es-AR" w:eastAsia="en-US"/>
        </w:rPr>
      </w:pPr>
    </w:p>
    <w:p w14:paraId="3F85EDD2" w14:textId="77777777" w:rsidR="0010523F" w:rsidRPr="0010523F" w:rsidRDefault="0010523F" w:rsidP="0010523F">
      <w:pPr>
        <w:keepNext/>
        <w:tabs>
          <w:tab w:val="right" w:pos="5596"/>
        </w:tabs>
        <w:spacing w:before="120" w:line="220" w:lineRule="exact"/>
        <w:jc w:val="both"/>
        <w:outlineLvl w:val="0"/>
        <w:rPr>
          <w:b/>
          <w:lang w:val="es-AR" w:eastAsia="en-US"/>
        </w:rPr>
      </w:pPr>
      <w:bookmarkStart w:id="153" w:name="_Toc306957413"/>
      <w:bookmarkStart w:id="154" w:name="_Toc309132447"/>
      <w:r w:rsidRPr="0010523F">
        <w:rPr>
          <w:b/>
          <w:lang w:val="es-AR" w:eastAsia="en-US"/>
        </w:rPr>
        <w:t xml:space="preserve">NOTA 2 - BASES DE </w:t>
      </w:r>
      <w:bookmarkEnd w:id="153"/>
      <w:bookmarkEnd w:id="154"/>
      <w:r w:rsidRPr="0010523F">
        <w:rPr>
          <w:b/>
          <w:lang w:val="es-AR" w:eastAsia="en-US"/>
        </w:rPr>
        <w:t>PRESENTACIÓN</w:t>
      </w:r>
    </w:p>
    <w:p w14:paraId="10016FED" w14:textId="77777777" w:rsidR="0010523F" w:rsidRPr="0010523F" w:rsidRDefault="0010523F" w:rsidP="0010523F">
      <w:pPr>
        <w:spacing w:line="220" w:lineRule="exact"/>
        <w:jc w:val="both"/>
        <w:rPr>
          <w:sz w:val="22"/>
          <w:szCs w:val="22"/>
          <w:lang w:val="es-AR" w:eastAsia="en-US"/>
        </w:rPr>
      </w:pPr>
      <w:r w:rsidRPr="0010523F">
        <w:rPr>
          <w:sz w:val="22"/>
          <w:szCs w:val="22"/>
          <w:lang w:val="es-AR" w:eastAsia="en-US"/>
        </w:rPr>
        <w:t xml:space="preserve">  </w:t>
      </w:r>
    </w:p>
    <w:p w14:paraId="222F9A63" w14:textId="77777777" w:rsidR="0010523F" w:rsidRPr="0010523F" w:rsidRDefault="0010523F" w:rsidP="0010523F">
      <w:pPr>
        <w:keepNext/>
        <w:spacing w:line="220" w:lineRule="exact"/>
        <w:jc w:val="both"/>
        <w:outlineLvl w:val="1"/>
        <w:rPr>
          <w:color w:val="000000"/>
          <w:u w:val="single"/>
          <w:lang w:val="es-AR" w:eastAsia="en-US"/>
        </w:rPr>
      </w:pPr>
      <w:r w:rsidRPr="0010523F">
        <w:rPr>
          <w:color w:val="000000"/>
          <w:u w:val="single"/>
          <w:lang w:val="es-AR" w:eastAsia="en-US"/>
        </w:rPr>
        <w:t>2.1 Declaración de cumplimiento</w:t>
      </w:r>
    </w:p>
    <w:p w14:paraId="17427FCA" w14:textId="77777777" w:rsidR="0010523F" w:rsidRPr="0010523F" w:rsidRDefault="0010523F" w:rsidP="0010523F">
      <w:pPr>
        <w:spacing w:line="220" w:lineRule="exact"/>
        <w:jc w:val="both"/>
        <w:rPr>
          <w:sz w:val="22"/>
          <w:szCs w:val="22"/>
          <w:lang w:val="es-AR" w:eastAsia="en-US"/>
        </w:rPr>
      </w:pPr>
    </w:p>
    <w:p w14:paraId="6D2D2838" w14:textId="77777777" w:rsidR="0010523F" w:rsidRPr="0010523F" w:rsidRDefault="0010523F" w:rsidP="0010523F">
      <w:pPr>
        <w:jc w:val="both"/>
        <w:rPr>
          <w:lang w:val="es-AR" w:eastAsia="en-US"/>
        </w:rPr>
      </w:pPr>
      <w:r w:rsidRPr="0010523F">
        <w:rPr>
          <w:lang w:val="es-AR" w:eastAsia="en-US"/>
        </w:rPr>
        <w:t>Estos estados financieros intermedios condensados fueron preparados de acuerdo con la Norma Internacional de Contabilidad (“NIC”) 34 - “Información Financiera Intermedia” emitida por el Cuerpo Emisor de Normas Internacionales de Contabilidad (International Accounting Standards Board, “IASB”), aprobada por la Resolución Técnica 26 y modificatorias de la Federación Argentina de Consejos Profesionales de Ciencias Económicas (“FACPCE”) y por las Normas de la Comisión Nacional de Valores (“CNV”). Estos estados financieros intermedios condensados no incluyen toda la información requerida por las Normas Internacionales de Información Financiera (“NIIF”) para la emisión de estados financieros anuales y deben leerse en conjunto con los estados financieros de la Sucursal por el ejercicio finalizado el 31 de diciembre de 2018.</w:t>
      </w:r>
    </w:p>
    <w:p w14:paraId="786CE340" w14:textId="77777777" w:rsidR="0010523F" w:rsidRPr="0010523F" w:rsidRDefault="0010523F" w:rsidP="0010523F">
      <w:pPr>
        <w:spacing w:line="220" w:lineRule="exact"/>
        <w:jc w:val="both"/>
        <w:rPr>
          <w:sz w:val="22"/>
          <w:szCs w:val="22"/>
          <w:lang w:val="es-AR" w:eastAsia="en-US"/>
        </w:rPr>
      </w:pPr>
    </w:p>
    <w:p w14:paraId="045718A6" w14:textId="77777777" w:rsidR="0010523F" w:rsidRPr="0010523F" w:rsidRDefault="0010523F" w:rsidP="0010523F">
      <w:pPr>
        <w:jc w:val="both"/>
        <w:rPr>
          <w:color w:val="000000"/>
          <w:lang w:val="es-AR" w:eastAsia="en-US"/>
        </w:rPr>
      </w:pPr>
      <w:r w:rsidRPr="0010523F">
        <w:rPr>
          <w:lang w:val="es-AR" w:eastAsia="en-US"/>
        </w:rPr>
        <w:t>La emisión de los presentes estados financieros intermedios condensados correspondientes al período finalizado el 30 de septiembre de 2019 han sido</w:t>
      </w:r>
      <w:r w:rsidRPr="0010523F">
        <w:rPr>
          <w:color w:val="000000"/>
          <w:lang w:val="es-AR" w:eastAsia="en-US"/>
        </w:rPr>
        <w:t xml:space="preserve"> autorizados para su publicación el 11 de noviembre de 2019 por el Vicepresidente Ejecutivo de Administración y Finanzas, apoderado a tal fin por el Representante Legal de la Sucursal.</w:t>
      </w:r>
    </w:p>
    <w:p w14:paraId="1C59384D" w14:textId="77777777" w:rsidR="0010523F" w:rsidRPr="0010523F" w:rsidRDefault="0010523F" w:rsidP="0010523F">
      <w:pPr>
        <w:rPr>
          <w:b/>
          <w:szCs w:val="20"/>
          <w:lang w:val="es-AR" w:eastAsia="en-US"/>
        </w:rPr>
      </w:pPr>
      <w:bookmarkStart w:id="155" w:name="_Toc306957417"/>
      <w:bookmarkStart w:id="156" w:name="_Toc309132450"/>
      <w:r w:rsidRPr="0010523F">
        <w:rPr>
          <w:b/>
          <w:szCs w:val="20"/>
          <w:lang w:val="es-AR" w:eastAsia="en-US"/>
        </w:rPr>
        <w:br w:type="page"/>
      </w:r>
    </w:p>
    <w:p w14:paraId="25D1AAF4" w14:textId="77777777" w:rsidR="0010523F" w:rsidRPr="0010523F" w:rsidRDefault="0010523F" w:rsidP="0010523F">
      <w:pPr>
        <w:spacing w:line="220" w:lineRule="exact"/>
        <w:jc w:val="both"/>
        <w:rPr>
          <w:szCs w:val="20"/>
          <w:lang w:val="es-AR" w:eastAsia="en-US"/>
        </w:rPr>
      </w:pPr>
      <w:r w:rsidRPr="0010523F">
        <w:rPr>
          <w:b/>
          <w:szCs w:val="20"/>
          <w:lang w:val="es-AR" w:eastAsia="en-US"/>
        </w:rPr>
        <w:t>NOTA 2 - BASES DE PRESENTACIÓN (cont.)</w:t>
      </w:r>
    </w:p>
    <w:p w14:paraId="77982954" w14:textId="77777777" w:rsidR="0010523F" w:rsidRPr="0010523F" w:rsidRDefault="0010523F" w:rsidP="0010523F">
      <w:pPr>
        <w:spacing w:line="220" w:lineRule="exact"/>
        <w:jc w:val="both"/>
        <w:rPr>
          <w:szCs w:val="20"/>
          <w:lang w:val="es-AR" w:eastAsia="en-US"/>
        </w:rPr>
      </w:pPr>
    </w:p>
    <w:p w14:paraId="237681CA" w14:textId="77777777" w:rsidR="0010523F" w:rsidRPr="0010523F" w:rsidRDefault="0010523F" w:rsidP="0010523F">
      <w:pPr>
        <w:keepNext/>
        <w:jc w:val="both"/>
        <w:outlineLvl w:val="1"/>
        <w:rPr>
          <w:u w:val="single"/>
          <w:lang w:val="es-AR" w:eastAsia="en-US"/>
        </w:rPr>
      </w:pPr>
      <w:r w:rsidRPr="0010523F">
        <w:rPr>
          <w:u w:val="single"/>
          <w:lang w:val="es-AR" w:eastAsia="en-US"/>
        </w:rPr>
        <w:t>2.2 Moneda funcional y de presentación</w:t>
      </w:r>
      <w:bookmarkEnd w:id="155"/>
      <w:bookmarkEnd w:id="156"/>
    </w:p>
    <w:p w14:paraId="145DE90B" w14:textId="77777777" w:rsidR="0010523F" w:rsidRPr="0010523F" w:rsidRDefault="0010523F" w:rsidP="0010523F">
      <w:pPr>
        <w:spacing w:line="180" w:lineRule="exact"/>
        <w:jc w:val="both"/>
        <w:rPr>
          <w:lang w:val="es-AR" w:eastAsia="en-US"/>
        </w:rPr>
      </w:pPr>
    </w:p>
    <w:p w14:paraId="71C2097C" w14:textId="77777777" w:rsidR="0010523F" w:rsidRPr="0010523F" w:rsidRDefault="0010523F" w:rsidP="0010523F">
      <w:pPr>
        <w:jc w:val="both"/>
        <w:rPr>
          <w:lang w:val="es-AR" w:eastAsia="en-US"/>
        </w:rPr>
      </w:pPr>
      <w:r w:rsidRPr="0010523F">
        <w:rPr>
          <w:lang w:val="es-AR" w:eastAsia="en-US"/>
        </w:rPr>
        <w:t xml:space="preserve">La presentación en el estado de situación financiera intermedio condensado distingue entre activos y pasivos corrientes y no corrientes. Los activos y pasivos corrientes son aquellos que se espera recuperar o cancelar dentro de los doce meses siguientes al cierre del período. Adicionalmente, la Sucursal informa el flujo de efectivo de las actividades operativas usando el método indirecto. </w:t>
      </w:r>
    </w:p>
    <w:p w14:paraId="3BF2C69E" w14:textId="77777777" w:rsidR="0010523F" w:rsidRPr="0010523F" w:rsidRDefault="0010523F" w:rsidP="0010523F">
      <w:pPr>
        <w:jc w:val="both"/>
        <w:rPr>
          <w:sz w:val="10"/>
          <w:szCs w:val="10"/>
          <w:lang w:val="es-AR" w:eastAsia="en-US"/>
        </w:rPr>
      </w:pPr>
    </w:p>
    <w:p w14:paraId="6BBA7CE1" w14:textId="77777777" w:rsidR="0010523F" w:rsidRPr="0010523F" w:rsidRDefault="0010523F" w:rsidP="0010523F">
      <w:pPr>
        <w:jc w:val="both"/>
        <w:rPr>
          <w:lang w:val="es-AR" w:eastAsia="en-US"/>
        </w:rPr>
      </w:pPr>
      <w:r w:rsidRPr="0010523F">
        <w:rPr>
          <w:lang w:val="es-AR" w:eastAsia="en-US"/>
        </w:rPr>
        <w:t>Los estados financieros se encuentran expresados en millones de pesos, excepto que se especifique otra denominación.</w:t>
      </w:r>
    </w:p>
    <w:p w14:paraId="6C55A9A3" w14:textId="77777777" w:rsidR="0010523F" w:rsidRPr="0010523F" w:rsidRDefault="0010523F" w:rsidP="0010523F">
      <w:pPr>
        <w:spacing w:line="180" w:lineRule="exact"/>
        <w:jc w:val="both"/>
        <w:rPr>
          <w:lang w:val="es-AR" w:eastAsia="en-US"/>
        </w:rPr>
      </w:pPr>
    </w:p>
    <w:p w14:paraId="2D59D39E" w14:textId="77777777" w:rsidR="0010523F" w:rsidRPr="0010523F" w:rsidRDefault="0010523F" w:rsidP="0010523F">
      <w:pPr>
        <w:jc w:val="both"/>
        <w:rPr>
          <w:lang w:val="es-AR" w:eastAsia="en-US"/>
        </w:rPr>
      </w:pPr>
      <w:r w:rsidRPr="0010523F">
        <w:rPr>
          <w:lang w:val="es-AR" w:eastAsia="en-US"/>
        </w:rPr>
        <w:t>Los presentes estados financieros intermedios condensados han sido preparados para dar cumplimiento a las normas de la CNV, debiendo la Sucursal presentar la información comparativa de acuerdo con las normas de presentación establecidas por la NIC 34. No obstante, los estados financieros intermedios condensados del período 2019, no son directamente comparables con los del período 2018 por lo siguiente:</w:t>
      </w:r>
    </w:p>
    <w:p w14:paraId="6A18228C" w14:textId="77777777" w:rsidR="0010523F" w:rsidRPr="0010523F" w:rsidRDefault="0010523F" w:rsidP="0010523F">
      <w:pPr>
        <w:spacing w:line="180" w:lineRule="exact"/>
        <w:ind w:left="720"/>
        <w:contextualSpacing/>
        <w:jc w:val="both"/>
        <w:rPr>
          <w:lang w:val="es-AR" w:eastAsia="en-US"/>
        </w:rPr>
      </w:pPr>
    </w:p>
    <w:p w14:paraId="3AF24002" w14:textId="77777777" w:rsidR="0010523F" w:rsidRPr="0010523F" w:rsidRDefault="0010523F" w:rsidP="00E2318E">
      <w:pPr>
        <w:numPr>
          <w:ilvl w:val="0"/>
          <w:numId w:val="63"/>
        </w:numPr>
        <w:spacing w:line="220" w:lineRule="exact"/>
        <w:ind w:left="567" w:hanging="425"/>
        <w:contextualSpacing/>
        <w:jc w:val="both"/>
        <w:rPr>
          <w:lang w:val="es-AR" w:eastAsia="en-US"/>
        </w:rPr>
      </w:pPr>
      <w:r w:rsidRPr="0010523F">
        <w:rPr>
          <w:lang w:val="es-AR" w:eastAsia="en-US"/>
        </w:rPr>
        <w:t>La incorporación con fecha 1 de abril de 2018 del fondo de comercio de Axion Energy Argentina S.A. descripta en la Nota 1 de los Estados Financieros al 31 de diciembre de 2018, y</w:t>
      </w:r>
    </w:p>
    <w:p w14:paraId="7A8E5CD2" w14:textId="77777777" w:rsidR="0010523F" w:rsidRPr="0010523F" w:rsidRDefault="0010523F" w:rsidP="0010523F">
      <w:pPr>
        <w:spacing w:line="180" w:lineRule="exact"/>
        <w:ind w:left="720"/>
        <w:contextualSpacing/>
        <w:jc w:val="both"/>
        <w:rPr>
          <w:lang w:val="es-AR" w:eastAsia="en-US"/>
        </w:rPr>
      </w:pPr>
    </w:p>
    <w:p w14:paraId="428BEB29" w14:textId="77777777" w:rsidR="0010523F" w:rsidRPr="0010523F" w:rsidRDefault="0010523F" w:rsidP="00E2318E">
      <w:pPr>
        <w:numPr>
          <w:ilvl w:val="0"/>
          <w:numId w:val="63"/>
        </w:numPr>
        <w:spacing w:line="240" w:lineRule="atLeast"/>
        <w:ind w:left="567" w:hanging="425"/>
        <w:jc w:val="both"/>
        <w:rPr>
          <w:lang w:val="es-AR" w:eastAsia="en-US"/>
        </w:rPr>
      </w:pPr>
      <w:r w:rsidRPr="0010523F">
        <w:rPr>
          <w:lang w:val="es-AR" w:eastAsia="en-US"/>
        </w:rPr>
        <w:t>La aplicación de las NIIF 16, nueva norma de arrendamientos que sustituye a la NIC 17 y CINIIF 4, a partir del 1 de enero de 2019 (ver Nota 2.4).</w:t>
      </w:r>
    </w:p>
    <w:p w14:paraId="0CC95BF0" w14:textId="77777777" w:rsidR="0010523F" w:rsidRPr="0010523F" w:rsidRDefault="0010523F" w:rsidP="0010523F">
      <w:pPr>
        <w:spacing w:line="180" w:lineRule="exact"/>
        <w:ind w:left="720"/>
        <w:contextualSpacing/>
        <w:jc w:val="both"/>
        <w:rPr>
          <w:lang w:val="es-AR" w:eastAsia="en-US"/>
        </w:rPr>
      </w:pPr>
    </w:p>
    <w:p w14:paraId="23D8CA13" w14:textId="77777777" w:rsidR="0010523F" w:rsidRPr="0010523F" w:rsidRDefault="0010523F" w:rsidP="0010523F">
      <w:pPr>
        <w:jc w:val="both"/>
        <w:rPr>
          <w:lang w:val="es-AR" w:eastAsia="en-US"/>
        </w:rPr>
      </w:pPr>
      <w:r w:rsidRPr="0010523F">
        <w:rPr>
          <w:lang w:val="es-AR" w:eastAsia="en-US"/>
        </w:rPr>
        <w:t>La Dirección de la Sucursal concluyó en base a los lineamientos de la NIC 21 que su moneda funcional es el dólar estadounidense (el “dólar” o “US$”). En consecuencia, la información financiera fue preparada en dicha moneda y posteriormente convertida a pesos (el “peso” o “$”), que es la moneda de presentación definida por la Resolución N° 562/09 de la CNV. A tales efectos, la información preparada en dólares fue convertida a pesos aplicando el procedimiento previsto en el párrafo 39 de la NIC 21, a saber:</w:t>
      </w:r>
    </w:p>
    <w:p w14:paraId="4ECD041B" w14:textId="77777777" w:rsidR="0010523F" w:rsidRPr="0010523F" w:rsidRDefault="0010523F" w:rsidP="0010523F">
      <w:pPr>
        <w:spacing w:line="180" w:lineRule="exact"/>
        <w:ind w:left="720"/>
        <w:contextualSpacing/>
        <w:jc w:val="both"/>
        <w:rPr>
          <w:lang w:val="es-AR" w:eastAsia="en-US"/>
        </w:rPr>
      </w:pPr>
    </w:p>
    <w:p w14:paraId="2A236B68" w14:textId="77777777" w:rsidR="0010523F" w:rsidRPr="0010523F" w:rsidRDefault="0010523F" w:rsidP="00E2318E">
      <w:pPr>
        <w:numPr>
          <w:ilvl w:val="0"/>
          <w:numId w:val="58"/>
        </w:numPr>
        <w:spacing w:line="220" w:lineRule="exact"/>
        <w:ind w:left="567" w:hanging="425"/>
        <w:jc w:val="both"/>
        <w:rPr>
          <w:lang w:val="es-AR" w:eastAsia="en-US"/>
        </w:rPr>
      </w:pPr>
      <w:r w:rsidRPr="0010523F">
        <w:rPr>
          <w:lang w:val="es-AR" w:eastAsia="en-US"/>
        </w:rPr>
        <w:t>Los activos y pasivos se convierten al tipo de cambio vigente a cada cierre;</w:t>
      </w:r>
    </w:p>
    <w:p w14:paraId="2BDC4854" w14:textId="77777777" w:rsidR="0010523F" w:rsidRPr="0010523F" w:rsidRDefault="0010523F" w:rsidP="00E2318E">
      <w:pPr>
        <w:numPr>
          <w:ilvl w:val="0"/>
          <w:numId w:val="58"/>
        </w:numPr>
        <w:spacing w:before="120" w:line="220" w:lineRule="exact"/>
        <w:ind w:left="567" w:hanging="425"/>
        <w:jc w:val="both"/>
        <w:rPr>
          <w:lang w:val="es-AR" w:eastAsia="en-US"/>
        </w:rPr>
      </w:pPr>
      <w:r w:rsidRPr="0010523F">
        <w:rPr>
          <w:lang w:val="es-AR" w:eastAsia="en-US"/>
        </w:rPr>
        <w:t>los ingresos y gastos y los flujos de efectivo se convierten al tipo de cambio de la transacción, y</w:t>
      </w:r>
    </w:p>
    <w:p w14:paraId="3CCF864C" w14:textId="77777777" w:rsidR="0010523F" w:rsidRPr="0010523F" w:rsidRDefault="0010523F" w:rsidP="00E2318E">
      <w:pPr>
        <w:numPr>
          <w:ilvl w:val="0"/>
          <w:numId w:val="58"/>
        </w:numPr>
        <w:spacing w:before="120" w:line="220" w:lineRule="exact"/>
        <w:ind w:left="567" w:hanging="425"/>
        <w:contextualSpacing/>
        <w:jc w:val="both"/>
        <w:rPr>
          <w:lang w:val="es-AR" w:eastAsia="en-US"/>
        </w:rPr>
      </w:pPr>
      <w:r w:rsidRPr="0010523F">
        <w:rPr>
          <w:lang w:val="es-AR" w:eastAsia="en-US"/>
        </w:rPr>
        <w:t>las diferencias de conversión de la moneda funcional a la de presentación, que se ponen en evidencia en función de lo anterior, se incluyen desde la fecha de transición a las NIIF (1 de enero de 2011) en “Otro resultado integral”, en el patrimonio.</w:t>
      </w:r>
    </w:p>
    <w:p w14:paraId="005FEBE7" w14:textId="77777777" w:rsidR="0010523F" w:rsidRPr="0010523F" w:rsidRDefault="0010523F" w:rsidP="0010523F">
      <w:pPr>
        <w:keepNext/>
        <w:spacing w:before="240"/>
        <w:jc w:val="both"/>
        <w:outlineLvl w:val="1"/>
        <w:rPr>
          <w:u w:val="single"/>
          <w:lang w:val="es-AR" w:eastAsia="en-US"/>
        </w:rPr>
      </w:pPr>
      <w:r w:rsidRPr="0010523F">
        <w:rPr>
          <w:u w:val="single"/>
          <w:lang w:val="es-AR" w:eastAsia="en-US"/>
        </w:rPr>
        <w:t>2.3 Uso de estimaciones y criterio profesional</w:t>
      </w:r>
    </w:p>
    <w:p w14:paraId="7AE9ABAC" w14:textId="77777777" w:rsidR="0010523F" w:rsidRPr="0010523F" w:rsidRDefault="0010523F" w:rsidP="0010523F">
      <w:pPr>
        <w:spacing w:line="180" w:lineRule="exact"/>
        <w:jc w:val="both"/>
        <w:rPr>
          <w:lang w:val="es-AR" w:eastAsia="en-US"/>
        </w:rPr>
      </w:pPr>
    </w:p>
    <w:p w14:paraId="4F919C86" w14:textId="5D8823D3" w:rsidR="0010523F" w:rsidRPr="0010523F" w:rsidRDefault="0010523F" w:rsidP="00751D9D">
      <w:pPr>
        <w:jc w:val="both"/>
        <w:rPr>
          <w:lang w:val="es-AR" w:eastAsia="en-US"/>
        </w:rPr>
      </w:pPr>
      <w:r w:rsidRPr="0010523F">
        <w:rPr>
          <w:lang w:val="es-AR" w:eastAsia="en-US"/>
        </w:rPr>
        <w:t>La preparación de los presentes estados financieros intermedios condensados de la Sucursal requiere que la Dirección utilice supuestos para realizar estimaciones contables que afectan los montos de ingresos, gastos, activos y pasivos reconocidos y la revelación de pasivos contingentes a la fecha de los estados financieros intermedios condensados. La Sucursal basó sus supuestos y estimaciones sobre los parámetros disponibles al momento de la preparación de los presentes estados financieros intermedios condensados. Dada la incertidumbre sobre tales supuestos y estimaciones, los valores reales pueden diferir de los montos estimados.</w:t>
      </w:r>
      <w:r w:rsidRPr="0010523F">
        <w:rPr>
          <w:b/>
          <w:szCs w:val="20"/>
          <w:lang w:val="es-AR" w:eastAsia="en-US"/>
        </w:rPr>
        <w:br w:type="page"/>
      </w:r>
    </w:p>
    <w:p w14:paraId="202E9FEA" w14:textId="77777777" w:rsidR="0010523F" w:rsidRPr="0010523F" w:rsidRDefault="0010523F" w:rsidP="0010523F">
      <w:pPr>
        <w:jc w:val="both"/>
        <w:rPr>
          <w:b/>
          <w:szCs w:val="20"/>
          <w:lang w:val="es-AR" w:eastAsia="en-US"/>
        </w:rPr>
      </w:pPr>
      <w:r w:rsidRPr="0010523F">
        <w:rPr>
          <w:b/>
          <w:szCs w:val="20"/>
          <w:lang w:val="es-AR" w:eastAsia="en-US"/>
        </w:rPr>
        <w:t>NOTA 2 - BASES DE PRESENTACIÓN (cont.)</w:t>
      </w:r>
    </w:p>
    <w:p w14:paraId="37B9A8AD" w14:textId="77777777" w:rsidR="0010523F" w:rsidRPr="0010523F" w:rsidRDefault="0010523F" w:rsidP="0010523F">
      <w:pPr>
        <w:spacing w:line="180" w:lineRule="exact"/>
        <w:jc w:val="both"/>
        <w:rPr>
          <w:lang w:val="es-AR" w:eastAsia="en-US"/>
        </w:rPr>
      </w:pPr>
    </w:p>
    <w:p w14:paraId="6888D86D" w14:textId="77777777" w:rsidR="0010523F" w:rsidRPr="0010523F" w:rsidRDefault="0010523F" w:rsidP="0010523F">
      <w:pPr>
        <w:spacing w:line="220" w:lineRule="exact"/>
        <w:jc w:val="both"/>
        <w:rPr>
          <w:szCs w:val="20"/>
          <w:lang w:val="es-AR" w:eastAsia="en-US"/>
        </w:rPr>
      </w:pPr>
      <w:r w:rsidRPr="0010523F">
        <w:rPr>
          <w:szCs w:val="20"/>
          <w:u w:val="single"/>
          <w:lang w:val="es-AR" w:eastAsia="en-US"/>
        </w:rPr>
        <w:t>2.3 Uso de estimaciones y criterio profesional</w:t>
      </w:r>
      <w:r w:rsidRPr="0010523F">
        <w:rPr>
          <w:szCs w:val="20"/>
          <w:lang w:val="es-AR" w:eastAsia="en-US"/>
        </w:rPr>
        <w:t xml:space="preserve"> (cont.)</w:t>
      </w:r>
    </w:p>
    <w:p w14:paraId="64E3B6CC" w14:textId="77777777" w:rsidR="0010523F" w:rsidRPr="0010523F" w:rsidRDefault="0010523F" w:rsidP="0010523F">
      <w:pPr>
        <w:spacing w:line="180" w:lineRule="exact"/>
        <w:jc w:val="both"/>
        <w:rPr>
          <w:lang w:val="es-AR" w:eastAsia="en-US"/>
        </w:rPr>
      </w:pPr>
    </w:p>
    <w:p w14:paraId="0EE88ADA" w14:textId="77777777" w:rsidR="0010523F" w:rsidRPr="0010523F" w:rsidRDefault="0010523F" w:rsidP="0010523F">
      <w:pPr>
        <w:ind w:right="12"/>
        <w:jc w:val="both"/>
        <w:rPr>
          <w:rFonts w:eastAsia="Calibri"/>
          <w:bCs/>
          <w:color w:val="000000"/>
          <w:u w:val="single"/>
          <w:lang w:val="es-AR" w:eastAsia="en-US"/>
        </w:rPr>
      </w:pPr>
      <w:r w:rsidRPr="0010523F">
        <w:rPr>
          <w:rFonts w:eastAsia="Calibri"/>
          <w:lang w:val="es-AR" w:eastAsia="en-US"/>
        </w:rPr>
        <w:t>Las premisas claves utilizadas en la determinación de las estimaciones contenidas en estos estados financieros intermedios condensados son las mismas que fueron empleadas en la confección de los estados financieros por el ejercicio finalizado el 31 de diciembre de 2018, excepto por las nuevas estimaciones relacionadas con la aplicación de la NIIF 16 (ver Nota 2.4).</w:t>
      </w:r>
    </w:p>
    <w:p w14:paraId="0A237F67" w14:textId="77777777" w:rsidR="0010523F" w:rsidRPr="0010523F" w:rsidRDefault="0010523F" w:rsidP="0010523F">
      <w:pPr>
        <w:spacing w:line="220" w:lineRule="exact"/>
        <w:jc w:val="both"/>
        <w:rPr>
          <w:bCs/>
          <w:sz w:val="22"/>
          <w:szCs w:val="22"/>
          <w:lang w:val="es-AR" w:eastAsia="en-US"/>
        </w:rPr>
      </w:pPr>
    </w:p>
    <w:p w14:paraId="0EDB3A5C" w14:textId="77777777" w:rsidR="0010523F" w:rsidRPr="0010523F" w:rsidRDefault="0010523F" w:rsidP="0010523F">
      <w:pPr>
        <w:keepNext/>
        <w:spacing w:line="220" w:lineRule="exact"/>
        <w:ind w:right="-142"/>
        <w:jc w:val="both"/>
        <w:outlineLvl w:val="1"/>
        <w:rPr>
          <w:szCs w:val="20"/>
          <w:u w:val="single"/>
          <w:lang w:val="es-AR" w:eastAsia="en-US"/>
        </w:rPr>
      </w:pPr>
      <w:r w:rsidRPr="0010523F">
        <w:rPr>
          <w:szCs w:val="20"/>
          <w:u w:val="single"/>
          <w:lang w:val="es-AR" w:eastAsia="en-US"/>
        </w:rPr>
        <w:t xml:space="preserve">2.4 Nuevas normas internacionales de información financiera (“NIIF”) y modificaciones adoptadas </w:t>
      </w:r>
    </w:p>
    <w:p w14:paraId="0B5A87C8" w14:textId="77777777" w:rsidR="0010523F" w:rsidRPr="0010523F" w:rsidRDefault="0010523F" w:rsidP="0010523F">
      <w:pPr>
        <w:spacing w:line="180" w:lineRule="exact"/>
        <w:jc w:val="both"/>
        <w:rPr>
          <w:lang w:val="es-AR" w:eastAsia="en-US"/>
        </w:rPr>
      </w:pPr>
    </w:p>
    <w:p w14:paraId="2B17CB84" w14:textId="77777777" w:rsidR="0010523F" w:rsidRPr="0010523F" w:rsidRDefault="0010523F" w:rsidP="0010523F">
      <w:pPr>
        <w:tabs>
          <w:tab w:val="right" w:pos="4518"/>
        </w:tabs>
        <w:jc w:val="both"/>
        <w:rPr>
          <w:lang w:val="es-AR" w:eastAsia="en-US"/>
        </w:rPr>
      </w:pPr>
      <w:r w:rsidRPr="0010523F">
        <w:rPr>
          <w:bCs/>
          <w:color w:val="000000"/>
          <w:lang w:val="es-AR" w:eastAsia="en-US"/>
        </w:rPr>
        <w:t xml:space="preserve">Las políticas contables utilizadas para preparar los presentes estados financieros </w:t>
      </w:r>
      <w:r w:rsidRPr="0010523F">
        <w:rPr>
          <w:lang w:val="es-AR" w:eastAsia="en-US"/>
        </w:rPr>
        <w:t xml:space="preserve">intermedios condensados </w:t>
      </w:r>
      <w:r w:rsidRPr="0010523F">
        <w:rPr>
          <w:bCs/>
          <w:color w:val="000000"/>
          <w:lang w:val="es-AR" w:eastAsia="en-US"/>
        </w:rPr>
        <w:t xml:space="preserve">son consistentes respecto de aquellas aplicadas en la preparación de los estados financieros por el ejercicio finalizado el 31 de diciembre de 2018; excepto por la aplicación por primera vez de la NIIF 16 (ver modificaciones en párrafos siguientes).  </w:t>
      </w:r>
    </w:p>
    <w:p w14:paraId="4AE741D9" w14:textId="77777777" w:rsidR="0010523F" w:rsidRPr="0010523F" w:rsidRDefault="0010523F" w:rsidP="0010523F">
      <w:pPr>
        <w:spacing w:line="160" w:lineRule="exact"/>
        <w:jc w:val="both"/>
        <w:rPr>
          <w:lang w:val="es-AR" w:eastAsia="en-US"/>
        </w:rPr>
      </w:pPr>
    </w:p>
    <w:tbl>
      <w:tblPr>
        <w:tblpPr w:leftFromText="141" w:rightFromText="141" w:vertAnchor="text" w:horzAnchor="margin" w:tblpY="-53"/>
        <w:tblW w:w="9993" w:type="dxa"/>
        <w:tblCellMar>
          <w:left w:w="70" w:type="dxa"/>
          <w:right w:w="70" w:type="dxa"/>
        </w:tblCellMar>
        <w:tblLook w:val="04A0" w:firstRow="1" w:lastRow="0" w:firstColumn="1" w:lastColumn="0" w:noHBand="0" w:noVBand="1"/>
      </w:tblPr>
      <w:tblGrid>
        <w:gridCol w:w="7867"/>
        <w:gridCol w:w="2126"/>
      </w:tblGrid>
      <w:tr w:rsidR="0010523F" w:rsidRPr="0010523F" w14:paraId="098453D3" w14:textId="77777777" w:rsidTr="00774E7E">
        <w:trPr>
          <w:trHeight w:val="140"/>
        </w:trPr>
        <w:tc>
          <w:tcPr>
            <w:tcW w:w="7867" w:type="dxa"/>
            <w:tcBorders>
              <w:top w:val="nil"/>
              <w:left w:val="nil"/>
              <w:bottom w:val="nil"/>
              <w:right w:val="nil"/>
            </w:tcBorders>
            <w:shd w:val="clear" w:color="auto" w:fill="auto"/>
            <w:vAlign w:val="center"/>
            <w:hideMark/>
          </w:tcPr>
          <w:p w14:paraId="24D5F2D5" w14:textId="77777777" w:rsidR="0010523F" w:rsidRPr="0010523F" w:rsidRDefault="0010523F" w:rsidP="0010523F">
            <w:pPr>
              <w:spacing w:line="220" w:lineRule="exact"/>
              <w:jc w:val="both"/>
              <w:rPr>
                <w:color w:val="000000"/>
                <w:sz w:val="22"/>
                <w:szCs w:val="22"/>
                <w:highlight w:val="yellow"/>
                <w:lang w:val="es-AR" w:eastAsia="es-AR"/>
              </w:rPr>
            </w:pPr>
          </w:p>
        </w:tc>
        <w:tc>
          <w:tcPr>
            <w:tcW w:w="2126" w:type="dxa"/>
            <w:tcBorders>
              <w:top w:val="nil"/>
              <w:left w:val="nil"/>
              <w:bottom w:val="single" w:sz="4" w:space="0" w:color="auto"/>
              <w:right w:val="nil"/>
            </w:tcBorders>
            <w:shd w:val="clear" w:color="auto" w:fill="auto"/>
            <w:vAlign w:val="center"/>
            <w:hideMark/>
          </w:tcPr>
          <w:p w14:paraId="3ED1966B" w14:textId="77777777" w:rsidR="0010523F" w:rsidRPr="0010523F" w:rsidRDefault="0010523F" w:rsidP="0010523F">
            <w:pPr>
              <w:spacing w:line="220" w:lineRule="exact"/>
              <w:jc w:val="center"/>
              <w:rPr>
                <w:color w:val="000000"/>
                <w:sz w:val="22"/>
                <w:szCs w:val="22"/>
                <w:highlight w:val="yellow"/>
                <w:lang w:val="es-AR" w:eastAsia="es-AR"/>
              </w:rPr>
            </w:pPr>
            <w:r w:rsidRPr="0010523F">
              <w:rPr>
                <w:color w:val="000000"/>
                <w:sz w:val="22"/>
                <w:szCs w:val="22"/>
                <w:lang w:val="es-AR" w:eastAsia="es-AR"/>
              </w:rPr>
              <w:t>Vigencia</w:t>
            </w:r>
          </w:p>
        </w:tc>
      </w:tr>
      <w:tr w:rsidR="0010523F" w:rsidRPr="0010523F" w14:paraId="780D6C47" w14:textId="77777777" w:rsidTr="00774E7E">
        <w:trPr>
          <w:trHeight w:val="300"/>
        </w:trPr>
        <w:tc>
          <w:tcPr>
            <w:tcW w:w="7867" w:type="dxa"/>
            <w:tcBorders>
              <w:top w:val="nil"/>
              <w:left w:val="nil"/>
              <w:bottom w:val="nil"/>
              <w:right w:val="nil"/>
            </w:tcBorders>
            <w:shd w:val="clear" w:color="auto" w:fill="auto"/>
            <w:vAlign w:val="bottom"/>
          </w:tcPr>
          <w:p w14:paraId="34908E09"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CINIIF 23 - La incertidumbre sobre los tratamientos del impuesto a las ganancias</w:t>
            </w:r>
          </w:p>
        </w:tc>
        <w:tc>
          <w:tcPr>
            <w:tcW w:w="2126" w:type="dxa"/>
            <w:tcBorders>
              <w:top w:val="nil"/>
              <w:left w:val="nil"/>
              <w:bottom w:val="nil"/>
              <w:right w:val="nil"/>
            </w:tcBorders>
            <w:shd w:val="clear" w:color="auto" w:fill="auto"/>
            <w:vAlign w:val="bottom"/>
          </w:tcPr>
          <w:p w14:paraId="28A5B494" w14:textId="77777777" w:rsidR="0010523F" w:rsidRPr="0010523F" w:rsidRDefault="0010523F" w:rsidP="0010523F">
            <w:pPr>
              <w:tabs>
                <w:tab w:val="left" w:pos="2198"/>
              </w:tabs>
              <w:spacing w:line="220" w:lineRule="exact"/>
              <w:jc w:val="center"/>
              <w:rPr>
                <w:color w:val="000000"/>
                <w:sz w:val="22"/>
                <w:szCs w:val="22"/>
                <w:lang w:val="es-AR" w:eastAsia="es-AR"/>
              </w:rPr>
            </w:pPr>
            <w:r w:rsidRPr="0010523F">
              <w:rPr>
                <w:color w:val="000000"/>
                <w:sz w:val="22"/>
                <w:szCs w:val="22"/>
                <w:lang w:val="es-AR" w:eastAsia="es-AR"/>
              </w:rPr>
              <w:t>1 de enero de 2019</w:t>
            </w:r>
          </w:p>
        </w:tc>
      </w:tr>
      <w:tr w:rsidR="0010523F" w:rsidRPr="0010523F" w14:paraId="3CF41F53" w14:textId="77777777" w:rsidTr="00774E7E">
        <w:trPr>
          <w:trHeight w:val="300"/>
        </w:trPr>
        <w:tc>
          <w:tcPr>
            <w:tcW w:w="7867" w:type="dxa"/>
            <w:tcBorders>
              <w:top w:val="nil"/>
              <w:left w:val="nil"/>
              <w:bottom w:val="nil"/>
              <w:right w:val="nil"/>
            </w:tcBorders>
            <w:shd w:val="clear" w:color="auto" w:fill="auto"/>
            <w:vAlign w:val="bottom"/>
          </w:tcPr>
          <w:p w14:paraId="35FFC9D1"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NIIF 16 - Arrendamientos</w:t>
            </w:r>
          </w:p>
        </w:tc>
        <w:tc>
          <w:tcPr>
            <w:tcW w:w="2126" w:type="dxa"/>
            <w:tcBorders>
              <w:top w:val="nil"/>
              <w:left w:val="nil"/>
              <w:bottom w:val="nil"/>
              <w:right w:val="nil"/>
            </w:tcBorders>
            <w:shd w:val="clear" w:color="auto" w:fill="auto"/>
            <w:vAlign w:val="bottom"/>
          </w:tcPr>
          <w:p w14:paraId="30EE31AA" w14:textId="77777777" w:rsidR="0010523F" w:rsidRPr="0010523F" w:rsidRDefault="0010523F" w:rsidP="0010523F">
            <w:pPr>
              <w:tabs>
                <w:tab w:val="left" w:pos="2198"/>
              </w:tabs>
              <w:spacing w:line="220" w:lineRule="exact"/>
              <w:jc w:val="center"/>
              <w:rPr>
                <w:color w:val="000000"/>
                <w:sz w:val="22"/>
                <w:szCs w:val="22"/>
                <w:lang w:val="es-AR" w:eastAsia="es-AR"/>
              </w:rPr>
            </w:pPr>
            <w:r w:rsidRPr="0010523F">
              <w:rPr>
                <w:color w:val="000000"/>
                <w:sz w:val="22"/>
                <w:szCs w:val="22"/>
                <w:lang w:val="es-AR" w:eastAsia="es-AR"/>
              </w:rPr>
              <w:t>1 de enero de 2019</w:t>
            </w:r>
          </w:p>
        </w:tc>
      </w:tr>
    </w:tbl>
    <w:p w14:paraId="7C628173" w14:textId="77777777" w:rsidR="0010523F" w:rsidRPr="0010523F" w:rsidRDefault="0010523F" w:rsidP="0010523F">
      <w:pPr>
        <w:spacing w:before="120" w:line="220" w:lineRule="exact"/>
        <w:jc w:val="both"/>
        <w:rPr>
          <w:b/>
          <w:szCs w:val="20"/>
          <w:lang w:val="es-AR" w:eastAsia="en-US"/>
        </w:rPr>
      </w:pPr>
      <w:r w:rsidRPr="0010523F">
        <w:rPr>
          <w:b/>
          <w:szCs w:val="20"/>
          <w:lang w:val="es-AR" w:eastAsia="en-US"/>
        </w:rPr>
        <w:t>NIIF 16 “Arrendamientos”</w:t>
      </w:r>
    </w:p>
    <w:p w14:paraId="6A0D11DC" w14:textId="77777777" w:rsidR="0010523F" w:rsidRPr="0010523F" w:rsidRDefault="0010523F" w:rsidP="0010523F">
      <w:pPr>
        <w:spacing w:line="160" w:lineRule="exact"/>
        <w:jc w:val="both"/>
        <w:rPr>
          <w:lang w:val="es-AR" w:eastAsia="en-US"/>
        </w:rPr>
      </w:pPr>
      <w:bookmarkStart w:id="157" w:name="_DV_M732"/>
      <w:bookmarkStart w:id="158" w:name="_DV_M735"/>
      <w:bookmarkStart w:id="159" w:name="_DV_M736"/>
      <w:bookmarkStart w:id="160" w:name="_DV_M737"/>
      <w:bookmarkStart w:id="161" w:name="_DV_M739"/>
      <w:bookmarkEnd w:id="157"/>
      <w:bookmarkEnd w:id="158"/>
      <w:bookmarkEnd w:id="159"/>
      <w:bookmarkEnd w:id="160"/>
      <w:bookmarkEnd w:id="161"/>
    </w:p>
    <w:p w14:paraId="12731325" w14:textId="77777777" w:rsidR="0010523F" w:rsidRPr="0010523F" w:rsidRDefault="0010523F" w:rsidP="0010523F">
      <w:pPr>
        <w:jc w:val="both"/>
        <w:rPr>
          <w:lang w:val="es-AR" w:eastAsia="en-US"/>
        </w:rPr>
      </w:pPr>
      <w:r w:rsidRPr="0010523F">
        <w:rPr>
          <w:lang w:val="es-AR" w:eastAsia="en-US"/>
        </w:rPr>
        <w:t>Previamente, la Sucursal al inicio del contrato determinaba si el mismo era o contenía un arrendamiento de acuerdo a lo establecido en la NIC 17 y CINIIF 4. A partir del 1 de enero de 2019, la Sucursal evalúa si un contrato es o contiene un arrendamiento basado en la nueva definición de arrendamiento: de acuerdo a la NIIF 16 un contrato es o contiene un arrendamiento si conlleva el derecho de controlar el uso de un activo identificado durante un determinado período de tiempo a cambio de una contraprestación.</w:t>
      </w:r>
    </w:p>
    <w:p w14:paraId="63B22D55" w14:textId="77777777" w:rsidR="0010523F" w:rsidRPr="0010523F" w:rsidRDefault="0010523F" w:rsidP="0010523F">
      <w:pPr>
        <w:spacing w:line="160" w:lineRule="exact"/>
        <w:jc w:val="both"/>
        <w:rPr>
          <w:lang w:val="es-AR" w:eastAsia="en-US"/>
        </w:rPr>
      </w:pPr>
    </w:p>
    <w:p w14:paraId="45820D3D" w14:textId="77777777" w:rsidR="0010523F" w:rsidRPr="0010523F" w:rsidRDefault="0010523F" w:rsidP="0010523F">
      <w:pPr>
        <w:jc w:val="both"/>
        <w:rPr>
          <w:lang w:val="es-AR" w:eastAsia="en-US"/>
        </w:rPr>
      </w:pPr>
      <w:r w:rsidRPr="0010523F">
        <w:rPr>
          <w:lang w:val="es-AR" w:eastAsia="en-US"/>
        </w:rPr>
        <w:t xml:space="preserve">La Sucursal ha optado por aplicar la NIIF 16 de forma retroactiva simplificada, por lo que la información presentada a los fines comparativos no ha sido modificada. Adicionalmente, en la transición, ha optado por aplicar la solución práctica que establece aplicar NIIF 16 sólo a los contratos que previamente se identificaron como arrendamientos operativos de acuerdo con la NIC 17 y CINIIF 4. Al aplicarse esta excepción se reconoce un pasivo por arrendamiento en la fecha de aplicación inicial </w:t>
      </w:r>
      <w:r w:rsidRPr="0010523F">
        <w:rPr>
          <w:szCs w:val="20"/>
          <w:lang w:val="es-AR" w:eastAsia="en-US"/>
        </w:rPr>
        <w:t>por el valor presente de los pagos por arrendamiento que no se hayan pagado en la fecha de comienzo, descontados usando la tasa incremental de endeudamiento de la Sucursal.</w:t>
      </w:r>
      <w:r w:rsidRPr="0010523F">
        <w:rPr>
          <w:lang w:val="es-AR" w:eastAsia="en-US"/>
        </w:rPr>
        <w:t xml:space="preserve"> El activo es reconocido por un importe igual al pasivo por arrendamiento, ajustado por el importe de los pagos anticipados o devengados en relación con ese arrendamiento y reconocidos en el estado de situación financiera inmediatamente antes de la fecha de aplicación inicial. Para los arrendamientos previamente clasificados como arrendamientos financieros de acuerdo con la NIC 17, el importe en libros del activo por derecho a uso y el pasivo por arrendamiento en la fecha de aplicación inicial es el importe en libros del activo por arrendamiento y el pasivo por arrendamiento inmediatamente anterior a esa fecha, valuado de acuerdo con la NIC 17. La definición de arrendamiento de acuerdo con NIIF 16 ha sido aplicada únicamente a los contratos celebrados a partir del 1 de enero de 2019. Al aplicarse esta solución práctica no existe un efecto sobre los resultados acumulados por la primera aplicación de la norma.</w:t>
      </w:r>
    </w:p>
    <w:p w14:paraId="2942C490" w14:textId="77777777" w:rsidR="0010523F" w:rsidRPr="0010523F" w:rsidRDefault="0010523F" w:rsidP="0010523F">
      <w:pPr>
        <w:spacing w:line="160" w:lineRule="exact"/>
        <w:jc w:val="both"/>
        <w:rPr>
          <w:lang w:val="es-AR" w:eastAsia="en-US"/>
        </w:rPr>
      </w:pPr>
    </w:p>
    <w:p w14:paraId="017B9545" w14:textId="77777777" w:rsidR="0010523F" w:rsidRPr="0010523F" w:rsidRDefault="0010523F" w:rsidP="0010523F">
      <w:pPr>
        <w:jc w:val="both"/>
        <w:rPr>
          <w:lang w:val="es-AR" w:eastAsia="en-US"/>
        </w:rPr>
      </w:pPr>
      <w:r w:rsidRPr="0010523F">
        <w:rPr>
          <w:lang w:val="es-AR" w:eastAsia="en-US"/>
        </w:rPr>
        <w:t>Adicionalmente, la Sucursal ha aplicado las siguientes soluciones prácticas al momento de implementar NIIF 16 a arrendamientos previamente clasificados como operativos bajo NIC 17:</w:t>
      </w:r>
    </w:p>
    <w:p w14:paraId="7D1A1A15" w14:textId="77777777" w:rsidR="0010523F" w:rsidRPr="0010523F" w:rsidRDefault="0010523F" w:rsidP="0010523F">
      <w:pPr>
        <w:rPr>
          <w:b/>
          <w:szCs w:val="20"/>
          <w:lang w:val="es-AR" w:eastAsia="en-US"/>
        </w:rPr>
      </w:pPr>
      <w:r w:rsidRPr="0010523F">
        <w:rPr>
          <w:b/>
          <w:szCs w:val="20"/>
          <w:lang w:val="es-AR" w:eastAsia="en-US"/>
        </w:rPr>
        <w:t>NOTA 2 - BASES DE PRESENTACIÓN (cont.)</w:t>
      </w:r>
    </w:p>
    <w:p w14:paraId="6D67834D" w14:textId="77777777" w:rsidR="0010523F" w:rsidRPr="0010523F" w:rsidRDefault="0010523F" w:rsidP="0010523F">
      <w:pPr>
        <w:spacing w:line="140" w:lineRule="exact"/>
        <w:jc w:val="both"/>
        <w:rPr>
          <w:b/>
          <w:szCs w:val="20"/>
          <w:lang w:val="es-AR" w:eastAsia="en-US"/>
        </w:rPr>
      </w:pPr>
    </w:p>
    <w:p w14:paraId="3725071A" w14:textId="77777777" w:rsidR="0010523F" w:rsidRPr="0010523F" w:rsidRDefault="0010523F" w:rsidP="0010523F">
      <w:pPr>
        <w:spacing w:line="220" w:lineRule="exact"/>
        <w:jc w:val="both"/>
        <w:rPr>
          <w:szCs w:val="20"/>
          <w:lang w:val="es-AR" w:eastAsia="en-US"/>
        </w:rPr>
      </w:pPr>
      <w:r w:rsidRPr="0010523F">
        <w:rPr>
          <w:szCs w:val="20"/>
          <w:u w:val="single"/>
          <w:lang w:val="es-AR" w:eastAsia="en-US"/>
        </w:rPr>
        <w:t xml:space="preserve">2.4 Nuevas normas internacionales de información financiera (“NIIF”) y modificaciones adoptadas </w:t>
      </w:r>
      <w:r w:rsidRPr="0010523F">
        <w:rPr>
          <w:szCs w:val="20"/>
          <w:lang w:val="es-AR" w:eastAsia="en-US"/>
        </w:rPr>
        <w:t>(cont.)</w:t>
      </w:r>
    </w:p>
    <w:p w14:paraId="228E3A1A" w14:textId="77777777" w:rsidR="0010523F" w:rsidRPr="0010523F" w:rsidRDefault="0010523F" w:rsidP="0010523F">
      <w:pPr>
        <w:spacing w:line="180" w:lineRule="exact"/>
        <w:jc w:val="both"/>
        <w:rPr>
          <w:szCs w:val="20"/>
          <w:lang w:val="es-AR" w:eastAsia="en-US"/>
        </w:rPr>
      </w:pPr>
    </w:p>
    <w:p w14:paraId="4557C020" w14:textId="77777777" w:rsidR="0010523F" w:rsidRPr="0010523F" w:rsidRDefault="0010523F" w:rsidP="0010523F">
      <w:pPr>
        <w:spacing w:line="220" w:lineRule="exact"/>
        <w:jc w:val="both"/>
        <w:rPr>
          <w:b/>
          <w:szCs w:val="20"/>
          <w:lang w:val="es-AR" w:eastAsia="en-US"/>
        </w:rPr>
      </w:pPr>
      <w:r w:rsidRPr="0010523F">
        <w:rPr>
          <w:b/>
          <w:szCs w:val="20"/>
          <w:lang w:val="es-AR" w:eastAsia="en-US"/>
        </w:rPr>
        <w:t>NIIF 16 “Arrendamientos” (cont.)</w:t>
      </w:r>
    </w:p>
    <w:p w14:paraId="52726CCE" w14:textId="77777777" w:rsidR="0010523F" w:rsidRPr="0010523F" w:rsidRDefault="0010523F" w:rsidP="0010523F">
      <w:pPr>
        <w:spacing w:line="180" w:lineRule="exact"/>
        <w:jc w:val="both"/>
        <w:rPr>
          <w:lang w:val="es-AR" w:eastAsia="en-US"/>
        </w:rPr>
      </w:pPr>
    </w:p>
    <w:p w14:paraId="0AC50B3B" w14:textId="77777777" w:rsidR="0010523F" w:rsidRPr="0010523F" w:rsidRDefault="0010523F" w:rsidP="00E2318E">
      <w:pPr>
        <w:numPr>
          <w:ilvl w:val="0"/>
          <w:numId w:val="65"/>
        </w:numPr>
        <w:spacing w:line="220" w:lineRule="exact"/>
        <w:ind w:left="426"/>
        <w:contextualSpacing/>
        <w:jc w:val="both"/>
        <w:rPr>
          <w:lang w:val="es-AR" w:eastAsia="en-US"/>
        </w:rPr>
      </w:pPr>
      <w:r w:rsidRPr="0010523F">
        <w:rPr>
          <w:lang w:val="es-AR" w:eastAsia="en-US"/>
        </w:rPr>
        <w:t>Se aplica la excepción de no reconocer un activo por derecho a uso y un pasivo por arrendamiento en los casos de contratos de arrendamientos con vencimiento inferior a 12 meses.</w:t>
      </w:r>
    </w:p>
    <w:p w14:paraId="444C9B98" w14:textId="77777777" w:rsidR="0010523F" w:rsidRPr="0010523F" w:rsidRDefault="0010523F" w:rsidP="0010523F">
      <w:pPr>
        <w:spacing w:line="180" w:lineRule="exact"/>
        <w:jc w:val="both"/>
        <w:rPr>
          <w:szCs w:val="20"/>
          <w:lang w:val="es-AR" w:eastAsia="en-US"/>
        </w:rPr>
      </w:pPr>
    </w:p>
    <w:p w14:paraId="49F9E2CC" w14:textId="77777777" w:rsidR="0010523F" w:rsidRPr="0010523F" w:rsidRDefault="0010523F" w:rsidP="00E2318E">
      <w:pPr>
        <w:numPr>
          <w:ilvl w:val="0"/>
          <w:numId w:val="65"/>
        </w:numPr>
        <w:spacing w:line="220" w:lineRule="exact"/>
        <w:ind w:left="426"/>
        <w:contextualSpacing/>
        <w:jc w:val="both"/>
        <w:rPr>
          <w:lang w:val="es-AR" w:eastAsia="en-US"/>
        </w:rPr>
      </w:pPr>
      <w:r w:rsidRPr="0010523F">
        <w:rPr>
          <w:lang w:val="es-AR" w:eastAsia="en-US"/>
        </w:rPr>
        <w:t>Se aplica la excepción de no reconocer un activo por derecho a uso y un pasivo por arrendamiento en los casos de contratos de arrendamientos cuando el activo subyacente sea de escaso valor.</w:t>
      </w:r>
    </w:p>
    <w:p w14:paraId="127E7804" w14:textId="77777777" w:rsidR="0010523F" w:rsidRPr="0010523F" w:rsidRDefault="0010523F" w:rsidP="0010523F">
      <w:pPr>
        <w:spacing w:line="180" w:lineRule="exact"/>
        <w:jc w:val="both"/>
        <w:rPr>
          <w:szCs w:val="20"/>
          <w:lang w:val="es-AR" w:eastAsia="en-US"/>
        </w:rPr>
      </w:pPr>
    </w:p>
    <w:p w14:paraId="18CEE502" w14:textId="77777777" w:rsidR="0010523F" w:rsidRPr="0010523F" w:rsidRDefault="0010523F" w:rsidP="0010523F">
      <w:pPr>
        <w:jc w:val="both"/>
        <w:rPr>
          <w:lang w:val="es-AR" w:eastAsia="en-US"/>
        </w:rPr>
      </w:pPr>
      <w:r w:rsidRPr="0010523F">
        <w:rPr>
          <w:lang w:val="es-AR" w:eastAsia="en-US"/>
        </w:rPr>
        <w:t>Dichas soluciones prácticas continúan aplicándose luego de la aplicación inicial de la norma.</w:t>
      </w:r>
    </w:p>
    <w:p w14:paraId="54343001" w14:textId="77777777" w:rsidR="0010523F" w:rsidRPr="0010523F" w:rsidRDefault="0010523F" w:rsidP="0010523F">
      <w:pPr>
        <w:spacing w:line="160" w:lineRule="exact"/>
        <w:jc w:val="both"/>
        <w:rPr>
          <w:szCs w:val="20"/>
          <w:lang w:val="es-AR" w:eastAsia="en-US"/>
        </w:rPr>
      </w:pPr>
    </w:p>
    <w:p w14:paraId="71226BA1" w14:textId="77777777" w:rsidR="0010523F" w:rsidRPr="0010523F" w:rsidRDefault="0010523F" w:rsidP="0010523F">
      <w:pPr>
        <w:jc w:val="both"/>
        <w:rPr>
          <w:lang w:val="es-AR" w:eastAsia="en-US"/>
        </w:rPr>
      </w:pPr>
      <w:r w:rsidRPr="0010523F">
        <w:rPr>
          <w:lang w:val="es-AR" w:eastAsia="en-US"/>
        </w:rPr>
        <w:t>La Sucursal reconoce los pagos asociados con los arrendamientos incluidos en las excepciones descriptas precedentemente en sus resultados de forma lineal en el término del contrato. El mismo tratamiento contable siguen los pagos variables de los arrendamientos.</w:t>
      </w:r>
    </w:p>
    <w:p w14:paraId="5087F473" w14:textId="77777777" w:rsidR="0010523F" w:rsidRPr="0010523F" w:rsidRDefault="0010523F" w:rsidP="0010523F">
      <w:pPr>
        <w:spacing w:line="160" w:lineRule="exact"/>
        <w:jc w:val="both"/>
        <w:rPr>
          <w:szCs w:val="20"/>
          <w:lang w:val="es-AR" w:eastAsia="en-US"/>
        </w:rPr>
      </w:pPr>
    </w:p>
    <w:p w14:paraId="0AB9CE73" w14:textId="77777777" w:rsidR="0010523F" w:rsidRPr="0010523F" w:rsidRDefault="0010523F" w:rsidP="0010523F">
      <w:pPr>
        <w:jc w:val="both"/>
        <w:rPr>
          <w:lang w:val="es-AR" w:eastAsia="en-US"/>
        </w:rPr>
      </w:pPr>
      <w:r w:rsidRPr="0010523F">
        <w:rPr>
          <w:lang w:val="es-AR" w:eastAsia="en-US"/>
        </w:rPr>
        <w:t>La Sucursal poseía arrendamientos clasificados como financieros de acuerdo a la NIC 17 al 31 de diciembre de 2018. Para estos arrendamientos el valor contable del derecho a uso y el pasivo por arrendamiento al 1 de enero de 2019 fue determinado al valor contable del activo y del pasivo por arrendamiento financiero, respectivamente, de acuerdo a NIC 17 al 31 de diciembre de 2018.</w:t>
      </w:r>
    </w:p>
    <w:p w14:paraId="1531D01F" w14:textId="77777777" w:rsidR="0010523F" w:rsidRPr="0010523F" w:rsidRDefault="0010523F" w:rsidP="0010523F">
      <w:pPr>
        <w:spacing w:line="160" w:lineRule="exact"/>
        <w:jc w:val="both"/>
        <w:rPr>
          <w:szCs w:val="20"/>
          <w:lang w:val="es-AR" w:eastAsia="en-US"/>
        </w:rPr>
      </w:pPr>
    </w:p>
    <w:p w14:paraId="3309ED89" w14:textId="77777777" w:rsidR="0010523F" w:rsidRPr="0010523F" w:rsidRDefault="0010523F" w:rsidP="0010523F">
      <w:pPr>
        <w:jc w:val="both"/>
        <w:rPr>
          <w:szCs w:val="20"/>
          <w:lang w:val="es-AR" w:eastAsia="en-US"/>
        </w:rPr>
      </w:pPr>
      <w:r w:rsidRPr="0010523F">
        <w:rPr>
          <w:szCs w:val="20"/>
          <w:lang w:val="es-AR" w:eastAsia="en-US"/>
        </w:rPr>
        <w:t>Luego de la aplicación inicial, la Sucursal reconoce un activo por derecho de uso y un pasivo por arrendamiento en la fecha de comienzo del arrendamiento. El activo por derecho de uso se mide inicialmente al costo y posteriormente al costo menos la depreciación acumulada y las pérdidas por deterioro del valor, ajustado por cualquier nueva medición del pasivo por arrendamiento. La depreciación del activo por derecho a uso se calcula siguiendo el método lineal en el plazo del contrato de arrendamiento.</w:t>
      </w:r>
    </w:p>
    <w:p w14:paraId="1EEA640F" w14:textId="77777777" w:rsidR="0010523F" w:rsidRPr="0010523F" w:rsidRDefault="0010523F" w:rsidP="0010523F">
      <w:pPr>
        <w:spacing w:line="160" w:lineRule="exact"/>
        <w:jc w:val="both"/>
        <w:rPr>
          <w:szCs w:val="20"/>
          <w:lang w:val="es-AR" w:eastAsia="en-US"/>
        </w:rPr>
      </w:pPr>
      <w:r w:rsidRPr="0010523F">
        <w:rPr>
          <w:szCs w:val="20"/>
          <w:lang w:val="es-AR" w:eastAsia="en-US"/>
        </w:rPr>
        <w:t xml:space="preserve"> </w:t>
      </w:r>
    </w:p>
    <w:p w14:paraId="210D4B46" w14:textId="77777777" w:rsidR="0010523F" w:rsidRPr="0010523F" w:rsidRDefault="0010523F" w:rsidP="0010523F">
      <w:pPr>
        <w:jc w:val="both"/>
        <w:rPr>
          <w:szCs w:val="20"/>
          <w:lang w:val="es-AR" w:eastAsia="en-US"/>
        </w:rPr>
      </w:pPr>
      <w:r w:rsidRPr="0010523F">
        <w:rPr>
          <w:szCs w:val="20"/>
          <w:lang w:val="es-AR" w:eastAsia="en-US"/>
        </w:rPr>
        <w:t>El pasivo por arrendamiento se mide inicialmente al valor presente de los pagos por arrendamiento que no se hayan pagado en la fecha de comienzo, descontados usando la tasa de interés implícita en el arrendamiento o, si la tasa no pudiera determinarse fácilmente, la tasa incremental de endeudamiento de la Sucursal. En general, la Sucursal utiliza la tasa incremental de endeudamiento como tasa de descuento.</w:t>
      </w:r>
    </w:p>
    <w:p w14:paraId="160D7C45" w14:textId="77777777" w:rsidR="0010523F" w:rsidRPr="0010523F" w:rsidRDefault="0010523F" w:rsidP="0010523F">
      <w:pPr>
        <w:spacing w:line="160" w:lineRule="exact"/>
        <w:jc w:val="both"/>
        <w:rPr>
          <w:szCs w:val="20"/>
          <w:lang w:val="es-AR" w:eastAsia="en-US"/>
        </w:rPr>
      </w:pPr>
    </w:p>
    <w:p w14:paraId="1E65339E" w14:textId="77777777" w:rsidR="0010523F" w:rsidRPr="0010523F" w:rsidRDefault="0010523F" w:rsidP="0010523F">
      <w:pPr>
        <w:jc w:val="both"/>
        <w:rPr>
          <w:szCs w:val="20"/>
          <w:lang w:val="es-AR" w:eastAsia="en-US"/>
        </w:rPr>
      </w:pPr>
      <w:r w:rsidRPr="0010523F">
        <w:rPr>
          <w:szCs w:val="20"/>
          <w:lang w:val="es-AR" w:eastAsia="en-US"/>
        </w:rPr>
        <w:t xml:space="preserve">El pasivo por arrendamiento aumenta posteriormente por el costo de interés sobre el pasivo por arrendamiento y disminuye por los pagos por arrendamiento realizados. Se realiza una nueva medición cuando se produce un cambio en los pagos por arrendamiento futuros provenientes de un cambio en un índice o tasa, un cambio en el importe por pagar esperado relacionado con una garantía de valor residual o, si correspondiera, cambios en la evaluación sobre si es razonablemente seguro ejercer la opción de compra o prórroga o no es razonablemente seguro ejercer la opción de terminar un arrendamiento. </w:t>
      </w:r>
    </w:p>
    <w:p w14:paraId="2B79F1FE" w14:textId="77777777" w:rsidR="0010523F" w:rsidRPr="0010523F" w:rsidRDefault="0010523F" w:rsidP="0010523F">
      <w:pPr>
        <w:spacing w:line="160" w:lineRule="exact"/>
        <w:jc w:val="both"/>
        <w:rPr>
          <w:szCs w:val="20"/>
          <w:lang w:val="es-AR" w:eastAsia="en-US"/>
        </w:rPr>
      </w:pPr>
    </w:p>
    <w:p w14:paraId="00455C98" w14:textId="77777777" w:rsidR="0010523F" w:rsidRPr="0010523F" w:rsidRDefault="0010523F" w:rsidP="0010523F">
      <w:pPr>
        <w:jc w:val="both"/>
        <w:rPr>
          <w:lang w:val="es-AR" w:eastAsia="en-US"/>
        </w:rPr>
      </w:pPr>
      <w:r w:rsidRPr="0010523F">
        <w:rPr>
          <w:szCs w:val="20"/>
          <w:lang w:val="es-AR" w:eastAsia="en-US"/>
        </w:rPr>
        <w:t>La Sucursal aplicó su juicio para determinar el plazo del arrendamiento para algunos contratos de arrendamiento donde es arrendatario, lo que incluye opciones de renovación. La evaluación sobre si la Sucursal está razonablemente segura de ejercer esas opciones tiene un efecto sobre el plazo del arrendamiento, que afecta significativamente el importe de los pasivos por arrendamiento y los activos por derecho de uso reconocidos.</w:t>
      </w:r>
    </w:p>
    <w:p w14:paraId="7FFDD2FC" w14:textId="77777777" w:rsidR="0010523F" w:rsidRPr="0010523F" w:rsidRDefault="0010523F" w:rsidP="0010523F">
      <w:pPr>
        <w:jc w:val="both"/>
        <w:rPr>
          <w:b/>
          <w:szCs w:val="20"/>
          <w:lang w:val="es-AR" w:eastAsia="en-US"/>
        </w:rPr>
      </w:pPr>
      <w:r w:rsidRPr="0010523F">
        <w:rPr>
          <w:b/>
          <w:szCs w:val="20"/>
          <w:lang w:val="es-AR" w:eastAsia="en-US"/>
        </w:rPr>
        <w:t>NOTA 2 - BASES DE PRESENTACIÓN (cont.)</w:t>
      </w:r>
    </w:p>
    <w:p w14:paraId="47940E5A" w14:textId="77777777" w:rsidR="0010523F" w:rsidRPr="0010523F" w:rsidRDefault="0010523F" w:rsidP="0010523F">
      <w:pPr>
        <w:spacing w:line="200" w:lineRule="exact"/>
        <w:jc w:val="both"/>
        <w:rPr>
          <w:sz w:val="22"/>
          <w:lang w:val="es-AR" w:eastAsia="en-US"/>
        </w:rPr>
      </w:pPr>
    </w:p>
    <w:p w14:paraId="15F75DDA" w14:textId="77777777" w:rsidR="0010523F" w:rsidRPr="0010523F" w:rsidRDefault="0010523F" w:rsidP="0010523F">
      <w:pPr>
        <w:spacing w:line="220" w:lineRule="exact"/>
        <w:jc w:val="both"/>
        <w:rPr>
          <w:szCs w:val="20"/>
          <w:lang w:val="es-AR" w:eastAsia="en-US"/>
        </w:rPr>
      </w:pPr>
      <w:r w:rsidRPr="0010523F">
        <w:rPr>
          <w:szCs w:val="20"/>
          <w:u w:val="single"/>
          <w:lang w:val="es-AR" w:eastAsia="en-US"/>
        </w:rPr>
        <w:t xml:space="preserve">2.4 Nuevas normas internacionales de información financiera (“NIIF”) y modificaciones adoptadas </w:t>
      </w:r>
      <w:r w:rsidRPr="0010523F">
        <w:rPr>
          <w:szCs w:val="20"/>
          <w:lang w:val="es-AR" w:eastAsia="en-US"/>
        </w:rPr>
        <w:t>(cont.)</w:t>
      </w:r>
    </w:p>
    <w:p w14:paraId="4DD82ECA" w14:textId="77777777" w:rsidR="0010523F" w:rsidRPr="0010523F" w:rsidRDefault="0010523F" w:rsidP="0010523F">
      <w:pPr>
        <w:spacing w:line="160" w:lineRule="exact"/>
        <w:jc w:val="both"/>
        <w:rPr>
          <w:sz w:val="20"/>
          <w:szCs w:val="20"/>
          <w:lang w:val="es-AR" w:eastAsia="en-US"/>
        </w:rPr>
      </w:pPr>
    </w:p>
    <w:p w14:paraId="7987D6DE" w14:textId="77777777" w:rsidR="0010523F" w:rsidRPr="0010523F" w:rsidRDefault="0010523F" w:rsidP="0010523F">
      <w:pPr>
        <w:spacing w:before="120" w:line="220" w:lineRule="exact"/>
        <w:jc w:val="both"/>
        <w:rPr>
          <w:b/>
          <w:szCs w:val="20"/>
          <w:lang w:val="es-AR" w:eastAsia="en-US"/>
        </w:rPr>
      </w:pPr>
      <w:r w:rsidRPr="0010523F">
        <w:rPr>
          <w:b/>
          <w:szCs w:val="20"/>
          <w:lang w:val="es-AR" w:eastAsia="en-US"/>
        </w:rPr>
        <w:t>NIIF 16 “Arrendamientos” (cont.)</w:t>
      </w:r>
    </w:p>
    <w:p w14:paraId="6B4AFA88" w14:textId="77777777" w:rsidR="0010523F" w:rsidRPr="0010523F" w:rsidRDefault="0010523F" w:rsidP="0010523F">
      <w:pPr>
        <w:spacing w:line="180" w:lineRule="exact"/>
        <w:jc w:val="both"/>
        <w:rPr>
          <w:sz w:val="20"/>
          <w:szCs w:val="20"/>
          <w:lang w:val="es-AR" w:eastAsia="en-US"/>
        </w:rPr>
      </w:pPr>
    </w:p>
    <w:p w14:paraId="367A2539" w14:textId="77777777" w:rsidR="0010523F" w:rsidRPr="0010523F" w:rsidRDefault="0010523F" w:rsidP="0010523F">
      <w:pPr>
        <w:jc w:val="both"/>
        <w:rPr>
          <w:lang w:val="es-AR" w:eastAsia="en-US"/>
        </w:rPr>
      </w:pPr>
      <w:r w:rsidRPr="0010523F">
        <w:rPr>
          <w:lang w:val="es-AR" w:eastAsia="en-US"/>
        </w:rPr>
        <w:t>Por último, la política contable aplicable para los arrendadores no difiere respecto de la establecida por NIC 17. La Sucursal no posee activos arrendados a terceros por valores significativos.</w:t>
      </w:r>
    </w:p>
    <w:p w14:paraId="06F2D241" w14:textId="77777777" w:rsidR="0010523F" w:rsidRPr="0010523F" w:rsidRDefault="0010523F" w:rsidP="0010523F">
      <w:pPr>
        <w:spacing w:line="180" w:lineRule="exact"/>
        <w:jc w:val="both"/>
        <w:rPr>
          <w:lang w:val="es-AR" w:eastAsia="en-US"/>
        </w:rPr>
      </w:pPr>
    </w:p>
    <w:p w14:paraId="2C78B339" w14:textId="77777777" w:rsidR="0010523F" w:rsidRPr="0010523F" w:rsidRDefault="0010523F" w:rsidP="0010523F">
      <w:pPr>
        <w:jc w:val="both"/>
        <w:rPr>
          <w:lang w:val="es-AR" w:eastAsia="en-US"/>
        </w:rPr>
      </w:pPr>
      <w:bookmarkStart w:id="162" w:name="_Hlk15573112"/>
      <w:r w:rsidRPr="0010523F">
        <w:rPr>
          <w:lang w:val="es-AR" w:eastAsia="en-US"/>
        </w:rPr>
        <w:t>El detalle de los activos clasificados como “Activos por derecho a uso” se encuentra expuesto en la nota 3.c.</w:t>
      </w:r>
    </w:p>
    <w:bookmarkEnd w:id="162"/>
    <w:p w14:paraId="2D80609C" w14:textId="77777777" w:rsidR="0010523F" w:rsidRPr="0010523F" w:rsidRDefault="0010523F" w:rsidP="0010523F">
      <w:pPr>
        <w:spacing w:line="200" w:lineRule="exact"/>
        <w:jc w:val="both"/>
        <w:rPr>
          <w:sz w:val="22"/>
          <w:lang w:val="es-AR" w:eastAsia="en-US"/>
        </w:rPr>
      </w:pPr>
    </w:p>
    <w:p w14:paraId="3106FE6A" w14:textId="77777777" w:rsidR="0010523F" w:rsidRPr="0010523F" w:rsidRDefault="0010523F" w:rsidP="0010523F">
      <w:pPr>
        <w:jc w:val="both"/>
        <w:rPr>
          <w:lang w:val="es-AR" w:eastAsia="en-US"/>
        </w:rPr>
      </w:pPr>
      <w:r w:rsidRPr="0010523F">
        <w:rPr>
          <w:lang w:val="es-AR" w:eastAsia="en-US"/>
        </w:rPr>
        <w:t>A continuación, se expone la conciliación entre los arrendamientos clasificados como “Activos por derecho a uso”, al inicio de la aplicación de la norma y los arrendamientos clasificados como operativos al 31 de diciembre de 2018:</w:t>
      </w:r>
    </w:p>
    <w:p w14:paraId="745AF5C2" w14:textId="77777777" w:rsidR="0010523F" w:rsidRPr="0010523F" w:rsidRDefault="0010523F" w:rsidP="0010523F">
      <w:pPr>
        <w:spacing w:line="200" w:lineRule="exact"/>
        <w:jc w:val="both"/>
        <w:rPr>
          <w:sz w:val="22"/>
          <w:lang w:val="es-AR" w:eastAsia="en-US"/>
        </w:rPr>
      </w:pPr>
    </w:p>
    <w:tbl>
      <w:tblPr>
        <w:tblW w:w="8138" w:type="dxa"/>
        <w:tblInd w:w="55" w:type="dxa"/>
        <w:tblCellMar>
          <w:left w:w="70" w:type="dxa"/>
          <w:right w:w="70" w:type="dxa"/>
        </w:tblCellMar>
        <w:tblLook w:val="04A0" w:firstRow="1" w:lastRow="0" w:firstColumn="1" w:lastColumn="0" w:noHBand="0" w:noVBand="1"/>
      </w:tblPr>
      <w:tblGrid>
        <w:gridCol w:w="6394"/>
        <w:gridCol w:w="284"/>
        <w:gridCol w:w="1460"/>
      </w:tblGrid>
      <w:tr w:rsidR="0010523F" w:rsidRPr="0010523F" w14:paraId="0F328627" w14:textId="77777777" w:rsidTr="00774E7E">
        <w:trPr>
          <w:trHeight w:val="283"/>
        </w:trPr>
        <w:tc>
          <w:tcPr>
            <w:tcW w:w="6394" w:type="dxa"/>
            <w:tcBorders>
              <w:top w:val="nil"/>
              <w:left w:val="nil"/>
              <w:bottom w:val="nil"/>
              <w:right w:val="nil"/>
            </w:tcBorders>
            <w:shd w:val="clear" w:color="auto" w:fill="auto"/>
            <w:noWrap/>
            <w:vAlign w:val="bottom"/>
            <w:hideMark/>
          </w:tcPr>
          <w:p w14:paraId="6092F7BB" w14:textId="77777777" w:rsidR="0010523F" w:rsidRPr="0010523F" w:rsidRDefault="0010523F" w:rsidP="0010523F">
            <w:pPr>
              <w:rPr>
                <w:sz w:val="22"/>
                <w:szCs w:val="22"/>
                <w:lang w:val="es-AR" w:eastAsia="en-US"/>
              </w:rPr>
            </w:pPr>
            <w:r w:rsidRPr="0010523F">
              <w:rPr>
                <w:sz w:val="22"/>
                <w:szCs w:val="22"/>
                <w:lang w:val="es-AR" w:eastAsia="en-US"/>
              </w:rPr>
              <w:t xml:space="preserve">Arrendamientos clasificados como operativos al 31/12/2018 </w:t>
            </w:r>
            <w:r w:rsidRPr="0010523F">
              <w:rPr>
                <w:sz w:val="20"/>
                <w:szCs w:val="20"/>
                <w:lang w:val="es-AR" w:eastAsia="en-US"/>
              </w:rPr>
              <w:t>(1)</w:t>
            </w:r>
          </w:p>
        </w:tc>
        <w:tc>
          <w:tcPr>
            <w:tcW w:w="284" w:type="dxa"/>
            <w:tcBorders>
              <w:top w:val="nil"/>
              <w:left w:val="nil"/>
              <w:bottom w:val="nil"/>
              <w:right w:val="nil"/>
            </w:tcBorders>
            <w:shd w:val="clear" w:color="auto" w:fill="auto"/>
            <w:noWrap/>
            <w:vAlign w:val="bottom"/>
            <w:hideMark/>
          </w:tcPr>
          <w:p w14:paraId="01369C46" w14:textId="77777777" w:rsidR="0010523F" w:rsidRPr="0010523F" w:rsidRDefault="0010523F" w:rsidP="0010523F">
            <w:pPr>
              <w:rPr>
                <w:sz w:val="22"/>
                <w:szCs w:val="22"/>
                <w:lang w:val="es-AR" w:eastAsia="en-US"/>
              </w:rPr>
            </w:pPr>
          </w:p>
        </w:tc>
        <w:tc>
          <w:tcPr>
            <w:tcW w:w="1460" w:type="dxa"/>
            <w:tcBorders>
              <w:top w:val="nil"/>
              <w:left w:val="nil"/>
              <w:bottom w:val="nil"/>
              <w:right w:val="nil"/>
            </w:tcBorders>
            <w:shd w:val="clear" w:color="auto" w:fill="auto"/>
            <w:noWrap/>
            <w:vAlign w:val="bottom"/>
            <w:hideMark/>
          </w:tcPr>
          <w:p w14:paraId="2715ED04" w14:textId="77777777" w:rsidR="0010523F" w:rsidRPr="0010523F" w:rsidRDefault="0010523F" w:rsidP="0010523F">
            <w:pPr>
              <w:jc w:val="right"/>
              <w:rPr>
                <w:sz w:val="22"/>
                <w:szCs w:val="22"/>
                <w:lang w:val="es-AR" w:eastAsia="en-US"/>
              </w:rPr>
            </w:pPr>
            <w:r w:rsidRPr="0010523F">
              <w:rPr>
                <w:sz w:val="22"/>
                <w:szCs w:val="22"/>
                <w:lang w:val="es-AR" w:eastAsia="en-US"/>
              </w:rPr>
              <w:t xml:space="preserve">2.013 </w:t>
            </w:r>
          </w:p>
        </w:tc>
      </w:tr>
      <w:tr w:rsidR="0010523F" w:rsidRPr="0010523F" w14:paraId="30A81FC2" w14:textId="77777777" w:rsidTr="00774E7E">
        <w:trPr>
          <w:trHeight w:val="283"/>
        </w:trPr>
        <w:tc>
          <w:tcPr>
            <w:tcW w:w="6394" w:type="dxa"/>
            <w:tcBorders>
              <w:top w:val="nil"/>
              <w:left w:val="nil"/>
              <w:bottom w:val="nil"/>
              <w:right w:val="nil"/>
            </w:tcBorders>
            <w:shd w:val="clear" w:color="auto" w:fill="auto"/>
            <w:noWrap/>
            <w:vAlign w:val="bottom"/>
            <w:hideMark/>
          </w:tcPr>
          <w:p w14:paraId="20514107" w14:textId="77777777" w:rsidR="0010523F" w:rsidRPr="0010523F" w:rsidRDefault="0010523F" w:rsidP="0010523F">
            <w:pPr>
              <w:rPr>
                <w:sz w:val="22"/>
                <w:szCs w:val="22"/>
                <w:lang w:val="es-AR" w:eastAsia="en-US"/>
              </w:rPr>
            </w:pPr>
            <w:r w:rsidRPr="0010523F">
              <w:rPr>
                <w:sz w:val="22"/>
                <w:szCs w:val="22"/>
                <w:lang w:val="es-AR" w:eastAsia="en-US"/>
              </w:rPr>
              <w:t xml:space="preserve">Equipos de perforación y otros </w:t>
            </w:r>
            <w:r w:rsidRPr="0010523F">
              <w:rPr>
                <w:sz w:val="20"/>
                <w:szCs w:val="20"/>
                <w:lang w:val="es-AR" w:eastAsia="en-US"/>
              </w:rPr>
              <w:t>(2)</w:t>
            </w:r>
          </w:p>
        </w:tc>
        <w:tc>
          <w:tcPr>
            <w:tcW w:w="284" w:type="dxa"/>
            <w:tcBorders>
              <w:top w:val="nil"/>
              <w:left w:val="nil"/>
              <w:bottom w:val="nil"/>
              <w:right w:val="nil"/>
            </w:tcBorders>
            <w:shd w:val="clear" w:color="auto" w:fill="auto"/>
            <w:noWrap/>
            <w:vAlign w:val="bottom"/>
            <w:hideMark/>
          </w:tcPr>
          <w:p w14:paraId="683863DF" w14:textId="77777777" w:rsidR="0010523F" w:rsidRPr="0010523F" w:rsidRDefault="0010523F" w:rsidP="0010523F">
            <w:pPr>
              <w:rPr>
                <w:sz w:val="22"/>
                <w:szCs w:val="22"/>
                <w:lang w:val="es-AR" w:eastAsia="en-US"/>
              </w:rPr>
            </w:pPr>
          </w:p>
        </w:tc>
        <w:tc>
          <w:tcPr>
            <w:tcW w:w="1460" w:type="dxa"/>
            <w:tcBorders>
              <w:top w:val="nil"/>
              <w:left w:val="nil"/>
              <w:bottom w:val="nil"/>
              <w:right w:val="nil"/>
            </w:tcBorders>
            <w:shd w:val="clear" w:color="auto" w:fill="auto"/>
            <w:noWrap/>
            <w:vAlign w:val="bottom"/>
            <w:hideMark/>
          </w:tcPr>
          <w:p w14:paraId="565C5EA7" w14:textId="77777777" w:rsidR="0010523F" w:rsidRPr="0010523F" w:rsidRDefault="0010523F" w:rsidP="0010523F">
            <w:pPr>
              <w:jc w:val="right"/>
              <w:rPr>
                <w:sz w:val="22"/>
                <w:szCs w:val="22"/>
                <w:u w:val="single"/>
                <w:lang w:val="es-AR" w:eastAsia="en-US"/>
              </w:rPr>
            </w:pPr>
            <w:r w:rsidRPr="0010523F">
              <w:rPr>
                <w:sz w:val="22"/>
                <w:szCs w:val="22"/>
                <w:u w:val="single"/>
                <w:lang w:val="es-AR" w:eastAsia="en-US"/>
              </w:rPr>
              <w:t xml:space="preserve">2.276 </w:t>
            </w:r>
          </w:p>
        </w:tc>
      </w:tr>
      <w:tr w:rsidR="0010523F" w:rsidRPr="0010523F" w14:paraId="6F1B702E" w14:textId="77777777" w:rsidTr="00774E7E">
        <w:trPr>
          <w:trHeight w:val="113"/>
        </w:trPr>
        <w:tc>
          <w:tcPr>
            <w:tcW w:w="6394" w:type="dxa"/>
            <w:tcBorders>
              <w:top w:val="nil"/>
              <w:left w:val="nil"/>
              <w:bottom w:val="nil"/>
              <w:right w:val="nil"/>
            </w:tcBorders>
            <w:shd w:val="clear" w:color="auto" w:fill="auto"/>
            <w:noWrap/>
            <w:vAlign w:val="bottom"/>
          </w:tcPr>
          <w:p w14:paraId="3CD72F51" w14:textId="77777777" w:rsidR="0010523F" w:rsidRPr="0010523F" w:rsidRDefault="0010523F" w:rsidP="0010523F">
            <w:pPr>
              <w:spacing w:line="100" w:lineRule="exact"/>
              <w:rPr>
                <w:sz w:val="22"/>
                <w:szCs w:val="22"/>
                <w:lang w:val="es-AR" w:eastAsia="en-US"/>
              </w:rPr>
            </w:pPr>
          </w:p>
        </w:tc>
        <w:tc>
          <w:tcPr>
            <w:tcW w:w="284" w:type="dxa"/>
            <w:tcBorders>
              <w:top w:val="nil"/>
              <w:left w:val="nil"/>
              <w:bottom w:val="nil"/>
              <w:right w:val="nil"/>
            </w:tcBorders>
            <w:shd w:val="clear" w:color="auto" w:fill="auto"/>
            <w:noWrap/>
            <w:vAlign w:val="bottom"/>
          </w:tcPr>
          <w:p w14:paraId="263F0819" w14:textId="77777777" w:rsidR="0010523F" w:rsidRPr="0010523F" w:rsidRDefault="0010523F" w:rsidP="0010523F">
            <w:pPr>
              <w:spacing w:line="100" w:lineRule="exact"/>
              <w:rPr>
                <w:sz w:val="22"/>
                <w:szCs w:val="22"/>
                <w:lang w:val="es-AR" w:eastAsia="en-US"/>
              </w:rPr>
            </w:pPr>
          </w:p>
        </w:tc>
        <w:tc>
          <w:tcPr>
            <w:tcW w:w="1460" w:type="dxa"/>
            <w:tcBorders>
              <w:top w:val="nil"/>
              <w:left w:val="nil"/>
              <w:bottom w:val="nil"/>
              <w:right w:val="nil"/>
            </w:tcBorders>
            <w:shd w:val="clear" w:color="auto" w:fill="auto"/>
            <w:noWrap/>
            <w:vAlign w:val="bottom"/>
          </w:tcPr>
          <w:p w14:paraId="5B268078" w14:textId="77777777" w:rsidR="0010523F" w:rsidRPr="0010523F" w:rsidRDefault="0010523F" w:rsidP="0010523F">
            <w:pPr>
              <w:spacing w:line="100" w:lineRule="exact"/>
              <w:jc w:val="right"/>
              <w:rPr>
                <w:sz w:val="22"/>
                <w:szCs w:val="22"/>
                <w:u w:val="double"/>
                <w:lang w:val="es-AR" w:eastAsia="en-US"/>
              </w:rPr>
            </w:pPr>
          </w:p>
        </w:tc>
      </w:tr>
      <w:tr w:rsidR="0010523F" w:rsidRPr="0010523F" w14:paraId="4EF77817" w14:textId="77777777" w:rsidTr="00774E7E">
        <w:trPr>
          <w:trHeight w:val="283"/>
        </w:trPr>
        <w:tc>
          <w:tcPr>
            <w:tcW w:w="6394" w:type="dxa"/>
            <w:tcBorders>
              <w:top w:val="nil"/>
              <w:left w:val="nil"/>
              <w:bottom w:val="nil"/>
              <w:right w:val="nil"/>
            </w:tcBorders>
            <w:shd w:val="clear" w:color="auto" w:fill="auto"/>
            <w:noWrap/>
            <w:vAlign w:val="bottom"/>
          </w:tcPr>
          <w:p w14:paraId="0AAB86D5" w14:textId="77777777" w:rsidR="0010523F" w:rsidRPr="0010523F" w:rsidRDefault="0010523F" w:rsidP="0010523F">
            <w:pPr>
              <w:rPr>
                <w:sz w:val="22"/>
                <w:szCs w:val="22"/>
                <w:lang w:val="es-AR" w:eastAsia="en-US"/>
              </w:rPr>
            </w:pPr>
            <w:r w:rsidRPr="0010523F">
              <w:rPr>
                <w:sz w:val="22"/>
                <w:szCs w:val="22"/>
                <w:lang w:val="es-AR" w:eastAsia="en-US"/>
              </w:rPr>
              <w:t>Arrendamientos clasificados como derecho a uso al 01/01/2019</w:t>
            </w:r>
          </w:p>
        </w:tc>
        <w:tc>
          <w:tcPr>
            <w:tcW w:w="284" w:type="dxa"/>
            <w:tcBorders>
              <w:top w:val="nil"/>
              <w:left w:val="nil"/>
              <w:bottom w:val="nil"/>
              <w:right w:val="nil"/>
            </w:tcBorders>
            <w:shd w:val="clear" w:color="auto" w:fill="auto"/>
            <w:noWrap/>
            <w:vAlign w:val="bottom"/>
          </w:tcPr>
          <w:p w14:paraId="71603F11" w14:textId="77777777" w:rsidR="0010523F" w:rsidRPr="0010523F" w:rsidRDefault="0010523F" w:rsidP="0010523F">
            <w:pPr>
              <w:rPr>
                <w:sz w:val="22"/>
                <w:szCs w:val="22"/>
                <w:lang w:val="es-AR" w:eastAsia="en-US"/>
              </w:rPr>
            </w:pPr>
          </w:p>
        </w:tc>
        <w:tc>
          <w:tcPr>
            <w:tcW w:w="1460" w:type="dxa"/>
            <w:tcBorders>
              <w:top w:val="nil"/>
              <w:left w:val="nil"/>
              <w:bottom w:val="nil"/>
              <w:right w:val="nil"/>
            </w:tcBorders>
            <w:shd w:val="clear" w:color="auto" w:fill="auto"/>
            <w:noWrap/>
            <w:vAlign w:val="bottom"/>
          </w:tcPr>
          <w:p w14:paraId="14605708" w14:textId="77777777" w:rsidR="0010523F" w:rsidRPr="0010523F" w:rsidRDefault="0010523F" w:rsidP="0010523F">
            <w:pPr>
              <w:jc w:val="right"/>
              <w:rPr>
                <w:sz w:val="22"/>
                <w:szCs w:val="22"/>
                <w:u w:val="double"/>
                <w:lang w:val="es-AR" w:eastAsia="en-US"/>
              </w:rPr>
            </w:pPr>
            <w:r w:rsidRPr="0010523F">
              <w:rPr>
                <w:sz w:val="22"/>
                <w:szCs w:val="22"/>
                <w:u w:val="double"/>
                <w:lang w:val="es-AR" w:eastAsia="en-US"/>
              </w:rPr>
              <w:t>4.289</w:t>
            </w:r>
          </w:p>
        </w:tc>
      </w:tr>
    </w:tbl>
    <w:p w14:paraId="06C6EE50" w14:textId="77777777" w:rsidR="0010523F" w:rsidRPr="0010523F" w:rsidRDefault="0010523F" w:rsidP="0010523F">
      <w:pPr>
        <w:spacing w:line="160" w:lineRule="exact"/>
        <w:jc w:val="both"/>
        <w:rPr>
          <w:sz w:val="22"/>
          <w:lang w:val="es-AR" w:eastAsia="en-US"/>
        </w:rPr>
      </w:pPr>
      <w:r w:rsidRPr="0010523F">
        <w:rPr>
          <w:sz w:val="22"/>
          <w:lang w:val="es-AR" w:eastAsia="en-US"/>
        </w:rPr>
        <w:t xml:space="preserve"> </w:t>
      </w:r>
    </w:p>
    <w:p w14:paraId="18B13261" w14:textId="77777777" w:rsidR="0010523F" w:rsidRPr="0010523F" w:rsidRDefault="0010523F" w:rsidP="00E2318E">
      <w:pPr>
        <w:numPr>
          <w:ilvl w:val="0"/>
          <w:numId w:val="67"/>
        </w:numPr>
        <w:spacing w:line="220" w:lineRule="exact"/>
        <w:ind w:left="426" w:hanging="426"/>
        <w:contextualSpacing/>
        <w:jc w:val="both"/>
        <w:rPr>
          <w:sz w:val="20"/>
          <w:szCs w:val="20"/>
          <w:lang w:val="es-AR" w:eastAsia="en-US"/>
        </w:rPr>
      </w:pPr>
      <w:r w:rsidRPr="0010523F">
        <w:rPr>
          <w:sz w:val="20"/>
          <w:szCs w:val="20"/>
          <w:lang w:val="es-AR" w:eastAsia="en-US"/>
        </w:rPr>
        <w:t>Corresponde al valor actual de los arrendamientos clasificados como operativos al 31 de diciembre de 2018 (valor nominal 2.858), neto de los arrendamientos inferiores a un año o de bajo monto (valor nominal 202).</w:t>
      </w:r>
    </w:p>
    <w:p w14:paraId="60E6795F" w14:textId="77777777" w:rsidR="0010523F" w:rsidRPr="0010523F" w:rsidRDefault="0010523F" w:rsidP="0010523F">
      <w:pPr>
        <w:spacing w:line="120" w:lineRule="exact"/>
        <w:ind w:left="425"/>
        <w:contextualSpacing/>
        <w:jc w:val="both"/>
        <w:rPr>
          <w:sz w:val="20"/>
          <w:szCs w:val="20"/>
          <w:lang w:val="es-AR" w:eastAsia="en-US"/>
        </w:rPr>
      </w:pPr>
    </w:p>
    <w:p w14:paraId="04CB0BF4" w14:textId="77777777" w:rsidR="0010523F" w:rsidRPr="0010523F" w:rsidRDefault="0010523F" w:rsidP="00E2318E">
      <w:pPr>
        <w:numPr>
          <w:ilvl w:val="0"/>
          <w:numId w:val="67"/>
        </w:numPr>
        <w:spacing w:before="120" w:line="220" w:lineRule="exact"/>
        <w:ind w:left="425" w:hanging="425"/>
        <w:contextualSpacing/>
        <w:jc w:val="both"/>
        <w:rPr>
          <w:sz w:val="20"/>
          <w:szCs w:val="20"/>
          <w:lang w:val="es-AR" w:eastAsia="en-US"/>
        </w:rPr>
      </w:pPr>
      <w:r w:rsidRPr="0010523F">
        <w:rPr>
          <w:sz w:val="20"/>
          <w:szCs w:val="20"/>
          <w:lang w:val="es-AR" w:eastAsia="en-US"/>
        </w:rPr>
        <w:t xml:space="preserve">Corresponde principalmente al valor actual de los arrendamientos relacionados con contratos de equipos de perforación y otros. Hasta el 31 de diciembre de 2018 el cargo por dichos arrendamientos operativos se activaba dentro del rubro “Propiedad, planta y equipo”. </w:t>
      </w:r>
    </w:p>
    <w:p w14:paraId="7C964C54" w14:textId="77777777" w:rsidR="0010523F" w:rsidRPr="0010523F" w:rsidRDefault="0010523F" w:rsidP="0010523F">
      <w:pPr>
        <w:spacing w:line="160" w:lineRule="exact"/>
        <w:jc w:val="both"/>
        <w:rPr>
          <w:sz w:val="22"/>
          <w:lang w:val="es-AR" w:eastAsia="en-US"/>
        </w:rPr>
      </w:pPr>
    </w:p>
    <w:p w14:paraId="2CFB37AA" w14:textId="77777777" w:rsidR="0010523F" w:rsidRPr="0010523F" w:rsidRDefault="0010523F" w:rsidP="0010523F">
      <w:pPr>
        <w:jc w:val="both"/>
        <w:rPr>
          <w:lang w:val="es-AR" w:eastAsia="en-US"/>
        </w:rPr>
      </w:pPr>
      <w:r w:rsidRPr="0010523F">
        <w:rPr>
          <w:lang w:val="es-AR" w:eastAsia="en-US"/>
        </w:rPr>
        <w:t>La deuda relacionada con arrendamientos clasificados como “Activo por derecho a uso”, es la siguiente:</w:t>
      </w:r>
    </w:p>
    <w:p w14:paraId="3C93460E" w14:textId="77777777" w:rsidR="0010523F" w:rsidRPr="0010523F" w:rsidRDefault="0010523F" w:rsidP="0010523F">
      <w:pPr>
        <w:spacing w:line="200" w:lineRule="exact"/>
        <w:jc w:val="both"/>
        <w:rPr>
          <w:sz w:val="22"/>
          <w:lang w:val="es-AR" w:eastAsia="en-US"/>
        </w:rPr>
      </w:pPr>
    </w:p>
    <w:tbl>
      <w:tblPr>
        <w:tblW w:w="9604" w:type="dxa"/>
        <w:tblLayout w:type="fixed"/>
        <w:tblLook w:val="04A0" w:firstRow="1" w:lastRow="0" w:firstColumn="1" w:lastColumn="0" w:noHBand="0" w:noVBand="1"/>
      </w:tblPr>
      <w:tblGrid>
        <w:gridCol w:w="2376"/>
        <w:gridCol w:w="236"/>
        <w:gridCol w:w="2457"/>
        <w:gridCol w:w="236"/>
        <w:gridCol w:w="1607"/>
        <w:gridCol w:w="236"/>
        <w:gridCol w:w="2456"/>
      </w:tblGrid>
      <w:tr w:rsidR="0010523F" w:rsidRPr="0010523F" w14:paraId="1A39389B" w14:textId="77777777" w:rsidTr="00774E7E">
        <w:tc>
          <w:tcPr>
            <w:tcW w:w="2376" w:type="dxa"/>
            <w:vMerge w:val="restart"/>
            <w:vAlign w:val="center"/>
          </w:tcPr>
          <w:p w14:paraId="78F363FE" w14:textId="77777777" w:rsidR="0010523F" w:rsidRPr="0010523F" w:rsidRDefault="0010523F" w:rsidP="0010523F">
            <w:pPr>
              <w:tabs>
                <w:tab w:val="left" w:pos="1418"/>
              </w:tabs>
              <w:jc w:val="both"/>
              <w:rPr>
                <w:sz w:val="22"/>
                <w:szCs w:val="22"/>
                <w:lang w:val="es-AR" w:eastAsia="en-US"/>
              </w:rPr>
            </w:pPr>
          </w:p>
        </w:tc>
        <w:tc>
          <w:tcPr>
            <w:tcW w:w="236" w:type="dxa"/>
          </w:tcPr>
          <w:p w14:paraId="2C501078" w14:textId="77777777" w:rsidR="0010523F" w:rsidRPr="0010523F" w:rsidRDefault="0010523F" w:rsidP="0010523F">
            <w:pPr>
              <w:tabs>
                <w:tab w:val="left" w:pos="1418"/>
              </w:tabs>
              <w:jc w:val="center"/>
              <w:rPr>
                <w:sz w:val="22"/>
                <w:szCs w:val="22"/>
                <w:lang w:val="es-AR" w:eastAsia="en-US"/>
              </w:rPr>
            </w:pPr>
          </w:p>
        </w:tc>
        <w:tc>
          <w:tcPr>
            <w:tcW w:w="2457" w:type="dxa"/>
            <w:tcBorders>
              <w:bottom w:val="single" w:sz="4" w:space="0" w:color="auto"/>
            </w:tcBorders>
            <w:vAlign w:val="center"/>
          </w:tcPr>
          <w:p w14:paraId="1694958D" w14:textId="77777777" w:rsidR="0010523F" w:rsidRPr="0010523F" w:rsidRDefault="0010523F" w:rsidP="0010523F">
            <w:pPr>
              <w:tabs>
                <w:tab w:val="left" w:pos="1418"/>
              </w:tabs>
              <w:jc w:val="center"/>
              <w:rPr>
                <w:sz w:val="22"/>
                <w:szCs w:val="22"/>
                <w:lang w:val="es-AR" w:eastAsia="en-US"/>
              </w:rPr>
            </w:pPr>
            <w:r w:rsidRPr="0010523F">
              <w:rPr>
                <w:sz w:val="22"/>
                <w:szCs w:val="22"/>
                <w:lang w:val="es-AR" w:eastAsia="en-US"/>
              </w:rPr>
              <w:t>Monto de los futuros pagos mínimos por arrendamiento</w:t>
            </w:r>
          </w:p>
        </w:tc>
        <w:tc>
          <w:tcPr>
            <w:tcW w:w="236" w:type="dxa"/>
          </w:tcPr>
          <w:p w14:paraId="5D3A0069" w14:textId="77777777" w:rsidR="0010523F" w:rsidRPr="0010523F" w:rsidRDefault="0010523F" w:rsidP="0010523F">
            <w:pPr>
              <w:tabs>
                <w:tab w:val="left" w:pos="1418"/>
              </w:tabs>
              <w:jc w:val="center"/>
              <w:rPr>
                <w:sz w:val="22"/>
                <w:szCs w:val="22"/>
                <w:lang w:val="es-AR" w:eastAsia="en-US"/>
              </w:rPr>
            </w:pPr>
          </w:p>
        </w:tc>
        <w:tc>
          <w:tcPr>
            <w:tcW w:w="1607" w:type="dxa"/>
            <w:tcBorders>
              <w:bottom w:val="single" w:sz="4" w:space="0" w:color="auto"/>
            </w:tcBorders>
            <w:vAlign w:val="center"/>
          </w:tcPr>
          <w:p w14:paraId="152EB335" w14:textId="77777777" w:rsidR="0010523F" w:rsidRPr="0010523F" w:rsidRDefault="0010523F" w:rsidP="0010523F">
            <w:pPr>
              <w:tabs>
                <w:tab w:val="left" w:pos="1418"/>
              </w:tabs>
              <w:jc w:val="center"/>
              <w:rPr>
                <w:sz w:val="22"/>
                <w:szCs w:val="22"/>
                <w:lang w:val="es-AR" w:eastAsia="en-US"/>
              </w:rPr>
            </w:pPr>
            <w:r w:rsidRPr="0010523F">
              <w:rPr>
                <w:sz w:val="22"/>
                <w:szCs w:val="22"/>
                <w:lang w:val="es-AR" w:eastAsia="en-US"/>
              </w:rPr>
              <w:t>Intereses</w:t>
            </w:r>
          </w:p>
        </w:tc>
        <w:tc>
          <w:tcPr>
            <w:tcW w:w="236" w:type="dxa"/>
          </w:tcPr>
          <w:p w14:paraId="3B9DC3C8" w14:textId="77777777" w:rsidR="0010523F" w:rsidRPr="0010523F" w:rsidRDefault="0010523F" w:rsidP="0010523F">
            <w:pPr>
              <w:tabs>
                <w:tab w:val="left" w:pos="1418"/>
              </w:tabs>
              <w:jc w:val="center"/>
              <w:rPr>
                <w:sz w:val="22"/>
                <w:szCs w:val="22"/>
                <w:lang w:val="es-AR" w:eastAsia="en-US"/>
              </w:rPr>
            </w:pPr>
          </w:p>
        </w:tc>
        <w:tc>
          <w:tcPr>
            <w:tcW w:w="2456" w:type="dxa"/>
            <w:tcBorders>
              <w:bottom w:val="single" w:sz="4" w:space="0" w:color="auto"/>
            </w:tcBorders>
            <w:vAlign w:val="center"/>
          </w:tcPr>
          <w:p w14:paraId="2E6CAD18" w14:textId="77777777" w:rsidR="0010523F" w:rsidRPr="0010523F" w:rsidRDefault="0010523F" w:rsidP="0010523F">
            <w:pPr>
              <w:jc w:val="center"/>
              <w:rPr>
                <w:sz w:val="22"/>
                <w:szCs w:val="22"/>
                <w:lang w:val="es-AR" w:eastAsia="en-US"/>
              </w:rPr>
            </w:pPr>
            <w:r w:rsidRPr="0010523F">
              <w:rPr>
                <w:sz w:val="22"/>
                <w:szCs w:val="22"/>
                <w:lang w:val="es-AR" w:eastAsia="en-US"/>
              </w:rPr>
              <w:t>Saldo de capital de los futuros pagos mínimos por arrendamiento</w:t>
            </w:r>
          </w:p>
        </w:tc>
      </w:tr>
      <w:tr w:rsidR="0010523F" w:rsidRPr="0010523F" w14:paraId="45BBD682" w14:textId="77777777" w:rsidTr="00774E7E">
        <w:trPr>
          <w:trHeight w:val="70"/>
        </w:trPr>
        <w:tc>
          <w:tcPr>
            <w:tcW w:w="2376" w:type="dxa"/>
            <w:vMerge/>
            <w:tcBorders>
              <w:top w:val="single" w:sz="4" w:space="0" w:color="auto"/>
            </w:tcBorders>
          </w:tcPr>
          <w:p w14:paraId="203D3F58" w14:textId="77777777" w:rsidR="0010523F" w:rsidRPr="0010523F" w:rsidRDefault="0010523F" w:rsidP="0010523F">
            <w:pPr>
              <w:tabs>
                <w:tab w:val="left" w:pos="1418"/>
              </w:tabs>
              <w:jc w:val="right"/>
              <w:rPr>
                <w:sz w:val="22"/>
                <w:szCs w:val="22"/>
                <w:lang w:val="es-AR" w:eastAsia="en-US"/>
              </w:rPr>
            </w:pPr>
          </w:p>
        </w:tc>
        <w:tc>
          <w:tcPr>
            <w:tcW w:w="236" w:type="dxa"/>
          </w:tcPr>
          <w:p w14:paraId="68B3CCD0" w14:textId="77777777" w:rsidR="0010523F" w:rsidRPr="0010523F" w:rsidRDefault="0010523F" w:rsidP="0010523F">
            <w:pPr>
              <w:tabs>
                <w:tab w:val="left" w:pos="1418"/>
              </w:tabs>
              <w:jc w:val="right"/>
              <w:rPr>
                <w:sz w:val="22"/>
                <w:szCs w:val="22"/>
                <w:lang w:val="es-AR" w:eastAsia="en-US"/>
              </w:rPr>
            </w:pPr>
          </w:p>
        </w:tc>
        <w:tc>
          <w:tcPr>
            <w:tcW w:w="2457" w:type="dxa"/>
            <w:tcBorders>
              <w:top w:val="single" w:sz="4" w:space="0" w:color="auto"/>
              <w:bottom w:val="single" w:sz="4" w:space="0" w:color="auto"/>
            </w:tcBorders>
          </w:tcPr>
          <w:p w14:paraId="54C52A18" w14:textId="77777777" w:rsidR="0010523F" w:rsidRPr="0010523F" w:rsidRDefault="0010523F" w:rsidP="0010523F">
            <w:pPr>
              <w:tabs>
                <w:tab w:val="left" w:pos="1418"/>
              </w:tabs>
              <w:jc w:val="center"/>
              <w:rPr>
                <w:sz w:val="22"/>
                <w:szCs w:val="22"/>
                <w:lang w:val="es-AR" w:eastAsia="en-US"/>
              </w:rPr>
            </w:pPr>
            <w:r w:rsidRPr="0010523F">
              <w:rPr>
                <w:sz w:val="22"/>
                <w:szCs w:val="22"/>
                <w:lang w:val="es-AR" w:eastAsia="en-US"/>
              </w:rPr>
              <w:t>30/09/2019</w:t>
            </w:r>
          </w:p>
        </w:tc>
        <w:tc>
          <w:tcPr>
            <w:tcW w:w="236" w:type="dxa"/>
          </w:tcPr>
          <w:p w14:paraId="2AECAF17" w14:textId="77777777" w:rsidR="0010523F" w:rsidRPr="0010523F" w:rsidRDefault="0010523F" w:rsidP="0010523F">
            <w:pPr>
              <w:tabs>
                <w:tab w:val="left" w:pos="1418"/>
              </w:tabs>
              <w:jc w:val="right"/>
              <w:rPr>
                <w:sz w:val="22"/>
                <w:szCs w:val="22"/>
                <w:lang w:val="es-AR" w:eastAsia="en-US"/>
              </w:rPr>
            </w:pPr>
          </w:p>
        </w:tc>
        <w:tc>
          <w:tcPr>
            <w:tcW w:w="1607" w:type="dxa"/>
            <w:tcBorders>
              <w:top w:val="single" w:sz="4" w:space="0" w:color="auto"/>
              <w:bottom w:val="single" w:sz="4" w:space="0" w:color="auto"/>
            </w:tcBorders>
          </w:tcPr>
          <w:p w14:paraId="5505CD10" w14:textId="77777777" w:rsidR="0010523F" w:rsidRPr="0010523F" w:rsidRDefault="0010523F" w:rsidP="0010523F">
            <w:pPr>
              <w:jc w:val="center"/>
              <w:rPr>
                <w:sz w:val="22"/>
                <w:szCs w:val="22"/>
                <w:lang w:val="es-AR" w:eastAsia="en-US"/>
              </w:rPr>
            </w:pPr>
            <w:r w:rsidRPr="0010523F">
              <w:rPr>
                <w:sz w:val="22"/>
                <w:szCs w:val="22"/>
                <w:lang w:val="es-AR" w:eastAsia="en-US"/>
              </w:rPr>
              <w:t>30/09/2019</w:t>
            </w:r>
          </w:p>
        </w:tc>
        <w:tc>
          <w:tcPr>
            <w:tcW w:w="236" w:type="dxa"/>
          </w:tcPr>
          <w:p w14:paraId="5A98B222" w14:textId="77777777" w:rsidR="0010523F" w:rsidRPr="0010523F" w:rsidRDefault="0010523F" w:rsidP="0010523F">
            <w:pPr>
              <w:tabs>
                <w:tab w:val="left" w:pos="1418"/>
              </w:tabs>
              <w:jc w:val="center"/>
              <w:rPr>
                <w:sz w:val="22"/>
                <w:szCs w:val="22"/>
                <w:lang w:val="es-AR" w:eastAsia="en-US"/>
              </w:rPr>
            </w:pPr>
          </w:p>
        </w:tc>
        <w:tc>
          <w:tcPr>
            <w:tcW w:w="2456" w:type="dxa"/>
            <w:tcBorders>
              <w:top w:val="single" w:sz="4" w:space="0" w:color="auto"/>
              <w:bottom w:val="single" w:sz="4" w:space="0" w:color="auto"/>
            </w:tcBorders>
          </w:tcPr>
          <w:p w14:paraId="2EF69B98" w14:textId="77777777" w:rsidR="0010523F" w:rsidRPr="0010523F" w:rsidRDefault="0010523F" w:rsidP="0010523F">
            <w:pPr>
              <w:tabs>
                <w:tab w:val="left" w:pos="1418"/>
              </w:tabs>
              <w:jc w:val="center"/>
              <w:rPr>
                <w:sz w:val="22"/>
                <w:szCs w:val="22"/>
                <w:lang w:val="es-AR" w:eastAsia="en-US"/>
              </w:rPr>
            </w:pPr>
            <w:r w:rsidRPr="0010523F">
              <w:rPr>
                <w:sz w:val="22"/>
                <w:szCs w:val="22"/>
                <w:lang w:val="es-AR" w:eastAsia="en-US"/>
              </w:rPr>
              <w:t>30/09/2019</w:t>
            </w:r>
          </w:p>
        </w:tc>
      </w:tr>
      <w:tr w:rsidR="0010523F" w:rsidRPr="0010523F" w14:paraId="2E424CCD" w14:textId="77777777" w:rsidTr="00774E7E">
        <w:tc>
          <w:tcPr>
            <w:tcW w:w="2376" w:type="dxa"/>
          </w:tcPr>
          <w:p w14:paraId="52210D38" w14:textId="77777777" w:rsidR="0010523F" w:rsidRPr="0010523F" w:rsidRDefault="0010523F" w:rsidP="0010523F">
            <w:pPr>
              <w:tabs>
                <w:tab w:val="left" w:pos="1418"/>
              </w:tabs>
              <w:jc w:val="both"/>
              <w:rPr>
                <w:sz w:val="22"/>
                <w:szCs w:val="22"/>
                <w:lang w:val="es-AR" w:eastAsia="en-US"/>
              </w:rPr>
            </w:pPr>
            <w:r w:rsidRPr="0010523F">
              <w:rPr>
                <w:sz w:val="22"/>
                <w:szCs w:val="22"/>
                <w:lang w:val="es-AR" w:eastAsia="en-US"/>
              </w:rPr>
              <w:t>Menos de un año</w:t>
            </w:r>
          </w:p>
        </w:tc>
        <w:tc>
          <w:tcPr>
            <w:tcW w:w="236" w:type="dxa"/>
          </w:tcPr>
          <w:p w14:paraId="59050EEF" w14:textId="77777777" w:rsidR="0010523F" w:rsidRPr="0010523F" w:rsidRDefault="0010523F" w:rsidP="0010523F">
            <w:pPr>
              <w:tabs>
                <w:tab w:val="left" w:pos="1418"/>
              </w:tabs>
              <w:jc w:val="right"/>
              <w:rPr>
                <w:sz w:val="22"/>
                <w:szCs w:val="22"/>
                <w:lang w:val="es-AR" w:eastAsia="en-US"/>
              </w:rPr>
            </w:pPr>
          </w:p>
        </w:tc>
        <w:tc>
          <w:tcPr>
            <w:tcW w:w="2457" w:type="dxa"/>
            <w:tcBorders>
              <w:top w:val="single" w:sz="4" w:space="0" w:color="auto"/>
            </w:tcBorders>
            <w:vAlign w:val="center"/>
          </w:tcPr>
          <w:p w14:paraId="321ACEC0" w14:textId="77777777" w:rsidR="0010523F" w:rsidRPr="0010523F" w:rsidRDefault="0010523F" w:rsidP="0010523F">
            <w:pPr>
              <w:tabs>
                <w:tab w:val="left" w:pos="1418"/>
              </w:tabs>
              <w:ind w:right="459"/>
              <w:jc w:val="right"/>
              <w:rPr>
                <w:sz w:val="22"/>
                <w:szCs w:val="22"/>
                <w:lang w:val="es-AR" w:eastAsia="en-US"/>
              </w:rPr>
            </w:pPr>
            <w:r w:rsidRPr="0010523F">
              <w:rPr>
                <w:sz w:val="22"/>
                <w:szCs w:val="22"/>
                <w:lang w:val="es-AR" w:eastAsia="en-US"/>
              </w:rPr>
              <w:t>2.439</w:t>
            </w:r>
          </w:p>
        </w:tc>
        <w:tc>
          <w:tcPr>
            <w:tcW w:w="236" w:type="dxa"/>
          </w:tcPr>
          <w:p w14:paraId="497A731E" w14:textId="77777777" w:rsidR="0010523F" w:rsidRPr="0010523F" w:rsidRDefault="0010523F" w:rsidP="0010523F">
            <w:pPr>
              <w:tabs>
                <w:tab w:val="left" w:pos="1418"/>
              </w:tabs>
              <w:jc w:val="right"/>
              <w:rPr>
                <w:sz w:val="22"/>
                <w:szCs w:val="22"/>
                <w:lang w:val="es-AR" w:eastAsia="en-US"/>
              </w:rPr>
            </w:pPr>
          </w:p>
        </w:tc>
        <w:tc>
          <w:tcPr>
            <w:tcW w:w="1607" w:type="dxa"/>
            <w:tcBorders>
              <w:top w:val="single" w:sz="4" w:space="0" w:color="auto"/>
            </w:tcBorders>
            <w:vAlign w:val="center"/>
          </w:tcPr>
          <w:p w14:paraId="799F17CB" w14:textId="77777777" w:rsidR="0010523F" w:rsidRPr="0010523F" w:rsidRDefault="0010523F" w:rsidP="0010523F">
            <w:pPr>
              <w:tabs>
                <w:tab w:val="left" w:pos="1418"/>
              </w:tabs>
              <w:ind w:right="176"/>
              <w:jc w:val="right"/>
              <w:rPr>
                <w:sz w:val="22"/>
                <w:szCs w:val="22"/>
                <w:lang w:val="es-AR" w:eastAsia="en-US"/>
              </w:rPr>
            </w:pPr>
            <w:r w:rsidRPr="0010523F">
              <w:rPr>
                <w:sz w:val="22"/>
                <w:szCs w:val="22"/>
                <w:lang w:val="es-AR" w:eastAsia="en-US"/>
              </w:rPr>
              <w:t>255</w:t>
            </w:r>
          </w:p>
        </w:tc>
        <w:tc>
          <w:tcPr>
            <w:tcW w:w="236" w:type="dxa"/>
          </w:tcPr>
          <w:p w14:paraId="6760B50A" w14:textId="77777777" w:rsidR="0010523F" w:rsidRPr="0010523F" w:rsidRDefault="0010523F" w:rsidP="0010523F">
            <w:pPr>
              <w:tabs>
                <w:tab w:val="left" w:pos="1418"/>
              </w:tabs>
              <w:jc w:val="right"/>
              <w:rPr>
                <w:sz w:val="22"/>
                <w:szCs w:val="22"/>
                <w:lang w:val="es-AR" w:eastAsia="en-US"/>
              </w:rPr>
            </w:pPr>
          </w:p>
        </w:tc>
        <w:tc>
          <w:tcPr>
            <w:tcW w:w="2456" w:type="dxa"/>
            <w:tcBorders>
              <w:top w:val="single" w:sz="4" w:space="0" w:color="auto"/>
            </w:tcBorders>
          </w:tcPr>
          <w:p w14:paraId="040E28DD" w14:textId="77777777" w:rsidR="0010523F" w:rsidRPr="0010523F" w:rsidRDefault="0010523F" w:rsidP="0010523F">
            <w:pPr>
              <w:tabs>
                <w:tab w:val="left" w:pos="1418"/>
              </w:tabs>
              <w:ind w:right="457"/>
              <w:jc w:val="right"/>
              <w:rPr>
                <w:sz w:val="22"/>
                <w:szCs w:val="22"/>
                <w:lang w:val="es-AR" w:eastAsia="en-US"/>
              </w:rPr>
            </w:pPr>
            <w:r w:rsidRPr="0010523F">
              <w:rPr>
                <w:sz w:val="22"/>
                <w:szCs w:val="22"/>
                <w:lang w:val="es-AR" w:eastAsia="en-US"/>
              </w:rPr>
              <w:t>2.184</w:t>
            </w:r>
          </w:p>
        </w:tc>
      </w:tr>
      <w:tr w:rsidR="0010523F" w:rsidRPr="0010523F" w14:paraId="51649669" w14:textId="77777777" w:rsidTr="00774E7E">
        <w:tc>
          <w:tcPr>
            <w:tcW w:w="2376" w:type="dxa"/>
          </w:tcPr>
          <w:p w14:paraId="408915E3" w14:textId="77777777" w:rsidR="0010523F" w:rsidRPr="0010523F" w:rsidRDefault="0010523F" w:rsidP="0010523F">
            <w:pPr>
              <w:tabs>
                <w:tab w:val="left" w:pos="1418"/>
              </w:tabs>
              <w:rPr>
                <w:sz w:val="22"/>
                <w:szCs w:val="22"/>
                <w:lang w:val="es-AR" w:eastAsia="en-US"/>
              </w:rPr>
            </w:pPr>
            <w:r w:rsidRPr="0010523F">
              <w:rPr>
                <w:sz w:val="22"/>
                <w:szCs w:val="22"/>
                <w:lang w:val="es-AR" w:eastAsia="en-US"/>
              </w:rPr>
              <w:t>Entre uno y cinco años</w:t>
            </w:r>
          </w:p>
        </w:tc>
        <w:tc>
          <w:tcPr>
            <w:tcW w:w="236" w:type="dxa"/>
          </w:tcPr>
          <w:p w14:paraId="66196EE4" w14:textId="77777777" w:rsidR="0010523F" w:rsidRPr="0010523F" w:rsidRDefault="0010523F" w:rsidP="0010523F">
            <w:pPr>
              <w:tabs>
                <w:tab w:val="left" w:pos="1418"/>
              </w:tabs>
              <w:jc w:val="right"/>
              <w:rPr>
                <w:sz w:val="22"/>
                <w:szCs w:val="22"/>
                <w:lang w:val="es-AR" w:eastAsia="en-US"/>
              </w:rPr>
            </w:pPr>
          </w:p>
        </w:tc>
        <w:tc>
          <w:tcPr>
            <w:tcW w:w="2457" w:type="dxa"/>
            <w:vAlign w:val="bottom"/>
          </w:tcPr>
          <w:p w14:paraId="78C02154" w14:textId="77777777" w:rsidR="0010523F" w:rsidRPr="0010523F" w:rsidRDefault="0010523F" w:rsidP="0010523F">
            <w:pPr>
              <w:tabs>
                <w:tab w:val="left" w:pos="1418"/>
              </w:tabs>
              <w:ind w:right="459"/>
              <w:jc w:val="right"/>
              <w:rPr>
                <w:sz w:val="22"/>
                <w:szCs w:val="22"/>
                <w:lang w:val="es-AR" w:eastAsia="en-US"/>
              </w:rPr>
            </w:pPr>
            <w:r w:rsidRPr="0010523F">
              <w:rPr>
                <w:sz w:val="22"/>
                <w:szCs w:val="22"/>
                <w:lang w:val="es-AR" w:eastAsia="en-US"/>
              </w:rPr>
              <w:t>3.466</w:t>
            </w:r>
          </w:p>
        </w:tc>
        <w:tc>
          <w:tcPr>
            <w:tcW w:w="236" w:type="dxa"/>
            <w:vAlign w:val="bottom"/>
          </w:tcPr>
          <w:p w14:paraId="7DCB810F" w14:textId="77777777" w:rsidR="0010523F" w:rsidRPr="0010523F" w:rsidRDefault="0010523F" w:rsidP="0010523F">
            <w:pPr>
              <w:tabs>
                <w:tab w:val="left" w:pos="1418"/>
              </w:tabs>
              <w:jc w:val="right"/>
              <w:rPr>
                <w:sz w:val="22"/>
                <w:szCs w:val="22"/>
                <w:lang w:val="es-AR" w:eastAsia="en-US"/>
              </w:rPr>
            </w:pPr>
          </w:p>
        </w:tc>
        <w:tc>
          <w:tcPr>
            <w:tcW w:w="1607" w:type="dxa"/>
            <w:vAlign w:val="bottom"/>
          </w:tcPr>
          <w:p w14:paraId="03230BDF" w14:textId="77777777" w:rsidR="0010523F" w:rsidRPr="0010523F" w:rsidRDefault="0010523F" w:rsidP="0010523F">
            <w:pPr>
              <w:tabs>
                <w:tab w:val="left" w:pos="1418"/>
              </w:tabs>
              <w:ind w:right="176"/>
              <w:jc w:val="right"/>
              <w:rPr>
                <w:sz w:val="22"/>
                <w:szCs w:val="22"/>
                <w:lang w:val="es-AR" w:eastAsia="en-US"/>
              </w:rPr>
            </w:pPr>
            <w:r w:rsidRPr="0010523F">
              <w:rPr>
                <w:sz w:val="22"/>
                <w:szCs w:val="22"/>
                <w:lang w:val="es-AR" w:eastAsia="en-US"/>
              </w:rPr>
              <w:t>615</w:t>
            </w:r>
          </w:p>
        </w:tc>
        <w:tc>
          <w:tcPr>
            <w:tcW w:w="236" w:type="dxa"/>
            <w:vAlign w:val="bottom"/>
          </w:tcPr>
          <w:p w14:paraId="728B2162" w14:textId="77777777" w:rsidR="0010523F" w:rsidRPr="0010523F" w:rsidRDefault="0010523F" w:rsidP="0010523F">
            <w:pPr>
              <w:tabs>
                <w:tab w:val="left" w:pos="1418"/>
              </w:tabs>
              <w:jc w:val="right"/>
              <w:rPr>
                <w:sz w:val="22"/>
                <w:szCs w:val="22"/>
                <w:lang w:val="es-AR" w:eastAsia="en-US"/>
              </w:rPr>
            </w:pPr>
          </w:p>
        </w:tc>
        <w:tc>
          <w:tcPr>
            <w:tcW w:w="2456" w:type="dxa"/>
            <w:vAlign w:val="bottom"/>
          </w:tcPr>
          <w:p w14:paraId="5E8C8F5C" w14:textId="77777777" w:rsidR="0010523F" w:rsidRPr="0010523F" w:rsidRDefault="0010523F" w:rsidP="0010523F">
            <w:pPr>
              <w:tabs>
                <w:tab w:val="left" w:pos="1418"/>
              </w:tabs>
              <w:ind w:right="457"/>
              <w:jc w:val="right"/>
              <w:rPr>
                <w:sz w:val="22"/>
                <w:szCs w:val="22"/>
                <w:lang w:val="es-AR" w:eastAsia="en-US"/>
              </w:rPr>
            </w:pPr>
            <w:r w:rsidRPr="0010523F">
              <w:rPr>
                <w:sz w:val="22"/>
                <w:szCs w:val="22"/>
                <w:lang w:val="es-AR" w:eastAsia="en-US"/>
              </w:rPr>
              <w:t>2.851</w:t>
            </w:r>
          </w:p>
        </w:tc>
      </w:tr>
      <w:tr w:rsidR="0010523F" w:rsidRPr="0010523F" w14:paraId="081A9829" w14:textId="77777777" w:rsidTr="00774E7E">
        <w:tc>
          <w:tcPr>
            <w:tcW w:w="2376" w:type="dxa"/>
          </w:tcPr>
          <w:p w14:paraId="1AEB19C1" w14:textId="77777777" w:rsidR="0010523F" w:rsidRPr="0010523F" w:rsidRDefault="0010523F" w:rsidP="0010523F">
            <w:pPr>
              <w:tabs>
                <w:tab w:val="left" w:pos="1418"/>
              </w:tabs>
              <w:rPr>
                <w:sz w:val="22"/>
                <w:szCs w:val="22"/>
                <w:lang w:val="es-AR" w:eastAsia="en-US"/>
              </w:rPr>
            </w:pPr>
            <w:r w:rsidRPr="0010523F">
              <w:rPr>
                <w:sz w:val="22"/>
                <w:szCs w:val="22"/>
                <w:lang w:val="es-AR" w:eastAsia="en-US"/>
              </w:rPr>
              <w:t>Más de cinco años</w:t>
            </w:r>
          </w:p>
        </w:tc>
        <w:tc>
          <w:tcPr>
            <w:tcW w:w="236" w:type="dxa"/>
          </w:tcPr>
          <w:p w14:paraId="4847D243" w14:textId="77777777" w:rsidR="0010523F" w:rsidRPr="0010523F" w:rsidRDefault="0010523F" w:rsidP="0010523F">
            <w:pPr>
              <w:tabs>
                <w:tab w:val="left" w:pos="1418"/>
              </w:tabs>
              <w:jc w:val="right"/>
              <w:rPr>
                <w:sz w:val="22"/>
                <w:szCs w:val="22"/>
                <w:lang w:val="es-AR" w:eastAsia="en-US"/>
              </w:rPr>
            </w:pPr>
          </w:p>
        </w:tc>
        <w:tc>
          <w:tcPr>
            <w:tcW w:w="2457" w:type="dxa"/>
            <w:vAlign w:val="center"/>
          </w:tcPr>
          <w:p w14:paraId="065A2351" w14:textId="77777777" w:rsidR="0010523F" w:rsidRPr="0010523F" w:rsidRDefault="0010523F" w:rsidP="0010523F">
            <w:pPr>
              <w:tabs>
                <w:tab w:val="left" w:pos="1418"/>
              </w:tabs>
              <w:ind w:right="459"/>
              <w:jc w:val="right"/>
              <w:rPr>
                <w:sz w:val="22"/>
                <w:szCs w:val="22"/>
                <w:u w:val="single"/>
                <w:lang w:val="es-AR" w:eastAsia="en-US"/>
              </w:rPr>
            </w:pPr>
            <w:r w:rsidRPr="0010523F">
              <w:rPr>
                <w:sz w:val="22"/>
                <w:szCs w:val="22"/>
                <w:u w:val="single"/>
                <w:lang w:val="es-AR" w:eastAsia="en-US"/>
              </w:rPr>
              <w:t>1.917</w:t>
            </w:r>
          </w:p>
        </w:tc>
        <w:tc>
          <w:tcPr>
            <w:tcW w:w="236" w:type="dxa"/>
          </w:tcPr>
          <w:p w14:paraId="4B099F22" w14:textId="77777777" w:rsidR="0010523F" w:rsidRPr="0010523F" w:rsidDel="00120FB4" w:rsidRDefault="0010523F" w:rsidP="0010523F">
            <w:pPr>
              <w:tabs>
                <w:tab w:val="left" w:pos="1418"/>
              </w:tabs>
              <w:jc w:val="right"/>
              <w:rPr>
                <w:sz w:val="22"/>
                <w:szCs w:val="22"/>
                <w:lang w:val="es-AR" w:eastAsia="en-US"/>
              </w:rPr>
            </w:pPr>
          </w:p>
        </w:tc>
        <w:tc>
          <w:tcPr>
            <w:tcW w:w="1607" w:type="dxa"/>
            <w:vAlign w:val="center"/>
          </w:tcPr>
          <w:p w14:paraId="4B2ACAD8" w14:textId="77777777" w:rsidR="0010523F" w:rsidRPr="0010523F" w:rsidRDefault="0010523F" w:rsidP="0010523F">
            <w:pPr>
              <w:tabs>
                <w:tab w:val="left" w:pos="1418"/>
              </w:tabs>
              <w:ind w:right="176"/>
              <w:jc w:val="right"/>
              <w:rPr>
                <w:sz w:val="22"/>
                <w:szCs w:val="22"/>
                <w:u w:val="single"/>
                <w:lang w:val="es-AR" w:eastAsia="en-US"/>
              </w:rPr>
            </w:pPr>
            <w:r w:rsidRPr="0010523F">
              <w:rPr>
                <w:sz w:val="22"/>
                <w:szCs w:val="22"/>
                <w:u w:val="single"/>
                <w:lang w:val="es-AR" w:eastAsia="en-US"/>
              </w:rPr>
              <w:t xml:space="preserve">   532</w:t>
            </w:r>
          </w:p>
        </w:tc>
        <w:tc>
          <w:tcPr>
            <w:tcW w:w="236" w:type="dxa"/>
          </w:tcPr>
          <w:p w14:paraId="43B4A519" w14:textId="77777777" w:rsidR="0010523F" w:rsidRPr="0010523F" w:rsidRDefault="0010523F" w:rsidP="0010523F">
            <w:pPr>
              <w:tabs>
                <w:tab w:val="left" w:pos="1418"/>
              </w:tabs>
              <w:jc w:val="right"/>
              <w:rPr>
                <w:sz w:val="22"/>
                <w:szCs w:val="22"/>
                <w:lang w:val="es-AR" w:eastAsia="en-US"/>
              </w:rPr>
            </w:pPr>
          </w:p>
        </w:tc>
        <w:tc>
          <w:tcPr>
            <w:tcW w:w="2456" w:type="dxa"/>
          </w:tcPr>
          <w:p w14:paraId="042E87C1" w14:textId="77777777" w:rsidR="0010523F" w:rsidRPr="0010523F" w:rsidRDefault="0010523F" w:rsidP="0010523F">
            <w:pPr>
              <w:tabs>
                <w:tab w:val="left" w:pos="1418"/>
              </w:tabs>
              <w:ind w:right="457"/>
              <w:jc w:val="right"/>
              <w:rPr>
                <w:sz w:val="22"/>
                <w:szCs w:val="22"/>
                <w:u w:val="single"/>
                <w:lang w:val="es-AR" w:eastAsia="en-US"/>
              </w:rPr>
            </w:pPr>
            <w:r w:rsidRPr="0010523F">
              <w:rPr>
                <w:sz w:val="22"/>
                <w:szCs w:val="22"/>
                <w:u w:val="single"/>
                <w:lang w:val="es-AR" w:eastAsia="en-US"/>
              </w:rPr>
              <w:t>1.385</w:t>
            </w:r>
          </w:p>
        </w:tc>
      </w:tr>
      <w:tr w:rsidR="0010523F" w:rsidRPr="0010523F" w14:paraId="7D5FE607" w14:textId="77777777" w:rsidTr="00774E7E">
        <w:tc>
          <w:tcPr>
            <w:tcW w:w="2376" w:type="dxa"/>
          </w:tcPr>
          <w:p w14:paraId="7F4C1457" w14:textId="77777777" w:rsidR="0010523F" w:rsidRPr="0010523F" w:rsidRDefault="0010523F" w:rsidP="0010523F">
            <w:pPr>
              <w:tabs>
                <w:tab w:val="left" w:pos="1418"/>
              </w:tabs>
              <w:rPr>
                <w:sz w:val="22"/>
                <w:szCs w:val="22"/>
                <w:lang w:val="es-AR" w:eastAsia="en-US"/>
              </w:rPr>
            </w:pPr>
            <w:r w:rsidRPr="0010523F">
              <w:rPr>
                <w:sz w:val="22"/>
                <w:szCs w:val="22"/>
                <w:lang w:val="es-AR" w:eastAsia="en-US"/>
              </w:rPr>
              <w:t>Total</w:t>
            </w:r>
          </w:p>
        </w:tc>
        <w:tc>
          <w:tcPr>
            <w:tcW w:w="236" w:type="dxa"/>
          </w:tcPr>
          <w:p w14:paraId="24B53755" w14:textId="77777777" w:rsidR="0010523F" w:rsidRPr="0010523F" w:rsidRDefault="0010523F" w:rsidP="0010523F">
            <w:pPr>
              <w:tabs>
                <w:tab w:val="left" w:pos="1418"/>
              </w:tabs>
              <w:jc w:val="right"/>
              <w:rPr>
                <w:sz w:val="22"/>
                <w:szCs w:val="22"/>
                <w:lang w:val="es-AR" w:eastAsia="en-US"/>
              </w:rPr>
            </w:pPr>
          </w:p>
        </w:tc>
        <w:tc>
          <w:tcPr>
            <w:tcW w:w="2457" w:type="dxa"/>
            <w:vAlign w:val="center"/>
          </w:tcPr>
          <w:p w14:paraId="571876BE" w14:textId="77777777" w:rsidR="0010523F" w:rsidRPr="0010523F" w:rsidRDefault="0010523F" w:rsidP="0010523F">
            <w:pPr>
              <w:tabs>
                <w:tab w:val="left" w:pos="1418"/>
              </w:tabs>
              <w:ind w:right="459"/>
              <w:jc w:val="right"/>
              <w:rPr>
                <w:sz w:val="22"/>
                <w:szCs w:val="22"/>
                <w:u w:val="double"/>
                <w:lang w:val="es-AR" w:eastAsia="en-US"/>
              </w:rPr>
            </w:pPr>
            <w:r w:rsidRPr="0010523F">
              <w:rPr>
                <w:sz w:val="22"/>
                <w:szCs w:val="22"/>
                <w:u w:val="double"/>
                <w:lang w:val="es-AR" w:eastAsia="en-US"/>
              </w:rPr>
              <w:t>7.822</w:t>
            </w:r>
          </w:p>
        </w:tc>
        <w:tc>
          <w:tcPr>
            <w:tcW w:w="236" w:type="dxa"/>
          </w:tcPr>
          <w:p w14:paraId="60904012" w14:textId="77777777" w:rsidR="0010523F" w:rsidRPr="0010523F" w:rsidDel="00120FB4" w:rsidRDefault="0010523F" w:rsidP="0010523F">
            <w:pPr>
              <w:tabs>
                <w:tab w:val="left" w:pos="1418"/>
              </w:tabs>
              <w:jc w:val="right"/>
              <w:rPr>
                <w:sz w:val="22"/>
                <w:szCs w:val="22"/>
                <w:lang w:val="es-AR" w:eastAsia="en-US"/>
              </w:rPr>
            </w:pPr>
          </w:p>
        </w:tc>
        <w:tc>
          <w:tcPr>
            <w:tcW w:w="1607" w:type="dxa"/>
            <w:vAlign w:val="center"/>
          </w:tcPr>
          <w:p w14:paraId="18F6E5B5" w14:textId="77777777" w:rsidR="0010523F" w:rsidRPr="0010523F" w:rsidRDefault="0010523F" w:rsidP="0010523F">
            <w:pPr>
              <w:tabs>
                <w:tab w:val="left" w:pos="1418"/>
              </w:tabs>
              <w:ind w:right="176"/>
              <w:jc w:val="right"/>
              <w:rPr>
                <w:sz w:val="22"/>
                <w:szCs w:val="22"/>
                <w:u w:val="double"/>
                <w:lang w:val="es-AR" w:eastAsia="en-US"/>
              </w:rPr>
            </w:pPr>
            <w:r w:rsidRPr="0010523F">
              <w:rPr>
                <w:sz w:val="22"/>
                <w:szCs w:val="22"/>
                <w:u w:val="double"/>
                <w:lang w:val="es-AR" w:eastAsia="en-US"/>
              </w:rPr>
              <w:t>1.402</w:t>
            </w:r>
          </w:p>
        </w:tc>
        <w:tc>
          <w:tcPr>
            <w:tcW w:w="236" w:type="dxa"/>
          </w:tcPr>
          <w:p w14:paraId="52D70B32" w14:textId="77777777" w:rsidR="0010523F" w:rsidRPr="0010523F" w:rsidRDefault="0010523F" w:rsidP="0010523F">
            <w:pPr>
              <w:tabs>
                <w:tab w:val="left" w:pos="1418"/>
              </w:tabs>
              <w:jc w:val="right"/>
              <w:rPr>
                <w:sz w:val="22"/>
                <w:szCs w:val="22"/>
                <w:lang w:val="es-AR" w:eastAsia="en-US"/>
              </w:rPr>
            </w:pPr>
          </w:p>
        </w:tc>
        <w:tc>
          <w:tcPr>
            <w:tcW w:w="2456" w:type="dxa"/>
          </w:tcPr>
          <w:p w14:paraId="1ED57115" w14:textId="77777777" w:rsidR="0010523F" w:rsidRPr="0010523F" w:rsidRDefault="0010523F" w:rsidP="0010523F">
            <w:pPr>
              <w:tabs>
                <w:tab w:val="left" w:pos="1418"/>
              </w:tabs>
              <w:ind w:right="457"/>
              <w:jc w:val="right"/>
              <w:rPr>
                <w:sz w:val="22"/>
                <w:szCs w:val="22"/>
                <w:u w:val="double"/>
                <w:lang w:val="es-AR" w:eastAsia="en-US"/>
              </w:rPr>
            </w:pPr>
            <w:r w:rsidRPr="0010523F">
              <w:rPr>
                <w:sz w:val="22"/>
                <w:szCs w:val="22"/>
                <w:u w:val="double"/>
                <w:lang w:val="es-AR" w:eastAsia="en-US"/>
              </w:rPr>
              <w:t>6.420</w:t>
            </w:r>
          </w:p>
        </w:tc>
      </w:tr>
    </w:tbl>
    <w:p w14:paraId="63088B9C" w14:textId="77777777" w:rsidR="0010523F" w:rsidRPr="0010523F" w:rsidRDefault="0010523F" w:rsidP="0010523F">
      <w:pPr>
        <w:spacing w:line="180" w:lineRule="exact"/>
        <w:jc w:val="both"/>
        <w:rPr>
          <w:sz w:val="20"/>
          <w:szCs w:val="20"/>
          <w:lang w:val="es-AR" w:eastAsia="en-US"/>
        </w:rPr>
      </w:pPr>
    </w:p>
    <w:p w14:paraId="59E0BD42" w14:textId="77777777" w:rsidR="0010523F" w:rsidRPr="0010523F" w:rsidRDefault="0010523F" w:rsidP="0010523F">
      <w:pPr>
        <w:jc w:val="both"/>
        <w:rPr>
          <w:lang w:val="es-AR" w:eastAsia="en-US"/>
        </w:rPr>
      </w:pPr>
      <w:r w:rsidRPr="0010523F">
        <w:rPr>
          <w:lang w:val="es-AR" w:eastAsia="en-US"/>
        </w:rPr>
        <w:t>Las tasas de descuento utilizadas para la determinación del valor actual de los pagos por arrendamiento restantes varían dependiendo del plazo y moneda en la cual dicho arrendamiento fue pactado. El rango de las mismas se detalla a continuación:</w:t>
      </w:r>
    </w:p>
    <w:p w14:paraId="1DC961CC" w14:textId="77777777" w:rsidR="0010523F" w:rsidRPr="0010523F" w:rsidRDefault="0010523F" w:rsidP="0010523F">
      <w:pPr>
        <w:spacing w:line="160" w:lineRule="exact"/>
        <w:jc w:val="both"/>
        <w:rPr>
          <w:sz w:val="22"/>
          <w:lang w:val="es-AR" w:eastAsia="en-US"/>
        </w:rPr>
      </w:pPr>
    </w:p>
    <w:tbl>
      <w:tblPr>
        <w:tblW w:w="7154" w:type="dxa"/>
        <w:tblInd w:w="55" w:type="dxa"/>
        <w:tblCellMar>
          <w:left w:w="70" w:type="dxa"/>
          <w:right w:w="70" w:type="dxa"/>
        </w:tblCellMar>
        <w:tblLook w:val="04A0" w:firstRow="1" w:lastRow="0" w:firstColumn="1" w:lastColumn="0" w:noHBand="0" w:noVBand="1"/>
      </w:tblPr>
      <w:tblGrid>
        <w:gridCol w:w="4835"/>
        <w:gridCol w:w="160"/>
        <w:gridCol w:w="2159"/>
      </w:tblGrid>
      <w:tr w:rsidR="0010523F" w:rsidRPr="0010523F" w14:paraId="18A6F89B" w14:textId="77777777" w:rsidTr="00774E7E">
        <w:trPr>
          <w:trHeight w:val="283"/>
        </w:trPr>
        <w:tc>
          <w:tcPr>
            <w:tcW w:w="4835" w:type="dxa"/>
            <w:tcBorders>
              <w:top w:val="nil"/>
              <w:left w:val="nil"/>
              <w:bottom w:val="single" w:sz="4" w:space="0" w:color="auto"/>
              <w:right w:val="nil"/>
            </w:tcBorders>
            <w:shd w:val="clear" w:color="auto" w:fill="auto"/>
            <w:noWrap/>
            <w:vAlign w:val="center"/>
            <w:hideMark/>
          </w:tcPr>
          <w:p w14:paraId="51B99A43" w14:textId="77777777" w:rsidR="0010523F" w:rsidRPr="0010523F" w:rsidRDefault="0010523F" w:rsidP="0010523F">
            <w:pPr>
              <w:jc w:val="center"/>
              <w:rPr>
                <w:lang w:val="es-AR" w:eastAsia="es-AR"/>
              </w:rPr>
            </w:pPr>
            <w:r w:rsidRPr="0010523F">
              <w:rPr>
                <w:lang w:val="es-AR" w:eastAsia="es-AR"/>
              </w:rPr>
              <w:t>Plazo</w:t>
            </w:r>
          </w:p>
        </w:tc>
        <w:tc>
          <w:tcPr>
            <w:tcW w:w="160" w:type="dxa"/>
            <w:tcBorders>
              <w:top w:val="nil"/>
              <w:left w:val="nil"/>
              <w:bottom w:val="nil"/>
              <w:right w:val="nil"/>
            </w:tcBorders>
            <w:shd w:val="clear" w:color="auto" w:fill="auto"/>
          </w:tcPr>
          <w:p w14:paraId="585FDD4C" w14:textId="77777777" w:rsidR="0010523F" w:rsidRPr="0010523F" w:rsidRDefault="0010523F" w:rsidP="0010523F">
            <w:pPr>
              <w:jc w:val="center"/>
              <w:rPr>
                <w:lang w:val="es-AR" w:eastAsia="es-AR"/>
              </w:rPr>
            </w:pPr>
          </w:p>
        </w:tc>
        <w:tc>
          <w:tcPr>
            <w:tcW w:w="2159" w:type="dxa"/>
            <w:tcBorders>
              <w:top w:val="nil"/>
              <w:left w:val="nil"/>
              <w:bottom w:val="single" w:sz="4" w:space="0" w:color="auto"/>
              <w:right w:val="nil"/>
            </w:tcBorders>
            <w:shd w:val="clear" w:color="auto" w:fill="auto"/>
            <w:noWrap/>
            <w:vAlign w:val="center"/>
            <w:hideMark/>
          </w:tcPr>
          <w:p w14:paraId="70B98818" w14:textId="77777777" w:rsidR="0010523F" w:rsidRPr="0010523F" w:rsidRDefault="0010523F" w:rsidP="0010523F">
            <w:pPr>
              <w:jc w:val="center"/>
              <w:rPr>
                <w:lang w:val="es-AR" w:eastAsia="es-AR"/>
              </w:rPr>
            </w:pPr>
            <w:r w:rsidRPr="0010523F">
              <w:rPr>
                <w:lang w:val="es-AR" w:eastAsia="es-AR"/>
              </w:rPr>
              <w:t>Tasa de descuento</w:t>
            </w:r>
          </w:p>
        </w:tc>
      </w:tr>
      <w:tr w:rsidR="0010523F" w:rsidRPr="0010523F" w14:paraId="45CDA17C" w14:textId="77777777" w:rsidTr="00774E7E">
        <w:trPr>
          <w:trHeight w:val="312"/>
        </w:trPr>
        <w:tc>
          <w:tcPr>
            <w:tcW w:w="4835" w:type="dxa"/>
            <w:tcBorders>
              <w:top w:val="single" w:sz="4" w:space="0" w:color="auto"/>
              <w:left w:val="nil"/>
              <w:bottom w:val="nil"/>
              <w:right w:val="nil"/>
            </w:tcBorders>
            <w:shd w:val="clear" w:color="auto" w:fill="auto"/>
            <w:noWrap/>
            <w:vAlign w:val="center"/>
            <w:hideMark/>
          </w:tcPr>
          <w:p w14:paraId="589C1DC3" w14:textId="77777777" w:rsidR="0010523F" w:rsidRPr="0010523F" w:rsidRDefault="0010523F" w:rsidP="0010523F">
            <w:pPr>
              <w:jc w:val="both"/>
              <w:rPr>
                <w:lang w:val="es-AR" w:eastAsia="es-AR"/>
              </w:rPr>
            </w:pPr>
            <w:r w:rsidRPr="0010523F">
              <w:rPr>
                <w:lang w:val="es-AR" w:eastAsia="es-AR"/>
              </w:rPr>
              <w:t>Arrendamiento en US$ hasta 5 años</w:t>
            </w:r>
          </w:p>
        </w:tc>
        <w:tc>
          <w:tcPr>
            <w:tcW w:w="160" w:type="dxa"/>
            <w:tcBorders>
              <w:top w:val="nil"/>
              <w:left w:val="nil"/>
              <w:bottom w:val="nil"/>
              <w:right w:val="nil"/>
            </w:tcBorders>
            <w:shd w:val="clear" w:color="auto" w:fill="auto"/>
          </w:tcPr>
          <w:p w14:paraId="782E984E" w14:textId="77777777" w:rsidR="0010523F" w:rsidRPr="0010523F" w:rsidRDefault="0010523F" w:rsidP="0010523F">
            <w:pPr>
              <w:jc w:val="center"/>
              <w:rPr>
                <w:lang w:val="es-AR" w:eastAsia="es-AR"/>
              </w:rPr>
            </w:pPr>
          </w:p>
        </w:tc>
        <w:tc>
          <w:tcPr>
            <w:tcW w:w="2159" w:type="dxa"/>
            <w:tcBorders>
              <w:top w:val="single" w:sz="4" w:space="0" w:color="auto"/>
              <w:left w:val="nil"/>
              <w:bottom w:val="nil"/>
              <w:right w:val="nil"/>
            </w:tcBorders>
            <w:shd w:val="clear" w:color="auto" w:fill="auto"/>
            <w:noWrap/>
            <w:vAlign w:val="center"/>
            <w:hideMark/>
          </w:tcPr>
          <w:p w14:paraId="2E95D9B4" w14:textId="77777777" w:rsidR="0010523F" w:rsidRPr="0010523F" w:rsidRDefault="0010523F" w:rsidP="0010523F">
            <w:pPr>
              <w:jc w:val="center"/>
              <w:rPr>
                <w:lang w:val="es-AR" w:eastAsia="es-AR"/>
              </w:rPr>
            </w:pPr>
            <w:r w:rsidRPr="0010523F">
              <w:rPr>
                <w:lang w:val="es-AR" w:eastAsia="es-AR"/>
              </w:rPr>
              <w:t>4% a 5%</w:t>
            </w:r>
          </w:p>
        </w:tc>
      </w:tr>
      <w:tr w:rsidR="0010523F" w:rsidRPr="0010523F" w14:paraId="34418C87" w14:textId="77777777" w:rsidTr="00774E7E">
        <w:trPr>
          <w:trHeight w:val="312"/>
        </w:trPr>
        <w:tc>
          <w:tcPr>
            <w:tcW w:w="4835" w:type="dxa"/>
            <w:tcBorders>
              <w:top w:val="nil"/>
              <w:left w:val="nil"/>
              <w:bottom w:val="nil"/>
              <w:right w:val="nil"/>
            </w:tcBorders>
            <w:shd w:val="clear" w:color="auto" w:fill="auto"/>
            <w:noWrap/>
            <w:vAlign w:val="center"/>
            <w:hideMark/>
          </w:tcPr>
          <w:p w14:paraId="7CB8FCBE" w14:textId="77777777" w:rsidR="0010523F" w:rsidRPr="0010523F" w:rsidRDefault="0010523F" w:rsidP="0010523F">
            <w:pPr>
              <w:jc w:val="both"/>
              <w:rPr>
                <w:lang w:val="es-AR" w:eastAsia="es-AR"/>
              </w:rPr>
            </w:pPr>
            <w:r w:rsidRPr="0010523F">
              <w:rPr>
                <w:lang w:val="es-AR" w:eastAsia="es-AR"/>
              </w:rPr>
              <w:t>Arrendamiento en US$ a más de 5 años</w:t>
            </w:r>
          </w:p>
        </w:tc>
        <w:tc>
          <w:tcPr>
            <w:tcW w:w="160" w:type="dxa"/>
            <w:tcBorders>
              <w:top w:val="nil"/>
              <w:left w:val="nil"/>
              <w:bottom w:val="nil"/>
              <w:right w:val="nil"/>
            </w:tcBorders>
            <w:shd w:val="clear" w:color="auto" w:fill="auto"/>
          </w:tcPr>
          <w:p w14:paraId="5FC4F809" w14:textId="77777777" w:rsidR="0010523F" w:rsidRPr="0010523F" w:rsidRDefault="0010523F" w:rsidP="0010523F">
            <w:pPr>
              <w:jc w:val="center"/>
              <w:rPr>
                <w:lang w:val="es-AR" w:eastAsia="es-AR"/>
              </w:rPr>
            </w:pPr>
          </w:p>
        </w:tc>
        <w:tc>
          <w:tcPr>
            <w:tcW w:w="2159" w:type="dxa"/>
            <w:tcBorders>
              <w:top w:val="nil"/>
              <w:left w:val="nil"/>
              <w:bottom w:val="nil"/>
              <w:right w:val="nil"/>
            </w:tcBorders>
            <w:shd w:val="clear" w:color="auto" w:fill="auto"/>
            <w:noWrap/>
            <w:vAlign w:val="center"/>
            <w:hideMark/>
          </w:tcPr>
          <w:p w14:paraId="226C6A95" w14:textId="77777777" w:rsidR="0010523F" w:rsidRPr="0010523F" w:rsidRDefault="0010523F" w:rsidP="0010523F">
            <w:pPr>
              <w:jc w:val="center"/>
              <w:rPr>
                <w:lang w:val="es-AR" w:eastAsia="es-AR"/>
              </w:rPr>
            </w:pPr>
            <w:r w:rsidRPr="0010523F">
              <w:rPr>
                <w:lang w:val="es-AR" w:eastAsia="es-AR"/>
              </w:rPr>
              <w:t>5% a 9%</w:t>
            </w:r>
          </w:p>
        </w:tc>
      </w:tr>
      <w:tr w:rsidR="0010523F" w:rsidRPr="0010523F" w14:paraId="3393D2A2" w14:textId="77777777" w:rsidTr="00774E7E">
        <w:trPr>
          <w:trHeight w:val="312"/>
        </w:trPr>
        <w:tc>
          <w:tcPr>
            <w:tcW w:w="4835" w:type="dxa"/>
            <w:tcBorders>
              <w:top w:val="nil"/>
              <w:left w:val="nil"/>
              <w:bottom w:val="nil"/>
              <w:right w:val="nil"/>
            </w:tcBorders>
            <w:shd w:val="clear" w:color="auto" w:fill="auto"/>
            <w:noWrap/>
            <w:vAlign w:val="center"/>
            <w:hideMark/>
          </w:tcPr>
          <w:p w14:paraId="51B8EBF0" w14:textId="77777777" w:rsidR="0010523F" w:rsidRPr="0010523F" w:rsidRDefault="0010523F" w:rsidP="0010523F">
            <w:pPr>
              <w:jc w:val="both"/>
              <w:rPr>
                <w:lang w:val="es-AR" w:eastAsia="es-AR"/>
              </w:rPr>
            </w:pPr>
            <w:r w:rsidRPr="0010523F">
              <w:rPr>
                <w:lang w:val="es-AR" w:eastAsia="es-AR"/>
              </w:rPr>
              <w:t>Arrendamiento en pesos hasta 5 años</w:t>
            </w:r>
          </w:p>
        </w:tc>
        <w:tc>
          <w:tcPr>
            <w:tcW w:w="160" w:type="dxa"/>
            <w:tcBorders>
              <w:top w:val="nil"/>
              <w:left w:val="nil"/>
              <w:bottom w:val="nil"/>
              <w:right w:val="nil"/>
            </w:tcBorders>
            <w:shd w:val="clear" w:color="auto" w:fill="auto"/>
          </w:tcPr>
          <w:p w14:paraId="3E40284F" w14:textId="77777777" w:rsidR="0010523F" w:rsidRPr="0010523F" w:rsidRDefault="0010523F" w:rsidP="0010523F">
            <w:pPr>
              <w:jc w:val="center"/>
              <w:rPr>
                <w:lang w:val="es-AR" w:eastAsia="es-AR"/>
              </w:rPr>
            </w:pPr>
          </w:p>
        </w:tc>
        <w:tc>
          <w:tcPr>
            <w:tcW w:w="2159" w:type="dxa"/>
            <w:tcBorders>
              <w:top w:val="nil"/>
              <w:left w:val="nil"/>
              <w:bottom w:val="nil"/>
              <w:right w:val="nil"/>
            </w:tcBorders>
            <w:shd w:val="clear" w:color="auto" w:fill="auto"/>
            <w:noWrap/>
            <w:vAlign w:val="center"/>
            <w:hideMark/>
          </w:tcPr>
          <w:p w14:paraId="3E573B89" w14:textId="77777777" w:rsidR="0010523F" w:rsidRPr="0010523F" w:rsidRDefault="0010523F" w:rsidP="0010523F">
            <w:pPr>
              <w:jc w:val="center"/>
              <w:rPr>
                <w:lang w:val="es-AR" w:eastAsia="es-AR"/>
              </w:rPr>
            </w:pPr>
            <w:r w:rsidRPr="0010523F">
              <w:rPr>
                <w:lang w:val="es-AR" w:eastAsia="es-AR"/>
              </w:rPr>
              <w:t>32% a 53%</w:t>
            </w:r>
          </w:p>
        </w:tc>
      </w:tr>
    </w:tbl>
    <w:p w14:paraId="49045EDA" w14:textId="77777777" w:rsidR="0010523F" w:rsidRPr="0010523F" w:rsidRDefault="0010523F" w:rsidP="0010523F">
      <w:pPr>
        <w:jc w:val="both"/>
        <w:rPr>
          <w:lang w:val="es-AR" w:eastAsia="en-US"/>
        </w:rPr>
        <w:sectPr w:rsidR="0010523F" w:rsidRPr="0010523F" w:rsidSect="0071006A">
          <w:headerReference w:type="even" r:id="rId48"/>
          <w:headerReference w:type="default" r:id="rId49"/>
          <w:footerReference w:type="default" r:id="rId50"/>
          <w:headerReference w:type="first" r:id="rId51"/>
          <w:footerReference w:type="first" r:id="rId52"/>
          <w:pgSz w:w="11907" w:h="16840" w:code="9"/>
          <w:pgMar w:top="567" w:right="1134" w:bottom="425" w:left="1134" w:header="567" w:footer="234" w:gutter="0"/>
          <w:paperSrc w:first="7" w:other="7"/>
          <w:cols w:space="720"/>
          <w:titlePg/>
          <w:docGrid w:linePitch="326"/>
        </w:sectPr>
      </w:pPr>
    </w:p>
    <w:p w14:paraId="47B7AE68"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 xml:space="preserve">NOTA 3 - COMPOSICIÓN DE CIERTOS RUBROS DEL ESTADO DE SITUACIÓN FINANCIERA INTERMEDIO CONDENSADO </w:t>
      </w:r>
    </w:p>
    <w:p w14:paraId="6CAAA41F" w14:textId="77777777" w:rsidR="0010523F" w:rsidRPr="0010523F" w:rsidRDefault="0010523F" w:rsidP="0010523F">
      <w:pPr>
        <w:spacing w:line="160" w:lineRule="exact"/>
        <w:ind w:left="1021" w:hanging="1021"/>
        <w:jc w:val="both"/>
        <w:rPr>
          <w:b/>
          <w:lang w:val="es-AR" w:eastAsia="en-US"/>
        </w:rPr>
      </w:pPr>
    </w:p>
    <w:p w14:paraId="69671905" w14:textId="77777777" w:rsidR="0010523F" w:rsidRPr="0010523F" w:rsidRDefault="0010523F" w:rsidP="00E2318E">
      <w:pPr>
        <w:keepNext/>
        <w:widowControl w:val="0"/>
        <w:numPr>
          <w:ilvl w:val="0"/>
          <w:numId w:val="62"/>
        </w:numPr>
        <w:tabs>
          <w:tab w:val="decimal" w:pos="4962"/>
          <w:tab w:val="decimal" w:pos="6379"/>
          <w:tab w:val="decimal" w:pos="7797"/>
          <w:tab w:val="decimal" w:pos="9214"/>
          <w:tab w:val="decimal" w:pos="10490"/>
          <w:tab w:val="decimal" w:pos="12049"/>
          <w:tab w:val="decimal" w:pos="13325"/>
          <w:tab w:val="decimal" w:pos="14601"/>
        </w:tabs>
        <w:spacing w:line="220" w:lineRule="exact"/>
        <w:ind w:right="12"/>
        <w:jc w:val="both"/>
        <w:outlineLvl w:val="3"/>
        <w:rPr>
          <w:szCs w:val="20"/>
          <w:lang w:val="es-AR" w:eastAsia="en-US"/>
        </w:rPr>
      </w:pPr>
      <w:r w:rsidRPr="0010523F">
        <w:rPr>
          <w:szCs w:val="20"/>
          <w:lang w:val="es-AR" w:eastAsia="en-US"/>
        </w:rPr>
        <w:t>Propiedad, planta y equipo</w:t>
      </w:r>
    </w:p>
    <w:p w14:paraId="3337B40D" w14:textId="77777777" w:rsidR="0010523F" w:rsidRPr="0010523F" w:rsidRDefault="0010523F" w:rsidP="0010523F">
      <w:pPr>
        <w:tabs>
          <w:tab w:val="center" w:pos="6120"/>
          <w:tab w:val="center" w:pos="7680"/>
          <w:tab w:val="center" w:pos="9120"/>
        </w:tabs>
        <w:spacing w:line="140" w:lineRule="exact"/>
        <w:jc w:val="both"/>
        <w:rPr>
          <w:sz w:val="20"/>
          <w:szCs w:val="20"/>
          <w:highlight w:val="yellow"/>
          <w:lang w:val="es-AR" w:eastAsia="en-US"/>
        </w:rPr>
      </w:pPr>
    </w:p>
    <w:tbl>
      <w:tblPr>
        <w:tblW w:w="15870" w:type="dxa"/>
        <w:tblInd w:w="212" w:type="dxa"/>
        <w:tblLayout w:type="fixed"/>
        <w:tblCellMar>
          <w:left w:w="70" w:type="dxa"/>
          <w:right w:w="70" w:type="dxa"/>
        </w:tblCellMar>
        <w:tblLook w:val="04A0" w:firstRow="1" w:lastRow="0" w:firstColumn="1" w:lastColumn="0" w:noHBand="0" w:noVBand="1"/>
      </w:tblPr>
      <w:tblGrid>
        <w:gridCol w:w="2268"/>
        <w:gridCol w:w="851"/>
        <w:gridCol w:w="850"/>
        <w:gridCol w:w="851"/>
        <w:gridCol w:w="708"/>
        <w:gridCol w:w="709"/>
        <w:gridCol w:w="709"/>
        <w:gridCol w:w="780"/>
        <w:gridCol w:w="160"/>
        <w:gridCol w:w="964"/>
        <w:gridCol w:w="850"/>
        <w:gridCol w:w="709"/>
        <w:gridCol w:w="709"/>
        <w:gridCol w:w="850"/>
        <w:gridCol w:w="964"/>
        <w:gridCol w:w="20"/>
        <w:gridCol w:w="140"/>
        <w:gridCol w:w="20"/>
        <w:gridCol w:w="887"/>
        <w:gridCol w:w="964"/>
        <w:gridCol w:w="842"/>
        <w:gridCol w:w="65"/>
      </w:tblGrid>
      <w:tr w:rsidR="0010523F" w:rsidRPr="0010523F" w14:paraId="1B70D306" w14:textId="77777777" w:rsidTr="00774E7E">
        <w:trPr>
          <w:gridAfter w:val="1"/>
          <w:wAfter w:w="65" w:type="dxa"/>
          <w:cantSplit/>
          <w:trHeight w:val="90"/>
        </w:trPr>
        <w:tc>
          <w:tcPr>
            <w:tcW w:w="2268" w:type="dxa"/>
            <w:tcBorders>
              <w:top w:val="nil"/>
              <w:left w:val="nil"/>
              <w:bottom w:val="nil"/>
              <w:right w:val="nil"/>
            </w:tcBorders>
            <w:shd w:val="clear" w:color="auto" w:fill="auto"/>
            <w:vAlign w:val="center"/>
            <w:hideMark/>
          </w:tcPr>
          <w:p w14:paraId="7B032B63" w14:textId="77777777" w:rsidR="0010523F" w:rsidRPr="0010523F" w:rsidRDefault="0010523F" w:rsidP="0010523F">
            <w:pPr>
              <w:jc w:val="center"/>
              <w:rPr>
                <w:color w:val="000000"/>
                <w:sz w:val="16"/>
                <w:szCs w:val="16"/>
                <w:lang w:val="es-AR" w:eastAsia="es-AR"/>
              </w:rPr>
            </w:pPr>
          </w:p>
        </w:tc>
        <w:tc>
          <w:tcPr>
            <w:tcW w:w="5458" w:type="dxa"/>
            <w:gridSpan w:val="7"/>
            <w:tcBorders>
              <w:top w:val="nil"/>
              <w:left w:val="nil"/>
              <w:bottom w:val="single" w:sz="4" w:space="0" w:color="auto"/>
              <w:right w:val="nil"/>
            </w:tcBorders>
            <w:shd w:val="clear" w:color="auto" w:fill="auto"/>
            <w:vAlign w:val="center"/>
            <w:hideMark/>
          </w:tcPr>
          <w:p w14:paraId="43A47EE8"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Valores  de  origen</w:t>
            </w:r>
          </w:p>
        </w:tc>
        <w:tc>
          <w:tcPr>
            <w:tcW w:w="160" w:type="dxa"/>
            <w:tcBorders>
              <w:top w:val="nil"/>
              <w:left w:val="nil"/>
              <w:bottom w:val="nil"/>
              <w:right w:val="nil"/>
            </w:tcBorders>
            <w:shd w:val="clear" w:color="auto" w:fill="auto"/>
            <w:vAlign w:val="center"/>
            <w:hideMark/>
          </w:tcPr>
          <w:p w14:paraId="18A5738F" w14:textId="77777777" w:rsidR="0010523F" w:rsidRPr="0010523F" w:rsidRDefault="0010523F" w:rsidP="0010523F">
            <w:pPr>
              <w:rPr>
                <w:color w:val="000000"/>
                <w:sz w:val="16"/>
                <w:szCs w:val="16"/>
                <w:lang w:val="es-AR" w:eastAsia="es-AR"/>
              </w:rPr>
            </w:pPr>
          </w:p>
        </w:tc>
        <w:tc>
          <w:tcPr>
            <w:tcW w:w="5066" w:type="dxa"/>
            <w:gridSpan w:val="7"/>
            <w:tcBorders>
              <w:top w:val="nil"/>
              <w:left w:val="nil"/>
              <w:bottom w:val="single" w:sz="4" w:space="0" w:color="auto"/>
              <w:right w:val="nil"/>
            </w:tcBorders>
            <w:shd w:val="clear" w:color="auto" w:fill="auto"/>
            <w:vAlign w:val="center"/>
            <w:hideMark/>
          </w:tcPr>
          <w:p w14:paraId="1E4EF04B"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Depreciaciones</w:t>
            </w:r>
          </w:p>
        </w:tc>
        <w:tc>
          <w:tcPr>
            <w:tcW w:w="160" w:type="dxa"/>
            <w:gridSpan w:val="2"/>
            <w:tcBorders>
              <w:top w:val="nil"/>
              <w:left w:val="nil"/>
              <w:right w:val="nil"/>
            </w:tcBorders>
            <w:shd w:val="clear" w:color="auto" w:fill="auto"/>
            <w:vAlign w:val="center"/>
            <w:hideMark/>
          </w:tcPr>
          <w:p w14:paraId="556541B0" w14:textId="77777777" w:rsidR="0010523F" w:rsidRPr="0010523F" w:rsidRDefault="0010523F" w:rsidP="0010523F">
            <w:pPr>
              <w:rPr>
                <w:color w:val="000000"/>
                <w:sz w:val="16"/>
                <w:szCs w:val="16"/>
                <w:lang w:val="es-AR" w:eastAsia="es-AR"/>
              </w:rPr>
            </w:pPr>
          </w:p>
        </w:tc>
        <w:tc>
          <w:tcPr>
            <w:tcW w:w="2693" w:type="dxa"/>
            <w:gridSpan w:val="3"/>
            <w:tcBorders>
              <w:top w:val="nil"/>
              <w:left w:val="nil"/>
              <w:bottom w:val="single" w:sz="4" w:space="0" w:color="auto"/>
              <w:right w:val="nil"/>
            </w:tcBorders>
            <w:shd w:val="clear" w:color="auto" w:fill="auto"/>
            <w:vAlign w:val="bottom"/>
            <w:hideMark/>
          </w:tcPr>
          <w:p w14:paraId="2895F1FA"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Neto resultante</w:t>
            </w:r>
          </w:p>
        </w:tc>
      </w:tr>
      <w:tr w:rsidR="0010523F" w:rsidRPr="0010523F" w14:paraId="2DA50B2F" w14:textId="77777777" w:rsidTr="00774E7E">
        <w:trPr>
          <w:trHeight w:val="750"/>
        </w:trPr>
        <w:tc>
          <w:tcPr>
            <w:tcW w:w="2268" w:type="dxa"/>
            <w:tcBorders>
              <w:top w:val="nil"/>
              <w:left w:val="nil"/>
              <w:bottom w:val="nil"/>
              <w:right w:val="nil"/>
            </w:tcBorders>
            <w:shd w:val="clear" w:color="auto" w:fill="auto"/>
            <w:vAlign w:val="center"/>
            <w:hideMark/>
          </w:tcPr>
          <w:p w14:paraId="525C406E" w14:textId="77777777" w:rsidR="0010523F" w:rsidRPr="0010523F" w:rsidRDefault="0010523F" w:rsidP="0010523F">
            <w:pPr>
              <w:jc w:val="center"/>
              <w:rPr>
                <w:color w:val="000000"/>
                <w:sz w:val="16"/>
                <w:szCs w:val="16"/>
                <w:highlight w:val="yellow"/>
                <w:lang w:val="es-AR" w:eastAsia="es-AR"/>
              </w:rPr>
            </w:pPr>
          </w:p>
        </w:tc>
        <w:tc>
          <w:tcPr>
            <w:tcW w:w="851" w:type="dxa"/>
            <w:tcBorders>
              <w:top w:val="nil"/>
              <w:left w:val="nil"/>
              <w:bottom w:val="single" w:sz="4" w:space="0" w:color="auto"/>
              <w:right w:val="nil"/>
            </w:tcBorders>
            <w:shd w:val="clear" w:color="auto" w:fill="auto"/>
            <w:vAlign w:val="center"/>
            <w:hideMark/>
          </w:tcPr>
          <w:p w14:paraId="38209F18"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Valor al comienzo del ejercicio</w:t>
            </w:r>
          </w:p>
        </w:tc>
        <w:tc>
          <w:tcPr>
            <w:tcW w:w="850" w:type="dxa"/>
            <w:tcBorders>
              <w:top w:val="nil"/>
              <w:left w:val="nil"/>
              <w:bottom w:val="single" w:sz="4" w:space="0" w:color="auto"/>
              <w:right w:val="nil"/>
            </w:tcBorders>
            <w:shd w:val="clear" w:color="auto" w:fill="auto"/>
            <w:vAlign w:val="center"/>
            <w:hideMark/>
          </w:tcPr>
          <w:p w14:paraId="56841B1B"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Transfe-rencia fondo de comercio</w:t>
            </w:r>
          </w:p>
        </w:tc>
        <w:tc>
          <w:tcPr>
            <w:tcW w:w="851" w:type="dxa"/>
            <w:tcBorders>
              <w:top w:val="nil"/>
              <w:left w:val="nil"/>
              <w:bottom w:val="single" w:sz="4" w:space="0" w:color="auto"/>
              <w:right w:val="nil"/>
            </w:tcBorders>
            <w:shd w:val="clear" w:color="auto" w:fill="auto"/>
            <w:vAlign w:val="center"/>
            <w:hideMark/>
          </w:tcPr>
          <w:p w14:paraId="2510CE46"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Aumentos del período/</w:t>
            </w:r>
          </w:p>
          <w:p w14:paraId="10C629C0"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708" w:type="dxa"/>
            <w:tcBorders>
              <w:top w:val="nil"/>
              <w:left w:val="nil"/>
              <w:bottom w:val="single" w:sz="4" w:space="0" w:color="auto"/>
              <w:right w:val="nil"/>
            </w:tcBorders>
            <w:shd w:val="clear" w:color="auto" w:fill="auto"/>
            <w:vAlign w:val="center"/>
            <w:hideMark/>
          </w:tcPr>
          <w:p w14:paraId="1D3C67D2"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Transfe-rencias del período/</w:t>
            </w:r>
          </w:p>
          <w:p w14:paraId="31679831"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709" w:type="dxa"/>
            <w:tcBorders>
              <w:top w:val="nil"/>
              <w:left w:val="nil"/>
              <w:bottom w:val="single" w:sz="4" w:space="0" w:color="auto"/>
              <w:right w:val="nil"/>
            </w:tcBorders>
            <w:shd w:val="clear" w:color="auto" w:fill="auto"/>
            <w:vAlign w:val="center"/>
            <w:hideMark/>
          </w:tcPr>
          <w:p w14:paraId="6E464C6A"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Dismi-nuciones del período/</w:t>
            </w:r>
          </w:p>
          <w:p w14:paraId="19EE7CB1"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709" w:type="dxa"/>
            <w:tcBorders>
              <w:top w:val="nil"/>
              <w:left w:val="nil"/>
              <w:bottom w:val="single" w:sz="4" w:space="0" w:color="auto"/>
              <w:right w:val="nil"/>
            </w:tcBorders>
            <w:shd w:val="clear" w:color="auto" w:fill="auto"/>
            <w:vAlign w:val="center"/>
            <w:hideMark/>
          </w:tcPr>
          <w:p w14:paraId="6D324147"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Efecto de conver-</w:t>
            </w:r>
          </w:p>
          <w:p w14:paraId="3BFF3CBA"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sión</w:t>
            </w:r>
          </w:p>
        </w:tc>
        <w:tc>
          <w:tcPr>
            <w:tcW w:w="780" w:type="dxa"/>
            <w:tcBorders>
              <w:top w:val="nil"/>
              <w:left w:val="nil"/>
              <w:bottom w:val="single" w:sz="4" w:space="0" w:color="auto"/>
              <w:right w:val="nil"/>
            </w:tcBorders>
            <w:shd w:val="clear" w:color="auto" w:fill="auto"/>
            <w:vAlign w:val="center"/>
            <w:hideMark/>
          </w:tcPr>
          <w:p w14:paraId="49C96FD4"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Valor al cierre del período/ ejercicio</w:t>
            </w:r>
          </w:p>
        </w:tc>
        <w:tc>
          <w:tcPr>
            <w:tcW w:w="160" w:type="dxa"/>
            <w:tcBorders>
              <w:top w:val="nil"/>
              <w:left w:val="nil"/>
              <w:right w:val="nil"/>
            </w:tcBorders>
            <w:shd w:val="clear" w:color="auto" w:fill="auto"/>
            <w:vAlign w:val="center"/>
            <w:hideMark/>
          </w:tcPr>
          <w:p w14:paraId="4FD40410" w14:textId="77777777" w:rsidR="0010523F" w:rsidRPr="0010523F" w:rsidRDefault="0010523F" w:rsidP="0010523F">
            <w:pPr>
              <w:jc w:val="center"/>
              <w:rPr>
                <w:color w:val="000000"/>
                <w:sz w:val="16"/>
                <w:szCs w:val="16"/>
                <w:lang w:val="es-AR" w:eastAsia="es-AR"/>
              </w:rPr>
            </w:pPr>
          </w:p>
        </w:tc>
        <w:tc>
          <w:tcPr>
            <w:tcW w:w="964" w:type="dxa"/>
            <w:tcBorders>
              <w:top w:val="nil"/>
              <w:left w:val="nil"/>
              <w:bottom w:val="single" w:sz="4" w:space="0" w:color="auto"/>
              <w:right w:val="nil"/>
            </w:tcBorders>
            <w:shd w:val="clear" w:color="auto" w:fill="auto"/>
            <w:vAlign w:val="center"/>
            <w:hideMark/>
          </w:tcPr>
          <w:p w14:paraId="13ACB0CF"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Acumuladas al comienzo del ejercicio</w:t>
            </w:r>
          </w:p>
        </w:tc>
        <w:tc>
          <w:tcPr>
            <w:tcW w:w="850" w:type="dxa"/>
            <w:tcBorders>
              <w:top w:val="nil"/>
              <w:left w:val="nil"/>
              <w:bottom w:val="single" w:sz="4" w:space="0" w:color="auto"/>
              <w:right w:val="nil"/>
            </w:tcBorders>
            <w:shd w:val="clear" w:color="auto" w:fill="auto"/>
            <w:vAlign w:val="center"/>
            <w:hideMark/>
          </w:tcPr>
          <w:p w14:paraId="6307A441"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 xml:space="preserve">Transfe-rencia fondo de comercio </w:t>
            </w:r>
          </w:p>
        </w:tc>
        <w:tc>
          <w:tcPr>
            <w:tcW w:w="709" w:type="dxa"/>
            <w:tcBorders>
              <w:top w:val="nil"/>
              <w:left w:val="nil"/>
              <w:bottom w:val="single" w:sz="4" w:space="0" w:color="auto"/>
              <w:right w:val="nil"/>
            </w:tcBorders>
            <w:shd w:val="clear" w:color="auto" w:fill="auto"/>
            <w:vAlign w:val="center"/>
            <w:hideMark/>
          </w:tcPr>
          <w:p w14:paraId="37352E27"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Del período/</w:t>
            </w:r>
          </w:p>
          <w:p w14:paraId="0E384E29"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709" w:type="dxa"/>
            <w:tcBorders>
              <w:top w:val="nil"/>
              <w:left w:val="nil"/>
              <w:bottom w:val="single" w:sz="4" w:space="0" w:color="auto"/>
              <w:right w:val="nil"/>
            </w:tcBorders>
            <w:shd w:val="clear" w:color="auto" w:fill="auto"/>
            <w:vAlign w:val="center"/>
            <w:hideMark/>
          </w:tcPr>
          <w:p w14:paraId="211B3305"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Dismi-nuciones del período/</w:t>
            </w:r>
          </w:p>
          <w:p w14:paraId="2B80FC2B"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850" w:type="dxa"/>
            <w:tcBorders>
              <w:top w:val="nil"/>
              <w:left w:val="nil"/>
              <w:bottom w:val="single" w:sz="4" w:space="0" w:color="auto"/>
              <w:right w:val="nil"/>
            </w:tcBorders>
            <w:shd w:val="clear" w:color="auto" w:fill="auto"/>
            <w:vAlign w:val="center"/>
            <w:hideMark/>
          </w:tcPr>
          <w:p w14:paraId="0E56BDB0"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Efecto de conver-</w:t>
            </w:r>
          </w:p>
          <w:p w14:paraId="30B7C807"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sión</w:t>
            </w:r>
          </w:p>
        </w:tc>
        <w:tc>
          <w:tcPr>
            <w:tcW w:w="964" w:type="dxa"/>
            <w:tcBorders>
              <w:top w:val="nil"/>
              <w:left w:val="nil"/>
              <w:bottom w:val="single" w:sz="4" w:space="0" w:color="auto"/>
              <w:right w:val="nil"/>
            </w:tcBorders>
            <w:shd w:val="clear" w:color="auto" w:fill="auto"/>
            <w:vAlign w:val="center"/>
            <w:hideMark/>
          </w:tcPr>
          <w:p w14:paraId="15818C23"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Acumuladas al cierre del período/</w:t>
            </w:r>
          </w:p>
          <w:p w14:paraId="25E9DB28"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160" w:type="dxa"/>
            <w:gridSpan w:val="2"/>
            <w:tcBorders>
              <w:top w:val="nil"/>
              <w:left w:val="nil"/>
              <w:right w:val="nil"/>
            </w:tcBorders>
            <w:shd w:val="clear" w:color="auto" w:fill="auto"/>
            <w:vAlign w:val="center"/>
            <w:hideMark/>
          </w:tcPr>
          <w:p w14:paraId="1789491A" w14:textId="77777777" w:rsidR="0010523F" w:rsidRPr="0010523F" w:rsidRDefault="0010523F" w:rsidP="0010523F">
            <w:pPr>
              <w:jc w:val="center"/>
              <w:rPr>
                <w:color w:val="000000"/>
                <w:sz w:val="16"/>
                <w:szCs w:val="16"/>
                <w:lang w:val="es-AR" w:eastAsia="es-AR"/>
              </w:rPr>
            </w:pPr>
          </w:p>
        </w:tc>
        <w:tc>
          <w:tcPr>
            <w:tcW w:w="907" w:type="dxa"/>
            <w:gridSpan w:val="2"/>
            <w:tcBorders>
              <w:top w:val="nil"/>
              <w:left w:val="nil"/>
              <w:bottom w:val="single" w:sz="4" w:space="0" w:color="auto"/>
              <w:right w:val="nil"/>
            </w:tcBorders>
            <w:shd w:val="clear" w:color="auto" w:fill="auto"/>
            <w:vAlign w:val="center"/>
            <w:hideMark/>
          </w:tcPr>
          <w:p w14:paraId="08C62D6F"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30/09/2019</w:t>
            </w:r>
          </w:p>
        </w:tc>
        <w:tc>
          <w:tcPr>
            <w:tcW w:w="964" w:type="dxa"/>
            <w:tcBorders>
              <w:top w:val="nil"/>
              <w:left w:val="nil"/>
              <w:bottom w:val="single" w:sz="4" w:space="0" w:color="auto"/>
              <w:right w:val="nil"/>
            </w:tcBorders>
            <w:shd w:val="clear" w:color="auto" w:fill="auto"/>
            <w:vAlign w:val="center"/>
            <w:hideMark/>
          </w:tcPr>
          <w:p w14:paraId="35C9BDA3"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31/12/2018</w:t>
            </w:r>
          </w:p>
        </w:tc>
        <w:tc>
          <w:tcPr>
            <w:tcW w:w="907" w:type="dxa"/>
            <w:gridSpan w:val="2"/>
            <w:tcBorders>
              <w:top w:val="nil"/>
              <w:left w:val="nil"/>
              <w:bottom w:val="single" w:sz="4" w:space="0" w:color="auto"/>
              <w:right w:val="nil"/>
            </w:tcBorders>
            <w:vAlign w:val="center"/>
          </w:tcPr>
          <w:p w14:paraId="177CE68A"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30/09/2018</w:t>
            </w:r>
          </w:p>
        </w:tc>
      </w:tr>
      <w:tr w:rsidR="0010523F" w:rsidRPr="0010523F" w14:paraId="360C07FE" w14:textId="77777777" w:rsidTr="00774E7E">
        <w:trPr>
          <w:trHeight w:val="240"/>
        </w:trPr>
        <w:tc>
          <w:tcPr>
            <w:tcW w:w="2268" w:type="dxa"/>
            <w:tcBorders>
              <w:top w:val="nil"/>
              <w:left w:val="nil"/>
              <w:bottom w:val="nil"/>
              <w:right w:val="nil"/>
            </w:tcBorders>
            <w:shd w:val="clear" w:color="auto" w:fill="auto"/>
            <w:vAlign w:val="center"/>
            <w:hideMark/>
          </w:tcPr>
          <w:p w14:paraId="2FAAD5C1" w14:textId="77777777" w:rsidR="0010523F" w:rsidRPr="0010523F" w:rsidRDefault="0010523F" w:rsidP="0010523F">
            <w:pPr>
              <w:jc w:val="both"/>
              <w:rPr>
                <w:color w:val="000000"/>
                <w:sz w:val="16"/>
                <w:szCs w:val="16"/>
                <w:u w:val="single"/>
                <w:lang w:val="es-AR" w:eastAsia="es-AR"/>
              </w:rPr>
            </w:pPr>
            <w:r w:rsidRPr="0010523F">
              <w:rPr>
                <w:color w:val="000000"/>
                <w:sz w:val="16"/>
                <w:szCs w:val="16"/>
                <w:u w:val="single"/>
                <w:lang w:val="es-AR" w:eastAsia="es-AR"/>
              </w:rPr>
              <w:t xml:space="preserve">Cuenta principal </w:t>
            </w:r>
          </w:p>
        </w:tc>
        <w:tc>
          <w:tcPr>
            <w:tcW w:w="851" w:type="dxa"/>
            <w:tcBorders>
              <w:top w:val="single" w:sz="4" w:space="0" w:color="auto"/>
              <w:left w:val="nil"/>
              <w:bottom w:val="nil"/>
              <w:right w:val="nil"/>
            </w:tcBorders>
            <w:shd w:val="clear" w:color="auto" w:fill="auto"/>
            <w:vAlign w:val="center"/>
            <w:hideMark/>
          </w:tcPr>
          <w:p w14:paraId="47D7121F" w14:textId="77777777" w:rsidR="0010523F" w:rsidRPr="0010523F" w:rsidRDefault="0010523F" w:rsidP="0010523F">
            <w:pPr>
              <w:jc w:val="center"/>
              <w:rPr>
                <w:color w:val="000000"/>
                <w:sz w:val="16"/>
                <w:szCs w:val="16"/>
                <w:highlight w:val="yellow"/>
                <w:u w:val="single"/>
                <w:lang w:val="es-AR" w:eastAsia="es-AR"/>
              </w:rPr>
            </w:pPr>
          </w:p>
        </w:tc>
        <w:tc>
          <w:tcPr>
            <w:tcW w:w="850" w:type="dxa"/>
            <w:tcBorders>
              <w:top w:val="single" w:sz="4" w:space="0" w:color="auto"/>
              <w:left w:val="nil"/>
              <w:bottom w:val="nil"/>
              <w:right w:val="nil"/>
            </w:tcBorders>
            <w:shd w:val="clear" w:color="auto" w:fill="auto"/>
            <w:noWrap/>
            <w:vAlign w:val="bottom"/>
            <w:hideMark/>
          </w:tcPr>
          <w:p w14:paraId="20DF1444" w14:textId="77777777" w:rsidR="0010523F" w:rsidRPr="0010523F" w:rsidRDefault="0010523F" w:rsidP="0010523F">
            <w:pPr>
              <w:rPr>
                <w:rFonts w:ascii="Calibri" w:hAnsi="Calibri"/>
                <w:color w:val="000000"/>
                <w:sz w:val="16"/>
                <w:szCs w:val="16"/>
                <w:highlight w:val="yellow"/>
                <w:lang w:val="es-AR" w:eastAsia="es-AR"/>
              </w:rPr>
            </w:pPr>
          </w:p>
        </w:tc>
        <w:tc>
          <w:tcPr>
            <w:tcW w:w="851" w:type="dxa"/>
            <w:tcBorders>
              <w:top w:val="single" w:sz="4" w:space="0" w:color="auto"/>
              <w:left w:val="nil"/>
              <w:bottom w:val="nil"/>
              <w:right w:val="nil"/>
            </w:tcBorders>
            <w:shd w:val="clear" w:color="auto" w:fill="auto"/>
            <w:vAlign w:val="center"/>
            <w:hideMark/>
          </w:tcPr>
          <w:p w14:paraId="291948D9" w14:textId="77777777" w:rsidR="0010523F" w:rsidRPr="0010523F" w:rsidRDefault="0010523F" w:rsidP="0010523F">
            <w:pPr>
              <w:rPr>
                <w:color w:val="000000"/>
                <w:sz w:val="16"/>
                <w:szCs w:val="16"/>
                <w:highlight w:val="yellow"/>
                <w:u w:val="single"/>
                <w:lang w:val="es-AR" w:eastAsia="es-AR"/>
              </w:rPr>
            </w:pPr>
          </w:p>
        </w:tc>
        <w:tc>
          <w:tcPr>
            <w:tcW w:w="708" w:type="dxa"/>
            <w:tcBorders>
              <w:top w:val="single" w:sz="4" w:space="0" w:color="auto"/>
              <w:left w:val="nil"/>
              <w:bottom w:val="nil"/>
              <w:right w:val="nil"/>
            </w:tcBorders>
            <w:shd w:val="clear" w:color="auto" w:fill="auto"/>
            <w:vAlign w:val="center"/>
            <w:hideMark/>
          </w:tcPr>
          <w:p w14:paraId="4A0C85FF" w14:textId="77777777" w:rsidR="0010523F" w:rsidRPr="0010523F" w:rsidRDefault="0010523F" w:rsidP="0010523F">
            <w:pPr>
              <w:jc w:val="center"/>
              <w:rPr>
                <w:color w:val="000000"/>
                <w:sz w:val="16"/>
                <w:szCs w:val="16"/>
                <w:highlight w:val="yellow"/>
                <w:u w:val="single"/>
                <w:lang w:val="es-AR" w:eastAsia="es-AR"/>
              </w:rPr>
            </w:pPr>
          </w:p>
        </w:tc>
        <w:tc>
          <w:tcPr>
            <w:tcW w:w="709" w:type="dxa"/>
            <w:tcBorders>
              <w:top w:val="single" w:sz="4" w:space="0" w:color="auto"/>
              <w:left w:val="nil"/>
              <w:bottom w:val="nil"/>
              <w:right w:val="nil"/>
            </w:tcBorders>
            <w:shd w:val="clear" w:color="auto" w:fill="auto"/>
            <w:vAlign w:val="center"/>
            <w:hideMark/>
          </w:tcPr>
          <w:p w14:paraId="5D7D6752" w14:textId="77777777" w:rsidR="0010523F" w:rsidRPr="0010523F" w:rsidRDefault="0010523F" w:rsidP="0010523F">
            <w:pPr>
              <w:jc w:val="center"/>
              <w:rPr>
                <w:color w:val="000000"/>
                <w:sz w:val="16"/>
                <w:szCs w:val="16"/>
                <w:u w:val="single"/>
                <w:lang w:val="es-AR" w:eastAsia="es-AR"/>
              </w:rPr>
            </w:pPr>
          </w:p>
        </w:tc>
        <w:tc>
          <w:tcPr>
            <w:tcW w:w="709" w:type="dxa"/>
            <w:tcBorders>
              <w:top w:val="single" w:sz="4" w:space="0" w:color="auto"/>
              <w:left w:val="nil"/>
              <w:bottom w:val="nil"/>
              <w:right w:val="nil"/>
            </w:tcBorders>
            <w:shd w:val="clear" w:color="auto" w:fill="auto"/>
            <w:vAlign w:val="bottom"/>
            <w:hideMark/>
          </w:tcPr>
          <w:p w14:paraId="2EF18CE8" w14:textId="77777777" w:rsidR="0010523F" w:rsidRPr="0010523F" w:rsidRDefault="0010523F" w:rsidP="0010523F">
            <w:pPr>
              <w:rPr>
                <w:rFonts w:ascii="Calibri" w:hAnsi="Calibri"/>
                <w:color w:val="000000"/>
                <w:sz w:val="16"/>
                <w:szCs w:val="16"/>
                <w:highlight w:val="yellow"/>
                <w:lang w:val="es-AR" w:eastAsia="es-AR"/>
              </w:rPr>
            </w:pPr>
          </w:p>
        </w:tc>
        <w:tc>
          <w:tcPr>
            <w:tcW w:w="780" w:type="dxa"/>
            <w:tcBorders>
              <w:top w:val="single" w:sz="4" w:space="0" w:color="auto"/>
              <w:left w:val="nil"/>
              <w:bottom w:val="nil"/>
              <w:right w:val="nil"/>
            </w:tcBorders>
            <w:shd w:val="clear" w:color="auto" w:fill="auto"/>
            <w:vAlign w:val="center"/>
            <w:hideMark/>
          </w:tcPr>
          <w:p w14:paraId="03B76B23" w14:textId="77777777" w:rsidR="0010523F" w:rsidRPr="0010523F" w:rsidRDefault="0010523F" w:rsidP="0010523F">
            <w:pPr>
              <w:rPr>
                <w:color w:val="000000"/>
                <w:sz w:val="16"/>
                <w:szCs w:val="16"/>
                <w:highlight w:val="yellow"/>
                <w:u w:val="single"/>
                <w:lang w:val="es-AR" w:eastAsia="es-AR"/>
              </w:rPr>
            </w:pPr>
          </w:p>
        </w:tc>
        <w:tc>
          <w:tcPr>
            <w:tcW w:w="160" w:type="dxa"/>
            <w:tcBorders>
              <w:left w:val="nil"/>
              <w:bottom w:val="nil"/>
              <w:right w:val="nil"/>
            </w:tcBorders>
            <w:shd w:val="clear" w:color="auto" w:fill="auto"/>
            <w:vAlign w:val="center"/>
            <w:hideMark/>
          </w:tcPr>
          <w:p w14:paraId="2E95E2CD" w14:textId="77777777" w:rsidR="0010523F" w:rsidRPr="0010523F" w:rsidRDefault="0010523F" w:rsidP="0010523F">
            <w:pPr>
              <w:rPr>
                <w:color w:val="000000"/>
                <w:sz w:val="16"/>
                <w:szCs w:val="16"/>
                <w:highlight w:val="yellow"/>
                <w:u w:val="single"/>
                <w:lang w:val="es-AR" w:eastAsia="es-AR"/>
              </w:rPr>
            </w:pPr>
          </w:p>
        </w:tc>
        <w:tc>
          <w:tcPr>
            <w:tcW w:w="964" w:type="dxa"/>
            <w:tcBorders>
              <w:top w:val="single" w:sz="4" w:space="0" w:color="auto"/>
              <w:left w:val="nil"/>
              <w:bottom w:val="nil"/>
              <w:right w:val="nil"/>
            </w:tcBorders>
            <w:shd w:val="clear" w:color="auto" w:fill="auto"/>
            <w:vAlign w:val="center"/>
            <w:hideMark/>
          </w:tcPr>
          <w:p w14:paraId="472A9815" w14:textId="77777777" w:rsidR="0010523F" w:rsidRPr="0010523F" w:rsidRDefault="0010523F" w:rsidP="0010523F">
            <w:pPr>
              <w:rPr>
                <w:color w:val="000000"/>
                <w:sz w:val="16"/>
                <w:szCs w:val="16"/>
                <w:highlight w:val="yellow"/>
                <w:u w:val="single"/>
                <w:lang w:val="es-AR" w:eastAsia="es-AR"/>
              </w:rPr>
            </w:pPr>
          </w:p>
        </w:tc>
        <w:tc>
          <w:tcPr>
            <w:tcW w:w="850" w:type="dxa"/>
            <w:tcBorders>
              <w:top w:val="single" w:sz="4" w:space="0" w:color="auto"/>
              <w:left w:val="nil"/>
              <w:bottom w:val="nil"/>
              <w:right w:val="nil"/>
            </w:tcBorders>
            <w:shd w:val="clear" w:color="auto" w:fill="auto"/>
            <w:vAlign w:val="center"/>
            <w:hideMark/>
          </w:tcPr>
          <w:p w14:paraId="48192DA7" w14:textId="77777777" w:rsidR="0010523F" w:rsidRPr="0010523F" w:rsidRDefault="0010523F" w:rsidP="0010523F">
            <w:pPr>
              <w:rPr>
                <w:color w:val="000000"/>
                <w:sz w:val="16"/>
                <w:szCs w:val="16"/>
                <w:highlight w:val="yellow"/>
                <w:lang w:val="es-AR" w:eastAsia="es-AR"/>
              </w:rPr>
            </w:pPr>
          </w:p>
        </w:tc>
        <w:tc>
          <w:tcPr>
            <w:tcW w:w="709" w:type="dxa"/>
            <w:tcBorders>
              <w:top w:val="single" w:sz="4" w:space="0" w:color="auto"/>
              <w:left w:val="nil"/>
              <w:bottom w:val="nil"/>
              <w:right w:val="nil"/>
            </w:tcBorders>
            <w:shd w:val="clear" w:color="auto" w:fill="auto"/>
            <w:vAlign w:val="bottom"/>
            <w:hideMark/>
          </w:tcPr>
          <w:p w14:paraId="08F93936" w14:textId="77777777" w:rsidR="0010523F" w:rsidRPr="0010523F" w:rsidRDefault="0010523F" w:rsidP="0010523F">
            <w:pPr>
              <w:rPr>
                <w:rFonts w:ascii="Calibri" w:hAnsi="Calibri"/>
                <w:color w:val="000000"/>
                <w:sz w:val="16"/>
                <w:szCs w:val="16"/>
                <w:highlight w:val="yellow"/>
                <w:lang w:val="es-AR" w:eastAsia="es-AR"/>
              </w:rPr>
            </w:pPr>
          </w:p>
        </w:tc>
        <w:tc>
          <w:tcPr>
            <w:tcW w:w="709" w:type="dxa"/>
            <w:tcBorders>
              <w:top w:val="single" w:sz="4" w:space="0" w:color="auto"/>
              <w:left w:val="nil"/>
              <w:bottom w:val="nil"/>
              <w:right w:val="nil"/>
            </w:tcBorders>
            <w:shd w:val="clear" w:color="auto" w:fill="auto"/>
            <w:vAlign w:val="center"/>
            <w:hideMark/>
          </w:tcPr>
          <w:p w14:paraId="5C14826A" w14:textId="77777777" w:rsidR="0010523F" w:rsidRPr="0010523F" w:rsidRDefault="0010523F" w:rsidP="0010523F">
            <w:pPr>
              <w:rPr>
                <w:color w:val="000000"/>
                <w:sz w:val="16"/>
                <w:szCs w:val="16"/>
                <w:highlight w:val="yellow"/>
                <w:u w:val="single"/>
                <w:lang w:val="es-AR" w:eastAsia="es-AR"/>
              </w:rPr>
            </w:pPr>
          </w:p>
        </w:tc>
        <w:tc>
          <w:tcPr>
            <w:tcW w:w="850" w:type="dxa"/>
            <w:tcBorders>
              <w:top w:val="single" w:sz="4" w:space="0" w:color="auto"/>
              <w:left w:val="nil"/>
              <w:bottom w:val="nil"/>
              <w:right w:val="nil"/>
            </w:tcBorders>
            <w:shd w:val="clear" w:color="auto" w:fill="auto"/>
            <w:vAlign w:val="center"/>
            <w:hideMark/>
          </w:tcPr>
          <w:p w14:paraId="19DC0662" w14:textId="77777777" w:rsidR="0010523F" w:rsidRPr="0010523F" w:rsidRDefault="0010523F" w:rsidP="0010523F">
            <w:pPr>
              <w:rPr>
                <w:color w:val="000000"/>
                <w:sz w:val="16"/>
                <w:szCs w:val="16"/>
                <w:highlight w:val="yellow"/>
                <w:lang w:val="es-AR" w:eastAsia="es-AR"/>
              </w:rPr>
            </w:pPr>
          </w:p>
        </w:tc>
        <w:tc>
          <w:tcPr>
            <w:tcW w:w="964" w:type="dxa"/>
            <w:tcBorders>
              <w:top w:val="single" w:sz="4" w:space="0" w:color="auto"/>
              <w:left w:val="nil"/>
              <w:bottom w:val="nil"/>
              <w:right w:val="nil"/>
            </w:tcBorders>
            <w:shd w:val="clear" w:color="auto" w:fill="auto"/>
            <w:vAlign w:val="center"/>
            <w:hideMark/>
          </w:tcPr>
          <w:p w14:paraId="28EDAA54" w14:textId="77777777" w:rsidR="0010523F" w:rsidRPr="0010523F" w:rsidRDefault="0010523F" w:rsidP="0010523F">
            <w:pPr>
              <w:rPr>
                <w:color w:val="000000"/>
                <w:sz w:val="16"/>
                <w:szCs w:val="16"/>
                <w:highlight w:val="yellow"/>
                <w:u w:val="single"/>
                <w:lang w:val="es-AR" w:eastAsia="es-AR"/>
              </w:rPr>
            </w:pPr>
          </w:p>
        </w:tc>
        <w:tc>
          <w:tcPr>
            <w:tcW w:w="160" w:type="dxa"/>
            <w:gridSpan w:val="2"/>
            <w:tcBorders>
              <w:left w:val="nil"/>
              <w:bottom w:val="nil"/>
              <w:right w:val="nil"/>
            </w:tcBorders>
            <w:shd w:val="clear" w:color="auto" w:fill="auto"/>
            <w:vAlign w:val="center"/>
            <w:hideMark/>
          </w:tcPr>
          <w:p w14:paraId="40AC325B" w14:textId="77777777" w:rsidR="0010523F" w:rsidRPr="0010523F" w:rsidRDefault="0010523F" w:rsidP="0010523F">
            <w:pPr>
              <w:rPr>
                <w:color w:val="000000"/>
                <w:sz w:val="16"/>
                <w:szCs w:val="16"/>
                <w:highlight w:val="yellow"/>
                <w:u w:val="single"/>
                <w:lang w:val="es-AR" w:eastAsia="es-AR"/>
              </w:rPr>
            </w:pPr>
          </w:p>
        </w:tc>
        <w:tc>
          <w:tcPr>
            <w:tcW w:w="907" w:type="dxa"/>
            <w:gridSpan w:val="2"/>
            <w:tcBorders>
              <w:top w:val="single" w:sz="4" w:space="0" w:color="auto"/>
              <w:left w:val="nil"/>
              <w:bottom w:val="nil"/>
              <w:right w:val="nil"/>
            </w:tcBorders>
            <w:shd w:val="clear" w:color="auto" w:fill="auto"/>
            <w:vAlign w:val="center"/>
            <w:hideMark/>
          </w:tcPr>
          <w:p w14:paraId="29149EBB" w14:textId="77777777" w:rsidR="0010523F" w:rsidRPr="0010523F" w:rsidRDefault="0010523F" w:rsidP="0010523F">
            <w:pPr>
              <w:jc w:val="center"/>
              <w:rPr>
                <w:color w:val="000000"/>
                <w:sz w:val="16"/>
                <w:szCs w:val="16"/>
                <w:highlight w:val="yellow"/>
                <w:u w:val="single"/>
                <w:lang w:val="es-AR" w:eastAsia="es-AR"/>
              </w:rPr>
            </w:pPr>
          </w:p>
        </w:tc>
        <w:tc>
          <w:tcPr>
            <w:tcW w:w="964" w:type="dxa"/>
            <w:tcBorders>
              <w:top w:val="single" w:sz="4" w:space="0" w:color="auto"/>
              <w:left w:val="nil"/>
              <w:bottom w:val="nil"/>
              <w:right w:val="nil"/>
            </w:tcBorders>
            <w:shd w:val="clear" w:color="auto" w:fill="auto"/>
            <w:vAlign w:val="center"/>
            <w:hideMark/>
          </w:tcPr>
          <w:p w14:paraId="171A4553" w14:textId="77777777" w:rsidR="0010523F" w:rsidRPr="0010523F" w:rsidRDefault="0010523F" w:rsidP="0010523F">
            <w:pPr>
              <w:rPr>
                <w:color w:val="000000"/>
                <w:sz w:val="16"/>
                <w:szCs w:val="16"/>
                <w:highlight w:val="yellow"/>
                <w:u w:val="single"/>
                <w:lang w:val="es-AR" w:eastAsia="es-AR"/>
              </w:rPr>
            </w:pPr>
          </w:p>
        </w:tc>
        <w:tc>
          <w:tcPr>
            <w:tcW w:w="907" w:type="dxa"/>
            <w:gridSpan w:val="2"/>
            <w:tcBorders>
              <w:top w:val="single" w:sz="4" w:space="0" w:color="auto"/>
              <w:left w:val="nil"/>
              <w:bottom w:val="nil"/>
              <w:right w:val="nil"/>
            </w:tcBorders>
          </w:tcPr>
          <w:p w14:paraId="65E24F60" w14:textId="77777777" w:rsidR="0010523F" w:rsidRPr="0010523F" w:rsidRDefault="0010523F" w:rsidP="0010523F">
            <w:pPr>
              <w:rPr>
                <w:color w:val="000000"/>
                <w:sz w:val="16"/>
                <w:szCs w:val="16"/>
                <w:highlight w:val="yellow"/>
                <w:u w:val="single"/>
                <w:lang w:val="es-AR" w:eastAsia="es-AR"/>
              </w:rPr>
            </w:pPr>
          </w:p>
        </w:tc>
      </w:tr>
      <w:tr w:rsidR="0010523F" w:rsidRPr="0010523F" w14:paraId="63B11A59" w14:textId="77777777" w:rsidTr="00774E7E">
        <w:trPr>
          <w:trHeight w:val="82"/>
        </w:trPr>
        <w:tc>
          <w:tcPr>
            <w:tcW w:w="2268" w:type="dxa"/>
            <w:tcBorders>
              <w:top w:val="nil"/>
              <w:left w:val="nil"/>
              <w:bottom w:val="nil"/>
              <w:right w:val="nil"/>
            </w:tcBorders>
            <w:shd w:val="clear" w:color="auto" w:fill="auto"/>
            <w:vAlign w:val="center"/>
            <w:hideMark/>
          </w:tcPr>
          <w:p w14:paraId="069B6741" w14:textId="77777777" w:rsidR="0010523F" w:rsidRPr="0010523F" w:rsidRDefault="0010523F" w:rsidP="0010523F">
            <w:pPr>
              <w:spacing w:line="100" w:lineRule="exact"/>
              <w:rPr>
                <w:color w:val="000000"/>
                <w:sz w:val="16"/>
                <w:szCs w:val="16"/>
                <w:lang w:val="es-AR" w:eastAsia="es-AR"/>
              </w:rPr>
            </w:pPr>
          </w:p>
        </w:tc>
        <w:tc>
          <w:tcPr>
            <w:tcW w:w="851" w:type="dxa"/>
            <w:tcBorders>
              <w:top w:val="nil"/>
              <w:left w:val="nil"/>
              <w:bottom w:val="nil"/>
              <w:right w:val="nil"/>
            </w:tcBorders>
            <w:shd w:val="clear" w:color="auto" w:fill="auto"/>
            <w:vAlign w:val="center"/>
            <w:hideMark/>
          </w:tcPr>
          <w:p w14:paraId="12D4E323" w14:textId="77777777" w:rsidR="0010523F" w:rsidRPr="0010523F" w:rsidRDefault="0010523F" w:rsidP="0010523F">
            <w:pPr>
              <w:spacing w:line="100" w:lineRule="exact"/>
              <w:rPr>
                <w:color w:val="000000"/>
                <w:sz w:val="16"/>
                <w:szCs w:val="16"/>
                <w:highlight w:val="yellow"/>
                <w:lang w:val="es-AR" w:eastAsia="es-AR"/>
              </w:rPr>
            </w:pPr>
          </w:p>
        </w:tc>
        <w:tc>
          <w:tcPr>
            <w:tcW w:w="850" w:type="dxa"/>
            <w:tcBorders>
              <w:top w:val="nil"/>
              <w:left w:val="nil"/>
              <w:bottom w:val="nil"/>
              <w:right w:val="nil"/>
            </w:tcBorders>
            <w:shd w:val="clear" w:color="auto" w:fill="auto"/>
            <w:vAlign w:val="center"/>
            <w:hideMark/>
          </w:tcPr>
          <w:p w14:paraId="0C1A63E0" w14:textId="77777777" w:rsidR="0010523F" w:rsidRPr="0010523F" w:rsidRDefault="0010523F" w:rsidP="0010523F">
            <w:pPr>
              <w:spacing w:line="100" w:lineRule="exact"/>
              <w:rPr>
                <w:color w:val="000000"/>
                <w:sz w:val="16"/>
                <w:szCs w:val="16"/>
                <w:highlight w:val="yellow"/>
                <w:lang w:val="es-AR" w:eastAsia="es-AR"/>
              </w:rPr>
            </w:pPr>
          </w:p>
        </w:tc>
        <w:tc>
          <w:tcPr>
            <w:tcW w:w="851" w:type="dxa"/>
            <w:tcBorders>
              <w:top w:val="nil"/>
              <w:left w:val="nil"/>
              <w:bottom w:val="nil"/>
              <w:right w:val="nil"/>
            </w:tcBorders>
            <w:shd w:val="clear" w:color="auto" w:fill="auto"/>
            <w:vAlign w:val="center"/>
            <w:hideMark/>
          </w:tcPr>
          <w:p w14:paraId="6B7637A7" w14:textId="77777777" w:rsidR="0010523F" w:rsidRPr="0010523F" w:rsidRDefault="0010523F" w:rsidP="0010523F">
            <w:pPr>
              <w:spacing w:line="100" w:lineRule="exact"/>
              <w:rPr>
                <w:color w:val="000000"/>
                <w:sz w:val="16"/>
                <w:szCs w:val="16"/>
                <w:lang w:val="es-AR" w:eastAsia="es-AR"/>
              </w:rPr>
            </w:pPr>
          </w:p>
        </w:tc>
        <w:tc>
          <w:tcPr>
            <w:tcW w:w="708" w:type="dxa"/>
            <w:tcBorders>
              <w:top w:val="nil"/>
              <w:left w:val="nil"/>
              <w:bottom w:val="nil"/>
              <w:right w:val="nil"/>
            </w:tcBorders>
            <w:shd w:val="clear" w:color="auto" w:fill="auto"/>
            <w:vAlign w:val="center"/>
            <w:hideMark/>
          </w:tcPr>
          <w:p w14:paraId="3141F31C"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4A18534F"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2240EB3F" w14:textId="77777777" w:rsidR="0010523F" w:rsidRPr="0010523F" w:rsidRDefault="0010523F" w:rsidP="0010523F">
            <w:pPr>
              <w:spacing w:line="100" w:lineRule="exact"/>
              <w:rPr>
                <w:color w:val="000000"/>
                <w:sz w:val="16"/>
                <w:szCs w:val="16"/>
                <w:highlight w:val="yellow"/>
                <w:lang w:val="es-AR" w:eastAsia="es-AR"/>
              </w:rPr>
            </w:pPr>
          </w:p>
        </w:tc>
        <w:tc>
          <w:tcPr>
            <w:tcW w:w="780" w:type="dxa"/>
            <w:tcBorders>
              <w:top w:val="nil"/>
              <w:left w:val="nil"/>
              <w:bottom w:val="nil"/>
              <w:right w:val="nil"/>
            </w:tcBorders>
            <w:shd w:val="clear" w:color="auto" w:fill="auto"/>
            <w:vAlign w:val="center"/>
            <w:hideMark/>
          </w:tcPr>
          <w:p w14:paraId="2F8D98CB" w14:textId="77777777" w:rsidR="0010523F" w:rsidRPr="0010523F" w:rsidRDefault="0010523F" w:rsidP="0010523F">
            <w:pPr>
              <w:spacing w:line="100" w:lineRule="exact"/>
              <w:rPr>
                <w:color w:val="000000"/>
                <w:sz w:val="16"/>
                <w:szCs w:val="16"/>
                <w:highlight w:val="yellow"/>
                <w:lang w:val="es-AR" w:eastAsia="es-AR"/>
              </w:rPr>
            </w:pPr>
          </w:p>
        </w:tc>
        <w:tc>
          <w:tcPr>
            <w:tcW w:w="160" w:type="dxa"/>
            <w:tcBorders>
              <w:top w:val="nil"/>
              <w:left w:val="nil"/>
              <w:bottom w:val="nil"/>
              <w:right w:val="nil"/>
            </w:tcBorders>
            <w:shd w:val="clear" w:color="auto" w:fill="auto"/>
            <w:vAlign w:val="center"/>
            <w:hideMark/>
          </w:tcPr>
          <w:p w14:paraId="662B7378" w14:textId="77777777" w:rsidR="0010523F" w:rsidRPr="0010523F" w:rsidRDefault="0010523F" w:rsidP="0010523F">
            <w:pPr>
              <w:spacing w:line="100" w:lineRule="exact"/>
              <w:rPr>
                <w:color w:val="000000"/>
                <w:sz w:val="16"/>
                <w:szCs w:val="16"/>
                <w:highlight w:val="yellow"/>
                <w:lang w:val="es-AR" w:eastAsia="es-AR"/>
              </w:rPr>
            </w:pPr>
          </w:p>
        </w:tc>
        <w:tc>
          <w:tcPr>
            <w:tcW w:w="964" w:type="dxa"/>
            <w:tcBorders>
              <w:top w:val="nil"/>
              <w:left w:val="nil"/>
              <w:bottom w:val="nil"/>
              <w:right w:val="nil"/>
            </w:tcBorders>
            <w:shd w:val="clear" w:color="auto" w:fill="auto"/>
            <w:vAlign w:val="center"/>
            <w:hideMark/>
          </w:tcPr>
          <w:p w14:paraId="2BF9A6A0" w14:textId="77777777" w:rsidR="0010523F" w:rsidRPr="0010523F" w:rsidRDefault="0010523F" w:rsidP="0010523F">
            <w:pPr>
              <w:spacing w:line="100" w:lineRule="exact"/>
              <w:rPr>
                <w:color w:val="000000"/>
                <w:sz w:val="16"/>
                <w:szCs w:val="16"/>
                <w:highlight w:val="yellow"/>
                <w:lang w:val="es-AR" w:eastAsia="es-AR"/>
              </w:rPr>
            </w:pPr>
          </w:p>
        </w:tc>
        <w:tc>
          <w:tcPr>
            <w:tcW w:w="850" w:type="dxa"/>
            <w:tcBorders>
              <w:top w:val="nil"/>
              <w:left w:val="nil"/>
              <w:bottom w:val="nil"/>
              <w:right w:val="nil"/>
            </w:tcBorders>
            <w:shd w:val="clear" w:color="auto" w:fill="auto"/>
            <w:vAlign w:val="center"/>
            <w:hideMark/>
          </w:tcPr>
          <w:p w14:paraId="237A0E69" w14:textId="77777777" w:rsidR="0010523F" w:rsidRPr="0010523F" w:rsidRDefault="0010523F" w:rsidP="0010523F">
            <w:pPr>
              <w:spacing w:line="100" w:lineRule="exact"/>
              <w:rPr>
                <w:color w:val="000000"/>
                <w:sz w:val="16"/>
                <w:szCs w:val="16"/>
                <w:highlight w:val="yellow"/>
                <w:lang w:val="es-AR" w:eastAsia="es-AR"/>
              </w:rPr>
            </w:pPr>
          </w:p>
        </w:tc>
        <w:tc>
          <w:tcPr>
            <w:tcW w:w="709" w:type="dxa"/>
            <w:tcBorders>
              <w:top w:val="nil"/>
              <w:left w:val="nil"/>
              <w:bottom w:val="nil"/>
              <w:right w:val="nil"/>
            </w:tcBorders>
            <w:shd w:val="clear" w:color="auto" w:fill="auto"/>
            <w:vAlign w:val="center"/>
            <w:hideMark/>
          </w:tcPr>
          <w:p w14:paraId="1C879429" w14:textId="77777777" w:rsidR="0010523F" w:rsidRPr="0010523F" w:rsidRDefault="0010523F" w:rsidP="0010523F">
            <w:pPr>
              <w:spacing w:line="100" w:lineRule="exact"/>
              <w:rPr>
                <w:color w:val="000000"/>
                <w:sz w:val="16"/>
                <w:szCs w:val="16"/>
                <w:highlight w:val="yellow"/>
                <w:lang w:val="es-AR" w:eastAsia="es-AR"/>
              </w:rPr>
            </w:pPr>
          </w:p>
        </w:tc>
        <w:tc>
          <w:tcPr>
            <w:tcW w:w="709" w:type="dxa"/>
            <w:tcBorders>
              <w:top w:val="nil"/>
              <w:left w:val="nil"/>
              <w:bottom w:val="nil"/>
              <w:right w:val="nil"/>
            </w:tcBorders>
            <w:shd w:val="clear" w:color="auto" w:fill="auto"/>
            <w:vAlign w:val="center"/>
            <w:hideMark/>
          </w:tcPr>
          <w:p w14:paraId="184B9D59" w14:textId="77777777" w:rsidR="0010523F" w:rsidRPr="0010523F" w:rsidRDefault="0010523F" w:rsidP="0010523F">
            <w:pPr>
              <w:spacing w:line="100" w:lineRule="exact"/>
              <w:rPr>
                <w:color w:val="000000"/>
                <w:sz w:val="16"/>
                <w:szCs w:val="16"/>
                <w:highlight w:val="yellow"/>
                <w:lang w:val="es-AR" w:eastAsia="es-AR"/>
              </w:rPr>
            </w:pPr>
          </w:p>
        </w:tc>
        <w:tc>
          <w:tcPr>
            <w:tcW w:w="850" w:type="dxa"/>
            <w:tcBorders>
              <w:top w:val="nil"/>
              <w:left w:val="nil"/>
              <w:bottom w:val="nil"/>
              <w:right w:val="nil"/>
            </w:tcBorders>
            <w:shd w:val="clear" w:color="auto" w:fill="auto"/>
            <w:vAlign w:val="center"/>
            <w:hideMark/>
          </w:tcPr>
          <w:p w14:paraId="27E01881" w14:textId="77777777" w:rsidR="0010523F" w:rsidRPr="0010523F" w:rsidRDefault="0010523F" w:rsidP="0010523F">
            <w:pPr>
              <w:spacing w:line="100" w:lineRule="exact"/>
              <w:rPr>
                <w:color w:val="000000"/>
                <w:sz w:val="16"/>
                <w:szCs w:val="16"/>
                <w:lang w:val="es-AR" w:eastAsia="es-AR"/>
              </w:rPr>
            </w:pPr>
          </w:p>
        </w:tc>
        <w:tc>
          <w:tcPr>
            <w:tcW w:w="964" w:type="dxa"/>
            <w:tcBorders>
              <w:top w:val="nil"/>
              <w:left w:val="nil"/>
              <w:bottom w:val="nil"/>
              <w:right w:val="nil"/>
            </w:tcBorders>
            <w:shd w:val="clear" w:color="auto" w:fill="auto"/>
            <w:vAlign w:val="center"/>
            <w:hideMark/>
          </w:tcPr>
          <w:p w14:paraId="5B18D70A" w14:textId="77777777" w:rsidR="0010523F" w:rsidRPr="0010523F" w:rsidRDefault="0010523F" w:rsidP="0010523F">
            <w:pPr>
              <w:spacing w:line="100" w:lineRule="exact"/>
              <w:rPr>
                <w:color w:val="000000"/>
                <w:sz w:val="16"/>
                <w:szCs w:val="16"/>
                <w:highlight w:val="yellow"/>
                <w:lang w:val="es-AR" w:eastAsia="es-AR"/>
              </w:rPr>
            </w:pPr>
          </w:p>
        </w:tc>
        <w:tc>
          <w:tcPr>
            <w:tcW w:w="160" w:type="dxa"/>
            <w:gridSpan w:val="2"/>
            <w:tcBorders>
              <w:top w:val="nil"/>
              <w:left w:val="nil"/>
              <w:bottom w:val="nil"/>
              <w:right w:val="nil"/>
            </w:tcBorders>
            <w:shd w:val="clear" w:color="auto" w:fill="auto"/>
            <w:vAlign w:val="center"/>
            <w:hideMark/>
          </w:tcPr>
          <w:p w14:paraId="62FE9417" w14:textId="77777777" w:rsidR="0010523F" w:rsidRPr="0010523F" w:rsidRDefault="0010523F" w:rsidP="0010523F">
            <w:pPr>
              <w:spacing w:line="100" w:lineRule="exact"/>
              <w:rPr>
                <w:color w:val="000000"/>
                <w:sz w:val="16"/>
                <w:szCs w:val="16"/>
                <w:highlight w:val="yellow"/>
                <w:lang w:val="es-AR" w:eastAsia="es-AR"/>
              </w:rPr>
            </w:pPr>
          </w:p>
        </w:tc>
        <w:tc>
          <w:tcPr>
            <w:tcW w:w="907" w:type="dxa"/>
            <w:gridSpan w:val="2"/>
            <w:tcBorders>
              <w:top w:val="nil"/>
              <w:left w:val="nil"/>
              <w:bottom w:val="nil"/>
              <w:right w:val="nil"/>
            </w:tcBorders>
            <w:shd w:val="clear" w:color="auto" w:fill="auto"/>
            <w:vAlign w:val="center"/>
            <w:hideMark/>
          </w:tcPr>
          <w:p w14:paraId="5B84210D" w14:textId="77777777" w:rsidR="0010523F" w:rsidRPr="0010523F" w:rsidRDefault="0010523F" w:rsidP="0010523F">
            <w:pPr>
              <w:spacing w:line="100" w:lineRule="exact"/>
              <w:rPr>
                <w:color w:val="000000"/>
                <w:sz w:val="16"/>
                <w:szCs w:val="16"/>
                <w:lang w:val="es-AR" w:eastAsia="es-AR"/>
              </w:rPr>
            </w:pPr>
          </w:p>
        </w:tc>
        <w:tc>
          <w:tcPr>
            <w:tcW w:w="964" w:type="dxa"/>
            <w:tcBorders>
              <w:top w:val="nil"/>
              <w:left w:val="nil"/>
              <w:bottom w:val="nil"/>
              <w:right w:val="nil"/>
            </w:tcBorders>
            <w:shd w:val="clear" w:color="auto" w:fill="auto"/>
            <w:vAlign w:val="center"/>
            <w:hideMark/>
          </w:tcPr>
          <w:p w14:paraId="76F4E2BC" w14:textId="77777777" w:rsidR="0010523F" w:rsidRPr="0010523F" w:rsidRDefault="0010523F" w:rsidP="0010523F">
            <w:pPr>
              <w:spacing w:line="100" w:lineRule="exact"/>
              <w:rPr>
                <w:color w:val="000000"/>
                <w:sz w:val="16"/>
                <w:szCs w:val="16"/>
                <w:highlight w:val="yellow"/>
                <w:lang w:val="es-AR" w:eastAsia="es-AR"/>
              </w:rPr>
            </w:pPr>
          </w:p>
        </w:tc>
        <w:tc>
          <w:tcPr>
            <w:tcW w:w="907" w:type="dxa"/>
            <w:gridSpan w:val="2"/>
            <w:tcBorders>
              <w:top w:val="nil"/>
              <w:left w:val="nil"/>
              <w:bottom w:val="nil"/>
              <w:right w:val="nil"/>
            </w:tcBorders>
          </w:tcPr>
          <w:p w14:paraId="2BAB3F88" w14:textId="77777777" w:rsidR="0010523F" w:rsidRPr="0010523F" w:rsidRDefault="0010523F" w:rsidP="0010523F">
            <w:pPr>
              <w:spacing w:line="100" w:lineRule="exact"/>
              <w:rPr>
                <w:color w:val="000000"/>
                <w:sz w:val="16"/>
                <w:szCs w:val="16"/>
                <w:lang w:val="es-AR" w:eastAsia="es-AR"/>
              </w:rPr>
            </w:pPr>
          </w:p>
        </w:tc>
      </w:tr>
      <w:tr w:rsidR="0010523F" w:rsidRPr="0010523F" w14:paraId="06A04F8B" w14:textId="77777777" w:rsidTr="00774E7E">
        <w:trPr>
          <w:trHeight w:val="227"/>
        </w:trPr>
        <w:tc>
          <w:tcPr>
            <w:tcW w:w="2268" w:type="dxa"/>
            <w:tcBorders>
              <w:top w:val="nil"/>
              <w:left w:val="nil"/>
              <w:bottom w:val="nil"/>
              <w:right w:val="nil"/>
            </w:tcBorders>
            <w:shd w:val="clear" w:color="auto" w:fill="auto"/>
            <w:vAlign w:val="center"/>
            <w:hideMark/>
          </w:tcPr>
          <w:p w14:paraId="1C4CAF49"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Terrenos y edificios</w:t>
            </w:r>
          </w:p>
        </w:tc>
        <w:tc>
          <w:tcPr>
            <w:tcW w:w="851" w:type="dxa"/>
            <w:tcBorders>
              <w:top w:val="nil"/>
              <w:left w:val="nil"/>
              <w:bottom w:val="nil"/>
              <w:right w:val="nil"/>
            </w:tcBorders>
            <w:shd w:val="clear" w:color="auto" w:fill="auto"/>
            <w:vAlign w:val="bottom"/>
            <w:hideMark/>
          </w:tcPr>
          <w:p w14:paraId="44ED4D06"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18.794 </w:t>
            </w:r>
          </w:p>
        </w:tc>
        <w:tc>
          <w:tcPr>
            <w:tcW w:w="850" w:type="dxa"/>
            <w:tcBorders>
              <w:top w:val="nil"/>
              <w:left w:val="nil"/>
              <w:bottom w:val="nil"/>
              <w:right w:val="nil"/>
            </w:tcBorders>
            <w:shd w:val="clear" w:color="auto" w:fill="auto"/>
            <w:vAlign w:val="bottom"/>
            <w:hideMark/>
          </w:tcPr>
          <w:p w14:paraId="5EB0C04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3DCD99F2"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w:t>
            </w:r>
          </w:p>
        </w:tc>
        <w:tc>
          <w:tcPr>
            <w:tcW w:w="708" w:type="dxa"/>
            <w:tcBorders>
              <w:top w:val="nil"/>
              <w:left w:val="nil"/>
              <w:bottom w:val="nil"/>
              <w:right w:val="nil"/>
            </w:tcBorders>
            <w:shd w:val="clear" w:color="auto" w:fill="auto"/>
            <w:vAlign w:val="bottom"/>
            <w:hideMark/>
          </w:tcPr>
          <w:p w14:paraId="1397A232"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761 </w:t>
            </w:r>
          </w:p>
        </w:tc>
        <w:tc>
          <w:tcPr>
            <w:tcW w:w="709" w:type="dxa"/>
            <w:tcBorders>
              <w:top w:val="nil"/>
              <w:left w:val="nil"/>
              <w:bottom w:val="nil"/>
              <w:right w:val="nil"/>
            </w:tcBorders>
            <w:shd w:val="clear" w:color="auto" w:fill="auto"/>
            <w:vAlign w:val="bottom"/>
            <w:hideMark/>
          </w:tcPr>
          <w:p w14:paraId="3B36245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95) </w:t>
            </w:r>
          </w:p>
        </w:tc>
        <w:tc>
          <w:tcPr>
            <w:tcW w:w="709" w:type="dxa"/>
            <w:tcBorders>
              <w:top w:val="nil"/>
              <w:left w:val="nil"/>
              <w:bottom w:val="nil"/>
              <w:right w:val="nil"/>
            </w:tcBorders>
            <w:shd w:val="clear" w:color="auto" w:fill="auto"/>
            <w:vAlign w:val="bottom"/>
            <w:hideMark/>
          </w:tcPr>
          <w:p w14:paraId="271DF993"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12.159 </w:t>
            </w:r>
          </w:p>
        </w:tc>
        <w:tc>
          <w:tcPr>
            <w:tcW w:w="780" w:type="dxa"/>
            <w:tcBorders>
              <w:top w:val="nil"/>
              <w:left w:val="nil"/>
              <w:bottom w:val="nil"/>
              <w:right w:val="nil"/>
            </w:tcBorders>
            <w:shd w:val="clear" w:color="auto" w:fill="auto"/>
            <w:vAlign w:val="bottom"/>
            <w:hideMark/>
          </w:tcPr>
          <w:p w14:paraId="43FC448F"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31.619 </w:t>
            </w:r>
          </w:p>
        </w:tc>
        <w:tc>
          <w:tcPr>
            <w:tcW w:w="160" w:type="dxa"/>
            <w:tcBorders>
              <w:top w:val="nil"/>
              <w:left w:val="nil"/>
              <w:bottom w:val="nil"/>
              <w:right w:val="nil"/>
            </w:tcBorders>
            <w:shd w:val="clear" w:color="auto" w:fill="auto"/>
            <w:vAlign w:val="bottom"/>
            <w:hideMark/>
          </w:tcPr>
          <w:p w14:paraId="3FDEF8B7"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67F86B5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7.889) </w:t>
            </w:r>
          </w:p>
        </w:tc>
        <w:tc>
          <w:tcPr>
            <w:tcW w:w="850" w:type="dxa"/>
            <w:tcBorders>
              <w:top w:val="nil"/>
              <w:left w:val="nil"/>
              <w:bottom w:val="nil"/>
              <w:right w:val="nil"/>
            </w:tcBorders>
            <w:shd w:val="clear" w:color="auto" w:fill="auto"/>
            <w:vAlign w:val="bottom"/>
            <w:hideMark/>
          </w:tcPr>
          <w:p w14:paraId="403B6AF5"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42831E3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423) </w:t>
            </w:r>
          </w:p>
        </w:tc>
        <w:tc>
          <w:tcPr>
            <w:tcW w:w="709" w:type="dxa"/>
            <w:tcBorders>
              <w:top w:val="nil"/>
              <w:left w:val="nil"/>
              <w:bottom w:val="nil"/>
              <w:right w:val="nil"/>
            </w:tcBorders>
            <w:shd w:val="clear" w:color="auto" w:fill="auto"/>
            <w:vAlign w:val="bottom"/>
            <w:hideMark/>
          </w:tcPr>
          <w:p w14:paraId="3B2BA67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30 </w:t>
            </w:r>
          </w:p>
        </w:tc>
        <w:tc>
          <w:tcPr>
            <w:tcW w:w="850" w:type="dxa"/>
            <w:tcBorders>
              <w:top w:val="nil"/>
              <w:left w:val="nil"/>
              <w:bottom w:val="nil"/>
              <w:right w:val="nil"/>
            </w:tcBorders>
            <w:shd w:val="clear" w:color="auto" w:fill="auto"/>
            <w:vAlign w:val="bottom"/>
            <w:hideMark/>
          </w:tcPr>
          <w:p w14:paraId="149EAFDA"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4.203) </w:t>
            </w:r>
          </w:p>
        </w:tc>
        <w:tc>
          <w:tcPr>
            <w:tcW w:w="964" w:type="dxa"/>
            <w:tcBorders>
              <w:top w:val="nil"/>
              <w:left w:val="nil"/>
              <w:bottom w:val="nil"/>
              <w:right w:val="nil"/>
            </w:tcBorders>
            <w:shd w:val="clear" w:color="auto" w:fill="auto"/>
            <w:vAlign w:val="bottom"/>
            <w:hideMark/>
          </w:tcPr>
          <w:p w14:paraId="26CCF8A4"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12.485) </w:t>
            </w:r>
          </w:p>
        </w:tc>
        <w:tc>
          <w:tcPr>
            <w:tcW w:w="160" w:type="dxa"/>
            <w:gridSpan w:val="2"/>
            <w:tcBorders>
              <w:top w:val="nil"/>
              <w:left w:val="nil"/>
              <w:bottom w:val="nil"/>
              <w:right w:val="nil"/>
            </w:tcBorders>
            <w:shd w:val="clear" w:color="auto" w:fill="auto"/>
            <w:vAlign w:val="bottom"/>
            <w:hideMark/>
          </w:tcPr>
          <w:p w14:paraId="206B7922"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5612C0C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19.134 </w:t>
            </w:r>
          </w:p>
        </w:tc>
        <w:tc>
          <w:tcPr>
            <w:tcW w:w="964" w:type="dxa"/>
            <w:tcBorders>
              <w:top w:val="nil"/>
              <w:left w:val="nil"/>
              <w:bottom w:val="nil"/>
              <w:right w:val="nil"/>
            </w:tcBorders>
            <w:shd w:val="clear" w:color="auto" w:fill="auto"/>
            <w:vAlign w:val="bottom"/>
            <w:hideMark/>
          </w:tcPr>
          <w:p w14:paraId="287976D2"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10.905</w:t>
            </w:r>
          </w:p>
        </w:tc>
        <w:tc>
          <w:tcPr>
            <w:tcW w:w="907" w:type="dxa"/>
            <w:gridSpan w:val="2"/>
            <w:tcBorders>
              <w:top w:val="nil"/>
              <w:left w:val="nil"/>
              <w:bottom w:val="nil"/>
              <w:right w:val="nil"/>
            </w:tcBorders>
            <w:vAlign w:val="bottom"/>
          </w:tcPr>
          <w:p w14:paraId="56D00D6F"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12.121</w:t>
            </w:r>
          </w:p>
        </w:tc>
      </w:tr>
      <w:tr w:rsidR="0010523F" w:rsidRPr="0010523F" w14:paraId="16AA54A1" w14:textId="77777777" w:rsidTr="00774E7E">
        <w:trPr>
          <w:trHeight w:val="397"/>
        </w:trPr>
        <w:tc>
          <w:tcPr>
            <w:tcW w:w="2268" w:type="dxa"/>
            <w:tcBorders>
              <w:top w:val="nil"/>
              <w:left w:val="nil"/>
              <w:bottom w:val="nil"/>
              <w:right w:val="nil"/>
            </w:tcBorders>
            <w:shd w:val="clear" w:color="auto" w:fill="auto"/>
            <w:vAlign w:val="center"/>
            <w:hideMark/>
          </w:tcPr>
          <w:p w14:paraId="4F183068"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Plantas, pozos e instalaciones de   explotación y producción</w:t>
            </w:r>
          </w:p>
        </w:tc>
        <w:tc>
          <w:tcPr>
            <w:tcW w:w="851" w:type="dxa"/>
            <w:tcBorders>
              <w:top w:val="nil"/>
              <w:left w:val="nil"/>
              <w:bottom w:val="nil"/>
              <w:right w:val="nil"/>
            </w:tcBorders>
            <w:shd w:val="clear" w:color="auto" w:fill="auto"/>
            <w:vAlign w:val="bottom"/>
            <w:hideMark/>
          </w:tcPr>
          <w:p w14:paraId="6E05E65D"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619.836 </w:t>
            </w:r>
          </w:p>
        </w:tc>
        <w:tc>
          <w:tcPr>
            <w:tcW w:w="850" w:type="dxa"/>
            <w:tcBorders>
              <w:top w:val="nil"/>
              <w:left w:val="nil"/>
              <w:bottom w:val="nil"/>
              <w:right w:val="nil"/>
            </w:tcBorders>
            <w:shd w:val="clear" w:color="auto" w:fill="auto"/>
            <w:vAlign w:val="bottom"/>
            <w:hideMark/>
          </w:tcPr>
          <w:p w14:paraId="73635CC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45EBBDE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296 </w:t>
            </w:r>
          </w:p>
        </w:tc>
        <w:tc>
          <w:tcPr>
            <w:tcW w:w="708" w:type="dxa"/>
            <w:tcBorders>
              <w:top w:val="nil"/>
              <w:left w:val="nil"/>
              <w:bottom w:val="nil"/>
              <w:right w:val="nil"/>
            </w:tcBorders>
            <w:shd w:val="clear" w:color="auto" w:fill="auto"/>
            <w:vAlign w:val="bottom"/>
            <w:hideMark/>
          </w:tcPr>
          <w:p w14:paraId="7FE0040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30.595 </w:t>
            </w:r>
          </w:p>
        </w:tc>
        <w:tc>
          <w:tcPr>
            <w:tcW w:w="709" w:type="dxa"/>
            <w:tcBorders>
              <w:top w:val="nil"/>
              <w:left w:val="nil"/>
              <w:bottom w:val="nil"/>
              <w:right w:val="nil"/>
            </w:tcBorders>
            <w:shd w:val="clear" w:color="auto" w:fill="auto"/>
            <w:vAlign w:val="bottom"/>
            <w:hideMark/>
          </w:tcPr>
          <w:p w14:paraId="50076F96"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w:t>
            </w:r>
          </w:p>
        </w:tc>
        <w:tc>
          <w:tcPr>
            <w:tcW w:w="709" w:type="dxa"/>
            <w:tcBorders>
              <w:top w:val="nil"/>
              <w:left w:val="nil"/>
              <w:bottom w:val="nil"/>
              <w:right w:val="nil"/>
            </w:tcBorders>
            <w:shd w:val="clear" w:color="auto" w:fill="auto"/>
            <w:vAlign w:val="bottom"/>
            <w:hideMark/>
          </w:tcPr>
          <w:p w14:paraId="4850AED3"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344.044 </w:t>
            </w:r>
          </w:p>
        </w:tc>
        <w:tc>
          <w:tcPr>
            <w:tcW w:w="780" w:type="dxa"/>
            <w:tcBorders>
              <w:top w:val="nil"/>
              <w:left w:val="nil"/>
              <w:bottom w:val="nil"/>
              <w:right w:val="nil"/>
            </w:tcBorders>
            <w:shd w:val="clear" w:color="auto" w:fill="auto"/>
            <w:vAlign w:val="bottom"/>
            <w:hideMark/>
          </w:tcPr>
          <w:p w14:paraId="5A4FAC9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994.771 </w:t>
            </w:r>
          </w:p>
        </w:tc>
        <w:tc>
          <w:tcPr>
            <w:tcW w:w="160" w:type="dxa"/>
            <w:tcBorders>
              <w:top w:val="nil"/>
              <w:left w:val="nil"/>
              <w:bottom w:val="nil"/>
              <w:right w:val="nil"/>
            </w:tcBorders>
            <w:shd w:val="clear" w:color="auto" w:fill="auto"/>
            <w:vAlign w:val="bottom"/>
            <w:hideMark/>
          </w:tcPr>
          <w:p w14:paraId="3D9E0CAE"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73593C8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( 291.047) </w:t>
            </w:r>
          </w:p>
        </w:tc>
        <w:tc>
          <w:tcPr>
            <w:tcW w:w="850" w:type="dxa"/>
            <w:tcBorders>
              <w:top w:val="nil"/>
              <w:left w:val="nil"/>
              <w:bottom w:val="nil"/>
              <w:right w:val="nil"/>
            </w:tcBorders>
            <w:shd w:val="clear" w:color="auto" w:fill="auto"/>
            <w:vAlign w:val="bottom"/>
            <w:hideMark/>
          </w:tcPr>
          <w:p w14:paraId="41743EF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23A16D6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(25.097) </w:t>
            </w:r>
          </w:p>
        </w:tc>
        <w:tc>
          <w:tcPr>
            <w:tcW w:w="709" w:type="dxa"/>
            <w:tcBorders>
              <w:top w:val="nil"/>
              <w:left w:val="nil"/>
              <w:bottom w:val="nil"/>
              <w:right w:val="nil"/>
            </w:tcBorders>
            <w:shd w:val="clear" w:color="auto" w:fill="auto"/>
            <w:vAlign w:val="bottom"/>
            <w:hideMark/>
          </w:tcPr>
          <w:p w14:paraId="02EF5ED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0" w:type="dxa"/>
            <w:tcBorders>
              <w:top w:val="nil"/>
              <w:left w:val="nil"/>
              <w:bottom w:val="nil"/>
              <w:right w:val="nil"/>
            </w:tcBorders>
            <w:shd w:val="clear" w:color="auto" w:fill="auto"/>
            <w:vAlign w:val="bottom"/>
            <w:hideMark/>
          </w:tcPr>
          <w:p w14:paraId="34171895"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(157.786) </w:t>
            </w:r>
          </w:p>
        </w:tc>
        <w:tc>
          <w:tcPr>
            <w:tcW w:w="964" w:type="dxa"/>
            <w:tcBorders>
              <w:top w:val="nil"/>
              <w:left w:val="nil"/>
              <w:bottom w:val="nil"/>
              <w:right w:val="nil"/>
            </w:tcBorders>
            <w:shd w:val="clear" w:color="auto" w:fill="auto"/>
            <w:vAlign w:val="bottom"/>
            <w:hideMark/>
          </w:tcPr>
          <w:p w14:paraId="7516CCD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473.930) </w:t>
            </w:r>
          </w:p>
        </w:tc>
        <w:tc>
          <w:tcPr>
            <w:tcW w:w="160" w:type="dxa"/>
            <w:gridSpan w:val="2"/>
            <w:tcBorders>
              <w:top w:val="nil"/>
              <w:left w:val="nil"/>
              <w:bottom w:val="nil"/>
              <w:right w:val="nil"/>
            </w:tcBorders>
            <w:shd w:val="clear" w:color="auto" w:fill="auto"/>
            <w:vAlign w:val="bottom"/>
            <w:hideMark/>
          </w:tcPr>
          <w:p w14:paraId="06BE4F19"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4DED1BA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520.841 </w:t>
            </w:r>
          </w:p>
        </w:tc>
        <w:tc>
          <w:tcPr>
            <w:tcW w:w="964" w:type="dxa"/>
            <w:tcBorders>
              <w:top w:val="nil"/>
              <w:left w:val="nil"/>
              <w:bottom w:val="nil"/>
              <w:right w:val="nil"/>
            </w:tcBorders>
            <w:shd w:val="clear" w:color="auto" w:fill="auto"/>
            <w:vAlign w:val="bottom"/>
            <w:hideMark/>
          </w:tcPr>
          <w:p w14:paraId="1C4B41B2"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328.789</w:t>
            </w:r>
          </w:p>
        </w:tc>
        <w:tc>
          <w:tcPr>
            <w:tcW w:w="907" w:type="dxa"/>
            <w:gridSpan w:val="2"/>
            <w:tcBorders>
              <w:top w:val="nil"/>
              <w:left w:val="nil"/>
              <w:bottom w:val="nil"/>
              <w:right w:val="nil"/>
            </w:tcBorders>
            <w:vAlign w:val="bottom"/>
          </w:tcPr>
          <w:p w14:paraId="0E240396"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348.461</w:t>
            </w:r>
          </w:p>
        </w:tc>
      </w:tr>
      <w:tr w:rsidR="0010523F" w:rsidRPr="0010523F" w14:paraId="1DD139F1" w14:textId="77777777" w:rsidTr="00774E7E">
        <w:trPr>
          <w:trHeight w:val="397"/>
        </w:trPr>
        <w:tc>
          <w:tcPr>
            <w:tcW w:w="2268" w:type="dxa"/>
            <w:tcBorders>
              <w:top w:val="nil"/>
              <w:left w:val="nil"/>
              <w:bottom w:val="nil"/>
              <w:right w:val="nil"/>
            </w:tcBorders>
            <w:shd w:val="clear" w:color="auto" w:fill="auto"/>
            <w:vAlign w:val="center"/>
            <w:hideMark/>
          </w:tcPr>
          <w:p w14:paraId="1F7D74BD"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Instalaciones y maquinarias de refinación y comercialización</w:t>
            </w:r>
          </w:p>
        </w:tc>
        <w:tc>
          <w:tcPr>
            <w:tcW w:w="851" w:type="dxa"/>
            <w:tcBorders>
              <w:top w:val="nil"/>
              <w:left w:val="nil"/>
              <w:bottom w:val="nil"/>
              <w:right w:val="nil"/>
            </w:tcBorders>
            <w:shd w:val="clear" w:color="auto" w:fill="auto"/>
            <w:vAlign w:val="bottom"/>
            <w:hideMark/>
          </w:tcPr>
          <w:p w14:paraId="2AF43EBE"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16.576 </w:t>
            </w:r>
          </w:p>
        </w:tc>
        <w:tc>
          <w:tcPr>
            <w:tcW w:w="850" w:type="dxa"/>
            <w:tcBorders>
              <w:top w:val="nil"/>
              <w:left w:val="nil"/>
              <w:bottom w:val="nil"/>
              <w:right w:val="nil"/>
            </w:tcBorders>
            <w:shd w:val="clear" w:color="auto" w:fill="auto"/>
            <w:vAlign w:val="bottom"/>
            <w:hideMark/>
          </w:tcPr>
          <w:p w14:paraId="7717CED2"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6766394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8" w:type="dxa"/>
            <w:tcBorders>
              <w:top w:val="nil"/>
              <w:left w:val="nil"/>
              <w:bottom w:val="nil"/>
              <w:right w:val="nil"/>
            </w:tcBorders>
            <w:shd w:val="clear" w:color="auto" w:fill="auto"/>
            <w:vAlign w:val="bottom"/>
            <w:hideMark/>
          </w:tcPr>
          <w:p w14:paraId="57B08E0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113 </w:t>
            </w:r>
          </w:p>
        </w:tc>
        <w:tc>
          <w:tcPr>
            <w:tcW w:w="709" w:type="dxa"/>
            <w:tcBorders>
              <w:top w:val="nil"/>
              <w:left w:val="nil"/>
              <w:bottom w:val="nil"/>
              <w:right w:val="nil"/>
            </w:tcBorders>
            <w:shd w:val="clear" w:color="auto" w:fill="auto"/>
            <w:vAlign w:val="bottom"/>
            <w:hideMark/>
          </w:tcPr>
          <w:p w14:paraId="2B4624BF"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271) </w:t>
            </w:r>
          </w:p>
        </w:tc>
        <w:tc>
          <w:tcPr>
            <w:tcW w:w="709" w:type="dxa"/>
            <w:tcBorders>
              <w:top w:val="nil"/>
              <w:left w:val="nil"/>
              <w:bottom w:val="nil"/>
              <w:right w:val="nil"/>
            </w:tcBorders>
            <w:shd w:val="clear" w:color="auto" w:fill="auto"/>
            <w:vAlign w:val="bottom"/>
            <w:hideMark/>
          </w:tcPr>
          <w:p w14:paraId="3CFC8AA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8.920 </w:t>
            </w:r>
          </w:p>
        </w:tc>
        <w:tc>
          <w:tcPr>
            <w:tcW w:w="780" w:type="dxa"/>
            <w:tcBorders>
              <w:top w:val="nil"/>
              <w:left w:val="nil"/>
              <w:bottom w:val="nil"/>
              <w:right w:val="nil"/>
            </w:tcBorders>
            <w:shd w:val="clear" w:color="auto" w:fill="auto"/>
            <w:vAlign w:val="bottom"/>
            <w:hideMark/>
          </w:tcPr>
          <w:p w14:paraId="3F610024"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25.338 </w:t>
            </w:r>
          </w:p>
        </w:tc>
        <w:tc>
          <w:tcPr>
            <w:tcW w:w="160" w:type="dxa"/>
            <w:tcBorders>
              <w:top w:val="nil"/>
              <w:left w:val="nil"/>
              <w:bottom w:val="nil"/>
              <w:right w:val="nil"/>
            </w:tcBorders>
            <w:shd w:val="clear" w:color="auto" w:fill="auto"/>
            <w:vAlign w:val="bottom"/>
            <w:hideMark/>
          </w:tcPr>
          <w:p w14:paraId="074F3122"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041CA6D8"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11.642) </w:t>
            </w:r>
          </w:p>
        </w:tc>
        <w:tc>
          <w:tcPr>
            <w:tcW w:w="850" w:type="dxa"/>
            <w:tcBorders>
              <w:top w:val="nil"/>
              <w:left w:val="nil"/>
              <w:bottom w:val="nil"/>
              <w:right w:val="nil"/>
            </w:tcBorders>
            <w:shd w:val="clear" w:color="auto" w:fill="auto"/>
            <w:vAlign w:val="bottom"/>
            <w:hideMark/>
          </w:tcPr>
          <w:p w14:paraId="5A395681"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64B868E1"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562) </w:t>
            </w:r>
          </w:p>
        </w:tc>
        <w:tc>
          <w:tcPr>
            <w:tcW w:w="709" w:type="dxa"/>
            <w:tcBorders>
              <w:top w:val="nil"/>
              <w:left w:val="nil"/>
              <w:bottom w:val="nil"/>
              <w:right w:val="nil"/>
            </w:tcBorders>
            <w:shd w:val="clear" w:color="auto" w:fill="auto"/>
            <w:vAlign w:val="bottom"/>
            <w:hideMark/>
          </w:tcPr>
          <w:p w14:paraId="119C6DA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47 </w:t>
            </w:r>
          </w:p>
        </w:tc>
        <w:tc>
          <w:tcPr>
            <w:tcW w:w="850" w:type="dxa"/>
            <w:tcBorders>
              <w:top w:val="nil"/>
              <w:left w:val="nil"/>
              <w:bottom w:val="nil"/>
              <w:right w:val="nil"/>
            </w:tcBorders>
            <w:shd w:val="clear" w:color="auto" w:fill="auto"/>
            <w:vAlign w:val="bottom"/>
            <w:hideMark/>
          </w:tcPr>
          <w:p w14:paraId="3927B1C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6.206) </w:t>
            </w:r>
          </w:p>
        </w:tc>
        <w:tc>
          <w:tcPr>
            <w:tcW w:w="964" w:type="dxa"/>
            <w:tcBorders>
              <w:top w:val="nil"/>
              <w:left w:val="nil"/>
              <w:bottom w:val="nil"/>
              <w:right w:val="nil"/>
            </w:tcBorders>
            <w:shd w:val="clear" w:color="auto" w:fill="auto"/>
            <w:vAlign w:val="bottom"/>
            <w:hideMark/>
          </w:tcPr>
          <w:p w14:paraId="42DC00C6"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18.363) </w:t>
            </w:r>
          </w:p>
        </w:tc>
        <w:tc>
          <w:tcPr>
            <w:tcW w:w="160" w:type="dxa"/>
            <w:gridSpan w:val="2"/>
            <w:tcBorders>
              <w:top w:val="nil"/>
              <w:left w:val="nil"/>
              <w:bottom w:val="nil"/>
              <w:right w:val="nil"/>
            </w:tcBorders>
            <w:shd w:val="clear" w:color="auto" w:fill="auto"/>
            <w:vAlign w:val="bottom"/>
            <w:hideMark/>
          </w:tcPr>
          <w:p w14:paraId="0D1691D6"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35E5736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6.975 </w:t>
            </w:r>
          </w:p>
        </w:tc>
        <w:tc>
          <w:tcPr>
            <w:tcW w:w="964" w:type="dxa"/>
            <w:tcBorders>
              <w:top w:val="nil"/>
              <w:left w:val="nil"/>
              <w:bottom w:val="nil"/>
              <w:right w:val="nil"/>
            </w:tcBorders>
            <w:shd w:val="clear" w:color="auto" w:fill="auto"/>
            <w:vAlign w:val="bottom"/>
            <w:hideMark/>
          </w:tcPr>
          <w:p w14:paraId="3E899DF2"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4.934</w:t>
            </w:r>
          </w:p>
        </w:tc>
        <w:tc>
          <w:tcPr>
            <w:tcW w:w="907" w:type="dxa"/>
            <w:gridSpan w:val="2"/>
            <w:tcBorders>
              <w:top w:val="nil"/>
              <w:left w:val="nil"/>
              <w:bottom w:val="nil"/>
              <w:right w:val="nil"/>
            </w:tcBorders>
            <w:vAlign w:val="bottom"/>
          </w:tcPr>
          <w:p w14:paraId="407D3118"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5.549</w:t>
            </w:r>
          </w:p>
        </w:tc>
      </w:tr>
      <w:tr w:rsidR="0010523F" w:rsidRPr="0010523F" w14:paraId="7B384A8F" w14:textId="77777777" w:rsidTr="00774E7E">
        <w:trPr>
          <w:trHeight w:val="227"/>
        </w:trPr>
        <w:tc>
          <w:tcPr>
            <w:tcW w:w="2268" w:type="dxa"/>
            <w:tcBorders>
              <w:top w:val="nil"/>
              <w:left w:val="nil"/>
              <w:bottom w:val="nil"/>
              <w:right w:val="nil"/>
            </w:tcBorders>
            <w:shd w:val="clear" w:color="auto" w:fill="auto"/>
            <w:vAlign w:val="center"/>
            <w:hideMark/>
          </w:tcPr>
          <w:p w14:paraId="7EA88C51"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Muebles y útiles</w:t>
            </w:r>
          </w:p>
        </w:tc>
        <w:tc>
          <w:tcPr>
            <w:tcW w:w="851" w:type="dxa"/>
            <w:tcBorders>
              <w:top w:val="nil"/>
              <w:left w:val="nil"/>
              <w:bottom w:val="nil"/>
              <w:right w:val="nil"/>
            </w:tcBorders>
            <w:shd w:val="clear" w:color="auto" w:fill="auto"/>
            <w:vAlign w:val="bottom"/>
            <w:hideMark/>
          </w:tcPr>
          <w:p w14:paraId="231C015B"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1.715 </w:t>
            </w:r>
          </w:p>
        </w:tc>
        <w:tc>
          <w:tcPr>
            <w:tcW w:w="850" w:type="dxa"/>
            <w:tcBorders>
              <w:top w:val="nil"/>
              <w:left w:val="nil"/>
              <w:bottom w:val="nil"/>
              <w:right w:val="nil"/>
            </w:tcBorders>
            <w:shd w:val="clear" w:color="auto" w:fill="auto"/>
            <w:vAlign w:val="bottom"/>
            <w:hideMark/>
          </w:tcPr>
          <w:p w14:paraId="046CB25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59026282"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8" w:type="dxa"/>
            <w:tcBorders>
              <w:top w:val="nil"/>
              <w:left w:val="nil"/>
              <w:bottom w:val="nil"/>
              <w:right w:val="nil"/>
            </w:tcBorders>
            <w:shd w:val="clear" w:color="auto" w:fill="auto"/>
            <w:vAlign w:val="bottom"/>
            <w:hideMark/>
          </w:tcPr>
          <w:p w14:paraId="4B8A0A3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50 </w:t>
            </w:r>
          </w:p>
        </w:tc>
        <w:tc>
          <w:tcPr>
            <w:tcW w:w="709" w:type="dxa"/>
            <w:tcBorders>
              <w:top w:val="nil"/>
              <w:left w:val="nil"/>
              <w:bottom w:val="nil"/>
              <w:right w:val="nil"/>
            </w:tcBorders>
            <w:shd w:val="clear" w:color="auto" w:fill="auto"/>
            <w:vAlign w:val="bottom"/>
            <w:hideMark/>
          </w:tcPr>
          <w:p w14:paraId="09B5C20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35) </w:t>
            </w:r>
          </w:p>
        </w:tc>
        <w:tc>
          <w:tcPr>
            <w:tcW w:w="709" w:type="dxa"/>
            <w:tcBorders>
              <w:top w:val="nil"/>
              <w:left w:val="nil"/>
              <w:bottom w:val="nil"/>
              <w:right w:val="nil"/>
            </w:tcBorders>
            <w:shd w:val="clear" w:color="auto" w:fill="auto"/>
            <w:vAlign w:val="bottom"/>
            <w:hideMark/>
          </w:tcPr>
          <w:p w14:paraId="1CE18AA5"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993 </w:t>
            </w:r>
          </w:p>
        </w:tc>
        <w:tc>
          <w:tcPr>
            <w:tcW w:w="780" w:type="dxa"/>
            <w:tcBorders>
              <w:top w:val="nil"/>
              <w:left w:val="nil"/>
              <w:bottom w:val="nil"/>
              <w:right w:val="nil"/>
            </w:tcBorders>
            <w:shd w:val="clear" w:color="auto" w:fill="auto"/>
            <w:vAlign w:val="bottom"/>
            <w:hideMark/>
          </w:tcPr>
          <w:p w14:paraId="13909856"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2.723 </w:t>
            </w:r>
          </w:p>
        </w:tc>
        <w:tc>
          <w:tcPr>
            <w:tcW w:w="160" w:type="dxa"/>
            <w:tcBorders>
              <w:top w:val="nil"/>
              <w:left w:val="nil"/>
              <w:bottom w:val="nil"/>
              <w:right w:val="nil"/>
            </w:tcBorders>
            <w:shd w:val="clear" w:color="auto" w:fill="auto"/>
            <w:vAlign w:val="bottom"/>
            <w:hideMark/>
          </w:tcPr>
          <w:p w14:paraId="2D30DE28"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46C75FE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1.328) </w:t>
            </w:r>
          </w:p>
        </w:tc>
        <w:tc>
          <w:tcPr>
            <w:tcW w:w="850" w:type="dxa"/>
            <w:tcBorders>
              <w:top w:val="nil"/>
              <w:left w:val="nil"/>
              <w:bottom w:val="nil"/>
              <w:right w:val="nil"/>
            </w:tcBorders>
            <w:shd w:val="clear" w:color="auto" w:fill="auto"/>
            <w:vAlign w:val="bottom"/>
            <w:hideMark/>
          </w:tcPr>
          <w:p w14:paraId="69B5E8D1"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02B18EF8" w14:textId="77777777" w:rsidR="0010523F" w:rsidRPr="0010523F" w:rsidRDefault="0010523F" w:rsidP="0010523F">
            <w:pPr>
              <w:jc w:val="center"/>
              <w:rPr>
                <w:color w:val="000000"/>
                <w:sz w:val="16"/>
                <w:szCs w:val="16"/>
                <w:lang w:val="es-AR" w:eastAsia="es-AR"/>
              </w:rPr>
            </w:pPr>
            <w:r w:rsidRPr="0010523F">
              <w:rPr>
                <w:sz w:val="16"/>
                <w:szCs w:val="16"/>
                <w:lang w:val="es-AR" w:eastAsia="en-US"/>
              </w:rPr>
              <w:t xml:space="preserve">(     167) </w:t>
            </w:r>
          </w:p>
        </w:tc>
        <w:tc>
          <w:tcPr>
            <w:tcW w:w="709" w:type="dxa"/>
            <w:tcBorders>
              <w:top w:val="nil"/>
              <w:left w:val="nil"/>
              <w:bottom w:val="nil"/>
              <w:right w:val="nil"/>
            </w:tcBorders>
            <w:shd w:val="clear" w:color="auto" w:fill="auto"/>
            <w:vAlign w:val="bottom"/>
            <w:hideMark/>
          </w:tcPr>
          <w:p w14:paraId="70C668ED"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33 </w:t>
            </w:r>
          </w:p>
        </w:tc>
        <w:tc>
          <w:tcPr>
            <w:tcW w:w="850" w:type="dxa"/>
            <w:tcBorders>
              <w:top w:val="nil"/>
              <w:left w:val="nil"/>
              <w:bottom w:val="nil"/>
              <w:right w:val="nil"/>
            </w:tcBorders>
            <w:shd w:val="clear" w:color="auto" w:fill="auto"/>
            <w:vAlign w:val="bottom"/>
            <w:hideMark/>
          </w:tcPr>
          <w:p w14:paraId="06B44C15"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717) </w:t>
            </w:r>
          </w:p>
        </w:tc>
        <w:tc>
          <w:tcPr>
            <w:tcW w:w="964" w:type="dxa"/>
            <w:tcBorders>
              <w:top w:val="nil"/>
              <w:left w:val="nil"/>
              <w:bottom w:val="nil"/>
              <w:right w:val="nil"/>
            </w:tcBorders>
            <w:shd w:val="clear" w:color="auto" w:fill="auto"/>
            <w:vAlign w:val="bottom"/>
            <w:hideMark/>
          </w:tcPr>
          <w:p w14:paraId="4DD76F1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2.179) </w:t>
            </w:r>
          </w:p>
        </w:tc>
        <w:tc>
          <w:tcPr>
            <w:tcW w:w="160" w:type="dxa"/>
            <w:gridSpan w:val="2"/>
            <w:tcBorders>
              <w:top w:val="nil"/>
              <w:left w:val="nil"/>
              <w:bottom w:val="nil"/>
              <w:right w:val="nil"/>
            </w:tcBorders>
            <w:shd w:val="clear" w:color="auto" w:fill="auto"/>
            <w:vAlign w:val="bottom"/>
            <w:hideMark/>
          </w:tcPr>
          <w:p w14:paraId="5CCE68D3"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759856D1"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544 </w:t>
            </w:r>
          </w:p>
        </w:tc>
        <w:tc>
          <w:tcPr>
            <w:tcW w:w="964" w:type="dxa"/>
            <w:tcBorders>
              <w:top w:val="nil"/>
              <w:left w:val="nil"/>
              <w:bottom w:val="nil"/>
              <w:right w:val="nil"/>
            </w:tcBorders>
            <w:shd w:val="clear" w:color="auto" w:fill="auto"/>
            <w:vAlign w:val="bottom"/>
            <w:hideMark/>
          </w:tcPr>
          <w:p w14:paraId="70478CE7"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387</w:t>
            </w:r>
          </w:p>
        </w:tc>
        <w:tc>
          <w:tcPr>
            <w:tcW w:w="907" w:type="dxa"/>
            <w:gridSpan w:val="2"/>
            <w:tcBorders>
              <w:top w:val="nil"/>
              <w:left w:val="nil"/>
              <w:bottom w:val="nil"/>
              <w:right w:val="nil"/>
            </w:tcBorders>
            <w:vAlign w:val="bottom"/>
          </w:tcPr>
          <w:p w14:paraId="03F5793A"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466</w:t>
            </w:r>
          </w:p>
        </w:tc>
      </w:tr>
      <w:tr w:rsidR="0010523F" w:rsidRPr="0010523F" w14:paraId="76519CB3" w14:textId="77777777" w:rsidTr="00774E7E">
        <w:trPr>
          <w:trHeight w:val="397"/>
        </w:trPr>
        <w:tc>
          <w:tcPr>
            <w:tcW w:w="2268" w:type="dxa"/>
            <w:tcBorders>
              <w:top w:val="nil"/>
              <w:left w:val="nil"/>
              <w:bottom w:val="nil"/>
              <w:right w:val="nil"/>
            </w:tcBorders>
            <w:shd w:val="clear" w:color="auto" w:fill="auto"/>
            <w:vAlign w:val="center"/>
            <w:hideMark/>
          </w:tcPr>
          <w:p w14:paraId="39913B66"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Equipos de computación y de comunicaciones</w:t>
            </w:r>
          </w:p>
        </w:tc>
        <w:tc>
          <w:tcPr>
            <w:tcW w:w="851" w:type="dxa"/>
            <w:tcBorders>
              <w:top w:val="nil"/>
              <w:left w:val="nil"/>
              <w:bottom w:val="nil"/>
              <w:right w:val="nil"/>
            </w:tcBorders>
            <w:shd w:val="clear" w:color="auto" w:fill="auto"/>
            <w:vAlign w:val="bottom"/>
            <w:hideMark/>
          </w:tcPr>
          <w:p w14:paraId="13A07DD1"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5.892 </w:t>
            </w:r>
          </w:p>
        </w:tc>
        <w:tc>
          <w:tcPr>
            <w:tcW w:w="850" w:type="dxa"/>
            <w:tcBorders>
              <w:top w:val="nil"/>
              <w:left w:val="nil"/>
              <w:bottom w:val="nil"/>
              <w:right w:val="nil"/>
            </w:tcBorders>
            <w:shd w:val="clear" w:color="auto" w:fill="auto"/>
            <w:vAlign w:val="bottom"/>
            <w:hideMark/>
          </w:tcPr>
          <w:p w14:paraId="0F07728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2BC14FFA"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8" w:type="dxa"/>
            <w:tcBorders>
              <w:top w:val="nil"/>
              <w:left w:val="nil"/>
              <w:bottom w:val="nil"/>
              <w:right w:val="nil"/>
            </w:tcBorders>
            <w:shd w:val="clear" w:color="auto" w:fill="auto"/>
            <w:vAlign w:val="bottom"/>
            <w:hideMark/>
          </w:tcPr>
          <w:p w14:paraId="322606B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183 </w:t>
            </w:r>
          </w:p>
        </w:tc>
        <w:tc>
          <w:tcPr>
            <w:tcW w:w="709" w:type="dxa"/>
            <w:tcBorders>
              <w:top w:val="nil"/>
              <w:left w:val="nil"/>
              <w:bottom w:val="nil"/>
              <w:right w:val="nil"/>
            </w:tcBorders>
            <w:shd w:val="clear" w:color="auto" w:fill="auto"/>
            <w:vAlign w:val="bottom"/>
            <w:hideMark/>
          </w:tcPr>
          <w:p w14:paraId="77DD16C3"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77BF2714"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3.287 </w:t>
            </w:r>
          </w:p>
        </w:tc>
        <w:tc>
          <w:tcPr>
            <w:tcW w:w="780" w:type="dxa"/>
            <w:tcBorders>
              <w:top w:val="nil"/>
              <w:left w:val="nil"/>
              <w:bottom w:val="nil"/>
              <w:right w:val="nil"/>
            </w:tcBorders>
            <w:shd w:val="clear" w:color="auto" w:fill="auto"/>
            <w:vAlign w:val="bottom"/>
            <w:hideMark/>
          </w:tcPr>
          <w:p w14:paraId="7B4B2E5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9.362 </w:t>
            </w:r>
          </w:p>
        </w:tc>
        <w:tc>
          <w:tcPr>
            <w:tcW w:w="160" w:type="dxa"/>
            <w:tcBorders>
              <w:top w:val="nil"/>
              <w:left w:val="nil"/>
              <w:bottom w:val="nil"/>
              <w:right w:val="nil"/>
            </w:tcBorders>
            <w:shd w:val="clear" w:color="auto" w:fill="auto"/>
            <w:vAlign w:val="bottom"/>
            <w:hideMark/>
          </w:tcPr>
          <w:p w14:paraId="0E3E889E"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100BDF5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5.673) </w:t>
            </w:r>
          </w:p>
        </w:tc>
        <w:tc>
          <w:tcPr>
            <w:tcW w:w="850" w:type="dxa"/>
            <w:tcBorders>
              <w:top w:val="nil"/>
              <w:left w:val="nil"/>
              <w:bottom w:val="nil"/>
              <w:right w:val="nil"/>
            </w:tcBorders>
            <w:shd w:val="clear" w:color="auto" w:fill="auto"/>
            <w:vAlign w:val="bottom"/>
            <w:hideMark/>
          </w:tcPr>
          <w:p w14:paraId="3284644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1C06BBF3"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178) </w:t>
            </w:r>
          </w:p>
        </w:tc>
        <w:tc>
          <w:tcPr>
            <w:tcW w:w="709" w:type="dxa"/>
            <w:tcBorders>
              <w:top w:val="nil"/>
              <w:left w:val="nil"/>
              <w:bottom w:val="nil"/>
              <w:right w:val="nil"/>
            </w:tcBorders>
            <w:shd w:val="clear" w:color="auto" w:fill="auto"/>
            <w:vAlign w:val="bottom"/>
            <w:hideMark/>
          </w:tcPr>
          <w:p w14:paraId="496524C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0" w:type="dxa"/>
            <w:tcBorders>
              <w:top w:val="nil"/>
              <w:left w:val="nil"/>
              <w:bottom w:val="nil"/>
              <w:right w:val="nil"/>
            </w:tcBorders>
            <w:shd w:val="clear" w:color="auto" w:fill="auto"/>
            <w:vAlign w:val="bottom"/>
            <w:hideMark/>
          </w:tcPr>
          <w:p w14:paraId="4841D045"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2.992) </w:t>
            </w:r>
          </w:p>
        </w:tc>
        <w:tc>
          <w:tcPr>
            <w:tcW w:w="964" w:type="dxa"/>
            <w:tcBorders>
              <w:top w:val="nil"/>
              <w:left w:val="nil"/>
              <w:bottom w:val="nil"/>
              <w:right w:val="nil"/>
            </w:tcBorders>
            <w:shd w:val="clear" w:color="auto" w:fill="auto"/>
            <w:vAlign w:val="bottom"/>
            <w:hideMark/>
          </w:tcPr>
          <w:p w14:paraId="1FDFD45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8.843) </w:t>
            </w:r>
          </w:p>
        </w:tc>
        <w:tc>
          <w:tcPr>
            <w:tcW w:w="160" w:type="dxa"/>
            <w:gridSpan w:val="2"/>
            <w:tcBorders>
              <w:top w:val="nil"/>
              <w:left w:val="nil"/>
              <w:bottom w:val="nil"/>
              <w:right w:val="nil"/>
            </w:tcBorders>
            <w:shd w:val="clear" w:color="auto" w:fill="auto"/>
            <w:vAlign w:val="bottom"/>
            <w:hideMark/>
          </w:tcPr>
          <w:p w14:paraId="68E0D475"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14436CB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519 </w:t>
            </w:r>
          </w:p>
        </w:tc>
        <w:tc>
          <w:tcPr>
            <w:tcW w:w="964" w:type="dxa"/>
            <w:tcBorders>
              <w:top w:val="nil"/>
              <w:left w:val="nil"/>
              <w:bottom w:val="nil"/>
              <w:right w:val="nil"/>
            </w:tcBorders>
            <w:shd w:val="clear" w:color="auto" w:fill="auto"/>
            <w:vAlign w:val="bottom"/>
            <w:hideMark/>
          </w:tcPr>
          <w:p w14:paraId="79AE64A5"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219</w:t>
            </w:r>
          </w:p>
        </w:tc>
        <w:tc>
          <w:tcPr>
            <w:tcW w:w="907" w:type="dxa"/>
            <w:gridSpan w:val="2"/>
            <w:tcBorders>
              <w:top w:val="nil"/>
              <w:left w:val="nil"/>
              <w:bottom w:val="nil"/>
              <w:right w:val="nil"/>
            </w:tcBorders>
            <w:vAlign w:val="bottom"/>
          </w:tcPr>
          <w:p w14:paraId="325808AD"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243</w:t>
            </w:r>
          </w:p>
        </w:tc>
      </w:tr>
      <w:tr w:rsidR="0010523F" w:rsidRPr="0010523F" w14:paraId="4E171E0E" w14:textId="77777777" w:rsidTr="00774E7E">
        <w:trPr>
          <w:trHeight w:val="227"/>
        </w:trPr>
        <w:tc>
          <w:tcPr>
            <w:tcW w:w="2268" w:type="dxa"/>
            <w:tcBorders>
              <w:top w:val="nil"/>
              <w:left w:val="nil"/>
              <w:bottom w:val="nil"/>
              <w:right w:val="nil"/>
            </w:tcBorders>
            <w:shd w:val="clear" w:color="auto" w:fill="auto"/>
            <w:vAlign w:val="center"/>
            <w:hideMark/>
          </w:tcPr>
          <w:p w14:paraId="33F586A6"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Rodados</w:t>
            </w:r>
          </w:p>
        </w:tc>
        <w:tc>
          <w:tcPr>
            <w:tcW w:w="851" w:type="dxa"/>
            <w:tcBorders>
              <w:top w:val="nil"/>
              <w:left w:val="nil"/>
              <w:bottom w:val="nil"/>
              <w:right w:val="nil"/>
            </w:tcBorders>
            <w:shd w:val="clear" w:color="auto" w:fill="auto"/>
            <w:vAlign w:val="bottom"/>
            <w:hideMark/>
          </w:tcPr>
          <w:p w14:paraId="6D3B5F73"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1.356 </w:t>
            </w:r>
          </w:p>
        </w:tc>
        <w:tc>
          <w:tcPr>
            <w:tcW w:w="850" w:type="dxa"/>
            <w:tcBorders>
              <w:top w:val="nil"/>
              <w:left w:val="nil"/>
              <w:bottom w:val="nil"/>
              <w:right w:val="nil"/>
            </w:tcBorders>
            <w:shd w:val="clear" w:color="auto" w:fill="auto"/>
            <w:vAlign w:val="bottom"/>
            <w:hideMark/>
          </w:tcPr>
          <w:p w14:paraId="19C9B41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6A0FA7C1"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w:t>
            </w:r>
          </w:p>
        </w:tc>
        <w:tc>
          <w:tcPr>
            <w:tcW w:w="708" w:type="dxa"/>
            <w:tcBorders>
              <w:top w:val="nil"/>
              <w:left w:val="nil"/>
              <w:bottom w:val="nil"/>
              <w:right w:val="nil"/>
            </w:tcBorders>
            <w:shd w:val="clear" w:color="auto" w:fill="auto"/>
            <w:vAlign w:val="bottom"/>
            <w:hideMark/>
          </w:tcPr>
          <w:p w14:paraId="75A3948A"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89 </w:t>
            </w:r>
          </w:p>
        </w:tc>
        <w:tc>
          <w:tcPr>
            <w:tcW w:w="709" w:type="dxa"/>
            <w:tcBorders>
              <w:top w:val="nil"/>
              <w:left w:val="nil"/>
              <w:bottom w:val="nil"/>
              <w:right w:val="nil"/>
            </w:tcBorders>
            <w:shd w:val="clear" w:color="auto" w:fill="auto"/>
            <w:vAlign w:val="bottom"/>
            <w:hideMark/>
          </w:tcPr>
          <w:p w14:paraId="1F8674E3"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40) </w:t>
            </w:r>
          </w:p>
        </w:tc>
        <w:tc>
          <w:tcPr>
            <w:tcW w:w="709" w:type="dxa"/>
            <w:tcBorders>
              <w:top w:val="nil"/>
              <w:left w:val="nil"/>
              <w:bottom w:val="nil"/>
              <w:right w:val="nil"/>
            </w:tcBorders>
            <w:shd w:val="clear" w:color="auto" w:fill="auto"/>
            <w:vAlign w:val="bottom"/>
            <w:hideMark/>
          </w:tcPr>
          <w:p w14:paraId="043EDA9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772 </w:t>
            </w:r>
          </w:p>
        </w:tc>
        <w:tc>
          <w:tcPr>
            <w:tcW w:w="780" w:type="dxa"/>
            <w:tcBorders>
              <w:top w:val="nil"/>
              <w:left w:val="nil"/>
              <w:bottom w:val="nil"/>
              <w:right w:val="nil"/>
            </w:tcBorders>
            <w:shd w:val="clear" w:color="auto" w:fill="auto"/>
            <w:vAlign w:val="bottom"/>
            <w:hideMark/>
          </w:tcPr>
          <w:p w14:paraId="7A54C08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2.177 </w:t>
            </w:r>
          </w:p>
        </w:tc>
        <w:tc>
          <w:tcPr>
            <w:tcW w:w="160" w:type="dxa"/>
            <w:tcBorders>
              <w:top w:val="nil"/>
              <w:left w:val="nil"/>
              <w:bottom w:val="nil"/>
              <w:right w:val="nil"/>
            </w:tcBorders>
            <w:shd w:val="clear" w:color="auto" w:fill="auto"/>
            <w:vAlign w:val="bottom"/>
            <w:hideMark/>
          </w:tcPr>
          <w:p w14:paraId="206BB811"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5F812BB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1.087) </w:t>
            </w:r>
          </w:p>
        </w:tc>
        <w:tc>
          <w:tcPr>
            <w:tcW w:w="850" w:type="dxa"/>
            <w:tcBorders>
              <w:top w:val="nil"/>
              <w:left w:val="nil"/>
              <w:bottom w:val="nil"/>
              <w:right w:val="nil"/>
            </w:tcBorders>
            <w:shd w:val="clear" w:color="auto" w:fill="auto"/>
            <w:vAlign w:val="bottom"/>
            <w:hideMark/>
          </w:tcPr>
          <w:p w14:paraId="797790AD"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7AF644B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108) </w:t>
            </w:r>
          </w:p>
        </w:tc>
        <w:tc>
          <w:tcPr>
            <w:tcW w:w="709" w:type="dxa"/>
            <w:tcBorders>
              <w:top w:val="nil"/>
              <w:left w:val="nil"/>
              <w:bottom w:val="nil"/>
              <w:right w:val="nil"/>
            </w:tcBorders>
            <w:shd w:val="clear" w:color="auto" w:fill="auto"/>
            <w:vAlign w:val="bottom"/>
            <w:hideMark/>
          </w:tcPr>
          <w:p w14:paraId="54B6204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41 </w:t>
            </w:r>
          </w:p>
        </w:tc>
        <w:tc>
          <w:tcPr>
            <w:tcW w:w="850" w:type="dxa"/>
            <w:tcBorders>
              <w:top w:val="nil"/>
              <w:left w:val="nil"/>
              <w:bottom w:val="nil"/>
              <w:right w:val="nil"/>
            </w:tcBorders>
            <w:shd w:val="clear" w:color="auto" w:fill="auto"/>
            <w:vAlign w:val="bottom"/>
            <w:hideMark/>
          </w:tcPr>
          <w:p w14:paraId="6A0125DF"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581) </w:t>
            </w:r>
          </w:p>
        </w:tc>
        <w:tc>
          <w:tcPr>
            <w:tcW w:w="964" w:type="dxa"/>
            <w:tcBorders>
              <w:top w:val="nil"/>
              <w:left w:val="nil"/>
              <w:bottom w:val="nil"/>
              <w:right w:val="nil"/>
            </w:tcBorders>
            <w:shd w:val="clear" w:color="auto" w:fill="auto"/>
            <w:vAlign w:val="bottom"/>
            <w:hideMark/>
          </w:tcPr>
          <w:p w14:paraId="4916D34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1.735) </w:t>
            </w:r>
          </w:p>
        </w:tc>
        <w:tc>
          <w:tcPr>
            <w:tcW w:w="160" w:type="dxa"/>
            <w:gridSpan w:val="2"/>
            <w:tcBorders>
              <w:top w:val="nil"/>
              <w:left w:val="nil"/>
              <w:bottom w:val="nil"/>
              <w:right w:val="nil"/>
            </w:tcBorders>
            <w:shd w:val="clear" w:color="auto" w:fill="auto"/>
            <w:vAlign w:val="bottom"/>
            <w:hideMark/>
          </w:tcPr>
          <w:p w14:paraId="0BB4EB0C"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36A9D612"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442 </w:t>
            </w:r>
          </w:p>
        </w:tc>
        <w:tc>
          <w:tcPr>
            <w:tcW w:w="964" w:type="dxa"/>
            <w:tcBorders>
              <w:top w:val="nil"/>
              <w:left w:val="nil"/>
              <w:bottom w:val="nil"/>
              <w:right w:val="nil"/>
            </w:tcBorders>
            <w:shd w:val="clear" w:color="auto" w:fill="auto"/>
            <w:vAlign w:val="bottom"/>
            <w:hideMark/>
          </w:tcPr>
          <w:p w14:paraId="2C86388C"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269</w:t>
            </w:r>
          </w:p>
        </w:tc>
        <w:tc>
          <w:tcPr>
            <w:tcW w:w="907" w:type="dxa"/>
            <w:gridSpan w:val="2"/>
            <w:tcBorders>
              <w:top w:val="nil"/>
              <w:left w:val="nil"/>
              <w:bottom w:val="nil"/>
              <w:right w:val="nil"/>
            </w:tcBorders>
            <w:vAlign w:val="bottom"/>
          </w:tcPr>
          <w:p w14:paraId="34341BB1"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320</w:t>
            </w:r>
          </w:p>
        </w:tc>
      </w:tr>
      <w:tr w:rsidR="0010523F" w:rsidRPr="0010523F" w14:paraId="69CBDE67" w14:textId="77777777" w:rsidTr="00774E7E">
        <w:trPr>
          <w:trHeight w:val="227"/>
        </w:trPr>
        <w:tc>
          <w:tcPr>
            <w:tcW w:w="2268" w:type="dxa"/>
            <w:tcBorders>
              <w:top w:val="nil"/>
              <w:left w:val="nil"/>
              <w:bottom w:val="nil"/>
              <w:right w:val="nil"/>
            </w:tcBorders>
            <w:shd w:val="clear" w:color="auto" w:fill="auto"/>
            <w:vAlign w:val="center"/>
            <w:hideMark/>
          </w:tcPr>
          <w:p w14:paraId="67E8E73C"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Equipos de perforación</w:t>
            </w:r>
          </w:p>
        </w:tc>
        <w:tc>
          <w:tcPr>
            <w:tcW w:w="851" w:type="dxa"/>
            <w:tcBorders>
              <w:top w:val="nil"/>
              <w:left w:val="nil"/>
              <w:bottom w:val="nil"/>
              <w:right w:val="nil"/>
            </w:tcBorders>
            <w:shd w:val="clear" w:color="auto" w:fill="auto"/>
            <w:vAlign w:val="bottom"/>
            <w:hideMark/>
          </w:tcPr>
          <w:p w14:paraId="6CFBD511"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4.392 </w:t>
            </w:r>
          </w:p>
        </w:tc>
        <w:tc>
          <w:tcPr>
            <w:tcW w:w="850" w:type="dxa"/>
            <w:tcBorders>
              <w:top w:val="nil"/>
              <w:left w:val="nil"/>
              <w:bottom w:val="nil"/>
              <w:right w:val="nil"/>
            </w:tcBorders>
            <w:shd w:val="clear" w:color="auto" w:fill="auto"/>
            <w:vAlign w:val="bottom"/>
            <w:hideMark/>
          </w:tcPr>
          <w:p w14:paraId="1429D913"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247976F6"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8" w:type="dxa"/>
            <w:tcBorders>
              <w:top w:val="nil"/>
              <w:left w:val="nil"/>
              <w:bottom w:val="nil"/>
              <w:right w:val="nil"/>
            </w:tcBorders>
            <w:shd w:val="clear" w:color="auto" w:fill="auto"/>
            <w:vAlign w:val="bottom"/>
            <w:hideMark/>
          </w:tcPr>
          <w:p w14:paraId="62D572AA"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p>
        </w:tc>
        <w:tc>
          <w:tcPr>
            <w:tcW w:w="709" w:type="dxa"/>
            <w:tcBorders>
              <w:top w:val="nil"/>
              <w:left w:val="nil"/>
              <w:bottom w:val="nil"/>
              <w:right w:val="nil"/>
            </w:tcBorders>
            <w:shd w:val="clear" w:color="auto" w:fill="auto"/>
            <w:vAlign w:val="bottom"/>
            <w:hideMark/>
          </w:tcPr>
          <w:p w14:paraId="319CBF8C"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p>
        </w:tc>
        <w:tc>
          <w:tcPr>
            <w:tcW w:w="709" w:type="dxa"/>
            <w:tcBorders>
              <w:top w:val="nil"/>
              <w:left w:val="nil"/>
              <w:bottom w:val="nil"/>
              <w:right w:val="nil"/>
            </w:tcBorders>
            <w:shd w:val="clear" w:color="auto" w:fill="auto"/>
            <w:vAlign w:val="bottom"/>
            <w:hideMark/>
          </w:tcPr>
          <w:p w14:paraId="656D24E4"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2.286 </w:t>
            </w:r>
          </w:p>
        </w:tc>
        <w:tc>
          <w:tcPr>
            <w:tcW w:w="780" w:type="dxa"/>
            <w:tcBorders>
              <w:top w:val="nil"/>
              <w:left w:val="nil"/>
              <w:bottom w:val="nil"/>
              <w:right w:val="nil"/>
            </w:tcBorders>
            <w:shd w:val="clear" w:color="auto" w:fill="auto"/>
            <w:vAlign w:val="bottom"/>
            <w:hideMark/>
          </w:tcPr>
          <w:p w14:paraId="272D202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6.678 </w:t>
            </w:r>
          </w:p>
        </w:tc>
        <w:tc>
          <w:tcPr>
            <w:tcW w:w="160" w:type="dxa"/>
            <w:tcBorders>
              <w:top w:val="nil"/>
              <w:left w:val="nil"/>
              <w:bottom w:val="nil"/>
              <w:right w:val="nil"/>
            </w:tcBorders>
            <w:shd w:val="clear" w:color="auto" w:fill="auto"/>
            <w:vAlign w:val="bottom"/>
            <w:hideMark/>
          </w:tcPr>
          <w:p w14:paraId="09379CDD"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35898734"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1.618) </w:t>
            </w:r>
          </w:p>
        </w:tc>
        <w:tc>
          <w:tcPr>
            <w:tcW w:w="850" w:type="dxa"/>
            <w:tcBorders>
              <w:top w:val="nil"/>
              <w:left w:val="nil"/>
              <w:bottom w:val="nil"/>
              <w:right w:val="nil"/>
            </w:tcBorders>
            <w:shd w:val="clear" w:color="auto" w:fill="auto"/>
            <w:vAlign w:val="bottom"/>
            <w:hideMark/>
          </w:tcPr>
          <w:p w14:paraId="7814A33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4AC66034"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286) </w:t>
            </w:r>
          </w:p>
        </w:tc>
        <w:tc>
          <w:tcPr>
            <w:tcW w:w="709" w:type="dxa"/>
            <w:tcBorders>
              <w:top w:val="nil"/>
              <w:left w:val="nil"/>
              <w:bottom w:val="nil"/>
              <w:right w:val="nil"/>
            </w:tcBorders>
            <w:shd w:val="clear" w:color="auto" w:fill="auto"/>
            <w:vAlign w:val="bottom"/>
            <w:hideMark/>
          </w:tcPr>
          <w:p w14:paraId="37658208"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0" w:type="dxa"/>
            <w:tcBorders>
              <w:top w:val="nil"/>
              <w:left w:val="nil"/>
              <w:bottom w:val="nil"/>
              <w:right w:val="nil"/>
            </w:tcBorders>
            <w:shd w:val="clear" w:color="auto" w:fill="auto"/>
            <w:vAlign w:val="bottom"/>
            <w:hideMark/>
          </w:tcPr>
          <w:p w14:paraId="4C3A5043"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916) </w:t>
            </w:r>
          </w:p>
        </w:tc>
        <w:tc>
          <w:tcPr>
            <w:tcW w:w="964" w:type="dxa"/>
            <w:tcBorders>
              <w:top w:val="nil"/>
              <w:left w:val="nil"/>
              <w:bottom w:val="nil"/>
              <w:right w:val="nil"/>
            </w:tcBorders>
            <w:shd w:val="clear" w:color="auto" w:fill="auto"/>
            <w:vAlign w:val="bottom"/>
            <w:hideMark/>
          </w:tcPr>
          <w:p w14:paraId="7425EEA2"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2.820) </w:t>
            </w:r>
          </w:p>
        </w:tc>
        <w:tc>
          <w:tcPr>
            <w:tcW w:w="160" w:type="dxa"/>
            <w:gridSpan w:val="2"/>
            <w:tcBorders>
              <w:top w:val="nil"/>
              <w:left w:val="nil"/>
              <w:bottom w:val="nil"/>
              <w:right w:val="nil"/>
            </w:tcBorders>
            <w:shd w:val="clear" w:color="auto" w:fill="auto"/>
            <w:vAlign w:val="bottom"/>
            <w:hideMark/>
          </w:tcPr>
          <w:p w14:paraId="6E40A3F3"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40DE9F15"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3.858 </w:t>
            </w:r>
          </w:p>
        </w:tc>
        <w:tc>
          <w:tcPr>
            <w:tcW w:w="964" w:type="dxa"/>
            <w:tcBorders>
              <w:top w:val="nil"/>
              <w:left w:val="nil"/>
              <w:bottom w:val="nil"/>
              <w:right w:val="nil"/>
            </w:tcBorders>
            <w:shd w:val="clear" w:color="auto" w:fill="auto"/>
            <w:vAlign w:val="bottom"/>
            <w:hideMark/>
          </w:tcPr>
          <w:p w14:paraId="3789C192"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2.774</w:t>
            </w:r>
          </w:p>
        </w:tc>
        <w:tc>
          <w:tcPr>
            <w:tcW w:w="907" w:type="dxa"/>
            <w:gridSpan w:val="2"/>
            <w:tcBorders>
              <w:top w:val="nil"/>
              <w:left w:val="nil"/>
              <w:bottom w:val="nil"/>
              <w:right w:val="nil"/>
            </w:tcBorders>
            <w:vAlign w:val="bottom"/>
          </w:tcPr>
          <w:p w14:paraId="3AD3C8D1"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3.129</w:t>
            </w:r>
          </w:p>
        </w:tc>
      </w:tr>
      <w:tr w:rsidR="0010523F" w:rsidRPr="0010523F" w14:paraId="0D470119" w14:textId="77777777" w:rsidTr="00774E7E">
        <w:trPr>
          <w:trHeight w:val="227"/>
        </w:trPr>
        <w:tc>
          <w:tcPr>
            <w:tcW w:w="2268" w:type="dxa"/>
            <w:tcBorders>
              <w:top w:val="nil"/>
              <w:left w:val="nil"/>
              <w:bottom w:val="nil"/>
              <w:right w:val="nil"/>
            </w:tcBorders>
            <w:shd w:val="clear" w:color="auto" w:fill="auto"/>
            <w:vAlign w:val="center"/>
            <w:hideMark/>
          </w:tcPr>
          <w:p w14:paraId="4D200583"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Aparatos, surtidores y tanques</w:t>
            </w:r>
          </w:p>
        </w:tc>
        <w:tc>
          <w:tcPr>
            <w:tcW w:w="851" w:type="dxa"/>
            <w:tcBorders>
              <w:top w:val="nil"/>
              <w:left w:val="nil"/>
              <w:bottom w:val="nil"/>
              <w:right w:val="nil"/>
            </w:tcBorders>
            <w:shd w:val="clear" w:color="auto" w:fill="auto"/>
            <w:vAlign w:val="bottom"/>
            <w:hideMark/>
          </w:tcPr>
          <w:p w14:paraId="6080423D"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16.634 </w:t>
            </w:r>
          </w:p>
        </w:tc>
        <w:tc>
          <w:tcPr>
            <w:tcW w:w="850" w:type="dxa"/>
            <w:tcBorders>
              <w:top w:val="nil"/>
              <w:left w:val="nil"/>
              <w:bottom w:val="nil"/>
              <w:right w:val="nil"/>
            </w:tcBorders>
            <w:shd w:val="clear" w:color="auto" w:fill="auto"/>
            <w:vAlign w:val="bottom"/>
            <w:hideMark/>
          </w:tcPr>
          <w:p w14:paraId="3379FB3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69A7841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8" w:type="dxa"/>
            <w:tcBorders>
              <w:top w:val="nil"/>
              <w:left w:val="nil"/>
              <w:bottom w:val="nil"/>
              <w:right w:val="nil"/>
            </w:tcBorders>
            <w:shd w:val="clear" w:color="auto" w:fill="auto"/>
            <w:vAlign w:val="bottom"/>
            <w:hideMark/>
          </w:tcPr>
          <w:p w14:paraId="5A840E2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119 </w:t>
            </w:r>
          </w:p>
        </w:tc>
        <w:tc>
          <w:tcPr>
            <w:tcW w:w="709" w:type="dxa"/>
            <w:tcBorders>
              <w:top w:val="nil"/>
              <w:left w:val="nil"/>
              <w:bottom w:val="nil"/>
              <w:right w:val="nil"/>
            </w:tcBorders>
            <w:shd w:val="clear" w:color="auto" w:fill="auto"/>
            <w:vAlign w:val="bottom"/>
            <w:hideMark/>
          </w:tcPr>
          <w:p w14:paraId="17208C52"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43) </w:t>
            </w:r>
          </w:p>
        </w:tc>
        <w:tc>
          <w:tcPr>
            <w:tcW w:w="709" w:type="dxa"/>
            <w:tcBorders>
              <w:top w:val="nil"/>
              <w:left w:val="nil"/>
              <w:bottom w:val="nil"/>
              <w:right w:val="nil"/>
            </w:tcBorders>
            <w:shd w:val="clear" w:color="auto" w:fill="auto"/>
            <w:vAlign w:val="bottom"/>
            <w:hideMark/>
          </w:tcPr>
          <w:p w14:paraId="56B3F39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9.018 </w:t>
            </w:r>
          </w:p>
        </w:tc>
        <w:tc>
          <w:tcPr>
            <w:tcW w:w="780" w:type="dxa"/>
            <w:tcBorders>
              <w:top w:val="nil"/>
              <w:left w:val="nil"/>
              <w:bottom w:val="nil"/>
              <w:right w:val="nil"/>
            </w:tcBorders>
            <w:shd w:val="clear" w:color="auto" w:fill="auto"/>
            <w:vAlign w:val="bottom"/>
            <w:hideMark/>
          </w:tcPr>
          <w:p w14:paraId="5093C9F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25.728 </w:t>
            </w:r>
          </w:p>
        </w:tc>
        <w:tc>
          <w:tcPr>
            <w:tcW w:w="160" w:type="dxa"/>
            <w:tcBorders>
              <w:top w:val="nil"/>
              <w:left w:val="nil"/>
              <w:bottom w:val="nil"/>
              <w:right w:val="nil"/>
            </w:tcBorders>
            <w:shd w:val="clear" w:color="auto" w:fill="auto"/>
            <w:vAlign w:val="bottom"/>
            <w:hideMark/>
          </w:tcPr>
          <w:p w14:paraId="50B886E3"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521B9119"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9.916) </w:t>
            </w:r>
          </w:p>
        </w:tc>
        <w:tc>
          <w:tcPr>
            <w:tcW w:w="850" w:type="dxa"/>
            <w:tcBorders>
              <w:top w:val="nil"/>
              <w:left w:val="nil"/>
              <w:bottom w:val="nil"/>
              <w:right w:val="nil"/>
            </w:tcBorders>
            <w:shd w:val="clear" w:color="auto" w:fill="auto"/>
            <w:vAlign w:val="bottom"/>
            <w:hideMark/>
          </w:tcPr>
          <w:p w14:paraId="069A55B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69D7C51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700) </w:t>
            </w:r>
          </w:p>
        </w:tc>
        <w:tc>
          <w:tcPr>
            <w:tcW w:w="709" w:type="dxa"/>
            <w:tcBorders>
              <w:top w:val="nil"/>
              <w:left w:val="nil"/>
              <w:bottom w:val="nil"/>
              <w:right w:val="nil"/>
            </w:tcBorders>
            <w:shd w:val="clear" w:color="auto" w:fill="auto"/>
            <w:vAlign w:val="bottom"/>
            <w:hideMark/>
          </w:tcPr>
          <w:p w14:paraId="15B1F61B"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31 </w:t>
            </w:r>
          </w:p>
        </w:tc>
        <w:tc>
          <w:tcPr>
            <w:tcW w:w="850" w:type="dxa"/>
            <w:tcBorders>
              <w:top w:val="nil"/>
              <w:left w:val="nil"/>
              <w:bottom w:val="nil"/>
              <w:right w:val="nil"/>
            </w:tcBorders>
            <w:shd w:val="clear" w:color="auto" w:fill="auto"/>
            <w:vAlign w:val="bottom"/>
            <w:hideMark/>
          </w:tcPr>
          <w:p w14:paraId="673B13F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5.346) </w:t>
            </w:r>
          </w:p>
        </w:tc>
        <w:tc>
          <w:tcPr>
            <w:tcW w:w="964" w:type="dxa"/>
            <w:tcBorders>
              <w:top w:val="nil"/>
              <w:left w:val="nil"/>
              <w:bottom w:val="nil"/>
              <w:right w:val="nil"/>
            </w:tcBorders>
            <w:shd w:val="clear" w:color="auto" w:fill="auto"/>
            <w:vAlign w:val="bottom"/>
            <w:hideMark/>
          </w:tcPr>
          <w:p w14:paraId="607ADB3A"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15.931) </w:t>
            </w:r>
          </w:p>
        </w:tc>
        <w:tc>
          <w:tcPr>
            <w:tcW w:w="160" w:type="dxa"/>
            <w:gridSpan w:val="2"/>
            <w:tcBorders>
              <w:top w:val="nil"/>
              <w:left w:val="nil"/>
              <w:bottom w:val="nil"/>
              <w:right w:val="nil"/>
            </w:tcBorders>
            <w:shd w:val="clear" w:color="auto" w:fill="auto"/>
            <w:vAlign w:val="bottom"/>
            <w:hideMark/>
          </w:tcPr>
          <w:p w14:paraId="643925BF"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7F69FCE1"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9.797 </w:t>
            </w:r>
          </w:p>
        </w:tc>
        <w:tc>
          <w:tcPr>
            <w:tcW w:w="964" w:type="dxa"/>
            <w:tcBorders>
              <w:top w:val="nil"/>
              <w:left w:val="nil"/>
              <w:bottom w:val="nil"/>
              <w:right w:val="nil"/>
            </w:tcBorders>
            <w:shd w:val="clear" w:color="auto" w:fill="auto"/>
            <w:vAlign w:val="bottom"/>
            <w:hideMark/>
          </w:tcPr>
          <w:p w14:paraId="2017448B" w14:textId="77777777" w:rsidR="0010523F" w:rsidRPr="0010523F" w:rsidRDefault="0010523F" w:rsidP="0010523F">
            <w:pPr>
              <w:jc w:val="right"/>
              <w:rPr>
                <w:color w:val="000000"/>
                <w:sz w:val="16"/>
                <w:szCs w:val="16"/>
                <w:lang w:val="es-AR" w:eastAsia="es-AR"/>
              </w:rPr>
            </w:pPr>
            <w:r w:rsidRPr="0010523F">
              <w:rPr>
                <w:color w:val="000000"/>
                <w:sz w:val="16"/>
                <w:szCs w:val="16"/>
                <w:lang w:eastAsia="es-AR"/>
              </w:rPr>
              <w:t>6.718</w:t>
            </w:r>
          </w:p>
        </w:tc>
        <w:tc>
          <w:tcPr>
            <w:tcW w:w="907" w:type="dxa"/>
            <w:gridSpan w:val="2"/>
            <w:tcBorders>
              <w:top w:val="nil"/>
              <w:left w:val="nil"/>
              <w:bottom w:val="nil"/>
              <w:right w:val="nil"/>
            </w:tcBorders>
            <w:vAlign w:val="bottom"/>
          </w:tcPr>
          <w:p w14:paraId="37AD4544" w14:textId="77777777" w:rsidR="0010523F" w:rsidRPr="0010523F" w:rsidRDefault="0010523F" w:rsidP="0010523F">
            <w:pPr>
              <w:jc w:val="right"/>
              <w:rPr>
                <w:color w:val="000000"/>
                <w:sz w:val="16"/>
                <w:szCs w:val="16"/>
                <w:lang w:eastAsia="es-AR"/>
              </w:rPr>
            </w:pPr>
            <w:r w:rsidRPr="0010523F">
              <w:rPr>
                <w:color w:val="000000"/>
                <w:sz w:val="16"/>
                <w:szCs w:val="16"/>
                <w:lang w:eastAsia="es-AR"/>
              </w:rPr>
              <w:t>6.870</w:t>
            </w:r>
          </w:p>
        </w:tc>
      </w:tr>
      <w:tr w:rsidR="0010523F" w:rsidRPr="0010523F" w14:paraId="0EBCE131" w14:textId="77777777" w:rsidTr="00774E7E">
        <w:trPr>
          <w:trHeight w:val="227"/>
        </w:trPr>
        <w:tc>
          <w:tcPr>
            <w:tcW w:w="2268" w:type="dxa"/>
            <w:tcBorders>
              <w:top w:val="nil"/>
              <w:left w:val="nil"/>
              <w:bottom w:val="nil"/>
              <w:right w:val="nil"/>
            </w:tcBorders>
            <w:shd w:val="clear" w:color="auto" w:fill="auto"/>
            <w:vAlign w:val="center"/>
            <w:hideMark/>
          </w:tcPr>
          <w:p w14:paraId="7801C2D1"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Arrendamientos financieros (1)</w:t>
            </w:r>
          </w:p>
        </w:tc>
        <w:tc>
          <w:tcPr>
            <w:tcW w:w="851" w:type="dxa"/>
            <w:tcBorders>
              <w:top w:val="nil"/>
              <w:left w:val="nil"/>
              <w:bottom w:val="nil"/>
              <w:right w:val="nil"/>
            </w:tcBorders>
            <w:shd w:val="clear" w:color="auto" w:fill="auto"/>
            <w:vAlign w:val="bottom"/>
            <w:hideMark/>
          </w:tcPr>
          <w:p w14:paraId="769BC89A" w14:textId="77777777" w:rsidR="0010523F" w:rsidRPr="0010523F" w:rsidRDefault="0010523F" w:rsidP="0010523F">
            <w:pPr>
              <w:jc w:val="right"/>
              <w:rPr>
                <w:color w:val="000000"/>
                <w:sz w:val="16"/>
                <w:szCs w:val="16"/>
                <w:highlight w:val="yellow"/>
                <w:lang w:val="es-AR" w:eastAsia="es-AR"/>
              </w:rPr>
            </w:pPr>
            <w:r w:rsidRPr="0010523F">
              <w:rPr>
                <w:sz w:val="16"/>
                <w:szCs w:val="16"/>
                <w:lang w:val="es-AR" w:eastAsia="en-US"/>
              </w:rPr>
              <w:t xml:space="preserve"> - </w:t>
            </w:r>
          </w:p>
        </w:tc>
        <w:tc>
          <w:tcPr>
            <w:tcW w:w="850" w:type="dxa"/>
            <w:tcBorders>
              <w:top w:val="nil"/>
              <w:left w:val="nil"/>
              <w:bottom w:val="nil"/>
              <w:right w:val="nil"/>
            </w:tcBorders>
            <w:shd w:val="clear" w:color="auto" w:fill="auto"/>
            <w:vAlign w:val="bottom"/>
            <w:hideMark/>
          </w:tcPr>
          <w:p w14:paraId="516BC5BD"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1" w:type="dxa"/>
            <w:tcBorders>
              <w:top w:val="nil"/>
              <w:left w:val="nil"/>
              <w:bottom w:val="nil"/>
              <w:right w:val="nil"/>
            </w:tcBorders>
            <w:shd w:val="clear" w:color="auto" w:fill="auto"/>
            <w:vAlign w:val="bottom"/>
            <w:hideMark/>
          </w:tcPr>
          <w:p w14:paraId="2E8DBF00"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8" w:type="dxa"/>
            <w:tcBorders>
              <w:top w:val="nil"/>
              <w:left w:val="nil"/>
              <w:bottom w:val="nil"/>
              <w:right w:val="nil"/>
            </w:tcBorders>
            <w:shd w:val="clear" w:color="auto" w:fill="auto"/>
            <w:vAlign w:val="bottom"/>
            <w:hideMark/>
          </w:tcPr>
          <w:p w14:paraId="0EE52697"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p>
        </w:tc>
        <w:tc>
          <w:tcPr>
            <w:tcW w:w="709" w:type="dxa"/>
            <w:tcBorders>
              <w:top w:val="nil"/>
              <w:left w:val="nil"/>
              <w:bottom w:val="nil"/>
              <w:right w:val="nil"/>
            </w:tcBorders>
            <w:shd w:val="clear" w:color="auto" w:fill="auto"/>
            <w:vAlign w:val="bottom"/>
            <w:hideMark/>
          </w:tcPr>
          <w:p w14:paraId="08061C31"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p>
        </w:tc>
        <w:tc>
          <w:tcPr>
            <w:tcW w:w="709" w:type="dxa"/>
            <w:tcBorders>
              <w:top w:val="nil"/>
              <w:left w:val="nil"/>
              <w:bottom w:val="nil"/>
              <w:right w:val="nil"/>
            </w:tcBorders>
            <w:shd w:val="clear" w:color="auto" w:fill="auto"/>
            <w:vAlign w:val="bottom"/>
            <w:hideMark/>
          </w:tcPr>
          <w:p w14:paraId="6D74332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w:t>
            </w:r>
          </w:p>
        </w:tc>
        <w:tc>
          <w:tcPr>
            <w:tcW w:w="780" w:type="dxa"/>
            <w:tcBorders>
              <w:top w:val="nil"/>
              <w:left w:val="nil"/>
              <w:bottom w:val="nil"/>
              <w:right w:val="nil"/>
            </w:tcBorders>
            <w:shd w:val="clear" w:color="auto" w:fill="auto"/>
            <w:vAlign w:val="bottom"/>
            <w:hideMark/>
          </w:tcPr>
          <w:p w14:paraId="1DDB5795"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160" w:type="dxa"/>
            <w:tcBorders>
              <w:top w:val="nil"/>
              <w:left w:val="nil"/>
              <w:bottom w:val="nil"/>
              <w:right w:val="nil"/>
            </w:tcBorders>
            <w:shd w:val="clear" w:color="auto" w:fill="auto"/>
            <w:vAlign w:val="bottom"/>
            <w:hideMark/>
          </w:tcPr>
          <w:p w14:paraId="02BB9EB6"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72C46CB4"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0" w:type="dxa"/>
            <w:tcBorders>
              <w:top w:val="nil"/>
              <w:left w:val="nil"/>
              <w:bottom w:val="nil"/>
              <w:right w:val="nil"/>
            </w:tcBorders>
            <w:shd w:val="clear" w:color="auto" w:fill="auto"/>
            <w:vAlign w:val="bottom"/>
            <w:hideMark/>
          </w:tcPr>
          <w:p w14:paraId="748B2542"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709" w:type="dxa"/>
            <w:tcBorders>
              <w:top w:val="nil"/>
              <w:left w:val="nil"/>
              <w:bottom w:val="nil"/>
              <w:right w:val="nil"/>
            </w:tcBorders>
            <w:shd w:val="clear" w:color="auto" w:fill="auto"/>
            <w:vAlign w:val="bottom"/>
            <w:hideMark/>
          </w:tcPr>
          <w:p w14:paraId="19214D17"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w:t>
            </w:r>
          </w:p>
        </w:tc>
        <w:tc>
          <w:tcPr>
            <w:tcW w:w="709" w:type="dxa"/>
            <w:tcBorders>
              <w:top w:val="nil"/>
              <w:left w:val="nil"/>
              <w:bottom w:val="nil"/>
              <w:right w:val="nil"/>
            </w:tcBorders>
            <w:shd w:val="clear" w:color="auto" w:fill="auto"/>
            <w:vAlign w:val="bottom"/>
            <w:hideMark/>
          </w:tcPr>
          <w:p w14:paraId="2D97256D"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850" w:type="dxa"/>
            <w:tcBorders>
              <w:top w:val="nil"/>
              <w:left w:val="nil"/>
              <w:bottom w:val="nil"/>
              <w:right w:val="nil"/>
            </w:tcBorders>
            <w:shd w:val="clear" w:color="auto" w:fill="auto"/>
            <w:vAlign w:val="bottom"/>
            <w:hideMark/>
          </w:tcPr>
          <w:p w14:paraId="1A8397AC"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w:t>
            </w:r>
          </w:p>
        </w:tc>
        <w:tc>
          <w:tcPr>
            <w:tcW w:w="964" w:type="dxa"/>
            <w:tcBorders>
              <w:top w:val="nil"/>
              <w:left w:val="nil"/>
              <w:bottom w:val="nil"/>
              <w:right w:val="nil"/>
            </w:tcBorders>
            <w:shd w:val="clear" w:color="auto" w:fill="auto"/>
            <w:vAlign w:val="bottom"/>
            <w:hideMark/>
          </w:tcPr>
          <w:p w14:paraId="455E697E"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 </w:t>
            </w:r>
          </w:p>
        </w:tc>
        <w:tc>
          <w:tcPr>
            <w:tcW w:w="160" w:type="dxa"/>
            <w:gridSpan w:val="2"/>
            <w:tcBorders>
              <w:top w:val="nil"/>
              <w:left w:val="nil"/>
              <w:bottom w:val="nil"/>
              <w:right w:val="nil"/>
            </w:tcBorders>
            <w:shd w:val="clear" w:color="auto" w:fill="auto"/>
            <w:vAlign w:val="bottom"/>
            <w:hideMark/>
          </w:tcPr>
          <w:p w14:paraId="5201CF9A"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2A863611" w14:textId="77777777" w:rsidR="0010523F" w:rsidRPr="0010523F" w:rsidRDefault="0010523F" w:rsidP="0010523F">
            <w:pPr>
              <w:jc w:val="right"/>
              <w:rPr>
                <w:color w:val="000000"/>
                <w:sz w:val="16"/>
                <w:szCs w:val="16"/>
                <w:lang w:val="es-AR" w:eastAsia="es-AR"/>
              </w:rPr>
            </w:pPr>
            <w:r w:rsidRPr="0010523F">
              <w:rPr>
                <w:sz w:val="16"/>
                <w:szCs w:val="16"/>
                <w:lang w:val="es-AR" w:eastAsia="en-US"/>
              </w:rPr>
              <w:t xml:space="preserve">- </w:t>
            </w:r>
          </w:p>
        </w:tc>
        <w:tc>
          <w:tcPr>
            <w:tcW w:w="964" w:type="dxa"/>
            <w:tcBorders>
              <w:top w:val="nil"/>
              <w:left w:val="nil"/>
              <w:bottom w:val="nil"/>
              <w:right w:val="nil"/>
            </w:tcBorders>
            <w:shd w:val="clear" w:color="auto" w:fill="auto"/>
            <w:vAlign w:val="bottom"/>
            <w:hideMark/>
          </w:tcPr>
          <w:p w14:paraId="79D4EBF6" w14:textId="77777777" w:rsidR="0010523F" w:rsidRPr="0010523F" w:rsidRDefault="0010523F" w:rsidP="0010523F">
            <w:pPr>
              <w:jc w:val="right"/>
              <w:rPr>
                <w:color w:val="000000"/>
                <w:sz w:val="16"/>
                <w:szCs w:val="16"/>
                <w:lang w:val="es-AR" w:eastAsia="es-AR"/>
              </w:rPr>
            </w:pPr>
            <w:r w:rsidRPr="0010523F">
              <w:rPr>
                <w:color w:val="000000"/>
                <w:sz w:val="16"/>
                <w:szCs w:val="16"/>
                <w:lang w:eastAsia="es-AR"/>
              </w:rPr>
              <w:t>1.700</w:t>
            </w:r>
          </w:p>
        </w:tc>
        <w:tc>
          <w:tcPr>
            <w:tcW w:w="907" w:type="dxa"/>
            <w:gridSpan w:val="2"/>
            <w:tcBorders>
              <w:top w:val="nil"/>
              <w:left w:val="nil"/>
              <w:bottom w:val="nil"/>
              <w:right w:val="nil"/>
            </w:tcBorders>
            <w:vAlign w:val="bottom"/>
          </w:tcPr>
          <w:p w14:paraId="786D28A3" w14:textId="77777777" w:rsidR="0010523F" w:rsidRPr="0010523F" w:rsidRDefault="0010523F" w:rsidP="0010523F">
            <w:pPr>
              <w:jc w:val="right"/>
              <w:rPr>
                <w:color w:val="000000"/>
                <w:sz w:val="16"/>
                <w:szCs w:val="16"/>
                <w:lang w:eastAsia="es-AR"/>
              </w:rPr>
            </w:pPr>
            <w:r w:rsidRPr="0010523F">
              <w:rPr>
                <w:color w:val="000000"/>
                <w:sz w:val="16"/>
                <w:szCs w:val="16"/>
                <w:lang w:eastAsia="es-AR"/>
              </w:rPr>
              <w:t>2.024</w:t>
            </w:r>
          </w:p>
        </w:tc>
      </w:tr>
      <w:tr w:rsidR="0010523F" w:rsidRPr="0010523F" w14:paraId="1AEB2DFC" w14:textId="77777777" w:rsidTr="00774E7E">
        <w:trPr>
          <w:trHeight w:val="227"/>
        </w:trPr>
        <w:tc>
          <w:tcPr>
            <w:tcW w:w="2268" w:type="dxa"/>
            <w:tcBorders>
              <w:top w:val="nil"/>
              <w:left w:val="nil"/>
              <w:bottom w:val="nil"/>
              <w:right w:val="nil"/>
            </w:tcBorders>
            <w:shd w:val="clear" w:color="auto" w:fill="auto"/>
            <w:vAlign w:val="center"/>
            <w:hideMark/>
          </w:tcPr>
          <w:p w14:paraId="7F17BE88"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Obras en curso</w:t>
            </w:r>
          </w:p>
        </w:tc>
        <w:tc>
          <w:tcPr>
            <w:tcW w:w="851" w:type="dxa"/>
            <w:tcBorders>
              <w:top w:val="nil"/>
              <w:left w:val="nil"/>
              <w:bottom w:val="nil"/>
              <w:right w:val="nil"/>
            </w:tcBorders>
            <w:shd w:val="clear" w:color="auto" w:fill="auto"/>
            <w:vAlign w:val="bottom"/>
            <w:hideMark/>
          </w:tcPr>
          <w:p w14:paraId="4CF56E47" w14:textId="77777777" w:rsidR="0010523F" w:rsidRPr="0010523F" w:rsidRDefault="0010523F" w:rsidP="0010523F">
            <w:pPr>
              <w:jc w:val="right"/>
              <w:rPr>
                <w:color w:val="000000"/>
                <w:sz w:val="16"/>
                <w:szCs w:val="16"/>
                <w:highlight w:val="yellow"/>
                <w:u w:val="single"/>
                <w:lang w:val="es-AR" w:eastAsia="es-AR"/>
              </w:rPr>
            </w:pPr>
            <w:r w:rsidRPr="0010523F">
              <w:rPr>
                <w:sz w:val="16"/>
                <w:szCs w:val="16"/>
                <w:u w:val="single"/>
                <w:lang w:val="es-AR" w:eastAsia="en-US"/>
              </w:rPr>
              <w:t xml:space="preserve"> 68.654 </w:t>
            </w:r>
          </w:p>
        </w:tc>
        <w:tc>
          <w:tcPr>
            <w:tcW w:w="850" w:type="dxa"/>
            <w:tcBorders>
              <w:top w:val="nil"/>
              <w:left w:val="nil"/>
              <w:bottom w:val="nil"/>
              <w:right w:val="nil"/>
            </w:tcBorders>
            <w:shd w:val="clear" w:color="auto" w:fill="auto"/>
            <w:vAlign w:val="bottom"/>
            <w:hideMark/>
          </w:tcPr>
          <w:p w14:paraId="7E9471D5"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w:t>
            </w:r>
          </w:p>
        </w:tc>
        <w:tc>
          <w:tcPr>
            <w:tcW w:w="851" w:type="dxa"/>
            <w:tcBorders>
              <w:top w:val="nil"/>
              <w:left w:val="nil"/>
              <w:bottom w:val="nil"/>
              <w:right w:val="nil"/>
            </w:tcBorders>
            <w:shd w:val="clear" w:color="auto" w:fill="auto"/>
            <w:vAlign w:val="bottom"/>
            <w:hideMark/>
          </w:tcPr>
          <w:p w14:paraId="1FDFE2A1"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47.235 </w:t>
            </w:r>
          </w:p>
        </w:tc>
        <w:tc>
          <w:tcPr>
            <w:tcW w:w="708" w:type="dxa"/>
            <w:tcBorders>
              <w:top w:val="nil"/>
              <w:left w:val="nil"/>
              <w:bottom w:val="nil"/>
              <w:right w:val="nil"/>
            </w:tcBorders>
            <w:shd w:val="clear" w:color="auto" w:fill="auto"/>
            <w:vAlign w:val="bottom"/>
            <w:hideMark/>
          </w:tcPr>
          <w:p w14:paraId="6B0603D7" w14:textId="77777777" w:rsidR="0010523F" w:rsidRPr="0010523F" w:rsidRDefault="0010523F" w:rsidP="0010523F">
            <w:pPr>
              <w:jc w:val="right"/>
              <w:rPr>
                <w:color w:val="000000"/>
                <w:sz w:val="16"/>
                <w:szCs w:val="16"/>
                <w:u w:val="single"/>
                <w:lang w:val="es-AR" w:eastAsia="es-AR"/>
              </w:rPr>
            </w:pPr>
            <w:r w:rsidRPr="0010523F">
              <w:rPr>
                <w:sz w:val="16"/>
                <w:szCs w:val="16"/>
                <w:lang w:val="es-AR" w:eastAsia="en-US"/>
              </w:rPr>
              <w:t>(</w:t>
            </w:r>
            <w:r w:rsidRPr="0010523F">
              <w:rPr>
                <w:sz w:val="16"/>
                <w:szCs w:val="16"/>
                <w:u w:val="single"/>
                <w:lang w:val="es-AR" w:eastAsia="en-US"/>
              </w:rPr>
              <w:t>31.910</w:t>
            </w:r>
            <w:r w:rsidRPr="0010523F">
              <w:rPr>
                <w:sz w:val="16"/>
                <w:szCs w:val="16"/>
                <w:lang w:val="es-AR" w:eastAsia="en-US"/>
              </w:rPr>
              <w:t>)</w:t>
            </w:r>
            <w:r w:rsidRPr="0010523F">
              <w:rPr>
                <w:sz w:val="16"/>
                <w:szCs w:val="16"/>
                <w:u w:val="single"/>
                <w:lang w:val="es-AR" w:eastAsia="en-US"/>
              </w:rPr>
              <w:t xml:space="preserve"> </w:t>
            </w:r>
          </w:p>
        </w:tc>
        <w:tc>
          <w:tcPr>
            <w:tcW w:w="709" w:type="dxa"/>
            <w:tcBorders>
              <w:top w:val="nil"/>
              <w:left w:val="nil"/>
              <w:bottom w:val="nil"/>
              <w:right w:val="nil"/>
            </w:tcBorders>
            <w:shd w:val="clear" w:color="auto" w:fill="auto"/>
            <w:vAlign w:val="bottom"/>
            <w:hideMark/>
          </w:tcPr>
          <w:p w14:paraId="60CE48A3" w14:textId="77777777" w:rsidR="0010523F" w:rsidRPr="0010523F" w:rsidRDefault="0010523F" w:rsidP="0010523F">
            <w:pPr>
              <w:jc w:val="right"/>
              <w:rPr>
                <w:color w:val="000000"/>
                <w:sz w:val="16"/>
                <w:szCs w:val="16"/>
                <w:u w:val="single"/>
                <w:lang w:val="es-AR" w:eastAsia="es-AR"/>
              </w:rPr>
            </w:pPr>
            <w:r w:rsidRPr="0010523F">
              <w:rPr>
                <w:sz w:val="16"/>
                <w:szCs w:val="16"/>
                <w:lang w:val="es-AR" w:eastAsia="en-US"/>
              </w:rPr>
              <w:t xml:space="preserve"> (</w:t>
            </w:r>
            <w:r w:rsidRPr="0010523F">
              <w:rPr>
                <w:sz w:val="16"/>
                <w:szCs w:val="16"/>
                <w:u w:val="single"/>
                <w:lang w:val="es-AR" w:eastAsia="en-US"/>
              </w:rPr>
              <w:t xml:space="preserve">   110</w:t>
            </w:r>
            <w:r w:rsidRPr="0010523F">
              <w:rPr>
                <w:sz w:val="16"/>
                <w:szCs w:val="16"/>
                <w:lang w:val="es-AR" w:eastAsia="en-US"/>
              </w:rPr>
              <w:t>)</w:t>
            </w:r>
            <w:r w:rsidRPr="0010523F">
              <w:rPr>
                <w:sz w:val="16"/>
                <w:szCs w:val="16"/>
                <w:u w:val="single"/>
                <w:lang w:val="es-AR" w:eastAsia="en-US"/>
              </w:rPr>
              <w:t xml:space="preserve"> </w:t>
            </w:r>
          </w:p>
        </w:tc>
        <w:tc>
          <w:tcPr>
            <w:tcW w:w="709" w:type="dxa"/>
            <w:tcBorders>
              <w:top w:val="nil"/>
              <w:left w:val="nil"/>
              <w:bottom w:val="nil"/>
              <w:right w:val="nil"/>
            </w:tcBorders>
            <w:shd w:val="clear" w:color="auto" w:fill="auto"/>
            <w:vAlign w:val="bottom"/>
            <w:hideMark/>
          </w:tcPr>
          <w:p w14:paraId="64C58707"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19.216 </w:t>
            </w:r>
          </w:p>
        </w:tc>
        <w:tc>
          <w:tcPr>
            <w:tcW w:w="780" w:type="dxa"/>
            <w:tcBorders>
              <w:top w:val="nil"/>
              <w:left w:val="nil"/>
              <w:bottom w:val="nil"/>
              <w:right w:val="nil"/>
            </w:tcBorders>
            <w:shd w:val="clear" w:color="auto" w:fill="auto"/>
            <w:vAlign w:val="bottom"/>
            <w:hideMark/>
          </w:tcPr>
          <w:p w14:paraId="08DA1461"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103.085 </w:t>
            </w:r>
          </w:p>
        </w:tc>
        <w:tc>
          <w:tcPr>
            <w:tcW w:w="160" w:type="dxa"/>
            <w:tcBorders>
              <w:top w:val="nil"/>
              <w:left w:val="nil"/>
              <w:bottom w:val="nil"/>
              <w:right w:val="nil"/>
            </w:tcBorders>
            <w:shd w:val="clear" w:color="auto" w:fill="auto"/>
            <w:vAlign w:val="bottom"/>
            <w:hideMark/>
          </w:tcPr>
          <w:p w14:paraId="314C71E1" w14:textId="77777777" w:rsidR="0010523F" w:rsidRPr="0010523F" w:rsidRDefault="0010523F" w:rsidP="0010523F">
            <w:pPr>
              <w:jc w:val="right"/>
              <w:rPr>
                <w:color w:val="000000"/>
                <w:sz w:val="16"/>
                <w:szCs w:val="16"/>
                <w:u w:val="single"/>
                <w:lang w:val="es-AR" w:eastAsia="es-AR"/>
              </w:rPr>
            </w:pPr>
          </w:p>
        </w:tc>
        <w:tc>
          <w:tcPr>
            <w:tcW w:w="964" w:type="dxa"/>
            <w:tcBorders>
              <w:top w:val="nil"/>
              <w:left w:val="nil"/>
              <w:bottom w:val="nil"/>
              <w:right w:val="nil"/>
            </w:tcBorders>
            <w:shd w:val="clear" w:color="auto" w:fill="auto"/>
            <w:vAlign w:val="bottom"/>
            <w:hideMark/>
          </w:tcPr>
          <w:p w14:paraId="5CB997C2"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w:t>
            </w:r>
          </w:p>
        </w:tc>
        <w:tc>
          <w:tcPr>
            <w:tcW w:w="850" w:type="dxa"/>
            <w:tcBorders>
              <w:top w:val="nil"/>
              <w:left w:val="nil"/>
              <w:bottom w:val="nil"/>
              <w:right w:val="nil"/>
            </w:tcBorders>
            <w:shd w:val="clear" w:color="auto" w:fill="auto"/>
            <w:vAlign w:val="bottom"/>
            <w:hideMark/>
          </w:tcPr>
          <w:p w14:paraId="56FFD134"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w:t>
            </w:r>
          </w:p>
        </w:tc>
        <w:tc>
          <w:tcPr>
            <w:tcW w:w="709" w:type="dxa"/>
            <w:tcBorders>
              <w:top w:val="nil"/>
              <w:left w:val="nil"/>
              <w:bottom w:val="nil"/>
              <w:right w:val="nil"/>
            </w:tcBorders>
            <w:shd w:val="clear" w:color="auto" w:fill="auto"/>
            <w:vAlign w:val="bottom"/>
            <w:hideMark/>
          </w:tcPr>
          <w:p w14:paraId="2F09AF07"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w:t>
            </w:r>
          </w:p>
        </w:tc>
        <w:tc>
          <w:tcPr>
            <w:tcW w:w="709" w:type="dxa"/>
            <w:tcBorders>
              <w:top w:val="nil"/>
              <w:left w:val="nil"/>
              <w:bottom w:val="nil"/>
              <w:right w:val="nil"/>
            </w:tcBorders>
            <w:shd w:val="clear" w:color="auto" w:fill="auto"/>
            <w:vAlign w:val="bottom"/>
            <w:hideMark/>
          </w:tcPr>
          <w:p w14:paraId="218C720B"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w:t>
            </w:r>
          </w:p>
        </w:tc>
        <w:tc>
          <w:tcPr>
            <w:tcW w:w="850" w:type="dxa"/>
            <w:tcBorders>
              <w:top w:val="nil"/>
              <w:left w:val="nil"/>
              <w:bottom w:val="nil"/>
              <w:right w:val="nil"/>
            </w:tcBorders>
            <w:shd w:val="clear" w:color="auto" w:fill="auto"/>
            <w:vAlign w:val="bottom"/>
            <w:hideMark/>
          </w:tcPr>
          <w:p w14:paraId="23FFC2F3"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w:t>
            </w:r>
          </w:p>
        </w:tc>
        <w:tc>
          <w:tcPr>
            <w:tcW w:w="964" w:type="dxa"/>
            <w:tcBorders>
              <w:top w:val="nil"/>
              <w:left w:val="nil"/>
              <w:bottom w:val="nil"/>
              <w:right w:val="nil"/>
            </w:tcBorders>
            <w:shd w:val="clear" w:color="auto" w:fill="auto"/>
            <w:vAlign w:val="bottom"/>
            <w:hideMark/>
          </w:tcPr>
          <w:p w14:paraId="25E6AB89"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w:t>
            </w:r>
          </w:p>
        </w:tc>
        <w:tc>
          <w:tcPr>
            <w:tcW w:w="160" w:type="dxa"/>
            <w:gridSpan w:val="2"/>
            <w:tcBorders>
              <w:top w:val="nil"/>
              <w:left w:val="nil"/>
              <w:bottom w:val="nil"/>
              <w:right w:val="nil"/>
            </w:tcBorders>
            <w:shd w:val="clear" w:color="auto" w:fill="auto"/>
            <w:vAlign w:val="bottom"/>
            <w:hideMark/>
          </w:tcPr>
          <w:p w14:paraId="1D4F76A5" w14:textId="77777777" w:rsidR="0010523F" w:rsidRPr="0010523F" w:rsidRDefault="0010523F" w:rsidP="0010523F">
            <w:pPr>
              <w:jc w:val="right"/>
              <w:rPr>
                <w:color w:val="000000"/>
                <w:sz w:val="16"/>
                <w:szCs w:val="16"/>
                <w:u w:val="single"/>
                <w:lang w:val="es-AR" w:eastAsia="es-AR"/>
              </w:rPr>
            </w:pPr>
          </w:p>
        </w:tc>
        <w:tc>
          <w:tcPr>
            <w:tcW w:w="907" w:type="dxa"/>
            <w:gridSpan w:val="2"/>
            <w:tcBorders>
              <w:top w:val="nil"/>
              <w:left w:val="nil"/>
              <w:bottom w:val="nil"/>
              <w:right w:val="nil"/>
            </w:tcBorders>
            <w:shd w:val="clear" w:color="auto" w:fill="auto"/>
            <w:vAlign w:val="bottom"/>
            <w:hideMark/>
          </w:tcPr>
          <w:p w14:paraId="0C87638C"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 xml:space="preserve"> 103.085 </w:t>
            </w:r>
          </w:p>
        </w:tc>
        <w:tc>
          <w:tcPr>
            <w:tcW w:w="964" w:type="dxa"/>
            <w:tcBorders>
              <w:top w:val="nil"/>
              <w:left w:val="nil"/>
              <w:bottom w:val="nil"/>
              <w:right w:val="nil"/>
            </w:tcBorders>
            <w:shd w:val="clear" w:color="auto" w:fill="auto"/>
            <w:vAlign w:val="bottom"/>
            <w:hideMark/>
          </w:tcPr>
          <w:p w14:paraId="4102AFE6" w14:textId="77777777" w:rsidR="0010523F" w:rsidRPr="0010523F" w:rsidRDefault="0010523F" w:rsidP="0010523F">
            <w:pPr>
              <w:jc w:val="right"/>
              <w:rPr>
                <w:color w:val="000000"/>
                <w:sz w:val="16"/>
                <w:szCs w:val="16"/>
                <w:u w:val="single"/>
                <w:lang w:val="es-AR" w:eastAsia="es-AR"/>
              </w:rPr>
            </w:pPr>
            <w:r w:rsidRPr="0010523F">
              <w:rPr>
                <w:color w:val="000000"/>
                <w:sz w:val="16"/>
                <w:szCs w:val="16"/>
                <w:u w:val="single"/>
                <w:lang w:eastAsia="es-AR"/>
              </w:rPr>
              <w:t xml:space="preserve">  68.654</w:t>
            </w:r>
          </w:p>
        </w:tc>
        <w:tc>
          <w:tcPr>
            <w:tcW w:w="907" w:type="dxa"/>
            <w:gridSpan w:val="2"/>
            <w:tcBorders>
              <w:top w:val="nil"/>
              <w:left w:val="nil"/>
              <w:bottom w:val="nil"/>
              <w:right w:val="nil"/>
            </w:tcBorders>
            <w:vAlign w:val="bottom"/>
          </w:tcPr>
          <w:p w14:paraId="1F22F3AE" w14:textId="77777777" w:rsidR="0010523F" w:rsidRPr="0010523F" w:rsidRDefault="0010523F" w:rsidP="0010523F">
            <w:pPr>
              <w:jc w:val="right"/>
              <w:rPr>
                <w:color w:val="000000"/>
                <w:sz w:val="16"/>
                <w:szCs w:val="16"/>
                <w:u w:val="single"/>
                <w:lang w:eastAsia="es-AR"/>
              </w:rPr>
            </w:pPr>
            <w:r w:rsidRPr="0010523F">
              <w:rPr>
                <w:color w:val="000000"/>
                <w:sz w:val="16"/>
                <w:szCs w:val="16"/>
                <w:u w:val="single"/>
                <w:lang w:eastAsia="es-AR"/>
              </w:rPr>
              <w:t xml:space="preserve">  </w:t>
            </w:r>
            <w:r w:rsidRPr="0010523F">
              <w:rPr>
                <w:sz w:val="16"/>
                <w:szCs w:val="16"/>
                <w:u w:val="single"/>
                <w:lang w:val="es-AR" w:eastAsia="en-US"/>
              </w:rPr>
              <w:t>82.769</w:t>
            </w:r>
          </w:p>
        </w:tc>
      </w:tr>
      <w:tr w:rsidR="0010523F" w:rsidRPr="0010523F" w14:paraId="15EE421E" w14:textId="77777777" w:rsidTr="00774E7E">
        <w:trPr>
          <w:trHeight w:val="227"/>
        </w:trPr>
        <w:tc>
          <w:tcPr>
            <w:tcW w:w="2268" w:type="dxa"/>
            <w:tcBorders>
              <w:top w:val="nil"/>
              <w:left w:val="nil"/>
              <w:bottom w:val="nil"/>
              <w:right w:val="nil"/>
            </w:tcBorders>
            <w:shd w:val="clear" w:color="auto" w:fill="auto"/>
            <w:vAlign w:val="center"/>
            <w:hideMark/>
          </w:tcPr>
          <w:p w14:paraId="4B4FD2DF"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Total al 30/09/2019</w:t>
            </w:r>
          </w:p>
        </w:tc>
        <w:tc>
          <w:tcPr>
            <w:tcW w:w="851" w:type="dxa"/>
            <w:tcBorders>
              <w:top w:val="nil"/>
              <w:left w:val="nil"/>
              <w:bottom w:val="nil"/>
              <w:right w:val="nil"/>
            </w:tcBorders>
            <w:shd w:val="clear" w:color="auto" w:fill="auto"/>
            <w:vAlign w:val="bottom"/>
            <w:hideMark/>
          </w:tcPr>
          <w:p w14:paraId="505982F0" w14:textId="77777777" w:rsidR="0010523F" w:rsidRPr="0010523F" w:rsidRDefault="0010523F" w:rsidP="0010523F">
            <w:pPr>
              <w:jc w:val="right"/>
              <w:rPr>
                <w:color w:val="000000"/>
                <w:sz w:val="16"/>
                <w:szCs w:val="16"/>
                <w:highlight w:val="yellow"/>
                <w:u w:val="double"/>
                <w:lang w:val="es-AR" w:eastAsia="es-AR"/>
              </w:rPr>
            </w:pPr>
            <w:r w:rsidRPr="0010523F">
              <w:rPr>
                <w:color w:val="000000"/>
                <w:sz w:val="16"/>
                <w:szCs w:val="16"/>
                <w:u w:val="double"/>
                <w:lang w:val="es-AR" w:eastAsia="en-US"/>
              </w:rPr>
              <w:t>753.849</w:t>
            </w:r>
          </w:p>
        </w:tc>
        <w:tc>
          <w:tcPr>
            <w:tcW w:w="850" w:type="dxa"/>
            <w:tcBorders>
              <w:top w:val="nil"/>
              <w:left w:val="nil"/>
              <w:bottom w:val="nil"/>
              <w:right w:val="nil"/>
            </w:tcBorders>
            <w:shd w:val="clear" w:color="auto" w:fill="auto"/>
            <w:vAlign w:val="bottom"/>
            <w:hideMark/>
          </w:tcPr>
          <w:p w14:paraId="1501076F"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 xml:space="preserve">          -</w:t>
            </w:r>
          </w:p>
        </w:tc>
        <w:tc>
          <w:tcPr>
            <w:tcW w:w="851" w:type="dxa"/>
            <w:tcBorders>
              <w:top w:val="nil"/>
              <w:left w:val="nil"/>
              <w:bottom w:val="nil"/>
              <w:right w:val="nil"/>
            </w:tcBorders>
            <w:shd w:val="clear" w:color="auto" w:fill="auto"/>
            <w:vAlign w:val="bottom"/>
            <w:hideMark/>
          </w:tcPr>
          <w:p w14:paraId="6386E36C"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47.531</w:t>
            </w:r>
          </w:p>
        </w:tc>
        <w:tc>
          <w:tcPr>
            <w:tcW w:w="708" w:type="dxa"/>
            <w:tcBorders>
              <w:top w:val="nil"/>
              <w:left w:val="nil"/>
              <w:bottom w:val="nil"/>
              <w:right w:val="nil"/>
            </w:tcBorders>
            <w:shd w:val="clear" w:color="auto" w:fill="auto"/>
            <w:vAlign w:val="bottom"/>
            <w:hideMark/>
          </w:tcPr>
          <w:p w14:paraId="48CF859E" w14:textId="77777777" w:rsidR="0010523F" w:rsidRPr="0010523F" w:rsidRDefault="0010523F" w:rsidP="0010523F">
            <w:pPr>
              <w:jc w:val="right"/>
              <w:rPr>
                <w:color w:val="000000"/>
                <w:sz w:val="16"/>
                <w:szCs w:val="16"/>
                <w:lang w:val="es-AR" w:eastAsia="en-US"/>
              </w:rPr>
            </w:pPr>
            <w:r w:rsidRPr="0010523F">
              <w:rPr>
                <w:color w:val="000000"/>
                <w:sz w:val="16"/>
                <w:szCs w:val="16"/>
                <w:u w:val="double"/>
                <w:lang w:val="es-AR" w:eastAsia="en-US"/>
              </w:rPr>
              <w:t xml:space="preserve">          -</w:t>
            </w:r>
          </w:p>
        </w:tc>
        <w:tc>
          <w:tcPr>
            <w:tcW w:w="709" w:type="dxa"/>
            <w:tcBorders>
              <w:top w:val="nil"/>
              <w:left w:val="nil"/>
              <w:bottom w:val="nil"/>
              <w:right w:val="nil"/>
            </w:tcBorders>
            <w:shd w:val="clear" w:color="auto" w:fill="auto"/>
            <w:vAlign w:val="bottom"/>
            <w:hideMark/>
          </w:tcPr>
          <w:p w14:paraId="5C45E101" w14:textId="77777777" w:rsidR="0010523F" w:rsidRPr="0010523F" w:rsidRDefault="0010523F" w:rsidP="0010523F">
            <w:pPr>
              <w:jc w:val="right"/>
              <w:rPr>
                <w:color w:val="000000"/>
                <w:sz w:val="16"/>
                <w:szCs w:val="16"/>
                <w:highlight w:val="yellow"/>
                <w:u w:val="double"/>
                <w:lang w:val="es-AR" w:eastAsia="es-AR"/>
              </w:rPr>
            </w:pPr>
            <w:r w:rsidRPr="0010523F">
              <w:rPr>
                <w:color w:val="000000"/>
                <w:sz w:val="16"/>
                <w:szCs w:val="16"/>
                <w:lang w:val="es-AR" w:eastAsia="en-US"/>
              </w:rPr>
              <w:t>(</w:t>
            </w:r>
            <w:r w:rsidRPr="0010523F">
              <w:rPr>
                <w:color w:val="000000"/>
                <w:sz w:val="16"/>
                <w:szCs w:val="16"/>
                <w:u w:val="double"/>
                <w:lang w:val="es-AR" w:eastAsia="en-US"/>
              </w:rPr>
              <w:t xml:space="preserve">   594</w:t>
            </w:r>
            <w:r w:rsidRPr="0010523F">
              <w:rPr>
                <w:color w:val="000000"/>
                <w:sz w:val="16"/>
                <w:szCs w:val="16"/>
                <w:lang w:val="es-AR" w:eastAsia="en-US"/>
              </w:rPr>
              <w:t>)</w:t>
            </w:r>
          </w:p>
        </w:tc>
        <w:tc>
          <w:tcPr>
            <w:tcW w:w="709" w:type="dxa"/>
            <w:tcBorders>
              <w:top w:val="nil"/>
              <w:left w:val="nil"/>
              <w:bottom w:val="nil"/>
              <w:right w:val="nil"/>
            </w:tcBorders>
            <w:shd w:val="clear" w:color="auto" w:fill="auto"/>
            <w:vAlign w:val="bottom"/>
            <w:hideMark/>
          </w:tcPr>
          <w:p w14:paraId="7FD5BEB3"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400.695</w:t>
            </w:r>
          </w:p>
        </w:tc>
        <w:tc>
          <w:tcPr>
            <w:tcW w:w="780" w:type="dxa"/>
            <w:tcBorders>
              <w:top w:val="nil"/>
              <w:left w:val="nil"/>
              <w:bottom w:val="nil"/>
              <w:right w:val="nil"/>
            </w:tcBorders>
            <w:shd w:val="clear" w:color="auto" w:fill="auto"/>
            <w:vAlign w:val="bottom"/>
            <w:hideMark/>
          </w:tcPr>
          <w:p w14:paraId="4601C2FA"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1.201.481</w:t>
            </w:r>
          </w:p>
        </w:tc>
        <w:tc>
          <w:tcPr>
            <w:tcW w:w="160" w:type="dxa"/>
            <w:tcBorders>
              <w:top w:val="nil"/>
              <w:left w:val="nil"/>
              <w:bottom w:val="nil"/>
              <w:right w:val="nil"/>
            </w:tcBorders>
            <w:shd w:val="clear" w:color="auto" w:fill="auto"/>
            <w:vAlign w:val="bottom"/>
            <w:hideMark/>
          </w:tcPr>
          <w:p w14:paraId="4CA1C4AA" w14:textId="77777777" w:rsidR="0010523F" w:rsidRPr="0010523F" w:rsidRDefault="0010523F" w:rsidP="0010523F">
            <w:pPr>
              <w:jc w:val="right"/>
              <w:rPr>
                <w:color w:val="000000"/>
                <w:sz w:val="16"/>
                <w:szCs w:val="16"/>
                <w:u w:val="double"/>
                <w:lang w:val="es-AR" w:eastAsia="es-AR"/>
              </w:rPr>
            </w:pPr>
          </w:p>
        </w:tc>
        <w:tc>
          <w:tcPr>
            <w:tcW w:w="964" w:type="dxa"/>
            <w:tcBorders>
              <w:top w:val="nil"/>
              <w:left w:val="nil"/>
              <w:bottom w:val="nil"/>
              <w:right w:val="nil"/>
            </w:tcBorders>
            <w:shd w:val="clear" w:color="auto" w:fill="auto"/>
            <w:vAlign w:val="bottom"/>
            <w:hideMark/>
          </w:tcPr>
          <w:p w14:paraId="75029169"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n-US"/>
              </w:rPr>
              <w:t>(</w:t>
            </w:r>
            <w:r w:rsidRPr="0010523F">
              <w:rPr>
                <w:color w:val="000000"/>
                <w:sz w:val="16"/>
                <w:szCs w:val="16"/>
                <w:u w:val="double"/>
                <w:lang w:val="es-AR" w:eastAsia="en-US"/>
              </w:rPr>
              <w:t>330.200</w:t>
            </w:r>
            <w:r w:rsidRPr="0010523F">
              <w:rPr>
                <w:color w:val="000000"/>
                <w:sz w:val="16"/>
                <w:szCs w:val="16"/>
                <w:lang w:val="es-AR" w:eastAsia="en-US"/>
              </w:rPr>
              <w:t>)</w:t>
            </w:r>
          </w:p>
        </w:tc>
        <w:tc>
          <w:tcPr>
            <w:tcW w:w="850" w:type="dxa"/>
            <w:tcBorders>
              <w:top w:val="nil"/>
              <w:left w:val="nil"/>
              <w:bottom w:val="nil"/>
              <w:right w:val="nil"/>
            </w:tcBorders>
            <w:shd w:val="clear" w:color="auto" w:fill="auto"/>
            <w:vAlign w:val="bottom"/>
            <w:hideMark/>
          </w:tcPr>
          <w:p w14:paraId="7E91594F" w14:textId="77777777" w:rsidR="0010523F" w:rsidRPr="0010523F" w:rsidRDefault="0010523F" w:rsidP="0010523F">
            <w:pPr>
              <w:jc w:val="right"/>
              <w:rPr>
                <w:color w:val="000000"/>
                <w:sz w:val="16"/>
                <w:szCs w:val="16"/>
                <w:u w:val="single"/>
                <w:lang w:val="es-AR" w:eastAsia="es-AR"/>
              </w:rPr>
            </w:pPr>
            <w:r w:rsidRPr="0010523F">
              <w:rPr>
                <w:color w:val="000000"/>
                <w:sz w:val="16"/>
                <w:szCs w:val="16"/>
                <w:u w:val="double"/>
                <w:lang w:val="es-AR" w:eastAsia="en-US"/>
              </w:rPr>
              <w:t xml:space="preserve">           -</w:t>
            </w:r>
          </w:p>
        </w:tc>
        <w:tc>
          <w:tcPr>
            <w:tcW w:w="709" w:type="dxa"/>
            <w:tcBorders>
              <w:top w:val="nil"/>
              <w:left w:val="nil"/>
              <w:bottom w:val="nil"/>
              <w:right w:val="nil"/>
            </w:tcBorders>
            <w:shd w:val="clear" w:color="auto" w:fill="auto"/>
            <w:vAlign w:val="bottom"/>
            <w:hideMark/>
          </w:tcPr>
          <w:p w14:paraId="291C28C2"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n-US"/>
              </w:rPr>
              <w:t>(</w:t>
            </w:r>
            <w:r w:rsidRPr="0010523F">
              <w:rPr>
                <w:color w:val="000000"/>
                <w:sz w:val="16"/>
                <w:szCs w:val="16"/>
                <w:u w:val="double"/>
                <w:lang w:val="es-AR" w:eastAsia="en-US"/>
              </w:rPr>
              <w:t>27.521</w:t>
            </w:r>
            <w:r w:rsidRPr="0010523F">
              <w:rPr>
                <w:color w:val="000000"/>
                <w:sz w:val="16"/>
                <w:szCs w:val="16"/>
                <w:lang w:val="es-AR" w:eastAsia="en-US"/>
              </w:rPr>
              <w:t>)</w:t>
            </w:r>
          </w:p>
        </w:tc>
        <w:tc>
          <w:tcPr>
            <w:tcW w:w="709" w:type="dxa"/>
            <w:tcBorders>
              <w:top w:val="nil"/>
              <w:left w:val="nil"/>
              <w:bottom w:val="nil"/>
              <w:right w:val="nil"/>
            </w:tcBorders>
            <w:shd w:val="clear" w:color="auto" w:fill="auto"/>
            <w:vAlign w:val="bottom"/>
            <w:hideMark/>
          </w:tcPr>
          <w:p w14:paraId="38545419"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182</w:t>
            </w:r>
          </w:p>
        </w:tc>
        <w:tc>
          <w:tcPr>
            <w:tcW w:w="850" w:type="dxa"/>
            <w:tcBorders>
              <w:top w:val="nil"/>
              <w:left w:val="nil"/>
              <w:bottom w:val="nil"/>
              <w:right w:val="nil"/>
            </w:tcBorders>
            <w:shd w:val="clear" w:color="auto" w:fill="auto"/>
            <w:vAlign w:val="bottom"/>
            <w:hideMark/>
          </w:tcPr>
          <w:p w14:paraId="162B10B6"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n-US"/>
              </w:rPr>
              <w:t>(</w:t>
            </w:r>
            <w:r w:rsidRPr="0010523F">
              <w:rPr>
                <w:color w:val="000000"/>
                <w:sz w:val="16"/>
                <w:szCs w:val="16"/>
                <w:u w:val="double"/>
                <w:lang w:val="es-AR" w:eastAsia="en-US"/>
              </w:rPr>
              <w:t>178.747</w:t>
            </w:r>
            <w:r w:rsidRPr="0010523F">
              <w:rPr>
                <w:sz w:val="16"/>
                <w:szCs w:val="16"/>
                <w:lang w:val="es-AR" w:eastAsia="en-US"/>
              </w:rPr>
              <w:t>)</w:t>
            </w:r>
            <w:r w:rsidRPr="0010523F" w:rsidDel="00193988">
              <w:rPr>
                <w:color w:val="000000"/>
                <w:sz w:val="16"/>
                <w:szCs w:val="16"/>
                <w:lang w:val="es-AR" w:eastAsia="es-AR"/>
              </w:rPr>
              <w:t xml:space="preserve"> </w:t>
            </w:r>
          </w:p>
        </w:tc>
        <w:tc>
          <w:tcPr>
            <w:tcW w:w="964" w:type="dxa"/>
            <w:tcBorders>
              <w:top w:val="nil"/>
              <w:left w:val="nil"/>
              <w:bottom w:val="nil"/>
              <w:right w:val="nil"/>
            </w:tcBorders>
            <w:shd w:val="clear" w:color="auto" w:fill="auto"/>
            <w:vAlign w:val="bottom"/>
            <w:hideMark/>
          </w:tcPr>
          <w:p w14:paraId="0D2CD07D"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n-US"/>
              </w:rPr>
              <w:t>(</w:t>
            </w:r>
            <w:r w:rsidRPr="0010523F">
              <w:rPr>
                <w:color w:val="000000"/>
                <w:sz w:val="16"/>
                <w:szCs w:val="16"/>
                <w:u w:val="double"/>
                <w:lang w:val="es-AR" w:eastAsia="en-US"/>
              </w:rPr>
              <w:t>536.286</w:t>
            </w:r>
            <w:r w:rsidRPr="0010523F">
              <w:rPr>
                <w:sz w:val="16"/>
                <w:szCs w:val="16"/>
                <w:lang w:val="es-AR" w:eastAsia="en-US"/>
              </w:rPr>
              <w:t>)</w:t>
            </w:r>
            <w:r w:rsidRPr="0010523F" w:rsidDel="00193988">
              <w:rPr>
                <w:color w:val="000000"/>
                <w:sz w:val="16"/>
                <w:szCs w:val="16"/>
                <w:lang w:val="es-AR" w:eastAsia="es-AR"/>
              </w:rPr>
              <w:t xml:space="preserve"> </w:t>
            </w:r>
          </w:p>
        </w:tc>
        <w:tc>
          <w:tcPr>
            <w:tcW w:w="160" w:type="dxa"/>
            <w:gridSpan w:val="2"/>
            <w:tcBorders>
              <w:top w:val="nil"/>
              <w:left w:val="nil"/>
              <w:bottom w:val="nil"/>
              <w:right w:val="nil"/>
            </w:tcBorders>
            <w:shd w:val="clear" w:color="auto" w:fill="auto"/>
            <w:vAlign w:val="bottom"/>
            <w:hideMark/>
          </w:tcPr>
          <w:p w14:paraId="0B4711FF" w14:textId="77777777" w:rsidR="0010523F" w:rsidRPr="0010523F" w:rsidRDefault="0010523F" w:rsidP="0010523F">
            <w:pPr>
              <w:jc w:val="right"/>
              <w:rPr>
                <w:color w:val="000000"/>
                <w:sz w:val="16"/>
                <w:szCs w:val="16"/>
                <w:u w:val="double"/>
                <w:lang w:val="es-AR" w:eastAsia="es-AR"/>
              </w:rPr>
            </w:pPr>
          </w:p>
        </w:tc>
        <w:tc>
          <w:tcPr>
            <w:tcW w:w="907" w:type="dxa"/>
            <w:gridSpan w:val="2"/>
            <w:tcBorders>
              <w:top w:val="nil"/>
              <w:left w:val="nil"/>
              <w:bottom w:val="nil"/>
              <w:right w:val="nil"/>
            </w:tcBorders>
            <w:shd w:val="clear" w:color="auto" w:fill="auto"/>
            <w:vAlign w:val="bottom"/>
            <w:hideMark/>
          </w:tcPr>
          <w:p w14:paraId="408A1B29"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665.195</w:t>
            </w:r>
          </w:p>
        </w:tc>
        <w:tc>
          <w:tcPr>
            <w:tcW w:w="964" w:type="dxa"/>
            <w:tcBorders>
              <w:top w:val="nil"/>
              <w:left w:val="nil"/>
              <w:bottom w:val="nil"/>
              <w:right w:val="nil"/>
            </w:tcBorders>
            <w:shd w:val="clear" w:color="auto" w:fill="auto"/>
            <w:vAlign w:val="bottom"/>
            <w:hideMark/>
          </w:tcPr>
          <w:p w14:paraId="0D40BE3A"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vAlign w:val="bottom"/>
          </w:tcPr>
          <w:p w14:paraId="07CE71BE" w14:textId="77777777" w:rsidR="0010523F" w:rsidRPr="0010523F" w:rsidRDefault="0010523F" w:rsidP="0010523F">
            <w:pPr>
              <w:jc w:val="right"/>
              <w:rPr>
                <w:color w:val="000000"/>
                <w:sz w:val="16"/>
                <w:szCs w:val="16"/>
                <w:lang w:val="es-AR" w:eastAsia="es-AR"/>
              </w:rPr>
            </w:pPr>
          </w:p>
        </w:tc>
      </w:tr>
      <w:tr w:rsidR="0010523F" w:rsidRPr="0010523F" w14:paraId="528DFC8D" w14:textId="77777777" w:rsidTr="00774E7E">
        <w:trPr>
          <w:trHeight w:val="57"/>
        </w:trPr>
        <w:tc>
          <w:tcPr>
            <w:tcW w:w="2268" w:type="dxa"/>
            <w:tcBorders>
              <w:top w:val="nil"/>
              <w:left w:val="nil"/>
              <w:bottom w:val="nil"/>
              <w:right w:val="nil"/>
            </w:tcBorders>
            <w:shd w:val="clear" w:color="auto" w:fill="auto"/>
            <w:vAlign w:val="center"/>
          </w:tcPr>
          <w:p w14:paraId="706B464C" w14:textId="77777777" w:rsidR="0010523F" w:rsidRPr="0010523F" w:rsidRDefault="0010523F" w:rsidP="0010523F">
            <w:pPr>
              <w:spacing w:line="100" w:lineRule="exact"/>
              <w:rPr>
                <w:color w:val="000000"/>
                <w:sz w:val="16"/>
                <w:szCs w:val="16"/>
                <w:lang w:val="es-AR" w:eastAsia="es-AR"/>
              </w:rPr>
            </w:pPr>
          </w:p>
        </w:tc>
        <w:tc>
          <w:tcPr>
            <w:tcW w:w="851" w:type="dxa"/>
            <w:tcBorders>
              <w:top w:val="nil"/>
              <w:left w:val="nil"/>
              <w:bottom w:val="nil"/>
              <w:right w:val="nil"/>
            </w:tcBorders>
            <w:shd w:val="clear" w:color="auto" w:fill="auto"/>
            <w:vAlign w:val="bottom"/>
          </w:tcPr>
          <w:p w14:paraId="5E74C3CC" w14:textId="77777777" w:rsidR="0010523F" w:rsidRPr="0010523F" w:rsidRDefault="0010523F" w:rsidP="0010523F">
            <w:pPr>
              <w:spacing w:line="100" w:lineRule="exact"/>
              <w:jc w:val="right"/>
              <w:rPr>
                <w:color w:val="000000"/>
                <w:sz w:val="16"/>
                <w:szCs w:val="16"/>
                <w:highlight w:val="yellow"/>
                <w:lang w:val="es-AR" w:eastAsia="es-AR"/>
              </w:rPr>
            </w:pPr>
          </w:p>
        </w:tc>
        <w:tc>
          <w:tcPr>
            <w:tcW w:w="850" w:type="dxa"/>
            <w:tcBorders>
              <w:top w:val="nil"/>
              <w:left w:val="nil"/>
              <w:bottom w:val="nil"/>
              <w:right w:val="nil"/>
            </w:tcBorders>
            <w:shd w:val="clear" w:color="auto" w:fill="auto"/>
            <w:vAlign w:val="bottom"/>
          </w:tcPr>
          <w:p w14:paraId="4088626B" w14:textId="77777777" w:rsidR="0010523F" w:rsidRPr="0010523F" w:rsidRDefault="0010523F" w:rsidP="0010523F">
            <w:pPr>
              <w:spacing w:line="100" w:lineRule="exact"/>
              <w:jc w:val="right"/>
              <w:rPr>
                <w:color w:val="000000"/>
                <w:sz w:val="16"/>
                <w:szCs w:val="16"/>
                <w:lang w:val="es-AR" w:eastAsia="es-AR"/>
              </w:rPr>
            </w:pPr>
          </w:p>
        </w:tc>
        <w:tc>
          <w:tcPr>
            <w:tcW w:w="851" w:type="dxa"/>
            <w:tcBorders>
              <w:top w:val="nil"/>
              <w:left w:val="nil"/>
              <w:bottom w:val="nil"/>
              <w:right w:val="nil"/>
            </w:tcBorders>
            <w:shd w:val="clear" w:color="auto" w:fill="auto"/>
            <w:vAlign w:val="bottom"/>
          </w:tcPr>
          <w:p w14:paraId="4B347FA2" w14:textId="77777777" w:rsidR="0010523F" w:rsidRPr="0010523F" w:rsidRDefault="0010523F" w:rsidP="0010523F">
            <w:pPr>
              <w:spacing w:line="100" w:lineRule="exact"/>
              <w:jc w:val="right"/>
              <w:rPr>
                <w:color w:val="000000"/>
                <w:sz w:val="16"/>
                <w:szCs w:val="16"/>
                <w:lang w:val="es-AR" w:eastAsia="es-AR"/>
              </w:rPr>
            </w:pPr>
          </w:p>
        </w:tc>
        <w:tc>
          <w:tcPr>
            <w:tcW w:w="708" w:type="dxa"/>
            <w:tcBorders>
              <w:top w:val="nil"/>
              <w:left w:val="nil"/>
              <w:bottom w:val="nil"/>
              <w:right w:val="nil"/>
            </w:tcBorders>
            <w:shd w:val="clear" w:color="auto" w:fill="auto"/>
            <w:vAlign w:val="bottom"/>
          </w:tcPr>
          <w:p w14:paraId="38113EBF" w14:textId="77777777" w:rsidR="0010523F" w:rsidRPr="0010523F" w:rsidRDefault="0010523F" w:rsidP="0010523F">
            <w:pPr>
              <w:spacing w:line="100" w:lineRule="exact"/>
              <w:jc w:val="right"/>
              <w:rPr>
                <w:color w:val="000000"/>
                <w:sz w:val="16"/>
                <w:szCs w:val="16"/>
                <w:lang w:val="es-AR" w:eastAsia="es-AR"/>
              </w:rPr>
            </w:pPr>
          </w:p>
        </w:tc>
        <w:tc>
          <w:tcPr>
            <w:tcW w:w="709" w:type="dxa"/>
            <w:tcBorders>
              <w:top w:val="nil"/>
              <w:left w:val="nil"/>
              <w:bottom w:val="nil"/>
              <w:right w:val="nil"/>
            </w:tcBorders>
            <w:shd w:val="clear" w:color="auto" w:fill="auto"/>
            <w:vAlign w:val="bottom"/>
          </w:tcPr>
          <w:p w14:paraId="08A0F783" w14:textId="77777777" w:rsidR="0010523F" w:rsidRPr="0010523F" w:rsidRDefault="0010523F" w:rsidP="0010523F">
            <w:pPr>
              <w:spacing w:line="100" w:lineRule="exact"/>
              <w:jc w:val="right"/>
              <w:rPr>
                <w:color w:val="000000"/>
                <w:sz w:val="16"/>
                <w:szCs w:val="16"/>
                <w:lang w:val="es-AR" w:eastAsia="es-AR"/>
              </w:rPr>
            </w:pPr>
          </w:p>
        </w:tc>
        <w:tc>
          <w:tcPr>
            <w:tcW w:w="709" w:type="dxa"/>
            <w:tcBorders>
              <w:top w:val="nil"/>
              <w:left w:val="nil"/>
              <w:bottom w:val="nil"/>
              <w:right w:val="nil"/>
            </w:tcBorders>
            <w:shd w:val="clear" w:color="auto" w:fill="auto"/>
            <w:vAlign w:val="bottom"/>
          </w:tcPr>
          <w:p w14:paraId="22441311" w14:textId="77777777" w:rsidR="0010523F" w:rsidRPr="0010523F" w:rsidRDefault="0010523F" w:rsidP="0010523F">
            <w:pPr>
              <w:spacing w:line="100" w:lineRule="exact"/>
              <w:jc w:val="right"/>
              <w:rPr>
                <w:color w:val="000000"/>
                <w:sz w:val="16"/>
                <w:szCs w:val="16"/>
                <w:lang w:val="es-AR" w:eastAsia="es-AR"/>
              </w:rPr>
            </w:pPr>
          </w:p>
        </w:tc>
        <w:tc>
          <w:tcPr>
            <w:tcW w:w="780" w:type="dxa"/>
            <w:tcBorders>
              <w:top w:val="nil"/>
              <w:left w:val="nil"/>
              <w:bottom w:val="nil"/>
              <w:right w:val="nil"/>
            </w:tcBorders>
            <w:shd w:val="clear" w:color="auto" w:fill="auto"/>
            <w:vAlign w:val="bottom"/>
          </w:tcPr>
          <w:p w14:paraId="289C28AD" w14:textId="77777777" w:rsidR="0010523F" w:rsidRPr="0010523F" w:rsidRDefault="0010523F" w:rsidP="0010523F">
            <w:pPr>
              <w:spacing w:line="100" w:lineRule="exact"/>
              <w:jc w:val="right"/>
              <w:rPr>
                <w:color w:val="000000"/>
                <w:sz w:val="16"/>
                <w:szCs w:val="16"/>
                <w:lang w:val="es-AR" w:eastAsia="es-AR"/>
              </w:rPr>
            </w:pPr>
          </w:p>
        </w:tc>
        <w:tc>
          <w:tcPr>
            <w:tcW w:w="160" w:type="dxa"/>
            <w:tcBorders>
              <w:top w:val="nil"/>
              <w:left w:val="nil"/>
              <w:bottom w:val="nil"/>
              <w:right w:val="nil"/>
            </w:tcBorders>
            <w:shd w:val="clear" w:color="auto" w:fill="auto"/>
            <w:vAlign w:val="bottom"/>
          </w:tcPr>
          <w:p w14:paraId="09D142DA" w14:textId="77777777" w:rsidR="0010523F" w:rsidRPr="0010523F" w:rsidRDefault="0010523F" w:rsidP="0010523F">
            <w:pPr>
              <w:spacing w:line="100" w:lineRule="exact"/>
              <w:jc w:val="right"/>
              <w:rPr>
                <w:color w:val="000000"/>
                <w:sz w:val="16"/>
                <w:szCs w:val="16"/>
                <w:lang w:val="es-AR" w:eastAsia="es-AR"/>
              </w:rPr>
            </w:pPr>
          </w:p>
        </w:tc>
        <w:tc>
          <w:tcPr>
            <w:tcW w:w="964" w:type="dxa"/>
            <w:tcBorders>
              <w:top w:val="nil"/>
              <w:left w:val="nil"/>
              <w:bottom w:val="nil"/>
              <w:right w:val="nil"/>
            </w:tcBorders>
            <w:shd w:val="clear" w:color="auto" w:fill="auto"/>
            <w:vAlign w:val="bottom"/>
          </w:tcPr>
          <w:p w14:paraId="3BFE5C0B" w14:textId="77777777" w:rsidR="0010523F" w:rsidRPr="0010523F" w:rsidRDefault="0010523F" w:rsidP="0010523F">
            <w:pPr>
              <w:spacing w:line="100" w:lineRule="exact"/>
              <w:jc w:val="right"/>
              <w:rPr>
                <w:color w:val="000000"/>
                <w:sz w:val="16"/>
                <w:szCs w:val="16"/>
                <w:lang w:val="es-AR" w:eastAsia="es-AR"/>
              </w:rPr>
            </w:pPr>
          </w:p>
        </w:tc>
        <w:tc>
          <w:tcPr>
            <w:tcW w:w="850" w:type="dxa"/>
            <w:tcBorders>
              <w:top w:val="nil"/>
              <w:left w:val="nil"/>
              <w:bottom w:val="nil"/>
              <w:right w:val="nil"/>
            </w:tcBorders>
            <w:shd w:val="clear" w:color="auto" w:fill="auto"/>
            <w:vAlign w:val="bottom"/>
          </w:tcPr>
          <w:p w14:paraId="281DEA57" w14:textId="77777777" w:rsidR="0010523F" w:rsidRPr="0010523F" w:rsidRDefault="0010523F" w:rsidP="0010523F">
            <w:pPr>
              <w:spacing w:line="100" w:lineRule="exact"/>
              <w:jc w:val="right"/>
              <w:rPr>
                <w:color w:val="000000"/>
                <w:sz w:val="16"/>
                <w:szCs w:val="16"/>
                <w:lang w:val="es-AR" w:eastAsia="es-AR"/>
              </w:rPr>
            </w:pPr>
          </w:p>
        </w:tc>
        <w:tc>
          <w:tcPr>
            <w:tcW w:w="709" w:type="dxa"/>
            <w:tcBorders>
              <w:top w:val="nil"/>
              <w:left w:val="nil"/>
              <w:bottom w:val="nil"/>
              <w:right w:val="nil"/>
            </w:tcBorders>
            <w:shd w:val="clear" w:color="auto" w:fill="auto"/>
            <w:vAlign w:val="bottom"/>
          </w:tcPr>
          <w:p w14:paraId="1EB3C501" w14:textId="77777777" w:rsidR="0010523F" w:rsidRPr="0010523F" w:rsidRDefault="0010523F" w:rsidP="0010523F">
            <w:pPr>
              <w:spacing w:line="100" w:lineRule="exact"/>
              <w:jc w:val="right"/>
              <w:rPr>
                <w:color w:val="000000"/>
                <w:sz w:val="16"/>
                <w:szCs w:val="16"/>
                <w:lang w:val="es-AR" w:eastAsia="es-AR"/>
              </w:rPr>
            </w:pPr>
          </w:p>
        </w:tc>
        <w:tc>
          <w:tcPr>
            <w:tcW w:w="709" w:type="dxa"/>
            <w:tcBorders>
              <w:top w:val="nil"/>
              <w:left w:val="nil"/>
              <w:bottom w:val="nil"/>
              <w:right w:val="nil"/>
            </w:tcBorders>
            <w:shd w:val="clear" w:color="auto" w:fill="auto"/>
            <w:vAlign w:val="bottom"/>
          </w:tcPr>
          <w:p w14:paraId="71997015" w14:textId="77777777" w:rsidR="0010523F" w:rsidRPr="0010523F" w:rsidRDefault="0010523F" w:rsidP="0010523F">
            <w:pPr>
              <w:spacing w:line="100" w:lineRule="exact"/>
              <w:jc w:val="right"/>
              <w:rPr>
                <w:color w:val="000000"/>
                <w:sz w:val="16"/>
                <w:szCs w:val="16"/>
                <w:lang w:val="es-AR" w:eastAsia="es-AR"/>
              </w:rPr>
            </w:pPr>
          </w:p>
        </w:tc>
        <w:tc>
          <w:tcPr>
            <w:tcW w:w="850" w:type="dxa"/>
            <w:tcBorders>
              <w:top w:val="nil"/>
              <w:left w:val="nil"/>
              <w:bottom w:val="nil"/>
              <w:right w:val="nil"/>
            </w:tcBorders>
            <w:shd w:val="clear" w:color="auto" w:fill="auto"/>
            <w:vAlign w:val="bottom"/>
          </w:tcPr>
          <w:p w14:paraId="266DC2BA" w14:textId="77777777" w:rsidR="0010523F" w:rsidRPr="0010523F" w:rsidRDefault="0010523F" w:rsidP="0010523F">
            <w:pPr>
              <w:spacing w:line="100" w:lineRule="exact"/>
              <w:jc w:val="right"/>
              <w:rPr>
                <w:color w:val="000000"/>
                <w:sz w:val="16"/>
                <w:szCs w:val="16"/>
                <w:lang w:val="es-AR" w:eastAsia="es-AR"/>
              </w:rPr>
            </w:pPr>
          </w:p>
        </w:tc>
        <w:tc>
          <w:tcPr>
            <w:tcW w:w="964" w:type="dxa"/>
            <w:tcBorders>
              <w:top w:val="nil"/>
              <w:left w:val="nil"/>
              <w:bottom w:val="nil"/>
              <w:right w:val="nil"/>
            </w:tcBorders>
            <w:shd w:val="clear" w:color="auto" w:fill="auto"/>
            <w:vAlign w:val="bottom"/>
          </w:tcPr>
          <w:p w14:paraId="5BD41F07" w14:textId="77777777" w:rsidR="0010523F" w:rsidRPr="0010523F" w:rsidRDefault="0010523F" w:rsidP="0010523F">
            <w:pPr>
              <w:spacing w:line="100" w:lineRule="exact"/>
              <w:jc w:val="right"/>
              <w:rPr>
                <w:color w:val="000000"/>
                <w:sz w:val="16"/>
                <w:szCs w:val="16"/>
                <w:lang w:val="es-AR" w:eastAsia="es-AR"/>
              </w:rPr>
            </w:pPr>
          </w:p>
        </w:tc>
        <w:tc>
          <w:tcPr>
            <w:tcW w:w="160" w:type="dxa"/>
            <w:gridSpan w:val="2"/>
            <w:tcBorders>
              <w:top w:val="nil"/>
              <w:left w:val="nil"/>
              <w:bottom w:val="nil"/>
              <w:right w:val="nil"/>
            </w:tcBorders>
            <w:shd w:val="clear" w:color="auto" w:fill="auto"/>
            <w:vAlign w:val="bottom"/>
          </w:tcPr>
          <w:p w14:paraId="73B737FD" w14:textId="77777777" w:rsidR="0010523F" w:rsidRPr="0010523F" w:rsidRDefault="0010523F" w:rsidP="0010523F">
            <w:pPr>
              <w:spacing w:line="100" w:lineRule="exact"/>
              <w:jc w:val="right"/>
              <w:rPr>
                <w:color w:val="000000"/>
                <w:sz w:val="16"/>
                <w:szCs w:val="16"/>
                <w:lang w:val="es-AR" w:eastAsia="es-AR"/>
              </w:rPr>
            </w:pPr>
          </w:p>
        </w:tc>
        <w:tc>
          <w:tcPr>
            <w:tcW w:w="907" w:type="dxa"/>
            <w:gridSpan w:val="2"/>
            <w:tcBorders>
              <w:top w:val="nil"/>
              <w:left w:val="nil"/>
              <w:bottom w:val="nil"/>
              <w:right w:val="nil"/>
            </w:tcBorders>
            <w:shd w:val="clear" w:color="auto" w:fill="auto"/>
            <w:vAlign w:val="bottom"/>
          </w:tcPr>
          <w:p w14:paraId="56EBED0E" w14:textId="77777777" w:rsidR="0010523F" w:rsidRPr="0010523F" w:rsidRDefault="0010523F" w:rsidP="0010523F">
            <w:pPr>
              <w:spacing w:line="100" w:lineRule="exact"/>
              <w:jc w:val="right"/>
              <w:rPr>
                <w:color w:val="000000"/>
                <w:sz w:val="16"/>
                <w:szCs w:val="16"/>
                <w:lang w:val="es-AR" w:eastAsia="es-AR"/>
              </w:rPr>
            </w:pPr>
          </w:p>
        </w:tc>
        <w:tc>
          <w:tcPr>
            <w:tcW w:w="964" w:type="dxa"/>
            <w:tcBorders>
              <w:top w:val="nil"/>
              <w:left w:val="nil"/>
              <w:bottom w:val="nil"/>
              <w:right w:val="nil"/>
            </w:tcBorders>
            <w:shd w:val="clear" w:color="auto" w:fill="auto"/>
            <w:vAlign w:val="bottom"/>
          </w:tcPr>
          <w:p w14:paraId="33F20D93" w14:textId="77777777" w:rsidR="0010523F" w:rsidRPr="0010523F" w:rsidRDefault="0010523F" w:rsidP="0010523F">
            <w:pPr>
              <w:spacing w:line="100" w:lineRule="exact"/>
              <w:jc w:val="right"/>
              <w:rPr>
                <w:color w:val="000000"/>
                <w:sz w:val="16"/>
                <w:szCs w:val="16"/>
                <w:lang w:val="es-AR" w:eastAsia="es-AR"/>
              </w:rPr>
            </w:pPr>
          </w:p>
        </w:tc>
        <w:tc>
          <w:tcPr>
            <w:tcW w:w="907" w:type="dxa"/>
            <w:gridSpan w:val="2"/>
            <w:tcBorders>
              <w:top w:val="nil"/>
              <w:left w:val="nil"/>
              <w:bottom w:val="nil"/>
              <w:right w:val="nil"/>
            </w:tcBorders>
            <w:vAlign w:val="bottom"/>
          </w:tcPr>
          <w:p w14:paraId="67FF91EC" w14:textId="77777777" w:rsidR="0010523F" w:rsidRPr="0010523F" w:rsidRDefault="0010523F" w:rsidP="0010523F">
            <w:pPr>
              <w:spacing w:line="100" w:lineRule="exact"/>
              <w:jc w:val="right"/>
              <w:rPr>
                <w:color w:val="000000"/>
                <w:sz w:val="16"/>
                <w:szCs w:val="16"/>
                <w:lang w:val="es-AR" w:eastAsia="es-AR"/>
              </w:rPr>
            </w:pPr>
          </w:p>
        </w:tc>
      </w:tr>
      <w:tr w:rsidR="0010523F" w:rsidRPr="0010523F" w14:paraId="2069942F" w14:textId="77777777" w:rsidTr="00774E7E">
        <w:trPr>
          <w:trHeight w:val="170"/>
        </w:trPr>
        <w:tc>
          <w:tcPr>
            <w:tcW w:w="2268" w:type="dxa"/>
            <w:tcBorders>
              <w:top w:val="nil"/>
              <w:left w:val="nil"/>
              <w:bottom w:val="nil"/>
              <w:right w:val="nil"/>
            </w:tcBorders>
            <w:shd w:val="clear" w:color="auto" w:fill="auto"/>
            <w:vAlign w:val="center"/>
            <w:hideMark/>
          </w:tcPr>
          <w:p w14:paraId="2C1E83B1"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Total al 31/12/2018</w:t>
            </w:r>
          </w:p>
        </w:tc>
        <w:tc>
          <w:tcPr>
            <w:tcW w:w="851" w:type="dxa"/>
            <w:tcBorders>
              <w:top w:val="nil"/>
              <w:left w:val="nil"/>
              <w:bottom w:val="nil"/>
              <w:right w:val="nil"/>
            </w:tcBorders>
            <w:shd w:val="clear" w:color="auto" w:fill="auto"/>
            <w:vAlign w:val="bottom"/>
            <w:hideMark/>
          </w:tcPr>
          <w:p w14:paraId="29AEE84E" w14:textId="77777777" w:rsidR="0010523F" w:rsidRPr="0010523F" w:rsidRDefault="0010523F" w:rsidP="0010523F">
            <w:pPr>
              <w:jc w:val="right"/>
              <w:rPr>
                <w:color w:val="000000"/>
                <w:sz w:val="16"/>
                <w:szCs w:val="16"/>
                <w:highlight w:val="yellow"/>
                <w:u w:val="double"/>
                <w:lang w:val="es-AR" w:eastAsia="es-AR"/>
              </w:rPr>
            </w:pPr>
            <w:r w:rsidRPr="0010523F">
              <w:rPr>
                <w:color w:val="000000"/>
                <w:sz w:val="16"/>
                <w:szCs w:val="16"/>
                <w:u w:val="double"/>
                <w:lang w:val="es-AR" w:eastAsia="es-AR"/>
              </w:rPr>
              <w:t>310.026</w:t>
            </w:r>
          </w:p>
        </w:tc>
        <w:tc>
          <w:tcPr>
            <w:tcW w:w="850" w:type="dxa"/>
            <w:tcBorders>
              <w:top w:val="nil"/>
              <w:left w:val="nil"/>
              <w:bottom w:val="nil"/>
              <w:right w:val="nil"/>
            </w:tcBorders>
            <w:shd w:val="clear" w:color="auto" w:fill="auto"/>
            <w:vAlign w:val="bottom"/>
            <w:hideMark/>
          </w:tcPr>
          <w:p w14:paraId="3612CB5B" w14:textId="77777777" w:rsidR="0010523F" w:rsidRPr="0010523F" w:rsidRDefault="0010523F" w:rsidP="0010523F">
            <w:pPr>
              <w:jc w:val="right"/>
              <w:rPr>
                <w:color w:val="000000"/>
                <w:sz w:val="16"/>
                <w:szCs w:val="16"/>
                <w:lang w:val="es-AR" w:eastAsia="es-AR"/>
              </w:rPr>
            </w:pPr>
            <w:r w:rsidRPr="0010523F">
              <w:rPr>
                <w:color w:val="000000"/>
                <w:sz w:val="16"/>
                <w:szCs w:val="16"/>
                <w:u w:val="double"/>
                <w:lang w:val="es-AR" w:eastAsia="es-AR"/>
              </w:rPr>
              <w:t>48.133</w:t>
            </w:r>
          </w:p>
        </w:tc>
        <w:tc>
          <w:tcPr>
            <w:tcW w:w="851" w:type="dxa"/>
            <w:tcBorders>
              <w:top w:val="nil"/>
              <w:left w:val="nil"/>
              <w:bottom w:val="nil"/>
              <w:right w:val="nil"/>
            </w:tcBorders>
            <w:shd w:val="clear" w:color="auto" w:fill="auto"/>
            <w:vAlign w:val="bottom"/>
            <w:hideMark/>
          </w:tcPr>
          <w:p w14:paraId="0A1045CB"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37.817</w:t>
            </w:r>
          </w:p>
        </w:tc>
        <w:tc>
          <w:tcPr>
            <w:tcW w:w="708" w:type="dxa"/>
            <w:tcBorders>
              <w:top w:val="nil"/>
              <w:left w:val="nil"/>
              <w:bottom w:val="nil"/>
              <w:right w:val="nil"/>
            </w:tcBorders>
            <w:shd w:val="clear" w:color="auto" w:fill="auto"/>
            <w:vAlign w:val="bottom"/>
          </w:tcPr>
          <w:p w14:paraId="2D522728"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 xml:space="preserve">          -</w:t>
            </w:r>
          </w:p>
        </w:tc>
        <w:tc>
          <w:tcPr>
            <w:tcW w:w="709" w:type="dxa"/>
            <w:tcBorders>
              <w:top w:val="nil"/>
              <w:left w:val="nil"/>
              <w:bottom w:val="nil"/>
              <w:right w:val="nil"/>
            </w:tcBorders>
            <w:shd w:val="clear" w:color="auto" w:fill="auto"/>
            <w:vAlign w:val="bottom"/>
            <w:hideMark/>
          </w:tcPr>
          <w:p w14:paraId="43B4FC07"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 xml:space="preserve">   489</w:t>
            </w:r>
            <w:r w:rsidRPr="0010523F">
              <w:rPr>
                <w:color w:val="000000"/>
                <w:sz w:val="16"/>
                <w:szCs w:val="16"/>
                <w:lang w:val="es-AR" w:eastAsia="es-AR"/>
              </w:rPr>
              <w:t>)</w:t>
            </w:r>
          </w:p>
        </w:tc>
        <w:tc>
          <w:tcPr>
            <w:tcW w:w="709" w:type="dxa"/>
            <w:tcBorders>
              <w:top w:val="nil"/>
              <w:left w:val="nil"/>
              <w:bottom w:val="nil"/>
              <w:right w:val="nil"/>
            </w:tcBorders>
            <w:shd w:val="clear" w:color="auto" w:fill="auto"/>
            <w:vAlign w:val="bottom"/>
            <w:hideMark/>
          </w:tcPr>
          <w:p w14:paraId="113571DC"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364.937</w:t>
            </w:r>
          </w:p>
        </w:tc>
        <w:tc>
          <w:tcPr>
            <w:tcW w:w="780" w:type="dxa"/>
            <w:tcBorders>
              <w:top w:val="nil"/>
              <w:left w:val="nil"/>
              <w:bottom w:val="nil"/>
              <w:right w:val="nil"/>
            </w:tcBorders>
            <w:shd w:val="clear" w:color="auto" w:fill="auto"/>
            <w:vAlign w:val="bottom"/>
            <w:hideMark/>
          </w:tcPr>
          <w:p w14:paraId="4A5DCC2E"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 xml:space="preserve">   760.424</w:t>
            </w:r>
          </w:p>
        </w:tc>
        <w:tc>
          <w:tcPr>
            <w:tcW w:w="160" w:type="dxa"/>
            <w:tcBorders>
              <w:top w:val="nil"/>
              <w:left w:val="nil"/>
              <w:bottom w:val="nil"/>
              <w:right w:val="nil"/>
            </w:tcBorders>
            <w:shd w:val="clear" w:color="auto" w:fill="auto"/>
            <w:vAlign w:val="bottom"/>
            <w:hideMark/>
          </w:tcPr>
          <w:p w14:paraId="0B6ED097" w14:textId="77777777" w:rsidR="0010523F" w:rsidRPr="0010523F" w:rsidRDefault="0010523F" w:rsidP="0010523F">
            <w:pPr>
              <w:jc w:val="right"/>
              <w:rPr>
                <w:color w:val="000000"/>
                <w:sz w:val="16"/>
                <w:szCs w:val="16"/>
                <w:u w:val="double"/>
                <w:lang w:val="es-AR" w:eastAsia="es-AR"/>
              </w:rPr>
            </w:pPr>
          </w:p>
        </w:tc>
        <w:tc>
          <w:tcPr>
            <w:tcW w:w="964" w:type="dxa"/>
            <w:tcBorders>
              <w:top w:val="nil"/>
              <w:left w:val="nil"/>
              <w:bottom w:val="nil"/>
              <w:right w:val="nil"/>
            </w:tcBorders>
            <w:shd w:val="clear" w:color="auto" w:fill="auto"/>
            <w:vAlign w:val="bottom"/>
            <w:hideMark/>
          </w:tcPr>
          <w:p w14:paraId="3544D619"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135.976</w:t>
            </w:r>
            <w:r w:rsidRPr="0010523F">
              <w:rPr>
                <w:color w:val="000000"/>
                <w:sz w:val="16"/>
                <w:szCs w:val="16"/>
                <w:lang w:val="es-AR" w:eastAsia="es-AR"/>
              </w:rPr>
              <w:t>)</w:t>
            </w:r>
          </w:p>
        </w:tc>
        <w:tc>
          <w:tcPr>
            <w:tcW w:w="850" w:type="dxa"/>
            <w:tcBorders>
              <w:top w:val="nil"/>
              <w:left w:val="nil"/>
              <w:bottom w:val="nil"/>
              <w:right w:val="nil"/>
            </w:tcBorders>
            <w:shd w:val="clear" w:color="auto" w:fill="auto"/>
            <w:vAlign w:val="bottom"/>
            <w:hideMark/>
          </w:tcPr>
          <w:p w14:paraId="2CD63B20"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single"/>
                <w:lang w:val="es-AR" w:eastAsia="es-AR"/>
              </w:rPr>
              <w:t>17.337</w:t>
            </w:r>
            <w:r w:rsidRPr="0010523F">
              <w:rPr>
                <w:color w:val="000000"/>
                <w:sz w:val="16"/>
                <w:szCs w:val="16"/>
                <w:lang w:val="es-AR" w:eastAsia="es-AR"/>
              </w:rPr>
              <w:t>)</w:t>
            </w:r>
          </w:p>
        </w:tc>
        <w:tc>
          <w:tcPr>
            <w:tcW w:w="709" w:type="dxa"/>
            <w:tcBorders>
              <w:top w:val="nil"/>
              <w:left w:val="nil"/>
              <w:bottom w:val="nil"/>
              <w:right w:val="nil"/>
            </w:tcBorders>
            <w:shd w:val="clear" w:color="auto" w:fill="auto"/>
            <w:vAlign w:val="bottom"/>
            <w:hideMark/>
          </w:tcPr>
          <w:p w14:paraId="31A6FD63"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23.148</w:t>
            </w:r>
            <w:r w:rsidRPr="0010523F">
              <w:rPr>
                <w:color w:val="000000"/>
                <w:sz w:val="16"/>
                <w:szCs w:val="16"/>
                <w:lang w:val="es-AR" w:eastAsia="es-AR"/>
              </w:rPr>
              <w:t>)</w:t>
            </w:r>
          </w:p>
        </w:tc>
        <w:tc>
          <w:tcPr>
            <w:tcW w:w="709" w:type="dxa"/>
            <w:tcBorders>
              <w:top w:val="nil"/>
              <w:left w:val="nil"/>
              <w:bottom w:val="nil"/>
              <w:right w:val="nil"/>
            </w:tcBorders>
            <w:shd w:val="clear" w:color="auto" w:fill="auto"/>
            <w:vAlign w:val="bottom"/>
            <w:hideMark/>
          </w:tcPr>
          <w:p w14:paraId="6E5392BB"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354</w:t>
            </w:r>
          </w:p>
        </w:tc>
        <w:tc>
          <w:tcPr>
            <w:tcW w:w="850" w:type="dxa"/>
            <w:tcBorders>
              <w:top w:val="nil"/>
              <w:left w:val="nil"/>
              <w:bottom w:val="nil"/>
              <w:right w:val="nil"/>
            </w:tcBorders>
            <w:shd w:val="clear" w:color="auto" w:fill="auto"/>
            <w:vAlign w:val="bottom"/>
            <w:hideMark/>
          </w:tcPr>
          <w:p w14:paraId="173112FC"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158.968</w:t>
            </w:r>
            <w:r w:rsidRPr="0010523F">
              <w:rPr>
                <w:color w:val="000000"/>
                <w:sz w:val="16"/>
                <w:szCs w:val="16"/>
                <w:lang w:val="es-AR" w:eastAsia="es-AR"/>
              </w:rPr>
              <w:t>)</w:t>
            </w:r>
          </w:p>
        </w:tc>
        <w:tc>
          <w:tcPr>
            <w:tcW w:w="964" w:type="dxa"/>
            <w:tcBorders>
              <w:top w:val="nil"/>
              <w:left w:val="nil"/>
              <w:bottom w:val="nil"/>
              <w:right w:val="nil"/>
            </w:tcBorders>
            <w:shd w:val="clear" w:color="auto" w:fill="auto"/>
            <w:vAlign w:val="bottom"/>
            <w:hideMark/>
          </w:tcPr>
          <w:p w14:paraId="50B21B8C"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335.075</w:t>
            </w:r>
            <w:r w:rsidRPr="0010523F">
              <w:rPr>
                <w:color w:val="000000"/>
                <w:sz w:val="16"/>
                <w:szCs w:val="16"/>
                <w:lang w:val="es-AR" w:eastAsia="es-AR"/>
              </w:rPr>
              <w:t>)</w:t>
            </w:r>
          </w:p>
        </w:tc>
        <w:tc>
          <w:tcPr>
            <w:tcW w:w="160" w:type="dxa"/>
            <w:gridSpan w:val="2"/>
            <w:tcBorders>
              <w:top w:val="nil"/>
              <w:left w:val="nil"/>
              <w:bottom w:val="nil"/>
              <w:right w:val="nil"/>
            </w:tcBorders>
            <w:shd w:val="clear" w:color="auto" w:fill="auto"/>
            <w:vAlign w:val="bottom"/>
            <w:hideMark/>
          </w:tcPr>
          <w:p w14:paraId="5BD7A712" w14:textId="77777777" w:rsidR="0010523F" w:rsidRPr="0010523F" w:rsidRDefault="0010523F" w:rsidP="0010523F">
            <w:pPr>
              <w:jc w:val="right"/>
              <w:rPr>
                <w:color w:val="000000"/>
                <w:sz w:val="16"/>
                <w:szCs w:val="16"/>
                <w:u w:val="double"/>
                <w:lang w:val="es-AR" w:eastAsia="es-AR"/>
              </w:rPr>
            </w:pPr>
          </w:p>
        </w:tc>
        <w:tc>
          <w:tcPr>
            <w:tcW w:w="907" w:type="dxa"/>
            <w:gridSpan w:val="2"/>
            <w:tcBorders>
              <w:top w:val="nil"/>
              <w:left w:val="nil"/>
              <w:bottom w:val="nil"/>
              <w:right w:val="nil"/>
            </w:tcBorders>
            <w:shd w:val="clear" w:color="auto" w:fill="auto"/>
            <w:vAlign w:val="bottom"/>
            <w:hideMark/>
          </w:tcPr>
          <w:p w14:paraId="7B3135E0" w14:textId="77777777" w:rsidR="0010523F" w:rsidRPr="0010523F" w:rsidRDefault="0010523F" w:rsidP="0010523F">
            <w:pPr>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29ECD880"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425.349</w:t>
            </w:r>
          </w:p>
        </w:tc>
        <w:tc>
          <w:tcPr>
            <w:tcW w:w="907" w:type="dxa"/>
            <w:gridSpan w:val="2"/>
            <w:tcBorders>
              <w:top w:val="nil"/>
              <w:left w:val="nil"/>
              <w:bottom w:val="nil"/>
              <w:right w:val="nil"/>
            </w:tcBorders>
            <w:vAlign w:val="bottom"/>
          </w:tcPr>
          <w:p w14:paraId="7E3A5F5E" w14:textId="77777777" w:rsidR="0010523F" w:rsidRPr="0010523F" w:rsidRDefault="0010523F" w:rsidP="0010523F">
            <w:pPr>
              <w:jc w:val="right"/>
              <w:rPr>
                <w:color w:val="000000"/>
                <w:sz w:val="16"/>
                <w:szCs w:val="16"/>
                <w:lang w:val="es-AR" w:eastAsia="es-AR"/>
              </w:rPr>
            </w:pPr>
          </w:p>
        </w:tc>
      </w:tr>
      <w:tr w:rsidR="0010523F" w:rsidRPr="0010523F" w14:paraId="498A6929" w14:textId="77777777" w:rsidTr="00774E7E">
        <w:trPr>
          <w:trHeight w:val="113"/>
        </w:trPr>
        <w:tc>
          <w:tcPr>
            <w:tcW w:w="2268" w:type="dxa"/>
            <w:tcBorders>
              <w:top w:val="nil"/>
              <w:left w:val="nil"/>
              <w:bottom w:val="nil"/>
              <w:right w:val="nil"/>
            </w:tcBorders>
            <w:shd w:val="clear" w:color="auto" w:fill="auto"/>
            <w:vAlign w:val="center"/>
          </w:tcPr>
          <w:p w14:paraId="0D668C72" w14:textId="77777777" w:rsidR="0010523F" w:rsidRPr="0010523F" w:rsidRDefault="0010523F" w:rsidP="0010523F">
            <w:pPr>
              <w:spacing w:line="100" w:lineRule="exact"/>
              <w:rPr>
                <w:color w:val="000000"/>
                <w:sz w:val="16"/>
                <w:szCs w:val="16"/>
                <w:lang w:val="es-AR" w:eastAsia="es-AR"/>
              </w:rPr>
            </w:pPr>
          </w:p>
        </w:tc>
        <w:tc>
          <w:tcPr>
            <w:tcW w:w="851" w:type="dxa"/>
            <w:tcBorders>
              <w:top w:val="nil"/>
              <w:left w:val="nil"/>
              <w:bottom w:val="nil"/>
              <w:right w:val="nil"/>
            </w:tcBorders>
            <w:shd w:val="clear" w:color="auto" w:fill="auto"/>
            <w:vAlign w:val="center"/>
          </w:tcPr>
          <w:p w14:paraId="32269BD3" w14:textId="77777777" w:rsidR="0010523F" w:rsidRPr="0010523F" w:rsidRDefault="0010523F" w:rsidP="0010523F">
            <w:pPr>
              <w:spacing w:line="100" w:lineRule="exact"/>
              <w:rPr>
                <w:color w:val="000000"/>
                <w:sz w:val="16"/>
                <w:szCs w:val="16"/>
                <w:highlight w:val="yellow"/>
                <w:lang w:val="es-AR" w:eastAsia="es-AR"/>
              </w:rPr>
            </w:pPr>
          </w:p>
        </w:tc>
        <w:tc>
          <w:tcPr>
            <w:tcW w:w="850" w:type="dxa"/>
            <w:tcBorders>
              <w:top w:val="nil"/>
              <w:left w:val="nil"/>
              <w:bottom w:val="nil"/>
              <w:right w:val="nil"/>
            </w:tcBorders>
            <w:shd w:val="clear" w:color="auto" w:fill="auto"/>
            <w:vAlign w:val="center"/>
          </w:tcPr>
          <w:p w14:paraId="0E34C027" w14:textId="77777777" w:rsidR="0010523F" w:rsidRPr="0010523F" w:rsidRDefault="0010523F" w:rsidP="0010523F">
            <w:pPr>
              <w:spacing w:line="100" w:lineRule="exact"/>
              <w:rPr>
                <w:color w:val="000000"/>
                <w:sz w:val="16"/>
                <w:szCs w:val="16"/>
                <w:lang w:val="es-AR" w:eastAsia="es-AR"/>
              </w:rPr>
            </w:pPr>
          </w:p>
        </w:tc>
        <w:tc>
          <w:tcPr>
            <w:tcW w:w="851" w:type="dxa"/>
            <w:tcBorders>
              <w:top w:val="nil"/>
              <w:left w:val="nil"/>
              <w:bottom w:val="nil"/>
              <w:right w:val="nil"/>
            </w:tcBorders>
            <w:shd w:val="clear" w:color="auto" w:fill="auto"/>
            <w:vAlign w:val="center"/>
          </w:tcPr>
          <w:p w14:paraId="18BC4B1F" w14:textId="77777777" w:rsidR="0010523F" w:rsidRPr="0010523F" w:rsidRDefault="0010523F" w:rsidP="0010523F">
            <w:pPr>
              <w:spacing w:line="100" w:lineRule="exact"/>
              <w:rPr>
                <w:color w:val="000000"/>
                <w:sz w:val="16"/>
                <w:szCs w:val="16"/>
                <w:lang w:val="es-AR" w:eastAsia="es-AR"/>
              </w:rPr>
            </w:pPr>
          </w:p>
        </w:tc>
        <w:tc>
          <w:tcPr>
            <w:tcW w:w="708" w:type="dxa"/>
            <w:tcBorders>
              <w:top w:val="nil"/>
              <w:left w:val="nil"/>
              <w:bottom w:val="nil"/>
              <w:right w:val="nil"/>
            </w:tcBorders>
            <w:shd w:val="clear" w:color="auto" w:fill="auto"/>
            <w:vAlign w:val="center"/>
          </w:tcPr>
          <w:p w14:paraId="0A9AAB86"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tcPr>
          <w:p w14:paraId="6AB2DD30"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tcPr>
          <w:p w14:paraId="6ADC6C67" w14:textId="77777777" w:rsidR="0010523F" w:rsidRPr="0010523F" w:rsidRDefault="0010523F" w:rsidP="0010523F">
            <w:pPr>
              <w:spacing w:line="100" w:lineRule="exact"/>
              <w:rPr>
                <w:color w:val="000000"/>
                <w:sz w:val="16"/>
                <w:szCs w:val="16"/>
                <w:lang w:val="es-AR" w:eastAsia="es-AR"/>
              </w:rPr>
            </w:pPr>
          </w:p>
        </w:tc>
        <w:tc>
          <w:tcPr>
            <w:tcW w:w="780" w:type="dxa"/>
            <w:tcBorders>
              <w:top w:val="nil"/>
              <w:left w:val="nil"/>
              <w:bottom w:val="nil"/>
              <w:right w:val="nil"/>
            </w:tcBorders>
            <w:shd w:val="clear" w:color="auto" w:fill="auto"/>
            <w:vAlign w:val="center"/>
          </w:tcPr>
          <w:p w14:paraId="25378FD3" w14:textId="77777777" w:rsidR="0010523F" w:rsidRPr="0010523F" w:rsidRDefault="0010523F" w:rsidP="0010523F">
            <w:pPr>
              <w:spacing w:line="100" w:lineRule="exact"/>
              <w:rPr>
                <w:color w:val="000000"/>
                <w:sz w:val="16"/>
                <w:szCs w:val="16"/>
                <w:lang w:val="es-AR" w:eastAsia="es-AR"/>
              </w:rPr>
            </w:pPr>
          </w:p>
        </w:tc>
        <w:tc>
          <w:tcPr>
            <w:tcW w:w="160" w:type="dxa"/>
            <w:tcBorders>
              <w:top w:val="nil"/>
              <w:left w:val="nil"/>
              <w:bottom w:val="nil"/>
              <w:right w:val="nil"/>
            </w:tcBorders>
            <w:shd w:val="clear" w:color="auto" w:fill="auto"/>
            <w:vAlign w:val="center"/>
          </w:tcPr>
          <w:p w14:paraId="5F955469" w14:textId="77777777" w:rsidR="0010523F" w:rsidRPr="0010523F" w:rsidRDefault="0010523F" w:rsidP="0010523F">
            <w:pPr>
              <w:spacing w:line="100" w:lineRule="exact"/>
              <w:rPr>
                <w:color w:val="000000"/>
                <w:sz w:val="16"/>
                <w:szCs w:val="16"/>
                <w:lang w:val="es-AR" w:eastAsia="es-AR"/>
              </w:rPr>
            </w:pPr>
          </w:p>
        </w:tc>
        <w:tc>
          <w:tcPr>
            <w:tcW w:w="964" w:type="dxa"/>
            <w:tcBorders>
              <w:top w:val="nil"/>
              <w:left w:val="nil"/>
              <w:bottom w:val="nil"/>
              <w:right w:val="nil"/>
            </w:tcBorders>
            <w:shd w:val="clear" w:color="auto" w:fill="auto"/>
            <w:vAlign w:val="center"/>
          </w:tcPr>
          <w:p w14:paraId="7ED43A46" w14:textId="77777777" w:rsidR="0010523F" w:rsidRPr="0010523F" w:rsidRDefault="0010523F" w:rsidP="0010523F">
            <w:pPr>
              <w:spacing w:line="100" w:lineRule="exact"/>
              <w:rPr>
                <w:color w:val="000000"/>
                <w:sz w:val="16"/>
                <w:szCs w:val="16"/>
                <w:lang w:val="es-AR" w:eastAsia="es-AR"/>
              </w:rPr>
            </w:pPr>
          </w:p>
        </w:tc>
        <w:tc>
          <w:tcPr>
            <w:tcW w:w="850" w:type="dxa"/>
            <w:tcBorders>
              <w:top w:val="nil"/>
              <w:left w:val="nil"/>
              <w:bottom w:val="nil"/>
              <w:right w:val="nil"/>
            </w:tcBorders>
            <w:shd w:val="clear" w:color="auto" w:fill="auto"/>
            <w:vAlign w:val="center"/>
          </w:tcPr>
          <w:p w14:paraId="2ECC927B"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tcPr>
          <w:p w14:paraId="791C46AE"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tcPr>
          <w:p w14:paraId="4CD084C9" w14:textId="77777777" w:rsidR="0010523F" w:rsidRPr="0010523F" w:rsidRDefault="0010523F" w:rsidP="0010523F">
            <w:pPr>
              <w:spacing w:line="100" w:lineRule="exact"/>
              <w:rPr>
                <w:color w:val="000000"/>
                <w:sz w:val="16"/>
                <w:szCs w:val="16"/>
                <w:lang w:val="es-AR" w:eastAsia="es-AR"/>
              </w:rPr>
            </w:pPr>
          </w:p>
        </w:tc>
        <w:tc>
          <w:tcPr>
            <w:tcW w:w="850" w:type="dxa"/>
            <w:tcBorders>
              <w:top w:val="nil"/>
              <w:left w:val="nil"/>
              <w:bottom w:val="nil"/>
              <w:right w:val="nil"/>
            </w:tcBorders>
            <w:shd w:val="clear" w:color="auto" w:fill="auto"/>
            <w:vAlign w:val="center"/>
          </w:tcPr>
          <w:p w14:paraId="7682EB5B" w14:textId="77777777" w:rsidR="0010523F" w:rsidRPr="0010523F" w:rsidRDefault="0010523F" w:rsidP="0010523F">
            <w:pPr>
              <w:spacing w:line="100" w:lineRule="exact"/>
              <w:rPr>
                <w:color w:val="000000"/>
                <w:sz w:val="16"/>
                <w:szCs w:val="16"/>
                <w:lang w:val="es-AR" w:eastAsia="es-AR"/>
              </w:rPr>
            </w:pPr>
          </w:p>
        </w:tc>
        <w:tc>
          <w:tcPr>
            <w:tcW w:w="964" w:type="dxa"/>
            <w:tcBorders>
              <w:top w:val="nil"/>
              <w:left w:val="nil"/>
              <w:bottom w:val="nil"/>
              <w:right w:val="nil"/>
            </w:tcBorders>
            <w:shd w:val="clear" w:color="auto" w:fill="auto"/>
            <w:vAlign w:val="center"/>
          </w:tcPr>
          <w:p w14:paraId="178C082F" w14:textId="77777777" w:rsidR="0010523F" w:rsidRPr="0010523F" w:rsidRDefault="0010523F" w:rsidP="0010523F">
            <w:pPr>
              <w:spacing w:line="100" w:lineRule="exact"/>
              <w:rPr>
                <w:color w:val="000000"/>
                <w:sz w:val="16"/>
                <w:szCs w:val="16"/>
                <w:lang w:val="es-AR" w:eastAsia="es-AR"/>
              </w:rPr>
            </w:pPr>
          </w:p>
        </w:tc>
        <w:tc>
          <w:tcPr>
            <w:tcW w:w="160" w:type="dxa"/>
            <w:gridSpan w:val="2"/>
            <w:tcBorders>
              <w:top w:val="nil"/>
              <w:left w:val="nil"/>
              <w:bottom w:val="nil"/>
              <w:right w:val="nil"/>
            </w:tcBorders>
            <w:shd w:val="clear" w:color="auto" w:fill="auto"/>
            <w:vAlign w:val="center"/>
          </w:tcPr>
          <w:p w14:paraId="7222ABF1" w14:textId="77777777" w:rsidR="0010523F" w:rsidRPr="0010523F" w:rsidRDefault="0010523F" w:rsidP="0010523F">
            <w:pPr>
              <w:spacing w:line="100" w:lineRule="exact"/>
              <w:rPr>
                <w:color w:val="000000"/>
                <w:sz w:val="16"/>
                <w:szCs w:val="16"/>
                <w:lang w:val="es-AR" w:eastAsia="es-AR"/>
              </w:rPr>
            </w:pPr>
          </w:p>
        </w:tc>
        <w:tc>
          <w:tcPr>
            <w:tcW w:w="907" w:type="dxa"/>
            <w:gridSpan w:val="2"/>
            <w:tcBorders>
              <w:top w:val="nil"/>
              <w:left w:val="nil"/>
              <w:bottom w:val="nil"/>
              <w:right w:val="nil"/>
            </w:tcBorders>
            <w:shd w:val="clear" w:color="auto" w:fill="auto"/>
            <w:vAlign w:val="center"/>
          </w:tcPr>
          <w:p w14:paraId="372B3795" w14:textId="77777777" w:rsidR="0010523F" w:rsidRPr="0010523F" w:rsidRDefault="0010523F" w:rsidP="0010523F">
            <w:pPr>
              <w:spacing w:line="100" w:lineRule="exact"/>
              <w:rPr>
                <w:color w:val="000000"/>
                <w:sz w:val="16"/>
                <w:szCs w:val="16"/>
                <w:lang w:val="es-AR" w:eastAsia="es-AR"/>
              </w:rPr>
            </w:pPr>
          </w:p>
        </w:tc>
        <w:tc>
          <w:tcPr>
            <w:tcW w:w="964" w:type="dxa"/>
            <w:tcBorders>
              <w:top w:val="nil"/>
              <w:left w:val="nil"/>
              <w:bottom w:val="nil"/>
              <w:right w:val="nil"/>
            </w:tcBorders>
            <w:shd w:val="clear" w:color="auto" w:fill="auto"/>
            <w:vAlign w:val="center"/>
          </w:tcPr>
          <w:p w14:paraId="100032DD" w14:textId="77777777" w:rsidR="0010523F" w:rsidRPr="0010523F" w:rsidRDefault="0010523F" w:rsidP="0010523F">
            <w:pPr>
              <w:spacing w:line="100" w:lineRule="exact"/>
              <w:rPr>
                <w:color w:val="000000"/>
                <w:sz w:val="16"/>
                <w:szCs w:val="16"/>
                <w:lang w:val="es-AR" w:eastAsia="es-AR"/>
              </w:rPr>
            </w:pPr>
          </w:p>
        </w:tc>
        <w:tc>
          <w:tcPr>
            <w:tcW w:w="907" w:type="dxa"/>
            <w:gridSpan w:val="2"/>
            <w:tcBorders>
              <w:top w:val="nil"/>
              <w:left w:val="nil"/>
              <w:bottom w:val="nil"/>
              <w:right w:val="nil"/>
            </w:tcBorders>
            <w:vAlign w:val="bottom"/>
          </w:tcPr>
          <w:p w14:paraId="72ABF2B1" w14:textId="77777777" w:rsidR="0010523F" w:rsidRPr="0010523F" w:rsidRDefault="0010523F" w:rsidP="0010523F">
            <w:pPr>
              <w:spacing w:line="100" w:lineRule="exact"/>
              <w:jc w:val="right"/>
              <w:rPr>
                <w:color w:val="000000"/>
                <w:sz w:val="16"/>
                <w:szCs w:val="16"/>
                <w:lang w:val="es-AR" w:eastAsia="es-AR"/>
              </w:rPr>
            </w:pPr>
          </w:p>
        </w:tc>
      </w:tr>
      <w:tr w:rsidR="0010523F" w:rsidRPr="0010523F" w14:paraId="58CEC847" w14:textId="77777777" w:rsidTr="00774E7E">
        <w:trPr>
          <w:trHeight w:val="174"/>
        </w:trPr>
        <w:tc>
          <w:tcPr>
            <w:tcW w:w="2268" w:type="dxa"/>
            <w:tcBorders>
              <w:top w:val="nil"/>
              <w:left w:val="nil"/>
              <w:bottom w:val="nil"/>
              <w:right w:val="nil"/>
            </w:tcBorders>
            <w:shd w:val="clear" w:color="auto" w:fill="auto"/>
            <w:vAlign w:val="center"/>
          </w:tcPr>
          <w:p w14:paraId="5DF12348"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Total al 30/09/2018</w:t>
            </w:r>
          </w:p>
        </w:tc>
        <w:tc>
          <w:tcPr>
            <w:tcW w:w="851" w:type="dxa"/>
            <w:tcBorders>
              <w:top w:val="nil"/>
              <w:left w:val="nil"/>
              <w:bottom w:val="nil"/>
              <w:right w:val="nil"/>
            </w:tcBorders>
            <w:shd w:val="clear" w:color="auto" w:fill="auto"/>
            <w:vAlign w:val="bottom"/>
          </w:tcPr>
          <w:p w14:paraId="06E375C0" w14:textId="77777777" w:rsidR="0010523F" w:rsidRPr="0010523F" w:rsidRDefault="0010523F" w:rsidP="0010523F">
            <w:pPr>
              <w:jc w:val="right"/>
              <w:rPr>
                <w:color w:val="000000"/>
                <w:sz w:val="16"/>
                <w:szCs w:val="16"/>
                <w:highlight w:val="yellow"/>
                <w:u w:val="double"/>
                <w:lang w:val="es-AR" w:eastAsia="es-AR"/>
              </w:rPr>
            </w:pPr>
            <w:r w:rsidRPr="0010523F">
              <w:rPr>
                <w:color w:val="000000"/>
                <w:sz w:val="16"/>
                <w:szCs w:val="16"/>
                <w:u w:val="double"/>
                <w:lang w:val="es-AR" w:eastAsia="es-AR"/>
              </w:rPr>
              <w:t>310.026</w:t>
            </w:r>
          </w:p>
        </w:tc>
        <w:tc>
          <w:tcPr>
            <w:tcW w:w="850" w:type="dxa"/>
            <w:tcBorders>
              <w:top w:val="nil"/>
              <w:left w:val="nil"/>
              <w:bottom w:val="nil"/>
              <w:right w:val="nil"/>
            </w:tcBorders>
            <w:shd w:val="clear" w:color="auto" w:fill="auto"/>
            <w:vAlign w:val="bottom"/>
          </w:tcPr>
          <w:p w14:paraId="5F28EC23"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48.133</w:t>
            </w:r>
          </w:p>
        </w:tc>
        <w:tc>
          <w:tcPr>
            <w:tcW w:w="851" w:type="dxa"/>
            <w:tcBorders>
              <w:top w:val="nil"/>
              <w:left w:val="nil"/>
              <w:bottom w:val="nil"/>
              <w:right w:val="nil"/>
            </w:tcBorders>
            <w:shd w:val="clear" w:color="auto" w:fill="auto"/>
            <w:vAlign w:val="bottom"/>
          </w:tcPr>
          <w:p w14:paraId="3FF7ED0E"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26.922</w:t>
            </w:r>
          </w:p>
        </w:tc>
        <w:tc>
          <w:tcPr>
            <w:tcW w:w="708" w:type="dxa"/>
            <w:tcBorders>
              <w:top w:val="nil"/>
              <w:left w:val="nil"/>
              <w:bottom w:val="nil"/>
              <w:right w:val="nil"/>
            </w:tcBorders>
            <w:shd w:val="clear" w:color="auto" w:fill="auto"/>
            <w:vAlign w:val="bottom"/>
          </w:tcPr>
          <w:p w14:paraId="254E12F8"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 xml:space="preserve">          -</w:t>
            </w:r>
          </w:p>
        </w:tc>
        <w:tc>
          <w:tcPr>
            <w:tcW w:w="709" w:type="dxa"/>
            <w:tcBorders>
              <w:top w:val="nil"/>
              <w:left w:val="nil"/>
              <w:bottom w:val="nil"/>
              <w:right w:val="nil"/>
            </w:tcBorders>
            <w:shd w:val="clear" w:color="auto" w:fill="auto"/>
            <w:vAlign w:val="bottom"/>
          </w:tcPr>
          <w:p w14:paraId="3F3A889D"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 xml:space="preserve">  104</w:t>
            </w:r>
            <w:r w:rsidRPr="0010523F">
              <w:rPr>
                <w:color w:val="000000"/>
                <w:sz w:val="16"/>
                <w:szCs w:val="16"/>
                <w:lang w:val="es-AR" w:eastAsia="es-AR"/>
              </w:rPr>
              <w:t>)</w:t>
            </w:r>
          </w:p>
        </w:tc>
        <w:tc>
          <w:tcPr>
            <w:tcW w:w="709" w:type="dxa"/>
            <w:tcBorders>
              <w:top w:val="nil"/>
              <w:left w:val="nil"/>
              <w:bottom w:val="nil"/>
              <w:right w:val="nil"/>
            </w:tcBorders>
            <w:shd w:val="clear" w:color="auto" w:fill="auto"/>
            <w:vAlign w:val="bottom"/>
          </w:tcPr>
          <w:p w14:paraId="4397C4AE"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435.259</w:t>
            </w:r>
          </w:p>
        </w:tc>
        <w:tc>
          <w:tcPr>
            <w:tcW w:w="780" w:type="dxa"/>
            <w:tcBorders>
              <w:top w:val="nil"/>
              <w:left w:val="nil"/>
              <w:bottom w:val="nil"/>
              <w:right w:val="nil"/>
            </w:tcBorders>
            <w:shd w:val="clear" w:color="auto" w:fill="auto"/>
            <w:vAlign w:val="bottom"/>
          </w:tcPr>
          <w:p w14:paraId="3061124A"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 xml:space="preserve">   820.236</w:t>
            </w:r>
          </w:p>
        </w:tc>
        <w:tc>
          <w:tcPr>
            <w:tcW w:w="160" w:type="dxa"/>
            <w:tcBorders>
              <w:top w:val="nil"/>
              <w:left w:val="nil"/>
              <w:bottom w:val="nil"/>
              <w:right w:val="nil"/>
            </w:tcBorders>
            <w:shd w:val="clear" w:color="auto" w:fill="auto"/>
            <w:vAlign w:val="bottom"/>
          </w:tcPr>
          <w:p w14:paraId="17077AE0" w14:textId="77777777" w:rsidR="0010523F" w:rsidRPr="0010523F" w:rsidRDefault="0010523F" w:rsidP="0010523F">
            <w:pPr>
              <w:jc w:val="right"/>
              <w:rPr>
                <w:color w:val="000000"/>
                <w:sz w:val="16"/>
                <w:szCs w:val="16"/>
                <w:u w:val="double"/>
                <w:lang w:val="es-AR" w:eastAsia="es-AR"/>
              </w:rPr>
            </w:pPr>
          </w:p>
        </w:tc>
        <w:tc>
          <w:tcPr>
            <w:tcW w:w="964" w:type="dxa"/>
            <w:tcBorders>
              <w:top w:val="nil"/>
              <w:left w:val="nil"/>
              <w:bottom w:val="nil"/>
              <w:right w:val="nil"/>
            </w:tcBorders>
            <w:shd w:val="clear" w:color="auto" w:fill="auto"/>
            <w:vAlign w:val="bottom"/>
          </w:tcPr>
          <w:p w14:paraId="15019CA0"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135.976</w:t>
            </w:r>
            <w:r w:rsidRPr="0010523F">
              <w:rPr>
                <w:color w:val="000000"/>
                <w:sz w:val="16"/>
                <w:szCs w:val="16"/>
                <w:lang w:val="es-AR" w:eastAsia="es-AR"/>
              </w:rPr>
              <w:t>)</w:t>
            </w:r>
          </w:p>
        </w:tc>
        <w:tc>
          <w:tcPr>
            <w:tcW w:w="850" w:type="dxa"/>
            <w:tcBorders>
              <w:top w:val="nil"/>
              <w:left w:val="nil"/>
              <w:bottom w:val="nil"/>
              <w:right w:val="nil"/>
            </w:tcBorders>
            <w:shd w:val="clear" w:color="auto" w:fill="auto"/>
            <w:vAlign w:val="bottom"/>
          </w:tcPr>
          <w:p w14:paraId="79E250E8"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single"/>
                <w:lang w:val="es-AR" w:eastAsia="es-AR"/>
              </w:rPr>
              <w:t>17.337</w:t>
            </w:r>
            <w:r w:rsidRPr="0010523F">
              <w:rPr>
                <w:color w:val="000000"/>
                <w:sz w:val="16"/>
                <w:szCs w:val="16"/>
                <w:lang w:val="es-AR" w:eastAsia="es-AR"/>
              </w:rPr>
              <w:t>)</w:t>
            </w:r>
          </w:p>
        </w:tc>
        <w:tc>
          <w:tcPr>
            <w:tcW w:w="709" w:type="dxa"/>
            <w:tcBorders>
              <w:top w:val="nil"/>
              <w:left w:val="nil"/>
              <w:bottom w:val="nil"/>
              <w:right w:val="nil"/>
            </w:tcBorders>
            <w:shd w:val="clear" w:color="auto" w:fill="auto"/>
            <w:vAlign w:val="bottom"/>
          </w:tcPr>
          <w:p w14:paraId="7A46C99E"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15.332</w:t>
            </w:r>
            <w:r w:rsidRPr="0010523F">
              <w:rPr>
                <w:color w:val="000000"/>
                <w:sz w:val="16"/>
                <w:szCs w:val="16"/>
                <w:lang w:val="es-AR" w:eastAsia="es-AR"/>
              </w:rPr>
              <w:t>)</w:t>
            </w:r>
          </w:p>
        </w:tc>
        <w:tc>
          <w:tcPr>
            <w:tcW w:w="709" w:type="dxa"/>
            <w:tcBorders>
              <w:top w:val="nil"/>
              <w:left w:val="nil"/>
              <w:bottom w:val="nil"/>
              <w:right w:val="nil"/>
            </w:tcBorders>
            <w:shd w:val="clear" w:color="auto" w:fill="auto"/>
            <w:vAlign w:val="bottom"/>
          </w:tcPr>
          <w:p w14:paraId="08B19DA0"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 xml:space="preserve">  93</w:t>
            </w:r>
          </w:p>
        </w:tc>
        <w:tc>
          <w:tcPr>
            <w:tcW w:w="850" w:type="dxa"/>
            <w:tcBorders>
              <w:top w:val="nil"/>
              <w:left w:val="nil"/>
              <w:bottom w:val="nil"/>
              <w:right w:val="nil"/>
            </w:tcBorders>
            <w:shd w:val="clear" w:color="auto" w:fill="auto"/>
            <w:vAlign w:val="bottom"/>
          </w:tcPr>
          <w:p w14:paraId="20F8B3E8"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189.732</w:t>
            </w:r>
            <w:r w:rsidRPr="0010523F">
              <w:rPr>
                <w:color w:val="000000"/>
                <w:sz w:val="16"/>
                <w:szCs w:val="16"/>
                <w:lang w:val="es-AR" w:eastAsia="es-AR"/>
              </w:rPr>
              <w:t>)</w:t>
            </w:r>
          </w:p>
        </w:tc>
        <w:tc>
          <w:tcPr>
            <w:tcW w:w="964" w:type="dxa"/>
            <w:tcBorders>
              <w:top w:val="nil"/>
              <w:left w:val="nil"/>
              <w:bottom w:val="nil"/>
              <w:right w:val="nil"/>
            </w:tcBorders>
            <w:shd w:val="clear" w:color="auto" w:fill="auto"/>
            <w:vAlign w:val="bottom"/>
          </w:tcPr>
          <w:p w14:paraId="001A8847"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s-AR"/>
              </w:rPr>
              <w:t>(</w:t>
            </w:r>
            <w:r w:rsidRPr="0010523F">
              <w:rPr>
                <w:color w:val="000000"/>
                <w:sz w:val="16"/>
                <w:szCs w:val="16"/>
                <w:u w:val="double"/>
                <w:lang w:val="es-AR" w:eastAsia="es-AR"/>
              </w:rPr>
              <w:t>358.284</w:t>
            </w:r>
            <w:r w:rsidRPr="0010523F">
              <w:rPr>
                <w:color w:val="000000"/>
                <w:sz w:val="16"/>
                <w:szCs w:val="16"/>
                <w:lang w:val="es-AR" w:eastAsia="es-AR"/>
              </w:rPr>
              <w:t>)</w:t>
            </w:r>
          </w:p>
        </w:tc>
        <w:tc>
          <w:tcPr>
            <w:tcW w:w="160" w:type="dxa"/>
            <w:gridSpan w:val="2"/>
            <w:tcBorders>
              <w:top w:val="nil"/>
              <w:left w:val="nil"/>
              <w:bottom w:val="nil"/>
              <w:right w:val="nil"/>
            </w:tcBorders>
            <w:shd w:val="clear" w:color="auto" w:fill="auto"/>
            <w:vAlign w:val="center"/>
          </w:tcPr>
          <w:p w14:paraId="14EAB9BA" w14:textId="77777777" w:rsidR="0010523F" w:rsidRPr="0010523F" w:rsidRDefault="0010523F" w:rsidP="0010523F">
            <w:pPr>
              <w:rPr>
                <w:color w:val="000000"/>
                <w:sz w:val="16"/>
                <w:szCs w:val="16"/>
                <w:lang w:val="es-AR" w:eastAsia="es-AR"/>
              </w:rPr>
            </w:pPr>
          </w:p>
        </w:tc>
        <w:tc>
          <w:tcPr>
            <w:tcW w:w="907" w:type="dxa"/>
            <w:gridSpan w:val="2"/>
            <w:tcBorders>
              <w:top w:val="nil"/>
              <w:left w:val="nil"/>
              <w:bottom w:val="nil"/>
              <w:right w:val="nil"/>
            </w:tcBorders>
            <w:shd w:val="clear" w:color="auto" w:fill="auto"/>
            <w:vAlign w:val="center"/>
          </w:tcPr>
          <w:p w14:paraId="0BE3D550" w14:textId="77777777" w:rsidR="0010523F" w:rsidRPr="0010523F" w:rsidRDefault="0010523F" w:rsidP="0010523F">
            <w:pPr>
              <w:rPr>
                <w:color w:val="000000"/>
                <w:sz w:val="16"/>
                <w:szCs w:val="16"/>
                <w:lang w:val="es-AR" w:eastAsia="es-AR"/>
              </w:rPr>
            </w:pPr>
          </w:p>
        </w:tc>
        <w:tc>
          <w:tcPr>
            <w:tcW w:w="964" w:type="dxa"/>
            <w:tcBorders>
              <w:top w:val="nil"/>
              <w:left w:val="nil"/>
              <w:bottom w:val="nil"/>
              <w:right w:val="nil"/>
            </w:tcBorders>
            <w:shd w:val="clear" w:color="auto" w:fill="auto"/>
            <w:vAlign w:val="center"/>
          </w:tcPr>
          <w:p w14:paraId="3E7B1D82" w14:textId="77777777" w:rsidR="0010523F" w:rsidRPr="0010523F" w:rsidRDefault="0010523F" w:rsidP="0010523F">
            <w:pPr>
              <w:rPr>
                <w:color w:val="000000"/>
                <w:sz w:val="16"/>
                <w:szCs w:val="16"/>
                <w:lang w:val="es-AR" w:eastAsia="es-AR"/>
              </w:rPr>
            </w:pPr>
          </w:p>
        </w:tc>
        <w:tc>
          <w:tcPr>
            <w:tcW w:w="907" w:type="dxa"/>
            <w:gridSpan w:val="2"/>
            <w:tcBorders>
              <w:top w:val="nil"/>
              <w:left w:val="nil"/>
              <w:bottom w:val="nil"/>
              <w:right w:val="nil"/>
            </w:tcBorders>
            <w:vAlign w:val="bottom"/>
          </w:tcPr>
          <w:p w14:paraId="1427E026"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461.952</w:t>
            </w:r>
          </w:p>
        </w:tc>
      </w:tr>
      <w:tr w:rsidR="0010523F" w:rsidRPr="0010523F" w14:paraId="53CF30F7" w14:textId="77777777" w:rsidTr="00774E7E">
        <w:trPr>
          <w:trHeight w:val="480"/>
        </w:trPr>
        <w:tc>
          <w:tcPr>
            <w:tcW w:w="2268" w:type="dxa"/>
            <w:tcBorders>
              <w:top w:val="nil"/>
              <w:left w:val="nil"/>
              <w:bottom w:val="nil"/>
              <w:right w:val="nil"/>
            </w:tcBorders>
            <w:shd w:val="clear" w:color="auto" w:fill="auto"/>
            <w:vAlign w:val="center"/>
            <w:hideMark/>
          </w:tcPr>
          <w:p w14:paraId="0FE627A9"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Previsión para deterioro de   activos no financieros (Ver anexo E-1)</w:t>
            </w:r>
          </w:p>
        </w:tc>
        <w:tc>
          <w:tcPr>
            <w:tcW w:w="851" w:type="dxa"/>
            <w:tcBorders>
              <w:top w:val="nil"/>
              <w:left w:val="nil"/>
              <w:bottom w:val="nil"/>
              <w:right w:val="nil"/>
            </w:tcBorders>
            <w:shd w:val="clear" w:color="auto" w:fill="auto"/>
            <w:vAlign w:val="center"/>
            <w:hideMark/>
          </w:tcPr>
          <w:p w14:paraId="0B8C2609" w14:textId="77777777" w:rsidR="0010523F" w:rsidRPr="0010523F" w:rsidRDefault="0010523F" w:rsidP="0010523F">
            <w:pPr>
              <w:rPr>
                <w:color w:val="000000"/>
                <w:sz w:val="16"/>
                <w:szCs w:val="16"/>
                <w:highlight w:val="yellow"/>
                <w:lang w:val="es-AR" w:eastAsia="es-AR"/>
              </w:rPr>
            </w:pPr>
          </w:p>
        </w:tc>
        <w:tc>
          <w:tcPr>
            <w:tcW w:w="850" w:type="dxa"/>
            <w:tcBorders>
              <w:top w:val="nil"/>
              <w:left w:val="nil"/>
              <w:bottom w:val="nil"/>
              <w:right w:val="nil"/>
            </w:tcBorders>
            <w:shd w:val="clear" w:color="auto" w:fill="auto"/>
            <w:vAlign w:val="center"/>
            <w:hideMark/>
          </w:tcPr>
          <w:p w14:paraId="1A9BDE1F" w14:textId="77777777" w:rsidR="0010523F" w:rsidRPr="0010523F" w:rsidRDefault="0010523F" w:rsidP="0010523F">
            <w:pPr>
              <w:rPr>
                <w:color w:val="000000"/>
                <w:sz w:val="16"/>
                <w:szCs w:val="16"/>
                <w:lang w:val="es-AR" w:eastAsia="es-AR"/>
              </w:rPr>
            </w:pPr>
          </w:p>
        </w:tc>
        <w:tc>
          <w:tcPr>
            <w:tcW w:w="851" w:type="dxa"/>
            <w:tcBorders>
              <w:top w:val="nil"/>
              <w:left w:val="nil"/>
              <w:bottom w:val="nil"/>
              <w:right w:val="nil"/>
            </w:tcBorders>
            <w:shd w:val="clear" w:color="auto" w:fill="auto"/>
            <w:vAlign w:val="center"/>
            <w:hideMark/>
          </w:tcPr>
          <w:p w14:paraId="68A4FD3D" w14:textId="77777777" w:rsidR="0010523F" w:rsidRPr="0010523F" w:rsidRDefault="0010523F" w:rsidP="0010523F">
            <w:pPr>
              <w:rPr>
                <w:color w:val="000000"/>
                <w:sz w:val="16"/>
                <w:szCs w:val="16"/>
                <w:lang w:val="es-AR" w:eastAsia="es-AR"/>
              </w:rPr>
            </w:pPr>
          </w:p>
        </w:tc>
        <w:tc>
          <w:tcPr>
            <w:tcW w:w="708" w:type="dxa"/>
            <w:tcBorders>
              <w:top w:val="nil"/>
              <w:left w:val="nil"/>
              <w:bottom w:val="nil"/>
              <w:right w:val="nil"/>
            </w:tcBorders>
            <w:shd w:val="clear" w:color="auto" w:fill="auto"/>
            <w:vAlign w:val="center"/>
            <w:hideMark/>
          </w:tcPr>
          <w:p w14:paraId="1C93ECEC" w14:textId="77777777" w:rsidR="0010523F" w:rsidRPr="0010523F" w:rsidRDefault="0010523F" w:rsidP="0010523F">
            <w:pPr>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71F4D274" w14:textId="77777777" w:rsidR="0010523F" w:rsidRPr="0010523F" w:rsidRDefault="0010523F" w:rsidP="0010523F">
            <w:pPr>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583A993C" w14:textId="77777777" w:rsidR="0010523F" w:rsidRPr="0010523F" w:rsidRDefault="0010523F" w:rsidP="0010523F">
            <w:pPr>
              <w:rPr>
                <w:color w:val="000000"/>
                <w:sz w:val="16"/>
                <w:szCs w:val="16"/>
                <w:lang w:val="es-AR" w:eastAsia="es-AR"/>
              </w:rPr>
            </w:pPr>
          </w:p>
        </w:tc>
        <w:tc>
          <w:tcPr>
            <w:tcW w:w="780" w:type="dxa"/>
            <w:tcBorders>
              <w:top w:val="nil"/>
              <w:left w:val="nil"/>
              <w:bottom w:val="nil"/>
              <w:right w:val="nil"/>
            </w:tcBorders>
            <w:shd w:val="clear" w:color="auto" w:fill="auto"/>
            <w:vAlign w:val="center"/>
            <w:hideMark/>
          </w:tcPr>
          <w:p w14:paraId="5B157E9E" w14:textId="77777777" w:rsidR="0010523F" w:rsidRPr="0010523F" w:rsidRDefault="0010523F" w:rsidP="0010523F">
            <w:pPr>
              <w:rPr>
                <w:color w:val="000000"/>
                <w:sz w:val="16"/>
                <w:szCs w:val="16"/>
                <w:lang w:val="es-AR" w:eastAsia="es-AR"/>
              </w:rPr>
            </w:pPr>
          </w:p>
        </w:tc>
        <w:tc>
          <w:tcPr>
            <w:tcW w:w="160" w:type="dxa"/>
            <w:tcBorders>
              <w:top w:val="nil"/>
              <w:left w:val="nil"/>
              <w:bottom w:val="nil"/>
              <w:right w:val="nil"/>
            </w:tcBorders>
            <w:shd w:val="clear" w:color="auto" w:fill="auto"/>
            <w:vAlign w:val="center"/>
            <w:hideMark/>
          </w:tcPr>
          <w:p w14:paraId="62A75BD9" w14:textId="77777777" w:rsidR="0010523F" w:rsidRPr="0010523F" w:rsidRDefault="0010523F" w:rsidP="0010523F">
            <w:pPr>
              <w:rPr>
                <w:color w:val="000000"/>
                <w:sz w:val="16"/>
                <w:szCs w:val="16"/>
                <w:lang w:val="es-AR" w:eastAsia="es-AR"/>
              </w:rPr>
            </w:pPr>
          </w:p>
        </w:tc>
        <w:tc>
          <w:tcPr>
            <w:tcW w:w="964" w:type="dxa"/>
            <w:tcBorders>
              <w:top w:val="nil"/>
              <w:left w:val="nil"/>
              <w:bottom w:val="nil"/>
              <w:right w:val="nil"/>
            </w:tcBorders>
            <w:shd w:val="clear" w:color="auto" w:fill="auto"/>
            <w:vAlign w:val="center"/>
            <w:hideMark/>
          </w:tcPr>
          <w:p w14:paraId="497B759D" w14:textId="77777777" w:rsidR="0010523F" w:rsidRPr="0010523F" w:rsidRDefault="0010523F" w:rsidP="0010523F">
            <w:pPr>
              <w:rPr>
                <w:color w:val="000000"/>
                <w:sz w:val="16"/>
                <w:szCs w:val="16"/>
                <w:lang w:val="es-AR" w:eastAsia="es-AR"/>
              </w:rPr>
            </w:pPr>
          </w:p>
        </w:tc>
        <w:tc>
          <w:tcPr>
            <w:tcW w:w="850" w:type="dxa"/>
            <w:tcBorders>
              <w:top w:val="nil"/>
              <w:left w:val="nil"/>
              <w:bottom w:val="nil"/>
              <w:right w:val="nil"/>
            </w:tcBorders>
            <w:shd w:val="clear" w:color="auto" w:fill="auto"/>
            <w:vAlign w:val="center"/>
            <w:hideMark/>
          </w:tcPr>
          <w:p w14:paraId="205BE373" w14:textId="77777777" w:rsidR="0010523F" w:rsidRPr="0010523F" w:rsidRDefault="0010523F" w:rsidP="0010523F">
            <w:pPr>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00317D56" w14:textId="77777777" w:rsidR="0010523F" w:rsidRPr="0010523F" w:rsidRDefault="0010523F" w:rsidP="0010523F">
            <w:pPr>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05A1F575" w14:textId="77777777" w:rsidR="0010523F" w:rsidRPr="0010523F" w:rsidRDefault="0010523F" w:rsidP="0010523F">
            <w:pPr>
              <w:rPr>
                <w:color w:val="000000"/>
                <w:sz w:val="16"/>
                <w:szCs w:val="16"/>
                <w:lang w:val="es-AR" w:eastAsia="es-AR"/>
              </w:rPr>
            </w:pPr>
          </w:p>
        </w:tc>
        <w:tc>
          <w:tcPr>
            <w:tcW w:w="850" w:type="dxa"/>
            <w:tcBorders>
              <w:top w:val="nil"/>
              <w:left w:val="nil"/>
              <w:bottom w:val="nil"/>
              <w:right w:val="nil"/>
            </w:tcBorders>
            <w:shd w:val="clear" w:color="auto" w:fill="auto"/>
            <w:vAlign w:val="center"/>
            <w:hideMark/>
          </w:tcPr>
          <w:p w14:paraId="3152393C" w14:textId="77777777" w:rsidR="0010523F" w:rsidRPr="0010523F" w:rsidRDefault="0010523F" w:rsidP="0010523F">
            <w:pPr>
              <w:rPr>
                <w:color w:val="000000"/>
                <w:sz w:val="16"/>
                <w:szCs w:val="16"/>
                <w:lang w:val="es-AR" w:eastAsia="es-AR"/>
              </w:rPr>
            </w:pPr>
          </w:p>
        </w:tc>
        <w:tc>
          <w:tcPr>
            <w:tcW w:w="964" w:type="dxa"/>
            <w:tcBorders>
              <w:top w:val="nil"/>
              <w:left w:val="nil"/>
              <w:bottom w:val="nil"/>
              <w:right w:val="nil"/>
            </w:tcBorders>
            <w:shd w:val="clear" w:color="auto" w:fill="auto"/>
            <w:vAlign w:val="center"/>
            <w:hideMark/>
          </w:tcPr>
          <w:p w14:paraId="3A6A8FB2" w14:textId="77777777" w:rsidR="0010523F" w:rsidRPr="0010523F" w:rsidRDefault="0010523F" w:rsidP="0010523F">
            <w:pPr>
              <w:rPr>
                <w:color w:val="000000"/>
                <w:sz w:val="16"/>
                <w:szCs w:val="16"/>
                <w:lang w:val="es-AR" w:eastAsia="es-AR"/>
              </w:rPr>
            </w:pPr>
          </w:p>
        </w:tc>
        <w:tc>
          <w:tcPr>
            <w:tcW w:w="160" w:type="dxa"/>
            <w:gridSpan w:val="2"/>
            <w:tcBorders>
              <w:top w:val="nil"/>
              <w:left w:val="nil"/>
              <w:bottom w:val="nil"/>
              <w:right w:val="nil"/>
            </w:tcBorders>
            <w:shd w:val="clear" w:color="auto" w:fill="auto"/>
            <w:vAlign w:val="center"/>
            <w:hideMark/>
          </w:tcPr>
          <w:p w14:paraId="25176B9B" w14:textId="77777777" w:rsidR="0010523F" w:rsidRPr="0010523F" w:rsidRDefault="0010523F" w:rsidP="0010523F">
            <w:pPr>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0E87E37E"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single"/>
                <w:lang w:val="es-AR" w:eastAsia="es-AR"/>
              </w:rPr>
              <w:t xml:space="preserve">  31.088</w:t>
            </w:r>
            <w:r w:rsidRPr="0010523F">
              <w:rPr>
                <w:color w:val="000000"/>
                <w:sz w:val="16"/>
                <w:szCs w:val="16"/>
                <w:lang w:val="es-AR" w:eastAsia="es-AR"/>
              </w:rPr>
              <w:t>)</w:t>
            </w:r>
          </w:p>
        </w:tc>
        <w:tc>
          <w:tcPr>
            <w:tcW w:w="964" w:type="dxa"/>
            <w:tcBorders>
              <w:top w:val="nil"/>
              <w:left w:val="nil"/>
              <w:bottom w:val="nil"/>
              <w:right w:val="nil"/>
            </w:tcBorders>
            <w:shd w:val="clear" w:color="auto" w:fill="auto"/>
            <w:vAlign w:val="bottom"/>
            <w:hideMark/>
          </w:tcPr>
          <w:p w14:paraId="0E2F0582"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single"/>
                <w:lang w:val="es-AR" w:eastAsia="es-AR"/>
              </w:rPr>
              <w:t>20.447</w:t>
            </w:r>
            <w:r w:rsidRPr="0010523F">
              <w:rPr>
                <w:color w:val="000000"/>
                <w:sz w:val="16"/>
                <w:szCs w:val="16"/>
                <w:lang w:val="es-AR" w:eastAsia="es-AR"/>
              </w:rPr>
              <w:t>)</w:t>
            </w:r>
          </w:p>
        </w:tc>
        <w:tc>
          <w:tcPr>
            <w:tcW w:w="907" w:type="dxa"/>
            <w:gridSpan w:val="2"/>
            <w:tcBorders>
              <w:top w:val="nil"/>
              <w:left w:val="nil"/>
              <w:bottom w:val="nil"/>
              <w:right w:val="nil"/>
            </w:tcBorders>
            <w:vAlign w:val="bottom"/>
          </w:tcPr>
          <w:p w14:paraId="3CF31090"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single"/>
                <w:lang w:val="es-AR" w:eastAsia="es-AR"/>
              </w:rPr>
              <w:t>25.687</w:t>
            </w:r>
            <w:r w:rsidRPr="0010523F">
              <w:rPr>
                <w:color w:val="000000"/>
                <w:sz w:val="16"/>
                <w:szCs w:val="16"/>
                <w:lang w:val="es-AR" w:eastAsia="es-AR"/>
              </w:rPr>
              <w:t>)</w:t>
            </w:r>
          </w:p>
        </w:tc>
      </w:tr>
      <w:tr w:rsidR="0010523F" w:rsidRPr="0010523F" w14:paraId="25AFB35B" w14:textId="77777777" w:rsidTr="00774E7E">
        <w:trPr>
          <w:trHeight w:val="88"/>
        </w:trPr>
        <w:tc>
          <w:tcPr>
            <w:tcW w:w="2268" w:type="dxa"/>
            <w:tcBorders>
              <w:top w:val="nil"/>
              <w:left w:val="nil"/>
              <w:bottom w:val="nil"/>
              <w:right w:val="nil"/>
            </w:tcBorders>
            <w:shd w:val="clear" w:color="auto" w:fill="auto"/>
            <w:vAlign w:val="center"/>
            <w:hideMark/>
          </w:tcPr>
          <w:p w14:paraId="4E96469A" w14:textId="77777777" w:rsidR="0010523F" w:rsidRPr="0010523F" w:rsidRDefault="0010523F" w:rsidP="0010523F">
            <w:pPr>
              <w:spacing w:line="100" w:lineRule="exact"/>
              <w:rPr>
                <w:color w:val="000000"/>
                <w:sz w:val="16"/>
                <w:szCs w:val="16"/>
                <w:lang w:val="es-AR" w:eastAsia="es-AR"/>
              </w:rPr>
            </w:pPr>
          </w:p>
        </w:tc>
        <w:tc>
          <w:tcPr>
            <w:tcW w:w="851" w:type="dxa"/>
            <w:tcBorders>
              <w:top w:val="nil"/>
              <w:left w:val="nil"/>
              <w:bottom w:val="nil"/>
              <w:right w:val="nil"/>
            </w:tcBorders>
            <w:shd w:val="clear" w:color="auto" w:fill="auto"/>
            <w:vAlign w:val="center"/>
            <w:hideMark/>
          </w:tcPr>
          <w:p w14:paraId="761F57BC" w14:textId="77777777" w:rsidR="0010523F" w:rsidRPr="0010523F" w:rsidRDefault="0010523F" w:rsidP="0010523F">
            <w:pPr>
              <w:spacing w:line="100" w:lineRule="exact"/>
              <w:rPr>
                <w:color w:val="000000"/>
                <w:sz w:val="16"/>
                <w:szCs w:val="16"/>
                <w:highlight w:val="yellow"/>
                <w:lang w:val="es-AR" w:eastAsia="es-AR"/>
              </w:rPr>
            </w:pPr>
          </w:p>
        </w:tc>
        <w:tc>
          <w:tcPr>
            <w:tcW w:w="850" w:type="dxa"/>
            <w:tcBorders>
              <w:top w:val="nil"/>
              <w:left w:val="nil"/>
              <w:bottom w:val="nil"/>
              <w:right w:val="nil"/>
            </w:tcBorders>
            <w:shd w:val="clear" w:color="auto" w:fill="auto"/>
            <w:vAlign w:val="center"/>
            <w:hideMark/>
          </w:tcPr>
          <w:p w14:paraId="2B75C6AD" w14:textId="77777777" w:rsidR="0010523F" w:rsidRPr="0010523F" w:rsidRDefault="0010523F" w:rsidP="0010523F">
            <w:pPr>
              <w:spacing w:line="100" w:lineRule="exact"/>
              <w:rPr>
                <w:color w:val="000000"/>
                <w:sz w:val="16"/>
                <w:szCs w:val="16"/>
                <w:lang w:val="es-AR" w:eastAsia="es-AR"/>
              </w:rPr>
            </w:pPr>
          </w:p>
        </w:tc>
        <w:tc>
          <w:tcPr>
            <w:tcW w:w="851" w:type="dxa"/>
            <w:tcBorders>
              <w:top w:val="nil"/>
              <w:left w:val="nil"/>
              <w:bottom w:val="nil"/>
              <w:right w:val="nil"/>
            </w:tcBorders>
            <w:shd w:val="clear" w:color="auto" w:fill="auto"/>
            <w:vAlign w:val="center"/>
            <w:hideMark/>
          </w:tcPr>
          <w:p w14:paraId="6053AC98" w14:textId="77777777" w:rsidR="0010523F" w:rsidRPr="0010523F" w:rsidRDefault="0010523F" w:rsidP="0010523F">
            <w:pPr>
              <w:spacing w:line="100" w:lineRule="exact"/>
              <w:rPr>
                <w:color w:val="000000"/>
                <w:sz w:val="16"/>
                <w:szCs w:val="16"/>
                <w:lang w:val="es-AR" w:eastAsia="es-AR"/>
              </w:rPr>
            </w:pPr>
          </w:p>
        </w:tc>
        <w:tc>
          <w:tcPr>
            <w:tcW w:w="708" w:type="dxa"/>
            <w:tcBorders>
              <w:top w:val="nil"/>
              <w:left w:val="nil"/>
              <w:bottom w:val="nil"/>
              <w:right w:val="nil"/>
            </w:tcBorders>
            <w:shd w:val="clear" w:color="auto" w:fill="auto"/>
            <w:vAlign w:val="center"/>
            <w:hideMark/>
          </w:tcPr>
          <w:p w14:paraId="05112395"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7D8EAEDE"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65D76D23" w14:textId="77777777" w:rsidR="0010523F" w:rsidRPr="0010523F" w:rsidRDefault="0010523F" w:rsidP="0010523F">
            <w:pPr>
              <w:spacing w:line="100" w:lineRule="exact"/>
              <w:rPr>
                <w:color w:val="000000"/>
                <w:sz w:val="16"/>
                <w:szCs w:val="16"/>
                <w:lang w:val="es-AR" w:eastAsia="es-AR"/>
              </w:rPr>
            </w:pPr>
          </w:p>
        </w:tc>
        <w:tc>
          <w:tcPr>
            <w:tcW w:w="780" w:type="dxa"/>
            <w:tcBorders>
              <w:top w:val="nil"/>
              <w:left w:val="nil"/>
              <w:bottom w:val="nil"/>
              <w:right w:val="nil"/>
            </w:tcBorders>
            <w:shd w:val="clear" w:color="auto" w:fill="auto"/>
            <w:vAlign w:val="center"/>
            <w:hideMark/>
          </w:tcPr>
          <w:p w14:paraId="1482C689" w14:textId="77777777" w:rsidR="0010523F" w:rsidRPr="0010523F" w:rsidRDefault="0010523F" w:rsidP="0010523F">
            <w:pPr>
              <w:spacing w:line="100" w:lineRule="exact"/>
              <w:rPr>
                <w:color w:val="000000"/>
                <w:sz w:val="16"/>
                <w:szCs w:val="16"/>
                <w:lang w:val="es-AR" w:eastAsia="es-AR"/>
              </w:rPr>
            </w:pPr>
          </w:p>
        </w:tc>
        <w:tc>
          <w:tcPr>
            <w:tcW w:w="160" w:type="dxa"/>
            <w:tcBorders>
              <w:top w:val="nil"/>
              <w:left w:val="nil"/>
              <w:bottom w:val="nil"/>
              <w:right w:val="nil"/>
            </w:tcBorders>
            <w:shd w:val="clear" w:color="auto" w:fill="auto"/>
            <w:vAlign w:val="center"/>
            <w:hideMark/>
          </w:tcPr>
          <w:p w14:paraId="7807420B" w14:textId="77777777" w:rsidR="0010523F" w:rsidRPr="0010523F" w:rsidRDefault="0010523F" w:rsidP="0010523F">
            <w:pPr>
              <w:spacing w:line="100" w:lineRule="exact"/>
              <w:rPr>
                <w:color w:val="000000"/>
                <w:sz w:val="16"/>
                <w:szCs w:val="16"/>
                <w:lang w:val="es-AR" w:eastAsia="es-AR"/>
              </w:rPr>
            </w:pPr>
          </w:p>
        </w:tc>
        <w:tc>
          <w:tcPr>
            <w:tcW w:w="964" w:type="dxa"/>
            <w:tcBorders>
              <w:top w:val="nil"/>
              <w:left w:val="nil"/>
              <w:bottom w:val="nil"/>
              <w:right w:val="nil"/>
            </w:tcBorders>
            <w:shd w:val="clear" w:color="auto" w:fill="auto"/>
            <w:vAlign w:val="center"/>
            <w:hideMark/>
          </w:tcPr>
          <w:p w14:paraId="497D9CC0" w14:textId="77777777" w:rsidR="0010523F" w:rsidRPr="0010523F" w:rsidRDefault="0010523F" w:rsidP="0010523F">
            <w:pPr>
              <w:spacing w:line="100" w:lineRule="exact"/>
              <w:rPr>
                <w:color w:val="000000"/>
                <w:sz w:val="16"/>
                <w:szCs w:val="16"/>
                <w:lang w:val="es-AR" w:eastAsia="es-AR"/>
              </w:rPr>
            </w:pPr>
          </w:p>
        </w:tc>
        <w:tc>
          <w:tcPr>
            <w:tcW w:w="850" w:type="dxa"/>
            <w:tcBorders>
              <w:top w:val="nil"/>
              <w:left w:val="nil"/>
              <w:bottom w:val="nil"/>
              <w:right w:val="nil"/>
            </w:tcBorders>
            <w:shd w:val="clear" w:color="auto" w:fill="auto"/>
            <w:vAlign w:val="center"/>
            <w:hideMark/>
          </w:tcPr>
          <w:p w14:paraId="72F35C38"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7D25D4D0" w14:textId="77777777" w:rsidR="0010523F" w:rsidRPr="0010523F" w:rsidRDefault="0010523F" w:rsidP="0010523F">
            <w:pPr>
              <w:spacing w:line="100" w:lineRule="exact"/>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2F623529" w14:textId="77777777" w:rsidR="0010523F" w:rsidRPr="0010523F" w:rsidRDefault="0010523F" w:rsidP="0010523F">
            <w:pPr>
              <w:spacing w:line="100" w:lineRule="exact"/>
              <w:rPr>
                <w:color w:val="000000"/>
                <w:sz w:val="16"/>
                <w:szCs w:val="16"/>
                <w:lang w:val="es-AR" w:eastAsia="es-AR"/>
              </w:rPr>
            </w:pPr>
          </w:p>
        </w:tc>
        <w:tc>
          <w:tcPr>
            <w:tcW w:w="850" w:type="dxa"/>
            <w:tcBorders>
              <w:top w:val="nil"/>
              <w:left w:val="nil"/>
              <w:bottom w:val="nil"/>
              <w:right w:val="nil"/>
            </w:tcBorders>
            <w:shd w:val="clear" w:color="auto" w:fill="auto"/>
            <w:vAlign w:val="center"/>
            <w:hideMark/>
          </w:tcPr>
          <w:p w14:paraId="659E3AA3" w14:textId="77777777" w:rsidR="0010523F" w:rsidRPr="0010523F" w:rsidRDefault="0010523F" w:rsidP="0010523F">
            <w:pPr>
              <w:spacing w:line="100" w:lineRule="exact"/>
              <w:rPr>
                <w:color w:val="000000"/>
                <w:sz w:val="16"/>
                <w:szCs w:val="16"/>
                <w:lang w:val="es-AR" w:eastAsia="es-AR"/>
              </w:rPr>
            </w:pPr>
          </w:p>
        </w:tc>
        <w:tc>
          <w:tcPr>
            <w:tcW w:w="964" w:type="dxa"/>
            <w:tcBorders>
              <w:top w:val="nil"/>
              <w:left w:val="nil"/>
              <w:bottom w:val="nil"/>
              <w:right w:val="nil"/>
            </w:tcBorders>
            <w:shd w:val="clear" w:color="auto" w:fill="auto"/>
            <w:vAlign w:val="center"/>
            <w:hideMark/>
          </w:tcPr>
          <w:p w14:paraId="023C69C4" w14:textId="77777777" w:rsidR="0010523F" w:rsidRPr="0010523F" w:rsidRDefault="0010523F" w:rsidP="0010523F">
            <w:pPr>
              <w:spacing w:line="100" w:lineRule="exact"/>
              <w:rPr>
                <w:color w:val="000000"/>
                <w:sz w:val="16"/>
                <w:szCs w:val="16"/>
                <w:lang w:val="es-AR" w:eastAsia="es-AR"/>
              </w:rPr>
            </w:pPr>
          </w:p>
        </w:tc>
        <w:tc>
          <w:tcPr>
            <w:tcW w:w="160" w:type="dxa"/>
            <w:gridSpan w:val="2"/>
            <w:tcBorders>
              <w:top w:val="nil"/>
              <w:left w:val="nil"/>
              <w:bottom w:val="nil"/>
              <w:right w:val="nil"/>
            </w:tcBorders>
            <w:shd w:val="clear" w:color="auto" w:fill="auto"/>
            <w:vAlign w:val="center"/>
            <w:hideMark/>
          </w:tcPr>
          <w:p w14:paraId="62B242EB" w14:textId="77777777" w:rsidR="0010523F" w:rsidRPr="0010523F" w:rsidRDefault="0010523F" w:rsidP="0010523F">
            <w:pPr>
              <w:spacing w:line="100" w:lineRule="exact"/>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6BBE0C7C" w14:textId="77777777" w:rsidR="0010523F" w:rsidRPr="0010523F" w:rsidRDefault="0010523F" w:rsidP="0010523F">
            <w:pPr>
              <w:spacing w:line="100" w:lineRule="exact"/>
              <w:jc w:val="right"/>
              <w:rPr>
                <w:color w:val="000000"/>
                <w:sz w:val="16"/>
                <w:szCs w:val="16"/>
                <w:lang w:val="es-AR" w:eastAsia="es-AR"/>
              </w:rPr>
            </w:pPr>
          </w:p>
        </w:tc>
        <w:tc>
          <w:tcPr>
            <w:tcW w:w="964" w:type="dxa"/>
            <w:tcBorders>
              <w:top w:val="nil"/>
              <w:left w:val="nil"/>
              <w:bottom w:val="nil"/>
              <w:right w:val="nil"/>
            </w:tcBorders>
            <w:shd w:val="clear" w:color="auto" w:fill="auto"/>
            <w:vAlign w:val="bottom"/>
            <w:hideMark/>
          </w:tcPr>
          <w:p w14:paraId="74F1DD17" w14:textId="77777777" w:rsidR="0010523F" w:rsidRPr="0010523F" w:rsidRDefault="0010523F" w:rsidP="0010523F">
            <w:pPr>
              <w:spacing w:line="100" w:lineRule="exact"/>
              <w:jc w:val="right"/>
              <w:rPr>
                <w:color w:val="000000"/>
                <w:sz w:val="16"/>
                <w:szCs w:val="16"/>
                <w:lang w:val="es-AR" w:eastAsia="es-AR"/>
              </w:rPr>
            </w:pPr>
          </w:p>
        </w:tc>
        <w:tc>
          <w:tcPr>
            <w:tcW w:w="907" w:type="dxa"/>
            <w:gridSpan w:val="2"/>
            <w:tcBorders>
              <w:top w:val="nil"/>
              <w:left w:val="nil"/>
              <w:bottom w:val="nil"/>
              <w:right w:val="nil"/>
            </w:tcBorders>
          </w:tcPr>
          <w:p w14:paraId="7DBBB8DB" w14:textId="77777777" w:rsidR="0010523F" w:rsidRPr="0010523F" w:rsidRDefault="0010523F" w:rsidP="0010523F">
            <w:pPr>
              <w:spacing w:line="100" w:lineRule="exact"/>
              <w:rPr>
                <w:color w:val="000000"/>
                <w:sz w:val="16"/>
                <w:szCs w:val="16"/>
                <w:lang w:val="es-AR" w:eastAsia="es-AR"/>
              </w:rPr>
            </w:pPr>
          </w:p>
        </w:tc>
      </w:tr>
      <w:tr w:rsidR="0010523F" w:rsidRPr="0010523F" w14:paraId="4C908D91" w14:textId="77777777" w:rsidTr="00774E7E">
        <w:trPr>
          <w:trHeight w:val="105"/>
        </w:trPr>
        <w:tc>
          <w:tcPr>
            <w:tcW w:w="2268" w:type="dxa"/>
            <w:tcBorders>
              <w:top w:val="nil"/>
              <w:left w:val="nil"/>
              <w:bottom w:val="nil"/>
              <w:right w:val="nil"/>
            </w:tcBorders>
            <w:shd w:val="clear" w:color="auto" w:fill="auto"/>
            <w:vAlign w:val="center"/>
            <w:hideMark/>
          </w:tcPr>
          <w:p w14:paraId="60805F08" w14:textId="77777777" w:rsidR="0010523F" w:rsidRPr="0010523F" w:rsidRDefault="0010523F" w:rsidP="0010523F">
            <w:pPr>
              <w:jc w:val="both"/>
              <w:rPr>
                <w:color w:val="000000"/>
                <w:sz w:val="16"/>
                <w:szCs w:val="16"/>
                <w:lang w:val="es-AR" w:eastAsia="es-AR"/>
              </w:rPr>
            </w:pPr>
            <w:r w:rsidRPr="0010523F">
              <w:rPr>
                <w:color w:val="000000"/>
                <w:sz w:val="16"/>
                <w:szCs w:val="16"/>
                <w:lang w:val="es-AR" w:eastAsia="es-AR"/>
              </w:rPr>
              <w:t>Total</w:t>
            </w:r>
          </w:p>
        </w:tc>
        <w:tc>
          <w:tcPr>
            <w:tcW w:w="851" w:type="dxa"/>
            <w:tcBorders>
              <w:top w:val="nil"/>
              <w:left w:val="nil"/>
              <w:bottom w:val="nil"/>
              <w:right w:val="nil"/>
            </w:tcBorders>
            <w:shd w:val="clear" w:color="auto" w:fill="auto"/>
            <w:vAlign w:val="center"/>
            <w:hideMark/>
          </w:tcPr>
          <w:p w14:paraId="37CA9FDB" w14:textId="77777777" w:rsidR="0010523F" w:rsidRPr="0010523F" w:rsidRDefault="0010523F" w:rsidP="0010523F">
            <w:pPr>
              <w:jc w:val="both"/>
              <w:rPr>
                <w:color w:val="000000"/>
                <w:sz w:val="16"/>
                <w:szCs w:val="16"/>
                <w:highlight w:val="yellow"/>
                <w:lang w:val="es-AR" w:eastAsia="es-AR"/>
              </w:rPr>
            </w:pPr>
          </w:p>
        </w:tc>
        <w:tc>
          <w:tcPr>
            <w:tcW w:w="850" w:type="dxa"/>
            <w:tcBorders>
              <w:top w:val="nil"/>
              <w:left w:val="nil"/>
              <w:bottom w:val="nil"/>
              <w:right w:val="nil"/>
            </w:tcBorders>
            <w:shd w:val="clear" w:color="auto" w:fill="auto"/>
            <w:vAlign w:val="center"/>
            <w:hideMark/>
          </w:tcPr>
          <w:p w14:paraId="73636840" w14:textId="77777777" w:rsidR="0010523F" w:rsidRPr="0010523F" w:rsidRDefault="0010523F" w:rsidP="0010523F">
            <w:pPr>
              <w:rPr>
                <w:color w:val="000000"/>
                <w:sz w:val="16"/>
                <w:szCs w:val="16"/>
                <w:lang w:val="es-AR" w:eastAsia="es-AR"/>
              </w:rPr>
            </w:pPr>
          </w:p>
        </w:tc>
        <w:tc>
          <w:tcPr>
            <w:tcW w:w="851" w:type="dxa"/>
            <w:tcBorders>
              <w:top w:val="nil"/>
              <w:left w:val="nil"/>
              <w:bottom w:val="nil"/>
              <w:right w:val="nil"/>
            </w:tcBorders>
            <w:shd w:val="clear" w:color="auto" w:fill="auto"/>
            <w:vAlign w:val="center"/>
            <w:hideMark/>
          </w:tcPr>
          <w:p w14:paraId="47A35B55" w14:textId="77777777" w:rsidR="0010523F" w:rsidRPr="0010523F" w:rsidRDefault="0010523F" w:rsidP="0010523F">
            <w:pPr>
              <w:rPr>
                <w:color w:val="000000"/>
                <w:sz w:val="16"/>
                <w:szCs w:val="16"/>
                <w:lang w:val="es-AR" w:eastAsia="es-AR"/>
              </w:rPr>
            </w:pPr>
          </w:p>
        </w:tc>
        <w:tc>
          <w:tcPr>
            <w:tcW w:w="708" w:type="dxa"/>
            <w:tcBorders>
              <w:top w:val="nil"/>
              <w:left w:val="nil"/>
              <w:bottom w:val="nil"/>
              <w:right w:val="nil"/>
            </w:tcBorders>
            <w:shd w:val="clear" w:color="auto" w:fill="auto"/>
            <w:vAlign w:val="center"/>
            <w:hideMark/>
          </w:tcPr>
          <w:p w14:paraId="60F39DEC" w14:textId="77777777" w:rsidR="0010523F" w:rsidRPr="0010523F" w:rsidRDefault="0010523F" w:rsidP="0010523F">
            <w:pPr>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7CFE62F6" w14:textId="77777777" w:rsidR="0010523F" w:rsidRPr="0010523F" w:rsidRDefault="0010523F" w:rsidP="0010523F">
            <w:pPr>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46277DB7" w14:textId="77777777" w:rsidR="0010523F" w:rsidRPr="0010523F" w:rsidRDefault="0010523F" w:rsidP="0010523F">
            <w:pPr>
              <w:rPr>
                <w:color w:val="000000"/>
                <w:sz w:val="16"/>
                <w:szCs w:val="16"/>
                <w:lang w:val="es-AR" w:eastAsia="es-AR"/>
              </w:rPr>
            </w:pPr>
          </w:p>
        </w:tc>
        <w:tc>
          <w:tcPr>
            <w:tcW w:w="780" w:type="dxa"/>
            <w:tcBorders>
              <w:top w:val="nil"/>
              <w:left w:val="nil"/>
              <w:bottom w:val="nil"/>
              <w:right w:val="nil"/>
            </w:tcBorders>
            <w:shd w:val="clear" w:color="auto" w:fill="auto"/>
            <w:vAlign w:val="center"/>
            <w:hideMark/>
          </w:tcPr>
          <w:p w14:paraId="740EA32E" w14:textId="77777777" w:rsidR="0010523F" w:rsidRPr="0010523F" w:rsidRDefault="0010523F" w:rsidP="0010523F">
            <w:pPr>
              <w:rPr>
                <w:color w:val="000000"/>
                <w:sz w:val="16"/>
                <w:szCs w:val="16"/>
                <w:lang w:val="es-AR" w:eastAsia="es-AR"/>
              </w:rPr>
            </w:pPr>
          </w:p>
        </w:tc>
        <w:tc>
          <w:tcPr>
            <w:tcW w:w="160" w:type="dxa"/>
            <w:tcBorders>
              <w:top w:val="nil"/>
              <w:left w:val="nil"/>
              <w:bottom w:val="nil"/>
              <w:right w:val="nil"/>
            </w:tcBorders>
            <w:shd w:val="clear" w:color="auto" w:fill="auto"/>
            <w:vAlign w:val="center"/>
            <w:hideMark/>
          </w:tcPr>
          <w:p w14:paraId="70970369" w14:textId="77777777" w:rsidR="0010523F" w:rsidRPr="0010523F" w:rsidRDefault="0010523F" w:rsidP="0010523F">
            <w:pPr>
              <w:rPr>
                <w:color w:val="000000"/>
                <w:sz w:val="16"/>
                <w:szCs w:val="16"/>
                <w:lang w:val="es-AR" w:eastAsia="es-AR"/>
              </w:rPr>
            </w:pPr>
          </w:p>
        </w:tc>
        <w:tc>
          <w:tcPr>
            <w:tcW w:w="964" w:type="dxa"/>
            <w:tcBorders>
              <w:top w:val="nil"/>
              <w:left w:val="nil"/>
              <w:bottom w:val="nil"/>
              <w:right w:val="nil"/>
            </w:tcBorders>
            <w:shd w:val="clear" w:color="auto" w:fill="auto"/>
            <w:vAlign w:val="center"/>
            <w:hideMark/>
          </w:tcPr>
          <w:p w14:paraId="6C6ABBF8" w14:textId="77777777" w:rsidR="0010523F" w:rsidRPr="0010523F" w:rsidRDefault="0010523F" w:rsidP="0010523F">
            <w:pPr>
              <w:rPr>
                <w:color w:val="000000"/>
                <w:sz w:val="16"/>
                <w:szCs w:val="16"/>
                <w:lang w:val="es-AR" w:eastAsia="es-AR"/>
              </w:rPr>
            </w:pPr>
          </w:p>
        </w:tc>
        <w:tc>
          <w:tcPr>
            <w:tcW w:w="850" w:type="dxa"/>
            <w:tcBorders>
              <w:top w:val="nil"/>
              <w:left w:val="nil"/>
              <w:bottom w:val="nil"/>
              <w:right w:val="nil"/>
            </w:tcBorders>
            <w:shd w:val="clear" w:color="auto" w:fill="auto"/>
            <w:vAlign w:val="center"/>
            <w:hideMark/>
          </w:tcPr>
          <w:p w14:paraId="55B9F76D" w14:textId="77777777" w:rsidR="0010523F" w:rsidRPr="0010523F" w:rsidRDefault="0010523F" w:rsidP="0010523F">
            <w:pPr>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5A5604CF" w14:textId="77777777" w:rsidR="0010523F" w:rsidRPr="0010523F" w:rsidRDefault="0010523F" w:rsidP="0010523F">
            <w:pPr>
              <w:rPr>
                <w:color w:val="000000"/>
                <w:sz w:val="16"/>
                <w:szCs w:val="16"/>
                <w:lang w:val="es-AR" w:eastAsia="es-AR"/>
              </w:rPr>
            </w:pPr>
          </w:p>
        </w:tc>
        <w:tc>
          <w:tcPr>
            <w:tcW w:w="709" w:type="dxa"/>
            <w:tcBorders>
              <w:top w:val="nil"/>
              <w:left w:val="nil"/>
              <w:bottom w:val="nil"/>
              <w:right w:val="nil"/>
            </w:tcBorders>
            <w:shd w:val="clear" w:color="auto" w:fill="auto"/>
            <w:vAlign w:val="center"/>
            <w:hideMark/>
          </w:tcPr>
          <w:p w14:paraId="31036ED6" w14:textId="77777777" w:rsidR="0010523F" w:rsidRPr="0010523F" w:rsidRDefault="0010523F" w:rsidP="0010523F">
            <w:pPr>
              <w:rPr>
                <w:color w:val="000000"/>
                <w:sz w:val="16"/>
                <w:szCs w:val="16"/>
                <w:lang w:val="es-AR" w:eastAsia="es-AR"/>
              </w:rPr>
            </w:pPr>
          </w:p>
        </w:tc>
        <w:tc>
          <w:tcPr>
            <w:tcW w:w="850" w:type="dxa"/>
            <w:tcBorders>
              <w:top w:val="nil"/>
              <w:left w:val="nil"/>
              <w:bottom w:val="nil"/>
              <w:right w:val="nil"/>
            </w:tcBorders>
            <w:shd w:val="clear" w:color="auto" w:fill="auto"/>
            <w:vAlign w:val="center"/>
            <w:hideMark/>
          </w:tcPr>
          <w:p w14:paraId="6BBFE853" w14:textId="77777777" w:rsidR="0010523F" w:rsidRPr="0010523F" w:rsidRDefault="0010523F" w:rsidP="0010523F">
            <w:pPr>
              <w:rPr>
                <w:color w:val="000000"/>
                <w:sz w:val="16"/>
                <w:szCs w:val="16"/>
                <w:lang w:val="es-AR" w:eastAsia="es-AR"/>
              </w:rPr>
            </w:pPr>
          </w:p>
        </w:tc>
        <w:tc>
          <w:tcPr>
            <w:tcW w:w="964" w:type="dxa"/>
            <w:tcBorders>
              <w:top w:val="nil"/>
              <w:left w:val="nil"/>
              <w:bottom w:val="nil"/>
              <w:right w:val="nil"/>
            </w:tcBorders>
            <w:shd w:val="clear" w:color="auto" w:fill="auto"/>
            <w:vAlign w:val="center"/>
            <w:hideMark/>
          </w:tcPr>
          <w:p w14:paraId="3C409729" w14:textId="77777777" w:rsidR="0010523F" w:rsidRPr="0010523F" w:rsidRDefault="0010523F" w:rsidP="0010523F">
            <w:pPr>
              <w:rPr>
                <w:color w:val="000000"/>
                <w:sz w:val="16"/>
                <w:szCs w:val="16"/>
                <w:lang w:val="es-AR" w:eastAsia="es-AR"/>
              </w:rPr>
            </w:pPr>
          </w:p>
        </w:tc>
        <w:tc>
          <w:tcPr>
            <w:tcW w:w="160" w:type="dxa"/>
            <w:gridSpan w:val="2"/>
            <w:tcBorders>
              <w:top w:val="nil"/>
              <w:left w:val="nil"/>
              <w:bottom w:val="nil"/>
              <w:right w:val="nil"/>
            </w:tcBorders>
            <w:shd w:val="clear" w:color="auto" w:fill="auto"/>
            <w:vAlign w:val="center"/>
            <w:hideMark/>
          </w:tcPr>
          <w:p w14:paraId="14F3E606" w14:textId="77777777" w:rsidR="0010523F" w:rsidRPr="0010523F" w:rsidRDefault="0010523F" w:rsidP="0010523F">
            <w:pPr>
              <w:rPr>
                <w:color w:val="000000"/>
                <w:sz w:val="16"/>
                <w:szCs w:val="16"/>
                <w:lang w:val="es-AR" w:eastAsia="es-AR"/>
              </w:rPr>
            </w:pPr>
          </w:p>
        </w:tc>
        <w:tc>
          <w:tcPr>
            <w:tcW w:w="907" w:type="dxa"/>
            <w:gridSpan w:val="2"/>
            <w:tcBorders>
              <w:top w:val="nil"/>
              <w:left w:val="nil"/>
              <w:bottom w:val="nil"/>
              <w:right w:val="nil"/>
            </w:tcBorders>
            <w:shd w:val="clear" w:color="auto" w:fill="auto"/>
            <w:vAlign w:val="bottom"/>
            <w:hideMark/>
          </w:tcPr>
          <w:p w14:paraId="6BCC3DC2"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634.107</w:t>
            </w:r>
          </w:p>
        </w:tc>
        <w:tc>
          <w:tcPr>
            <w:tcW w:w="964" w:type="dxa"/>
            <w:tcBorders>
              <w:top w:val="nil"/>
              <w:left w:val="nil"/>
              <w:bottom w:val="nil"/>
              <w:right w:val="nil"/>
            </w:tcBorders>
            <w:shd w:val="clear" w:color="auto" w:fill="auto"/>
            <w:vAlign w:val="bottom"/>
            <w:hideMark/>
          </w:tcPr>
          <w:p w14:paraId="156A238E"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404.902</w:t>
            </w:r>
          </w:p>
        </w:tc>
        <w:tc>
          <w:tcPr>
            <w:tcW w:w="907" w:type="dxa"/>
            <w:gridSpan w:val="2"/>
            <w:tcBorders>
              <w:top w:val="nil"/>
              <w:left w:val="nil"/>
              <w:bottom w:val="nil"/>
              <w:right w:val="nil"/>
            </w:tcBorders>
            <w:vAlign w:val="bottom"/>
          </w:tcPr>
          <w:p w14:paraId="23E2BD9A"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436.265</w:t>
            </w:r>
          </w:p>
        </w:tc>
      </w:tr>
      <w:tr w:rsidR="0010523F" w:rsidRPr="0010523F" w14:paraId="56DDF871" w14:textId="77777777" w:rsidTr="00774E7E">
        <w:trPr>
          <w:trHeight w:val="105"/>
        </w:trPr>
        <w:tc>
          <w:tcPr>
            <w:tcW w:w="2268" w:type="dxa"/>
            <w:tcBorders>
              <w:top w:val="nil"/>
              <w:left w:val="nil"/>
              <w:bottom w:val="nil"/>
              <w:right w:val="nil"/>
            </w:tcBorders>
            <w:shd w:val="clear" w:color="auto" w:fill="auto"/>
            <w:vAlign w:val="center"/>
          </w:tcPr>
          <w:p w14:paraId="6093DE99" w14:textId="77777777" w:rsidR="0010523F" w:rsidRPr="0010523F" w:rsidRDefault="0010523F" w:rsidP="0010523F">
            <w:pPr>
              <w:spacing w:line="120" w:lineRule="exact"/>
              <w:jc w:val="both"/>
              <w:rPr>
                <w:color w:val="000000"/>
                <w:sz w:val="16"/>
                <w:szCs w:val="16"/>
                <w:lang w:val="es-AR" w:eastAsia="es-AR"/>
              </w:rPr>
            </w:pPr>
          </w:p>
        </w:tc>
        <w:tc>
          <w:tcPr>
            <w:tcW w:w="851" w:type="dxa"/>
            <w:tcBorders>
              <w:top w:val="nil"/>
              <w:left w:val="nil"/>
              <w:bottom w:val="nil"/>
              <w:right w:val="nil"/>
            </w:tcBorders>
            <w:shd w:val="clear" w:color="auto" w:fill="auto"/>
            <w:vAlign w:val="center"/>
          </w:tcPr>
          <w:p w14:paraId="23CF7524" w14:textId="77777777" w:rsidR="0010523F" w:rsidRPr="0010523F" w:rsidRDefault="0010523F" w:rsidP="0010523F">
            <w:pPr>
              <w:spacing w:line="120" w:lineRule="exact"/>
              <w:jc w:val="both"/>
              <w:rPr>
                <w:color w:val="000000"/>
                <w:sz w:val="16"/>
                <w:szCs w:val="16"/>
                <w:highlight w:val="yellow"/>
                <w:lang w:val="es-AR" w:eastAsia="es-AR"/>
              </w:rPr>
            </w:pPr>
          </w:p>
        </w:tc>
        <w:tc>
          <w:tcPr>
            <w:tcW w:w="850" w:type="dxa"/>
            <w:tcBorders>
              <w:top w:val="nil"/>
              <w:left w:val="nil"/>
              <w:bottom w:val="nil"/>
              <w:right w:val="nil"/>
            </w:tcBorders>
            <w:shd w:val="clear" w:color="auto" w:fill="auto"/>
            <w:vAlign w:val="center"/>
          </w:tcPr>
          <w:p w14:paraId="68CDAC95" w14:textId="77777777" w:rsidR="0010523F" w:rsidRPr="0010523F" w:rsidRDefault="0010523F" w:rsidP="0010523F">
            <w:pPr>
              <w:spacing w:line="120" w:lineRule="exact"/>
              <w:rPr>
                <w:color w:val="000000"/>
                <w:sz w:val="16"/>
                <w:szCs w:val="16"/>
                <w:lang w:val="es-AR" w:eastAsia="es-AR"/>
              </w:rPr>
            </w:pPr>
          </w:p>
        </w:tc>
        <w:tc>
          <w:tcPr>
            <w:tcW w:w="851" w:type="dxa"/>
            <w:tcBorders>
              <w:top w:val="nil"/>
              <w:left w:val="nil"/>
              <w:bottom w:val="nil"/>
              <w:right w:val="nil"/>
            </w:tcBorders>
            <w:shd w:val="clear" w:color="auto" w:fill="auto"/>
            <w:vAlign w:val="center"/>
          </w:tcPr>
          <w:p w14:paraId="3562CD69" w14:textId="77777777" w:rsidR="0010523F" w:rsidRPr="0010523F" w:rsidRDefault="0010523F" w:rsidP="0010523F">
            <w:pPr>
              <w:spacing w:line="120" w:lineRule="exact"/>
              <w:rPr>
                <w:color w:val="000000"/>
                <w:sz w:val="16"/>
                <w:szCs w:val="16"/>
                <w:lang w:val="es-AR" w:eastAsia="es-AR"/>
              </w:rPr>
            </w:pPr>
          </w:p>
        </w:tc>
        <w:tc>
          <w:tcPr>
            <w:tcW w:w="708" w:type="dxa"/>
            <w:tcBorders>
              <w:top w:val="nil"/>
              <w:left w:val="nil"/>
              <w:bottom w:val="nil"/>
              <w:right w:val="nil"/>
            </w:tcBorders>
            <w:shd w:val="clear" w:color="auto" w:fill="auto"/>
            <w:vAlign w:val="center"/>
          </w:tcPr>
          <w:p w14:paraId="2A6F0399" w14:textId="77777777" w:rsidR="0010523F" w:rsidRPr="0010523F" w:rsidRDefault="0010523F" w:rsidP="0010523F">
            <w:pPr>
              <w:spacing w:line="120" w:lineRule="exact"/>
              <w:rPr>
                <w:color w:val="000000"/>
                <w:sz w:val="16"/>
                <w:szCs w:val="16"/>
                <w:lang w:val="es-AR" w:eastAsia="es-AR"/>
              </w:rPr>
            </w:pPr>
          </w:p>
        </w:tc>
        <w:tc>
          <w:tcPr>
            <w:tcW w:w="709" w:type="dxa"/>
            <w:tcBorders>
              <w:top w:val="nil"/>
              <w:left w:val="nil"/>
              <w:bottom w:val="nil"/>
              <w:right w:val="nil"/>
            </w:tcBorders>
            <w:shd w:val="clear" w:color="auto" w:fill="auto"/>
            <w:vAlign w:val="center"/>
          </w:tcPr>
          <w:p w14:paraId="7FE9BEDF" w14:textId="77777777" w:rsidR="0010523F" w:rsidRPr="0010523F" w:rsidRDefault="0010523F" w:rsidP="0010523F">
            <w:pPr>
              <w:spacing w:line="120" w:lineRule="exact"/>
              <w:rPr>
                <w:color w:val="000000"/>
                <w:sz w:val="16"/>
                <w:szCs w:val="16"/>
                <w:lang w:val="es-AR" w:eastAsia="es-AR"/>
              </w:rPr>
            </w:pPr>
          </w:p>
        </w:tc>
        <w:tc>
          <w:tcPr>
            <w:tcW w:w="709" w:type="dxa"/>
            <w:tcBorders>
              <w:top w:val="nil"/>
              <w:left w:val="nil"/>
              <w:bottom w:val="nil"/>
              <w:right w:val="nil"/>
            </w:tcBorders>
            <w:shd w:val="clear" w:color="auto" w:fill="auto"/>
            <w:vAlign w:val="center"/>
          </w:tcPr>
          <w:p w14:paraId="454C7D5A" w14:textId="77777777" w:rsidR="0010523F" w:rsidRPr="0010523F" w:rsidRDefault="0010523F" w:rsidP="0010523F">
            <w:pPr>
              <w:spacing w:line="120" w:lineRule="exact"/>
              <w:rPr>
                <w:color w:val="000000"/>
                <w:sz w:val="16"/>
                <w:szCs w:val="16"/>
                <w:lang w:val="es-AR" w:eastAsia="es-AR"/>
              </w:rPr>
            </w:pPr>
          </w:p>
        </w:tc>
        <w:tc>
          <w:tcPr>
            <w:tcW w:w="780" w:type="dxa"/>
            <w:tcBorders>
              <w:top w:val="nil"/>
              <w:left w:val="nil"/>
              <w:bottom w:val="nil"/>
              <w:right w:val="nil"/>
            </w:tcBorders>
            <w:shd w:val="clear" w:color="auto" w:fill="auto"/>
            <w:vAlign w:val="center"/>
          </w:tcPr>
          <w:p w14:paraId="2271C7C7" w14:textId="77777777" w:rsidR="0010523F" w:rsidRPr="0010523F" w:rsidRDefault="0010523F" w:rsidP="0010523F">
            <w:pPr>
              <w:spacing w:line="120" w:lineRule="exact"/>
              <w:rPr>
                <w:color w:val="000000"/>
                <w:sz w:val="16"/>
                <w:szCs w:val="16"/>
                <w:lang w:val="es-AR" w:eastAsia="es-AR"/>
              </w:rPr>
            </w:pPr>
          </w:p>
        </w:tc>
        <w:tc>
          <w:tcPr>
            <w:tcW w:w="160" w:type="dxa"/>
            <w:tcBorders>
              <w:top w:val="nil"/>
              <w:left w:val="nil"/>
              <w:bottom w:val="nil"/>
              <w:right w:val="nil"/>
            </w:tcBorders>
            <w:shd w:val="clear" w:color="auto" w:fill="auto"/>
            <w:vAlign w:val="center"/>
          </w:tcPr>
          <w:p w14:paraId="0209EE38" w14:textId="77777777" w:rsidR="0010523F" w:rsidRPr="0010523F" w:rsidRDefault="0010523F" w:rsidP="0010523F">
            <w:pPr>
              <w:spacing w:line="120" w:lineRule="exact"/>
              <w:rPr>
                <w:color w:val="000000"/>
                <w:sz w:val="16"/>
                <w:szCs w:val="16"/>
                <w:lang w:val="es-AR" w:eastAsia="es-AR"/>
              </w:rPr>
            </w:pPr>
          </w:p>
        </w:tc>
        <w:tc>
          <w:tcPr>
            <w:tcW w:w="964" w:type="dxa"/>
            <w:tcBorders>
              <w:top w:val="nil"/>
              <w:left w:val="nil"/>
              <w:bottom w:val="nil"/>
              <w:right w:val="nil"/>
            </w:tcBorders>
            <w:shd w:val="clear" w:color="auto" w:fill="auto"/>
            <w:vAlign w:val="center"/>
          </w:tcPr>
          <w:p w14:paraId="5204946A" w14:textId="77777777" w:rsidR="0010523F" w:rsidRPr="0010523F" w:rsidRDefault="0010523F" w:rsidP="0010523F">
            <w:pPr>
              <w:spacing w:line="120" w:lineRule="exact"/>
              <w:rPr>
                <w:color w:val="000000"/>
                <w:sz w:val="16"/>
                <w:szCs w:val="16"/>
                <w:lang w:val="es-AR" w:eastAsia="es-AR"/>
              </w:rPr>
            </w:pPr>
          </w:p>
        </w:tc>
        <w:tc>
          <w:tcPr>
            <w:tcW w:w="850" w:type="dxa"/>
            <w:tcBorders>
              <w:top w:val="nil"/>
              <w:left w:val="nil"/>
              <w:bottom w:val="nil"/>
              <w:right w:val="nil"/>
            </w:tcBorders>
            <w:shd w:val="clear" w:color="auto" w:fill="auto"/>
            <w:vAlign w:val="center"/>
          </w:tcPr>
          <w:p w14:paraId="14BE7796" w14:textId="77777777" w:rsidR="0010523F" w:rsidRPr="0010523F" w:rsidRDefault="0010523F" w:rsidP="0010523F">
            <w:pPr>
              <w:spacing w:line="120" w:lineRule="exact"/>
              <w:rPr>
                <w:color w:val="000000"/>
                <w:sz w:val="16"/>
                <w:szCs w:val="16"/>
                <w:lang w:val="es-AR" w:eastAsia="es-AR"/>
              </w:rPr>
            </w:pPr>
          </w:p>
        </w:tc>
        <w:tc>
          <w:tcPr>
            <w:tcW w:w="709" w:type="dxa"/>
            <w:tcBorders>
              <w:top w:val="nil"/>
              <w:left w:val="nil"/>
              <w:bottom w:val="nil"/>
              <w:right w:val="nil"/>
            </w:tcBorders>
            <w:shd w:val="clear" w:color="auto" w:fill="auto"/>
            <w:vAlign w:val="center"/>
          </w:tcPr>
          <w:p w14:paraId="69FE6E23" w14:textId="77777777" w:rsidR="0010523F" w:rsidRPr="0010523F" w:rsidRDefault="0010523F" w:rsidP="0010523F">
            <w:pPr>
              <w:spacing w:line="120" w:lineRule="exact"/>
              <w:rPr>
                <w:color w:val="000000"/>
                <w:sz w:val="16"/>
                <w:szCs w:val="16"/>
                <w:lang w:val="es-AR" w:eastAsia="es-AR"/>
              </w:rPr>
            </w:pPr>
          </w:p>
        </w:tc>
        <w:tc>
          <w:tcPr>
            <w:tcW w:w="709" w:type="dxa"/>
            <w:tcBorders>
              <w:top w:val="nil"/>
              <w:left w:val="nil"/>
              <w:bottom w:val="nil"/>
              <w:right w:val="nil"/>
            </w:tcBorders>
            <w:shd w:val="clear" w:color="auto" w:fill="auto"/>
            <w:vAlign w:val="center"/>
          </w:tcPr>
          <w:p w14:paraId="60D41AD7" w14:textId="77777777" w:rsidR="0010523F" w:rsidRPr="0010523F" w:rsidRDefault="0010523F" w:rsidP="0010523F">
            <w:pPr>
              <w:spacing w:line="120" w:lineRule="exact"/>
              <w:rPr>
                <w:color w:val="000000"/>
                <w:sz w:val="16"/>
                <w:szCs w:val="16"/>
                <w:lang w:val="es-AR" w:eastAsia="es-AR"/>
              </w:rPr>
            </w:pPr>
          </w:p>
        </w:tc>
        <w:tc>
          <w:tcPr>
            <w:tcW w:w="850" w:type="dxa"/>
            <w:tcBorders>
              <w:top w:val="nil"/>
              <w:left w:val="nil"/>
              <w:bottom w:val="nil"/>
              <w:right w:val="nil"/>
            </w:tcBorders>
            <w:shd w:val="clear" w:color="auto" w:fill="auto"/>
            <w:vAlign w:val="center"/>
          </w:tcPr>
          <w:p w14:paraId="44169A0C" w14:textId="77777777" w:rsidR="0010523F" w:rsidRPr="0010523F" w:rsidRDefault="0010523F" w:rsidP="0010523F">
            <w:pPr>
              <w:spacing w:line="120" w:lineRule="exact"/>
              <w:rPr>
                <w:color w:val="000000"/>
                <w:sz w:val="16"/>
                <w:szCs w:val="16"/>
                <w:lang w:val="es-AR" w:eastAsia="es-AR"/>
              </w:rPr>
            </w:pPr>
          </w:p>
        </w:tc>
        <w:tc>
          <w:tcPr>
            <w:tcW w:w="964" w:type="dxa"/>
            <w:tcBorders>
              <w:top w:val="nil"/>
              <w:left w:val="nil"/>
              <w:bottom w:val="nil"/>
              <w:right w:val="nil"/>
            </w:tcBorders>
            <w:shd w:val="clear" w:color="auto" w:fill="auto"/>
            <w:vAlign w:val="center"/>
          </w:tcPr>
          <w:p w14:paraId="3220A670" w14:textId="77777777" w:rsidR="0010523F" w:rsidRPr="0010523F" w:rsidRDefault="0010523F" w:rsidP="0010523F">
            <w:pPr>
              <w:spacing w:line="120" w:lineRule="exact"/>
              <w:rPr>
                <w:color w:val="000000"/>
                <w:sz w:val="16"/>
                <w:szCs w:val="16"/>
                <w:lang w:val="es-AR" w:eastAsia="es-AR"/>
              </w:rPr>
            </w:pPr>
          </w:p>
        </w:tc>
        <w:tc>
          <w:tcPr>
            <w:tcW w:w="160" w:type="dxa"/>
            <w:gridSpan w:val="2"/>
            <w:tcBorders>
              <w:top w:val="nil"/>
              <w:left w:val="nil"/>
              <w:bottom w:val="nil"/>
              <w:right w:val="nil"/>
            </w:tcBorders>
            <w:shd w:val="clear" w:color="auto" w:fill="auto"/>
            <w:vAlign w:val="center"/>
          </w:tcPr>
          <w:p w14:paraId="299DD5A1" w14:textId="77777777" w:rsidR="0010523F" w:rsidRPr="0010523F" w:rsidRDefault="0010523F" w:rsidP="0010523F">
            <w:pPr>
              <w:spacing w:line="120" w:lineRule="exact"/>
              <w:rPr>
                <w:color w:val="000000"/>
                <w:sz w:val="16"/>
                <w:szCs w:val="16"/>
                <w:lang w:val="es-AR" w:eastAsia="es-AR"/>
              </w:rPr>
            </w:pPr>
          </w:p>
        </w:tc>
        <w:tc>
          <w:tcPr>
            <w:tcW w:w="907" w:type="dxa"/>
            <w:gridSpan w:val="2"/>
            <w:tcBorders>
              <w:top w:val="nil"/>
              <w:left w:val="nil"/>
              <w:bottom w:val="nil"/>
              <w:right w:val="nil"/>
            </w:tcBorders>
            <w:shd w:val="clear" w:color="auto" w:fill="auto"/>
            <w:vAlign w:val="bottom"/>
          </w:tcPr>
          <w:p w14:paraId="27194B25" w14:textId="77777777" w:rsidR="0010523F" w:rsidRPr="0010523F" w:rsidDel="000F39E0" w:rsidRDefault="0010523F" w:rsidP="0010523F">
            <w:pPr>
              <w:spacing w:line="120" w:lineRule="exact"/>
              <w:jc w:val="right"/>
              <w:rPr>
                <w:color w:val="000000"/>
                <w:sz w:val="16"/>
                <w:szCs w:val="16"/>
                <w:u w:val="double"/>
                <w:lang w:val="es-AR" w:eastAsia="es-AR"/>
              </w:rPr>
            </w:pPr>
          </w:p>
        </w:tc>
        <w:tc>
          <w:tcPr>
            <w:tcW w:w="964" w:type="dxa"/>
            <w:tcBorders>
              <w:top w:val="nil"/>
              <w:left w:val="nil"/>
              <w:bottom w:val="nil"/>
              <w:right w:val="nil"/>
            </w:tcBorders>
            <w:shd w:val="clear" w:color="auto" w:fill="auto"/>
            <w:vAlign w:val="bottom"/>
          </w:tcPr>
          <w:p w14:paraId="10649320" w14:textId="77777777" w:rsidR="0010523F" w:rsidRPr="0010523F" w:rsidRDefault="0010523F" w:rsidP="0010523F">
            <w:pPr>
              <w:spacing w:line="120" w:lineRule="exact"/>
              <w:jc w:val="right"/>
              <w:rPr>
                <w:color w:val="000000"/>
                <w:sz w:val="16"/>
                <w:szCs w:val="16"/>
                <w:u w:val="double"/>
                <w:lang w:val="es-AR" w:eastAsia="es-AR"/>
              </w:rPr>
            </w:pPr>
          </w:p>
        </w:tc>
        <w:tc>
          <w:tcPr>
            <w:tcW w:w="907" w:type="dxa"/>
            <w:gridSpan w:val="2"/>
            <w:tcBorders>
              <w:top w:val="nil"/>
              <w:left w:val="nil"/>
              <w:bottom w:val="nil"/>
              <w:right w:val="nil"/>
            </w:tcBorders>
            <w:vAlign w:val="bottom"/>
          </w:tcPr>
          <w:p w14:paraId="7D6CED71" w14:textId="77777777" w:rsidR="0010523F" w:rsidRPr="0010523F" w:rsidRDefault="0010523F" w:rsidP="0010523F">
            <w:pPr>
              <w:spacing w:line="120" w:lineRule="exact"/>
              <w:jc w:val="right"/>
              <w:rPr>
                <w:color w:val="000000"/>
                <w:sz w:val="16"/>
                <w:szCs w:val="16"/>
                <w:u w:val="double"/>
                <w:lang w:val="es-AR" w:eastAsia="es-AR"/>
              </w:rPr>
            </w:pPr>
          </w:p>
        </w:tc>
      </w:tr>
    </w:tbl>
    <w:p w14:paraId="1C90F293" w14:textId="77777777" w:rsidR="0010523F" w:rsidRPr="0010523F" w:rsidRDefault="0010523F" w:rsidP="00E2318E">
      <w:pPr>
        <w:numPr>
          <w:ilvl w:val="0"/>
          <w:numId w:val="68"/>
        </w:numPr>
        <w:spacing w:before="120" w:line="220" w:lineRule="exact"/>
        <w:ind w:left="709" w:hanging="357"/>
        <w:contextualSpacing/>
        <w:jc w:val="both"/>
        <w:rPr>
          <w:sz w:val="20"/>
          <w:szCs w:val="20"/>
          <w:lang w:val="es-AR" w:eastAsia="en-US"/>
        </w:rPr>
      </w:pPr>
      <w:r w:rsidRPr="0010523F">
        <w:rPr>
          <w:sz w:val="20"/>
          <w:szCs w:val="20"/>
          <w:lang w:val="es-AR" w:eastAsia="en-US"/>
        </w:rPr>
        <w:t>Arrendamientos financieros al 31 de diciembre de 2018 según la NIC 17, que por aplicación inicial de la NIIF 16, se clasifican a partir del 1 de enero de 2019 como “Activos por derecho a uso” (Ver Notas 2.4 y 3.c)).</w:t>
      </w:r>
    </w:p>
    <w:p w14:paraId="7FB6BDFA" w14:textId="77777777" w:rsidR="0010523F" w:rsidRPr="0010523F" w:rsidRDefault="0010523F" w:rsidP="0010523F">
      <w:pPr>
        <w:contextualSpacing/>
        <w:rPr>
          <w:b/>
          <w:lang w:val="es-AR" w:eastAsia="en-US"/>
        </w:rPr>
      </w:pPr>
      <w:r w:rsidRPr="0010523F">
        <w:rPr>
          <w:sz w:val="16"/>
          <w:szCs w:val="16"/>
          <w:lang w:val="es-AR" w:eastAsia="en-US"/>
        </w:rPr>
        <w:br w:type="page"/>
      </w:r>
      <w:r w:rsidRPr="0010523F">
        <w:rPr>
          <w:b/>
          <w:lang w:val="es-AR" w:eastAsia="en-US"/>
        </w:rPr>
        <w:t>NOTA 3 - COMPOSICIÓN DE CIERTOS RUBROS DEL ESTADO DE SITUACIÓN FINANCIERA INTERMEDIO CONDENSADO (cont.)</w:t>
      </w:r>
    </w:p>
    <w:p w14:paraId="20A31217" w14:textId="77777777" w:rsidR="0010523F" w:rsidRPr="0010523F" w:rsidRDefault="0010523F" w:rsidP="0010523F">
      <w:pPr>
        <w:ind w:left="1021" w:hanging="1021"/>
        <w:jc w:val="both"/>
        <w:rPr>
          <w:b/>
          <w:lang w:val="es-AR" w:eastAsia="en-US"/>
        </w:rPr>
      </w:pPr>
    </w:p>
    <w:p w14:paraId="2AF9AFFC" w14:textId="77777777" w:rsidR="0010523F" w:rsidRPr="0010523F" w:rsidRDefault="0010523F" w:rsidP="00E2318E">
      <w:pPr>
        <w:keepNext/>
        <w:widowControl w:val="0"/>
        <w:numPr>
          <w:ilvl w:val="0"/>
          <w:numId w:val="62"/>
        </w:numPr>
        <w:tabs>
          <w:tab w:val="decimal" w:pos="4962"/>
          <w:tab w:val="decimal" w:pos="6379"/>
          <w:tab w:val="decimal" w:pos="7797"/>
          <w:tab w:val="decimal" w:pos="9214"/>
          <w:tab w:val="decimal" w:pos="10490"/>
          <w:tab w:val="decimal" w:pos="12049"/>
          <w:tab w:val="decimal" w:pos="13325"/>
          <w:tab w:val="decimal" w:pos="14601"/>
        </w:tabs>
        <w:spacing w:line="220" w:lineRule="exact"/>
        <w:ind w:right="12"/>
        <w:jc w:val="both"/>
        <w:outlineLvl w:val="3"/>
        <w:rPr>
          <w:szCs w:val="20"/>
          <w:lang w:val="es-AR" w:eastAsia="en-US"/>
        </w:rPr>
      </w:pPr>
      <w:r w:rsidRPr="0010523F">
        <w:rPr>
          <w:szCs w:val="20"/>
          <w:lang w:val="es-AR" w:eastAsia="en-US"/>
        </w:rPr>
        <w:t>Activos intangibles</w:t>
      </w:r>
    </w:p>
    <w:p w14:paraId="47E10FCB" w14:textId="77777777" w:rsidR="0010523F" w:rsidRPr="0010523F" w:rsidRDefault="0010523F" w:rsidP="0010523F">
      <w:pPr>
        <w:tabs>
          <w:tab w:val="center" w:pos="6120"/>
          <w:tab w:val="center" w:pos="7680"/>
          <w:tab w:val="center" w:pos="9120"/>
        </w:tabs>
        <w:spacing w:line="140" w:lineRule="exact"/>
        <w:jc w:val="both"/>
        <w:rPr>
          <w:sz w:val="20"/>
          <w:szCs w:val="20"/>
          <w:highlight w:val="yellow"/>
          <w:lang w:val="es-AR" w:eastAsia="en-US"/>
        </w:rPr>
      </w:pPr>
    </w:p>
    <w:p w14:paraId="2027AFE5" w14:textId="77777777" w:rsidR="0010523F" w:rsidRPr="0010523F" w:rsidRDefault="0010523F" w:rsidP="0010523F">
      <w:pPr>
        <w:rPr>
          <w:sz w:val="20"/>
          <w:szCs w:val="16"/>
          <w:highlight w:val="yellow"/>
          <w:lang w:val="es-AR" w:eastAsia="en-US"/>
        </w:rPr>
      </w:pPr>
    </w:p>
    <w:tbl>
      <w:tblPr>
        <w:tblW w:w="15611" w:type="dxa"/>
        <w:tblInd w:w="354" w:type="dxa"/>
        <w:tblLayout w:type="fixed"/>
        <w:tblCellMar>
          <w:left w:w="70" w:type="dxa"/>
          <w:right w:w="70" w:type="dxa"/>
        </w:tblCellMar>
        <w:tblLook w:val="04A0" w:firstRow="1" w:lastRow="0" w:firstColumn="1" w:lastColumn="0" w:noHBand="0" w:noVBand="1"/>
      </w:tblPr>
      <w:tblGrid>
        <w:gridCol w:w="1984"/>
        <w:gridCol w:w="850"/>
        <w:gridCol w:w="1020"/>
        <w:gridCol w:w="851"/>
        <w:gridCol w:w="794"/>
        <w:gridCol w:w="850"/>
        <w:gridCol w:w="851"/>
        <w:gridCol w:w="10"/>
        <w:gridCol w:w="150"/>
        <w:gridCol w:w="10"/>
        <w:gridCol w:w="965"/>
        <w:gridCol w:w="964"/>
        <w:gridCol w:w="789"/>
        <w:gridCol w:w="737"/>
        <w:gridCol w:w="850"/>
        <w:gridCol w:w="1054"/>
        <w:gridCol w:w="28"/>
        <w:gridCol w:w="132"/>
        <w:gridCol w:w="28"/>
        <w:gridCol w:w="880"/>
        <w:gridCol w:w="907"/>
        <w:gridCol w:w="888"/>
        <w:gridCol w:w="19"/>
      </w:tblGrid>
      <w:tr w:rsidR="0010523F" w:rsidRPr="0010523F" w14:paraId="0D0E40A2" w14:textId="77777777" w:rsidTr="00774E7E">
        <w:trPr>
          <w:gridAfter w:val="1"/>
          <w:wAfter w:w="19" w:type="dxa"/>
          <w:trHeight w:val="315"/>
        </w:trPr>
        <w:tc>
          <w:tcPr>
            <w:tcW w:w="1984" w:type="dxa"/>
            <w:tcBorders>
              <w:top w:val="nil"/>
              <w:left w:val="nil"/>
              <w:bottom w:val="nil"/>
              <w:right w:val="nil"/>
            </w:tcBorders>
            <w:shd w:val="clear" w:color="auto" w:fill="auto"/>
            <w:vAlign w:val="center"/>
            <w:hideMark/>
          </w:tcPr>
          <w:p w14:paraId="2D93B32B" w14:textId="77777777" w:rsidR="0010523F" w:rsidRPr="0010523F" w:rsidRDefault="0010523F" w:rsidP="0010523F">
            <w:pPr>
              <w:rPr>
                <w:color w:val="000000"/>
                <w:sz w:val="16"/>
                <w:szCs w:val="16"/>
                <w:lang w:val="es-AR" w:eastAsia="es-AR"/>
              </w:rPr>
            </w:pPr>
          </w:p>
        </w:tc>
        <w:tc>
          <w:tcPr>
            <w:tcW w:w="5226" w:type="dxa"/>
            <w:gridSpan w:val="7"/>
            <w:tcBorders>
              <w:top w:val="nil"/>
              <w:left w:val="nil"/>
              <w:bottom w:val="single" w:sz="4" w:space="0" w:color="auto"/>
              <w:right w:val="nil"/>
            </w:tcBorders>
            <w:shd w:val="clear" w:color="auto" w:fill="auto"/>
            <w:vAlign w:val="center"/>
            <w:hideMark/>
          </w:tcPr>
          <w:p w14:paraId="164D3D55"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Valores de origen</w:t>
            </w:r>
          </w:p>
        </w:tc>
        <w:tc>
          <w:tcPr>
            <w:tcW w:w="160" w:type="dxa"/>
            <w:gridSpan w:val="2"/>
            <w:tcBorders>
              <w:top w:val="nil"/>
              <w:left w:val="nil"/>
              <w:bottom w:val="nil"/>
              <w:right w:val="nil"/>
            </w:tcBorders>
            <w:shd w:val="clear" w:color="auto" w:fill="auto"/>
            <w:vAlign w:val="center"/>
            <w:hideMark/>
          </w:tcPr>
          <w:p w14:paraId="2C36AF03" w14:textId="77777777" w:rsidR="0010523F" w:rsidRPr="0010523F" w:rsidRDefault="0010523F" w:rsidP="0010523F">
            <w:pPr>
              <w:rPr>
                <w:color w:val="000000"/>
                <w:sz w:val="16"/>
                <w:szCs w:val="16"/>
                <w:lang w:val="es-AR" w:eastAsia="es-AR"/>
              </w:rPr>
            </w:pPr>
          </w:p>
        </w:tc>
        <w:tc>
          <w:tcPr>
            <w:tcW w:w="5387" w:type="dxa"/>
            <w:gridSpan w:val="7"/>
            <w:tcBorders>
              <w:top w:val="nil"/>
              <w:left w:val="nil"/>
              <w:bottom w:val="single" w:sz="4" w:space="0" w:color="auto"/>
              <w:right w:val="nil"/>
            </w:tcBorders>
            <w:shd w:val="clear" w:color="auto" w:fill="auto"/>
            <w:vAlign w:val="center"/>
            <w:hideMark/>
          </w:tcPr>
          <w:p w14:paraId="48E4C45B"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Amortizaciones</w:t>
            </w:r>
          </w:p>
        </w:tc>
        <w:tc>
          <w:tcPr>
            <w:tcW w:w="160" w:type="dxa"/>
            <w:gridSpan w:val="2"/>
            <w:tcBorders>
              <w:top w:val="nil"/>
              <w:left w:val="nil"/>
              <w:bottom w:val="nil"/>
              <w:right w:val="nil"/>
            </w:tcBorders>
            <w:shd w:val="clear" w:color="auto" w:fill="auto"/>
            <w:vAlign w:val="center"/>
            <w:hideMark/>
          </w:tcPr>
          <w:p w14:paraId="0B4DAEBA" w14:textId="77777777" w:rsidR="0010523F" w:rsidRPr="0010523F" w:rsidRDefault="0010523F" w:rsidP="0010523F">
            <w:pPr>
              <w:rPr>
                <w:color w:val="000000"/>
                <w:sz w:val="16"/>
                <w:szCs w:val="16"/>
                <w:lang w:val="es-AR" w:eastAsia="es-AR"/>
              </w:rPr>
            </w:pPr>
          </w:p>
        </w:tc>
        <w:tc>
          <w:tcPr>
            <w:tcW w:w="2675" w:type="dxa"/>
            <w:gridSpan w:val="3"/>
            <w:tcBorders>
              <w:top w:val="nil"/>
              <w:left w:val="nil"/>
              <w:bottom w:val="single" w:sz="4" w:space="0" w:color="auto"/>
              <w:right w:val="nil"/>
            </w:tcBorders>
            <w:shd w:val="clear" w:color="auto" w:fill="auto"/>
            <w:vAlign w:val="center"/>
            <w:hideMark/>
          </w:tcPr>
          <w:p w14:paraId="3E34DCFA"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Neto resultante</w:t>
            </w:r>
          </w:p>
        </w:tc>
      </w:tr>
      <w:tr w:rsidR="0010523F" w:rsidRPr="0010523F" w14:paraId="4B026EFE" w14:textId="77777777" w:rsidTr="00774E7E">
        <w:trPr>
          <w:trHeight w:val="850"/>
        </w:trPr>
        <w:tc>
          <w:tcPr>
            <w:tcW w:w="1984" w:type="dxa"/>
            <w:tcBorders>
              <w:top w:val="nil"/>
              <w:left w:val="nil"/>
              <w:bottom w:val="nil"/>
              <w:right w:val="nil"/>
            </w:tcBorders>
            <w:shd w:val="clear" w:color="auto" w:fill="auto"/>
            <w:vAlign w:val="bottom"/>
            <w:hideMark/>
          </w:tcPr>
          <w:p w14:paraId="76D24A36" w14:textId="77777777" w:rsidR="0010523F" w:rsidRPr="0010523F" w:rsidRDefault="0010523F" w:rsidP="0010523F">
            <w:pPr>
              <w:rPr>
                <w:color w:val="000000"/>
                <w:sz w:val="16"/>
                <w:szCs w:val="16"/>
                <w:u w:val="single"/>
                <w:lang w:val="es-AR" w:eastAsia="es-AR"/>
              </w:rPr>
            </w:pPr>
            <w:r w:rsidRPr="0010523F">
              <w:rPr>
                <w:color w:val="000000"/>
                <w:sz w:val="16"/>
                <w:szCs w:val="16"/>
                <w:u w:val="single"/>
                <w:lang w:val="es-AR" w:eastAsia="es-AR"/>
              </w:rPr>
              <w:t>Cuenta principal</w:t>
            </w:r>
          </w:p>
        </w:tc>
        <w:tc>
          <w:tcPr>
            <w:tcW w:w="850" w:type="dxa"/>
            <w:tcBorders>
              <w:top w:val="single" w:sz="4" w:space="0" w:color="auto"/>
              <w:left w:val="nil"/>
              <w:bottom w:val="single" w:sz="4" w:space="0" w:color="auto"/>
              <w:right w:val="nil"/>
            </w:tcBorders>
            <w:shd w:val="clear" w:color="auto" w:fill="auto"/>
            <w:vAlign w:val="center"/>
            <w:hideMark/>
          </w:tcPr>
          <w:p w14:paraId="7C75DEC4"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Valor al comienzo del  ejercicio</w:t>
            </w:r>
          </w:p>
        </w:tc>
        <w:tc>
          <w:tcPr>
            <w:tcW w:w="1020" w:type="dxa"/>
            <w:tcBorders>
              <w:top w:val="single" w:sz="4" w:space="0" w:color="auto"/>
              <w:left w:val="nil"/>
              <w:bottom w:val="single" w:sz="4" w:space="0" w:color="auto"/>
              <w:right w:val="nil"/>
            </w:tcBorders>
            <w:shd w:val="clear" w:color="auto" w:fill="auto"/>
            <w:vAlign w:val="center"/>
            <w:hideMark/>
          </w:tcPr>
          <w:p w14:paraId="50F00DCC"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Transferencia fondo de comercio</w:t>
            </w:r>
          </w:p>
        </w:tc>
        <w:tc>
          <w:tcPr>
            <w:tcW w:w="851" w:type="dxa"/>
            <w:tcBorders>
              <w:top w:val="single" w:sz="4" w:space="0" w:color="auto"/>
              <w:left w:val="nil"/>
              <w:bottom w:val="single" w:sz="4" w:space="0" w:color="auto"/>
              <w:right w:val="nil"/>
            </w:tcBorders>
            <w:shd w:val="clear" w:color="auto" w:fill="auto"/>
            <w:vAlign w:val="center"/>
            <w:hideMark/>
          </w:tcPr>
          <w:p w14:paraId="244E2A0C"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Aumentos del período/</w:t>
            </w:r>
          </w:p>
          <w:p w14:paraId="65AFC727"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794" w:type="dxa"/>
            <w:tcBorders>
              <w:top w:val="single" w:sz="4" w:space="0" w:color="auto"/>
              <w:left w:val="nil"/>
              <w:bottom w:val="single" w:sz="4" w:space="0" w:color="auto"/>
              <w:right w:val="nil"/>
            </w:tcBorders>
            <w:shd w:val="clear" w:color="auto" w:fill="auto"/>
            <w:vAlign w:val="center"/>
            <w:hideMark/>
          </w:tcPr>
          <w:p w14:paraId="2378173C"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Disminu-ciones del período/</w:t>
            </w:r>
          </w:p>
          <w:p w14:paraId="51201A22"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850" w:type="dxa"/>
            <w:tcBorders>
              <w:top w:val="single" w:sz="4" w:space="0" w:color="auto"/>
              <w:left w:val="nil"/>
              <w:bottom w:val="single" w:sz="4" w:space="0" w:color="auto"/>
              <w:right w:val="nil"/>
            </w:tcBorders>
            <w:shd w:val="clear" w:color="auto" w:fill="auto"/>
            <w:vAlign w:val="center"/>
            <w:hideMark/>
          </w:tcPr>
          <w:p w14:paraId="5797732D"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Efecto de conversión</w:t>
            </w:r>
          </w:p>
        </w:tc>
        <w:tc>
          <w:tcPr>
            <w:tcW w:w="851" w:type="dxa"/>
            <w:tcBorders>
              <w:top w:val="single" w:sz="4" w:space="0" w:color="auto"/>
              <w:left w:val="nil"/>
              <w:bottom w:val="single" w:sz="4" w:space="0" w:color="auto"/>
              <w:right w:val="nil"/>
            </w:tcBorders>
            <w:shd w:val="clear" w:color="auto" w:fill="auto"/>
            <w:vAlign w:val="center"/>
            <w:hideMark/>
          </w:tcPr>
          <w:p w14:paraId="682A639B"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Valor al cierre del período/</w:t>
            </w:r>
          </w:p>
          <w:p w14:paraId="3D3C1E7B"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160" w:type="dxa"/>
            <w:gridSpan w:val="2"/>
            <w:tcBorders>
              <w:top w:val="nil"/>
              <w:left w:val="nil"/>
              <w:right w:val="nil"/>
            </w:tcBorders>
            <w:shd w:val="clear" w:color="auto" w:fill="auto"/>
            <w:vAlign w:val="center"/>
            <w:hideMark/>
          </w:tcPr>
          <w:p w14:paraId="466A211C" w14:textId="77777777" w:rsidR="0010523F" w:rsidRPr="0010523F" w:rsidRDefault="0010523F" w:rsidP="0010523F">
            <w:pPr>
              <w:jc w:val="center"/>
              <w:rPr>
                <w:color w:val="000000"/>
                <w:sz w:val="16"/>
                <w:szCs w:val="16"/>
                <w:lang w:val="es-AR" w:eastAsia="es-AR"/>
              </w:rPr>
            </w:pPr>
          </w:p>
        </w:tc>
        <w:tc>
          <w:tcPr>
            <w:tcW w:w="975" w:type="dxa"/>
            <w:gridSpan w:val="2"/>
            <w:tcBorders>
              <w:top w:val="single" w:sz="4" w:space="0" w:color="auto"/>
              <w:left w:val="nil"/>
              <w:bottom w:val="single" w:sz="4" w:space="0" w:color="auto"/>
              <w:right w:val="nil"/>
            </w:tcBorders>
            <w:shd w:val="clear" w:color="auto" w:fill="auto"/>
            <w:vAlign w:val="center"/>
            <w:hideMark/>
          </w:tcPr>
          <w:p w14:paraId="70851380"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Acumuladas al comienzo del ejercicio</w:t>
            </w:r>
          </w:p>
        </w:tc>
        <w:tc>
          <w:tcPr>
            <w:tcW w:w="964" w:type="dxa"/>
            <w:tcBorders>
              <w:top w:val="single" w:sz="4" w:space="0" w:color="auto"/>
              <w:left w:val="nil"/>
              <w:bottom w:val="single" w:sz="4" w:space="0" w:color="auto"/>
              <w:right w:val="nil"/>
            </w:tcBorders>
            <w:shd w:val="clear" w:color="auto" w:fill="auto"/>
            <w:vAlign w:val="center"/>
            <w:hideMark/>
          </w:tcPr>
          <w:p w14:paraId="3C49F7A8"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 xml:space="preserve">Transfe-rencia fondo de comercio </w:t>
            </w:r>
          </w:p>
        </w:tc>
        <w:tc>
          <w:tcPr>
            <w:tcW w:w="789" w:type="dxa"/>
            <w:tcBorders>
              <w:top w:val="single" w:sz="4" w:space="0" w:color="auto"/>
              <w:left w:val="nil"/>
              <w:bottom w:val="single" w:sz="4" w:space="0" w:color="auto"/>
              <w:right w:val="nil"/>
            </w:tcBorders>
            <w:shd w:val="clear" w:color="auto" w:fill="auto"/>
            <w:vAlign w:val="center"/>
            <w:hideMark/>
          </w:tcPr>
          <w:p w14:paraId="7CAEC012"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Disminu-ciones del período/</w:t>
            </w:r>
          </w:p>
          <w:p w14:paraId="570B5CC9"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737" w:type="dxa"/>
            <w:tcBorders>
              <w:top w:val="single" w:sz="4" w:space="0" w:color="auto"/>
              <w:left w:val="nil"/>
              <w:bottom w:val="single" w:sz="4" w:space="0" w:color="auto"/>
              <w:right w:val="nil"/>
            </w:tcBorders>
            <w:shd w:val="clear" w:color="auto" w:fill="auto"/>
            <w:vAlign w:val="center"/>
            <w:hideMark/>
          </w:tcPr>
          <w:p w14:paraId="69F37ABC"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Del período/</w:t>
            </w:r>
          </w:p>
          <w:p w14:paraId="3CB877D5"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850" w:type="dxa"/>
            <w:tcBorders>
              <w:top w:val="single" w:sz="4" w:space="0" w:color="auto"/>
              <w:left w:val="nil"/>
              <w:bottom w:val="single" w:sz="4" w:space="0" w:color="auto"/>
              <w:right w:val="nil"/>
            </w:tcBorders>
            <w:shd w:val="clear" w:color="auto" w:fill="auto"/>
            <w:vAlign w:val="center"/>
            <w:hideMark/>
          </w:tcPr>
          <w:p w14:paraId="0BD9F1AF"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Efecto de conversión</w:t>
            </w:r>
          </w:p>
        </w:tc>
        <w:tc>
          <w:tcPr>
            <w:tcW w:w="1054" w:type="dxa"/>
            <w:tcBorders>
              <w:top w:val="single" w:sz="4" w:space="0" w:color="auto"/>
              <w:left w:val="nil"/>
              <w:bottom w:val="single" w:sz="4" w:space="0" w:color="auto"/>
              <w:right w:val="nil"/>
            </w:tcBorders>
            <w:shd w:val="clear" w:color="auto" w:fill="auto"/>
            <w:vAlign w:val="center"/>
            <w:hideMark/>
          </w:tcPr>
          <w:p w14:paraId="43198F1B"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Acumuladas al cierre del período/</w:t>
            </w:r>
          </w:p>
          <w:p w14:paraId="4693D20E" w14:textId="77777777" w:rsidR="0010523F" w:rsidRPr="0010523F" w:rsidRDefault="0010523F" w:rsidP="0010523F">
            <w:pPr>
              <w:jc w:val="center"/>
              <w:rPr>
                <w:color w:val="000000"/>
                <w:sz w:val="16"/>
                <w:szCs w:val="16"/>
                <w:lang w:val="es-AR" w:eastAsia="es-AR"/>
              </w:rPr>
            </w:pPr>
            <w:r w:rsidRPr="0010523F">
              <w:rPr>
                <w:color w:val="000000"/>
                <w:sz w:val="16"/>
                <w:szCs w:val="16"/>
                <w:lang w:val="es-AR" w:eastAsia="es-AR"/>
              </w:rPr>
              <w:t>ejercicio</w:t>
            </w:r>
          </w:p>
        </w:tc>
        <w:tc>
          <w:tcPr>
            <w:tcW w:w="160" w:type="dxa"/>
            <w:gridSpan w:val="2"/>
            <w:tcBorders>
              <w:top w:val="nil"/>
              <w:left w:val="nil"/>
              <w:right w:val="nil"/>
            </w:tcBorders>
            <w:shd w:val="clear" w:color="auto" w:fill="auto"/>
            <w:vAlign w:val="center"/>
            <w:hideMark/>
          </w:tcPr>
          <w:p w14:paraId="2FEE355C" w14:textId="77777777" w:rsidR="0010523F" w:rsidRPr="0010523F" w:rsidRDefault="0010523F" w:rsidP="0010523F">
            <w:pPr>
              <w:jc w:val="center"/>
              <w:rPr>
                <w:color w:val="000000"/>
                <w:sz w:val="16"/>
                <w:szCs w:val="16"/>
                <w:lang w:val="es-AR" w:eastAsia="es-AR"/>
              </w:rPr>
            </w:pPr>
          </w:p>
        </w:tc>
        <w:tc>
          <w:tcPr>
            <w:tcW w:w="908" w:type="dxa"/>
            <w:gridSpan w:val="2"/>
            <w:tcBorders>
              <w:top w:val="single" w:sz="4" w:space="0" w:color="auto"/>
              <w:left w:val="nil"/>
              <w:bottom w:val="single" w:sz="4" w:space="0" w:color="auto"/>
              <w:right w:val="nil"/>
            </w:tcBorders>
            <w:shd w:val="clear" w:color="auto" w:fill="auto"/>
            <w:vAlign w:val="center"/>
            <w:hideMark/>
          </w:tcPr>
          <w:p w14:paraId="6081CED4" w14:textId="77777777" w:rsidR="0010523F" w:rsidRPr="0010523F" w:rsidRDefault="0010523F" w:rsidP="0010523F">
            <w:pPr>
              <w:jc w:val="center"/>
              <w:rPr>
                <w:color w:val="000000"/>
                <w:sz w:val="16"/>
                <w:szCs w:val="16"/>
                <w:lang w:val="es-AR" w:eastAsia="es-AR"/>
              </w:rPr>
            </w:pPr>
            <w:r w:rsidRPr="0010523F">
              <w:rPr>
                <w:bCs/>
                <w:color w:val="000000"/>
                <w:sz w:val="16"/>
                <w:szCs w:val="16"/>
                <w:lang w:val="es-AR" w:eastAsia="es-AR"/>
              </w:rPr>
              <w:t>30/09/2019</w:t>
            </w:r>
          </w:p>
        </w:tc>
        <w:tc>
          <w:tcPr>
            <w:tcW w:w="907" w:type="dxa"/>
            <w:tcBorders>
              <w:top w:val="single" w:sz="4" w:space="0" w:color="auto"/>
              <w:left w:val="nil"/>
              <w:bottom w:val="single" w:sz="4" w:space="0" w:color="auto"/>
              <w:right w:val="nil"/>
            </w:tcBorders>
            <w:shd w:val="clear" w:color="auto" w:fill="auto"/>
            <w:vAlign w:val="center"/>
            <w:hideMark/>
          </w:tcPr>
          <w:p w14:paraId="6EE894FF"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31/12/2018</w:t>
            </w:r>
          </w:p>
        </w:tc>
        <w:tc>
          <w:tcPr>
            <w:tcW w:w="907" w:type="dxa"/>
            <w:gridSpan w:val="2"/>
            <w:tcBorders>
              <w:top w:val="single" w:sz="4" w:space="0" w:color="auto"/>
              <w:left w:val="nil"/>
              <w:bottom w:val="single" w:sz="4" w:space="0" w:color="auto"/>
              <w:right w:val="nil"/>
            </w:tcBorders>
            <w:vAlign w:val="center"/>
          </w:tcPr>
          <w:p w14:paraId="6BA8EFBF" w14:textId="77777777" w:rsidR="0010523F" w:rsidRPr="0010523F" w:rsidRDefault="0010523F" w:rsidP="0010523F">
            <w:pPr>
              <w:jc w:val="center"/>
              <w:rPr>
                <w:bCs/>
                <w:color w:val="000000"/>
                <w:sz w:val="16"/>
                <w:szCs w:val="16"/>
                <w:lang w:val="es-AR" w:eastAsia="es-AR"/>
              </w:rPr>
            </w:pPr>
            <w:r w:rsidRPr="0010523F">
              <w:rPr>
                <w:bCs/>
                <w:color w:val="000000"/>
                <w:sz w:val="16"/>
                <w:szCs w:val="16"/>
                <w:lang w:val="es-AR" w:eastAsia="es-AR"/>
              </w:rPr>
              <w:t>30/09/2018</w:t>
            </w:r>
          </w:p>
        </w:tc>
      </w:tr>
      <w:tr w:rsidR="0010523F" w:rsidRPr="0010523F" w14:paraId="2488A501" w14:textId="77777777" w:rsidTr="00774E7E">
        <w:trPr>
          <w:trHeight w:val="450"/>
        </w:trPr>
        <w:tc>
          <w:tcPr>
            <w:tcW w:w="1984" w:type="dxa"/>
            <w:tcBorders>
              <w:top w:val="nil"/>
              <w:left w:val="nil"/>
              <w:bottom w:val="nil"/>
              <w:right w:val="nil"/>
            </w:tcBorders>
            <w:shd w:val="clear" w:color="auto" w:fill="auto"/>
            <w:vAlign w:val="bottom"/>
            <w:hideMark/>
          </w:tcPr>
          <w:p w14:paraId="3768E2D0"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Derechos de exploración</w:t>
            </w:r>
          </w:p>
        </w:tc>
        <w:tc>
          <w:tcPr>
            <w:tcW w:w="850" w:type="dxa"/>
            <w:tcBorders>
              <w:top w:val="single" w:sz="4" w:space="0" w:color="auto"/>
              <w:left w:val="nil"/>
              <w:bottom w:val="nil"/>
              <w:right w:val="nil"/>
            </w:tcBorders>
            <w:shd w:val="clear" w:color="auto" w:fill="auto"/>
            <w:vAlign w:val="bottom"/>
            <w:hideMark/>
          </w:tcPr>
          <w:p w14:paraId="4DD2058D"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88</w:t>
            </w:r>
          </w:p>
        </w:tc>
        <w:tc>
          <w:tcPr>
            <w:tcW w:w="1020" w:type="dxa"/>
            <w:tcBorders>
              <w:top w:val="single" w:sz="4" w:space="0" w:color="auto"/>
              <w:left w:val="nil"/>
              <w:bottom w:val="nil"/>
              <w:right w:val="nil"/>
            </w:tcBorders>
            <w:shd w:val="clear" w:color="auto" w:fill="auto"/>
            <w:vAlign w:val="bottom"/>
            <w:hideMark/>
          </w:tcPr>
          <w:p w14:paraId="0D2BD0B6"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w:t>
            </w:r>
          </w:p>
        </w:tc>
        <w:tc>
          <w:tcPr>
            <w:tcW w:w="851" w:type="dxa"/>
            <w:tcBorders>
              <w:top w:val="single" w:sz="4" w:space="0" w:color="auto"/>
              <w:left w:val="nil"/>
              <w:bottom w:val="nil"/>
              <w:right w:val="nil"/>
            </w:tcBorders>
            <w:shd w:val="clear" w:color="auto" w:fill="auto"/>
            <w:vAlign w:val="bottom"/>
            <w:hideMark/>
          </w:tcPr>
          <w:p w14:paraId="64F28B77"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w:t>
            </w:r>
          </w:p>
        </w:tc>
        <w:tc>
          <w:tcPr>
            <w:tcW w:w="794" w:type="dxa"/>
            <w:tcBorders>
              <w:top w:val="single" w:sz="4" w:space="0" w:color="auto"/>
              <w:left w:val="nil"/>
              <w:bottom w:val="nil"/>
              <w:right w:val="nil"/>
            </w:tcBorders>
            <w:shd w:val="clear" w:color="auto" w:fill="auto"/>
            <w:vAlign w:val="bottom"/>
            <w:hideMark/>
          </w:tcPr>
          <w:p w14:paraId="47DD3AA8"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w:t>
            </w:r>
          </w:p>
        </w:tc>
        <w:tc>
          <w:tcPr>
            <w:tcW w:w="850" w:type="dxa"/>
            <w:tcBorders>
              <w:top w:val="single" w:sz="4" w:space="0" w:color="auto"/>
              <w:left w:val="nil"/>
              <w:bottom w:val="nil"/>
              <w:right w:val="nil"/>
            </w:tcBorders>
            <w:shd w:val="clear" w:color="auto" w:fill="auto"/>
            <w:vAlign w:val="bottom"/>
            <w:hideMark/>
          </w:tcPr>
          <w:p w14:paraId="0D20247D"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46</w:t>
            </w:r>
          </w:p>
        </w:tc>
        <w:tc>
          <w:tcPr>
            <w:tcW w:w="851" w:type="dxa"/>
            <w:tcBorders>
              <w:top w:val="single" w:sz="4" w:space="0" w:color="auto"/>
              <w:left w:val="nil"/>
              <w:bottom w:val="nil"/>
              <w:right w:val="nil"/>
            </w:tcBorders>
            <w:shd w:val="clear" w:color="auto" w:fill="auto"/>
            <w:vAlign w:val="bottom"/>
            <w:hideMark/>
          </w:tcPr>
          <w:p w14:paraId="252480A4" w14:textId="77777777" w:rsidR="0010523F" w:rsidRPr="0010523F" w:rsidRDefault="0010523F" w:rsidP="0010523F">
            <w:pPr>
              <w:jc w:val="right"/>
              <w:rPr>
                <w:color w:val="000000"/>
                <w:sz w:val="16"/>
                <w:szCs w:val="16"/>
                <w:lang w:val="es-AR" w:eastAsia="es-AR"/>
              </w:rPr>
            </w:pPr>
            <w:r w:rsidRPr="0010523F">
              <w:rPr>
                <w:sz w:val="16"/>
                <w:szCs w:val="16"/>
                <w:lang w:val="es-AR" w:eastAsia="en-US"/>
              </w:rPr>
              <w:t>134</w:t>
            </w:r>
          </w:p>
        </w:tc>
        <w:tc>
          <w:tcPr>
            <w:tcW w:w="160" w:type="dxa"/>
            <w:gridSpan w:val="2"/>
            <w:tcBorders>
              <w:left w:val="nil"/>
              <w:bottom w:val="nil"/>
              <w:right w:val="nil"/>
            </w:tcBorders>
            <w:shd w:val="clear" w:color="auto" w:fill="auto"/>
            <w:vAlign w:val="bottom"/>
            <w:hideMark/>
          </w:tcPr>
          <w:p w14:paraId="0467D405" w14:textId="77777777" w:rsidR="0010523F" w:rsidRPr="0010523F" w:rsidRDefault="0010523F" w:rsidP="0010523F">
            <w:pPr>
              <w:jc w:val="right"/>
              <w:rPr>
                <w:color w:val="000000"/>
                <w:sz w:val="16"/>
                <w:szCs w:val="16"/>
                <w:lang w:val="es-AR" w:eastAsia="es-AR"/>
              </w:rPr>
            </w:pPr>
          </w:p>
        </w:tc>
        <w:tc>
          <w:tcPr>
            <w:tcW w:w="975" w:type="dxa"/>
            <w:gridSpan w:val="2"/>
            <w:tcBorders>
              <w:top w:val="single" w:sz="4" w:space="0" w:color="auto"/>
              <w:left w:val="nil"/>
              <w:bottom w:val="nil"/>
              <w:right w:val="nil"/>
            </w:tcBorders>
            <w:shd w:val="clear" w:color="auto" w:fill="auto"/>
            <w:vAlign w:val="bottom"/>
            <w:hideMark/>
          </w:tcPr>
          <w:p w14:paraId="1E3D7F63"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w:t>
            </w:r>
          </w:p>
        </w:tc>
        <w:tc>
          <w:tcPr>
            <w:tcW w:w="964" w:type="dxa"/>
            <w:tcBorders>
              <w:top w:val="single" w:sz="4" w:space="0" w:color="auto"/>
              <w:left w:val="nil"/>
              <w:bottom w:val="nil"/>
              <w:right w:val="nil"/>
            </w:tcBorders>
            <w:shd w:val="clear" w:color="auto" w:fill="auto"/>
            <w:vAlign w:val="bottom"/>
            <w:hideMark/>
          </w:tcPr>
          <w:p w14:paraId="384CBBF4"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w:t>
            </w:r>
          </w:p>
        </w:tc>
        <w:tc>
          <w:tcPr>
            <w:tcW w:w="789" w:type="dxa"/>
            <w:tcBorders>
              <w:top w:val="single" w:sz="4" w:space="0" w:color="auto"/>
              <w:left w:val="nil"/>
              <w:bottom w:val="nil"/>
              <w:right w:val="nil"/>
            </w:tcBorders>
            <w:shd w:val="clear" w:color="auto" w:fill="auto"/>
            <w:vAlign w:val="bottom"/>
            <w:hideMark/>
          </w:tcPr>
          <w:p w14:paraId="72D341F3"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w:t>
            </w:r>
          </w:p>
        </w:tc>
        <w:tc>
          <w:tcPr>
            <w:tcW w:w="737" w:type="dxa"/>
            <w:tcBorders>
              <w:top w:val="single" w:sz="4" w:space="0" w:color="auto"/>
              <w:left w:val="nil"/>
              <w:bottom w:val="nil"/>
              <w:right w:val="nil"/>
            </w:tcBorders>
            <w:shd w:val="clear" w:color="auto" w:fill="auto"/>
            <w:vAlign w:val="bottom"/>
            <w:hideMark/>
          </w:tcPr>
          <w:p w14:paraId="2D95FDF7"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w:t>
            </w:r>
          </w:p>
        </w:tc>
        <w:tc>
          <w:tcPr>
            <w:tcW w:w="850" w:type="dxa"/>
            <w:tcBorders>
              <w:top w:val="single" w:sz="4" w:space="0" w:color="auto"/>
              <w:left w:val="nil"/>
              <w:bottom w:val="nil"/>
              <w:right w:val="nil"/>
            </w:tcBorders>
            <w:shd w:val="clear" w:color="auto" w:fill="auto"/>
            <w:vAlign w:val="bottom"/>
            <w:hideMark/>
          </w:tcPr>
          <w:p w14:paraId="6E3CBBC7"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w:t>
            </w:r>
          </w:p>
        </w:tc>
        <w:tc>
          <w:tcPr>
            <w:tcW w:w="1054" w:type="dxa"/>
            <w:tcBorders>
              <w:top w:val="single" w:sz="4" w:space="0" w:color="auto"/>
              <w:left w:val="nil"/>
              <w:bottom w:val="nil"/>
              <w:right w:val="nil"/>
            </w:tcBorders>
            <w:shd w:val="clear" w:color="auto" w:fill="auto"/>
            <w:vAlign w:val="bottom"/>
            <w:hideMark/>
          </w:tcPr>
          <w:p w14:paraId="2AFCB356"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p>
        </w:tc>
        <w:tc>
          <w:tcPr>
            <w:tcW w:w="160" w:type="dxa"/>
            <w:gridSpan w:val="2"/>
            <w:tcBorders>
              <w:left w:val="nil"/>
              <w:bottom w:val="nil"/>
              <w:right w:val="nil"/>
            </w:tcBorders>
            <w:shd w:val="clear" w:color="auto" w:fill="auto"/>
            <w:vAlign w:val="bottom"/>
            <w:hideMark/>
          </w:tcPr>
          <w:p w14:paraId="3B78AF67" w14:textId="77777777" w:rsidR="0010523F" w:rsidRPr="0010523F" w:rsidRDefault="0010523F" w:rsidP="0010523F">
            <w:pPr>
              <w:jc w:val="right"/>
              <w:rPr>
                <w:color w:val="000000"/>
                <w:sz w:val="16"/>
                <w:szCs w:val="16"/>
                <w:lang w:val="es-AR" w:eastAsia="es-AR"/>
              </w:rPr>
            </w:pPr>
          </w:p>
        </w:tc>
        <w:tc>
          <w:tcPr>
            <w:tcW w:w="908" w:type="dxa"/>
            <w:gridSpan w:val="2"/>
            <w:tcBorders>
              <w:top w:val="single" w:sz="4" w:space="0" w:color="auto"/>
              <w:left w:val="nil"/>
              <w:bottom w:val="nil"/>
              <w:right w:val="nil"/>
            </w:tcBorders>
            <w:shd w:val="clear" w:color="auto" w:fill="auto"/>
            <w:vAlign w:val="bottom"/>
            <w:hideMark/>
          </w:tcPr>
          <w:p w14:paraId="1FEDCEFF" w14:textId="77777777" w:rsidR="0010523F" w:rsidRPr="0010523F" w:rsidRDefault="0010523F" w:rsidP="0010523F">
            <w:pPr>
              <w:jc w:val="right"/>
              <w:rPr>
                <w:color w:val="000000"/>
                <w:sz w:val="16"/>
                <w:szCs w:val="16"/>
                <w:lang w:val="es-AR" w:eastAsia="es-AR"/>
              </w:rPr>
            </w:pPr>
            <w:r w:rsidRPr="0010523F">
              <w:rPr>
                <w:sz w:val="16"/>
                <w:szCs w:val="16"/>
                <w:lang w:val="es-AR" w:eastAsia="en-US"/>
              </w:rPr>
              <w:t>134</w:t>
            </w:r>
          </w:p>
        </w:tc>
        <w:tc>
          <w:tcPr>
            <w:tcW w:w="907" w:type="dxa"/>
            <w:tcBorders>
              <w:top w:val="single" w:sz="4" w:space="0" w:color="auto"/>
              <w:left w:val="nil"/>
              <w:bottom w:val="nil"/>
              <w:right w:val="nil"/>
            </w:tcBorders>
            <w:shd w:val="clear" w:color="auto" w:fill="auto"/>
            <w:vAlign w:val="bottom"/>
            <w:hideMark/>
          </w:tcPr>
          <w:p w14:paraId="012AD88B"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88</w:t>
            </w:r>
          </w:p>
        </w:tc>
        <w:tc>
          <w:tcPr>
            <w:tcW w:w="907" w:type="dxa"/>
            <w:gridSpan w:val="2"/>
            <w:tcBorders>
              <w:top w:val="single" w:sz="4" w:space="0" w:color="auto"/>
              <w:left w:val="nil"/>
              <w:bottom w:val="nil"/>
              <w:right w:val="nil"/>
            </w:tcBorders>
            <w:vAlign w:val="bottom"/>
          </w:tcPr>
          <w:p w14:paraId="63C2000B"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96</w:t>
            </w:r>
          </w:p>
        </w:tc>
      </w:tr>
      <w:tr w:rsidR="0010523F" w:rsidRPr="0010523F" w14:paraId="6B2F40F7" w14:textId="77777777" w:rsidTr="00774E7E">
        <w:trPr>
          <w:trHeight w:val="300"/>
        </w:trPr>
        <w:tc>
          <w:tcPr>
            <w:tcW w:w="1984" w:type="dxa"/>
            <w:tcBorders>
              <w:top w:val="nil"/>
              <w:left w:val="nil"/>
              <w:bottom w:val="nil"/>
              <w:right w:val="nil"/>
            </w:tcBorders>
            <w:shd w:val="clear" w:color="auto" w:fill="auto"/>
            <w:vAlign w:val="bottom"/>
            <w:hideMark/>
          </w:tcPr>
          <w:p w14:paraId="292ED1BC" w14:textId="77777777" w:rsidR="0010523F" w:rsidRPr="0010523F" w:rsidRDefault="0010523F" w:rsidP="0010523F">
            <w:pPr>
              <w:rPr>
                <w:color w:val="000000"/>
                <w:sz w:val="16"/>
                <w:szCs w:val="16"/>
                <w:lang w:val="es-AR" w:eastAsia="es-AR"/>
              </w:rPr>
            </w:pPr>
            <w:r w:rsidRPr="0010523F">
              <w:rPr>
                <w:color w:val="000000"/>
                <w:sz w:val="16"/>
                <w:szCs w:val="16"/>
                <w:lang w:val="es-AR" w:eastAsia="es-AR"/>
              </w:rPr>
              <w:t>Software</w:t>
            </w:r>
          </w:p>
        </w:tc>
        <w:tc>
          <w:tcPr>
            <w:tcW w:w="850" w:type="dxa"/>
            <w:tcBorders>
              <w:top w:val="nil"/>
              <w:left w:val="nil"/>
              <w:bottom w:val="nil"/>
              <w:right w:val="nil"/>
            </w:tcBorders>
            <w:shd w:val="clear" w:color="auto" w:fill="auto"/>
            <w:vAlign w:val="bottom"/>
            <w:hideMark/>
          </w:tcPr>
          <w:p w14:paraId="0430DFE2" w14:textId="77777777" w:rsidR="0010523F" w:rsidRPr="0010523F" w:rsidRDefault="0010523F" w:rsidP="0010523F">
            <w:pPr>
              <w:jc w:val="right"/>
              <w:rPr>
                <w:color w:val="000000"/>
                <w:sz w:val="16"/>
                <w:szCs w:val="16"/>
                <w:u w:val="single"/>
                <w:lang w:val="es-AR" w:eastAsia="es-AR"/>
              </w:rPr>
            </w:pPr>
            <w:r w:rsidRPr="0010523F">
              <w:rPr>
                <w:color w:val="000000"/>
                <w:sz w:val="16"/>
                <w:szCs w:val="16"/>
                <w:u w:val="single"/>
                <w:lang w:val="es-AR" w:eastAsia="en-US"/>
              </w:rPr>
              <w:t>3.508</w:t>
            </w:r>
          </w:p>
        </w:tc>
        <w:tc>
          <w:tcPr>
            <w:tcW w:w="1020" w:type="dxa"/>
            <w:tcBorders>
              <w:top w:val="nil"/>
              <w:left w:val="nil"/>
              <w:bottom w:val="nil"/>
              <w:right w:val="nil"/>
            </w:tcBorders>
            <w:shd w:val="clear" w:color="auto" w:fill="auto"/>
            <w:vAlign w:val="bottom"/>
            <w:hideMark/>
          </w:tcPr>
          <w:p w14:paraId="6209989F" w14:textId="77777777" w:rsidR="0010523F" w:rsidRPr="0010523F" w:rsidRDefault="0010523F" w:rsidP="0010523F">
            <w:pPr>
              <w:jc w:val="right"/>
              <w:rPr>
                <w:color w:val="000000"/>
                <w:sz w:val="16"/>
                <w:szCs w:val="16"/>
                <w:u w:val="single"/>
                <w:lang w:val="es-AR" w:eastAsia="es-AR"/>
              </w:rPr>
            </w:pPr>
            <w:r w:rsidRPr="0010523F">
              <w:rPr>
                <w:color w:val="000000"/>
                <w:sz w:val="16"/>
                <w:szCs w:val="16"/>
                <w:u w:val="single"/>
                <w:lang w:val="es-AR" w:eastAsia="en-US"/>
              </w:rPr>
              <w:t xml:space="preserve">     -</w:t>
            </w:r>
          </w:p>
        </w:tc>
        <w:tc>
          <w:tcPr>
            <w:tcW w:w="851" w:type="dxa"/>
            <w:tcBorders>
              <w:top w:val="nil"/>
              <w:left w:val="nil"/>
              <w:bottom w:val="nil"/>
              <w:right w:val="nil"/>
            </w:tcBorders>
            <w:shd w:val="clear" w:color="auto" w:fill="auto"/>
            <w:vAlign w:val="bottom"/>
            <w:hideMark/>
          </w:tcPr>
          <w:p w14:paraId="2530FC75" w14:textId="77777777" w:rsidR="0010523F" w:rsidRPr="0010523F" w:rsidRDefault="0010523F" w:rsidP="0010523F">
            <w:pPr>
              <w:jc w:val="right"/>
              <w:rPr>
                <w:color w:val="000000"/>
                <w:sz w:val="16"/>
                <w:szCs w:val="16"/>
                <w:u w:val="single"/>
                <w:lang w:val="es-AR" w:eastAsia="es-AR"/>
              </w:rPr>
            </w:pPr>
            <w:r w:rsidRPr="0010523F">
              <w:rPr>
                <w:color w:val="000000"/>
                <w:sz w:val="16"/>
                <w:szCs w:val="16"/>
                <w:u w:val="single"/>
                <w:lang w:val="es-AR" w:eastAsia="en-US"/>
              </w:rPr>
              <w:t xml:space="preserve">   17</w:t>
            </w:r>
          </w:p>
        </w:tc>
        <w:tc>
          <w:tcPr>
            <w:tcW w:w="794" w:type="dxa"/>
            <w:tcBorders>
              <w:top w:val="nil"/>
              <w:left w:val="nil"/>
              <w:bottom w:val="nil"/>
              <w:right w:val="nil"/>
            </w:tcBorders>
            <w:shd w:val="clear" w:color="auto" w:fill="auto"/>
            <w:vAlign w:val="bottom"/>
            <w:hideMark/>
          </w:tcPr>
          <w:p w14:paraId="6351CF2C" w14:textId="77777777" w:rsidR="0010523F" w:rsidRPr="0010523F" w:rsidRDefault="0010523F" w:rsidP="0010523F">
            <w:pPr>
              <w:jc w:val="right"/>
              <w:rPr>
                <w:color w:val="000000"/>
                <w:sz w:val="16"/>
                <w:szCs w:val="16"/>
                <w:u w:val="single"/>
                <w:lang w:val="es-AR" w:eastAsia="es-AR"/>
              </w:rPr>
            </w:pPr>
            <w:r w:rsidRPr="0010523F">
              <w:rPr>
                <w:color w:val="000000"/>
                <w:sz w:val="16"/>
                <w:szCs w:val="16"/>
                <w:lang w:val="es-AR" w:eastAsia="en-US"/>
              </w:rPr>
              <w:t>(</w:t>
            </w:r>
            <w:r w:rsidRPr="0010523F">
              <w:rPr>
                <w:color w:val="000000"/>
                <w:sz w:val="16"/>
                <w:szCs w:val="16"/>
                <w:u w:val="single"/>
                <w:lang w:val="es-AR" w:eastAsia="en-US"/>
              </w:rPr>
              <w:t xml:space="preserve"> 31</w:t>
            </w:r>
            <w:r w:rsidRPr="0010523F">
              <w:rPr>
                <w:color w:val="000000"/>
                <w:sz w:val="16"/>
                <w:szCs w:val="16"/>
                <w:lang w:val="es-AR" w:eastAsia="en-US"/>
              </w:rPr>
              <w:t>)</w:t>
            </w:r>
          </w:p>
        </w:tc>
        <w:tc>
          <w:tcPr>
            <w:tcW w:w="850" w:type="dxa"/>
            <w:tcBorders>
              <w:top w:val="nil"/>
              <w:left w:val="nil"/>
              <w:bottom w:val="nil"/>
              <w:right w:val="nil"/>
            </w:tcBorders>
            <w:shd w:val="clear" w:color="auto" w:fill="auto"/>
            <w:vAlign w:val="bottom"/>
            <w:hideMark/>
          </w:tcPr>
          <w:p w14:paraId="5485AD70" w14:textId="77777777" w:rsidR="0010523F" w:rsidRPr="0010523F" w:rsidRDefault="0010523F" w:rsidP="0010523F">
            <w:pPr>
              <w:jc w:val="right"/>
              <w:rPr>
                <w:color w:val="000000"/>
                <w:sz w:val="16"/>
                <w:szCs w:val="16"/>
                <w:u w:val="single"/>
                <w:lang w:val="es-AR" w:eastAsia="es-AR"/>
              </w:rPr>
            </w:pPr>
            <w:r w:rsidRPr="0010523F">
              <w:rPr>
                <w:color w:val="000000"/>
                <w:sz w:val="16"/>
                <w:szCs w:val="16"/>
                <w:u w:val="single"/>
                <w:lang w:val="es-AR" w:eastAsia="en-US"/>
              </w:rPr>
              <w:t>1.896</w:t>
            </w:r>
          </w:p>
        </w:tc>
        <w:tc>
          <w:tcPr>
            <w:tcW w:w="851" w:type="dxa"/>
            <w:tcBorders>
              <w:top w:val="nil"/>
              <w:left w:val="nil"/>
              <w:bottom w:val="nil"/>
              <w:right w:val="nil"/>
            </w:tcBorders>
            <w:shd w:val="clear" w:color="auto" w:fill="auto"/>
            <w:vAlign w:val="bottom"/>
            <w:hideMark/>
          </w:tcPr>
          <w:p w14:paraId="275B9574"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5.390</w:t>
            </w:r>
          </w:p>
        </w:tc>
        <w:tc>
          <w:tcPr>
            <w:tcW w:w="160" w:type="dxa"/>
            <w:gridSpan w:val="2"/>
            <w:tcBorders>
              <w:top w:val="nil"/>
              <w:left w:val="nil"/>
              <w:bottom w:val="nil"/>
              <w:right w:val="nil"/>
            </w:tcBorders>
            <w:shd w:val="clear" w:color="auto" w:fill="auto"/>
            <w:vAlign w:val="bottom"/>
            <w:hideMark/>
          </w:tcPr>
          <w:p w14:paraId="7F814EF7" w14:textId="77777777" w:rsidR="0010523F" w:rsidRPr="0010523F" w:rsidRDefault="0010523F" w:rsidP="0010523F">
            <w:pPr>
              <w:jc w:val="right"/>
              <w:rPr>
                <w:color w:val="000000"/>
                <w:sz w:val="16"/>
                <w:szCs w:val="16"/>
                <w:u w:val="single"/>
                <w:lang w:val="es-AR" w:eastAsia="es-AR"/>
              </w:rPr>
            </w:pPr>
          </w:p>
        </w:tc>
        <w:tc>
          <w:tcPr>
            <w:tcW w:w="975" w:type="dxa"/>
            <w:gridSpan w:val="2"/>
            <w:tcBorders>
              <w:top w:val="nil"/>
              <w:left w:val="nil"/>
              <w:bottom w:val="nil"/>
              <w:right w:val="nil"/>
            </w:tcBorders>
            <w:shd w:val="clear" w:color="auto" w:fill="auto"/>
            <w:vAlign w:val="bottom"/>
            <w:hideMark/>
          </w:tcPr>
          <w:p w14:paraId="1EBF530B" w14:textId="77777777" w:rsidR="0010523F" w:rsidRPr="0010523F" w:rsidRDefault="0010523F" w:rsidP="0010523F">
            <w:pPr>
              <w:jc w:val="right"/>
              <w:rPr>
                <w:color w:val="000000"/>
                <w:sz w:val="16"/>
                <w:szCs w:val="16"/>
                <w:u w:val="single"/>
                <w:lang w:val="es-AR" w:eastAsia="es-AR"/>
              </w:rPr>
            </w:pPr>
            <w:r w:rsidRPr="0010523F">
              <w:rPr>
                <w:sz w:val="16"/>
                <w:szCs w:val="16"/>
                <w:lang w:val="es-AR" w:eastAsia="en-US"/>
              </w:rPr>
              <w:t>(</w:t>
            </w:r>
            <w:r w:rsidRPr="0010523F">
              <w:rPr>
                <w:color w:val="000000"/>
                <w:sz w:val="16"/>
                <w:szCs w:val="16"/>
                <w:u w:val="single"/>
                <w:lang w:val="es-AR" w:eastAsia="en-US"/>
              </w:rPr>
              <w:t>1.954</w:t>
            </w:r>
            <w:r w:rsidRPr="0010523F">
              <w:rPr>
                <w:color w:val="000000"/>
                <w:sz w:val="16"/>
                <w:szCs w:val="16"/>
                <w:lang w:val="es-AR" w:eastAsia="en-US"/>
              </w:rPr>
              <w:t>)</w:t>
            </w:r>
          </w:p>
        </w:tc>
        <w:tc>
          <w:tcPr>
            <w:tcW w:w="964" w:type="dxa"/>
            <w:tcBorders>
              <w:top w:val="nil"/>
              <w:left w:val="nil"/>
              <w:bottom w:val="nil"/>
              <w:right w:val="nil"/>
            </w:tcBorders>
            <w:shd w:val="clear" w:color="auto" w:fill="auto"/>
            <w:vAlign w:val="bottom"/>
            <w:hideMark/>
          </w:tcPr>
          <w:p w14:paraId="2CE18378" w14:textId="77777777" w:rsidR="0010523F" w:rsidRPr="0010523F" w:rsidRDefault="0010523F" w:rsidP="0010523F">
            <w:pPr>
              <w:jc w:val="right"/>
              <w:rPr>
                <w:color w:val="000000"/>
                <w:sz w:val="16"/>
                <w:szCs w:val="16"/>
                <w:u w:val="single"/>
                <w:lang w:val="es-AR" w:eastAsia="es-AR"/>
              </w:rPr>
            </w:pPr>
            <w:r w:rsidRPr="0010523F">
              <w:rPr>
                <w:color w:val="000000"/>
                <w:sz w:val="16"/>
                <w:szCs w:val="16"/>
                <w:u w:val="single"/>
                <w:lang w:val="es-AR" w:eastAsia="en-US"/>
              </w:rPr>
              <w:t xml:space="preserve">       -</w:t>
            </w:r>
          </w:p>
        </w:tc>
        <w:tc>
          <w:tcPr>
            <w:tcW w:w="789" w:type="dxa"/>
            <w:tcBorders>
              <w:top w:val="nil"/>
              <w:left w:val="nil"/>
              <w:bottom w:val="nil"/>
              <w:right w:val="nil"/>
            </w:tcBorders>
            <w:shd w:val="clear" w:color="auto" w:fill="auto"/>
            <w:vAlign w:val="bottom"/>
            <w:hideMark/>
          </w:tcPr>
          <w:p w14:paraId="627D6E74"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31</w:t>
            </w:r>
          </w:p>
        </w:tc>
        <w:tc>
          <w:tcPr>
            <w:tcW w:w="737" w:type="dxa"/>
            <w:tcBorders>
              <w:top w:val="nil"/>
              <w:left w:val="nil"/>
              <w:bottom w:val="nil"/>
              <w:right w:val="nil"/>
            </w:tcBorders>
            <w:shd w:val="clear" w:color="auto" w:fill="auto"/>
            <w:vAlign w:val="bottom"/>
            <w:hideMark/>
          </w:tcPr>
          <w:p w14:paraId="01034C82" w14:textId="77777777" w:rsidR="0010523F" w:rsidRPr="0010523F" w:rsidRDefault="0010523F" w:rsidP="0010523F">
            <w:pPr>
              <w:jc w:val="right"/>
              <w:rPr>
                <w:color w:val="000000"/>
                <w:sz w:val="16"/>
                <w:szCs w:val="16"/>
                <w:u w:val="single"/>
                <w:lang w:val="es-AR" w:eastAsia="es-AR"/>
              </w:rPr>
            </w:pPr>
            <w:r w:rsidRPr="0010523F">
              <w:rPr>
                <w:sz w:val="16"/>
                <w:szCs w:val="16"/>
                <w:lang w:val="es-AR" w:eastAsia="en-US"/>
              </w:rPr>
              <w:t>(</w:t>
            </w:r>
            <w:r w:rsidRPr="0010523F">
              <w:rPr>
                <w:color w:val="000000"/>
                <w:sz w:val="16"/>
                <w:szCs w:val="16"/>
                <w:u w:val="single"/>
                <w:lang w:val="es-AR" w:eastAsia="en-US"/>
              </w:rPr>
              <w:t>422</w:t>
            </w:r>
            <w:r w:rsidRPr="0010523F">
              <w:rPr>
                <w:color w:val="000000"/>
                <w:sz w:val="16"/>
                <w:szCs w:val="16"/>
                <w:lang w:val="es-AR" w:eastAsia="en-US"/>
              </w:rPr>
              <w:t>)</w:t>
            </w:r>
          </w:p>
        </w:tc>
        <w:tc>
          <w:tcPr>
            <w:tcW w:w="850" w:type="dxa"/>
            <w:tcBorders>
              <w:top w:val="nil"/>
              <w:left w:val="nil"/>
              <w:bottom w:val="nil"/>
              <w:right w:val="nil"/>
            </w:tcBorders>
            <w:shd w:val="clear" w:color="auto" w:fill="auto"/>
            <w:vAlign w:val="bottom"/>
            <w:hideMark/>
          </w:tcPr>
          <w:p w14:paraId="769ACE12" w14:textId="77777777" w:rsidR="0010523F" w:rsidRPr="0010523F" w:rsidRDefault="0010523F" w:rsidP="0010523F">
            <w:pPr>
              <w:jc w:val="right"/>
              <w:rPr>
                <w:color w:val="000000"/>
                <w:sz w:val="16"/>
                <w:szCs w:val="16"/>
                <w:u w:val="single"/>
                <w:lang w:val="es-AR" w:eastAsia="es-AR"/>
              </w:rPr>
            </w:pPr>
            <w:r w:rsidRPr="0010523F">
              <w:rPr>
                <w:sz w:val="16"/>
                <w:szCs w:val="16"/>
                <w:lang w:val="es-AR" w:eastAsia="en-US"/>
              </w:rPr>
              <w:t>(</w:t>
            </w:r>
            <w:r w:rsidRPr="0010523F">
              <w:rPr>
                <w:color w:val="000000"/>
                <w:sz w:val="16"/>
                <w:szCs w:val="16"/>
                <w:u w:val="single"/>
                <w:lang w:val="es-AR" w:eastAsia="en-US"/>
              </w:rPr>
              <w:t>1.117</w:t>
            </w:r>
            <w:r w:rsidRPr="0010523F">
              <w:rPr>
                <w:color w:val="000000"/>
                <w:sz w:val="16"/>
                <w:szCs w:val="16"/>
                <w:lang w:val="es-AR" w:eastAsia="en-US"/>
              </w:rPr>
              <w:t>)</w:t>
            </w:r>
            <w:r w:rsidRPr="0010523F" w:rsidDel="000904AC">
              <w:rPr>
                <w:color w:val="000000"/>
                <w:sz w:val="16"/>
                <w:szCs w:val="16"/>
                <w:u w:val="single"/>
                <w:lang w:val="es-AR" w:eastAsia="es-AR"/>
              </w:rPr>
              <w:t xml:space="preserve"> </w:t>
            </w:r>
          </w:p>
        </w:tc>
        <w:tc>
          <w:tcPr>
            <w:tcW w:w="1054" w:type="dxa"/>
            <w:tcBorders>
              <w:top w:val="nil"/>
              <w:left w:val="nil"/>
              <w:bottom w:val="nil"/>
              <w:right w:val="nil"/>
            </w:tcBorders>
            <w:shd w:val="clear" w:color="auto" w:fill="auto"/>
            <w:vAlign w:val="bottom"/>
            <w:hideMark/>
          </w:tcPr>
          <w:p w14:paraId="2BE0873F" w14:textId="77777777" w:rsidR="0010523F" w:rsidRPr="0010523F" w:rsidRDefault="0010523F" w:rsidP="0010523F">
            <w:pPr>
              <w:jc w:val="right"/>
              <w:rPr>
                <w:color w:val="000000"/>
                <w:sz w:val="16"/>
                <w:szCs w:val="16"/>
                <w:u w:val="single"/>
                <w:lang w:val="es-AR" w:eastAsia="es-AR"/>
              </w:rPr>
            </w:pPr>
            <w:r w:rsidRPr="0010523F">
              <w:rPr>
                <w:sz w:val="16"/>
                <w:szCs w:val="16"/>
                <w:lang w:val="es-AR" w:eastAsia="en-US"/>
              </w:rPr>
              <w:t>(</w:t>
            </w:r>
            <w:r w:rsidRPr="0010523F">
              <w:rPr>
                <w:sz w:val="16"/>
                <w:szCs w:val="16"/>
                <w:u w:val="single"/>
                <w:lang w:val="es-AR" w:eastAsia="en-US"/>
              </w:rPr>
              <w:t>3.462</w:t>
            </w:r>
            <w:r w:rsidRPr="0010523F">
              <w:rPr>
                <w:color w:val="000000"/>
                <w:sz w:val="16"/>
                <w:szCs w:val="16"/>
                <w:lang w:val="es-AR" w:eastAsia="en-US"/>
              </w:rPr>
              <w:t>)</w:t>
            </w:r>
            <w:r w:rsidRPr="0010523F" w:rsidDel="000904AC">
              <w:rPr>
                <w:color w:val="000000"/>
                <w:sz w:val="16"/>
                <w:szCs w:val="16"/>
                <w:u w:val="single"/>
                <w:lang w:val="es-AR" w:eastAsia="es-AR"/>
              </w:rPr>
              <w:t xml:space="preserve"> </w:t>
            </w:r>
          </w:p>
        </w:tc>
        <w:tc>
          <w:tcPr>
            <w:tcW w:w="160" w:type="dxa"/>
            <w:gridSpan w:val="2"/>
            <w:tcBorders>
              <w:top w:val="nil"/>
              <w:left w:val="nil"/>
              <w:bottom w:val="nil"/>
              <w:right w:val="nil"/>
            </w:tcBorders>
            <w:shd w:val="clear" w:color="auto" w:fill="auto"/>
            <w:vAlign w:val="bottom"/>
            <w:hideMark/>
          </w:tcPr>
          <w:p w14:paraId="5FB140E5" w14:textId="77777777" w:rsidR="0010523F" w:rsidRPr="0010523F" w:rsidRDefault="0010523F" w:rsidP="0010523F">
            <w:pPr>
              <w:jc w:val="right"/>
              <w:rPr>
                <w:color w:val="000000"/>
                <w:sz w:val="16"/>
                <w:szCs w:val="16"/>
                <w:u w:val="single"/>
                <w:lang w:val="es-AR" w:eastAsia="es-AR"/>
              </w:rPr>
            </w:pPr>
          </w:p>
        </w:tc>
        <w:tc>
          <w:tcPr>
            <w:tcW w:w="908" w:type="dxa"/>
            <w:gridSpan w:val="2"/>
            <w:tcBorders>
              <w:top w:val="nil"/>
              <w:left w:val="nil"/>
              <w:bottom w:val="nil"/>
              <w:right w:val="nil"/>
            </w:tcBorders>
            <w:shd w:val="clear" w:color="auto" w:fill="auto"/>
            <w:vAlign w:val="bottom"/>
            <w:hideMark/>
          </w:tcPr>
          <w:p w14:paraId="2E137632" w14:textId="77777777" w:rsidR="0010523F" w:rsidRPr="0010523F" w:rsidRDefault="0010523F" w:rsidP="0010523F">
            <w:pPr>
              <w:jc w:val="right"/>
              <w:rPr>
                <w:color w:val="000000"/>
                <w:sz w:val="16"/>
                <w:szCs w:val="16"/>
                <w:u w:val="single"/>
                <w:lang w:val="es-AR" w:eastAsia="es-AR"/>
              </w:rPr>
            </w:pPr>
            <w:r w:rsidRPr="0010523F">
              <w:rPr>
                <w:sz w:val="16"/>
                <w:szCs w:val="16"/>
                <w:u w:val="single"/>
                <w:lang w:val="es-AR" w:eastAsia="en-US"/>
              </w:rPr>
              <w:t>1.928</w:t>
            </w:r>
          </w:p>
        </w:tc>
        <w:tc>
          <w:tcPr>
            <w:tcW w:w="907" w:type="dxa"/>
            <w:tcBorders>
              <w:top w:val="nil"/>
              <w:left w:val="nil"/>
              <w:bottom w:val="nil"/>
              <w:right w:val="nil"/>
            </w:tcBorders>
            <w:shd w:val="clear" w:color="auto" w:fill="auto"/>
            <w:vAlign w:val="bottom"/>
            <w:hideMark/>
          </w:tcPr>
          <w:p w14:paraId="3BAA304F" w14:textId="77777777" w:rsidR="0010523F" w:rsidRPr="0010523F" w:rsidRDefault="0010523F" w:rsidP="0010523F">
            <w:pPr>
              <w:jc w:val="right"/>
              <w:rPr>
                <w:color w:val="000000"/>
                <w:sz w:val="16"/>
                <w:szCs w:val="16"/>
                <w:u w:val="single"/>
                <w:lang w:val="es-AR" w:eastAsia="es-AR"/>
              </w:rPr>
            </w:pPr>
            <w:r w:rsidRPr="0010523F">
              <w:rPr>
                <w:bCs/>
                <w:color w:val="000000"/>
                <w:sz w:val="16"/>
                <w:szCs w:val="16"/>
                <w:u w:val="single"/>
                <w:lang w:val="es-AR" w:eastAsia="es-AR"/>
              </w:rPr>
              <w:t>1.554</w:t>
            </w:r>
          </w:p>
        </w:tc>
        <w:tc>
          <w:tcPr>
            <w:tcW w:w="907" w:type="dxa"/>
            <w:gridSpan w:val="2"/>
            <w:tcBorders>
              <w:top w:val="nil"/>
              <w:left w:val="nil"/>
              <w:bottom w:val="nil"/>
              <w:right w:val="nil"/>
            </w:tcBorders>
            <w:vAlign w:val="bottom"/>
          </w:tcPr>
          <w:p w14:paraId="0B0C1FDE" w14:textId="77777777" w:rsidR="0010523F" w:rsidRPr="0010523F" w:rsidRDefault="0010523F" w:rsidP="0010523F">
            <w:pPr>
              <w:jc w:val="right"/>
              <w:rPr>
                <w:color w:val="000000"/>
                <w:sz w:val="16"/>
                <w:szCs w:val="16"/>
                <w:u w:val="single"/>
                <w:lang w:val="es-AR" w:eastAsia="es-AR"/>
              </w:rPr>
            </w:pPr>
            <w:r w:rsidRPr="0010523F">
              <w:rPr>
                <w:bCs/>
                <w:color w:val="000000"/>
                <w:sz w:val="16"/>
                <w:szCs w:val="16"/>
                <w:u w:val="single"/>
                <w:lang w:val="es-AR" w:eastAsia="es-AR"/>
              </w:rPr>
              <w:t>1.890</w:t>
            </w:r>
          </w:p>
        </w:tc>
      </w:tr>
      <w:tr w:rsidR="0010523F" w:rsidRPr="0010523F" w14:paraId="3EE0EEA6" w14:textId="77777777" w:rsidTr="00774E7E">
        <w:trPr>
          <w:trHeight w:val="337"/>
        </w:trPr>
        <w:tc>
          <w:tcPr>
            <w:tcW w:w="1984" w:type="dxa"/>
            <w:tcBorders>
              <w:top w:val="nil"/>
              <w:left w:val="nil"/>
              <w:bottom w:val="nil"/>
              <w:right w:val="nil"/>
            </w:tcBorders>
            <w:shd w:val="clear" w:color="auto" w:fill="auto"/>
            <w:vAlign w:val="bottom"/>
            <w:hideMark/>
          </w:tcPr>
          <w:p w14:paraId="0EDC4236" w14:textId="77777777" w:rsidR="0010523F" w:rsidRPr="0010523F" w:rsidRDefault="0010523F" w:rsidP="0010523F">
            <w:pPr>
              <w:rPr>
                <w:color w:val="000000"/>
                <w:sz w:val="16"/>
                <w:szCs w:val="16"/>
                <w:lang w:val="es-AR" w:eastAsia="es-AR"/>
              </w:rPr>
            </w:pPr>
            <w:r w:rsidRPr="0010523F">
              <w:rPr>
                <w:bCs/>
                <w:color w:val="000000"/>
                <w:sz w:val="16"/>
                <w:szCs w:val="16"/>
                <w:lang w:val="es-AR" w:eastAsia="es-AR"/>
              </w:rPr>
              <w:t>Total al 30/09/2019</w:t>
            </w:r>
          </w:p>
        </w:tc>
        <w:tc>
          <w:tcPr>
            <w:tcW w:w="850" w:type="dxa"/>
            <w:tcBorders>
              <w:top w:val="nil"/>
              <w:left w:val="nil"/>
              <w:bottom w:val="nil"/>
              <w:right w:val="nil"/>
            </w:tcBorders>
            <w:shd w:val="clear" w:color="auto" w:fill="auto"/>
            <w:noWrap/>
            <w:vAlign w:val="bottom"/>
            <w:hideMark/>
          </w:tcPr>
          <w:p w14:paraId="32E4DC79"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3.596</w:t>
            </w:r>
          </w:p>
        </w:tc>
        <w:tc>
          <w:tcPr>
            <w:tcW w:w="1020" w:type="dxa"/>
            <w:tcBorders>
              <w:top w:val="nil"/>
              <w:left w:val="nil"/>
              <w:bottom w:val="nil"/>
              <w:right w:val="nil"/>
            </w:tcBorders>
            <w:shd w:val="clear" w:color="auto" w:fill="auto"/>
            <w:vAlign w:val="bottom"/>
            <w:hideMark/>
          </w:tcPr>
          <w:p w14:paraId="10EAD30B"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 xml:space="preserve">     -</w:t>
            </w:r>
          </w:p>
        </w:tc>
        <w:tc>
          <w:tcPr>
            <w:tcW w:w="851" w:type="dxa"/>
            <w:tcBorders>
              <w:top w:val="nil"/>
              <w:left w:val="nil"/>
              <w:bottom w:val="nil"/>
              <w:right w:val="nil"/>
            </w:tcBorders>
            <w:shd w:val="clear" w:color="auto" w:fill="auto"/>
            <w:noWrap/>
            <w:vAlign w:val="bottom"/>
            <w:hideMark/>
          </w:tcPr>
          <w:p w14:paraId="1BAF129B" w14:textId="77777777" w:rsidR="0010523F" w:rsidRPr="0010523F" w:rsidRDefault="0010523F" w:rsidP="0010523F">
            <w:pPr>
              <w:jc w:val="right"/>
              <w:rPr>
                <w:color w:val="000000"/>
                <w:sz w:val="16"/>
                <w:szCs w:val="16"/>
                <w:lang w:val="es-AR" w:eastAsia="es-AR"/>
              </w:rPr>
            </w:pPr>
            <w:r w:rsidRPr="0010523F">
              <w:rPr>
                <w:color w:val="000000"/>
                <w:sz w:val="16"/>
                <w:szCs w:val="16"/>
                <w:u w:val="double"/>
                <w:lang w:val="es-AR" w:eastAsia="en-US"/>
              </w:rPr>
              <w:t xml:space="preserve">   17</w:t>
            </w:r>
          </w:p>
        </w:tc>
        <w:tc>
          <w:tcPr>
            <w:tcW w:w="794" w:type="dxa"/>
            <w:tcBorders>
              <w:top w:val="nil"/>
              <w:left w:val="nil"/>
              <w:bottom w:val="nil"/>
              <w:right w:val="nil"/>
            </w:tcBorders>
            <w:shd w:val="clear" w:color="auto" w:fill="auto"/>
            <w:noWrap/>
            <w:vAlign w:val="bottom"/>
            <w:hideMark/>
          </w:tcPr>
          <w:p w14:paraId="26699455" w14:textId="77777777" w:rsidR="0010523F" w:rsidRPr="0010523F" w:rsidRDefault="0010523F" w:rsidP="0010523F">
            <w:pPr>
              <w:jc w:val="right"/>
              <w:rPr>
                <w:color w:val="000000"/>
                <w:sz w:val="16"/>
                <w:szCs w:val="16"/>
                <w:u w:val="double"/>
                <w:lang w:val="es-AR" w:eastAsia="es-AR"/>
              </w:rPr>
            </w:pPr>
            <w:r w:rsidRPr="0010523F">
              <w:rPr>
                <w:color w:val="000000"/>
                <w:sz w:val="16"/>
                <w:szCs w:val="16"/>
                <w:lang w:val="es-AR" w:eastAsia="en-US"/>
              </w:rPr>
              <w:t>(</w:t>
            </w:r>
            <w:r w:rsidRPr="0010523F">
              <w:rPr>
                <w:color w:val="000000"/>
                <w:sz w:val="16"/>
                <w:szCs w:val="16"/>
                <w:u w:val="double"/>
                <w:lang w:val="es-AR" w:eastAsia="en-US"/>
              </w:rPr>
              <w:t xml:space="preserve">  31</w:t>
            </w:r>
            <w:r w:rsidRPr="0010523F">
              <w:rPr>
                <w:color w:val="000000"/>
                <w:sz w:val="16"/>
                <w:szCs w:val="16"/>
                <w:lang w:val="es-AR" w:eastAsia="en-US"/>
              </w:rPr>
              <w:t>)</w:t>
            </w:r>
          </w:p>
        </w:tc>
        <w:tc>
          <w:tcPr>
            <w:tcW w:w="850" w:type="dxa"/>
            <w:tcBorders>
              <w:top w:val="nil"/>
              <w:left w:val="nil"/>
              <w:bottom w:val="nil"/>
              <w:right w:val="nil"/>
            </w:tcBorders>
            <w:shd w:val="clear" w:color="auto" w:fill="auto"/>
            <w:noWrap/>
            <w:vAlign w:val="bottom"/>
            <w:hideMark/>
          </w:tcPr>
          <w:p w14:paraId="3B6C5A6B"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1.942</w:t>
            </w:r>
          </w:p>
        </w:tc>
        <w:tc>
          <w:tcPr>
            <w:tcW w:w="851" w:type="dxa"/>
            <w:tcBorders>
              <w:top w:val="nil"/>
              <w:left w:val="nil"/>
              <w:bottom w:val="nil"/>
              <w:right w:val="nil"/>
            </w:tcBorders>
            <w:shd w:val="clear" w:color="auto" w:fill="auto"/>
            <w:noWrap/>
            <w:vAlign w:val="bottom"/>
            <w:hideMark/>
          </w:tcPr>
          <w:p w14:paraId="46D59708"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5.524</w:t>
            </w:r>
          </w:p>
        </w:tc>
        <w:tc>
          <w:tcPr>
            <w:tcW w:w="160" w:type="dxa"/>
            <w:gridSpan w:val="2"/>
            <w:tcBorders>
              <w:top w:val="nil"/>
              <w:left w:val="nil"/>
              <w:bottom w:val="nil"/>
              <w:right w:val="nil"/>
            </w:tcBorders>
            <w:shd w:val="clear" w:color="auto" w:fill="auto"/>
            <w:noWrap/>
            <w:vAlign w:val="bottom"/>
            <w:hideMark/>
          </w:tcPr>
          <w:p w14:paraId="0B0FF7C9" w14:textId="77777777" w:rsidR="0010523F" w:rsidRPr="0010523F" w:rsidRDefault="0010523F" w:rsidP="0010523F">
            <w:pPr>
              <w:jc w:val="right"/>
              <w:rPr>
                <w:color w:val="000000"/>
                <w:sz w:val="16"/>
                <w:szCs w:val="16"/>
                <w:lang w:val="es-AR" w:eastAsia="es-AR"/>
              </w:rPr>
            </w:pPr>
          </w:p>
        </w:tc>
        <w:tc>
          <w:tcPr>
            <w:tcW w:w="975" w:type="dxa"/>
            <w:gridSpan w:val="2"/>
            <w:tcBorders>
              <w:top w:val="nil"/>
              <w:left w:val="nil"/>
              <w:bottom w:val="nil"/>
              <w:right w:val="nil"/>
            </w:tcBorders>
            <w:shd w:val="clear" w:color="auto" w:fill="auto"/>
            <w:noWrap/>
            <w:vAlign w:val="bottom"/>
            <w:hideMark/>
          </w:tcPr>
          <w:p w14:paraId="7EA18061"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r w:rsidRPr="0010523F">
              <w:rPr>
                <w:color w:val="000000"/>
                <w:sz w:val="16"/>
                <w:szCs w:val="16"/>
                <w:u w:val="double"/>
                <w:lang w:val="es-AR" w:eastAsia="en-US"/>
              </w:rPr>
              <w:t>1.954</w:t>
            </w:r>
            <w:r w:rsidRPr="0010523F">
              <w:rPr>
                <w:color w:val="000000"/>
                <w:sz w:val="16"/>
                <w:szCs w:val="16"/>
                <w:lang w:val="es-AR" w:eastAsia="en-US"/>
              </w:rPr>
              <w:t>)</w:t>
            </w:r>
            <w:r w:rsidRPr="0010523F" w:rsidDel="000904AC">
              <w:rPr>
                <w:bCs/>
                <w:color w:val="000000"/>
                <w:sz w:val="16"/>
                <w:szCs w:val="16"/>
                <w:lang w:val="es-AR" w:eastAsia="es-AR"/>
              </w:rPr>
              <w:t xml:space="preserve"> </w:t>
            </w:r>
          </w:p>
        </w:tc>
        <w:tc>
          <w:tcPr>
            <w:tcW w:w="964" w:type="dxa"/>
            <w:tcBorders>
              <w:top w:val="nil"/>
              <w:left w:val="nil"/>
              <w:bottom w:val="nil"/>
              <w:right w:val="nil"/>
            </w:tcBorders>
            <w:shd w:val="clear" w:color="auto" w:fill="auto"/>
            <w:vAlign w:val="bottom"/>
            <w:hideMark/>
          </w:tcPr>
          <w:p w14:paraId="14C70972"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n-US"/>
              </w:rPr>
              <w:t xml:space="preserve">       -</w:t>
            </w:r>
          </w:p>
        </w:tc>
        <w:tc>
          <w:tcPr>
            <w:tcW w:w="789" w:type="dxa"/>
            <w:tcBorders>
              <w:top w:val="nil"/>
              <w:left w:val="nil"/>
              <w:bottom w:val="nil"/>
              <w:right w:val="nil"/>
            </w:tcBorders>
            <w:shd w:val="clear" w:color="auto" w:fill="auto"/>
            <w:noWrap/>
            <w:vAlign w:val="bottom"/>
            <w:hideMark/>
          </w:tcPr>
          <w:p w14:paraId="32C205CC" w14:textId="77777777" w:rsidR="0010523F" w:rsidRPr="0010523F" w:rsidRDefault="0010523F" w:rsidP="0010523F">
            <w:pPr>
              <w:jc w:val="right"/>
              <w:rPr>
                <w:color w:val="000000"/>
                <w:sz w:val="16"/>
                <w:szCs w:val="16"/>
                <w:u w:val="double"/>
                <w:lang w:val="es-AR" w:eastAsia="es-AR"/>
              </w:rPr>
            </w:pPr>
            <w:r w:rsidRPr="0010523F">
              <w:rPr>
                <w:sz w:val="16"/>
                <w:szCs w:val="16"/>
                <w:u w:val="double"/>
                <w:lang w:val="es-AR" w:eastAsia="en-US"/>
              </w:rPr>
              <w:t>31</w:t>
            </w:r>
          </w:p>
        </w:tc>
        <w:tc>
          <w:tcPr>
            <w:tcW w:w="737" w:type="dxa"/>
            <w:tcBorders>
              <w:top w:val="nil"/>
              <w:left w:val="nil"/>
              <w:bottom w:val="nil"/>
              <w:right w:val="nil"/>
            </w:tcBorders>
            <w:shd w:val="clear" w:color="auto" w:fill="auto"/>
            <w:noWrap/>
            <w:vAlign w:val="bottom"/>
            <w:hideMark/>
          </w:tcPr>
          <w:p w14:paraId="58654377"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r w:rsidRPr="0010523F">
              <w:rPr>
                <w:color w:val="000000"/>
                <w:sz w:val="16"/>
                <w:szCs w:val="16"/>
                <w:u w:val="double"/>
                <w:lang w:val="es-AR" w:eastAsia="en-US"/>
              </w:rPr>
              <w:t>422</w:t>
            </w:r>
            <w:r w:rsidRPr="0010523F">
              <w:rPr>
                <w:color w:val="000000"/>
                <w:sz w:val="16"/>
                <w:szCs w:val="16"/>
                <w:lang w:val="es-AR" w:eastAsia="en-US"/>
              </w:rPr>
              <w:t>)</w:t>
            </w:r>
          </w:p>
        </w:tc>
        <w:tc>
          <w:tcPr>
            <w:tcW w:w="850" w:type="dxa"/>
            <w:tcBorders>
              <w:top w:val="nil"/>
              <w:left w:val="nil"/>
              <w:bottom w:val="nil"/>
              <w:right w:val="nil"/>
            </w:tcBorders>
            <w:shd w:val="clear" w:color="auto" w:fill="auto"/>
            <w:noWrap/>
            <w:vAlign w:val="bottom"/>
            <w:hideMark/>
          </w:tcPr>
          <w:p w14:paraId="3FDA1CB3"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r w:rsidRPr="0010523F">
              <w:rPr>
                <w:color w:val="000000"/>
                <w:sz w:val="16"/>
                <w:szCs w:val="16"/>
                <w:u w:val="double"/>
                <w:lang w:val="es-AR" w:eastAsia="en-US"/>
              </w:rPr>
              <w:t>1.117</w:t>
            </w:r>
            <w:r w:rsidRPr="0010523F">
              <w:rPr>
                <w:color w:val="000000"/>
                <w:sz w:val="16"/>
                <w:szCs w:val="16"/>
                <w:lang w:val="es-AR" w:eastAsia="en-US"/>
              </w:rPr>
              <w:t>)</w:t>
            </w:r>
            <w:r w:rsidRPr="0010523F" w:rsidDel="000904AC">
              <w:rPr>
                <w:color w:val="000000"/>
                <w:sz w:val="16"/>
                <w:szCs w:val="16"/>
                <w:lang w:val="es-AR" w:eastAsia="es-AR"/>
              </w:rPr>
              <w:t xml:space="preserve"> </w:t>
            </w:r>
          </w:p>
        </w:tc>
        <w:tc>
          <w:tcPr>
            <w:tcW w:w="1054" w:type="dxa"/>
            <w:tcBorders>
              <w:top w:val="nil"/>
              <w:left w:val="nil"/>
              <w:bottom w:val="nil"/>
              <w:right w:val="nil"/>
            </w:tcBorders>
            <w:shd w:val="clear" w:color="auto" w:fill="auto"/>
            <w:vAlign w:val="bottom"/>
            <w:hideMark/>
          </w:tcPr>
          <w:p w14:paraId="2D8BCB28" w14:textId="77777777" w:rsidR="0010523F" w:rsidRPr="0010523F" w:rsidRDefault="0010523F" w:rsidP="0010523F">
            <w:pPr>
              <w:jc w:val="right"/>
              <w:rPr>
                <w:color w:val="000000"/>
                <w:sz w:val="16"/>
                <w:szCs w:val="16"/>
                <w:lang w:val="es-AR" w:eastAsia="es-AR"/>
              </w:rPr>
            </w:pPr>
            <w:r w:rsidRPr="0010523F">
              <w:rPr>
                <w:sz w:val="16"/>
                <w:szCs w:val="16"/>
                <w:lang w:val="es-AR" w:eastAsia="en-US"/>
              </w:rPr>
              <w:t>(</w:t>
            </w:r>
            <w:r w:rsidRPr="0010523F">
              <w:rPr>
                <w:color w:val="000000"/>
                <w:sz w:val="16"/>
                <w:szCs w:val="16"/>
                <w:u w:val="double"/>
                <w:lang w:val="es-AR" w:eastAsia="en-US"/>
              </w:rPr>
              <w:t>3.462</w:t>
            </w:r>
            <w:r w:rsidRPr="0010523F">
              <w:rPr>
                <w:color w:val="000000"/>
                <w:sz w:val="16"/>
                <w:szCs w:val="16"/>
                <w:lang w:val="es-AR" w:eastAsia="en-US"/>
              </w:rPr>
              <w:t>)</w:t>
            </w:r>
            <w:r w:rsidRPr="0010523F" w:rsidDel="000904AC">
              <w:rPr>
                <w:bCs/>
                <w:color w:val="000000"/>
                <w:sz w:val="16"/>
                <w:szCs w:val="16"/>
                <w:lang w:val="es-AR" w:eastAsia="es-AR"/>
              </w:rPr>
              <w:t xml:space="preserve"> </w:t>
            </w:r>
          </w:p>
        </w:tc>
        <w:tc>
          <w:tcPr>
            <w:tcW w:w="160" w:type="dxa"/>
            <w:gridSpan w:val="2"/>
            <w:tcBorders>
              <w:top w:val="nil"/>
              <w:left w:val="nil"/>
              <w:bottom w:val="nil"/>
              <w:right w:val="nil"/>
            </w:tcBorders>
            <w:shd w:val="clear" w:color="auto" w:fill="auto"/>
            <w:vAlign w:val="bottom"/>
            <w:hideMark/>
          </w:tcPr>
          <w:p w14:paraId="66FD85FC" w14:textId="77777777" w:rsidR="0010523F" w:rsidRPr="0010523F" w:rsidRDefault="0010523F" w:rsidP="0010523F">
            <w:pPr>
              <w:jc w:val="right"/>
              <w:rPr>
                <w:color w:val="000000"/>
                <w:sz w:val="16"/>
                <w:szCs w:val="16"/>
                <w:lang w:val="es-AR" w:eastAsia="es-AR"/>
              </w:rPr>
            </w:pPr>
          </w:p>
        </w:tc>
        <w:tc>
          <w:tcPr>
            <w:tcW w:w="908" w:type="dxa"/>
            <w:gridSpan w:val="2"/>
            <w:tcBorders>
              <w:top w:val="nil"/>
              <w:left w:val="nil"/>
              <w:bottom w:val="nil"/>
              <w:right w:val="nil"/>
            </w:tcBorders>
            <w:shd w:val="clear" w:color="auto" w:fill="auto"/>
            <w:vAlign w:val="bottom"/>
            <w:hideMark/>
          </w:tcPr>
          <w:p w14:paraId="270A0730"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n-US"/>
              </w:rPr>
              <w:t>2.062</w:t>
            </w:r>
          </w:p>
        </w:tc>
        <w:tc>
          <w:tcPr>
            <w:tcW w:w="907" w:type="dxa"/>
            <w:tcBorders>
              <w:top w:val="nil"/>
              <w:left w:val="nil"/>
              <w:bottom w:val="nil"/>
              <w:right w:val="nil"/>
            </w:tcBorders>
            <w:shd w:val="clear" w:color="auto" w:fill="auto"/>
            <w:vAlign w:val="bottom"/>
            <w:hideMark/>
          </w:tcPr>
          <w:p w14:paraId="46C292D4"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vAlign w:val="bottom"/>
          </w:tcPr>
          <w:p w14:paraId="3187B96A" w14:textId="77777777" w:rsidR="0010523F" w:rsidRPr="0010523F" w:rsidRDefault="0010523F" w:rsidP="0010523F">
            <w:pPr>
              <w:jc w:val="right"/>
              <w:rPr>
                <w:color w:val="000000"/>
                <w:sz w:val="16"/>
                <w:szCs w:val="16"/>
                <w:lang w:val="es-AR" w:eastAsia="es-AR"/>
              </w:rPr>
            </w:pPr>
          </w:p>
        </w:tc>
      </w:tr>
      <w:tr w:rsidR="0010523F" w:rsidRPr="0010523F" w14:paraId="1D62E7B5" w14:textId="77777777" w:rsidTr="00774E7E">
        <w:trPr>
          <w:trHeight w:val="285"/>
        </w:trPr>
        <w:tc>
          <w:tcPr>
            <w:tcW w:w="1984" w:type="dxa"/>
            <w:tcBorders>
              <w:top w:val="nil"/>
              <w:left w:val="nil"/>
              <w:bottom w:val="nil"/>
              <w:right w:val="nil"/>
            </w:tcBorders>
            <w:shd w:val="clear" w:color="auto" w:fill="auto"/>
            <w:vAlign w:val="bottom"/>
            <w:hideMark/>
          </w:tcPr>
          <w:p w14:paraId="563039A9" w14:textId="77777777" w:rsidR="0010523F" w:rsidRPr="0010523F" w:rsidRDefault="0010523F" w:rsidP="0010523F">
            <w:pPr>
              <w:rPr>
                <w:color w:val="000000"/>
                <w:sz w:val="16"/>
                <w:szCs w:val="16"/>
                <w:lang w:val="es-AR" w:eastAsia="es-AR"/>
              </w:rPr>
            </w:pPr>
            <w:r w:rsidRPr="0010523F">
              <w:rPr>
                <w:bCs/>
                <w:color w:val="000000"/>
                <w:sz w:val="16"/>
                <w:szCs w:val="16"/>
                <w:lang w:val="es-AR" w:eastAsia="es-AR"/>
              </w:rPr>
              <w:t>Total al 31/12/2018</w:t>
            </w:r>
          </w:p>
        </w:tc>
        <w:tc>
          <w:tcPr>
            <w:tcW w:w="850" w:type="dxa"/>
            <w:tcBorders>
              <w:top w:val="nil"/>
              <w:left w:val="nil"/>
              <w:bottom w:val="nil"/>
              <w:right w:val="nil"/>
            </w:tcBorders>
            <w:shd w:val="clear" w:color="auto" w:fill="auto"/>
            <w:noWrap/>
            <w:vAlign w:val="bottom"/>
            <w:hideMark/>
          </w:tcPr>
          <w:p w14:paraId="1320DCB1"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u w:val="double"/>
                <w:lang w:val="es-AR" w:eastAsia="es-AR"/>
              </w:rPr>
              <w:t xml:space="preserve">    898</w:t>
            </w:r>
          </w:p>
        </w:tc>
        <w:tc>
          <w:tcPr>
            <w:tcW w:w="1020" w:type="dxa"/>
            <w:tcBorders>
              <w:top w:val="nil"/>
              <w:left w:val="nil"/>
              <w:bottom w:val="nil"/>
              <w:right w:val="nil"/>
            </w:tcBorders>
            <w:shd w:val="clear" w:color="auto" w:fill="auto"/>
            <w:vAlign w:val="bottom"/>
            <w:hideMark/>
          </w:tcPr>
          <w:p w14:paraId="6EBF3309" w14:textId="77777777" w:rsidR="0010523F" w:rsidRPr="0010523F" w:rsidRDefault="0010523F" w:rsidP="0010523F">
            <w:pPr>
              <w:jc w:val="right"/>
              <w:rPr>
                <w:color w:val="000000"/>
                <w:sz w:val="16"/>
                <w:szCs w:val="16"/>
                <w:lang w:val="es-AR" w:eastAsia="es-AR"/>
              </w:rPr>
            </w:pPr>
            <w:r w:rsidRPr="0010523F">
              <w:rPr>
                <w:bCs/>
                <w:color w:val="000000"/>
                <w:sz w:val="16"/>
                <w:szCs w:val="16"/>
                <w:u w:val="double"/>
                <w:lang w:val="es-AR" w:eastAsia="es-AR"/>
              </w:rPr>
              <w:t>982</w:t>
            </w:r>
          </w:p>
        </w:tc>
        <w:tc>
          <w:tcPr>
            <w:tcW w:w="851" w:type="dxa"/>
            <w:tcBorders>
              <w:top w:val="nil"/>
              <w:left w:val="nil"/>
              <w:bottom w:val="nil"/>
              <w:right w:val="nil"/>
            </w:tcBorders>
            <w:shd w:val="clear" w:color="auto" w:fill="auto"/>
            <w:noWrap/>
            <w:vAlign w:val="bottom"/>
            <w:hideMark/>
          </w:tcPr>
          <w:p w14:paraId="3815DE13"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lang w:val="es-AR" w:eastAsia="es-AR"/>
              </w:rPr>
              <w:t xml:space="preserve"> </w:t>
            </w:r>
            <w:r w:rsidRPr="0010523F">
              <w:rPr>
                <w:color w:val="000000"/>
                <w:sz w:val="16"/>
                <w:szCs w:val="16"/>
                <w:u w:val="double"/>
                <w:lang w:val="es-AR" w:eastAsia="es-AR"/>
              </w:rPr>
              <w:t xml:space="preserve">   36</w:t>
            </w:r>
          </w:p>
        </w:tc>
        <w:tc>
          <w:tcPr>
            <w:tcW w:w="794" w:type="dxa"/>
            <w:tcBorders>
              <w:top w:val="nil"/>
              <w:left w:val="nil"/>
              <w:bottom w:val="nil"/>
              <w:right w:val="nil"/>
            </w:tcBorders>
            <w:shd w:val="clear" w:color="auto" w:fill="auto"/>
            <w:noWrap/>
            <w:vAlign w:val="bottom"/>
            <w:hideMark/>
          </w:tcPr>
          <w:p w14:paraId="39F557D8"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lang w:val="es-AR" w:eastAsia="es-AR"/>
              </w:rPr>
              <w:t xml:space="preserve"> (</w:t>
            </w:r>
            <w:r w:rsidRPr="0010523F">
              <w:rPr>
                <w:bCs/>
                <w:color w:val="000000"/>
                <w:sz w:val="16"/>
                <w:szCs w:val="16"/>
                <w:u w:val="double"/>
                <w:lang w:val="es-AR" w:eastAsia="es-AR"/>
              </w:rPr>
              <w:t>101</w:t>
            </w:r>
            <w:r w:rsidRPr="0010523F">
              <w:rPr>
                <w:bCs/>
                <w:color w:val="000000"/>
                <w:sz w:val="16"/>
                <w:szCs w:val="16"/>
                <w:lang w:val="es-AR" w:eastAsia="es-AR"/>
              </w:rPr>
              <w:t>)</w:t>
            </w:r>
          </w:p>
        </w:tc>
        <w:tc>
          <w:tcPr>
            <w:tcW w:w="850" w:type="dxa"/>
            <w:tcBorders>
              <w:top w:val="nil"/>
              <w:left w:val="nil"/>
              <w:bottom w:val="nil"/>
              <w:right w:val="nil"/>
            </w:tcBorders>
            <w:shd w:val="clear" w:color="auto" w:fill="auto"/>
            <w:noWrap/>
            <w:vAlign w:val="bottom"/>
            <w:hideMark/>
          </w:tcPr>
          <w:p w14:paraId="1437C440"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u w:val="double"/>
                <w:lang w:val="es-AR" w:eastAsia="es-AR"/>
              </w:rPr>
              <w:t>1.781</w:t>
            </w:r>
          </w:p>
        </w:tc>
        <w:tc>
          <w:tcPr>
            <w:tcW w:w="851" w:type="dxa"/>
            <w:tcBorders>
              <w:top w:val="nil"/>
              <w:left w:val="nil"/>
              <w:bottom w:val="nil"/>
              <w:right w:val="nil"/>
            </w:tcBorders>
            <w:shd w:val="clear" w:color="auto" w:fill="auto"/>
            <w:noWrap/>
            <w:vAlign w:val="bottom"/>
            <w:hideMark/>
          </w:tcPr>
          <w:p w14:paraId="3A70895E"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u w:val="double"/>
                <w:lang w:val="es-AR" w:eastAsia="es-AR"/>
              </w:rPr>
              <w:t>3.596</w:t>
            </w:r>
          </w:p>
        </w:tc>
        <w:tc>
          <w:tcPr>
            <w:tcW w:w="160" w:type="dxa"/>
            <w:gridSpan w:val="2"/>
            <w:tcBorders>
              <w:top w:val="nil"/>
              <w:left w:val="nil"/>
              <w:bottom w:val="nil"/>
              <w:right w:val="nil"/>
            </w:tcBorders>
            <w:shd w:val="clear" w:color="auto" w:fill="auto"/>
            <w:noWrap/>
            <w:vAlign w:val="bottom"/>
            <w:hideMark/>
          </w:tcPr>
          <w:p w14:paraId="0A52A4E2" w14:textId="77777777" w:rsidR="0010523F" w:rsidRPr="0010523F" w:rsidRDefault="0010523F" w:rsidP="0010523F">
            <w:pPr>
              <w:jc w:val="right"/>
              <w:rPr>
                <w:color w:val="000000"/>
                <w:sz w:val="16"/>
                <w:szCs w:val="16"/>
                <w:lang w:val="es-AR" w:eastAsia="es-AR"/>
              </w:rPr>
            </w:pPr>
          </w:p>
        </w:tc>
        <w:tc>
          <w:tcPr>
            <w:tcW w:w="975" w:type="dxa"/>
            <w:gridSpan w:val="2"/>
            <w:tcBorders>
              <w:top w:val="nil"/>
              <w:left w:val="nil"/>
              <w:bottom w:val="nil"/>
              <w:right w:val="nil"/>
            </w:tcBorders>
            <w:shd w:val="clear" w:color="auto" w:fill="auto"/>
            <w:noWrap/>
            <w:vAlign w:val="bottom"/>
            <w:hideMark/>
          </w:tcPr>
          <w:p w14:paraId="1F8C1B64"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w:t>
            </w:r>
            <w:r w:rsidRPr="0010523F">
              <w:rPr>
                <w:bCs/>
                <w:color w:val="000000"/>
                <w:sz w:val="16"/>
                <w:szCs w:val="16"/>
                <w:u w:val="double"/>
                <w:lang w:val="es-AR" w:eastAsia="es-AR"/>
              </w:rPr>
              <w:t xml:space="preserve">  358</w:t>
            </w:r>
            <w:r w:rsidRPr="0010523F">
              <w:rPr>
                <w:bCs/>
                <w:color w:val="000000"/>
                <w:sz w:val="16"/>
                <w:szCs w:val="16"/>
                <w:lang w:val="es-AR" w:eastAsia="es-AR"/>
              </w:rPr>
              <w:t>)</w:t>
            </w:r>
          </w:p>
        </w:tc>
        <w:tc>
          <w:tcPr>
            <w:tcW w:w="964" w:type="dxa"/>
            <w:tcBorders>
              <w:top w:val="nil"/>
              <w:left w:val="nil"/>
              <w:bottom w:val="nil"/>
              <w:right w:val="nil"/>
            </w:tcBorders>
            <w:shd w:val="clear" w:color="auto" w:fill="auto"/>
            <w:vAlign w:val="bottom"/>
            <w:hideMark/>
          </w:tcPr>
          <w:p w14:paraId="5D038206"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w:t>
            </w:r>
            <w:r w:rsidRPr="0010523F">
              <w:rPr>
                <w:bCs/>
                <w:color w:val="000000"/>
                <w:sz w:val="16"/>
                <w:szCs w:val="16"/>
                <w:u w:val="double"/>
                <w:lang w:val="es-AR" w:eastAsia="es-AR"/>
              </w:rPr>
              <w:t>434</w:t>
            </w:r>
            <w:r w:rsidRPr="0010523F">
              <w:rPr>
                <w:bCs/>
                <w:color w:val="000000"/>
                <w:sz w:val="16"/>
                <w:szCs w:val="16"/>
                <w:lang w:val="es-AR" w:eastAsia="es-AR"/>
              </w:rPr>
              <w:t>)</w:t>
            </w:r>
          </w:p>
        </w:tc>
        <w:tc>
          <w:tcPr>
            <w:tcW w:w="789" w:type="dxa"/>
            <w:tcBorders>
              <w:top w:val="nil"/>
              <w:left w:val="nil"/>
              <w:bottom w:val="nil"/>
              <w:right w:val="nil"/>
            </w:tcBorders>
            <w:shd w:val="clear" w:color="auto" w:fill="auto"/>
            <w:noWrap/>
            <w:vAlign w:val="bottom"/>
            <w:hideMark/>
          </w:tcPr>
          <w:p w14:paraId="6AA010F2"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u w:val="double"/>
                <w:lang w:val="es-AR" w:eastAsia="es-AR"/>
              </w:rPr>
              <w:t xml:space="preserve">  6</w:t>
            </w:r>
          </w:p>
        </w:tc>
        <w:tc>
          <w:tcPr>
            <w:tcW w:w="737" w:type="dxa"/>
            <w:tcBorders>
              <w:top w:val="nil"/>
              <w:left w:val="nil"/>
              <w:bottom w:val="nil"/>
              <w:right w:val="nil"/>
            </w:tcBorders>
            <w:shd w:val="clear" w:color="auto" w:fill="auto"/>
            <w:noWrap/>
            <w:vAlign w:val="bottom"/>
            <w:hideMark/>
          </w:tcPr>
          <w:p w14:paraId="19B6FBEB"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w:t>
            </w:r>
            <w:r w:rsidRPr="0010523F">
              <w:rPr>
                <w:bCs/>
                <w:color w:val="000000"/>
                <w:sz w:val="16"/>
                <w:szCs w:val="16"/>
                <w:u w:val="double"/>
                <w:lang w:val="es-AR" w:eastAsia="es-AR"/>
              </w:rPr>
              <w:t>344</w:t>
            </w:r>
            <w:r w:rsidRPr="0010523F">
              <w:rPr>
                <w:bCs/>
                <w:color w:val="000000"/>
                <w:sz w:val="16"/>
                <w:szCs w:val="16"/>
                <w:lang w:val="es-AR" w:eastAsia="es-AR"/>
              </w:rPr>
              <w:t>)</w:t>
            </w:r>
          </w:p>
        </w:tc>
        <w:tc>
          <w:tcPr>
            <w:tcW w:w="850" w:type="dxa"/>
            <w:tcBorders>
              <w:top w:val="nil"/>
              <w:left w:val="nil"/>
              <w:bottom w:val="nil"/>
              <w:right w:val="nil"/>
            </w:tcBorders>
            <w:shd w:val="clear" w:color="auto" w:fill="auto"/>
            <w:noWrap/>
            <w:vAlign w:val="bottom"/>
            <w:hideMark/>
          </w:tcPr>
          <w:p w14:paraId="1BEB1E58"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double"/>
                <w:lang w:val="es-AR" w:eastAsia="es-AR"/>
              </w:rPr>
              <w:t xml:space="preserve">  824</w:t>
            </w:r>
            <w:r w:rsidRPr="0010523F">
              <w:rPr>
                <w:color w:val="000000"/>
                <w:sz w:val="16"/>
                <w:szCs w:val="16"/>
                <w:lang w:val="es-AR" w:eastAsia="es-AR"/>
              </w:rPr>
              <w:t>)</w:t>
            </w:r>
          </w:p>
        </w:tc>
        <w:tc>
          <w:tcPr>
            <w:tcW w:w="1054" w:type="dxa"/>
            <w:tcBorders>
              <w:top w:val="nil"/>
              <w:left w:val="nil"/>
              <w:bottom w:val="nil"/>
              <w:right w:val="nil"/>
            </w:tcBorders>
            <w:shd w:val="clear" w:color="auto" w:fill="auto"/>
            <w:vAlign w:val="bottom"/>
            <w:hideMark/>
          </w:tcPr>
          <w:p w14:paraId="25F7E3BF"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w:t>
            </w:r>
            <w:r w:rsidRPr="0010523F">
              <w:rPr>
                <w:bCs/>
                <w:color w:val="000000"/>
                <w:sz w:val="16"/>
                <w:szCs w:val="16"/>
                <w:u w:val="double"/>
                <w:lang w:val="es-AR" w:eastAsia="es-AR"/>
              </w:rPr>
              <w:t>1.954</w:t>
            </w:r>
            <w:r w:rsidRPr="0010523F">
              <w:rPr>
                <w:bCs/>
                <w:color w:val="000000"/>
                <w:sz w:val="16"/>
                <w:szCs w:val="16"/>
                <w:lang w:val="es-AR" w:eastAsia="es-AR"/>
              </w:rPr>
              <w:t>)</w:t>
            </w:r>
          </w:p>
        </w:tc>
        <w:tc>
          <w:tcPr>
            <w:tcW w:w="160" w:type="dxa"/>
            <w:gridSpan w:val="2"/>
            <w:tcBorders>
              <w:top w:val="nil"/>
              <w:left w:val="nil"/>
              <w:bottom w:val="nil"/>
              <w:right w:val="nil"/>
            </w:tcBorders>
            <w:shd w:val="clear" w:color="auto" w:fill="auto"/>
            <w:vAlign w:val="bottom"/>
            <w:hideMark/>
          </w:tcPr>
          <w:p w14:paraId="31E8DEB2" w14:textId="77777777" w:rsidR="0010523F" w:rsidRPr="0010523F" w:rsidRDefault="0010523F" w:rsidP="0010523F">
            <w:pPr>
              <w:jc w:val="right"/>
              <w:rPr>
                <w:color w:val="000000"/>
                <w:sz w:val="16"/>
                <w:szCs w:val="16"/>
                <w:lang w:val="es-AR" w:eastAsia="es-AR"/>
              </w:rPr>
            </w:pPr>
          </w:p>
        </w:tc>
        <w:tc>
          <w:tcPr>
            <w:tcW w:w="908" w:type="dxa"/>
            <w:gridSpan w:val="2"/>
            <w:tcBorders>
              <w:top w:val="nil"/>
              <w:left w:val="nil"/>
              <w:bottom w:val="nil"/>
              <w:right w:val="nil"/>
            </w:tcBorders>
            <w:shd w:val="clear" w:color="auto" w:fill="auto"/>
            <w:vAlign w:val="bottom"/>
            <w:hideMark/>
          </w:tcPr>
          <w:p w14:paraId="4DB41101" w14:textId="77777777" w:rsidR="0010523F" w:rsidRPr="0010523F" w:rsidRDefault="0010523F" w:rsidP="0010523F">
            <w:pPr>
              <w:jc w:val="right"/>
              <w:rPr>
                <w:color w:val="000000"/>
                <w:sz w:val="16"/>
                <w:szCs w:val="16"/>
                <w:lang w:val="es-AR" w:eastAsia="es-AR"/>
              </w:rPr>
            </w:pPr>
          </w:p>
        </w:tc>
        <w:tc>
          <w:tcPr>
            <w:tcW w:w="907" w:type="dxa"/>
            <w:tcBorders>
              <w:top w:val="nil"/>
              <w:left w:val="nil"/>
              <w:bottom w:val="nil"/>
              <w:right w:val="nil"/>
            </w:tcBorders>
            <w:shd w:val="clear" w:color="auto" w:fill="auto"/>
            <w:vAlign w:val="bottom"/>
            <w:hideMark/>
          </w:tcPr>
          <w:p w14:paraId="0FFD3200"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1.642</w:t>
            </w:r>
          </w:p>
        </w:tc>
        <w:tc>
          <w:tcPr>
            <w:tcW w:w="907" w:type="dxa"/>
            <w:gridSpan w:val="2"/>
            <w:tcBorders>
              <w:top w:val="nil"/>
              <w:left w:val="nil"/>
              <w:bottom w:val="nil"/>
              <w:right w:val="nil"/>
            </w:tcBorders>
            <w:vAlign w:val="bottom"/>
          </w:tcPr>
          <w:p w14:paraId="7F73ED48" w14:textId="77777777" w:rsidR="0010523F" w:rsidRPr="0010523F" w:rsidRDefault="0010523F" w:rsidP="0010523F">
            <w:pPr>
              <w:jc w:val="right"/>
              <w:rPr>
                <w:color w:val="000000"/>
                <w:sz w:val="16"/>
                <w:szCs w:val="16"/>
                <w:lang w:val="es-AR" w:eastAsia="es-AR"/>
              </w:rPr>
            </w:pPr>
          </w:p>
        </w:tc>
      </w:tr>
      <w:tr w:rsidR="0010523F" w:rsidRPr="0010523F" w14:paraId="1006FC0E" w14:textId="77777777" w:rsidTr="00774E7E">
        <w:trPr>
          <w:trHeight w:val="290"/>
        </w:trPr>
        <w:tc>
          <w:tcPr>
            <w:tcW w:w="1984" w:type="dxa"/>
            <w:tcBorders>
              <w:top w:val="nil"/>
              <w:left w:val="nil"/>
              <w:bottom w:val="nil"/>
              <w:right w:val="nil"/>
            </w:tcBorders>
            <w:shd w:val="clear" w:color="auto" w:fill="auto"/>
            <w:vAlign w:val="bottom"/>
          </w:tcPr>
          <w:p w14:paraId="765FCAAA" w14:textId="77777777" w:rsidR="0010523F" w:rsidRPr="0010523F" w:rsidRDefault="0010523F" w:rsidP="0010523F">
            <w:pPr>
              <w:rPr>
                <w:bCs/>
                <w:color w:val="000000"/>
                <w:sz w:val="16"/>
                <w:szCs w:val="16"/>
                <w:lang w:val="es-AR" w:eastAsia="es-AR"/>
              </w:rPr>
            </w:pPr>
            <w:r w:rsidRPr="0010523F">
              <w:rPr>
                <w:bCs/>
                <w:color w:val="000000"/>
                <w:sz w:val="16"/>
                <w:szCs w:val="16"/>
                <w:lang w:val="es-AR" w:eastAsia="es-AR"/>
              </w:rPr>
              <w:t>Total al 30/09/2018</w:t>
            </w:r>
          </w:p>
        </w:tc>
        <w:tc>
          <w:tcPr>
            <w:tcW w:w="850" w:type="dxa"/>
            <w:tcBorders>
              <w:top w:val="nil"/>
              <w:left w:val="nil"/>
              <w:bottom w:val="nil"/>
              <w:right w:val="nil"/>
            </w:tcBorders>
            <w:shd w:val="clear" w:color="auto" w:fill="auto"/>
            <w:noWrap/>
            <w:vAlign w:val="bottom"/>
          </w:tcPr>
          <w:p w14:paraId="53EED9A3" w14:textId="77777777" w:rsidR="0010523F" w:rsidRPr="0010523F" w:rsidRDefault="0010523F" w:rsidP="0010523F">
            <w:pPr>
              <w:jc w:val="right"/>
              <w:rPr>
                <w:bCs/>
                <w:color w:val="000000"/>
                <w:sz w:val="16"/>
                <w:szCs w:val="16"/>
                <w:u w:val="double"/>
                <w:lang w:val="es-AR" w:eastAsia="es-AR"/>
              </w:rPr>
            </w:pPr>
            <w:r w:rsidRPr="0010523F">
              <w:rPr>
                <w:bCs/>
                <w:color w:val="000000"/>
                <w:sz w:val="16"/>
                <w:szCs w:val="16"/>
                <w:u w:val="double"/>
                <w:lang w:val="es-AR" w:eastAsia="es-AR"/>
              </w:rPr>
              <w:t xml:space="preserve">    898</w:t>
            </w:r>
          </w:p>
        </w:tc>
        <w:tc>
          <w:tcPr>
            <w:tcW w:w="1020" w:type="dxa"/>
            <w:tcBorders>
              <w:top w:val="nil"/>
              <w:left w:val="nil"/>
              <w:bottom w:val="nil"/>
              <w:right w:val="nil"/>
            </w:tcBorders>
            <w:shd w:val="clear" w:color="auto" w:fill="auto"/>
            <w:vAlign w:val="bottom"/>
          </w:tcPr>
          <w:p w14:paraId="0D20220D"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u w:val="double"/>
                <w:lang w:val="es-AR" w:eastAsia="es-AR"/>
              </w:rPr>
              <w:t>982</w:t>
            </w:r>
          </w:p>
        </w:tc>
        <w:tc>
          <w:tcPr>
            <w:tcW w:w="851" w:type="dxa"/>
            <w:tcBorders>
              <w:top w:val="nil"/>
              <w:left w:val="nil"/>
              <w:bottom w:val="nil"/>
              <w:right w:val="nil"/>
            </w:tcBorders>
            <w:shd w:val="clear" w:color="auto" w:fill="auto"/>
            <w:noWrap/>
            <w:vAlign w:val="bottom"/>
          </w:tcPr>
          <w:p w14:paraId="24C70C6A"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lang w:val="es-AR" w:eastAsia="es-AR"/>
              </w:rPr>
              <w:t xml:space="preserve">    </w:t>
            </w:r>
            <w:r w:rsidRPr="0010523F">
              <w:rPr>
                <w:color w:val="000000"/>
                <w:sz w:val="16"/>
                <w:szCs w:val="16"/>
                <w:u w:val="double"/>
                <w:lang w:val="es-AR" w:eastAsia="es-AR"/>
              </w:rPr>
              <w:t xml:space="preserve">     5</w:t>
            </w:r>
          </w:p>
        </w:tc>
        <w:tc>
          <w:tcPr>
            <w:tcW w:w="794" w:type="dxa"/>
            <w:tcBorders>
              <w:top w:val="nil"/>
              <w:left w:val="nil"/>
              <w:bottom w:val="nil"/>
              <w:right w:val="nil"/>
            </w:tcBorders>
            <w:shd w:val="clear" w:color="auto" w:fill="auto"/>
            <w:noWrap/>
            <w:vAlign w:val="bottom"/>
          </w:tcPr>
          <w:p w14:paraId="03340120"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lang w:val="es-AR" w:eastAsia="es-AR"/>
              </w:rPr>
              <w:t xml:space="preserve"> (</w:t>
            </w:r>
            <w:r w:rsidRPr="0010523F">
              <w:rPr>
                <w:bCs/>
                <w:color w:val="000000"/>
                <w:sz w:val="16"/>
                <w:szCs w:val="16"/>
                <w:u w:val="double"/>
                <w:lang w:val="es-AR" w:eastAsia="es-AR"/>
              </w:rPr>
              <w:t xml:space="preserve">    2</w:t>
            </w:r>
            <w:r w:rsidRPr="0010523F">
              <w:rPr>
                <w:bCs/>
                <w:color w:val="000000"/>
                <w:sz w:val="16"/>
                <w:szCs w:val="16"/>
                <w:lang w:val="es-AR" w:eastAsia="es-AR"/>
              </w:rPr>
              <w:t>)</w:t>
            </w:r>
          </w:p>
        </w:tc>
        <w:tc>
          <w:tcPr>
            <w:tcW w:w="850" w:type="dxa"/>
            <w:tcBorders>
              <w:top w:val="nil"/>
              <w:left w:val="nil"/>
              <w:bottom w:val="nil"/>
              <w:right w:val="nil"/>
            </w:tcBorders>
            <w:shd w:val="clear" w:color="auto" w:fill="auto"/>
            <w:noWrap/>
            <w:vAlign w:val="bottom"/>
          </w:tcPr>
          <w:p w14:paraId="7D1BC817"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u w:val="double"/>
                <w:lang w:val="es-AR" w:eastAsia="es-AR"/>
              </w:rPr>
              <w:t>2.108</w:t>
            </w:r>
          </w:p>
        </w:tc>
        <w:tc>
          <w:tcPr>
            <w:tcW w:w="851" w:type="dxa"/>
            <w:tcBorders>
              <w:top w:val="nil"/>
              <w:left w:val="nil"/>
              <w:bottom w:val="nil"/>
              <w:right w:val="nil"/>
            </w:tcBorders>
            <w:shd w:val="clear" w:color="auto" w:fill="auto"/>
            <w:noWrap/>
            <w:vAlign w:val="bottom"/>
          </w:tcPr>
          <w:p w14:paraId="2DD825A7"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u w:val="double"/>
                <w:lang w:val="es-AR" w:eastAsia="es-AR"/>
              </w:rPr>
              <w:t>3.991</w:t>
            </w:r>
          </w:p>
        </w:tc>
        <w:tc>
          <w:tcPr>
            <w:tcW w:w="160" w:type="dxa"/>
            <w:gridSpan w:val="2"/>
            <w:tcBorders>
              <w:top w:val="nil"/>
              <w:left w:val="nil"/>
              <w:bottom w:val="nil"/>
              <w:right w:val="nil"/>
            </w:tcBorders>
            <w:shd w:val="clear" w:color="auto" w:fill="auto"/>
            <w:noWrap/>
            <w:vAlign w:val="bottom"/>
          </w:tcPr>
          <w:p w14:paraId="5829357C" w14:textId="77777777" w:rsidR="0010523F" w:rsidRPr="0010523F" w:rsidRDefault="0010523F" w:rsidP="0010523F">
            <w:pPr>
              <w:jc w:val="right"/>
              <w:rPr>
                <w:color w:val="000000"/>
                <w:sz w:val="16"/>
                <w:szCs w:val="16"/>
                <w:lang w:val="es-AR" w:eastAsia="es-AR"/>
              </w:rPr>
            </w:pPr>
          </w:p>
        </w:tc>
        <w:tc>
          <w:tcPr>
            <w:tcW w:w="975" w:type="dxa"/>
            <w:gridSpan w:val="2"/>
            <w:tcBorders>
              <w:top w:val="nil"/>
              <w:left w:val="nil"/>
              <w:bottom w:val="nil"/>
              <w:right w:val="nil"/>
            </w:tcBorders>
            <w:shd w:val="clear" w:color="auto" w:fill="auto"/>
            <w:noWrap/>
            <w:vAlign w:val="bottom"/>
          </w:tcPr>
          <w:p w14:paraId="3FF5AA44" w14:textId="77777777" w:rsidR="0010523F" w:rsidRPr="0010523F" w:rsidRDefault="0010523F" w:rsidP="0010523F">
            <w:pPr>
              <w:jc w:val="right"/>
              <w:rPr>
                <w:bCs/>
                <w:color w:val="000000"/>
                <w:sz w:val="16"/>
                <w:szCs w:val="16"/>
                <w:lang w:val="es-AR" w:eastAsia="es-AR"/>
              </w:rPr>
            </w:pPr>
            <w:r w:rsidRPr="0010523F">
              <w:rPr>
                <w:bCs/>
                <w:color w:val="000000"/>
                <w:sz w:val="16"/>
                <w:szCs w:val="16"/>
                <w:lang w:val="es-AR" w:eastAsia="es-AR"/>
              </w:rPr>
              <w:t>(</w:t>
            </w:r>
            <w:r w:rsidRPr="0010523F">
              <w:rPr>
                <w:bCs/>
                <w:color w:val="000000"/>
                <w:sz w:val="16"/>
                <w:szCs w:val="16"/>
                <w:u w:val="double"/>
                <w:lang w:val="es-AR" w:eastAsia="es-AR"/>
              </w:rPr>
              <w:t>358</w:t>
            </w:r>
            <w:r w:rsidRPr="0010523F">
              <w:rPr>
                <w:bCs/>
                <w:color w:val="000000"/>
                <w:sz w:val="16"/>
                <w:szCs w:val="16"/>
                <w:lang w:val="es-AR" w:eastAsia="es-AR"/>
              </w:rPr>
              <w:t>)</w:t>
            </w:r>
          </w:p>
        </w:tc>
        <w:tc>
          <w:tcPr>
            <w:tcW w:w="964" w:type="dxa"/>
            <w:tcBorders>
              <w:top w:val="nil"/>
              <w:left w:val="nil"/>
              <w:bottom w:val="nil"/>
              <w:right w:val="nil"/>
            </w:tcBorders>
            <w:shd w:val="clear" w:color="auto" w:fill="auto"/>
            <w:vAlign w:val="bottom"/>
          </w:tcPr>
          <w:p w14:paraId="4E91D2D6"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lang w:val="es-AR" w:eastAsia="es-AR"/>
              </w:rPr>
              <w:t>(</w:t>
            </w:r>
            <w:r w:rsidRPr="0010523F">
              <w:rPr>
                <w:bCs/>
                <w:color w:val="000000"/>
                <w:sz w:val="16"/>
                <w:szCs w:val="16"/>
                <w:u w:val="double"/>
                <w:lang w:val="es-AR" w:eastAsia="es-AR"/>
              </w:rPr>
              <w:t>434</w:t>
            </w:r>
            <w:r w:rsidRPr="0010523F">
              <w:rPr>
                <w:bCs/>
                <w:color w:val="000000"/>
                <w:sz w:val="16"/>
                <w:szCs w:val="16"/>
                <w:lang w:val="es-AR" w:eastAsia="es-AR"/>
              </w:rPr>
              <w:t>)</w:t>
            </w:r>
          </w:p>
        </w:tc>
        <w:tc>
          <w:tcPr>
            <w:tcW w:w="789" w:type="dxa"/>
            <w:tcBorders>
              <w:top w:val="nil"/>
              <w:left w:val="nil"/>
              <w:bottom w:val="nil"/>
              <w:right w:val="nil"/>
            </w:tcBorders>
            <w:shd w:val="clear" w:color="auto" w:fill="auto"/>
            <w:noWrap/>
            <w:vAlign w:val="bottom"/>
          </w:tcPr>
          <w:p w14:paraId="4B52374E" w14:textId="77777777" w:rsidR="0010523F" w:rsidRPr="0010523F" w:rsidRDefault="0010523F" w:rsidP="0010523F">
            <w:pPr>
              <w:jc w:val="right"/>
              <w:rPr>
                <w:color w:val="000000"/>
                <w:sz w:val="16"/>
                <w:szCs w:val="16"/>
                <w:u w:val="double"/>
                <w:lang w:val="es-AR" w:eastAsia="es-AR"/>
              </w:rPr>
            </w:pPr>
            <w:r w:rsidRPr="0010523F">
              <w:rPr>
                <w:bCs/>
                <w:color w:val="000000"/>
                <w:sz w:val="16"/>
                <w:szCs w:val="16"/>
                <w:u w:val="double"/>
                <w:lang w:val="es-AR" w:eastAsia="es-AR"/>
              </w:rPr>
              <w:t xml:space="preserve">  2</w:t>
            </w:r>
          </w:p>
        </w:tc>
        <w:tc>
          <w:tcPr>
            <w:tcW w:w="737" w:type="dxa"/>
            <w:tcBorders>
              <w:top w:val="nil"/>
              <w:left w:val="nil"/>
              <w:bottom w:val="nil"/>
              <w:right w:val="nil"/>
            </w:tcBorders>
            <w:shd w:val="clear" w:color="auto" w:fill="auto"/>
            <w:noWrap/>
            <w:vAlign w:val="bottom"/>
          </w:tcPr>
          <w:p w14:paraId="2C2083D4"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w:t>
            </w:r>
            <w:r w:rsidRPr="0010523F">
              <w:rPr>
                <w:bCs/>
                <w:color w:val="000000"/>
                <w:sz w:val="16"/>
                <w:szCs w:val="16"/>
                <w:u w:val="double"/>
                <w:lang w:val="es-AR" w:eastAsia="es-AR"/>
              </w:rPr>
              <w:t>220</w:t>
            </w:r>
            <w:r w:rsidRPr="0010523F">
              <w:rPr>
                <w:bCs/>
                <w:color w:val="000000"/>
                <w:sz w:val="16"/>
                <w:szCs w:val="16"/>
                <w:lang w:val="es-AR" w:eastAsia="es-AR"/>
              </w:rPr>
              <w:t>)</w:t>
            </w:r>
          </w:p>
        </w:tc>
        <w:tc>
          <w:tcPr>
            <w:tcW w:w="850" w:type="dxa"/>
            <w:tcBorders>
              <w:top w:val="nil"/>
              <w:left w:val="nil"/>
              <w:bottom w:val="nil"/>
              <w:right w:val="nil"/>
            </w:tcBorders>
            <w:shd w:val="clear" w:color="auto" w:fill="auto"/>
            <w:noWrap/>
            <w:vAlign w:val="bottom"/>
          </w:tcPr>
          <w:p w14:paraId="766E2358"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double"/>
                <w:lang w:val="es-AR" w:eastAsia="es-AR"/>
              </w:rPr>
              <w:t xml:space="preserve">  995</w:t>
            </w:r>
            <w:r w:rsidRPr="0010523F">
              <w:rPr>
                <w:color w:val="000000"/>
                <w:sz w:val="16"/>
                <w:szCs w:val="16"/>
                <w:lang w:val="es-AR" w:eastAsia="es-AR"/>
              </w:rPr>
              <w:t>)</w:t>
            </w:r>
          </w:p>
        </w:tc>
        <w:tc>
          <w:tcPr>
            <w:tcW w:w="1054" w:type="dxa"/>
            <w:tcBorders>
              <w:top w:val="nil"/>
              <w:left w:val="nil"/>
              <w:bottom w:val="nil"/>
              <w:right w:val="nil"/>
            </w:tcBorders>
            <w:shd w:val="clear" w:color="auto" w:fill="auto"/>
            <w:vAlign w:val="bottom"/>
          </w:tcPr>
          <w:p w14:paraId="7A4EE42C" w14:textId="77777777" w:rsidR="0010523F" w:rsidRPr="0010523F" w:rsidRDefault="0010523F" w:rsidP="0010523F">
            <w:pPr>
              <w:jc w:val="right"/>
              <w:rPr>
                <w:color w:val="000000"/>
                <w:sz w:val="16"/>
                <w:szCs w:val="16"/>
                <w:lang w:val="es-AR" w:eastAsia="es-AR"/>
              </w:rPr>
            </w:pPr>
            <w:r w:rsidRPr="0010523F">
              <w:rPr>
                <w:bCs/>
                <w:color w:val="000000"/>
                <w:sz w:val="16"/>
                <w:szCs w:val="16"/>
                <w:lang w:val="es-AR" w:eastAsia="es-AR"/>
              </w:rPr>
              <w:t>(</w:t>
            </w:r>
            <w:r w:rsidRPr="0010523F">
              <w:rPr>
                <w:bCs/>
                <w:color w:val="000000"/>
                <w:sz w:val="16"/>
                <w:szCs w:val="16"/>
                <w:u w:val="double"/>
                <w:lang w:val="es-AR" w:eastAsia="es-AR"/>
              </w:rPr>
              <w:t>2.005</w:t>
            </w:r>
            <w:r w:rsidRPr="0010523F">
              <w:rPr>
                <w:bCs/>
                <w:color w:val="000000"/>
                <w:sz w:val="16"/>
                <w:szCs w:val="16"/>
                <w:lang w:val="es-AR" w:eastAsia="es-AR"/>
              </w:rPr>
              <w:t>)</w:t>
            </w:r>
          </w:p>
        </w:tc>
        <w:tc>
          <w:tcPr>
            <w:tcW w:w="160" w:type="dxa"/>
            <w:gridSpan w:val="2"/>
            <w:tcBorders>
              <w:top w:val="nil"/>
              <w:left w:val="nil"/>
              <w:bottom w:val="nil"/>
              <w:right w:val="nil"/>
            </w:tcBorders>
            <w:shd w:val="clear" w:color="auto" w:fill="auto"/>
            <w:vAlign w:val="bottom"/>
          </w:tcPr>
          <w:p w14:paraId="3F9459E8" w14:textId="77777777" w:rsidR="0010523F" w:rsidRPr="0010523F" w:rsidRDefault="0010523F" w:rsidP="0010523F">
            <w:pPr>
              <w:jc w:val="right"/>
              <w:rPr>
                <w:color w:val="000000"/>
                <w:sz w:val="16"/>
                <w:szCs w:val="16"/>
                <w:lang w:val="es-AR" w:eastAsia="es-AR"/>
              </w:rPr>
            </w:pPr>
          </w:p>
        </w:tc>
        <w:tc>
          <w:tcPr>
            <w:tcW w:w="908" w:type="dxa"/>
            <w:gridSpan w:val="2"/>
            <w:tcBorders>
              <w:top w:val="nil"/>
              <w:left w:val="nil"/>
              <w:bottom w:val="nil"/>
              <w:right w:val="nil"/>
            </w:tcBorders>
            <w:shd w:val="clear" w:color="auto" w:fill="auto"/>
            <w:vAlign w:val="bottom"/>
          </w:tcPr>
          <w:p w14:paraId="3949DEBE" w14:textId="77777777" w:rsidR="0010523F" w:rsidRPr="0010523F" w:rsidRDefault="0010523F" w:rsidP="0010523F">
            <w:pPr>
              <w:jc w:val="right"/>
              <w:rPr>
                <w:color w:val="000000"/>
                <w:sz w:val="16"/>
                <w:szCs w:val="16"/>
                <w:lang w:val="es-AR" w:eastAsia="es-AR"/>
              </w:rPr>
            </w:pPr>
          </w:p>
        </w:tc>
        <w:tc>
          <w:tcPr>
            <w:tcW w:w="907" w:type="dxa"/>
            <w:tcBorders>
              <w:top w:val="nil"/>
              <w:left w:val="nil"/>
              <w:bottom w:val="nil"/>
              <w:right w:val="nil"/>
            </w:tcBorders>
            <w:shd w:val="clear" w:color="auto" w:fill="auto"/>
            <w:vAlign w:val="bottom"/>
          </w:tcPr>
          <w:p w14:paraId="61F2E11C" w14:textId="77777777" w:rsidR="0010523F" w:rsidRPr="0010523F" w:rsidRDefault="0010523F" w:rsidP="0010523F">
            <w:pPr>
              <w:jc w:val="right"/>
              <w:rPr>
                <w:color w:val="000000"/>
                <w:sz w:val="16"/>
                <w:szCs w:val="16"/>
                <w:lang w:val="es-AR" w:eastAsia="es-AR"/>
              </w:rPr>
            </w:pPr>
          </w:p>
        </w:tc>
        <w:tc>
          <w:tcPr>
            <w:tcW w:w="907" w:type="dxa"/>
            <w:gridSpan w:val="2"/>
            <w:tcBorders>
              <w:top w:val="nil"/>
              <w:left w:val="nil"/>
              <w:bottom w:val="nil"/>
              <w:right w:val="nil"/>
            </w:tcBorders>
            <w:vAlign w:val="bottom"/>
          </w:tcPr>
          <w:p w14:paraId="3DB2D0F4"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1.986</w:t>
            </w:r>
          </w:p>
        </w:tc>
      </w:tr>
      <w:tr w:rsidR="0010523F" w:rsidRPr="0010523F" w14:paraId="639ADB49" w14:textId="77777777" w:rsidTr="00774E7E">
        <w:trPr>
          <w:trHeight w:val="624"/>
        </w:trPr>
        <w:tc>
          <w:tcPr>
            <w:tcW w:w="1984" w:type="dxa"/>
            <w:tcBorders>
              <w:top w:val="nil"/>
              <w:left w:val="nil"/>
              <w:bottom w:val="nil"/>
              <w:right w:val="nil"/>
            </w:tcBorders>
            <w:shd w:val="clear" w:color="auto" w:fill="auto"/>
            <w:vAlign w:val="bottom"/>
          </w:tcPr>
          <w:p w14:paraId="77006FA3" w14:textId="77777777" w:rsidR="0010523F" w:rsidRPr="0010523F" w:rsidRDefault="0010523F" w:rsidP="0010523F">
            <w:pPr>
              <w:rPr>
                <w:bCs/>
                <w:color w:val="000000"/>
                <w:sz w:val="16"/>
                <w:szCs w:val="16"/>
                <w:lang w:val="es-AR" w:eastAsia="es-AR"/>
              </w:rPr>
            </w:pPr>
            <w:r w:rsidRPr="0010523F">
              <w:rPr>
                <w:bCs/>
                <w:color w:val="000000"/>
                <w:sz w:val="16"/>
                <w:szCs w:val="16"/>
                <w:lang w:val="es-AR" w:eastAsia="es-AR"/>
              </w:rPr>
              <w:t>Previsión para deterioro de activos no financieros (Ver anexo E-1)</w:t>
            </w:r>
          </w:p>
        </w:tc>
        <w:tc>
          <w:tcPr>
            <w:tcW w:w="850" w:type="dxa"/>
            <w:tcBorders>
              <w:top w:val="nil"/>
              <w:left w:val="nil"/>
              <w:bottom w:val="nil"/>
              <w:right w:val="nil"/>
            </w:tcBorders>
            <w:shd w:val="clear" w:color="auto" w:fill="auto"/>
            <w:noWrap/>
            <w:vAlign w:val="bottom"/>
          </w:tcPr>
          <w:p w14:paraId="66C7B626" w14:textId="77777777" w:rsidR="0010523F" w:rsidRPr="0010523F" w:rsidRDefault="0010523F" w:rsidP="0010523F">
            <w:pPr>
              <w:jc w:val="right"/>
              <w:rPr>
                <w:bCs/>
                <w:color w:val="000000"/>
                <w:sz w:val="16"/>
                <w:szCs w:val="16"/>
                <w:u w:val="double"/>
                <w:lang w:val="es-AR" w:eastAsia="es-AR"/>
              </w:rPr>
            </w:pPr>
          </w:p>
        </w:tc>
        <w:tc>
          <w:tcPr>
            <w:tcW w:w="1020" w:type="dxa"/>
            <w:tcBorders>
              <w:top w:val="nil"/>
              <w:left w:val="nil"/>
              <w:bottom w:val="nil"/>
              <w:right w:val="nil"/>
            </w:tcBorders>
            <w:shd w:val="clear" w:color="auto" w:fill="auto"/>
            <w:vAlign w:val="bottom"/>
          </w:tcPr>
          <w:p w14:paraId="16A3CC6A" w14:textId="77777777" w:rsidR="0010523F" w:rsidRPr="0010523F" w:rsidRDefault="0010523F" w:rsidP="0010523F">
            <w:pPr>
              <w:jc w:val="right"/>
              <w:rPr>
                <w:color w:val="000000"/>
                <w:sz w:val="16"/>
                <w:szCs w:val="16"/>
                <w:lang w:val="es-AR" w:eastAsia="es-AR"/>
              </w:rPr>
            </w:pPr>
          </w:p>
        </w:tc>
        <w:tc>
          <w:tcPr>
            <w:tcW w:w="851" w:type="dxa"/>
            <w:tcBorders>
              <w:top w:val="nil"/>
              <w:left w:val="nil"/>
              <w:bottom w:val="nil"/>
              <w:right w:val="nil"/>
            </w:tcBorders>
            <w:shd w:val="clear" w:color="auto" w:fill="auto"/>
            <w:noWrap/>
            <w:vAlign w:val="bottom"/>
          </w:tcPr>
          <w:p w14:paraId="24E5B49C" w14:textId="77777777" w:rsidR="0010523F" w:rsidRPr="0010523F" w:rsidRDefault="0010523F" w:rsidP="0010523F">
            <w:pPr>
              <w:jc w:val="right"/>
              <w:rPr>
                <w:color w:val="000000"/>
                <w:sz w:val="16"/>
                <w:szCs w:val="16"/>
                <w:u w:val="double"/>
                <w:lang w:val="es-AR" w:eastAsia="es-AR"/>
              </w:rPr>
            </w:pPr>
          </w:p>
        </w:tc>
        <w:tc>
          <w:tcPr>
            <w:tcW w:w="794" w:type="dxa"/>
            <w:tcBorders>
              <w:top w:val="nil"/>
              <w:left w:val="nil"/>
              <w:bottom w:val="nil"/>
              <w:right w:val="nil"/>
            </w:tcBorders>
            <w:shd w:val="clear" w:color="auto" w:fill="auto"/>
            <w:noWrap/>
            <w:vAlign w:val="bottom"/>
          </w:tcPr>
          <w:p w14:paraId="1B4E7DB2" w14:textId="77777777" w:rsidR="0010523F" w:rsidRPr="0010523F" w:rsidRDefault="0010523F" w:rsidP="0010523F">
            <w:pPr>
              <w:jc w:val="right"/>
              <w:rPr>
                <w:color w:val="000000"/>
                <w:sz w:val="16"/>
                <w:szCs w:val="16"/>
                <w:lang w:val="es-AR" w:eastAsia="es-AR"/>
              </w:rPr>
            </w:pPr>
          </w:p>
        </w:tc>
        <w:tc>
          <w:tcPr>
            <w:tcW w:w="850" w:type="dxa"/>
            <w:tcBorders>
              <w:top w:val="nil"/>
              <w:left w:val="nil"/>
              <w:bottom w:val="nil"/>
              <w:right w:val="nil"/>
            </w:tcBorders>
            <w:shd w:val="clear" w:color="auto" w:fill="auto"/>
            <w:noWrap/>
            <w:vAlign w:val="bottom"/>
          </w:tcPr>
          <w:p w14:paraId="2D38D1E8" w14:textId="77777777" w:rsidR="0010523F" w:rsidRPr="0010523F" w:rsidRDefault="0010523F" w:rsidP="0010523F">
            <w:pPr>
              <w:jc w:val="right"/>
              <w:rPr>
                <w:color w:val="000000"/>
                <w:sz w:val="16"/>
                <w:szCs w:val="16"/>
                <w:lang w:val="es-AR" w:eastAsia="es-AR"/>
              </w:rPr>
            </w:pPr>
          </w:p>
        </w:tc>
        <w:tc>
          <w:tcPr>
            <w:tcW w:w="851" w:type="dxa"/>
            <w:tcBorders>
              <w:top w:val="nil"/>
              <w:left w:val="nil"/>
              <w:bottom w:val="nil"/>
              <w:right w:val="nil"/>
            </w:tcBorders>
            <w:shd w:val="clear" w:color="auto" w:fill="auto"/>
            <w:noWrap/>
            <w:vAlign w:val="bottom"/>
          </w:tcPr>
          <w:p w14:paraId="77D98C9E" w14:textId="77777777" w:rsidR="0010523F" w:rsidRPr="0010523F" w:rsidRDefault="0010523F" w:rsidP="0010523F">
            <w:pPr>
              <w:jc w:val="right"/>
              <w:rPr>
                <w:color w:val="000000"/>
                <w:sz w:val="16"/>
                <w:szCs w:val="16"/>
                <w:u w:val="double"/>
                <w:lang w:val="es-AR" w:eastAsia="es-AR"/>
              </w:rPr>
            </w:pPr>
          </w:p>
        </w:tc>
        <w:tc>
          <w:tcPr>
            <w:tcW w:w="160" w:type="dxa"/>
            <w:gridSpan w:val="2"/>
            <w:tcBorders>
              <w:top w:val="nil"/>
              <w:left w:val="nil"/>
              <w:bottom w:val="nil"/>
              <w:right w:val="nil"/>
            </w:tcBorders>
            <w:shd w:val="clear" w:color="auto" w:fill="auto"/>
            <w:noWrap/>
            <w:vAlign w:val="bottom"/>
          </w:tcPr>
          <w:p w14:paraId="6FF47358" w14:textId="77777777" w:rsidR="0010523F" w:rsidRPr="0010523F" w:rsidRDefault="0010523F" w:rsidP="0010523F">
            <w:pPr>
              <w:jc w:val="right"/>
              <w:rPr>
                <w:color w:val="000000"/>
                <w:sz w:val="16"/>
                <w:szCs w:val="16"/>
                <w:lang w:val="es-AR" w:eastAsia="es-AR"/>
              </w:rPr>
            </w:pPr>
          </w:p>
        </w:tc>
        <w:tc>
          <w:tcPr>
            <w:tcW w:w="975" w:type="dxa"/>
            <w:gridSpan w:val="2"/>
            <w:tcBorders>
              <w:top w:val="nil"/>
              <w:left w:val="nil"/>
              <w:bottom w:val="nil"/>
              <w:right w:val="nil"/>
            </w:tcBorders>
            <w:shd w:val="clear" w:color="auto" w:fill="auto"/>
            <w:noWrap/>
            <w:vAlign w:val="bottom"/>
          </w:tcPr>
          <w:p w14:paraId="0FF9F12E" w14:textId="77777777" w:rsidR="0010523F" w:rsidRPr="0010523F" w:rsidRDefault="0010523F" w:rsidP="0010523F">
            <w:pPr>
              <w:jc w:val="right"/>
              <w:rPr>
                <w:bCs/>
                <w:color w:val="000000"/>
                <w:sz w:val="16"/>
                <w:szCs w:val="16"/>
                <w:lang w:val="es-AR" w:eastAsia="es-AR"/>
              </w:rPr>
            </w:pPr>
          </w:p>
        </w:tc>
        <w:tc>
          <w:tcPr>
            <w:tcW w:w="964" w:type="dxa"/>
            <w:tcBorders>
              <w:top w:val="nil"/>
              <w:left w:val="nil"/>
              <w:bottom w:val="nil"/>
              <w:right w:val="nil"/>
            </w:tcBorders>
            <w:shd w:val="clear" w:color="auto" w:fill="auto"/>
            <w:vAlign w:val="bottom"/>
          </w:tcPr>
          <w:p w14:paraId="02A62F15" w14:textId="77777777" w:rsidR="0010523F" w:rsidRPr="0010523F" w:rsidRDefault="0010523F" w:rsidP="0010523F">
            <w:pPr>
              <w:jc w:val="right"/>
              <w:rPr>
                <w:color w:val="000000"/>
                <w:sz w:val="16"/>
                <w:szCs w:val="16"/>
                <w:lang w:val="es-AR" w:eastAsia="es-AR"/>
              </w:rPr>
            </w:pPr>
          </w:p>
        </w:tc>
        <w:tc>
          <w:tcPr>
            <w:tcW w:w="789" w:type="dxa"/>
            <w:tcBorders>
              <w:top w:val="nil"/>
              <w:left w:val="nil"/>
              <w:bottom w:val="nil"/>
              <w:right w:val="nil"/>
            </w:tcBorders>
            <w:shd w:val="clear" w:color="auto" w:fill="auto"/>
            <w:noWrap/>
            <w:vAlign w:val="bottom"/>
          </w:tcPr>
          <w:p w14:paraId="3C68E30A" w14:textId="77777777" w:rsidR="0010523F" w:rsidRPr="0010523F" w:rsidRDefault="0010523F" w:rsidP="0010523F">
            <w:pPr>
              <w:jc w:val="right"/>
              <w:rPr>
                <w:color w:val="000000"/>
                <w:sz w:val="16"/>
                <w:szCs w:val="16"/>
                <w:u w:val="double"/>
                <w:lang w:val="es-AR" w:eastAsia="es-AR"/>
              </w:rPr>
            </w:pPr>
          </w:p>
        </w:tc>
        <w:tc>
          <w:tcPr>
            <w:tcW w:w="737" w:type="dxa"/>
            <w:tcBorders>
              <w:top w:val="nil"/>
              <w:left w:val="nil"/>
              <w:bottom w:val="nil"/>
              <w:right w:val="nil"/>
            </w:tcBorders>
            <w:shd w:val="clear" w:color="auto" w:fill="auto"/>
            <w:noWrap/>
            <w:vAlign w:val="bottom"/>
          </w:tcPr>
          <w:p w14:paraId="1EDAC922" w14:textId="77777777" w:rsidR="0010523F" w:rsidRPr="0010523F" w:rsidRDefault="0010523F" w:rsidP="0010523F">
            <w:pPr>
              <w:jc w:val="right"/>
              <w:rPr>
                <w:color w:val="000000"/>
                <w:sz w:val="16"/>
                <w:szCs w:val="16"/>
                <w:lang w:val="es-AR" w:eastAsia="es-AR"/>
              </w:rPr>
            </w:pPr>
          </w:p>
        </w:tc>
        <w:tc>
          <w:tcPr>
            <w:tcW w:w="850" w:type="dxa"/>
            <w:tcBorders>
              <w:top w:val="nil"/>
              <w:left w:val="nil"/>
              <w:bottom w:val="nil"/>
              <w:right w:val="nil"/>
            </w:tcBorders>
            <w:shd w:val="clear" w:color="auto" w:fill="auto"/>
            <w:noWrap/>
            <w:vAlign w:val="bottom"/>
          </w:tcPr>
          <w:p w14:paraId="4A62E74E" w14:textId="77777777" w:rsidR="0010523F" w:rsidRPr="0010523F" w:rsidRDefault="0010523F" w:rsidP="0010523F">
            <w:pPr>
              <w:jc w:val="right"/>
              <w:rPr>
                <w:color w:val="000000"/>
                <w:sz w:val="16"/>
                <w:szCs w:val="16"/>
                <w:lang w:val="es-AR" w:eastAsia="es-AR"/>
              </w:rPr>
            </w:pPr>
          </w:p>
        </w:tc>
        <w:tc>
          <w:tcPr>
            <w:tcW w:w="1054" w:type="dxa"/>
            <w:tcBorders>
              <w:top w:val="nil"/>
              <w:left w:val="nil"/>
              <w:bottom w:val="nil"/>
              <w:right w:val="nil"/>
            </w:tcBorders>
            <w:shd w:val="clear" w:color="auto" w:fill="auto"/>
            <w:vAlign w:val="bottom"/>
          </w:tcPr>
          <w:p w14:paraId="4F507FE4" w14:textId="77777777" w:rsidR="0010523F" w:rsidRPr="0010523F" w:rsidRDefault="0010523F" w:rsidP="0010523F">
            <w:pPr>
              <w:jc w:val="right"/>
              <w:rPr>
                <w:color w:val="000000"/>
                <w:sz w:val="16"/>
                <w:szCs w:val="16"/>
                <w:lang w:val="es-AR" w:eastAsia="es-AR"/>
              </w:rPr>
            </w:pPr>
          </w:p>
        </w:tc>
        <w:tc>
          <w:tcPr>
            <w:tcW w:w="160" w:type="dxa"/>
            <w:gridSpan w:val="2"/>
            <w:tcBorders>
              <w:top w:val="nil"/>
              <w:left w:val="nil"/>
              <w:bottom w:val="nil"/>
              <w:right w:val="nil"/>
            </w:tcBorders>
            <w:shd w:val="clear" w:color="auto" w:fill="auto"/>
            <w:vAlign w:val="bottom"/>
          </w:tcPr>
          <w:p w14:paraId="5E471E86" w14:textId="77777777" w:rsidR="0010523F" w:rsidRPr="0010523F" w:rsidRDefault="0010523F" w:rsidP="0010523F">
            <w:pPr>
              <w:jc w:val="right"/>
              <w:rPr>
                <w:color w:val="000000"/>
                <w:sz w:val="16"/>
                <w:szCs w:val="16"/>
                <w:lang w:val="es-AR" w:eastAsia="es-AR"/>
              </w:rPr>
            </w:pPr>
          </w:p>
        </w:tc>
        <w:tc>
          <w:tcPr>
            <w:tcW w:w="908" w:type="dxa"/>
            <w:gridSpan w:val="2"/>
            <w:tcBorders>
              <w:top w:val="nil"/>
              <w:left w:val="nil"/>
              <w:bottom w:val="nil"/>
              <w:right w:val="nil"/>
            </w:tcBorders>
            <w:shd w:val="clear" w:color="auto" w:fill="auto"/>
            <w:vAlign w:val="bottom"/>
          </w:tcPr>
          <w:p w14:paraId="696AEC92"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single"/>
                <w:lang w:val="es-AR" w:eastAsia="es-AR"/>
              </w:rPr>
              <w:t xml:space="preserve">  134</w:t>
            </w:r>
            <w:r w:rsidRPr="0010523F">
              <w:rPr>
                <w:color w:val="000000"/>
                <w:sz w:val="16"/>
                <w:szCs w:val="16"/>
                <w:lang w:val="es-AR" w:eastAsia="es-AR"/>
              </w:rPr>
              <w:t>)</w:t>
            </w:r>
          </w:p>
        </w:tc>
        <w:tc>
          <w:tcPr>
            <w:tcW w:w="907" w:type="dxa"/>
            <w:tcBorders>
              <w:top w:val="nil"/>
              <w:left w:val="nil"/>
              <w:bottom w:val="nil"/>
              <w:right w:val="nil"/>
            </w:tcBorders>
            <w:shd w:val="clear" w:color="auto" w:fill="auto"/>
            <w:vAlign w:val="bottom"/>
          </w:tcPr>
          <w:p w14:paraId="46027A79"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single"/>
                <w:lang w:val="es-AR" w:eastAsia="es-AR"/>
              </w:rPr>
              <w:t xml:space="preserve">    88</w:t>
            </w:r>
            <w:r w:rsidRPr="0010523F">
              <w:rPr>
                <w:color w:val="000000"/>
                <w:sz w:val="16"/>
                <w:szCs w:val="16"/>
                <w:lang w:val="es-AR" w:eastAsia="es-AR"/>
              </w:rPr>
              <w:t>)</w:t>
            </w:r>
          </w:p>
        </w:tc>
        <w:tc>
          <w:tcPr>
            <w:tcW w:w="907" w:type="dxa"/>
            <w:gridSpan w:val="2"/>
            <w:tcBorders>
              <w:top w:val="nil"/>
              <w:left w:val="nil"/>
              <w:bottom w:val="nil"/>
              <w:right w:val="nil"/>
            </w:tcBorders>
            <w:vAlign w:val="bottom"/>
          </w:tcPr>
          <w:p w14:paraId="68216133" w14:textId="77777777" w:rsidR="0010523F" w:rsidRPr="0010523F" w:rsidRDefault="0010523F" w:rsidP="0010523F">
            <w:pPr>
              <w:jc w:val="right"/>
              <w:rPr>
                <w:color w:val="000000"/>
                <w:sz w:val="16"/>
                <w:szCs w:val="16"/>
                <w:lang w:val="es-AR" w:eastAsia="es-AR"/>
              </w:rPr>
            </w:pPr>
            <w:r w:rsidRPr="0010523F">
              <w:rPr>
                <w:color w:val="000000"/>
                <w:sz w:val="16"/>
                <w:szCs w:val="16"/>
                <w:lang w:val="es-AR" w:eastAsia="es-AR"/>
              </w:rPr>
              <w:t>(</w:t>
            </w:r>
            <w:r w:rsidRPr="0010523F">
              <w:rPr>
                <w:color w:val="000000"/>
                <w:sz w:val="16"/>
                <w:szCs w:val="16"/>
                <w:u w:val="single"/>
                <w:lang w:val="es-AR" w:eastAsia="es-AR"/>
              </w:rPr>
              <w:t xml:space="preserve">  96</w:t>
            </w:r>
            <w:r w:rsidRPr="0010523F">
              <w:rPr>
                <w:color w:val="000000"/>
                <w:sz w:val="16"/>
                <w:szCs w:val="16"/>
                <w:lang w:val="es-AR" w:eastAsia="es-AR"/>
              </w:rPr>
              <w:t>)</w:t>
            </w:r>
          </w:p>
        </w:tc>
      </w:tr>
      <w:tr w:rsidR="0010523F" w:rsidRPr="0010523F" w14:paraId="30147A07" w14:textId="77777777" w:rsidTr="00774E7E">
        <w:trPr>
          <w:trHeight w:val="283"/>
        </w:trPr>
        <w:tc>
          <w:tcPr>
            <w:tcW w:w="1984" w:type="dxa"/>
            <w:tcBorders>
              <w:top w:val="nil"/>
              <w:left w:val="nil"/>
              <w:bottom w:val="nil"/>
              <w:right w:val="nil"/>
            </w:tcBorders>
            <w:shd w:val="clear" w:color="auto" w:fill="auto"/>
            <w:vAlign w:val="bottom"/>
          </w:tcPr>
          <w:p w14:paraId="46DB5FBA" w14:textId="77777777" w:rsidR="0010523F" w:rsidRPr="0010523F" w:rsidRDefault="0010523F" w:rsidP="0010523F">
            <w:pPr>
              <w:rPr>
                <w:bCs/>
                <w:color w:val="000000"/>
                <w:sz w:val="16"/>
                <w:szCs w:val="16"/>
                <w:lang w:val="es-AR" w:eastAsia="es-AR"/>
              </w:rPr>
            </w:pPr>
            <w:r w:rsidRPr="0010523F">
              <w:rPr>
                <w:bCs/>
                <w:color w:val="000000"/>
                <w:sz w:val="16"/>
                <w:szCs w:val="16"/>
                <w:lang w:val="es-AR" w:eastAsia="es-AR"/>
              </w:rPr>
              <w:t>Total</w:t>
            </w:r>
          </w:p>
        </w:tc>
        <w:tc>
          <w:tcPr>
            <w:tcW w:w="850" w:type="dxa"/>
            <w:tcBorders>
              <w:top w:val="nil"/>
              <w:left w:val="nil"/>
              <w:bottom w:val="nil"/>
              <w:right w:val="nil"/>
            </w:tcBorders>
            <w:shd w:val="clear" w:color="auto" w:fill="auto"/>
            <w:noWrap/>
            <w:vAlign w:val="bottom"/>
          </w:tcPr>
          <w:p w14:paraId="68F44519" w14:textId="77777777" w:rsidR="0010523F" w:rsidRPr="0010523F" w:rsidRDefault="0010523F" w:rsidP="0010523F">
            <w:pPr>
              <w:jc w:val="right"/>
              <w:rPr>
                <w:bCs/>
                <w:color w:val="000000"/>
                <w:sz w:val="16"/>
                <w:szCs w:val="16"/>
                <w:u w:val="double"/>
                <w:lang w:val="es-AR" w:eastAsia="es-AR"/>
              </w:rPr>
            </w:pPr>
          </w:p>
        </w:tc>
        <w:tc>
          <w:tcPr>
            <w:tcW w:w="1020" w:type="dxa"/>
            <w:tcBorders>
              <w:top w:val="nil"/>
              <w:left w:val="nil"/>
              <w:bottom w:val="nil"/>
              <w:right w:val="nil"/>
            </w:tcBorders>
            <w:shd w:val="clear" w:color="auto" w:fill="auto"/>
            <w:vAlign w:val="bottom"/>
          </w:tcPr>
          <w:p w14:paraId="7E0BCAD0" w14:textId="77777777" w:rsidR="0010523F" w:rsidRPr="0010523F" w:rsidRDefault="0010523F" w:rsidP="0010523F">
            <w:pPr>
              <w:jc w:val="right"/>
              <w:rPr>
                <w:color w:val="000000"/>
                <w:sz w:val="16"/>
                <w:szCs w:val="16"/>
                <w:lang w:val="es-AR" w:eastAsia="es-AR"/>
              </w:rPr>
            </w:pPr>
          </w:p>
        </w:tc>
        <w:tc>
          <w:tcPr>
            <w:tcW w:w="851" w:type="dxa"/>
            <w:tcBorders>
              <w:top w:val="nil"/>
              <w:left w:val="nil"/>
              <w:bottom w:val="nil"/>
              <w:right w:val="nil"/>
            </w:tcBorders>
            <w:shd w:val="clear" w:color="auto" w:fill="auto"/>
            <w:noWrap/>
            <w:vAlign w:val="bottom"/>
          </w:tcPr>
          <w:p w14:paraId="25707BA2" w14:textId="77777777" w:rsidR="0010523F" w:rsidRPr="0010523F" w:rsidRDefault="0010523F" w:rsidP="0010523F">
            <w:pPr>
              <w:jc w:val="right"/>
              <w:rPr>
                <w:color w:val="000000"/>
                <w:sz w:val="16"/>
                <w:szCs w:val="16"/>
                <w:u w:val="double"/>
                <w:lang w:val="es-AR" w:eastAsia="es-AR"/>
              </w:rPr>
            </w:pPr>
          </w:p>
        </w:tc>
        <w:tc>
          <w:tcPr>
            <w:tcW w:w="794" w:type="dxa"/>
            <w:tcBorders>
              <w:top w:val="nil"/>
              <w:left w:val="nil"/>
              <w:bottom w:val="nil"/>
              <w:right w:val="nil"/>
            </w:tcBorders>
            <w:shd w:val="clear" w:color="auto" w:fill="auto"/>
            <w:noWrap/>
            <w:vAlign w:val="bottom"/>
          </w:tcPr>
          <w:p w14:paraId="6743C93F" w14:textId="77777777" w:rsidR="0010523F" w:rsidRPr="0010523F" w:rsidRDefault="0010523F" w:rsidP="0010523F">
            <w:pPr>
              <w:jc w:val="right"/>
              <w:rPr>
                <w:color w:val="000000"/>
                <w:sz w:val="16"/>
                <w:szCs w:val="16"/>
                <w:lang w:val="es-AR" w:eastAsia="es-AR"/>
              </w:rPr>
            </w:pPr>
          </w:p>
        </w:tc>
        <w:tc>
          <w:tcPr>
            <w:tcW w:w="850" w:type="dxa"/>
            <w:tcBorders>
              <w:top w:val="nil"/>
              <w:left w:val="nil"/>
              <w:bottom w:val="nil"/>
              <w:right w:val="nil"/>
            </w:tcBorders>
            <w:shd w:val="clear" w:color="auto" w:fill="auto"/>
            <w:noWrap/>
            <w:vAlign w:val="bottom"/>
          </w:tcPr>
          <w:p w14:paraId="2E8C5619" w14:textId="77777777" w:rsidR="0010523F" w:rsidRPr="0010523F" w:rsidRDefault="0010523F" w:rsidP="0010523F">
            <w:pPr>
              <w:jc w:val="right"/>
              <w:rPr>
                <w:color w:val="000000"/>
                <w:sz w:val="16"/>
                <w:szCs w:val="16"/>
                <w:lang w:val="es-AR" w:eastAsia="es-AR"/>
              </w:rPr>
            </w:pPr>
          </w:p>
        </w:tc>
        <w:tc>
          <w:tcPr>
            <w:tcW w:w="851" w:type="dxa"/>
            <w:tcBorders>
              <w:top w:val="nil"/>
              <w:left w:val="nil"/>
              <w:bottom w:val="nil"/>
              <w:right w:val="nil"/>
            </w:tcBorders>
            <w:shd w:val="clear" w:color="auto" w:fill="auto"/>
            <w:noWrap/>
            <w:vAlign w:val="bottom"/>
          </w:tcPr>
          <w:p w14:paraId="58CFB940" w14:textId="77777777" w:rsidR="0010523F" w:rsidRPr="0010523F" w:rsidRDefault="0010523F" w:rsidP="0010523F">
            <w:pPr>
              <w:jc w:val="right"/>
              <w:rPr>
                <w:color w:val="000000"/>
                <w:sz w:val="16"/>
                <w:szCs w:val="16"/>
                <w:u w:val="double"/>
                <w:lang w:val="es-AR" w:eastAsia="es-AR"/>
              </w:rPr>
            </w:pPr>
          </w:p>
        </w:tc>
        <w:tc>
          <w:tcPr>
            <w:tcW w:w="160" w:type="dxa"/>
            <w:gridSpan w:val="2"/>
            <w:tcBorders>
              <w:top w:val="nil"/>
              <w:left w:val="nil"/>
              <w:bottom w:val="nil"/>
              <w:right w:val="nil"/>
            </w:tcBorders>
            <w:shd w:val="clear" w:color="auto" w:fill="auto"/>
            <w:noWrap/>
            <w:vAlign w:val="bottom"/>
          </w:tcPr>
          <w:p w14:paraId="3402A09F" w14:textId="77777777" w:rsidR="0010523F" w:rsidRPr="0010523F" w:rsidRDefault="0010523F" w:rsidP="0010523F">
            <w:pPr>
              <w:jc w:val="right"/>
              <w:rPr>
                <w:color w:val="000000"/>
                <w:sz w:val="16"/>
                <w:szCs w:val="16"/>
                <w:lang w:val="es-AR" w:eastAsia="es-AR"/>
              </w:rPr>
            </w:pPr>
          </w:p>
        </w:tc>
        <w:tc>
          <w:tcPr>
            <w:tcW w:w="975" w:type="dxa"/>
            <w:gridSpan w:val="2"/>
            <w:tcBorders>
              <w:top w:val="nil"/>
              <w:left w:val="nil"/>
              <w:bottom w:val="nil"/>
              <w:right w:val="nil"/>
            </w:tcBorders>
            <w:shd w:val="clear" w:color="auto" w:fill="auto"/>
            <w:noWrap/>
            <w:vAlign w:val="bottom"/>
          </w:tcPr>
          <w:p w14:paraId="63D8BB77" w14:textId="77777777" w:rsidR="0010523F" w:rsidRPr="0010523F" w:rsidRDefault="0010523F" w:rsidP="0010523F">
            <w:pPr>
              <w:jc w:val="right"/>
              <w:rPr>
                <w:bCs/>
                <w:color w:val="000000"/>
                <w:sz w:val="16"/>
                <w:szCs w:val="16"/>
                <w:lang w:val="es-AR" w:eastAsia="es-AR"/>
              </w:rPr>
            </w:pPr>
          </w:p>
        </w:tc>
        <w:tc>
          <w:tcPr>
            <w:tcW w:w="964" w:type="dxa"/>
            <w:tcBorders>
              <w:top w:val="nil"/>
              <w:left w:val="nil"/>
              <w:bottom w:val="nil"/>
              <w:right w:val="nil"/>
            </w:tcBorders>
            <w:shd w:val="clear" w:color="auto" w:fill="auto"/>
            <w:vAlign w:val="bottom"/>
          </w:tcPr>
          <w:p w14:paraId="0C9CBDEB" w14:textId="77777777" w:rsidR="0010523F" w:rsidRPr="0010523F" w:rsidRDefault="0010523F" w:rsidP="0010523F">
            <w:pPr>
              <w:jc w:val="right"/>
              <w:rPr>
                <w:color w:val="000000"/>
                <w:sz w:val="16"/>
                <w:szCs w:val="16"/>
                <w:lang w:val="es-AR" w:eastAsia="es-AR"/>
              </w:rPr>
            </w:pPr>
          </w:p>
        </w:tc>
        <w:tc>
          <w:tcPr>
            <w:tcW w:w="789" w:type="dxa"/>
            <w:tcBorders>
              <w:top w:val="nil"/>
              <w:left w:val="nil"/>
              <w:bottom w:val="nil"/>
              <w:right w:val="nil"/>
            </w:tcBorders>
            <w:shd w:val="clear" w:color="auto" w:fill="auto"/>
            <w:noWrap/>
            <w:vAlign w:val="bottom"/>
          </w:tcPr>
          <w:p w14:paraId="742E933F" w14:textId="77777777" w:rsidR="0010523F" w:rsidRPr="0010523F" w:rsidRDefault="0010523F" w:rsidP="0010523F">
            <w:pPr>
              <w:jc w:val="right"/>
              <w:rPr>
                <w:color w:val="000000"/>
                <w:sz w:val="16"/>
                <w:szCs w:val="16"/>
                <w:u w:val="double"/>
                <w:lang w:val="es-AR" w:eastAsia="es-AR"/>
              </w:rPr>
            </w:pPr>
          </w:p>
        </w:tc>
        <w:tc>
          <w:tcPr>
            <w:tcW w:w="737" w:type="dxa"/>
            <w:tcBorders>
              <w:top w:val="nil"/>
              <w:left w:val="nil"/>
              <w:bottom w:val="nil"/>
              <w:right w:val="nil"/>
            </w:tcBorders>
            <w:shd w:val="clear" w:color="auto" w:fill="auto"/>
            <w:noWrap/>
            <w:vAlign w:val="bottom"/>
          </w:tcPr>
          <w:p w14:paraId="39D3BE8A" w14:textId="77777777" w:rsidR="0010523F" w:rsidRPr="0010523F" w:rsidRDefault="0010523F" w:rsidP="0010523F">
            <w:pPr>
              <w:jc w:val="right"/>
              <w:rPr>
                <w:color w:val="000000"/>
                <w:sz w:val="16"/>
                <w:szCs w:val="16"/>
                <w:lang w:val="es-AR" w:eastAsia="es-AR"/>
              </w:rPr>
            </w:pPr>
          </w:p>
        </w:tc>
        <w:tc>
          <w:tcPr>
            <w:tcW w:w="850" w:type="dxa"/>
            <w:tcBorders>
              <w:top w:val="nil"/>
              <w:left w:val="nil"/>
              <w:bottom w:val="nil"/>
              <w:right w:val="nil"/>
            </w:tcBorders>
            <w:shd w:val="clear" w:color="auto" w:fill="auto"/>
            <w:noWrap/>
            <w:vAlign w:val="bottom"/>
          </w:tcPr>
          <w:p w14:paraId="0B418848" w14:textId="77777777" w:rsidR="0010523F" w:rsidRPr="0010523F" w:rsidRDefault="0010523F" w:rsidP="0010523F">
            <w:pPr>
              <w:jc w:val="right"/>
              <w:rPr>
                <w:color w:val="000000"/>
                <w:sz w:val="16"/>
                <w:szCs w:val="16"/>
                <w:lang w:val="es-AR" w:eastAsia="es-AR"/>
              </w:rPr>
            </w:pPr>
          </w:p>
        </w:tc>
        <w:tc>
          <w:tcPr>
            <w:tcW w:w="1054" w:type="dxa"/>
            <w:tcBorders>
              <w:top w:val="nil"/>
              <w:left w:val="nil"/>
              <w:bottom w:val="nil"/>
              <w:right w:val="nil"/>
            </w:tcBorders>
            <w:shd w:val="clear" w:color="auto" w:fill="auto"/>
            <w:vAlign w:val="bottom"/>
          </w:tcPr>
          <w:p w14:paraId="6C15E4F5" w14:textId="77777777" w:rsidR="0010523F" w:rsidRPr="0010523F" w:rsidRDefault="0010523F" w:rsidP="0010523F">
            <w:pPr>
              <w:jc w:val="right"/>
              <w:rPr>
                <w:color w:val="000000"/>
                <w:sz w:val="16"/>
                <w:szCs w:val="16"/>
                <w:lang w:val="es-AR" w:eastAsia="es-AR"/>
              </w:rPr>
            </w:pPr>
          </w:p>
        </w:tc>
        <w:tc>
          <w:tcPr>
            <w:tcW w:w="160" w:type="dxa"/>
            <w:gridSpan w:val="2"/>
            <w:tcBorders>
              <w:top w:val="nil"/>
              <w:left w:val="nil"/>
              <w:bottom w:val="nil"/>
              <w:right w:val="nil"/>
            </w:tcBorders>
            <w:shd w:val="clear" w:color="auto" w:fill="auto"/>
            <w:vAlign w:val="bottom"/>
          </w:tcPr>
          <w:p w14:paraId="1EFD6AB1" w14:textId="77777777" w:rsidR="0010523F" w:rsidRPr="0010523F" w:rsidRDefault="0010523F" w:rsidP="0010523F">
            <w:pPr>
              <w:jc w:val="right"/>
              <w:rPr>
                <w:color w:val="000000"/>
                <w:sz w:val="16"/>
                <w:szCs w:val="16"/>
                <w:lang w:val="es-AR" w:eastAsia="es-AR"/>
              </w:rPr>
            </w:pPr>
          </w:p>
        </w:tc>
        <w:tc>
          <w:tcPr>
            <w:tcW w:w="908" w:type="dxa"/>
            <w:gridSpan w:val="2"/>
            <w:tcBorders>
              <w:top w:val="nil"/>
              <w:left w:val="nil"/>
              <w:bottom w:val="nil"/>
              <w:right w:val="nil"/>
            </w:tcBorders>
            <w:shd w:val="clear" w:color="auto" w:fill="auto"/>
            <w:vAlign w:val="bottom"/>
          </w:tcPr>
          <w:p w14:paraId="7AF2BA20"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1.928</w:t>
            </w:r>
          </w:p>
        </w:tc>
        <w:tc>
          <w:tcPr>
            <w:tcW w:w="907" w:type="dxa"/>
            <w:tcBorders>
              <w:top w:val="nil"/>
              <w:left w:val="nil"/>
              <w:bottom w:val="nil"/>
              <w:right w:val="nil"/>
            </w:tcBorders>
            <w:shd w:val="clear" w:color="auto" w:fill="auto"/>
            <w:vAlign w:val="bottom"/>
          </w:tcPr>
          <w:p w14:paraId="4CDB55CF"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1.554</w:t>
            </w:r>
          </w:p>
        </w:tc>
        <w:tc>
          <w:tcPr>
            <w:tcW w:w="907" w:type="dxa"/>
            <w:gridSpan w:val="2"/>
            <w:tcBorders>
              <w:top w:val="nil"/>
              <w:left w:val="nil"/>
              <w:bottom w:val="nil"/>
              <w:right w:val="nil"/>
            </w:tcBorders>
            <w:vAlign w:val="bottom"/>
          </w:tcPr>
          <w:p w14:paraId="1577CD87" w14:textId="77777777" w:rsidR="0010523F" w:rsidRPr="0010523F" w:rsidRDefault="0010523F" w:rsidP="0010523F">
            <w:pPr>
              <w:jc w:val="right"/>
              <w:rPr>
                <w:color w:val="000000"/>
                <w:sz w:val="16"/>
                <w:szCs w:val="16"/>
                <w:u w:val="double"/>
                <w:lang w:val="es-AR" w:eastAsia="es-AR"/>
              </w:rPr>
            </w:pPr>
            <w:r w:rsidRPr="0010523F">
              <w:rPr>
                <w:color w:val="000000"/>
                <w:sz w:val="16"/>
                <w:szCs w:val="16"/>
                <w:u w:val="double"/>
                <w:lang w:val="es-AR" w:eastAsia="es-AR"/>
              </w:rPr>
              <w:t>1.890</w:t>
            </w:r>
          </w:p>
        </w:tc>
      </w:tr>
    </w:tbl>
    <w:p w14:paraId="1C9A2B0C" w14:textId="77777777" w:rsidR="0010523F" w:rsidRPr="0010523F" w:rsidRDefault="0010523F" w:rsidP="0010523F">
      <w:pPr>
        <w:rPr>
          <w:sz w:val="20"/>
          <w:szCs w:val="16"/>
          <w:highlight w:val="yellow"/>
          <w:lang w:val="es-AR" w:eastAsia="en-US"/>
        </w:rPr>
      </w:pPr>
    </w:p>
    <w:p w14:paraId="6172304B" w14:textId="77777777" w:rsidR="0010523F" w:rsidRPr="0010523F" w:rsidRDefault="0010523F" w:rsidP="0010523F">
      <w:pPr>
        <w:rPr>
          <w:sz w:val="20"/>
          <w:szCs w:val="16"/>
          <w:highlight w:val="yellow"/>
          <w:lang w:val="es-AR" w:eastAsia="en-US"/>
        </w:rPr>
      </w:pPr>
    </w:p>
    <w:p w14:paraId="74B38B47" w14:textId="77777777" w:rsidR="0010523F" w:rsidRPr="0010523F" w:rsidRDefault="0010523F" w:rsidP="0010523F">
      <w:pPr>
        <w:rPr>
          <w:sz w:val="20"/>
          <w:szCs w:val="16"/>
          <w:highlight w:val="yellow"/>
          <w:lang w:val="es-AR" w:eastAsia="en-US"/>
        </w:rPr>
      </w:pPr>
      <w:r w:rsidRPr="0010523F">
        <w:rPr>
          <w:sz w:val="20"/>
          <w:szCs w:val="16"/>
          <w:highlight w:val="yellow"/>
          <w:lang w:val="es-AR" w:eastAsia="en-US"/>
        </w:rPr>
        <w:br w:type="page"/>
      </w:r>
    </w:p>
    <w:p w14:paraId="26F3216C" w14:textId="77777777" w:rsidR="0010523F" w:rsidRPr="0010523F" w:rsidRDefault="0010523F" w:rsidP="0010523F">
      <w:pPr>
        <w:rPr>
          <w:b/>
          <w:lang w:val="es-AR" w:eastAsia="en-US"/>
        </w:rPr>
      </w:pPr>
      <w:r w:rsidRPr="0010523F">
        <w:rPr>
          <w:b/>
          <w:lang w:val="es-AR" w:eastAsia="en-US"/>
        </w:rPr>
        <w:t>NOTA 3 - COMPOSICIÓN DE CIERTOS RUBROS DEL ESTADO DE SITUACIÓN FINANCIERA INTERMEDIO CONDENSADO (cont.)</w:t>
      </w:r>
    </w:p>
    <w:p w14:paraId="5856052C" w14:textId="77777777" w:rsidR="0010523F" w:rsidRPr="0010523F" w:rsidRDefault="0010523F" w:rsidP="0010523F">
      <w:pPr>
        <w:rPr>
          <w:sz w:val="20"/>
          <w:szCs w:val="16"/>
          <w:highlight w:val="yellow"/>
          <w:lang w:val="es-AR" w:eastAsia="en-US"/>
        </w:rPr>
      </w:pPr>
    </w:p>
    <w:p w14:paraId="77115A20" w14:textId="77777777" w:rsidR="0010523F" w:rsidRPr="0010523F" w:rsidRDefault="0010523F" w:rsidP="00E2318E">
      <w:pPr>
        <w:keepNext/>
        <w:widowControl w:val="0"/>
        <w:numPr>
          <w:ilvl w:val="0"/>
          <w:numId w:val="62"/>
        </w:numPr>
        <w:tabs>
          <w:tab w:val="decimal" w:pos="4962"/>
          <w:tab w:val="decimal" w:pos="6379"/>
          <w:tab w:val="decimal" w:pos="7797"/>
          <w:tab w:val="decimal" w:pos="9214"/>
          <w:tab w:val="decimal" w:pos="10490"/>
          <w:tab w:val="decimal" w:pos="12049"/>
          <w:tab w:val="decimal" w:pos="13325"/>
          <w:tab w:val="decimal" w:pos="14601"/>
        </w:tabs>
        <w:spacing w:line="220" w:lineRule="exact"/>
        <w:ind w:right="12"/>
        <w:jc w:val="both"/>
        <w:outlineLvl w:val="3"/>
        <w:rPr>
          <w:szCs w:val="20"/>
          <w:lang w:val="es-AR" w:eastAsia="en-US"/>
        </w:rPr>
      </w:pPr>
      <w:r w:rsidRPr="0010523F">
        <w:rPr>
          <w:szCs w:val="20"/>
          <w:lang w:val="es-AR" w:eastAsia="en-US"/>
        </w:rPr>
        <w:t>Activos por derecho a uso (aplicación a partir del 1 de enero de 2019)</w:t>
      </w:r>
    </w:p>
    <w:p w14:paraId="6FBB621A" w14:textId="77777777" w:rsidR="0010523F" w:rsidRPr="0010523F" w:rsidRDefault="0010523F" w:rsidP="0010523F">
      <w:pPr>
        <w:tabs>
          <w:tab w:val="center" w:pos="6120"/>
          <w:tab w:val="center" w:pos="7680"/>
          <w:tab w:val="center" w:pos="9120"/>
        </w:tabs>
        <w:spacing w:line="140" w:lineRule="exact"/>
        <w:jc w:val="both"/>
        <w:rPr>
          <w:sz w:val="20"/>
          <w:szCs w:val="20"/>
          <w:highlight w:val="yellow"/>
          <w:lang w:val="es-AR" w:eastAsia="en-US"/>
        </w:rPr>
      </w:pPr>
    </w:p>
    <w:tbl>
      <w:tblPr>
        <w:tblW w:w="14748" w:type="dxa"/>
        <w:tblInd w:w="426" w:type="dxa"/>
        <w:tblLayout w:type="fixed"/>
        <w:tblCellMar>
          <w:left w:w="70" w:type="dxa"/>
          <w:right w:w="70" w:type="dxa"/>
        </w:tblCellMar>
        <w:tblLook w:val="04A0" w:firstRow="1" w:lastRow="0" w:firstColumn="1" w:lastColumn="0" w:noHBand="0" w:noVBand="1"/>
      </w:tblPr>
      <w:tblGrid>
        <w:gridCol w:w="2904"/>
        <w:gridCol w:w="850"/>
        <w:gridCol w:w="993"/>
        <w:gridCol w:w="992"/>
        <w:gridCol w:w="923"/>
        <w:gridCol w:w="999"/>
        <w:gridCol w:w="160"/>
        <w:gridCol w:w="1257"/>
        <w:gridCol w:w="993"/>
        <w:gridCol w:w="1134"/>
        <w:gridCol w:w="992"/>
        <w:gridCol w:w="1276"/>
        <w:gridCol w:w="47"/>
        <w:gridCol w:w="116"/>
        <w:gridCol w:w="44"/>
        <w:gridCol w:w="1068"/>
      </w:tblGrid>
      <w:tr w:rsidR="0010523F" w:rsidRPr="0010523F" w14:paraId="797D2F8E" w14:textId="77777777" w:rsidTr="00774E7E">
        <w:trPr>
          <w:cantSplit/>
          <w:trHeight w:val="90"/>
        </w:trPr>
        <w:tc>
          <w:tcPr>
            <w:tcW w:w="2904" w:type="dxa"/>
            <w:tcBorders>
              <w:top w:val="nil"/>
              <w:left w:val="nil"/>
              <w:bottom w:val="nil"/>
              <w:right w:val="nil"/>
            </w:tcBorders>
            <w:shd w:val="clear" w:color="auto" w:fill="auto"/>
            <w:vAlign w:val="center"/>
            <w:hideMark/>
          </w:tcPr>
          <w:p w14:paraId="02AF6F9E" w14:textId="77777777" w:rsidR="0010523F" w:rsidRPr="0010523F" w:rsidRDefault="0010523F" w:rsidP="0010523F">
            <w:pPr>
              <w:jc w:val="center"/>
              <w:rPr>
                <w:color w:val="000000"/>
                <w:sz w:val="18"/>
                <w:szCs w:val="18"/>
                <w:lang w:val="es-AR" w:eastAsia="es-AR"/>
              </w:rPr>
            </w:pPr>
          </w:p>
        </w:tc>
        <w:tc>
          <w:tcPr>
            <w:tcW w:w="4757" w:type="dxa"/>
            <w:gridSpan w:val="5"/>
            <w:tcBorders>
              <w:top w:val="nil"/>
              <w:left w:val="nil"/>
              <w:bottom w:val="single" w:sz="4" w:space="0" w:color="auto"/>
              <w:right w:val="nil"/>
            </w:tcBorders>
            <w:shd w:val="clear" w:color="auto" w:fill="auto"/>
            <w:vAlign w:val="center"/>
          </w:tcPr>
          <w:p w14:paraId="1F59B0BB"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Valores  de  origen</w:t>
            </w:r>
          </w:p>
        </w:tc>
        <w:tc>
          <w:tcPr>
            <w:tcW w:w="160" w:type="dxa"/>
            <w:tcBorders>
              <w:top w:val="nil"/>
              <w:left w:val="nil"/>
              <w:bottom w:val="nil"/>
              <w:right w:val="nil"/>
            </w:tcBorders>
            <w:shd w:val="clear" w:color="auto" w:fill="auto"/>
            <w:vAlign w:val="center"/>
            <w:hideMark/>
          </w:tcPr>
          <w:p w14:paraId="4EDDAF7B" w14:textId="77777777" w:rsidR="0010523F" w:rsidRPr="0010523F" w:rsidRDefault="0010523F" w:rsidP="0010523F">
            <w:pPr>
              <w:rPr>
                <w:color w:val="000000"/>
                <w:sz w:val="18"/>
                <w:szCs w:val="18"/>
                <w:lang w:val="es-AR" w:eastAsia="es-AR"/>
              </w:rPr>
            </w:pPr>
          </w:p>
        </w:tc>
        <w:tc>
          <w:tcPr>
            <w:tcW w:w="5699" w:type="dxa"/>
            <w:gridSpan w:val="6"/>
            <w:tcBorders>
              <w:top w:val="nil"/>
              <w:left w:val="nil"/>
              <w:bottom w:val="single" w:sz="4" w:space="0" w:color="auto"/>
              <w:right w:val="nil"/>
            </w:tcBorders>
            <w:shd w:val="clear" w:color="auto" w:fill="auto"/>
            <w:vAlign w:val="center"/>
            <w:hideMark/>
          </w:tcPr>
          <w:p w14:paraId="29A1DF58"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Depreciaciones</w:t>
            </w:r>
          </w:p>
        </w:tc>
        <w:tc>
          <w:tcPr>
            <w:tcW w:w="160" w:type="dxa"/>
            <w:gridSpan w:val="2"/>
            <w:tcBorders>
              <w:top w:val="nil"/>
              <w:left w:val="nil"/>
              <w:right w:val="nil"/>
            </w:tcBorders>
            <w:shd w:val="clear" w:color="auto" w:fill="auto"/>
            <w:vAlign w:val="center"/>
            <w:hideMark/>
          </w:tcPr>
          <w:p w14:paraId="42020EC2" w14:textId="77777777" w:rsidR="0010523F" w:rsidRPr="0010523F" w:rsidRDefault="0010523F" w:rsidP="0010523F">
            <w:pPr>
              <w:rPr>
                <w:color w:val="000000"/>
                <w:sz w:val="18"/>
                <w:szCs w:val="18"/>
                <w:lang w:val="es-AR" w:eastAsia="es-AR"/>
              </w:rPr>
            </w:pPr>
          </w:p>
        </w:tc>
        <w:tc>
          <w:tcPr>
            <w:tcW w:w="1068" w:type="dxa"/>
            <w:tcBorders>
              <w:top w:val="nil"/>
              <w:left w:val="nil"/>
              <w:bottom w:val="single" w:sz="4" w:space="0" w:color="auto"/>
              <w:right w:val="nil"/>
            </w:tcBorders>
            <w:shd w:val="clear" w:color="auto" w:fill="auto"/>
            <w:vAlign w:val="bottom"/>
            <w:hideMark/>
          </w:tcPr>
          <w:p w14:paraId="63FCEF82"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Neto resultante</w:t>
            </w:r>
          </w:p>
        </w:tc>
      </w:tr>
      <w:tr w:rsidR="0010523F" w:rsidRPr="0010523F" w14:paraId="3D1C158B" w14:textId="77777777" w:rsidTr="00774E7E">
        <w:trPr>
          <w:trHeight w:val="750"/>
        </w:trPr>
        <w:tc>
          <w:tcPr>
            <w:tcW w:w="2904" w:type="dxa"/>
            <w:tcBorders>
              <w:top w:val="nil"/>
              <w:left w:val="nil"/>
              <w:bottom w:val="nil"/>
              <w:right w:val="nil"/>
            </w:tcBorders>
            <w:shd w:val="clear" w:color="auto" w:fill="auto"/>
            <w:vAlign w:val="center"/>
            <w:hideMark/>
          </w:tcPr>
          <w:p w14:paraId="529658EA" w14:textId="77777777" w:rsidR="0010523F" w:rsidRPr="0010523F" w:rsidRDefault="0010523F" w:rsidP="0010523F">
            <w:pPr>
              <w:jc w:val="center"/>
              <w:rPr>
                <w:color w:val="000000"/>
                <w:sz w:val="18"/>
                <w:szCs w:val="18"/>
                <w:highlight w:val="yellow"/>
                <w:lang w:val="es-AR" w:eastAsia="es-AR"/>
              </w:rPr>
            </w:pPr>
          </w:p>
        </w:tc>
        <w:tc>
          <w:tcPr>
            <w:tcW w:w="850" w:type="dxa"/>
            <w:tcBorders>
              <w:top w:val="nil"/>
              <w:left w:val="nil"/>
              <w:bottom w:val="single" w:sz="4" w:space="0" w:color="auto"/>
              <w:right w:val="nil"/>
            </w:tcBorders>
            <w:shd w:val="clear" w:color="auto" w:fill="auto"/>
            <w:vAlign w:val="center"/>
            <w:hideMark/>
          </w:tcPr>
          <w:p w14:paraId="6CDDEC6F"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Valor al comienzo del ejercicio</w:t>
            </w:r>
          </w:p>
          <w:p w14:paraId="18C45FF4"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(1)</w:t>
            </w:r>
          </w:p>
        </w:tc>
        <w:tc>
          <w:tcPr>
            <w:tcW w:w="993" w:type="dxa"/>
            <w:tcBorders>
              <w:top w:val="nil"/>
              <w:left w:val="nil"/>
              <w:bottom w:val="single" w:sz="4" w:space="0" w:color="auto"/>
              <w:right w:val="nil"/>
            </w:tcBorders>
            <w:shd w:val="clear" w:color="auto" w:fill="auto"/>
            <w:vAlign w:val="center"/>
            <w:hideMark/>
          </w:tcPr>
          <w:p w14:paraId="40A1D068"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Aumentos del período</w:t>
            </w:r>
          </w:p>
        </w:tc>
        <w:tc>
          <w:tcPr>
            <w:tcW w:w="992" w:type="dxa"/>
            <w:tcBorders>
              <w:top w:val="nil"/>
              <w:left w:val="nil"/>
              <w:bottom w:val="single" w:sz="4" w:space="0" w:color="auto"/>
              <w:right w:val="nil"/>
            </w:tcBorders>
            <w:shd w:val="clear" w:color="auto" w:fill="auto"/>
            <w:vAlign w:val="center"/>
            <w:hideMark/>
          </w:tcPr>
          <w:p w14:paraId="1AC50B89"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Dismi-nuciones del período</w:t>
            </w:r>
          </w:p>
        </w:tc>
        <w:tc>
          <w:tcPr>
            <w:tcW w:w="923" w:type="dxa"/>
            <w:tcBorders>
              <w:top w:val="nil"/>
              <w:left w:val="nil"/>
              <w:bottom w:val="single" w:sz="4" w:space="0" w:color="auto"/>
              <w:right w:val="nil"/>
            </w:tcBorders>
            <w:shd w:val="clear" w:color="auto" w:fill="auto"/>
            <w:vAlign w:val="center"/>
            <w:hideMark/>
          </w:tcPr>
          <w:p w14:paraId="145853E0"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Efecto de conver-</w:t>
            </w:r>
          </w:p>
          <w:p w14:paraId="1B966855"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sión</w:t>
            </w:r>
          </w:p>
        </w:tc>
        <w:tc>
          <w:tcPr>
            <w:tcW w:w="999" w:type="dxa"/>
            <w:tcBorders>
              <w:top w:val="nil"/>
              <w:left w:val="nil"/>
              <w:bottom w:val="single" w:sz="4" w:space="0" w:color="auto"/>
              <w:right w:val="nil"/>
            </w:tcBorders>
            <w:shd w:val="clear" w:color="auto" w:fill="auto"/>
            <w:vAlign w:val="center"/>
            <w:hideMark/>
          </w:tcPr>
          <w:p w14:paraId="742D41F1"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Valor al cierre del período</w:t>
            </w:r>
          </w:p>
        </w:tc>
        <w:tc>
          <w:tcPr>
            <w:tcW w:w="160" w:type="dxa"/>
            <w:tcBorders>
              <w:top w:val="nil"/>
              <w:left w:val="nil"/>
              <w:right w:val="nil"/>
            </w:tcBorders>
            <w:shd w:val="clear" w:color="auto" w:fill="auto"/>
            <w:vAlign w:val="center"/>
            <w:hideMark/>
          </w:tcPr>
          <w:p w14:paraId="0747BC2E" w14:textId="77777777" w:rsidR="0010523F" w:rsidRPr="0010523F" w:rsidRDefault="0010523F" w:rsidP="0010523F">
            <w:pPr>
              <w:jc w:val="center"/>
              <w:rPr>
                <w:color w:val="000000"/>
                <w:sz w:val="18"/>
                <w:szCs w:val="18"/>
                <w:lang w:val="es-AR" w:eastAsia="es-AR"/>
              </w:rPr>
            </w:pPr>
          </w:p>
        </w:tc>
        <w:tc>
          <w:tcPr>
            <w:tcW w:w="1257" w:type="dxa"/>
            <w:tcBorders>
              <w:top w:val="nil"/>
              <w:left w:val="nil"/>
              <w:bottom w:val="single" w:sz="4" w:space="0" w:color="auto"/>
              <w:right w:val="nil"/>
            </w:tcBorders>
            <w:shd w:val="clear" w:color="auto" w:fill="auto"/>
            <w:vAlign w:val="center"/>
            <w:hideMark/>
          </w:tcPr>
          <w:p w14:paraId="660AED7A"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Acumuladas al comienzo del ejercicio</w:t>
            </w:r>
          </w:p>
        </w:tc>
        <w:tc>
          <w:tcPr>
            <w:tcW w:w="993" w:type="dxa"/>
            <w:tcBorders>
              <w:top w:val="nil"/>
              <w:left w:val="nil"/>
              <w:bottom w:val="single" w:sz="4" w:space="0" w:color="auto"/>
              <w:right w:val="nil"/>
            </w:tcBorders>
            <w:shd w:val="clear" w:color="auto" w:fill="auto"/>
            <w:vAlign w:val="center"/>
            <w:hideMark/>
          </w:tcPr>
          <w:p w14:paraId="4C454713"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Del período</w:t>
            </w:r>
          </w:p>
        </w:tc>
        <w:tc>
          <w:tcPr>
            <w:tcW w:w="1134" w:type="dxa"/>
            <w:tcBorders>
              <w:top w:val="nil"/>
              <w:left w:val="nil"/>
              <w:bottom w:val="single" w:sz="4" w:space="0" w:color="auto"/>
              <w:right w:val="nil"/>
            </w:tcBorders>
            <w:shd w:val="clear" w:color="auto" w:fill="auto"/>
            <w:vAlign w:val="center"/>
            <w:hideMark/>
          </w:tcPr>
          <w:p w14:paraId="18C47102"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Dismi-nuciones del período</w:t>
            </w:r>
          </w:p>
        </w:tc>
        <w:tc>
          <w:tcPr>
            <w:tcW w:w="992" w:type="dxa"/>
            <w:tcBorders>
              <w:top w:val="nil"/>
              <w:left w:val="nil"/>
              <w:bottom w:val="single" w:sz="4" w:space="0" w:color="auto"/>
              <w:right w:val="nil"/>
            </w:tcBorders>
            <w:shd w:val="clear" w:color="auto" w:fill="auto"/>
            <w:vAlign w:val="center"/>
            <w:hideMark/>
          </w:tcPr>
          <w:p w14:paraId="433009AE"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Efecto de conver-</w:t>
            </w:r>
          </w:p>
          <w:p w14:paraId="24F03BA5"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sión</w:t>
            </w:r>
          </w:p>
        </w:tc>
        <w:tc>
          <w:tcPr>
            <w:tcW w:w="1276" w:type="dxa"/>
            <w:tcBorders>
              <w:top w:val="nil"/>
              <w:left w:val="nil"/>
              <w:bottom w:val="single" w:sz="4" w:space="0" w:color="auto"/>
              <w:right w:val="nil"/>
            </w:tcBorders>
            <w:shd w:val="clear" w:color="auto" w:fill="auto"/>
            <w:vAlign w:val="center"/>
            <w:hideMark/>
          </w:tcPr>
          <w:p w14:paraId="2F2CDDD8"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Acumuladas al cierre del período</w:t>
            </w:r>
          </w:p>
        </w:tc>
        <w:tc>
          <w:tcPr>
            <w:tcW w:w="163" w:type="dxa"/>
            <w:gridSpan w:val="2"/>
            <w:tcBorders>
              <w:top w:val="nil"/>
              <w:left w:val="nil"/>
              <w:right w:val="nil"/>
            </w:tcBorders>
            <w:shd w:val="clear" w:color="auto" w:fill="auto"/>
            <w:vAlign w:val="center"/>
            <w:hideMark/>
          </w:tcPr>
          <w:p w14:paraId="67476415" w14:textId="77777777" w:rsidR="0010523F" w:rsidRPr="0010523F" w:rsidRDefault="0010523F" w:rsidP="0010523F">
            <w:pPr>
              <w:jc w:val="center"/>
              <w:rPr>
                <w:color w:val="000000"/>
                <w:sz w:val="18"/>
                <w:szCs w:val="18"/>
                <w:lang w:val="es-AR" w:eastAsia="es-AR"/>
              </w:rPr>
            </w:pPr>
          </w:p>
        </w:tc>
        <w:tc>
          <w:tcPr>
            <w:tcW w:w="1112" w:type="dxa"/>
            <w:gridSpan w:val="2"/>
            <w:tcBorders>
              <w:top w:val="nil"/>
              <w:left w:val="nil"/>
              <w:bottom w:val="single" w:sz="4" w:space="0" w:color="auto"/>
              <w:right w:val="nil"/>
            </w:tcBorders>
            <w:shd w:val="clear" w:color="auto" w:fill="auto"/>
            <w:vAlign w:val="center"/>
            <w:hideMark/>
          </w:tcPr>
          <w:p w14:paraId="38D777CF"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30/09/2019</w:t>
            </w:r>
          </w:p>
        </w:tc>
      </w:tr>
      <w:tr w:rsidR="0010523F" w:rsidRPr="0010523F" w14:paraId="4B89B2B4" w14:textId="77777777" w:rsidTr="00774E7E">
        <w:trPr>
          <w:trHeight w:val="240"/>
        </w:trPr>
        <w:tc>
          <w:tcPr>
            <w:tcW w:w="2904" w:type="dxa"/>
            <w:tcBorders>
              <w:top w:val="nil"/>
              <w:left w:val="nil"/>
              <w:bottom w:val="nil"/>
              <w:right w:val="nil"/>
            </w:tcBorders>
            <w:shd w:val="clear" w:color="auto" w:fill="auto"/>
            <w:vAlign w:val="center"/>
            <w:hideMark/>
          </w:tcPr>
          <w:p w14:paraId="79734B10" w14:textId="77777777" w:rsidR="0010523F" w:rsidRPr="0010523F" w:rsidRDefault="0010523F" w:rsidP="0010523F">
            <w:pPr>
              <w:jc w:val="both"/>
              <w:rPr>
                <w:color w:val="000000"/>
                <w:sz w:val="18"/>
                <w:szCs w:val="18"/>
                <w:u w:val="single"/>
                <w:lang w:val="es-AR" w:eastAsia="es-AR"/>
              </w:rPr>
            </w:pPr>
            <w:r w:rsidRPr="0010523F">
              <w:rPr>
                <w:color w:val="000000"/>
                <w:sz w:val="18"/>
                <w:szCs w:val="18"/>
                <w:u w:val="single"/>
                <w:lang w:val="es-AR" w:eastAsia="es-AR"/>
              </w:rPr>
              <w:t xml:space="preserve">Cuenta principal </w:t>
            </w:r>
          </w:p>
        </w:tc>
        <w:tc>
          <w:tcPr>
            <w:tcW w:w="850" w:type="dxa"/>
            <w:tcBorders>
              <w:top w:val="single" w:sz="4" w:space="0" w:color="auto"/>
              <w:left w:val="nil"/>
              <w:bottom w:val="nil"/>
              <w:right w:val="nil"/>
            </w:tcBorders>
            <w:shd w:val="clear" w:color="auto" w:fill="auto"/>
            <w:vAlign w:val="center"/>
            <w:hideMark/>
          </w:tcPr>
          <w:p w14:paraId="57138F49" w14:textId="77777777" w:rsidR="0010523F" w:rsidRPr="0010523F" w:rsidRDefault="0010523F" w:rsidP="0010523F">
            <w:pPr>
              <w:jc w:val="center"/>
              <w:rPr>
                <w:color w:val="000000"/>
                <w:sz w:val="18"/>
                <w:szCs w:val="18"/>
                <w:highlight w:val="yellow"/>
                <w:u w:val="single"/>
                <w:lang w:val="es-AR" w:eastAsia="es-AR"/>
              </w:rPr>
            </w:pPr>
          </w:p>
        </w:tc>
        <w:tc>
          <w:tcPr>
            <w:tcW w:w="993" w:type="dxa"/>
            <w:tcBorders>
              <w:top w:val="single" w:sz="4" w:space="0" w:color="auto"/>
              <w:left w:val="nil"/>
              <w:bottom w:val="nil"/>
              <w:right w:val="nil"/>
            </w:tcBorders>
            <w:shd w:val="clear" w:color="auto" w:fill="auto"/>
            <w:vAlign w:val="center"/>
            <w:hideMark/>
          </w:tcPr>
          <w:p w14:paraId="246CC1B5" w14:textId="77777777" w:rsidR="0010523F" w:rsidRPr="0010523F" w:rsidRDefault="0010523F" w:rsidP="0010523F">
            <w:pPr>
              <w:rPr>
                <w:color w:val="000000"/>
                <w:sz w:val="18"/>
                <w:szCs w:val="18"/>
                <w:highlight w:val="yellow"/>
                <w:u w:val="single"/>
                <w:lang w:val="es-AR" w:eastAsia="es-AR"/>
              </w:rPr>
            </w:pPr>
          </w:p>
        </w:tc>
        <w:tc>
          <w:tcPr>
            <w:tcW w:w="992" w:type="dxa"/>
            <w:tcBorders>
              <w:top w:val="single" w:sz="4" w:space="0" w:color="auto"/>
              <w:left w:val="nil"/>
              <w:bottom w:val="nil"/>
              <w:right w:val="nil"/>
            </w:tcBorders>
            <w:shd w:val="clear" w:color="auto" w:fill="auto"/>
            <w:vAlign w:val="center"/>
            <w:hideMark/>
          </w:tcPr>
          <w:p w14:paraId="7B4FFC97" w14:textId="77777777" w:rsidR="0010523F" w:rsidRPr="0010523F" w:rsidRDefault="0010523F" w:rsidP="0010523F">
            <w:pPr>
              <w:jc w:val="center"/>
              <w:rPr>
                <w:color w:val="000000"/>
                <w:sz w:val="18"/>
                <w:szCs w:val="18"/>
                <w:u w:val="single"/>
                <w:lang w:val="es-AR" w:eastAsia="es-AR"/>
              </w:rPr>
            </w:pPr>
          </w:p>
        </w:tc>
        <w:tc>
          <w:tcPr>
            <w:tcW w:w="923" w:type="dxa"/>
            <w:tcBorders>
              <w:top w:val="single" w:sz="4" w:space="0" w:color="auto"/>
              <w:left w:val="nil"/>
              <w:bottom w:val="nil"/>
              <w:right w:val="nil"/>
            </w:tcBorders>
            <w:shd w:val="clear" w:color="auto" w:fill="auto"/>
            <w:vAlign w:val="bottom"/>
            <w:hideMark/>
          </w:tcPr>
          <w:p w14:paraId="469A23C4" w14:textId="77777777" w:rsidR="0010523F" w:rsidRPr="0010523F" w:rsidRDefault="0010523F" w:rsidP="0010523F">
            <w:pPr>
              <w:rPr>
                <w:rFonts w:ascii="Calibri" w:hAnsi="Calibri"/>
                <w:color w:val="000000"/>
                <w:sz w:val="18"/>
                <w:szCs w:val="18"/>
                <w:highlight w:val="yellow"/>
                <w:lang w:val="es-AR" w:eastAsia="es-AR"/>
              </w:rPr>
            </w:pPr>
          </w:p>
        </w:tc>
        <w:tc>
          <w:tcPr>
            <w:tcW w:w="999" w:type="dxa"/>
            <w:tcBorders>
              <w:top w:val="single" w:sz="4" w:space="0" w:color="auto"/>
              <w:left w:val="nil"/>
              <w:bottom w:val="nil"/>
              <w:right w:val="nil"/>
            </w:tcBorders>
            <w:shd w:val="clear" w:color="auto" w:fill="auto"/>
            <w:vAlign w:val="center"/>
            <w:hideMark/>
          </w:tcPr>
          <w:p w14:paraId="225AFA3C" w14:textId="77777777" w:rsidR="0010523F" w:rsidRPr="0010523F" w:rsidRDefault="0010523F" w:rsidP="0010523F">
            <w:pPr>
              <w:rPr>
                <w:color w:val="000000"/>
                <w:sz w:val="18"/>
                <w:szCs w:val="18"/>
                <w:highlight w:val="yellow"/>
                <w:u w:val="single"/>
                <w:lang w:val="es-AR" w:eastAsia="es-AR"/>
              </w:rPr>
            </w:pPr>
          </w:p>
        </w:tc>
        <w:tc>
          <w:tcPr>
            <w:tcW w:w="160" w:type="dxa"/>
            <w:tcBorders>
              <w:left w:val="nil"/>
              <w:bottom w:val="nil"/>
              <w:right w:val="nil"/>
            </w:tcBorders>
            <w:shd w:val="clear" w:color="auto" w:fill="auto"/>
            <w:vAlign w:val="center"/>
            <w:hideMark/>
          </w:tcPr>
          <w:p w14:paraId="173E9615" w14:textId="77777777" w:rsidR="0010523F" w:rsidRPr="0010523F" w:rsidRDefault="0010523F" w:rsidP="0010523F">
            <w:pPr>
              <w:rPr>
                <w:color w:val="000000"/>
                <w:sz w:val="18"/>
                <w:szCs w:val="18"/>
                <w:highlight w:val="yellow"/>
                <w:u w:val="single"/>
                <w:lang w:val="es-AR" w:eastAsia="es-AR"/>
              </w:rPr>
            </w:pPr>
          </w:p>
        </w:tc>
        <w:tc>
          <w:tcPr>
            <w:tcW w:w="1257" w:type="dxa"/>
            <w:tcBorders>
              <w:top w:val="single" w:sz="4" w:space="0" w:color="auto"/>
              <w:left w:val="nil"/>
              <w:bottom w:val="nil"/>
              <w:right w:val="nil"/>
            </w:tcBorders>
            <w:shd w:val="clear" w:color="auto" w:fill="auto"/>
            <w:vAlign w:val="center"/>
            <w:hideMark/>
          </w:tcPr>
          <w:p w14:paraId="571065A4" w14:textId="77777777" w:rsidR="0010523F" w:rsidRPr="0010523F" w:rsidRDefault="0010523F" w:rsidP="0010523F">
            <w:pPr>
              <w:rPr>
                <w:color w:val="000000"/>
                <w:sz w:val="18"/>
                <w:szCs w:val="18"/>
                <w:highlight w:val="yellow"/>
                <w:u w:val="single"/>
                <w:lang w:val="es-AR" w:eastAsia="es-AR"/>
              </w:rPr>
            </w:pPr>
          </w:p>
        </w:tc>
        <w:tc>
          <w:tcPr>
            <w:tcW w:w="993" w:type="dxa"/>
            <w:tcBorders>
              <w:top w:val="single" w:sz="4" w:space="0" w:color="auto"/>
              <w:left w:val="nil"/>
              <w:bottom w:val="nil"/>
              <w:right w:val="nil"/>
            </w:tcBorders>
            <w:shd w:val="clear" w:color="auto" w:fill="auto"/>
            <w:vAlign w:val="bottom"/>
            <w:hideMark/>
          </w:tcPr>
          <w:p w14:paraId="2B181F65" w14:textId="77777777" w:rsidR="0010523F" w:rsidRPr="0010523F" w:rsidRDefault="0010523F" w:rsidP="0010523F">
            <w:pPr>
              <w:rPr>
                <w:rFonts w:ascii="Calibri" w:hAnsi="Calibri"/>
                <w:color w:val="000000"/>
                <w:sz w:val="18"/>
                <w:szCs w:val="18"/>
                <w:highlight w:val="yellow"/>
                <w:lang w:val="es-AR" w:eastAsia="es-AR"/>
              </w:rPr>
            </w:pPr>
          </w:p>
        </w:tc>
        <w:tc>
          <w:tcPr>
            <w:tcW w:w="1134" w:type="dxa"/>
            <w:tcBorders>
              <w:top w:val="single" w:sz="4" w:space="0" w:color="auto"/>
              <w:left w:val="nil"/>
              <w:bottom w:val="nil"/>
              <w:right w:val="nil"/>
            </w:tcBorders>
            <w:shd w:val="clear" w:color="auto" w:fill="auto"/>
            <w:vAlign w:val="center"/>
            <w:hideMark/>
          </w:tcPr>
          <w:p w14:paraId="57791EDC" w14:textId="77777777" w:rsidR="0010523F" w:rsidRPr="0010523F" w:rsidRDefault="0010523F" w:rsidP="0010523F">
            <w:pPr>
              <w:rPr>
                <w:color w:val="000000"/>
                <w:sz w:val="18"/>
                <w:szCs w:val="18"/>
                <w:highlight w:val="yellow"/>
                <w:u w:val="single"/>
                <w:lang w:val="es-AR" w:eastAsia="es-AR"/>
              </w:rPr>
            </w:pPr>
          </w:p>
        </w:tc>
        <w:tc>
          <w:tcPr>
            <w:tcW w:w="992" w:type="dxa"/>
            <w:tcBorders>
              <w:top w:val="single" w:sz="4" w:space="0" w:color="auto"/>
              <w:left w:val="nil"/>
              <w:bottom w:val="nil"/>
              <w:right w:val="nil"/>
            </w:tcBorders>
            <w:shd w:val="clear" w:color="auto" w:fill="auto"/>
            <w:vAlign w:val="center"/>
            <w:hideMark/>
          </w:tcPr>
          <w:p w14:paraId="5CA1CE76" w14:textId="77777777" w:rsidR="0010523F" w:rsidRPr="0010523F" w:rsidRDefault="0010523F" w:rsidP="0010523F">
            <w:pPr>
              <w:rPr>
                <w:color w:val="000000"/>
                <w:sz w:val="18"/>
                <w:szCs w:val="18"/>
                <w:highlight w:val="yellow"/>
                <w:lang w:val="es-AR" w:eastAsia="es-AR"/>
              </w:rPr>
            </w:pPr>
          </w:p>
        </w:tc>
        <w:tc>
          <w:tcPr>
            <w:tcW w:w="1276" w:type="dxa"/>
            <w:tcBorders>
              <w:top w:val="single" w:sz="4" w:space="0" w:color="auto"/>
              <w:left w:val="nil"/>
              <w:bottom w:val="nil"/>
              <w:right w:val="nil"/>
            </w:tcBorders>
            <w:shd w:val="clear" w:color="auto" w:fill="auto"/>
            <w:vAlign w:val="center"/>
            <w:hideMark/>
          </w:tcPr>
          <w:p w14:paraId="467A7E53" w14:textId="77777777" w:rsidR="0010523F" w:rsidRPr="0010523F" w:rsidRDefault="0010523F" w:rsidP="0010523F">
            <w:pPr>
              <w:rPr>
                <w:color w:val="000000"/>
                <w:sz w:val="18"/>
                <w:szCs w:val="18"/>
                <w:highlight w:val="yellow"/>
                <w:u w:val="single"/>
                <w:lang w:val="es-AR" w:eastAsia="es-AR"/>
              </w:rPr>
            </w:pPr>
          </w:p>
        </w:tc>
        <w:tc>
          <w:tcPr>
            <w:tcW w:w="163" w:type="dxa"/>
            <w:gridSpan w:val="2"/>
            <w:tcBorders>
              <w:left w:val="nil"/>
              <w:bottom w:val="nil"/>
              <w:right w:val="nil"/>
            </w:tcBorders>
            <w:shd w:val="clear" w:color="auto" w:fill="auto"/>
            <w:vAlign w:val="center"/>
            <w:hideMark/>
          </w:tcPr>
          <w:p w14:paraId="644D20D9" w14:textId="77777777" w:rsidR="0010523F" w:rsidRPr="0010523F" w:rsidRDefault="0010523F" w:rsidP="0010523F">
            <w:pPr>
              <w:rPr>
                <w:color w:val="000000"/>
                <w:sz w:val="18"/>
                <w:szCs w:val="18"/>
                <w:highlight w:val="yellow"/>
                <w:u w:val="single"/>
                <w:lang w:val="es-AR" w:eastAsia="es-AR"/>
              </w:rPr>
            </w:pPr>
          </w:p>
        </w:tc>
        <w:tc>
          <w:tcPr>
            <w:tcW w:w="1112" w:type="dxa"/>
            <w:gridSpan w:val="2"/>
            <w:tcBorders>
              <w:top w:val="single" w:sz="4" w:space="0" w:color="auto"/>
              <w:left w:val="nil"/>
              <w:bottom w:val="nil"/>
              <w:right w:val="nil"/>
            </w:tcBorders>
            <w:shd w:val="clear" w:color="auto" w:fill="auto"/>
            <w:vAlign w:val="center"/>
            <w:hideMark/>
          </w:tcPr>
          <w:p w14:paraId="7DF217D8" w14:textId="77777777" w:rsidR="0010523F" w:rsidRPr="0010523F" w:rsidRDefault="0010523F" w:rsidP="0010523F">
            <w:pPr>
              <w:jc w:val="center"/>
              <w:rPr>
                <w:color w:val="000000"/>
                <w:sz w:val="18"/>
                <w:szCs w:val="18"/>
                <w:highlight w:val="yellow"/>
                <w:u w:val="single"/>
                <w:lang w:val="es-AR" w:eastAsia="es-AR"/>
              </w:rPr>
            </w:pPr>
          </w:p>
        </w:tc>
      </w:tr>
      <w:tr w:rsidR="0010523F" w:rsidRPr="0010523F" w14:paraId="2A62DB09" w14:textId="77777777" w:rsidTr="00774E7E">
        <w:trPr>
          <w:trHeight w:val="82"/>
        </w:trPr>
        <w:tc>
          <w:tcPr>
            <w:tcW w:w="2904" w:type="dxa"/>
            <w:tcBorders>
              <w:top w:val="nil"/>
              <w:left w:val="nil"/>
              <w:bottom w:val="nil"/>
              <w:right w:val="nil"/>
            </w:tcBorders>
            <w:shd w:val="clear" w:color="auto" w:fill="auto"/>
            <w:vAlign w:val="center"/>
            <w:hideMark/>
          </w:tcPr>
          <w:p w14:paraId="7C997954" w14:textId="77777777" w:rsidR="0010523F" w:rsidRPr="0010523F" w:rsidRDefault="0010523F" w:rsidP="0010523F">
            <w:pPr>
              <w:spacing w:line="100" w:lineRule="exact"/>
              <w:rPr>
                <w:color w:val="000000"/>
                <w:sz w:val="18"/>
                <w:szCs w:val="18"/>
                <w:lang w:val="es-AR" w:eastAsia="es-AR"/>
              </w:rPr>
            </w:pPr>
          </w:p>
        </w:tc>
        <w:tc>
          <w:tcPr>
            <w:tcW w:w="850" w:type="dxa"/>
            <w:tcBorders>
              <w:top w:val="nil"/>
              <w:left w:val="nil"/>
              <w:bottom w:val="nil"/>
              <w:right w:val="nil"/>
            </w:tcBorders>
            <w:shd w:val="clear" w:color="auto" w:fill="auto"/>
            <w:vAlign w:val="center"/>
            <w:hideMark/>
          </w:tcPr>
          <w:p w14:paraId="26D098D5" w14:textId="77777777" w:rsidR="0010523F" w:rsidRPr="0010523F" w:rsidRDefault="0010523F" w:rsidP="0010523F">
            <w:pPr>
              <w:spacing w:line="100" w:lineRule="exact"/>
              <w:rPr>
                <w:color w:val="000000"/>
                <w:sz w:val="18"/>
                <w:szCs w:val="18"/>
                <w:highlight w:val="yellow"/>
                <w:lang w:val="es-AR" w:eastAsia="es-AR"/>
              </w:rPr>
            </w:pPr>
          </w:p>
        </w:tc>
        <w:tc>
          <w:tcPr>
            <w:tcW w:w="993" w:type="dxa"/>
            <w:tcBorders>
              <w:top w:val="nil"/>
              <w:left w:val="nil"/>
              <w:bottom w:val="nil"/>
              <w:right w:val="nil"/>
            </w:tcBorders>
            <w:shd w:val="clear" w:color="auto" w:fill="auto"/>
            <w:vAlign w:val="center"/>
            <w:hideMark/>
          </w:tcPr>
          <w:p w14:paraId="2B83ED09" w14:textId="77777777" w:rsidR="0010523F" w:rsidRPr="0010523F" w:rsidRDefault="0010523F" w:rsidP="0010523F">
            <w:pPr>
              <w:spacing w:line="100" w:lineRule="exact"/>
              <w:rPr>
                <w:color w:val="000000"/>
                <w:sz w:val="18"/>
                <w:szCs w:val="18"/>
                <w:lang w:val="es-AR" w:eastAsia="es-AR"/>
              </w:rPr>
            </w:pPr>
          </w:p>
        </w:tc>
        <w:tc>
          <w:tcPr>
            <w:tcW w:w="992" w:type="dxa"/>
            <w:tcBorders>
              <w:top w:val="nil"/>
              <w:left w:val="nil"/>
              <w:bottom w:val="nil"/>
              <w:right w:val="nil"/>
            </w:tcBorders>
            <w:shd w:val="clear" w:color="auto" w:fill="auto"/>
            <w:vAlign w:val="center"/>
            <w:hideMark/>
          </w:tcPr>
          <w:p w14:paraId="7F293AF2" w14:textId="77777777" w:rsidR="0010523F" w:rsidRPr="0010523F" w:rsidRDefault="0010523F" w:rsidP="0010523F">
            <w:pPr>
              <w:spacing w:line="100" w:lineRule="exact"/>
              <w:rPr>
                <w:color w:val="000000"/>
                <w:sz w:val="18"/>
                <w:szCs w:val="18"/>
                <w:lang w:val="es-AR" w:eastAsia="es-AR"/>
              </w:rPr>
            </w:pPr>
          </w:p>
        </w:tc>
        <w:tc>
          <w:tcPr>
            <w:tcW w:w="923" w:type="dxa"/>
            <w:tcBorders>
              <w:top w:val="nil"/>
              <w:left w:val="nil"/>
              <w:bottom w:val="nil"/>
              <w:right w:val="nil"/>
            </w:tcBorders>
            <w:shd w:val="clear" w:color="auto" w:fill="auto"/>
            <w:vAlign w:val="center"/>
            <w:hideMark/>
          </w:tcPr>
          <w:p w14:paraId="6BC75D75" w14:textId="77777777" w:rsidR="0010523F" w:rsidRPr="0010523F" w:rsidRDefault="0010523F" w:rsidP="0010523F">
            <w:pPr>
              <w:spacing w:line="100" w:lineRule="exact"/>
              <w:rPr>
                <w:color w:val="000000"/>
                <w:sz w:val="18"/>
                <w:szCs w:val="18"/>
                <w:highlight w:val="yellow"/>
                <w:lang w:val="es-AR" w:eastAsia="es-AR"/>
              </w:rPr>
            </w:pPr>
          </w:p>
        </w:tc>
        <w:tc>
          <w:tcPr>
            <w:tcW w:w="999" w:type="dxa"/>
            <w:tcBorders>
              <w:top w:val="nil"/>
              <w:left w:val="nil"/>
              <w:bottom w:val="nil"/>
              <w:right w:val="nil"/>
            </w:tcBorders>
            <w:shd w:val="clear" w:color="auto" w:fill="auto"/>
            <w:vAlign w:val="center"/>
            <w:hideMark/>
          </w:tcPr>
          <w:p w14:paraId="5A5941F8" w14:textId="77777777" w:rsidR="0010523F" w:rsidRPr="0010523F" w:rsidRDefault="0010523F" w:rsidP="0010523F">
            <w:pPr>
              <w:spacing w:line="100" w:lineRule="exact"/>
              <w:rPr>
                <w:color w:val="000000"/>
                <w:sz w:val="18"/>
                <w:szCs w:val="18"/>
                <w:highlight w:val="yellow"/>
                <w:lang w:val="es-AR" w:eastAsia="es-AR"/>
              </w:rPr>
            </w:pPr>
          </w:p>
        </w:tc>
        <w:tc>
          <w:tcPr>
            <w:tcW w:w="160" w:type="dxa"/>
            <w:tcBorders>
              <w:top w:val="nil"/>
              <w:left w:val="nil"/>
              <w:bottom w:val="nil"/>
              <w:right w:val="nil"/>
            </w:tcBorders>
            <w:shd w:val="clear" w:color="auto" w:fill="auto"/>
            <w:vAlign w:val="center"/>
            <w:hideMark/>
          </w:tcPr>
          <w:p w14:paraId="2D44B9A9" w14:textId="77777777" w:rsidR="0010523F" w:rsidRPr="0010523F" w:rsidRDefault="0010523F" w:rsidP="0010523F">
            <w:pPr>
              <w:spacing w:line="100" w:lineRule="exact"/>
              <w:rPr>
                <w:color w:val="000000"/>
                <w:sz w:val="18"/>
                <w:szCs w:val="18"/>
                <w:highlight w:val="yellow"/>
                <w:lang w:val="es-AR" w:eastAsia="es-AR"/>
              </w:rPr>
            </w:pPr>
          </w:p>
        </w:tc>
        <w:tc>
          <w:tcPr>
            <w:tcW w:w="1257" w:type="dxa"/>
            <w:tcBorders>
              <w:top w:val="nil"/>
              <w:left w:val="nil"/>
              <w:bottom w:val="nil"/>
              <w:right w:val="nil"/>
            </w:tcBorders>
            <w:shd w:val="clear" w:color="auto" w:fill="auto"/>
            <w:vAlign w:val="center"/>
            <w:hideMark/>
          </w:tcPr>
          <w:p w14:paraId="409357D2" w14:textId="77777777" w:rsidR="0010523F" w:rsidRPr="0010523F" w:rsidRDefault="0010523F" w:rsidP="0010523F">
            <w:pPr>
              <w:spacing w:line="100" w:lineRule="exact"/>
              <w:rPr>
                <w:color w:val="000000"/>
                <w:sz w:val="18"/>
                <w:szCs w:val="18"/>
                <w:highlight w:val="yellow"/>
                <w:lang w:val="es-AR" w:eastAsia="es-AR"/>
              </w:rPr>
            </w:pPr>
          </w:p>
        </w:tc>
        <w:tc>
          <w:tcPr>
            <w:tcW w:w="993" w:type="dxa"/>
            <w:tcBorders>
              <w:top w:val="nil"/>
              <w:left w:val="nil"/>
              <w:bottom w:val="nil"/>
              <w:right w:val="nil"/>
            </w:tcBorders>
            <w:shd w:val="clear" w:color="auto" w:fill="auto"/>
            <w:vAlign w:val="center"/>
            <w:hideMark/>
          </w:tcPr>
          <w:p w14:paraId="6F9CDB71" w14:textId="77777777" w:rsidR="0010523F" w:rsidRPr="0010523F" w:rsidRDefault="0010523F" w:rsidP="0010523F">
            <w:pPr>
              <w:spacing w:line="100" w:lineRule="exact"/>
              <w:rPr>
                <w:color w:val="000000"/>
                <w:sz w:val="18"/>
                <w:szCs w:val="18"/>
                <w:highlight w:val="yellow"/>
                <w:lang w:val="es-AR" w:eastAsia="es-AR"/>
              </w:rPr>
            </w:pPr>
          </w:p>
        </w:tc>
        <w:tc>
          <w:tcPr>
            <w:tcW w:w="1134" w:type="dxa"/>
            <w:tcBorders>
              <w:top w:val="nil"/>
              <w:left w:val="nil"/>
              <w:bottom w:val="nil"/>
              <w:right w:val="nil"/>
            </w:tcBorders>
            <w:shd w:val="clear" w:color="auto" w:fill="auto"/>
            <w:vAlign w:val="center"/>
            <w:hideMark/>
          </w:tcPr>
          <w:p w14:paraId="6F9B7B2E" w14:textId="77777777" w:rsidR="0010523F" w:rsidRPr="0010523F" w:rsidRDefault="0010523F" w:rsidP="0010523F">
            <w:pPr>
              <w:spacing w:line="100" w:lineRule="exact"/>
              <w:rPr>
                <w:color w:val="000000"/>
                <w:sz w:val="18"/>
                <w:szCs w:val="18"/>
                <w:highlight w:val="yellow"/>
                <w:lang w:val="es-AR" w:eastAsia="es-AR"/>
              </w:rPr>
            </w:pPr>
          </w:p>
        </w:tc>
        <w:tc>
          <w:tcPr>
            <w:tcW w:w="992" w:type="dxa"/>
            <w:tcBorders>
              <w:top w:val="nil"/>
              <w:left w:val="nil"/>
              <w:bottom w:val="nil"/>
              <w:right w:val="nil"/>
            </w:tcBorders>
            <w:shd w:val="clear" w:color="auto" w:fill="auto"/>
            <w:vAlign w:val="center"/>
            <w:hideMark/>
          </w:tcPr>
          <w:p w14:paraId="3AD17ABD" w14:textId="77777777" w:rsidR="0010523F" w:rsidRPr="0010523F" w:rsidRDefault="0010523F" w:rsidP="0010523F">
            <w:pPr>
              <w:spacing w:line="100" w:lineRule="exact"/>
              <w:rPr>
                <w:color w:val="000000"/>
                <w:sz w:val="18"/>
                <w:szCs w:val="18"/>
                <w:lang w:val="es-AR" w:eastAsia="es-AR"/>
              </w:rPr>
            </w:pPr>
          </w:p>
        </w:tc>
        <w:tc>
          <w:tcPr>
            <w:tcW w:w="1276" w:type="dxa"/>
            <w:tcBorders>
              <w:top w:val="nil"/>
              <w:left w:val="nil"/>
              <w:bottom w:val="nil"/>
              <w:right w:val="nil"/>
            </w:tcBorders>
            <w:shd w:val="clear" w:color="auto" w:fill="auto"/>
            <w:vAlign w:val="center"/>
            <w:hideMark/>
          </w:tcPr>
          <w:p w14:paraId="115E7536" w14:textId="77777777" w:rsidR="0010523F" w:rsidRPr="0010523F" w:rsidRDefault="0010523F" w:rsidP="0010523F">
            <w:pPr>
              <w:spacing w:line="100" w:lineRule="exact"/>
              <w:rPr>
                <w:color w:val="000000"/>
                <w:sz w:val="18"/>
                <w:szCs w:val="18"/>
                <w:highlight w:val="yellow"/>
                <w:lang w:val="es-AR" w:eastAsia="es-AR"/>
              </w:rPr>
            </w:pPr>
          </w:p>
        </w:tc>
        <w:tc>
          <w:tcPr>
            <w:tcW w:w="163" w:type="dxa"/>
            <w:gridSpan w:val="2"/>
            <w:tcBorders>
              <w:top w:val="nil"/>
              <w:left w:val="nil"/>
              <w:bottom w:val="nil"/>
              <w:right w:val="nil"/>
            </w:tcBorders>
            <w:shd w:val="clear" w:color="auto" w:fill="auto"/>
            <w:vAlign w:val="center"/>
            <w:hideMark/>
          </w:tcPr>
          <w:p w14:paraId="6FC35635" w14:textId="77777777" w:rsidR="0010523F" w:rsidRPr="0010523F" w:rsidRDefault="0010523F" w:rsidP="0010523F">
            <w:pPr>
              <w:spacing w:line="100" w:lineRule="exact"/>
              <w:rPr>
                <w:color w:val="000000"/>
                <w:sz w:val="18"/>
                <w:szCs w:val="18"/>
                <w:highlight w:val="yellow"/>
                <w:lang w:val="es-AR" w:eastAsia="es-AR"/>
              </w:rPr>
            </w:pPr>
          </w:p>
        </w:tc>
        <w:tc>
          <w:tcPr>
            <w:tcW w:w="1112" w:type="dxa"/>
            <w:gridSpan w:val="2"/>
            <w:tcBorders>
              <w:top w:val="nil"/>
              <w:left w:val="nil"/>
              <w:bottom w:val="nil"/>
              <w:right w:val="nil"/>
            </w:tcBorders>
            <w:shd w:val="clear" w:color="auto" w:fill="auto"/>
            <w:vAlign w:val="center"/>
            <w:hideMark/>
          </w:tcPr>
          <w:p w14:paraId="33CF14EF" w14:textId="77777777" w:rsidR="0010523F" w:rsidRPr="0010523F" w:rsidRDefault="0010523F" w:rsidP="0010523F">
            <w:pPr>
              <w:spacing w:line="100" w:lineRule="exact"/>
              <w:rPr>
                <w:color w:val="000000"/>
                <w:sz w:val="18"/>
                <w:szCs w:val="18"/>
                <w:lang w:val="es-AR" w:eastAsia="es-AR"/>
              </w:rPr>
            </w:pPr>
          </w:p>
        </w:tc>
      </w:tr>
      <w:tr w:rsidR="0010523F" w:rsidRPr="0010523F" w14:paraId="0843E9F8" w14:textId="77777777" w:rsidTr="00774E7E">
        <w:trPr>
          <w:trHeight w:val="227"/>
        </w:trPr>
        <w:tc>
          <w:tcPr>
            <w:tcW w:w="2904" w:type="dxa"/>
            <w:tcBorders>
              <w:top w:val="nil"/>
              <w:left w:val="nil"/>
              <w:bottom w:val="nil"/>
              <w:right w:val="nil"/>
            </w:tcBorders>
            <w:shd w:val="clear" w:color="auto" w:fill="auto"/>
            <w:vAlign w:val="center"/>
            <w:hideMark/>
          </w:tcPr>
          <w:p w14:paraId="2D79A351" w14:textId="77777777" w:rsidR="0010523F" w:rsidRPr="0010523F" w:rsidRDefault="0010523F" w:rsidP="0010523F">
            <w:pPr>
              <w:rPr>
                <w:color w:val="000000"/>
                <w:sz w:val="18"/>
                <w:szCs w:val="18"/>
                <w:lang w:val="es-AR" w:eastAsia="es-AR"/>
              </w:rPr>
            </w:pPr>
            <w:r w:rsidRPr="0010523F">
              <w:rPr>
                <w:color w:val="000000"/>
                <w:sz w:val="18"/>
                <w:szCs w:val="18"/>
                <w:lang w:val="es-AR" w:eastAsia="es-AR"/>
              </w:rPr>
              <w:t>Terrenos y edificios</w:t>
            </w:r>
          </w:p>
        </w:tc>
        <w:tc>
          <w:tcPr>
            <w:tcW w:w="850" w:type="dxa"/>
            <w:tcBorders>
              <w:top w:val="nil"/>
              <w:left w:val="nil"/>
              <w:bottom w:val="nil"/>
              <w:right w:val="nil"/>
            </w:tcBorders>
            <w:shd w:val="clear" w:color="auto" w:fill="auto"/>
            <w:vAlign w:val="bottom"/>
            <w:hideMark/>
          </w:tcPr>
          <w:p w14:paraId="2E7B12FF" w14:textId="77777777" w:rsidR="0010523F" w:rsidRPr="0010523F" w:rsidRDefault="0010523F" w:rsidP="0010523F">
            <w:pPr>
              <w:jc w:val="right"/>
              <w:rPr>
                <w:color w:val="000000"/>
                <w:sz w:val="18"/>
                <w:szCs w:val="18"/>
                <w:highlight w:val="yellow"/>
                <w:lang w:val="es-AR" w:eastAsia="es-AR"/>
              </w:rPr>
            </w:pPr>
            <w:r w:rsidRPr="0010523F">
              <w:rPr>
                <w:sz w:val="18"/>
                <w:szCs w:val="18"/>
                <w:lang w:val="es-AR" w:eastAsia="en-US"/>
              </w:rPr>
              <w:t xml:space="preserve">2.023 </w:t>
            </w:r>
          </w:p>
        </w:tc>
        <w:tc>
          <w:tcPr>
            <w:tcW w:w="993" w:type="dxa"/>
            <w:tcBorders>
              <w:top w:val="nil"/>
              <w:left w:val="nil"/>
              <w:bottom w:val="nil"/>
              <w:right w:val="nil"/>
            </w:tcBorders>
            <w:shd w:val="clear" w:color="auto" w:fill="auto"/>
            <w:vAlign w:val="bottom"/>
            <w:hideMark/>
          </w:tcPr>
          <w:p w14:paraId="42949FCC"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129 </w:t>
            </w:r>
          </w:p>
        </w:tc>
        <w:tc>
          <w:tcPr>
            <w:tcW w:w="992" w:type="dxa"/>
            <w:tcBorders>
              <w:top w:val="nil"/>
              <w:left w:val="nil"/>
              <w:bottom w:val="nil"/>
              <w:right w:val="nil"/>
            </w:tcBorders>
            <w:shd w:val="clear" w:color="auto" w:fill="auto"/>
            <w:vAlign w:val="bottom"/>
          </w:tcPr>
          <w:p w14:paraId="5AC322C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923" w:type="dxa"/>
            <w:tcBorders>
              <w:top w:val="nil"/>
              <w:left w:val="nil"/>
              <w:bottom w:val="nil"/>
              <w:right w:val="nil"/>
            </w:tcBorders>
            <w:shd w:val="clear" w:color="auto" w:fill="auto"/>
            <w:vAlign w:val="bottom"/>
            <w:hideMark/>
          </w:tcPr>
          <w:p w14:paraId="0B1B46E7"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1.020 </w:t>
            </w:r>
          </w:p>
        </w:tc>
        <w:tc>
          <w:tcPr>
            <w:tcW w:w="999" w:type="dxa"/>
            <w:tcBorders>
              <w:top w:val="nil"/>
              <w:left w:val="nil"/>
              <w:bottom w:val="nil"/>
              <w:right w:val="nil"/>
            </w:tcBorders>
            <w:shd w:val="clear" w:color="auto" w:fill="auto"/>
            <w:vAlign w:val="bottom"/>
            <w:hideMark/>
          </w:tcPr>
          <w:p w14:paraId="307BCE61"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3.172 </w:t>
            </w:r>
          </w:p>
        </w:tc>
        <w:tc>
          <w:tcPr>
            <w:tcW w:w="160" w:type="dxa"/>
            <w:tcBorders>
              <w:top w:val="nil"/>
              <w:left w:val="nil"/>
              <w:bottom w:val="nil"/>
              <w:right w:val="nil"/>
            </w:tcBorders>
            <w:shd w:val="clear" w:color="auto" w:fill="auto"/>
            <w:vAlign w:val="bottom"/>
            <w:hideMark/>
          </w:tcPr>
          <w:p w14:paraId="18A93D80" w14:textId="77777777" w:rsidR="0010523F" w:rsidRPr="0010523F" w:rsidRDefault="0010523F" w:rsidP="0010523F">
            <w:pPr>
              <w:jc w:val="right"/>
              <w:rPr>
                <w:color w:val="000000"/>
                <w:sz w:val="18"/>
                <w:szCs w:val="18"/>
                <w:lang w:val="es-AR" w:eastAsia="es-AR"/>
              </w:rPr>
            </w:pPr>
          </w:p>
        </w:tc>
        <w:tc>
          <w:tcPr>
            <w:tcW w:w="1257" w:type="dxa"/>
            <w:tcBorders>
              <w:top w:val="nil"/>
              <w:left w:val="nil"/>
              <w:bottom w:val="nil"/>
              <w:right w:val="nil"/>
            </w:tcBorders>
            <w:shd w:val="clear" w:color="auto" w:fill="auto"/>
            <w:vAlign w:val="bottom"/>
          </w:tcPr>
          <w:p w14:paraId="2FA91E4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993" w:type="dxa"/>
            <w:tcBorders>
              <w:top w:val="nil"/>
              <w:left w:val="nil"/>
              <w:bottom w:val="nil"/>
              <w:right w:val="nil"/>
            </w:tcBorders>
            <w:shd w:val="clear" w:color="auto" w:fill="auto"/>
            <w:vAlign w:val="bottom"/>
            <w:hideMark/>
          </w:tcPr>
          <w:p w14:paraId="05FC8921"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   367) </w:t>
            </w:r>
          </w:p>
        </w:tc>
        <w:tc>
          <w:tcPr>
            <w:tcW w:w="1134" w:type="dxa"/>
            <w:tcBorders>
              <w:top w:val="nil"/>
              <w:left w:val="nil"/>
              <w:bottom w:val="nil"/>
              <w:right w:val="nil"/>
            </w:tcBorders>
            <w:shd w:val="clear" w:color="auto" w:fill="auto"/>
            <w:vAlign w:val="bottom"/>
            <w:hideMark/>
          </w:tcPr>
          <w:p w14:paraId="442574F4"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w:t>
            </w:r>
          </w:p>
        </w:tc>
        <w:tc>
          <w:tcPr>
            <w:tcW w:w="992" w:type="dxa"/>
            <w:tcBorders>
              <w:top w:val="nil"/>
              <w:left w:val="nil"/>
              <w:bottom w:val="nil"/>
              <w:right w:val="nil"/>
            </w:tcBorders>
            <w:shd w:val="clear" w:color="auto" w:fill="auto"/>
            <w:vAlign w:val="bottom"/>
            <w:hideMark/>
          </w:tcPr>
          <w:p w14:paraId="6C0496CB"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81) </w:t>
            </w:r>
          </w:p>
        </w:tc>
        <w:tc>
          <w:tcPr>
            <w:tcW w:w="1276" w:type="dxa"/>
            <w:tcBorders>
              <w:top w:val="nil"/>
              <w:left w:val="nil"/>
              <w:bottom w:val="nil"/>
              <w:right w:val="nil"/>
            </w:tcBorders>
            <w:shd w:val="clear" w:color="auto" w:fill="auto"/>
            <w:vAlign w:val="bottom"/>
            <w:hideMark/>
          </w:tcPr>
          <w:p w14:paraId="0719E801"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    448) </w:t>
            </w:r>
          </w:p>
        </w:tc>
        <w:tc>
          <w:tcPr>
            <w:tcW w:w="163" w:type="dxa"/>
            <w:gridSpan w:val="2"/>
            <w:tcBorders>
              <w:top w:val="nil"/>
              <w:left w:val="nil"/>
              <w:bottom w:val="nil"/>
              <w:right w:val="nil"/>
            </w:tcBorders>
            <w:shd w:val="clear" w:color="auto" w:fill="auto"/>
            <w:vAlign w:val="bottom"/>
            <w:hideMark/>
          </w:tcPr>
          <w:p w14:paraId="07E62464" w14:textId="77777777" w:rsidR="0010523F" w:rsidRPr="0010523F" w:rsidRDefault="0010523F" w:rsidP="0010523F">
            <w:pPr>
              <w:jc w:val="right"/>
              <w:rPr>
                <w:color w:val="000000"/>
                <w:sz w:val="18"/>
                <w:szCs w:val="18"/>
                <w:lang w:val="es-AR" w:eastAsia="es-AR"/>
              </w:rPr>
            </w:pPr>
          </w:p>
        </w:tc>
        <w:tc>
          <w:tcPr>
            <w:tcW w:w="1112" w:type="dxa"/>
            <w:gridSpan w:val="2"/>
            <w:tcBorders>
              <w:top w:val="nil"/>
              <w:left w:val="nil"/>
              <w:bottom w:val="nil"/>
              <w:right w:val="nil"/>
            </w:tcBorders>
            <w:shd w:val="clear" w:color="auto" w:fill="auto"/>
            <w:vAlign w:val="bottom"/>
            <w:hideMark/>
          </w:tcPr>
          <w:p w14:paraId="230EC262"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2.724 </w:t>
            </w:r>
          </w:p>
        </w:tc>
      </w:tr>
      <w:tr w:rsidR="0010523F" w:rsidRPr="0010523F" w14:paraId="5F0BE81C" w14:textId="77777777" w:rsidTr="00774E7E">
        <w:trPr>
          <w:trHeight w:val="397"/>
        </w:trPr>
        <w:tc>
          <w:tcPr>
            <w:tcW w:w="2904" w:type="dxa"/>
            <w:tcBorders>
              <w:top w:val="nil"/>
              <w:left w:val="nil"/>
              <w:bottom w:val="nil"/>
              <w:right w:val="nil"/>
            </w:tcBorders>
            <w:shd w:val="clear" w:color="auto" w:fill="auto"/>
            <w:vAlign w:val="center"/>
            <w:hideMark/>
          </w:tcPr>
          <w:p w14:paraId="307383B2" w14:textId="77777777" w:rsidR="0010523F" w:rsidRPr="0010523F" w:rsidRDefault="0010523F" w:rsidP="0010523F">
            <w:pPr>
              <w:rPr>
                <w:color w:val="000000"/>
                <w:sz w:val="18"/>
                <w:szCs w:val="18"/>
                <w:lang w:val="es-AR" w:eastAsia="es-AR"/>
              </w:rPr>
            </w:pPr>
            <w:r w:rsidRPr="0010523F">
              <w:rPr>
                <w:color w:val="000000"/>
                <w:sz w:val="18"/>
                <w:szCs w:val="18"/>
                <w:lang w:val="es-AR" w:eastAsia="es-AR"/>
              </w:rPr>
              <w:t>Instalaciones y maquinarias de refinación y comercialización (2)</w:t>
            </w:r>
          </w:p>
        </w:tc>
        <w:tc>
          <w:tcPr>
            <w:tcW w:w="850" w:type="dxa"/>
            <w:tcBorders>
              <w:top w:val="nil"/>
              <w:left w:val="nil"/>
              <w:bottom w:val="nil"/>
              <w:right w:val="nil"/>
            </w:tcBorders>
            <w:shd w:val="clear" w:color="auto" w:fill="auto"/>
            <w:vAlign w:val="bottom"/>
            <w:hideMark/>
          </w:tcPr>
          <w:p w14:paraId="5A900AC5" w14:textId="77777777" w:rsidR="0010523F" w:rsidRPr="0010523F" w:rsidRDefault="0010523F" w:rsidP="0010523F">
            <w:pPr>
              <w:jc w:val="right"/>
              <w:rPr>
                <w:color w:val="000000"/>
                <w:sz w:val="18"/>
                <w:szCs w:val="18"/>
                <w:highlight w:val="yellow"/>
                <w:lang w:val="es-AR" w:eastAsia="es-AR"/>
              </w:rPr>
            </w:pPr>
            <w:r w:rsidRPr="0010523F">
              <w:rPr>
                <w:sz w:val="18"/>
                <w:szCs w:val="18"/>
                <w:lang w:val="es-AR" w:eastAsia="en-US"/>
              </w:rPr>
              <w:t>6.575</w:t>
            </w:r>
          </w:p>
        </w:tc>
        <w:tc>
          <w:tcPr>
            <w:tcW w:w="993" w:type="dxa"/>
            <w:tcBorders>
              <w:top w:val="nil"/>
              <w:left w:val="nil"/>
              <w:bottom w:val="nil"/>
              <w:right w:val="nil"/>
            </w:tcBorders>
            <w:shd w:val="clear" w:color="auto" w:fill="auto"/>
            <w:vAlign w:val="bottom"/>
            <w:hideMark/>
          </w:tcPr>
          <w:p w14:paraId="62FA0FDD"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w:t>
            </w:r>
          </w:p>
        </w:tc>
        <w:tc>
          <w:tcPr>
            <w:tcW w:w="992" w:type="dxa"/>
            <w:tcBorders>
              <w:top w:val="nil"/>
              <w:left w:val="nil"/>
              <w:bottom w:val="nil"/>
              <w:right w:val="nil"/>
            </w:tcBorders>
            <w:shd w:val="clear" w:color="auto" w:fill="auto"/>
            <w:vAlign w:val="bottom"/>
          </w:tcPr>
          <w:p w14:paraId="2E3F8B7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923" w:type="dxa"/>
            <w:tcBorders>
              <w:top w:val="nil"/>
              <w:left w:val="nil"/>
              <w:bottom w:val="nil"/>
              <w:right w:val="nil"/>
            </w:tcBorders>
            <w:shd w:val="clear" w:color="auto" w:fill="auto"/>
            <w:vAlign w:val="bottom"/>
            <w:hideMark/>
          </w:tcPr>
          <w:p w14:paraId="56D7446D"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3.423 </w:t>
            </w:r>
          </w:p>
        </w:tc>
        <w:tc>
          <w:tcPr>
            <w:tcW w:w="999" w:type="dxa"/>
            <w:tcBorders>
              <w:top w:val="nil"/>
              <w:left w:val="nil"/>
              <w:bottom w:val="nil"/>
              <w:right w:val="nil"/>
            </w:tcBorders>
            <w:shd w:val="clear" w:color="auto" w:fill="auto"/>
            <w:vAlign w:val="bottom"/>
            <w:hideMark/>
          </w:tcPr>
          <w:p w14:paraId="1B68F9C5"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9.998 </w:t>
            </w:r>
          </w:p>
        </w:tc>
        <w:tc>
          <w:tcPr>
            <w:tcW w:w="160" w:type="dxa"/>
            <w:tcBorders>
              <w:top w:val="nil"/>
              <w:left w:val="nil"/>
              <w:bottom w:val="nil"/>
              <w:right w:val="nil"/>
            </w:tcBorders>
            <w:shd w:val="clear" w:color="auto" w:fill="auto"/>
            <w:vAlign w:val="bottom"/>
            <w:hideMark/>
          </w:tcPr>
          <w:p w14:paraId="2542AAD2" w14:textId="77777777" w:rsidR="0010523F" w:rsidRPr="0010523F" w:rsidRDefault="0010523F" w:rsidP="0010523F">
            <w:pPr>
              <w:jc w:val="right"/>
              <w:rPr>
                <w:color w:val="000000"/>
                <w:sz w:val="18"/>
                <w:szCs w:val="18"/>
                <w:lang w:val="es-AR" w:eastAsia="es-AR"/>
              </w:rPr>
            </w:pPr>
          </w:p>
        </w:tc>
        <w:tc>
          <w:tcPr>
            <w:tcW w:w="1257" w:type="dxa"/>
            <w:tcBorders>
              <w:top w:val="nil"/>
              <w:left w:val="nil"/>
              <w:bottom w:val="nil"/>
              <w:right w:val="nil"/>
            </w:tcBorders>
            <w:shd w:val="clear" w:color="auto" w:fill="auto"/>
            <w:vAlign w:val="bottom"/>
          </w:tcPr>
          <w:p w14:paraId="09A0133C" w14:textId="77777777" w:rsidR="0010523F" w:rsidRPr="0010523F" w:rsidRDefault="0010523F" w:rsidP="0010523F">
            <w:pPr>
              <w:jc w:val="right"/>
              <w:rPr>
                <w:color w:val="000000"/>
                <w:sz w:val="18"/>
                <w:szCs w:val="18"/>
                <w:lang w:val="es-AR" w:eastAsia="es-AR"/>
              </w:rPr>
            </w:pPr>
            <w:r w:rsidRPr="0010523F">
              <w:rPr>
                <w:sz w:val="18"/>
                <w:szCs w:val="18"/>
                <w:lang w:val="es-AR" w:eastAsia="en-US"/>
              </w:rPr>
              <w:t>(    4.875)</w:t>
            </w:r>
          </w:p>
        </w:tc>
        <w:tc>
          <w:tcPr>
            <w:tcW w:w="993" w:type="dxa"/>
            <w:tcBorders>
              <w:top w:val="nil"/>
              <w:left w:val="nil"/>
              <w:bottom w:val="nil"/>
              <w:right w:val="nil"/>
            </w:tcBorders>
            <w:shd w:val="clear" w:color="auto" w:fill="auto"/>
            <w:vAlign w:val="bottom"/>
            <w:hideMark/>
          </w:tcPr>
          <w:p w14:paraId="5D0E8936"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529) </w:t>
            </w:r>
          </w:p>
        </w:tc>
        <w:tc>
          <w:tcPr>
            <w:tcW w:w="1134" w:type="dxa"/>
            <w:tcBorders>
              <w:top w:val="nil"/>
              <w:left w:val="nil"/>
              <w:bottom w:val="nil"/>
              <w:right w:val="nil"/>
            </w:tcBorders>
            <w:shd w:val="clear" w:color="auto" w:fill="auto"/>
            <w:vAlign w:val="bottom"/>
            <w:hideMark/>
          </w:tcPr>
          <w:p w14:paraId="11B2C119"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w:t>
            </w:r>
          </w:p>
        </w:tc>
        <w:tc>
          <w:tcPr>
            <w:tcW w:w="992" w:type="dxa"/>
            <w:tcBorders>
              <w:top w:val="nil"/>
              <w:left w:val="nil"/>
              <w:bottom w:val="nil"/>
              <w:right w:val="nil"/>
            </w:tcBorders>
            <w:shd w:val="clear" w:color="auto" w:fill="auto"/>
            <w:vAlign w:val="bottom"/>
            <w:hideMark/>
          </w:tcPr>
          <w:p w14:paraId="11A6A5D1"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(2.690) </w:t>
            </w:r>
          </w:p>
        </w:tc>
        <w:tc>
          <w:tcPr>
            <w:tcW w:w="1276" w:type="dxa"/>
            <w:tcBorders>
              <w:top w:val="nil"/>
              <w:left w:val="nil"/>
              <w:bottom w:val="nil"/>
              <w:right w:val="nil"/>
            </w:tcBorders>
            <w:shd w:val="clear" w:color="auto" w:fill="auto"/>
            <w:vAlign w:val="bottom"/>
            <w:hideMark/>
          </w:tcPr>
          <w:p w14:paraId="4133EC36"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(8.094) </w:t>
            </w:r>
          </w:p>
        </w:tc>
        <w:tc>
          <w:tcPr>
            <w:tcW w:w="163" w:type="dxa"/>
            <w:gridSpan w:val="2"/>
            <w:tcBorders>
              <w:top w:val="nil"/>
              <w:left w:val="nil"/>
              <w:bottom w:val="nil"/>
              <w:right w:val="nil"/>
            </w:tcBorders>
            <w:shd w:val="clear" w:color="auto" w:fill="auto"/>
            <w:vAlign w:val="bottom"/>
            <w:hideMark/>
          </w:tcPr>
          <w:p w14:paraId="7FF9B0AD" w14:textId="77777777" w:rsidR="0010523F" w:rsidRPr="0010523F" w:rsidRDefault="0010523F" w:rsidP="0010523F">
            <w:pPr>
              <w:jc w:val="right"/>
              <w:rPr>
                <w:color w:val="000000"/>
                <w:sz w:val="18"/>
                <w:szCs w:val="18"/>
                <w:lang w:val="es-AR" w:eastAsia="es-AR"/>
              </w:rPr>
            </w:pPr>
          </w:p>
        </w:tc>
        <w:tc>
          <w:tcPr>
            <w:tcW w:w="1112" w:type="dxa"/>
            <w:gridSpan w:val="2"/>
            <w:tcBorders>
              <w:top w:val="nil"/>
              <w:left w:val="nil"/>
              <w:bottom w:val="nil"/>
              <w:right w:val="nil"/>
            </w:tcBorders>
            <w:shd w:val="clear" w:color="auto" w:fill="auto"/>
            <w:vAlign w:val="bottom"/>
            <w:hideMark/>
          </w:tcPr>
          <w:p w14:paraId="28FBCD9E"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1.904 </w:t>
            </w:r>
          </w:p>
        </w:tc>
      </w:tr>
      <w:tr w:rsidR="0010523F" w:rsidRPr="0010523F" w14:paraId="5C40E0D2" w14:textId="77777777" w:rsidTr="00774E7E">
        <w:trPr>
          <w:trHeight w:val="227"/>
        </w:trPr>
        <w:tc>
          <w:tcPr>
            <w:tcW w:w="2904" w:type="dxa"/>
            <w:tcBorders>
              <w:top w:val="nil"/>
              <w:left w:val="nil"/>
              <w:bottom w:val="nil"/>
              <w:right w:val="nil"/>
            </w:tcBorders>
            <w:shd w:val="clear" w:color="auto" w:fill="auto"/>
            <w:vAlign w:val="center"/>
            <w:hideMark/>
          </w:tcPr>
          <w:p w14:paraId="66D45F79" w14:textId="77777777" w:rsidR="0010523F" w:rsidRPr="0010523F" w:rsidRDefault="0010523F" w:rsidP="0010523F">
            <w:pPr>
              <w:rPr>
                <w:color w:val="000000"/>
                <w:sz w:val="18"/>
                <w:szCs w:val="18"/>
                <w:lang w:val="es-AR" w:eastAsia="es-AR"/>
              </w:rPr>
            </w:pPr>
            <w:r w:rsidRPr="0010523F">
              <w:rPr>
                <w:color w:val="000000"/>
                <w:sz w:val="18"/>
                <w:szCs w:val="18"/>
                <w:lang w:val="es-AR" w:eastAsia="es-AR"/>
              </w:rPr>
              <w:t>Rodados</w:t>
            </w:r>
          </w:p>
        </w:tc>
        <w:tc>
          <w:tcPr>
            <w:tcW w:w="850" w:type="dxa"/>
            <w:tcBorders>
              <w:top w:val="nil"/>
              <w:left w:val="nil"/>
              <w:bottom w:val="nil"/>
              <w:right w:val="nil"/>
            </w:tcBorders>
            <w:shd w:val="clear" w:color="auto" w:fill="auto"/>
            <w:vAlign w:val="bottom"/>
            <w:hideMark/>
          </w:tcPr>
          <w:p w14:paraId="7C5F94F9" w14:textId="77777777" w:rsidR="0010523F" w:rsidRPr="0010523F" w:rsidRDefault="0010523F" w:rsidP="0010523F">
            <w:pPr>
              <w:jc w:val="right"/>
              <w:rPr>
                <w:color w:val="000000"/>
                <w:sz w:val="18"/>
                <w:szCs w:val="18"/>
                <w:highlight w:val="yellow"/>
                <w:lang w:val="es-AR" w:eastAsia="es-AR"/>
              </w:rPr>
            </w:pPr>
            <w:r w:rsidRPr="0010523F">
              <w:rPr>
                <w:sz w:val="18"/>
                <w:szCs w:val="18"/>
                <w:lang w:val="es-AR" w:eastAsia="en-US"/>
              </w:rPr>
              <w:t xml:space="preserve"> 365 </w:t>
            </w:r>
          </w:p>
        </w:tc>
        <w:tc>
          <w:tcPr>
            <w:tcW w:w="993" w:type="dxa"/>
            <w:tcBorders>
              <w:top w:val="nil"/>
              <w:left w:val="nil"/>
              <w:bottom w:val="nil"/>
              <w:right w:val="nil"/>
            </w:tcBorders>
            <w:shd w:val="clear" w:color="auto" w:fill="auto"/>
            <w:vAlign w:val="bottom"/>
            <w:hideMark/>
          </w:tcPr>
          <w:p w14:paraId="79E3037F"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w:t>
            </w:r>
          </w:p>
        </w:tc>
        <w:tc>
          <w:tcPr>
            <w:tcW w:w="992" w:type="dxa"/>
            <w:tcBorders>
              <w:top w:val="nil"/>
              <w:left w:val="nil"/>
              <w:bottom w:val="nil"/>
              <w:right w:val="nil"/>
            </w:tcBorders>
            <w:shd w:val="clear" w:color="auto" w:fill="auto"/>
            <w:vAlign w:val="bottom"/>
          </w:tcPr>
          <w:p w14:paraId="150A26D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923" w:type="dxa"/>
            <w:tcBorders>
              <w:top w:val="nil"/>
              <w:left w:val="nil"/>
              <w:bottom w:val="nil"/>
              <w:right w:val="nil"/>
            </w:tcBorders>
            <w:shd w:val="clear" w:color="auto" w:fill="auto"/>
            <w:vAlign w:val="bottom"/>
            <w:hideMark/>
          </w:tcPr>
          <w:p w14:paraId="4180916B"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161 </w:t>
            </w:r>
          </w:p>
        </w:tc>
        <w:tc>
          <w:tcPr>
            <w:tcW w:w="999" w:type="dxa"/>
            <w:tcBorders>
              <w:top w:val="nil"/>
              <w:left w:val="nil"/>
              <w:bottom w:val="nil"/>
              <w:right w:val="nil"/>
            </w:tcBorders>
            <w:shd w:val="clear" w:color="auto" w:fill="auto"/>
            <w:vAlign w:val="bottom"/>
            <w:hideMark/>
          </w:tcPr>
          <w:p w14:paraId="7C57A01E"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526 </w:t>
            </w:r>
          </w:p>
        </w:tc>
        <w:tc>
          <w:tcPr>
            <w:tcW w:w="160" w:type="dxa"/>
            <w:tcBorders>
              <w:top w:val="nil"/>
              <w:left w:val="nil"/>
              <w:bottom w:val="nil"/>
              <w:right w:val="nil"/>
            </w:tcBorders>
            <w:shd w:val="clear" w:color="auto" w:fill="auto"/>
            <w:vAlign w:val="bottom"/>
            <w:hideMark/>
          </w:tcPr>
          <w:p w14:paraId="48A68E77" w14:textId="77777777" w:rsidR="0010523F" w:rsidRPr="0010523F" w:rsidRDefault="0010523F" w:rsidP="0010523F">
            <w:pPr>
              <w:jc w:val="right"/>
              <w:rPr>
                <w:color w:val="000000"/>
                <w:sz w:val="18"/>
                <w:szCs w:val="18"/>
                <w:lang w:val="es-AR" w:eastAsia="es-AR"/>
              </w:rPr>
            </w:pPr>
          </w:p>
        </w:tc>
        <w:tc>
          <w:tcPr>
            <w:tcW w:w="1257" w:type="dxa"/>
            <w:tcBorders>
              <w:top w:val="nil"/>
              <w:left w:val="nil"/>
              <w:bottom w:val="nil"/>
              <w:right w:val="nil"/>
            </w:tcBorders>
            <w:shd w:val="clear" w:color="auto" w:fill="auto"/>
            <w:vAlign w:val="bottom"/>
          </w:tcPr>
          <w:p w14:paraId="38B456E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993" w:type="dxa"/>
            <w:tcBorders>
              <w:top w:val="nil"/>
              <w:left w:val="nil"/>
              <w:bottom w:val="nil"/>
              <w:right w:val="nil"/>
            </w:tcBorders>
            <w:shd w:val="clear" w:color="auto" w:fill="auto"/>
            <w:vAlign w:val="bottom"/>
            <w:hideMark/>
          </w:tcPr>
          <w:p w14:paraId="7976B66E"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133) </w:t>
            </w:r>
          </w:p>
        </w:tc>
        <w:tc>
          <w:tcPr>
            <w:tcW w:w="1134" w:type="dxa"/>
            <w:tcBorders>
              <w:top w:val="nil"/>
              <w:left w:val="nil"/>
              <w:bottom w:val="nil"/>
              <w:right w:val="nil"/>
            </w:tcBorders>
            <w:shd w:val="clear" w:color="auto" w:fill="auto"/>
            <w:vAlign w:val="bottom"/>
            <w:hideMark/>
          </w:tcPr>
          <w:p w14:paraId="5A4183FC"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w:t>
            </w:r>
          </w:p>
        </w:tc>
        <w:tc>
          <w:tcPr>
            <w:tcW w:w="992" w:type="dxa"/>
            <w:tcBorders>
              <w:top w:val="nil"/>
              <w:left w:val="nil"/>
              <w:bottom w:val="nil"/>
              <w:right w:val="nil"/>
            </w:tcBorders>
            <w:shd w:val="clear" w:color="auto" w:fill="auto"/>
            <w:vAlign w:val="bottom"/>
            <w:hideMark/>
          </w:tcPr>
          <w:p w14:paraId="1E71354A"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     29) </w:t>
            </w:r>
          </w:p>
        </w:tc>
        <w:tc>
          <w:tcPr>
            <w:tcW w:w="1276" w:type="dxa"/>
            <w:tcBorders>
              <w:top w:val="nil"/>
              <w:left w:val="nil"/>
              <w:bottom w:val="nil"/>
              <w:right w:val="nil"/>
            </w:tcBorders>
            <w:shd w:val="clear" w:color="auto" w:fill="auto"/>
            <w:vAlign w:val="bottom"/>
            <w:hideMark/>
          </w:tcPr>
          <w:p w14:paraId="78160A15"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   162) </w:t>
            </w:r>
          </w:p>
        </w:tc>
        <w:tc>
          <w:tcPr>
            <w:tcW w:w="163" w:type="dxa"/>
            <w:gridSpan w:val="2"/>
            <w:tcBorders>
              <w:top w:val="nil"/>
              <w:left w:val="nil"/>
              <w:bottom w:val="nil"/>
              <w:right w:val="nil"/>
            </w:tcBorders>
            <w:shd w:val="clear" w:color="auto" w:fill="auto"/>
            <w:vAlign w:val="bottom"/>
            <w:hideMark/>
          </w:tcPr>
          <w:p w14:paraId="008DBC4C" w14:textId="77777777" w:rsidR="0010523F" w:rsidRPr="0010523F" w:rsidRDefault="0010523F" w:rsidP="0010523F">
            <w:pPr>
              <w:jc w:val="right"/>
              <w:rPr>
                <w:color w:val="000000"/>
                <w:sz w:val="18"/>
                <w:szCs w:val="18"/>
                <w:lang w:val="es-AR" w:eastAsia="es-AR"/>
              </w:rPr>
            </w:pPr>
          </w:p>
        </w:tc>
        <w:tc>
          <w:tcPr>
            <w:tcW w:w="1112" w:type="dxa"/>
            <w:gridSpan w:val="2"/>
            <w:tcBorders>
              <w:top w:val="nil"/>
              <w:left w:val="nil"/>
              <w:bottom w:val="nil"/>
              <w:right w:val="nil"/>
            </w:tcBorders>
            <w:shd w:val="clear" w:color="auto" w:fill="auto"/>
            <w:vAlign w:val="bottom"/>
            <w:hideMark/>
          </w:tcPr>
          <w:p w14:paraId="587D5C0A"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364 </w:t>
            </w:r>
          </w:p>
        </w:tc>
      </w:tr>
      <w:tr w:rsidR="0010523F" w:rsidRPr="0010523F" w14:paraId="1364F0FC" w14:textId="77777777" w:rsidTr="00774E7E">
        <w:trPr>
          <w:trHeight w:val="227"/>
        </w:trPr>
        <w:tc>
          <w:tcPr>
            <w:tcW w:w="2904" w:type="dxa"/>
            <w:tcBorders>
              <w:top w:val="nil"/>
              <w:left w:val="nil"/>
              <w:bottom w:val="nil"/>
              <w:right w:val="nil"/>
            </w:tcBorders>
            <w:shd w:val="clear" w:color="auto" w:fill="auto"/>
            <w:vAlign w:val="center"/>
            <w:hideMark/>
          </w:tcPr>
          <w:p w14:paraId="3FFDC0E4" w14:textId="77777777" w:rsidR="0010523F" w:rsidRPr="0010523F" w:rsidRDefault="0010523F" w:rsidP="0010523F">
            <w:pPr>
              <w:rPr>
                <w:color w:val="000000"/>
                <w:sz w:val="18"/>
                <w:szCs w:val="18"/>
                <w:lang w:val="es-AR" w:eastAsia="es-AR"/>
              </w:rPr>
            </w:pPr>
            <w:r w:rsidRPr="0010523F">
              <w:rPr>
                <w:color w:val="000000"/>
                <w:sz w:val="18"/>
                <w:szCs w:val="18"/>
                <w:lang w:val="es-AR" w:eastAsia="es-AR"/>
              </w:rPr>
              <w:t>Equipos de perforación</w:t>
            </w:r>
          </w:p>
        </w:tc>
        <w:tc>
          <w:tcPr>
            <w:tcW w:w="850" w:type="dxa"/>
            <w:tcBorders>
              <w:top w:val="nil"/>
              <w:left w:val="nil"/>
              <w:bottom w:val="nil"/>
              <w:right w:val="nil"/>
            </w:tcBorders>
            <w:shd w:val="clear" w:color="auto" w:fill="auto"/>
            <w:vAlign w:val="bottom"/>
            <w:hideMark/>
          </w:tcPr>
          <w:p w14:paraId="04DDB43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1.758</w:t>
            </w:r>
          </w:p>
        </w:tc>
        <w:tc>
          <w:tcPr>
            <w:tcW w:w="993" w:type="dxa"/>
            <w:tcBorders>
              <w:top w:val="nil"/>
              <w:left w:val="nil"/>
              <w:bottom w:val="nil"/>
              <w:right w:val="nil"/>
            </w:tcBorders>
            <w:shd w:val="clear" w:color="auto" w:fill="auto"/>
            <w:vAlign w:val="bottom"/>
            <w:hideMark/>
          </w:tcPr>
          <w:p w14:paraId="4856423F" w14:textId="77777777" w:rsidR="0010523F" w:rsidRPr="0010523F" w:rsidRDefault="0010523F" w:rsidP="0010523F">
            <w:pPr>
              <w:jc w:val="right"/>
              <w:rPr>
                <w:color w:val="000000"/>
                <w:sz w:val="18"/>
                <w:szCs w:val="18"/>
                <w:lang w:val="es-AR" w:eastAsia="es-AR"/>
              </w:rPr>
            </w:pPr>
            <w:r w:rsidRPr="0010523F">
              <w:rPr>
                <w:sz w:val="18"/>
                <w:szCs w:val="18"/>
                <w:lang w:val="es-AR" w:eastAsia="en-US"/>
              </w:rPr>
              <w:t>-</w:t>
            </w:r>
          </w:p>
        </w:tc>
        <w:tc>
          <w:tcPr>
            <w:tcW w:w="992" w:type="dxa"/>
            <w:tcBorders>
              <w:top w:val="nil"/>
              <w:left w:val="nil"/>
              <w:bottom w:val="nil"/>
              <w:right w:val="nil"/>
            </w:tcBorders>
            <w:shd w:val="clear" w:color="auto" w:fill="auto"/>
            <w:vAlign w:val="bottom"/>
          </w:tcPr>
          <w:p w14:paraId="30383631"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923" w:type="dxa"/>
            <w:tcBorders>
              <w:top w:val="nil"/>
              <w:left w:val="nil"/>
              <w:bottom w:val="nil"/>
              <w:right w:val="nil"/>
            </w:tcBorders>
            <w:shd w:val="clear" w:color="auto" w:fill="auto"/>
            <w:vAlign w:val="bottom"/>
            <w:hideMark/>
          </w:tcPr>
          <w:p w14:paraId="7783BE54"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815 </w:t>
            </w:r>
          </w:p>
        </w:tc>
        <w:tc>
          <w:tcPr>
            <w:tcW w:w="999" w:type="dxa"/>
            <w:tcBorders>
              <w:top w:val="nil"/>
              <w:left w:val="nil"/>
              <w:bottom w:val="nil"/>
              <w:right w:val="nil"/>
            </w:tcBorders>
            <w:shd w:val="clear" w:color="auto" w:fill="auto"/>
            <w:vAlign w:val="bottom"/>
            <w:hideMark/>
          </w:tcPr>
          <w:p w14:paraId="14299621"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2.573 </w:t>
            </w:r>
          </w:p>
        </w:tc>
        <w:tc>
          <w:tcPr>
            <w:tcW w:w="160" w:type="dxa"/>
            <w:tcBorders>
              <w:top w:val="nil"/>
              <w:left w:val="nil"/>
              <w:bottom w:val="nil"/>
              <w:right w:val="nil"/>
            </w:tcBorders>
            <w:shd w:val="clear" w:color="auto" w:fill="auto"/>
            <w:vAlign w:val="bottom"/>
            <w:hideMark/>
          </w:tcPr>
          <w:p w14:paraId="1A711BF9" w14:textId="77777777" w:rsidR="0010523F" w:rsidRPr="0010523F" w:rsidRDefault="0010523F" w:rsidP="0010523F">
            <w:pPr>
              <w:jc w:val="right"/>
              <w:rPr>
                <w:color w:val="000000"/>
                <w:sz w:val="18"/>
                <w:szCs w:val="18"/>
                <w:lang w:val="es-AR" w:eastAsia="es-AR"/>
              </w:rPr>
            </w:pPr>
          </w:p>
        </w:tc>
        <w:tc>
          <w:tcPr>
            <w:tcW w:w="1257" w:type="dxa"/>
            <w:tcBorders>
              <w:top w:val="nil"/>
              <w:left w:val="nil"/>
              <w:bottom w:val="nil"/>
              <w:right w:val="nil"/>
            </w:tcBorders>
            <w:shd w:val="clear" w:color="auto" w:fill="auto"/>
            <w:vAlign w:val="bottom"/>
          </w:tcPr>
          <w:p w14:paraId="004AEAD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993" w:type="dxa"/>
            <w:tcBorders>
              <w:top w:val="nil"/>
              <w:left w:val="nil"/>
              <w:bottom w:val="nil"/>
              <w:right w:val="nil"/>
            </w:tcBorders>
            <w:shd w:val="clear" w:color="auto" w:fill="auto"/>
            <w:vAlign w:val="bottom"/>
            <w:hideMark/>
          </w:tcPr>
          <w:p w14:paraId="551FE33D"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680) </w:t>
            </w:r>
          </w:p>
        </w:tc>
        <w:tc>
          <w:tcPr>
            <w:tcW w:w="1134" w:type="dxa"/>
            <w:tcBorders>
              <w:top w:val="nil"/>
              <w:left w:val="nil"/>
              <w:bottom w:val="nil"/>
              <w:right w:val="nil"/>
            </w:tcBorders>
            <w:shd w:val="clear" w:color="auto" w:fill="auto"/>
            <w:vAlign w:val="bottom"/>
            <w:hideMark/>
          </w:tcPr>
          <w:p w14:paraId="435D90A6"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w:t>
            </w:r>
          </w:p>
        </w:tc>
        <w:tc>
          <w:tcPr>
            <w:tcW w:w="992" w:type="dxa"/>
            <w:tcBorders>
              <w:top w:val="nil"/>
              <w:left w:val="nil"/>
              <w:bottom w:val="nil"/>
              <w:right w:val="nil"/>
            </w:tcBorders>
            <w:shd w:val="clear" w:color="auto" w:fill="auto"/>
            <w:vAlign w:val="bottom"/>
            <w:hideMark/>
          </w:tcPr>
          <w:p w14:paraId="77831155"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   156) </w:t>
            </w:r>
          </w:p>
        </w:tc>
        <w:tc>
          <w:tcPr>
            <w:tcW w:w="1276" w:type="dxa"/>
            <w:tcBorders>
              <w:top w:val="nil"/>
              <w:left w:val="nil"/>
              <w:bottom w:val="nil"/>
              <w:right w:val="nil"/>
            </w:tcBorders>
            <w:shd w:val="clear" w:color="auto" w:fill="auto"/>
            <w:vAlign w:val="bottom"/>
            <w:hideMark/>
          </w:tcPr>
          <w:p w14:paraId="7A3CF2B2"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 (   836) </w:t>
            </w:r>
          </w:p>
        </w:tc>
        <w:tc>
          <w:tcPr>
            <w:tcW w:w="163" w:type="dxa"/>
            <w:gridSpan w:val="2"/>
            <w:tcBorders>
              <w:top w:val="nil"/>
              <w:left w:val="nil"/>
              <w:bottom w:val="nil"/>
              <w:right w:val="nil"/>
            </w:tcBorders>
            <w:shd w:val="clear" w:color="auto" w:fill="auto"/>
            <w:vAlign w:val="bottom"/>
            <w:hideMark/>
          </w:tcPr>
          <w:p w14:paraId="0F378A95" w14:textId="77777777" w:rsidR="0010523F" w:rsidRPr="0010523F" w:rsidRDefault="0010523F" w:rsidP="0010523F">
            <w:pPr>
              <w:jc w:val="right"/>
              <w:rPr>
                <w:color w:val="000000"/>
                <w:sz w:val="18"/>
                <w:szCs w:val="18"/>
                <w:lang w:val="es-AR" w:eastAsia="es-AR"/>
              </w:rPr>
            </w:pPr>
          </w:p>
        </w:tc>
        <w:tc>
          <w:tcPr>
            <w:tcW w:w="1112" w:type="dxa"/>
            <w:gridSpan w:val="2"/>
            <w:tcBorders>
              <w:top w:val="nil"/>
              <w:left w:val="nil"/>
              <w:bottom w:val="nil"/>
              <w:right w:val="nil"/>
            </w:tcBorders>
            <w:shd w:val="clear" w:color="auto" w:fill="auto"/>
            <w:vAlign w:val="bottom"/>
            <w:hideMark/>
          </w:tcPr>
          <w:p w14:paraId="60CC299A" w14:textId="77777777" w:rsidR="0010523F" w:rsidRPr="0010523F" w:rsidRDefault="0010523F" w:rsidP="0010523F">
            <w:pPr>
              <w:jc w:val="right"/>
              <w:rPr>
                <w:color w:val="000000"/>
                <w:sz w:val="18"/>
                <w:szCs w:val="18"/>
                <w:lang w:val="es-AR" w:eastAsia="es-AR"/>
              </w:rPr>
            </w:pPr>
            <w:r w:rsidRPr="0010523F">
              <w:rPr>
                <w:sz w:val="18"/>
                <w:szCs w:val="18"/>
                <w:lang w:val="es-AR" w:eastAsia="en-US"/>
              </w:rPr>
              <w:t xml:space="preserve">1.737 </w:t>
            </w:r>
          </w:p>
        </w:tc>
      </w:tr>
      <w:tr w:rsidR="0010523F" w:rsidRPr="0010523F" w14:paraId="3753C819" w14:textId="77777777" w:rsidTr="00774E7E">
        <w:trPr>
          <w:trHeight w:val="227"/>
        </w:trPr>
        <w:tc>
          <w:tcPr>
            <w:tcW w:w="2904" w:type="dxa"/>
            <w:tcBorders>
              <w:top w:val="nil"/>
              <w:left w:val="nil"/>
              <w:bottom w:val="nil"/>
              <w:right w:val="nil"/>
            </w:tcBorders>
            <w:shd w:val="clear" w:color="auto" w:fill="auto"/>
            <w:vAlign w:val="center"/>
            <w:hideMark/>
          </w:tcPr>
          <w:p w14:paraId="227DA693" w14:textId="77777777" w:rsidR="0010523F" w:rsidRPr="0010523F" w:rsidRDefault="0010523F" w:rsidP="0010523F">
            <w:pPr>
              <w:rPr>
                <w:color w:val="000000"/>
                <w:sz w:val="18"/>
                <w:szCs w:val="18"/>
                <w:lang w:val="es-AR" w:eastAsia="es-AR"/>
              </w:rPr>
            </w:pPr>
            <w:r w:rsidRPr="0010523F">
              <w:rPr>
                <w:color w:val="000000"/>
                <w:sz w:val="18"/>
                <w:szCs w:val="18"/>
                <w:lang w:val="es-AR" w:eastAsia="es-AR"/>
              </w:rPr>
              <w:t>Aparatos, surtidores y tanques</w:t>
            </w:r>
          </w:p>
        </w:tc>
        <w:tc>
          <w:tcPr>
            <w:tcW w:w="850" w:type="dxa"/>
            <w:tcBorders>
              <w:top w:val="nil"/>
              <w:left w:val="nil"/>
              <w:bottom w:val="nil"/>
              <w:right w:val="nil"/>
            </w:tcBorders>
            <w:shd w:val="clear" w:color="auto" w:fill="auto"/>
            <w:vAlign w:val="bottom"/>
            <w:hideMark/>
          </w:tcPr>
          <w:p w14:paraId="496C23A1" w14:textId="77777777" w:rsidR="0010523F" w:rsidRPr="0010523F" w:rsidRDefault="0010523F" w:rsidP="0010523F">
            <w:pPr>
              <w:jc w:val="right"/>
              <w:rPr>
                <w:color w:val="000000"/>
                <w:sz w:val="18"/>
                <w:szCs w:val="18"/>
                <w:highlight w:val="yellow"/>
                <w:u w:val="single"/>
                <w:lang w:val="es-AR" w:eastAsia="es-AR"/>
              </w:rPr>
            </w:pPr>
            <w:r w:rsidRPr="0010523F">
              <w:rPr>
                <w:sz w:val="18"/>
                <w:szCs w:val="18"/>
                <w:u w:val="single"/>
                <w:lang w:val="es-AR" w:eastAsia="en-US"/>
              </w:rPr>
              <w:t xml:space="preserve">     143  </w:t>
            </w:r>
          </w:p>
        </w:tc>
        <w:tc>
          <w:tcPr>
            <w:tcW w:w="993" w:type="dxa"/>
            <w:tcBorders>
              <w:top w:val="nil"/>
              <w:left w:val="nil"/>
              <w:bottom w:val="nil"/>
              <w:right w:val="nil"/>
            </w:tcBorders>
            <w:shd w:val="clear" w:color="auto" w:fill="auto"/>
            <w:vAlign w:val="bottom"/>
            <w:hideMark/>
          </w:tcPr>
          <w:p w14:paraId="549FA33D" w14:textId="77777777" w:rsidR="0010523F" w:rsidRPr="0010523F" w:rsidRDefault="0010523F" w:rsidP="0010523F">
            <w:pPr>
              <w:jc w:val="right"/>
              <w:rPr>
                <w:color w:val="000000"/>
                <w:sz w:val="18"/>
                <w:szCs w:val="18"/>
                <w:u w:val="single"/>
                <w:lang w:val="es-AR" w:eastAsia="es-AR"/>
              </w:rPr>
            </w:pPr>
            <w:r w:rsidRPr="0010523F">
              <w:rPr>
                <w:sz w:val="18"/>
                <w:szCs w:val="18"/>
                <w:u w:val="single"/>
                <w:lang w:val="es-AR" w:eastAsia="en-US"/>
              </w:rPr>
              <w:t xml:space="preserve">     -</w:t>
            </w:r>
          </w:p>
        </w:tc>
        <w:tc>
          <w:tcPr>
            <w:tcW w:w="992" w:type="dxa"/>
            <w:tcBorders>
              <w:top w:val="nil"/>
              <w:left w:val="nil"/>
              <w:bottom w:val="nil"/>
              <w:right w:val="nil"/>
            </w:tcBorders>
            <w:shd w:val="clear" w:color="auto" w:fill="auto"/>
            <w:vAlign w:val="bottom"/>
          </w:tcPr>
          <w:p w14:paraId="0B464D81"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923" w:type="dxa"/>
            <w:tcBorders>
              <w:top w:val="nil"/>
              <w:left w:val="nil"/>
              <w:bottom w:val="nil"/>
              <w:right w:val="nil"/>
            </w:tcBorders>
            <w:shd w:val="clear" w:color="auto" w:fill="auto"/>
            <w:vAlign w:val="bottom"/>
            <w:hideMark/>
          </w:tcPr>
          <w:p w14:paraId="23180862" w14:textId="77777777" w:rsidR="0010523F" w:rsidRPr="0010523F" w:rsidRDefault="0010523F" w:rsidP="0010523F">
            <w:pPr>
              <w:jc w:val="right"/>
              <w:rPr>
                <w:color w:val="000000"/>
                <w:sz w:val="18"/>
                <w:szCs w:val="18"/>
                <w:u w:val="single"/>
                <w:lang w:val="es-AR" w:eastAsia="es-AR"/>
              </w:rPr>
            </w:pPr>
            <w:r w:rsidRPr="0010523F">
              <w:rPr>
                <w:sz w:val="18"/>
                <w:szCs w:val="18"/>
                <w:u w:val="single"/>
                <w:lang w:val="es-AR" w:eastAsia="en-US"/>
              </w:rPr>
              <w:t xml:space="preserve">     76 </w:t>
            </w:r>
          </w:p>
        </w:tc>
        <w:tc>
          <w:tcPr>
            <w:tcW w:w="999" w:type="dxa"/>
            <w:tcBorders>
              <w:top w:val="nil"/>
              <w:left w:val="nil"/>
              <w:bottom w:val="nil"/>
              <w:right w:val="nil"/>
            </w:tcBorders>
            <w:shd w:val="clear" w:color="auto" w:fill="auto"/>
            <w:vAlign w:val="bottom"/>
            <w:hideMark/>
          </w:tcPr>
          <w:p w14:paraId="6C066C1E" w14:textId="77777777" w:rsidR="0010523F" w:rsidRPr="0010523F" w:rsidRDefault="0010523F" w:rsidP="0010523F">
            <w:pPr>
              <w:jc w:val="right"/>
              <w:rPr>
                <w:color w:val="000000"/>
                <w:sz w:val="18"/>
                <w:szCs w:val="18"/>
                <w:u w:val="single"/>
                <w:lang w:val="es-AR" w:eastAsia="es-AR"/>
              </w:rPr>
            </w:pPr>
            <w:r w:rsidRPr="0010523F">
              <w:rPr>
                <w:sz w:val="18"/>
                <w:szCs w:val="18"/>
                <w:u w:val="single"/>
                <w:lang w:val="es-AR" w:eastAsia="en-US"/>
              </w:rPr>
              <w:t xml:space="preserve">     219 </w:t>
            </w:r>
          </w:p>
        </w:tc>
        <w:tc>
          <w:tcPr>
            <w:tcW w:w="160" w:type="dxa"/>
            <w:tcBorders>
              <w:top w:val="nil"/>
              <w:left w:val="nil"/>
              <w:bottom w:val="nil"/>
              <w:right w:val="nil"/>
            </w:tcBorders>
            <w:shd w:val="clear" w:color="auto" w:fill="auto"/>
            <w:vAlign w:val="bottom"/>
            <w:hideMark/>
          </w:tcPr>
          <w:p w14:paraId="4D6EB6E7" w14:textId="77777777" w:rsidR="0010523F" w:rsidRPr="0010523F" w:rsidRDefault="0010523F" w:rsidP="0010523F">
            <w:pPr>
              <w:jc w:val="right"/>
              <w:rPr>
                <w:color w:val="000000"/>
                <w:sz w:val="18"/>
                <w:szCs w:val="18"/>
                <w:u w:val="single"/>
                <w:lang w:val="es-AR" w:eastAsia="es-AR"/>
              </w:rPr>
            </w:pPr>
          </w:p>
        </w:tc>
        <w:tc>
          <w:tcPr>
            <w:tcW w:w="1257" w:type="dxa"/>
            <w:tcBorders>
              <w:top w:val="nil"/>
              <w:left w:val="nil"/>
              <w:bottom w:val="nil"/>
              <w:right w:val="nil"/>
            </w:tcBorders>
            <w:shd w:val="clear" w:color="auto" w:fill="auto"/>
            <w:vAlign w:val="bottom"/>
          </w:tcPr>
          <w:p w14:paraId="2B6BAD70"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993" w:type="dxa"/>
            <w:tcBorders>
              <w:top w:val="nil"/>
              <w:left w:val="nil"/>
              <w:bottom w:val="nil"/>
              <w:right w:val="nil"/>
            </w:tcBorders>
            <w:shd w:val="clear" w:color="auto" w:fill="auto"/>
            <w:vAlign w:val="bottom"/>
            <w:hideMark/>
          </w:tcPr>
          <w:p w14:paraId="5CE95C48" w14:textId="77777777" w:rsidR="0010523F" w:rsidRPr="0010523F" w:rsidRDefault="0010523F" w:rsidP="0010523F">
            <w:pPr>
              <w:jc w:val="right"/>
              <w:rPr>
                <w:color w:val="000000"/>
                <w:sz w:val="18"/>
                <w:szCs w:val="18"/>
                <w:u w:val="single"/>
                <w:lang w:val="es-AR" w:eastAsia="es-AR"/>
              </w:rPr>
            </w:pPr>
            <w:r w:rsidRPr="0010523F">
              <w:rPr>
                <w:sz w:val="18"/>
                <w:szCs w:val="18"/>
                <w:u w:val="single"/>
                <w:lang w:val="es-AR" w:eastAsia="en-US"/>
              </w:rPr>
              <w:t xml:space="preserve">(     33) </w:t>
            </w:r>
          </w:p>
        </w:tc>
        <w:tc>
          <w:tcPr>
            <w:tcW w:w="1134" w:type="dxa"/>
            <w:tcBorders>
              <w:top w:val="nil"/>
              <w:left w:val="nil"/>
              <w:bottom w:val="nil"/>
              <w:right w:val="nil"/>
            </w:tcBorders>
            <w:shd w:val="clear" w:color="auto" w:fill="auto"/>
            <w:vAlign w:val="bottom"/>
            <w:hideMark/>
          </w:tcPr>
          <w:p w14:paraId="7F8611A4" w14:textId="77777777" w:rsidR="0010523F" w:rsidRPr="0010523F" w:rsidRDefault="0010523F" w:rsidP="0010523F">
            <w:pPr>
              <w:jc w:val="right"/>
              <w:rPr>
                <w:color w:val="000000"/>
                <w:sz w:val="18"/>
                <w:szCs w:val="18"/>
                <w:u w:val="single"/>
                <w:lang w:val="es-AR" w:eastAsia="es-AR"/>
              </w:rPr>
            </w:pPr>
            <w:r w:rsidRPr="0010523F">
              <w:rPr>
                <w:sz w:val="18"/>
                <w:szCs w:val="18"/>
                <w:u w:val="single"/>
                <w:lang w:val="es-AR" w:eastAsia="en-US"/>
              </w:rPr>
              <w:t xml:space="preserve">        - </w:t>
            </w:r>
          </w:p>
        </w:tc>
        <w:tc>
          <w:tcPr>
            <w:tcW w:w="992" w:type="dxa"/>
            <w:tcBorders>
              <w:top w:val="nil"/>
              <w:left w:val="nil"/>
              <w:bottom w:val="nil"/>
              <w:right w:val="nil"/>
            </w:tcBorders>
            <w:shd w:val="clear" w:color="auto" w:fill="auto"/>
            <w:vAlign w:val="bottom"/>
            <w:hideMark/>
          </w:tcPr>
          <w:p w14:paraId="555FB876" w14:textId="77777777" w:rsidR="0010523F" w:rsidRPr="0010523F" w:rsidRDefault="0010523F" w:rsidP="0010523F">
            <w:pPr>
              <w:jc w:val="right"/>
              <w:rPr>
                <w:color w:val="000000"/>
                <w:sz w:val="18"/>
                <w:szCs w:val="18"/>
                <w:u w:val="single"/>
                <w:lang w:val="es-AR" w:eastAsia="es-AR"/>
              </w:rPr>
            </w:pPr>
            <w:r w:rsidRPr="0010523F">
              <w:rPr>
                <w:sz w:val="18"/>
                <w:szCs w:val="18"/>
                <w:lang w:val="es-AR" w:eastAsia="en-US"/>
              </w:rPr>
              <w:t>(</w:t>
            </w:r>
            <w:r w:rsidRPr="0010523F">
              <w:rPr>
                <w:sz w:val="18"/>
                <w:szCs w:val="18"/>
                <w:u w:val="single"/>
                <w:lang w:val="es-AR" w:eastAsia="en-US"/>
              </w:rPr>
              <w:t xml:space="preserve">       7</w:t>
            </w:r>
            <w:r w:rsidRPr="0010523F">
              <w:rPr>
                <w:sz w:val="18"/>
                <w:szCs w:val="18"/>
                <w:lang w:val="es-AR" w:eastAsia="en-US"/>
              </w:rPr>
              <w:t>)</w:t>
            </w:r>
            <w:r w:rsidRPr="0010523F">
              <w:rPr>
                <w:sz w:val="18"/>
                <w:szCs w:val="18"/>
                <w:u w:val="single"/>
                <w:lang w:val="es-AR" w:eastAsia="en-US"/>
              </w:rPr>
              <w:t xml:space="preserve"> </w:t>
            </w:r>
          </w:p>
        </w:tc>
        <w:tc>
          <w:tcPr>
            <w:tcW w:w="1276" w:type="dxa"/>
            <w:tcBorders>
              <w:top w:val="nil"/>
              <w:left w:val="nil"/>
              <w:bottom w:val="nil"/>
              <w:right w:val="nil"/>
            </w:tcBorders>
            <w:shd w:val="clear" w:color="auto" w:fill="auto"/>
            <w:vAlign w:val="bottom"/>
            <w:hideMark/>
          </w:tcPr>
          <w:p w14:paraId="543478AF" w14:textId="77777777" w:rsidR="0010523F" w:rsidRPr="0010523F" w:rsidRDefault="0010523F" w:rsidP="0010523F">
            <w:pPr>
              <w:jc w:val="right"/>
              <w:rPr>
                <w:color w:val="000000"/>
                <w:sz w:val="18"/>
                <w:szCs w:val="18"/>
                <w:u w:val="single"/>
                <w:lang w:val="es-AR" w:eastAsia="es-AR"/>
              </w:rPr>
            </w:pPr>
            <w:r w:rsidRPr="0010523F">
              <w:rPr>
                <w:sz w:val="18"/>
                <w:szCs w:val="18"/>
                <w:lang w:val="es-AR" w:eastAsia="en-US"/>
              </w:rPr>
              <w:t>(</w:t>
            </w:r>
            <w:r w:rsidRPr="0010523F">
              <w:rPr>
                <w:sz w:val="18"/>
                <w:szCs w:val="18"/>
                <w:u w:val="single"/>
                <w:lang w:val="es-AR" w:eastAsia="en-US"/>
              </w:rPr>
              <w:t xml:space="preserve">     40</w:t>
            </w:r>
            <w:r w:rsidRPr="0010523F">
              <w:rPr>
                <w:sz w:val="18"/>
                <w:szCs w:val="18"/>
                <w:lang w:val="es-AR" w:eastAsia="en-US"/>
              </w:rPr>
              <w:t>)</w:t>
            </w:r>
            <w:r w:rsidRPr="0010523F">
              <w:rPr>
                <w:sz w:val="18"/>
                <w:szCs w:val="18"/>
                <w:u w:val="single"/>
                <w:lang w:val="es-AR" w:eastAsia="en-US"/>
              </w:rPr>
              <w:t xml:space="preserve"> </w:t>
            </w:r>
          </w:p>
        </w:tc>
        <w:tc>
          <w:tcPr>
            <w:tcW w:w="163" w:type="dxa"/>
            <w:gridSpan w:val="2"/>
            <w:tcBorders>
              <w:top w:val="nil"/>
              <w:left w:val="nil"/>
              <w:bottom w:val="nil"/>
              <w:right w:val="nil"/>
            </w:tcBorders>
            <w:shd w:val="clear" w:color="auto" w:fill="auto"/>
            <w:vAlign w:val="bottom"/>
            <w:hideMark/>
          </w:tcPr>
          <w:p w14:paraId="7C06A80A" w14:textId="77777777" w:rsidR="0010523F" w:rsidRPr="0010523F" w:rsidRDefault="0010523F" w:rsidP="0010523F">
            <w:pPr>
              <w:jc w:val="right"/>
              <w:rPr>
                <w:color w:val="000000"/>
                <w:sz w:val="18"/>
                <w:szCs w:val="18"/>
                <w:u w:val="single"/>
                <w:lang w:val="es-AR" w:eastAsia="es-AR"/>
              </w:rPr>
            </w:pPr>
          </w:p>
        </w:tc>
        <w:tc>
          <w:tcPr>
            <w:tcW w:w="1112" w:type="dxa"/>
            <w:gridSpan w:val="2"/>
            <w:tcBorders>
              <w:top w:val="nil"/>
              <w:left w:val="nil"/>
              <w:bottom w:val="nil"/>
              <w:right w:val="nil"/>
            </w:tcBorders>
            <w:shd w:val="clear" w:color="auto" w:fill="auto"/>
            <w:vAlign w:val="bottom"/>
            <w:hideMark/>
          </w:tcPr>
          <w:p w14:paraId="26697900" w14:textId="77777777" w:rsidR="0010523F" w:rsidRPr="0010523F" w:rsidRDefault="0010523F" w:rsidP="0010523F">
            <w:pPr>
              <w:jc w:val="right"/>
              <w:rPr>
                <w:color w:val="000000"/>
                <w:sz w:val="18"/>
                <w:szCs w:val="18"/>
                <w:u w:val="single"/>
                <w:lang w:val="es-AR" w:eastAsia="es-AR"/>
              </w:rPr>
            </w:pPr>
            <w:r w:rsidRPr="0010523F">
              <w:rPr>
                <w:sz w:val="18"/>
                <w:szCs w:val="18"/>
                <w:u w:val="single"/>
                <w:lang w:val="es-AR" w:eastAsia="en-US"/>
              </w:rPr>
              <w:t xml:space="preserve">   179 </w:t>
            </w:r>
          </w:p>
        </w:tc>
      </w:tr>
      <w:tr w:rsidR="0010523F" w:rsidRPr="0010523F" w14:paraId="5D6C8087" w14:textId="77777777" w:rsidTr="00774E7E">
        <w:trPr>
          <w:trHeight w:val="227"/>
        </w:trPr>
        <w:tc>
          <w:tcPr>
            <w:tcW w:w="2904" w:type="dxa"/>
            <w:tcBorders>
              <w:top w:val="nil"/>
              <w:left w:val="nil"/>
              <w:bottom w:val="nil"/>
              <w:right w:val="nil"/>
            </w:tcBorders>
            <w:shd w:val="clear" w:color="auto" w:fill="auto"/>
            <w:vAlign w:val="center"/>
            <w:hideMark/>
          </w:tcPr>
          <w:p w14:paraId="24302B6B" w14:textId="77777777" w:rsidR="0010523F" w:rsidRPr="0010523F" w:rsidRDefault="0010523F" w:rsidP="0010523F">
            <w:pPr>
              <w:rPr>
                <w:color w:val="000000"/>
                <w:sz w:val="18"/>
                <w:szCs w:val="18"/>
                <w:lang w:val="es-AR" w:eastAsia="es-AR"/>
              </w:rPr>
            </w:pPr>
            <w:r w:rsidRPr="0010523F">
              <w:rPr>
                <w:color w:val="000000"/>
                <w:sz w:val="18"/>
                <w:szCs w:val="18"/>
                <w:lang w:val="es-AR" w:eastAsia="es-AR"/>
              </w:rPr>
              <w:t>Total al 30/09/2019</w:t>
            </w:r>
          </w:p>
        </w:tc>
        <w:tc>
          <w:tcPr>
            <w:tcW w:w="850" w:type="dxa"/>
            <w:tcBorders>
              <w:top w:val="nil"/>
              <w:left w:val="nil"/>
              <w:bottom w:val="nil"/>
              <w:right w:val="nil"/>
            </w:tcBorders>
            <w:shd w:val="clear" w:color="auto" w:fill="auto"/>
            <w:vAlign w:val="bottom"/>
            <w:hideMark/>
          </w:tcPr>
          <w:p w14:paraId="66FE7485" w14:textId="77777777" w:rsidR="0010523F" w:rsidRPr="0010523F" w:rsidRDefault="0010523F" w:rsidP="0010523F">
            <w:pPr>
              <w:jc w:val="right"/>
              <w:rPr>
                <w:color w:val="000000"/>
                <w:sz w:val="18"/>
                <w:szCs w:val="18"/>
                <w:highlight w:val="yellow"/>
                <w:u w:val="double"/>
                <w:lang w:val="es-AR" w:eastAsia="es-AR"/>
              </w:rPr>
            </w:pPr>
            <w:r w:rsidRPr="0010523F">
              <w:rPr>
                <w:color w:val="000000"/>
                <w:sz w:val="18"/>
                <w:szCs w:val="18"/>
                <w:u w:val="double"/>
                <w:lang w:val="es-AR" w:eastAsia="en-US"/>
              </w:rPr>
              <w:t>10.864</w:t>
            </w:r>
          </w:p>
        </w:tc>
        <w:tc>
          <w:tcPr>
            <w:tcW w:w="993" w:type="dxa"/>
            <w:tcBorders>
              <w:top w:val="nil"/>
              <w:left w:val="nil"/>
              <w:bottom w:val="nil"/>
              <w:right w:val="nil"/>
            </w:tcBorders>
            <w:shd w:val="clear" w:color="auto" w:fill="auto"/>
            <w:vAlign w:val="bottom"/>
            <w:hideMark/>
          </w:tcPr>
          <w:p w14:paraId="4AC90B8D"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n-US"/>
              </w:rPr>
              <w:t>129</w:t>
            </w:r>
          </w:p>
        </w:tc>
        <w:tc>
          <w:tcPr>
            <w:tcW w:w="992" w:type="dxa"/>
            <w:tcBorders>
              <w:top w:val="nil"/>
              <w:left w:val="nil"/>
              <w:bottom w:val="nil"/>
              <w:right w:val="nil"/>
            </w:tcBorders>
            <w:shd w:val="clear" w:color="auto" w:fill="auto"/>
            <w:vAlign w:val="bottom"/>
            <w:hideMark/>
          </w:tcPr>
          <w:p w14:paraId="1DCCF605" w14:textId="77777777" w:rsidR="0010523F" w:rsidRPr="0010523F" w:rsidRDefault="0010523F" w:rsidP="0010523F">
            <w:pPr>
              <w:jc w:val="right"/>
              <w:rPr>
                <w:color w:val="000000"/>
                <w:sz w:val="18"/>
                <w:szCs w:val="18"/>
                <w:highlight w:val="yellow"/>
                <w:u w:val="double"/>
                <w:lang w:val="es-AR" w:eastAsia="es-AR"/>
              </w:rPr>
            </w:pPr>
            <w:r w:rsidRPr="0010523F">
              <w:rPr>
                <w:color w:val="000000"/>
                <w:sz w:val="18"/>
                <w:szCs w:val="18"/>
                <w:u w:val="double"/>
                <w:lang w:val="es-AR" w:eastAsia="en-US"/>
              </w:rPr>
              <w:t xml:space="preserve">        -</w:t>
            </w:r>
          </w:p>
        </w:tc>
        <w:tc>
          <w:tcPr>
            <w:tcW w:w="923" w:type="dxa"/>
            <w:tcBorders>
              <w:top w:val="nil"/>
              <w:left w:val="nil"/>
              <w:bottom w:val="nil"/>
              <w:right w:val="nil"/>
            </w:tcBorders>
            <w:shd w:val="clear" w:color="auto" w:fill="auto"/>
            <w:vAlign w:val="bottom"/>
            <w:hideMark/>
          </w:tcPr>
          <w:p w14:paraId="5B06D077"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n-US"/>
              </w:rPr>
              <w:t>5.495</w:t>
            </w:r>
          </w:p>
        </w:tc>
        <w:tc>
          <w:tcPr>
            <w:tcW w:w="999" w:type="dxa"/>
            <w:tcBorders>
              <w:top w:val="nil"/>
              <w:left w:val="nil"/>
              <w:bottom w:val="nil"/>
              <w:right w:val="nil"/>
            </w:tcBorders>
            <w:shd w:val="clear" w:color="auto" w:fill="auto"/>
            <w:vAlign w:val="bottom"/>
            <w:hideMark/>
          </w:tcPr>
          <w:p w14:paraId="2F785D58"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n-US"/>
              </w:rPr>
              <w:t>16.488</w:t>
            </w:r>
          </w:p>
        </w:tc>
        <w:tc>
          <w:tcPr>
            <w:tcW w:w="160" w:type="dxa"/>
            <w:tcBorders>
              <w:top w:val="nil"/>
              <w:left w:val="nil"/>
              <w:bottom w:val="nil"/>
              <w:right w:val="nil"/>
            </w:tcBorders>
            <w:shd w:val="clear" w:color="auto" w:fill="auto"/>
            <w:vAlign w:val="bottom"/>
            <w:hideMark/>
          </w:tcPr>
          <w:p w14:paraId="37A1B2F7" w14:textId="77777777" w:rsidR="0010523F" w:rsidRPr="0010523F" w:rsidRDefault="0010523F" w:rsidP="0010523F">
            <w:pPr>
              <w:jc w:val="right"/>
              <w:rPr>
                <w:color w:val="000000"/>
                <w:sz w:val="18"/>
                <w:szCs w:val="18"/>
                <w:u w:val="double"/>
                <w:lang w:val="es-AR" w:eastAsia="es-AR"/>
              </w:rPr>
            </w:pPr>
          </w:p>
        </w:tc>
        <w:tc>
          <w:tcPr>
            <w:tcW w:w="1257" w:type="dxa"/>
            <w:tcBorders>
              <w:top w:val="nil"/>
              <w:left w:val="nil"/>
              <w:bottom w:val="nil"/>
              <w:right w:val="nil"/>
            </w:tcBorders>
            <w:shd w:val="clear" w:color="auto" w:fill="auto"/>
            <w:vAlign w:val="bottom"/>
            <w:hideMark/>
          </w:tcPr>
          <w:p w14:paraId="515B77D5" w14:textId="77777777" w:rsidR="0010523F" w:rsidRPr="0010523F" w:rsidRDefault="0010523F" w:rsidP="0010523F">
            <w:pPr>
              <w:jc w:val="right"/>
              <w:rPr>
                <w:color w:val="000000"/>
                <w:sz w:val="18"/>
                <w:szCs w:val="18"/>
                <w:u w:val="double"/>
                <w:lang w:val="es-AR" w:eastAsia="es-AR"/>
              </w:rPr>
            </w:pPr>
            <w:r w:rsidRPr="0010523F">
              <w:rPr>
                <w:color w:val="000000"/>
                <w:sz w:val="18"/>
                <w:szCs w:val="18"/>
                <w:lang w:val="es-AR" w:eastAsia="en-US"/>
              </w:rPr>
              <w:t>(</w:t>
            </w:r>
            <w:r w:rsidRPr="0010523F">
              <w:rPr>
                <w:color w:val="000000"/>
                <w:sz w:val="18"/>
                <w:szCs w:val="18"/>
                <w:u w:val="double"/>
                <w:lang w:val="es-AR" w:eastAsia="en-US"/>
              </w:rPr>
              <w:t xml:space="preserve">    4.875</w:t>
            </w:r>
            <w:r w:rsidRPr="0010523F">
              <w:rPr>
                <w:color w:val="000000"/>
                <w:sz w:val="18"/>
                <w:szCs w:val="18"/>
                <w:lang w:val="es-AR" w:eastAsia="en-US"/>
              </w:rPr>
              <w:t>)</w:t>
            </w:r>
          </w:p>
        </w:tc>
        <w:tc>
          <w:tcPr>
            <w:tcW w:w="993" w:type="dxa"/>
            <w:tcBorders>
              <w:top w:val="nil"/>
              <w:left w:val="nil"/>
              <w:bottom w:val="nil"/>
              <w:right w:val="nil"/>
            </w:tcBorders>
            <w:shd w:val="clear" w:color="auto" w:fill="auto"/>
            <w:vAlign w:val="bottom"/>
            <w:hideMark/>
          </w:tcPr>
          <w:p w14:paraId="3D1118DF" w14:textId="77777777" w:rsidR="0010523F" w:rsidRPr="0010523F" w:rsidRDefault="0010523F" w:rsidP="0010523F">
            <w:pPr>
              <w:jc w:val="right"/>
              <w:rPr>
                <w:color w:val="000000"/>
                <w:sz w:val="18"/>
                <w:szCs w:val="18"/>
                <w:u w:val="double"/>
                <w:lang w:val="es-AR" w:eastAsia="es-AR"/>
              </w:rPr>
            </w:pPr>
            <w:r w:rsidRPr="0010523F">
              <w:rPr>
                <w:color w:val="000000"/>
                <w:sz w:val="18"/>
                <w:szCs w:val="18"/>
                <w:lang w:val="es-AR" w:eastAsia="en-US"/>
              </w:rPr>
              <w:t>(</w:t>
            </w:r>
            <w:r w:rsidRPr="0010523F">
              <w:rPr>
                <w:color w:val="000000"/>
                <w:sz w:val="18"/>
                <w:szCs w:val="18"/>
                <w:u w:val="double"/>
                <w:lang w:val="es-AR" w:eastAsia="en-US"/>
              </w:rPr>
              <w:t>1.742</w:t>
            </w:r>
            <w:r w:rsidRPr="0010523F">
              <w:rPr>
                <w:color w:val="000000"/>
                <w:sz w:val="18"/>
                <w:szCs w:val="18"/>
                <w:lang w:val="es-AR" w:eastAsia="en-US"/>
              </w:rPr>
              <w:t>)</w:t>
            </w:r>
          </w:p>
        </w:tc>
        <w:tc>
          <w:tcPr>
            <w:tcW w:w="1134" w:type="dxa"/>
            <w:tcBorders>
              <w:top w:val="nil"/>
              <w:left w:val="nil"/>
              <w:bottom w:val="nil"/>
              <w:right w:val="nil"/>
            </w:tcBorders>
            <w:shd w:val="clear" w:color="auto" w:fill="auto"/>
            <w:vAlign w:val="bottom"/>
            <w:hideMark/>
          </w:tcPr>
          <w:p w14:paraId="53F3EB77"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n-US"/>
              </w:rPr>
              <w:t xml:space="preserve">        -</w:t>
            </w:r>
          </w:p>
        </w:tc>
        <w:tc>
          <w:tcPr>
            <w:tcW w:w="992" w:type="dxa"/>
            <w:tcBorders>
              <w:top w:val="nil"/>
              <w:left w:val="nil"/>
              <w:bottom w:val="nil"/>
              <w:right w:val="nil"/>
            </w:tcBorders>
            <w:shd w:val="clear" w:color="auto" w:fill="auto"/>
            <w:vAlign w:val="bottom"/>
            <w:hideMark/>
          </w:tcPr>
          <w:p w14:paraId="4F9D26DF" w14:textId="77777777" w:rsidR="0010523F" w:rsidRPr="0010523F" w:rsidRDefault="0010523F" w:rsidP="0010523F">
            <w:pPr>
              <w:jc w:val="right"/>
              <w:rPr>
                <w:color w:val="000000"/>
                <w:sz w:val="18"/>
                <w:szCs w:val="18"/>
                <w:u w:val="double"/>
                <w:lang w:val="es-AR" w:eastAsia="es-AR"/>
              </w:rPr>
            </w:pPr>
            <w:r w:rsidRPr="0010523F">
              <w:rPr>
                <w:color w:val="000000"/>
                <w:sz w:val="18"/>
                <w:szCs w:val="18"/>
                <w:lang w:val="es-AR" w:eastAsia="en-US"/>
              </w:rPr>
              <w:t>(</w:t>
            </w:r>
            <w:r w:rsidRPr="0010523F">
              <w:rPr>
                <w:color w:val="000000"/>
                <w:sz w:val="18"/>
                <w:szCs w:val="18"/>
                <w:u w:val="double"/>
                <w:lang w:val="es-AR" w:eastAsia="en-US"/>
              </w:rPr>
              <w:t>2.963</w:t>
            </w:r>
            <w:r w:rsidRPr="0010523F">
              <w:rPr>
                <w:sz w:val="18"/>
                <w:szCs w:val="18"/>
                <w:lang w:val="es-AR" w:eastAsia="en-US"/>
              </w:rPr>
              <w:t>)</w:t>
            </w:r>
            <w:r w:rsidRPr="0010523F" w:rsidDel="00193988">
              <w:rPr>
                <w:color w:val="000000"/>
                <w:sz w:val="18"/>
                <w:szCs w:val="18"/>
                <w:lang w:val="es-AR" w:eastAsia="es-AR"/>
              </w:rPr>
              <w:t xml:space="preserve"> </w:t>
            </w:r>
          </w:p>
        </w:tc>
        <w:tc>
          <w:tcPr>
            <w:tcW w:w="1276" w:type="dxa"/>
            <w:tcBorders>
              <w:top w:val="nil"/>
              <w:left w:val="nil"/>
              <w:bottom w:val="nil"/>
              <w:right w:val="nil"/>
            </w:tcBorders>
            <w:shd w:val="clear" w:color="auto" w:fill="auto"/>
            <w:vAlign w:val="bottom"/>
            <w:hideMark/>
          </w:tcPr>
          <w:p w14:paraId="5AE90F67" w14:textId="77777777" w:rsidR="0010523F" w:rsidRPr="0010523F" w:rsidRDefault="0010523F" w:rsidP="0010523F">
            <w:pPr>
              <w:jc w:val="right"/>
              <w:rPr>
                <w:color w:val="000000"/>
                <w:sz w:val="18"/>
                <w:szCs w:val="18"/>
                <w:u w:val="double"/>
                <w:lang w:val="es-AR" w:eastAsia="es-AR"/>
              </w:rPr>
            </w:pPr>
            <w:r w:rsidRPr="0010523F">
              <w:rPr>
                <w:color w:val="000000"/>
                <w:sz w:val="18"/>
                <w:szCs w:val="18"/>
                <w:lang w:val="es-AR" w:eastAsia="en-US"/>
              </w:rPr>
              <w:t>(</w:t>
            </w:r>
            <w:r w:rsidRPr="0010523F">
              <w:rPr>
                <w:color w:val="000000"/>
                <w:sz w:val="18"/>
                <w:szCs w:val="18"/>
                <w:u w:val="double"/>
                <w:lang w:val="es-AR" w:eastAsia="en-US"/>
              </w:rPr>
              <w:t>9.580</w:t>
            </w:r>
            <w:r w:rsidRPr="0010523F">
              <w:rPr>
                <w:sz w:val="18"/>
                <w:szCs w:val="18"/>
                <w:lang w:val="es-AR" w:eastAsia="en-US"/>
              </w:rPr>
              <w:t>)</w:t>
            </w:r>
            <w:r w:rsidRPr="0010523F" w:rsidDel="00193988">
              <w:rPr>
                <w:color w:val="000000"/>
                <w:sz w:val="18"/>
                <w:szCs w:val="18"/>
                <w:lang w:val="es-AR" w:eastAsia="es-AR"/>
              </w:rPr>
              <w:t xml:space="preserve"> </w:t>
            </w:r>
          </w:p>
        </w:tc>
        <w:tc>
          <w:tcPr>
            <w:tcW w:w="163" w:type="dxa"/>
            <w:gridSpan w:val="2"/>
            <w:tcBorders>
              <w:top w:val="nil"/>
              <w:left w:val="nil"/>
              <w:bottom w:val="nil"/>
              <w:right w:val="nil"/>
            </w:tcBorders>
            <w:shd w:val="clear" w:color="auto" w:fill="auto"/>
            <w:vAlign w:val="bottom"/>
            <w:hideMark/>
          </w:tcPr>
          <w:p w14:paraId="3A00CCD1" w14:textId="77777777" w:rsidR="0010523F" w:rsidRPr="0010523F" w:rsidRDefault="0010523F" w:rsidP="0010523F">
            <w:pPr>
              <w:jc w:val="right"/>
              <w:rPr>
                <w:color w:val="000000"/>
                <w:sz w:val="18"/>
                <w:szCs w:val="18"/>
                <w:u w:val="double"/>
                <w:lang w:val="es-AR" w:eastAsia="es-AR"/>
              </w:rPr>
            </w:pPr>
          </w:p>
        </w:tc>
        <w:tc>
          <w:tcPr>
            <w:tcW w:w="1112" w:type="dxa"/>
            <w:gridSpan w:val="2"/>
            <w:tcBorders>
              <w:top w:val="nil"/>
              <w:left w:val="nil"/>
              <w:bottom w:val="nil"/>
              <w:right w:val="nil"/>
            </w:tcBorders>
            <w:shd w:val="clear" w:color="auto" w:fill="auto"/>
            <w:vAlign w:val="bottom"/>
            <w:hideMark/>
          </w:tcPr>
          <w:p w14:paraId="4BBE4511"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n-US"/>
              </w:rPr>
              <w:t>6.908</w:t>
            </w:r>
          </w:p>
        </w:tc>
      </w:tr>
      <w:tr w:rsidR="0010523F" w:rsidRPr="0010523F" w14:paraId="3B1D0F7D" w14:textId="77777777" w:rsidTr="00774E7E">
        <w:trPr>
          <w:trHeight w:val="57"/>
        </w:trPr>
        <w:tc>
          <w:tcPr>
            <w:tcW w:w="2904" w:type="dxa"/>
            <w:tcBorders>
              <w:top w:val="nil"/>
              <w:left w:val="nil"/>
              <w:bottom w:val="nil"/>
              <w:right w:val="nil"/>
            </w:tcBorders>
            <w:shd w:val="clear" w:color="auto" w:fill="auto"/>
            <w:vAlign w:val="center"/>
          </w:tcPr>
          <w:p w14:paraId="268BB5B4" w14:textId="77777777" w:rsidR="0010523F" w:rsidRPr="0010523F" w:rsidRDefault="0010523F" w:rsidP="0010523F">
            <w:pPr>
              <w:spacing w:line="100" w:lineRule="exact"/>
              <w:rPr>
                <w:color w:val="000000"/>
                <w:sz w:val="16"/>
                <w:szCs w:val="16"/>
                <w:lang w:val="es-AR" w:eastAsia="es-AR"/>
              </w:rPr>
            </w:pPr>
          </w:p>
        </w:tc>
        <w:tc>
          <w:tcPr>
            <w:tcW w:w="850" w:type="dxa"/>
            <w:tcBorders>
              <w:top w:val="nil"/>
              <w:left w:val="nil"/>
              <w:bottom w:val="nil"/>
              <w:right w:val="nil"/>
            </w:tcBorders>
            <w:shd w:val="clear" w:color="auto" w:fill="auto"/>
            <w:vAlign w:val="bottom"/>
          </w:tcPr>
          <w:p w14:paraId="58C67B21" w14:textId="77777777" w:rsidR="0010523F" w:rsidRPr="0010523F" w:rsidRDefault="0010523F" w:rsidP="0010523F">
            <w:pPr>
              <w:spacing w:line="100" w:lineRule="exact"/>
              <w:jc w:val="right"/>
              <w:rPr>
                <w:color w:val="000000"/>
                <w:sz w:val="16"/>
                <w:szCs w:val="16"/>
                <w:highlight w:val="yellow"/>
                <w:lang w:val="es-AR" w:eastAsia="es-AR"/>
              </w:rPr>
            </w:pPr>
          </w:p>
        </w:tc>
        <w:tc>
          <w:tcPr>
            <w:tcW w:w="993" w:type="dxa"/>
            <w:tcBorders>
              <w:top w:val="nil"/>
              <w:left w:val="nil"/>
              <w:bottom w:val="nil"/>
              <w:right w:val="nil"/>
            </w:tcBorders>
            <w:shd w:val="clear" w:color="auto" w:fill="auto"/>
            <w:vAlign w:val="bottom"/>
          </w:tcPr>
          <w:p w14:paraId="516E786E" w14:textId="77777777" w:rsidR="0010523F" w:rsidRPr="0010523F" w:rsidRDefault="0010523F" w:rsidP="0010523F">
            <w:pPr>
              <w:spacing w:line="100" w:lineRule="exact"/>
              <w:jc w:val="right"/>
              <w:rPr>
                <w:color w:val="000000"/>
                <w:sz w:val="16"/>
                <w:szCs w:val="16"/>
                <w:lang w:val="es-AR" w:eastAsia="es-AR"/>
              </w:rPr>
            </w:pPr>
          </w:p>
        </w:tc>
        <w:tc>
          <w:tcPr>
            <w:tcW w:w="992" w:type="dxa"/>
            <w:tcBorders>
              <w:top w:val="nil"/>
              <w:left w:val="nil"/>
              <w:bottom w:val="nil"/>
              <w:right w:val="nil"/>
            </w:tcBorders>
            <w:shd w:val="clear" w:color="auto" w:fill="auto"/>
            <w:vAlign w:val="bottom"/>
          </w:tcPr>
          <w:p w14:paraId="160EECD4" w14:textId="77777777" w:rsidR="0010523F" w:rsidRPr="0010523F" w:rsidRDefault="0010523F" w:rsidP="0010523F">
            <w:pPr>
              <w:spacing w:line="100" w:lineRule="exact"/>
              <w:jc w:val="right"/>
              <w:rPr>
                <w:color w:val="000000"/>
                <w:sz w:val="16"/>
                <w:szCs w:val="16"/>
                <w:lang w:val="es-AR" w:eastAsia="es-AR"/>
              </w:rPr>
            </w:pPr>
          </w:p>
        </w:tc>
        <w:tc>
          <w:tcPr>
            <w:tcW w:w="923" w:type="dxa"/>
            <w:tcBorders>
              <w:top w:val="nil"/>
              <w:left w:val="nil"/>
              <w:bottom w:val="nil"/>
              <w:right w:val="nil"/>
            </w:tcBorders>
            <w:shd w:val="clear" w:color="auto" w:fill="auto"/>
            <w:vAlign w:val="bottom"/>
          </w:tcPr>
          <w:p w14:paraId="55A044D3" w14:textId="77777777" w:rsidR="0010523F" w:rsidRPr="0010523F" w:rsidRDefault="0010523F" w:rsidP="0010523F">
            <w:pPr>
              <w:spacing w:line="100" w:lineRule="exact"/>
              <w:jc w:val="right"/>
              <w:rPr>
                <w:color w:val="000000"/>
                <w:sz w:val="16"/>
                <w:szCs w:val="16"/>
                <w:lang w:val="es-AR" w:eastAsia="es-AR"/>
              </w:rPr>
            </w:pPr>
          </w:p>
        </w:tc>
        <w:tc>
          <w:tcPr>
            <w:tcW w:w="999" w:type="dxa"/>
            <w:tcBorders>
              <w:top w:val="nil"/>
              <w:left w:val="nil"/>
              <w:bottom w:val="nil"/>
              <w:right w:val="nil"/>
            </w:tcBorders>
            <w:shd w:val="clear" w:color="auto" w:fill="auto"/>
            <w:vAlign w:val="bottom"/>
          </w:tcPr>
          <w:p w14:paraId="007D3B42" w14:textId="77777777" w:rsidR="0010523F" w:rsidRPr="0010523F" w:rsidRDefault="0010523F" w:rsidP="0010523F">
            <w:pPr>
              <w:spacing w:line="100" w:lineRule="exact"/>
              <w:jc w:val="right"/>
              <w:rPr>
                <w:color w:val="000000"/>
                <w:sz w:val="16"/>
                <w:szCs w:val="16"/>
                <w:lang w:val="es-AR" w:eastAsia="es-AR"/>
              </w:rPr>
            </w:pPr>
          </w:p>
        </w:tc>
        <w:tc>
          <w:tcPr>
            <w:tcW w:w="160" w:type="dxa"/>
            <w:tcBorders>
              <w:top w:val="nil"/>
              <w:left w:val="nil"/>
              <w:bottom w:val="nil"/>
              <w:right w:val="nil"/>
            </w:tcBorders>
            <w:shd w:val="clear" w:color="auto" w:fill="auto"/>
            <w:vAlign w:val="bottom"/>
          </w:tcPr>
          <w:p w14:paraId="5F56F5F7" w14:textId="77777777" w:rsidR="0010523F" w:rsidRPr="0010523F" w:rsidRDefault="0010523F" w:rsidP="0010523F">
            <w:pPr>
              <w:spacing w:line="100" w:lineRule="exact"/>
              <w:jc w:val="right"/>
              <w:rPr>
                <w:color w:val="000000"/>
                <w:sz w:val="16"/>
                <w:szCs w:val="16"/>
                <w:lang w:val="es-AR" w:eastAsia="es-AR"/>
              </w:rPr>
            </w:pPr>
          </w:p>
        </w:tc>
        <w:tc>
          <w:tcPr>
            <w:tcW w:w="1257" w:type="dxa"/>
            <w:tcBorders>
              <w:top w:val="nil"/>
              <w:left w:val="nil"/>
              <w:bottom w:val="nil"/>
              <w:right w:val="nil"/>
            </w:tcBorders>
            <w:shd w:val="clear" w:color="auto" w:fill="auto"/>
            <w:vAlign w:val="bottom"/>
          </w:tcPr>
          <w:p w14:paraId="2626FE44" w14:textId="77777777" w:rsidR="0010523F" w:rsidRPr="0010523F" w:rsidRDefault="0010523F" w:rsidP="0010523F">
            <w:pPr>
              <w:spacing w:line="100" w:lineRule="exact"/>
              <w:jc w:val="right"/>
              <w:rPr>
                <w:color w:val="000000"/>
                <w:sz w:val="16"/>
                <w:szCs w:val="16"/>
                <w:lang w:val="es-AR" w:eastAsia="es-AR"/>
              </w:rPr>
            </w:pPr>
          </w:p>
        </w:tc>
        <w:tc>
          <w:tcPr>
            <w:tcW w:w="993" w:type="dxa"/>
            <w:tcBorders>
              <w:top w:val="nil"/>
              <w:left w:val="nil"/>
              <w:bottom w:val="nil"/>
              <w:right w:val="nil"/>
            </w:tcBorders>
            <w:shd w:val="clear" w:color="auto" w:fill="auto"/>
            <w:vAlign w:val="bottom"/>
          </w:tcPr>
          <w:p w14:paraId="40F54D78" w14:textId="77777777" w:rsidR="0010523F" w:rsidRPr="0010523F" w:rsidRDefault="0010523F" w:rsidP="0010523F">
            <w:pPr>
              <w:spacing w:line="100" w:lineRule="exact"/>
              <w:jc w:val="right"/>
              <w:rPr>
                <w:color w:val="000000"/>
                <w:sz w:val="16"/>
                <w:szCs w:val="16"/>
                <w:lang w:val="es-AR" w:eastAsia="es-AR"/>
              </w:rPr>
            </w:pPr>
          </w:p>
        </w:tc>
        <w:tc>
          <w:tcPr>
            <w:tcW w:w="1134" w:type="dxa"/>
            <w:tcBorders>
              <w:top w:val="nil"/>
              <w:left w:val="nil"/>
              <w:bottom w:val="nil"/>
              <w:right w:val="nil"/>
            </w:tcBorders>
            <w:shd w:val="clear" w:color="auto" w:fill="auto"/>
            <w:vAlign w:val="bottom"/>
          </w:tcPr>
          <w:p w14:paraId="1DA9DB79" w14:textId="77777777" w:rsidR="0010523F" w:rsidRPr="0010523F" w:rsidRDefault="0010523F" w:rsidP="0010523F">
            <w:pPr>
              <w:spacing w:line="100" w:lineRule="exact"/>
              <w:jc w:val="right"/>
              <w:rPr>
                <w:color w:val="000000"/>
                <w:sz w:val="16"/>
                <w:szCs w:val="16"/>
                <w:lang w:val="es-AR" w:eastAsia="es-AR"/>
              </w:rPr>
            </w:pPr>
          </w:p>
        </w:tc>
        <w:tc>
          <w:tcPr>
            <w:tcW w:w="992" w:type="dxa"/>
            <w:tcBorders>
              <w:top w:val="nil"/>
              <w:left w:val="nil"/>
              <w:bottom w:val="nil"/>
              <w:right w:val="nil"/>
            </w:tcBorders>
            <w:shd w:val="clear" w:color="auto" w:fill="auto"/>
            <w:vAlign w:val="bottom"/>
          </w:tcPr>
          <w:p w14:paraId="1855737F" w14:textId="77777777" w:rsidR="0010523F" w:rsidRPr="0010523F" w:rsidRDefault="0010523F" w:rsidP="0010523F">
            <w:pPr>
              <w:spacing w:line="100" w:lineRule="exact"/>
              <w:jc w:val="right"/>
              <w:rPr>
                <w:color w:val="000000"/>
                <w:sz w:val="16"/>
                <w:szCs w:val="16"/>
                <w:lang w:val="es-AR" w:eastAsia="es-AR"/>
              </w:rPr>
            </w:pPr>
          </w:p>
        </w:tc>
        <w:tc>
          <w:tcPr>
            <w:tcW w:w="1276" w:type="dxa"/>
            <w:tcBorders>
              <w:top w:val="nil"/>
              <w:left w:val="nil"/>
              <w:bottom w:val="nil"/>
              <w:right w:val="nil"/>
            </w:tcBorders>
            <w:shd w:val="clear" w:color="auto" w:fill="auto"/>
            <w:vAlign w:val="bottom"/>
          </w:tcPr>
          <w:p w14:paraId="213C8E01" w14:textId="77777777" w:rsidR="0010523F" w:rsidRPr="0010523F" w:rsidRDefault="0010523F" w:rsidP="0010523F">
            <w:pPr>
              <w:spacing w:line="100" w:lineRule="exact"/>
              <w:jc w:val="right"/>
              <w:rPr>
                <w:color w:val="000000"/>
                <w:sz w:val="16"/>
                <w:szCs w:val="16"/>
                <w:lang w:val="es-AR" w:eastAsia="es-AR"/>
              </w:rPr>
            </w:pPr>
          </w:p>
        </w:tc>
        <w:tc>
          <w:tcPr>
            <w:tcW w:w="163" w:type="dxa"/>
            <w:gridSpan w:val="2"/>
            <w:tcBorders>
              <w:top w:val="nil"/>
              <w:left w:val="nil"/>
              <w:bottom w:val="nil"/>
              <w:right w:val="nil"/>
            </w:tcBorders>
            <w:shd w:val="clear" w:color="auto" w:fill="auto"/>
            <w:vAlign w:val="bottom"/>
          </w:tcPr>
          <w:p w14:paraId="2B207F0D" w14:textId="77777777" w:rsidR="0010523F" w:rsidRPr="0010523F" w:rsidRDefault="0010523F" w:rsidP="0010523F">
            <w:pPr>
              <w:spacing w:line="100" w:lineRule="exact"/>
              <w:jc w:val="right"/>
              <w:rPr>
                <w:color w:val="000000"/>
                <w:sz w:val="16"/>
                <w:szCs w:val="16"/>
                <w:lang w:val="es-AR" w:eastAsia="es-AR"/>
              </w:rPr>
            </w:pPr>
          </w:p>
        </w:tc>
        <w:tc>
          <w:tcPr>
            <w:tcW w:w="1112" w:type="dxa"/>
            <w:gridSpan w:val="2"/>
            <w:tcBorders>
              <w:top w:val="nil"/>
              <w:left w:val="nil"/>
              <w:bottom w:val="nil"/>
              <w:right w:val="nil"/>
            </w:tcBorders>
            <w:shd w:val="clear" w:color="auto" w:fill="auto"/>
            <w:vAlign w:val="bottom"/>
          </w:tcPr>
          <w:p w14:paraId="18B6E287" w14:textId="77777777" w:rsidR="0010523F" w:rsidRPr="0010523F" w:rsidRDefault="0010523F" w:rsidP="0010523F">
            <w:pPr>
              <w:spacing w:line="100" w:lineRule="exact"/>
              <w:jc w:val="right"/>
              <w:rPr>
                <w:color w:val="000000"/>
                <w:sz w:val="16"/>
                <w:szCs w:val="16"/>
                <w:lang w:val="es-AR" w:eastAsia="es-AR"/>
              </w:rPr>
            </w:pPr>
          </w:p>
        </w:tc>
      </w:tr>
    </w:tbl>
    <w:p w14:paraId="64E7FBF6" w14:textId="77777777" w:rsidR="0010523F" w:rsidRPr="0010523F" w:rsidRDefault="0010523F" w:rsidP="0010523F">
      <w:pPr>
        <w:rPr>
          <w:sz w:val="20"/>
          <w:szCs w:val="16"/>
          <w:highlight w:val="yellow"/>
          <w:lang w:val="es-AR" w:eastAsia="en-US"/>
        </w:rPr>
      </w:pPr>
    </w:p>
    <w:p w14:paraId="32B9E622" w14:textId="77777777" w:rsidR="0010523F" w:rsidRPr="0010523F" w:rsidRDefault="0010523F" w:rsidP="00E2318E">
      <w:pPr>
        <w:numPr>
          <w:ilvl w:val="0"/>
          <w:numId w:val="76"/>
        </w:numPr>
        <w:spacing w:before="120" w:line="220" w:lineRule="exact"/>
        <w:contextualSpacing/>
        <w:jc w:val="both"/>
        <w:rPr>
          <w:sz w:val="20"/>
          <w:szCs w:val="20"/>
          <w:lang w:val="es-AR" w:eastAsia="en-US"/>
        </w:rPr>
      </w:pPr>
      <w:r w:rsidRPr="0010523F">
        <w:rPr>
          <w:sz w:val="20"/>
          <w:szCs w:val="20"/>
          <w:lang w:val="es-AR" w:eastAsia="en-US"/>
        </w:rPr>
        <w:t>Saldos por aplicación inicial de NIIF 16.</w:t>
      </w:r>
    </w:p>
    <w:p w14:paraId="20BE710F" w14:textId="77777777" w:rsidR="0010523F" w:rsidRPr="0010523F" w:rsidRDefault="0010523F" w:rsidP="00E2318E">
      <w:pPr>
        <w:numPr>
          <w:ilvl w:val="0"/>
          <w:numId w:val="76"/>
        </w:numPr>
        <w:spacing w:before="120" w:line="220" w:lineRule="exact"/>
        <w:contextualSpacing/>
        <w:jc w:val="both"/>
        <w:rPr>
          <w:sz w:val="20"/>
          <w:szCs w:val="20"/>
          <w:lang w:val="es-AR" w:eastAsia="en-US"/>
        </w:rPr>
      </w:pPr>
      <w:r w:rsidRPr="0010523F">
        <w:rPr>
          <w:sz w:val="20"/>
          <w:szCs w:val="20"/>
          <w:lang w:val="es-AR" w:eastAsia="en-US"/>
        </w:rPr>
        <w:t>Arrendamientos financieros al 31 de diciembre de 2018 según la NIC 17, que por aplicación inicial de la NIIF 16, se clasifican como “Activos por derecho a uso”.</w:t>
      </w:r>
    </w:p>
    <w:p w14:paraId="45040399" w14:textId="77777777" w:rsidR="0010523F" w:rsidRPr="0010523F" w:rsidRDefault="0010523F" w:rsidP="0010523F">
      <w:pPr>
        <w:rPr>
          <w:sz w:val="20"/>
          <w:szCs w:val="16"/>
          <w:highlight w:val="yellow"/>
          <w:lang w:val="es-AR" w:eastAsia="en-US"/>
        </w:rPr>
      </w:pPr>
      <w:r w:rsidRPr="0010523F">
        <w:rPr>
          <w:sz w:val="20"/>
          <w:szCs w:val="16"/>
          <w:highlight w:val="yellow"/>
          <w:lang w:val="es-AR" w:eastAsia="en-US"/>
        </w:rPr>
        <w:br w:type="page"/>
      </w:r>
    </w:p>
    <w:p w14:paraId="460AD26F" w14:textId="77777777" w:rsidR="0010523F" w:rsidRPr="0010523F" w:rsidRDefault="0010523F" w:rsidP="0010523F">
      <w:pPr>
        <w:rPr>
          <w:sz w:val="20"/>
          <w:szCs w:val="16"/>
          <w:highlight w:val="yellow"/>
          <w:lang w:val="es-AR" w:eastAsia="en-US"/>
        </w:rPr>
        <w:sectPr w:rsidR="0010523F" w:rsidRPr="0010523F" w:rsidSect="00D811CD">
          <w:headerReference w:type="default" r:id="rId53"/>
          <w:headerReference w:type="first" r:id="rId54"/>
          <w:pgSz w:w="16840" w:h="11907" w:orient="landscape" w:code="9"/>
          <w:pgMar w:top="1134" w:right="567" w:bottom="1134" w:left="425" w:header="567" w:footer="259" w:gutter="0"/>
          <w:paperSrc w:first="7" w:other="7"/>
          <w:cols w:space="720"/>
          <w:titlePg/>
          <w:docGrid w:linePitch="326"/>
        </w:sectPr>
      </w:pPr>
    </w:p>
    <w:p w14:paraId="2837BB9A" w14:textId="77777777" w:rsidR="0010523F" w:rsidRPr="0010523F" w:rsidRDefault="0010523F" w:rsidP="0010523F">
      <w:pPr>
        <w:jc w:val="both"/>
        <w:rPr>
          <w:b/>
          <w:lang w:val="es-AR" w:eastAsia="en-US"/>
        </w:rPr>
      </w:pPr>
      <w:r w:rsidRPr="0010523F">
        <w:rPr>
          <w:b/>
          <w:lang w:val="es-AR" w:eastAsia="en-US"/>
        </w:rPr>
        <w:t>NOTA 3 -</w:t>
      </w:r>
      <w:r w:rsidRPr="0010523F">
        <w:rPr>
          <w:b/>
          <w:lang w:val="es-AR" w:eastAsia="en-US"/>
        </w:rPr>
        <w:tab/>
        <w:t>COMPOSICIÓN DE CIERTOS RUBROS DEL ESTADO DE SITUACIÓN FINANCIERA INTERMEDIO CONDENSADO (cont.)</w:t>
      </w:r>
    </w:p>
    <w:p w14:paraId="7D24BD29" w14:textId="77777777" w:rsidR="0010523F" w:rsidRPr="0010523F" w:rsidRDefault="0010523F" w:rsidP="0010523F">
      <w:pPr>
        <w:tabs>
          <w:tab w:val="center" w:pos="6120"/>
          <w:tab w:val="center" w:pos="7680"/>
          <w:tab w:val="center" w:pos="9120"/>
        </w:tabs>
        <w:spacing w:line="180" w:lineRule="exact"/>
        <w:jc w:val="both"/>
        <w:rPr>
          <w:sz w:val="22"/>
          <w:szCs w:val="22"/>
          <w:lang w:val="es-AR" w:eastAsia="en-US"/>
        </w:rPr>
      </w:pPr>
    </w:p>
    <w:p w14:paraId="0579D345" w14:textId="77777777" w:rsidR="0010523F" w:rsidRPr="0010523F" w:rsidRDefault="0010523F" w:rsidP="00E2318E">
      <w:pPr>
        <w:keepNext/>
        <w:widowControl w:val="0"/>
        <w:numPr>
          <w:ilvl w:val="0"/>
          <w:numId w:val="74"/>
        </w:numPr>
        <w:tabs>
          <w:tab w:val="decimal" w:pos="4962"/>
          <w:tab w:val="decimal" w:pos="6379"/>
          <w:tab w:val="decimal" w:pos="7797"/>
          <w:tab w:val="decimal" w:pos="9214"/>
          <w:tab w:val="decimal" w:pos="10490"/>
          <w:tab w:val="decimal" w:pos="12049"/>
          <w:tab w:val="decimal" w:pos="13325"/>
          <w:tab w:val="decimal" w:pos="14601"/>
        </w:tabs>
        <w:spacing w:line="220" w:lineRule="exact"/>
        <w:ind w:left="426" w:right="12"/>
        <w:jc w:val="both"/>
        <w:outlineLvl w:val="3"/>
        <w:rPr>
          <w:szCs w:val="20"/>
          <w:lang w:val="es-AR" w:eastAsia="en-US"/>
        </w:rPr>
      </w:pPr>
      <w:r w:rsidRPr="0010523F">
        <w:rPr>
          <w:szCs w:val="20"/>
          <w:lang w:val="es-AR" w:eastAsia="en-US"/>
        </w:rPr>
        <w:t>Inversiones no corrientes y corrientes</w:t>
      </w:r>
    </w:p>
    <w:tbl>
      <w:tblPr>
        <w:tblW w:w="10460" w:type="dxa"/>
        <w:tblInd w:w="-4" w:type="dxa"/>
        <w:tblLayout w:type="fixed"/>
        <w:tblLook w:val="0000" w:firstRow="0" w:lastRow="0" w:firstColumn="0" w:lastColumn="0" w:noHBand="0" w:noVBand="0"/>
      </w:tblPr>
      <w:tblGrid>
        <w:gridCol w:w="7625"/>
        <w:gridCol w:w="1418"/>
        <w:gridCol w:w="1417"/>
      </w:tblGrid>
      <w:tr w:rsidR="0010523F" w:rsidRPr="0010523F" w14:paraId="0BABAC92" w14:textId="77777777" w:rsidTr="00774E7E">
        <w:trPr>
          <w:trHeight w:val="170"/>
        </w:trPr>
        <w:tc>
          <w:tcPr>
            <w:tcW w:w="7625" w:type="dxa"/>
            <w:vAlign w:val="bottom"/>
          </w:tcPr>
          <w:p w14:paraId="2DAABDD5" w14:textId="77777777" w:rsidR="0010523F" w:rsidRPr="0010523F" w:rsidRDefault="0010523F" w:rsidP="0010523F">
            <w:pPr>
              <w:tabs>
                <w:tab w:val="left" w:pos="426"/>
              </w:tabs>
              <w:ind w:left="567" w:hanging="567"/>
              <w:rPr>
                <w:lang w:val="es-AR" w:eastAsia="en-US"/>
              </w:rPr>
            </w:pPr>
          </w:p>
        </w:tc>
        <w:tc>
          <w:tcPr>
            <w:tcW w:w="1418" w:type="dxa"/>
            <w:vAlign w:val="bottom"/>
          </w:tcPr>
          <w:p w14:paraId="0A415DF6" w14:textId="77777777" w:rsidR="0010523F" w:rsidRPr="0010523F" w:rsidRDefault="0010523F" w:rsidP="0010523F">
            <w:pPr>
              <w:ind w:left="32" w:right="18"/>
              <w:jc w:val="center"/>
              <w:rPr>
                <w:lang w:val="es-AR" w:eastAsia="en-US"/>
              </w:rPr>
            </w:pPr>
            <w:r w:rsidRPr="0010523F">
              <w:rPr>
                <w:u w:val="single"/>
                <w:lang w:val="es-AR" w:eastAsia="en-US"/>
              </w:rPr>
              <w:t>30/09/2019</w:t>
            </w:r>
          </w:p>
        </w:tc>
        <w:tc>
          <w:tcPr>
            <w:tcW w:w="1417" w:type="dxa"/>
            <w:vAlign w:val="bottom"/>
          </w:tcPr>
          <w:p w14:paraId="08BE6815" w14:textId="77777777" w:rsidR="0010523F" w:rsidRPr="0010523F" w:rsidRDefault="0010523F" w:rsidP="0010523F">
            <w:pPr>
              <w:ind w:left="-108"/>
              <w:jc w:val="center"/>
              <w:rPr>
                <w:lang w:val="es-AR" w:eastAsia="en-US"/>
              </w:rPr>
            </w:pPr>
            <w:r w:rsidRPr="0010523F">
              <w:rPr>
                <w:u w:val="single"/>
                <w:lang w:val="es-AR" w:eastAsia="en-US"/>
              </w:rPr>
              <w:t>31/12/2018</w:t>
            </w:r>
          </w:p>
        </w:tc>
      </w:tr>
      <w:tr w:rsidR="0010523F" w:rsidRPr="0010523F" w14:paraId="64456A32" w14:textId="77777777" w:rsidTr="00774E7E">
        <w:trPr>
          <w:trHeight w:val="113"/>
        </w:trPr>
        <w:tc>
          <w:tcPr>
            <w:tcW w:w="7625" w:type="dxa"/>
            <w:vAlign w:val="bottom"/>
          </w:tcPr>
          <w:p w14:paraId="540826B1" w14:textId="77777777" w:rsidR="0010523F" w:rsidRPr="0010523F" w:rsidRDefault="0010523F" w:rsidP="0010523F">
            <w:pPr>
              <w:spacing w:line="140" w:lineRule="exact"/>
              <w:rPr>
                <w:color w:val="000000"/>
                <w:lang w:val="es-AR" w:eastAsia="en-US"/>
              </w:rPr>
            </w:pPr>
          </w:p>
        </w:tc>
        <w:tc>
          <w:tcPr>
            <w:tcW w:w="1418" w:type="dxa"/>
            <w:vAlign w:val="bottom"/>
          </w:tcPr>
          <w:p w14:paraId="57C14358" w14:textId="77777777" w:rsidR="0010523F" w:rsidRPr="0010523F" w:rsidRDefault="0010523F" w:rsidP="0010523F">
            <w:pPr>
              <w:spacing w:line="140" w:lineRule="exact"/>
              <w:rPr>
                <w:color w:val="000000"/>
                <w:lang w:val="es-AR" w:eastAsia="en-US"/>
              </w:rPr>
            </w:pPr>
          </w:p>
        </w:tc>
        <w:tc>
          <w:tcPr>
            <w:tcW w:w="1417" w:type="dxa"/>
            <w:vAlign w:val="bottom"/>
          </w:tcPr>
          <w:p w14:paraId="2C416827" w14:textId="77777777" w:rsidR="0010523F" w:rsidRPr="0010523F" w:rsidRDefault="0010523F" w:rsidP="0010523F">
            <w:pPr>
              <w:spacing w:line="140" w:lineRule="exact"/>
              <w:rPr>
                <w:color w:val="000000"/>
                <w:lang w:val="es-AR" w:eastAsia="en-US"/>
              </w:rPr>
            </w:pPr>
          </w:p>
        </w:tc>
      </w:tr>
      <w:tr w:rsidR="0010523F" w:rsidRPr="0010523F" w14:paraId="6BD23578" w14:textId="77777777" w:rsidTr="00774E7E">
        <w:trPr>
          <w:trHeight w:val="170"/>
        </w:trPr>
        <w:tc>
          <w:tcPr>
            <w:tcW w:w="7625" w:type="dxa"/>
            <w:vAlign w:val="bottom"/>
          </w:tcPr>
          <w:p w14:paraId="5607EBAF" w14:textId="77777777" w:rsidR="0010523F" w:rsidRPr="0010523F" w:rsidDel="0033209B" w:rsidRDefault="0010523F" w:rsidP="0010523F">
            <w:pPr>
              <w:rPr>
                <w:u w:val="single"/>
                <w:lang w:val="es-AR" w:eastAsia="en-US"/>
              </w:rPr>
            </w:pPr>
            <w:r w:rsidRPr="0010523F">
              <w:rPr>
                <w:u w:val="single"/>
                <w:lang w:val="es-AR" w:eastAsia="en-US"/>
              </w:rPr>
              <w:t>No corrientes</w:t>
            </w:r>
          </w:p>
        </w:tc>
        <w:tc>
          <w:tcPr>
            <w:tcW w:w="1418" w:type="dxa"/>
            <w:vAlign w:val="bottom"/>
          </w:tcPr>
          <w:p w14:paraId="08E98B85" w14:textId="77777777" w:rsidR="0010523F" w:rsidRPr="0010523F" w:rsidRDefault="0010523F" w:rsidP="0010523F">
            <w:pPr>
              <w:ind w:right="-108"/>
              <w:jc w:val="both"/>
              <w:rPr>
                <w:bCs/>
                <w:color w:val="000000"/>
                <w:lang w:val="es-AR" w:eastAsia="en-US"/>
              </w:rPr>
            </w:pPr>
          </w:p>
        </w:tc>
        <w:tc>
          <w:tcPr>
            <w:tcW w:w="1417" w:type="dxa"/>
            <w:vAlign w:val="bottom"/>
          </w:tcPr>
          <w:p w14:paraId="029A12DC" w14:textId="77777777" w:rsidR="0010523F" w:rsidRPr="0010523F" w:rsidRDefault="0010523F" w:rsidP="0010523F">
            <w:pPr>
              <w:tabs>
                <w:tab w:val="decimal" w:pos="991"/>
              </w:tabs>
              <w:jc w:val="both"/>
              <w:rPr>
                <w:bCs/>
                <w:color w:val="000000"/>
                <w:lang w:val="es-AR" w:eastAsia="en-US"/>
              </w:rPr>
            </w:pPr>
          </w:p>
        </w:tc>
      </w:tr>
      <w:tr w:rsidR="0010523F" w:rsidRPr="0010523F" w14:paraId="6F42A4B8" w14:textId="77777777" w:rsidTr="00774E7E">
        <w:trPr>
          <w:trHeight w:val="170"/>
        </w:trPr>
        <w:tc>
          <w:tcPr>
            <w:tcW w:w="7625" w:type="dxa"/>
            <w:vAlign w:val="bottom"/>
          </w:tcPr>
          <w:p w14:paraId="7A5A3B99" w14:textId="77777777" w:rsidR="0010523F" w:rsidRPr="0010523F" w:rsidDel="0033209B" w:rsidRDefault="0010523F" w:rsidP="0010523F">
            <w:pPr>
              <w:spacing w:line="140" w:lineRule="exact"/>
              <w:ind w:left="288"/>
              <w:jc w:val="both"/>
              <w:rPr>
                <w:lang w:val="es-AR" w:eastAsia="en-US"/>
              </w:rPr>
            </w:pPr>
          </w:p>
        </w:tc>
        <w:tc>
          <w:tcPr>
            <w:tcW w:w="1418" w:type="dxa"/>
            <w:vAlign w:val="bottom"/>
          </w:tcPr>
          <w:p w14:paraId="72AD48DA" w14:textId="77777777" w:rsidR="0010523F" w:rsidRPr="0010523F" w:rsidRDefault="0010523F" w:rsidP="0010523F">
            <w:pPr>
              <w:spacing w:line="140" w:lineRule="exact"/>
              <w:ind w:left="288"/>
              <w:jc w:val="both"/>
              <w:rPr>
                <w:lang w:val="es-AR" w:eastAsia="en-US"/>
              </w:rPr>
            </w:pPr>
          </w:p>
        </w:tc>
        <w:tc>
          <w:tcPr>
            <w:tcW w:w="1417" w:type="dxa"/>
            <w:vAlign w:val="bottom"/>
          </w:tcPr>
          <w:p w14:paraId="7CD0BF2A" w14:textId="77777777" w:rsidR="0010523F" w:rsidRPr="0010523F" w:rsidRDefault="0010523F" w:rsidP="0010523F">
            <w:pPr>
              <w:spacing w:line="140" w:lineRule="exact"/>
              <w:ind w:left="288"/>
              <w:jc w:val="both"/>
              <w:rPr>
                <w:lang w:val="es-AR" w:eastAsia="en-US"/>
              </w:rPr>
            </w:pPr>
          </w:p>
        </w:tc>
      </w:tr>
      <w:tr w:rsidR="0010523F" w:rsidRPr="0010523F" w14:paraId="779B9328" w14:textId="77777777" w:rsidTr="00774E7E">
        <w:trPr>
          <w:trHeight w:val="170"/>
        </w:trPr>
        <w:tc>
          <w:tcPr>
            <w:tcW w:w="7625" w:type="dxa"/>
            <w:vAlign w:val="bottom"/>
          </w:tcPr>
          <w:p w14:paraId="6AB6076D" w14:textId="77777777" w:rsidR="0010523F" w:rsidRPr="0010523F" w:rsidRDefault="0010523F" w:rsidP="0010523F">
            <w:pPr>
              <w:ind w:right="-107"/>
              <w:rPr>
                <w:lang w:val="es-AR" w:eastAsia="en-US"/>
              </w:rPr>
            </w:pPr>
            <w:r w:rsidRPr="0010523F">
              <w:rPr>
                <w:lang w:val="es-AR" w:eastAsia="en-US"/>
              </w:rPr>
              <w:t xml:space="preserve">Activos financieros valuados al valor razonable con cambios en otro resultado integral </w:t>
            </w:r>
          </w:p>
        </w:tc>
        <w:tc>
          <w:tcPr>
            <w:tcW w:w="1418" w:type="dxa"/>
            <w:vAlign w:val="bottom"/>
          </w:tcPr>
          <w:p w14:paraId="6447BFAE" w14:textId="77777777" w:rsidR="0010523F" w:rsidRPr="0010523F" w:rsidRDefault="0010523F" w:rsidP="0010523F">
            <w:pPr>
              <w:tabs>
                <w:tab w:val="decimal" w:pos="956"/>
              </w:tabs>
              <w:jc w:val="right"/>
              <w:rPr>
                <w:bCs/>
                <w:color w:val="000000"/>
                <w:u w:val="single"/>
                <w:lang w:val="es-AR" w:eastAsia="en-US"/>
              </w:rPr>
            </w:pPr>
            <w:r w:rsidRPr="0010523F">
              <w:rPr>
                <w:bCs/>
                <w:color w:val="000000"/>
                <w:u w:val="single"/>
                <w:lang w:val="es-AR" w:eastAsia="en-US"/>
              </w:rPr>
              <w:t xml:space="preserve">       23</w:t>
            </w:r>
          </w:p>
        </w:tc>
        <w:tc>
          <w:tcPr>
            <w:tcW w:w="1417" w:type="dxa"/>
            <w:vAlign w:val="bottom"/>
          </w:tcPr>
          <w:p w14:paraId="2F91634F" w14:textId="77777777" w:rsidR="0010523F" w:rsidRPr="0010523F" w:rsidRDefault="0010523F" w:rsidP="0010523F">
            <w:pPr>
              <w:tabs>
                <w:tab w:val="decimal" w:pos="991"/>
              </w:tabs>
              <w:jc w:val="right"/>
              <w:rPr>
                <w:bCs/>
                <w:color w:val="000000"/>
                <w:u w:val="single"/>
                <w:lang w:val="es-AR" w:eastAsia="en-US"/>
              </w:rPr>
            </w:pPr>
            <w:r w:rsidRPr="0010523F">
              <w:rPr>
                <w:bCs/>
                <w:color w:val="000000"/>
                <w:u w:val="single"/>
                <w:lang w:val="es-AR" w:eastAsia="en-US"/>
              </w:rPr>
              <w:t xml:space="preserve">   42</w:t>
            </w:r>
          </w:p>
        </w:tc>
      </w:tr>
      <w:tr w:rsidR="0010523F" w:rsidRPr="0010523F" w14:paraId="5EB89BC6" w14:textId="77777777" w:rsidTr="00774E7E">
        <w:trPr>
          <w:trHeight w:val="170"/>
        </w:trPr>
        <w:tc>
          <w:tcPr>
            <w:tcW w:w="7625" w:type="dxa"/>
            <w:vAlign w:val="bottom"/>
          </w:tcPr>
          <w:p w14:paraId="26694DFC" w14:textId="77777777" w:rsidR="0010523F" w:rsidRPr="0010523F" w:rsidRDefault="0010523F" w:rsidP="0010523F">
            <w:pPr>
              <w:rPr>
                <w:lang w:val="es-AR" w:eastAsia="en-US"/>
              </w:rPr>
            </w:pPr>
            <w:r w:rsidRPr="0010523F">
              <w:rPr>
                <w:lang w:val="es-AR" w:eastAsia="en-US"/>
              </w:rPr>
              <w:t>Total inversiones no corrientes</w:t>
            </w:r>
          </w:p>
        </w:tc>
        <w:tc>
          <w:tcPr>
            <w:tcW w:w="1418" w:type="dxa"/>
            <w:vAlign w:val="bottom"/>
          </w:tcPr>
          <w:p w14:paraId="30E1781E" w14:textId="77777777" w:rsidR="0010523F" w:rsidRPr="0010523F" w:rsidRDefault="0010523F" w:rsidP="0010523F">
            <w:pPr>
              <w:tabs>
                <w:tab w:val="decimal" w:pos="956"/>
              </w:tabs>
              <w:jc w:val="right"/>
              <w:rPr>
                <w:bCs/>
                <w:color w:val="000000"/>
                <w:u w:val="double"/>
                <w:lang w:val="es-AR" w:eastAsia="en-US"/>
              </w:rPr>
            </w:pPr>
            <w:r w:rsidRPr="0010523F">
              <w:rPr>
                <w:bCs/>
                <w:color w:val="000000"/>
                <w:u w:val="double"/>
                <w:lang w:val="es-AR" w:eastAsia="en-US"/>
              </w:rPr>
              <w:t xml:space="preserve">       23</w:t>
            </w:r>
          </w:p>
        </w:tc>
        <w:tc>
          <w:tcPr>
            <w:tcW w:w="1417" w:type="dxa"/>
            <w:vAlign w:val="bottom"/>
          </w:tcPr>
          <w:p w14:paraId="54C9D9E2" w14:textId="77777777" w:rsidR="0010523F" w:rsidRPr="0010523F" w:rsidRDefault="0010523F" w:rsidP="0010523F">
            <w:pPr>
              <w:tabs>
                <w:tab w:val="decimal" w:pos="991"/>
              </w:tabs>
              <w:jc w:val="right"/>
              <w:rPr>
                <w:bCs/>
                <w:color w:val="000000"/>
                <w:u w:val="double"/>
                <w:lang w:val="es-AR" w:eastAsia="en-US"/>
              </w:rPr>
            </w:pPr>
            <w:r w:rsidRPr="0010523F">
              <w:rPr>
                <w:bCs/>
                <w:color w:val="000000"/>
                <w:u w:val="double"/>
                <w:lang w:val="es-AR" w:eastAsia="en-US"/>
              </w:rPr>
              <w:t xml:space="preserve">   42</w:t>
            </w:r>
          </w:p>
        </w:tc>
      </w:tr>
      <w:tr w:rsidR="0010523F" w:rsidRPr="0010523F" w14:paraId="04BDC963" w14:textId="77777777" w:rsidTr="00774E7E">
        <w:trPr>
          <w:trHeight w:val="170"/>
        </w:trPr>
        <w:tc>
          <w:tcPr>
            <w:tcW w:w="7625" w:type="dxa"/>
            <w:vAlign w:val="bottom"/>
          </w:tcPr>
          <w:p w14:paraId="6B3CF19D" w14:textId="77777777" w:rsidR="0010523F" w:rsidRPr="0010523F" w:rsidDel="0033209B" w:rsidRDefault="0010523F" w:rsidP="0010523F">
            <w:pPr>
              <w:spacing w:line="140" w:lineRule="exact"/>
              <w:ind w:left="288"/>
              <w:jc w:val="both"/>
              <w:rPr>
                <w:lang w:val="es-AR" w:eastAsia="en-US"/>
              </w:rPr>
            </w:pPr>
          </w:p>
        </w:tc>
        <w:tc>
          <w:tcPr>
            <w:tcW w:w="1418" w:type="dxa"/>
            <w:vAlign w:val="bottom"/>
          </w:tcPr>
          <w:p w14:paraId="1C0E0973" w14:textId="77777777" w:rsidR="0010523F" w:rsidRPr="0010523F" w:rsidRDefault="0010523F" w:rsidP="0010523F">
            <w:pPr>
              <w:spacing w:line="140" w:lineRule="exact"/>
              <w:ind w:left="288"/>
              <w:jc w:val="both"/>
              <w:rPr>
                <w:lang w:val="es-AR" w:eastAsia="en-US"/>
              </w:rPr>
            </w:pPr>
          </w:p>
        </w:tc>
        <w:tc>
          <w:tcPr>
            <w:tcW w:w="1417" w:type="dxa"/>
            <w:vAlign w:val="bottom"/>
          </w:tcPr>
          <w:p w14:paraId="618D4C87" w14:textId="77777777" w:rsidR="0010523F" w:rsidRPr="0010523F" w:rsidRDefault="0010523F" w:rsidP="0010523F">
            <w:pPr>
              <w:spacing w:line="140" w:lineRule="exact"/>
              <w:ind w:left="288"/>
              <w:jc w:val="both"/>
              <w:rPr>
                <w:lang w:val="es-AR" w:eastAsia="en-US"/>
              </w:rPr>
            </w:pPr>
          </w:p>
        </w:tc>
      </w:tr>
      <w:tr w:rsidR="0010523F" w:rsidRPr="0010523F" w14:paraId="060FBEDF" w14:textId="77777777" w:rsidTr="00774E7E">
        <w:trPr>
          <w:trHeight w:val="170"/>
        </w:trPr>
        <w:tc>
          <w:tcPr>
            <w:tcW w:w="7625" w:type="dxa"/>
            <w:vAlign w:val="bottom"/>
          </w:tcPr>
          <w:p w14:paraId="7FE3957B" w14:textId="77777777" w:rsidR="0010523F" w:rsidRPr="0010523F" w:rsidDel="0033209B" w:rsidRDefault="0010523F" w:rsidP="0010523F">
            <w:pPr>
              <w:ind w:left="288"/>
              <w:jc w:val="both"/>
              <w:rPr>
                <w:lang w:val="es-AR" w:eastAsia="en-US"/>
              </w:rPr>
            </w:pPr>
          </w:p>
        </w:tc>
        <w:tc>
          <w:tcPr>
            <w:tcW w:w="1418" w:type="dxa"/>
            <w:vAlign w:val="bottom"/>
          </w:tcPr>
          <w:p w14:paraId="58EA8A91" w14:textId="77777777" w:rsidR="0010523F" w:rsidRPr="0010523F" w:rsidRDefault="0010523F" w:rsidP="0010523F">
            <w:pPr>
              <w:tabs>
                <w:tab w:val="decimal" w:pos="956"/>
              </w:tabs>
              <w:jc w:val="both"/>
              <w:rPr>
                <w:bCs/>
                <w:color w:val="000000"/>
                <w:u w:val="double"/>
                <w:lang w:val="es-AR" w:eastAsia="en-US"/>
              </w:rPr>
            </w:pPr>
            <w:r w:rsidRPr="0010523F">
              <w:rPr>
                <w:u w:val="single"/>
                <w:lang w:val="es-AR" w:eastAsia="en-US"/>
              </w:rPr>
              <w:t>30/09/2019</w:t>
            </w:r>
          </w:p>
        </w:tc>
        <w:tc>
          <w:tcPr>
            <w:tcW w:w="1417" w:type="dxa"/>
            <w:vAlign w:val="bottom"/>
          </w:tcPr>
          <w:p w14:paraId="38D2B252" w14:textId="77777777" w:rsidR="0010523F" w:rsidRPr="0010523F" w:rsidRDefault="0010523F" w:rsidP="0010523F">
            <w:pPr>
              <w:tabs>
                <w:tab w:val="decimal" w:pos="991"/>
              </w:tabs>
              <w:jc w:val="both"/>
              <w:rPr>
                <w:bCs/>
                <w:color w:val="000000"/>
                <w:u w:val="double"/>
                <w:lang w:val="es-AR" w:eastAsia="en-US"/>
              </w:rPr>
            </w:pPr>
            <w:r w:rsidRPr="0010523F">
              <w:rPr>
                <w:u w:val="single"/>
                <w:lang w:val="es-AR" w:eastAsia="en-US"/>
              </w:rPr>
              <w:t>31/12/2018</w:t>
            </w:r>
          </w:p>
        </w:tc>
      </w:tr>
      <w:tr w:rsidR="0010523F" w:rsidRPr="0010523F" w14:paraId="71D13A85" w14:textId="77777777" w:rsidTr="00774E7E">
        <w:trPr>
          <w:trHeight w:val="113"/>
        </w:trPr>
        <w:tc>
          <w:tcPr>
            <w:tcW w:w="7625" w:type="dxa"/>
            <w:vAlign w:val="bottom"/>
          </w:tcPr>
          <w:p w14:paraId="251A24A4" w14:textId="77777777" w:rsidR="0010523F" w:rsidRPr="0010523F" w:rsidDel="0033209B" w:rsidRDefault="0010523F" w:rsidP="0010523F">
            <w:pPr>
              <w:jc w:val="both"/>
              <w:rPr>
                <w:u w:val="single"/>
                <w:lang w:val="es-AR" w:eastAsia="en-US"/>
              </w:rPr>
            </w:pPr>
            <w:r w:rsidRPr="0010523F">
              <w:rPr>
                <w:u w:val="single"/>
                <w:lang w:val="es-AR" w:eastAsia="en-US"/>
              </w:rPr>
              <w:t>Corrientes</w:t>
            </w:r>
          </w:p>
        </w:tc>
        <w:tc>
          <w:tcPr>
            <w:tcW w:w="1418" w:type="dxa"/>
            <w:vAlign w:val="bottom"/>
          </w:tcPr>
          <w:p w14:paraId="76FC60D2" w14:textId="77777777" w:rsidR="0010523F" w:rsidRPr="0010523F" w:rsidRDefault="0010523F" w:rsidP="0010523F">
            <w:pPr>
              <w:tabs>
                <w:tab w:val="decimal" w:pos="956"/>
              </w:tabs>
              <w:jc w:val="both"/>
              <w:rPr>
                <w:bCs/>
                <w:color w:val="000000"/>
                <w:u w:val="double"/>
                <w:lang w:val="es-AR" w:eastAsia="en-US"/>
              </w:rPr>
            </w:pPr>
          </w:p>
        </w:tc>
        <w:tc>
          <w:tcPr>
            <w:tcW w:w="1417" w:type="dxa"/>
            <w:vAlign w:val="bottom"/>
          </w:tcPr>
          <w:p w14:paraId="4B1B4FCD" w14:textId="77777777" w:rsidR="0010523F" w:rsidRPr="0010523F" w:rsidRDefault="0010523F" w:rsidP="0010523F">
            <w:pPr>
              <w:tabs>
                <w:tab w:val="decimal" w:pos="991"/>
              </w:tabs>
              <w:jc w:val="both"/>
              <w:rPr>
                <w:bCs/>
                <w:color w:val="000000"/>
                <w:u w:val="double"/>
                <w:lang w:val="es-AR" w:eastAsia="en-US"/>
              </w:rPr>
            </w:pPr>
          </w:p>
        </w:tc>
      </w:tr>
      <w:tr w:rsidR="0010523F" w:rsidRPr="0010523F" w14:paraId="3324DABC" w14:textId="77777777" w:rsidTr="00774E7E">
        <w:trPr>
          <w:trHeight w:val="57"/>
        </w:trPr>
        <w:tc>
          <w:tcPr>
            <w:tcW w:w="7625" w:type="dxa"/>
            <w:vAlign w:val="bottom"/>
          </w:tcPr>
          <w:p w14:paraId="02BEF25D" w14:textId="77777777" w:rsidR="0010523F" w:rsidRPr="0010523F" w:rsidDel="0033209B" w:rsidRDefault="0010523F" w:rsidP="0010523F">
            <w:pPr>
              <w:spacing w:line="140" w:lineRule="exact"/>
              <w:ind w:left="288"/>
              <w:jc w:val="both"/>
              <w:rPr>
                <w:lang w:val="es-AR" w:eastAsia="en-US"/>
              </w:rPr>
            </w:pPr>
          </w:p>
        </w:tc>
        <w:tc>
          <w:tcPr>
            <w:tcW w:w="1418" w:type="dxa"/>
            <w:vAlign w:val="bottom"/>
          </w:tcPr>
          <w:p w14:paraId="72647894" w14:textId="77777777" w:rsidR="0010523F" w:rsidRPr="0010523F" w:rsidRDefault="0010523F" w:rsidP="0010523F">
            <w:pPr>
              <w:spacing w:line="140" w:lineRule="exact"/>
              <w:ind w:left="288"/>
              <w:jc w:val="both"/>
              <w:rPr>
                <w:lang w:val="es-AR" w:eastAsia="en-US"/>
              </w:rPr>
            </w:pPr>
          </w:p>
        </w:tc>
        <w:tc>
          <w:tcPr>
            <w:tcW w:w="1417" w:type="dxa"/>
            <w:vAlign w:val="bottom"/>
          </w:tcPr>
          <w:p w14:paraId="1372B8B6" w14:textId="77777777" w:rsidR="0010523F" w:rsidRPr="0010523F" w:rsidRDefault="0010523F" w:rsidP="0010523F">
            <w:pPr>
              <w:spacing w:line="140" w:lineRule="exact"/>
              <w:ind w:left="288"/>
              <w:jc w:val="both"/>
              <w:rPr>
                <w:lang w:val="es-AR" w:eastAsia="en-US"/>
              </w:rPr>
            </w:pPr>
          </w:p>
        </w:tc>
      </w:tr>
      <w:tr w:rsidR="0010523F" w:rsidRPr="0010523F" w14:paraId="195E36D0" w14:textId="77777777" w:rsidTr="00774E7E">
        <w:trPr>
          <w:trHeight w:val="170"/>
        </w:trPr>
        <w:tc>
          <w:tcPr>
            <w:tcW w:w="7625" w:type="dxa"/>
            <w:vAlign w:val="bottom"/>
          </w:tcPr>
          <w:p w14:paraId="27E8361D" w14:textId="77777777" w:rsidR="0010523F" w:rsidRPr="0010523F" w:rsidDel="0033209B" w:rsidRDefault="0010523F" w:rsidP="0010523F">
            <w:pPr>
              <w:jc w:val="both"/>
              <w:rPr>
                <w:lang w:val="es-AR" w:eastAsia="en-US"/>
              </w:rPr>
            </w:pPr>
            <w:r w:rsidRPr="0010523F">
              <w:rPr>
                <w:lang w:val="es-AR" w:eastAsia="en-US"/>
              </w:rPr>
              <w:t xml:space="preserve">Inversiones a costo amortizado </w:t>
            </w:r>
          </w:p>
        </w:tc>
        <w:tc>
          <w:tcPr>
            <w:tcW w:w="1418" w:type="dxa"/>
          </w:tcPr>
          <w:p w14:paraId="1270CBE2" w14:textId="77777777" w:rsidR="0010523F" w:rsidRPr="0010523F" w:rsidRDefault="0010523F" w:rsidP="0010523F">
            <w:pPr>
              <w:tabs>
                <w:tab w:val="decimal" w:pos="956"/>
              </w:tabs>
              <w:jc w:val="right"/>
              <w:rPr>
                <w:bCs/>
                <w:color w:val="000000"/>
                <w:u w:val="double"/>
                <w:lang w:val="es-AR" w:eastAsia="en-US"/>
              </w:rPr>
            </w:pPr>
            <w:r w:rsidRPr="0010523F">
              <w:rPr>
                <w:sz w:val="22"/>
                <w:szCs w:val="22"/>
                <w:lang w:val="es-AR" w:eastAsia="en-US"/>
              </w:rPr>
              <w:t>-</w:t>
            </w:r>
          </w:p>
        </w:tc>
        <w:tc>
          <w:tcPr>
            <w:tcW w:w="1417" w:type="dxa"/>
          </w:tcPr>
          <w:p w14:paraId="0C4A4C4F" w14:textId="77777777" w:rsidR="0010523F" w:rsidRPr="0010523F" w:rsidRDefault="0010523F" w:rsidP="0010523F">
            <w:pPr>
              <w:tabs>
                <w:tab w:val="decimal" w:pos="991"/>
              </w:tabs>
              <w:jc w:val="right"/>
              <w:rPr>
                <w:bCs/>
                <w:color w:val="000000"/>
                <w:u w:val="double"/>
                <w:lang w:val="es-AR" w:eastAsia="en-US"/>
              </w:rPr>
            </w:pPr>
            <w:r w:rsidRPr="0010523F">
              <w:rPr>
                <w:sz w:val="22"/>
                <w:szCs w:val="22"/>
                <w:lang w:val="es-AR" w:eastAsia="en-US"/>
              </w:rPr>
              <w:t>6</w:t>
            </w:r>
          </w:p>
        </w:tc>
      </w:tr>
      <w:tr w:rsidR="0010523F" w:rsidRPr="0010523F" w14:paraId="0B28585B" w14:textId="77777777" w:rsidTr="00774E7E">
        <w:trPr>
          <w:trHeight w:val="170"/>
        </w:trPr>
        <w:tc>
          <w:tcPr>
            <w:tcW w:w="7625" w:type="dxa"/>
            <w:vAlign w:val="bottom"/>
          </w:tcPr>
          <w:p w14:paraId="4E69814F" w14:textId="77777777" w:rsidR="0010523F" w:rsidRPr="0010523F" w:rsidDel="0033209B" w:rsidRDefault="0010523F" w:rsidP="0010523F">
            <w:pPr>
              <w:jc w:val="both"/>
              <w:rPr>
                <w:lang w:val="es-AR" w:eastAsia="en-US"/>
              </w:rPr>
            </w:pPr>
            <w:r w:rsidRPr="0010523F">
              <w:rPr>
                <w:lang w:val="es-AR" w:eastAsia="en-US"/>
              </w:rPr>
              <w:t xml:space="preserve">Activos financieros valuados al valor razonable con cambios en otro resultado integral </w:t>
            </w:r>
          </w:p>
        </w:tc>
        <w:tc>
          <w:tcPr>
            <w:tcW w:w="1418" w:type="dxa"/>
            <w:vAlign w:val="bottom"/>
          </w:tcPr>
          <w:p w14:paraId="409292EF" w14:textId="77777777" w:rsidR="0010523F" w:rsidRPr="0010523F" w:rsidRDefault="0010523F" w:rsidP="0010523F">
            <w:pPr>
              <w:tabs>
                <w:tab w:val="decimal" w:pos="956"/>
              </w:tabs>
              <w:jc w:val="right"/>
              <w:rPr>
                <w:bCs/>
                <w:color w:val="000000"/>
                <w:u w:val="double"/>
                <w:lang w:val="es-AR" w:eastAsia="en-US"/>
              </w:rPr>
            </w:pPr>
            <w:r w:rsidRPr="0010523F">
              <w:rPr>
                <w:sz w:val="22"/>
                <w:szCs w:val="22"/>
                <w:u w:val="single"/>
                <w:lang w:val="es-AR" w:eastAsia="en-US"/>
              </w:rPr>
              <w:t xml:space="preserve">           -</w:t>
            </w:r>
          </w:p>
        </w:tc>
        <w:tc>
          <w:tcPr>
            <w:tcW w:w="1417" w:type="dxa"/>
            <w:vAlign w:val="bottom"/>
          </w:tcPr>
          <w:p w14:paraId="521BAF7E" w14:textId="77777777" w:rsidR="0010523F" w:rsidRPr="0010523F" w:rsidRDefault="0010523F" w:rsidP="0010523F">
            <w:pPr>
              <w:tabs>
                <w:tab w:val="decimal" w:pos="991"/>
              </w:tabs>
              <w:jc w:val="right"/>
              <w:rPr>
                <w:bCs/>
                <w:color w:val="000000"/>
                <w:u w:val="double"/>
                <w:lang w:val="es-AR" w:eastAsia="en-US"/>
              </w:rPr>
            </w:pPr>
            <w:r w:rsidRPr="0010523F">
              <w:rPr>
                <w:sz w:val="22"/>
                <w:szCs w:val="22"/>
                <w:u w:val="single"/>
                <w:lang w:val="es-AR" w:eastAsia="en-US"/>
              </w:rPr>
              <w:t xml:space="preserve">  981</w:t>
            </w:r>
          </w:p>
        </w:tc>
      </w:tr>
      <w:tr w:rsidR="0010523F" w:rsidRPr="0010523F" w14:paraId="2BAB05D8" w14:textId="77777777" w:rsidTr="00774E7E">
        <w:trPr>
          <w:trHeight w:val="170"/>
        </w:trPr>
        <w:tc>
          <w:tcPr>
            <w:tcW w:w="7625" w:type="dxa"/>
            <w:vAlign w:val="bottom"/>
          </w:tcPr>
          <w:p w14:paraId="25D25DE6" w14:textId="77777777" w:rsidR="0010523F" w:rsidRPr="0010523F" w:rsidDel="0033209B" w:rsidRDefault="0010523F" w:rsidP="0010523F">
            <w:pPr>
              <w:jc w:val="both"/>
              <w:rPr>
                <w:lang w:val="es-AR" w:eastAsia="en-US"/>
              </w:rPr>
            </w:pPr>
            <w:r w:rsidRPr="0010523F">
              <w:rPr>
                <w:sz w:val="22"/>
                <w:szCs w:val="22"/>
                <w:lang w:val="es-AR" w:eastAsia="en-US"/>
              </w:rPr>
              <w:t>Total inversiones corrientes</w:t>
            </w:r>
          </w:p>
        </w:tc>
        <w:tc>
          <w:tcPr>
            <w:tcW w:w="1418" w:type="dxa"/>
          </w:tcPr>
          <w:p w14:paraId="1268F4EF" w14:textId="77777777" w:rsidR="0010523F" w:rsidRPr="0010523F" w:rsidRDefault="0010523F" w:rsidP="0010523F">
            <w:pPr>
              <w:tabs>
                <w:tab w:val="decimal" w:pos="956"/>
              </w:tabs>
              <w:jc w:val="right"/>
              <w:rPr>
                <w:bCs/>
                <w:color w:val="000000"/>
                <w:u w:val="double"/>
                <w:lang w:val="es-AR" w:eastAsia="en-US"/>
              </w:rPr>
            </w:pPr>
            <w:r w:rsidRPr="0010523F">
              <w:rPr>
                <w:sz w:val="22"/>
                <w:szCs w:val="22"/>
                <w:u w:val="double"/>
                <w:lang w:val="es-AR" w:eastAsia="en-US"/>
              </w:rPr>
              <w:t xml:space="preserve">           -</w:t>
            </w:r>
          </w:p>
        </w:tc>
        <w:tc>
          <w:tcPr>
            <w:tcW w:w="1417" w:type="dxa"/>
          </w:tcPr>
          <w:p w14:paraId="5F892706" w14:textId="77777777" w:rsidR="0010523F" w:rsidRPr="0010523F" w:rsidRDefault="0010523F" w:rsidP="0010523F">
            <w:pPr>
              <w:tabs>
                <w:tab w:val="decimal" w:pos="991"/>
              </w:tabs>
              <w:jc w:val="right"/>
              <w:rPr>
                <w:bCs/>
                <w:color w:val="000000"/>
                <w:u w:val="double"/>
                <w:lang w:val="es-AR" w:eastAsia="en-US"/>
              </w:rPr>
            </w:pPr>
            <w:r w:rsidRPr="0010523F">
              <w:rPr>
                <w:sz w:val="22"/>
                <w:szCs w:val="22"/>
                <w:u w:val="double"/>
                <w:lang w:val="es-AR" w:eastAsia="en-US"/>
              </w:rPr>
              <w:t xml:space="preserve">  987</w:t>
            </w:r>
          </w:p>
        </w:tc>
      </w:tr>
      <w:tr w:rsidR="0010523F" w:rsidRPr="0010523F" w14:paraId="2B7A5F08" w14:textId="77777777" w:rsidTr="00774E7E">
        <w:trPr>
          <w:trHeight w:val="170"/>
        </w:trPr>
        <w:tc>
          <w:tcPr>
            <w:tcW w:w="7625" w:type="dxa"/>
            <w:vAlign w:val="bottom"/>
          </w:tcPr>
          <w:p w14:paraId="5B0C0230" w14:textId="77777777" w:rsidR="0010523F" w:rsidRPr="0010523F" w:rsidDel="0033209B" w:rsidRDefault="0010523F" w:rsidP="0010523F">
            <w:pPr>
              <w:spacing w:line="140" w:lineRule="exact"/>
              <w:ind w:left="288"/>
              <w:jc w:val="both"/>
              <w:rPr>
                <w:lang w:val="es-AR" w:eastAsia="en-US"/>
              </w:rPr>
            </w:pPr>
          </w:p>
        </w:tc>
        <w:tc>
          <w:tcPr>
            <w:tcW w:w="1418" w:type="dxa"/>
            <w:vAlign w:val="bottom"/>
          </w:tcPr>
          <w:p w14:paraId="76BCD9A7" w14:textId="77777777" w:rsidR="0010523F" w:rsidRPr="0010523F" w:rsidRDefault="0010523F" w:rsidP="0010523F">
            <w:pPr>
              <w:tabs>
                <w:tab w:val="decimal" w:pos="956"/>
              </w:tabs>
              <w:spacing w:line="140" w:lineRule="exact"/>
              <w:jc w:val="both"/>
              <w:rPr>
                <w:bCs/>
                <w:color w:val="000000"/>
                <w:u w:val="double"/>
                <w:lang w:val="es-AR" w:eastAsia="en-US"/>
              </w:rPr>
            </w:pPr>
          </w:p>
        </w:tc>
        <w:tc>
          <w:tcPr>
            <w:tcW w:w="1417" w:type="dxa"/>
            <w:vAlign w:val="bottom"/>
          </w:tcPr>
          <w:p w14:paraId="45F6E34A" w14:textId="77777777" w:rsidR="0010523F" w:rsidRPr="0010523F" w:rsidRDefault="0010523F" w:rsidP="0010523F">
            <w:pPr>
              <w:tabs>
                <w:tab w:val="decimal" w:pos="991"/>
              </w:tabs>
              <w:spacing w:line="140" w:lineRule="exact"/>
              <w:jc w:val="both"/>
              <w:rPr>
                <w:bCs/>
                <w:color w:val="000000"/>
                <w:u w:val="double"/>
                <w:lang w:val="es-AR" w:eastAsia="en-US"/>
              </w:rPr>
            </w:pPr>
          </w:p>
        </w:tc>
      </w:tr>
    </w:tbl>
    <w:p w14:paraId="109C84E2" w14:textId="77777777" w:rsidR="0010523F" w:rsidRPr="0010523F" w:rsidRDefault="0010523F" w:rsidP="0010523F">
      <w:pPr>
        <w:tabs>
          <w:tab w:val="center" w:pos="6120"/>
          <w:tab w:val="center" w:pos="7680"/>
          <w:tab w:val="center" w:pos="9120"/>
        </w:tabs>
        <w:spacing w:line="220" w:lineRule="exact"/>
        <w:jc w:val="both"/>
        <w:rPr>
          <w:sz w:val="22"/>
          <w:szCs w:val="22"/>
          <w:lang w:val="es-AR" w:eastAsia="en-US"/>
        </w:rPr>
      </w:pPr>
    </w:p>
    <w:p w14:paraId="5FA296CF" w14:textId="77777777" w:rsidR="0010523F" w:rsidRPr="0010523F" w:rsidRDefault="0010523F" w:rsidP="0010523F">
      <w:pPr>
        <w:tabs>
          <w:tab w:val="center" w:pos="6120"/>
          <w:tab w:val="center" w:pos="7680"/>
          <w:tab w:val="center" w:pos="9120"/>
        </w:tabs>
        <w:spacing w:line="220" w:lineRule="exact"/>
        <w:jc w:val="both"/>
        <w:rPr>
          <w:lang w:val="es-AR" w:eastAsia="en-US"/>
        </w:rPr>
      </w:pPr>
      <w:r w:rsidRPr="0010523F">
        <w:rPr>
          <w:lang w:val="es-AR" w:eastAsia="en-US"/>
        </w:rPr>
        <w:t>Se detalla a continuación la composición de las mismas:</w:t>
      </w:r>
    </w:p>
    <w:p w14:paraId="7B8072B0" w14:textId="77777777" w:rsidR="0010523F" w:rsidRPr="0010523F" w:rsidRDefault="0010523F" w:rsidP="0010523F">
      <w:pPr>
        <w:tabs>
          <w:tab w:val="center" w:pos="6120"/>
          <w:tab w:val="center" w:pos="7680"/>
          <w:tab w:val="center" w:pos="9120"/>
        </w:tabs>
        <w:spacing w:line="180" w:lineRule="exact"/>
        <w:jc w:val="both"/>
        <w:rPr>
          <w:sz w:val="22"/>
          <w:szCs w:val="22"/>
          <w:lang w:val="es-AR" w:eastAsia="en-US"/>
        </w:rPr>
      </w:pPr>
    </w:p>
    <w:tbl>
      <w:tblPr>
        <w:tblW w:w="10429" w:type="dxa"/>
        <w:tblInd w:w="55" w:type="dxa"/>
        <w:tblLayout w:type="fixed"/>
        <w:tblCellMar>
          <w:left w:w="70" w:type="dxa"/>
          <w:right w:w="70" w:type="dxa"/>
        </w:tblCellMar>
        <w:tblLook w:val="04A0" w:firstRow="1" w:lastRow="0" w:firstColumn="1" w:lastColumn="0" w:noHBand="0" w:noVBand="1"/>
      </w:tblPr>
      <w:tblGrid>
        <w:gridCol w:w="5969"/>
        <w:gridCol w:w="1130"/>
        <w:gridCol w:w="1044"/>
        <w:gridCol w:w="1143"/>
        <w:gridCol w:w="1143"/>
      </w:tblGrid>
      <w:tr w:rsidR="0010523F" w:rsidRPr="0010523F" w14:paraId="7D0F476C" w14:textId="77777777" w:rsidTr="00774E7E">
        <w:trPr>
          <w:trHeight w:val="300"/>
        </w:trPr>
        <w:tc>
          <w:tcPr>
            <w:tcW w:w="7099" w:type="dxa"/>
            <w:gridSpan w:val="2"/>
            <w:tcBorders>
              <w:top w:val="nil"/>
              <w:left w:val="nil"/>
              <w:bottom w:val="nil"/>
              <w:right w:val="nil"/>
            </w:tcBorders>
            <w:shd w:val="clear" w:color="auto" w:fill="auto"/>
            <w:noWrap/>
            <w:vAlign w:val="bottom"/>
            <w:hideMark/>
          </w:tcPr>
          <w:p w14:paraId="09BCD4EF" w14:textId="77777777" w:rsidR="0010523F" w:rsidRPr="0010523F" w:rsidRDefault="0010523F" w:rsidP="0010523F">
            <w:pPr>
              <w:rPr>
                <w:bCs/>
                <w:color w:val="000000"/>
                <w:u w:val="single"/>
                <w:lang w:val="es-AR" w:eastAsia="es-AR"/>
              </w:rPr>
            </w:pPr>
            <w:r w:rsidRPr="0010523F">
              <w:rPr>
                <w:bCs/>
                <w:color w:val="000000"/>
                <w:u w:val="single"/>
                <w:lang w:val="es-AR" w:eastAsia="es-AR"/>
              </w:rPr>
              <w:t>Inversiones no corrientes</w:t>
            </w:r>
          </w:p>
        </w:tc>
        <w:tc>
          <w:tcPr>
            <w:tcW w:w="1044" w:type="dxa"/>
            <w:tcBorders>
              <w:top w:val="nil"/>
              <w:left w:val="nil"/>
              <w:bottom w:val="nil"/>
              <w:right w:val="nil"/>
            </w:tcBorders>
            <w:shd w:val="clear" w:color="auto" w:fill="auto"/>
            <w:noWrap/>
            <w:vAlign w:val="bottom"/>
            <w:hideMark/>
          </w:tcPr>
          <w:p w14:paraId="2C418634" w14:textId="77777777" w:rsidR="0010523F" w:rsidRPr="0010523F" w:rsidRDefault="0010523F" w:rsidP="0010523F">
            <w:pPr>
              <w:rPr>
                <w:bCs/>
                <w:color w:val="000000"/>
                <w:lang w:val="es-AR" w:eastAsia="es-AR"/>
              </w:rPr>
            </w:pPr>
          </w:p>
        </w:tc>
        <w:tc>
          <w:tcPr>
            <w:tcW w:w="1143" w:type="dxa"/>
            <w:tcBorders>
              <w:top w:val="nil"/>
              <w:left w:val="nil"/>
              <w:bottom w:val="nil"/>
              <w:right w:val="nil"/>
            </w:tcBorders>
            <w:shd w:val="clear" w:color="auto" w:fill="auto"/>
            <w:noWrap/>
            <w:vAlign w:val="bottom"/>
            <w:hideMark/>
          </w:tcPr>
          <w:p w14:paraId="68C64743" w14:textId="77777777" w:rsidR="0010523F" w:rsidRPr="0010523F" w:rsidRDefault="0010523F" w:rsidP="0010523F">
            <w:pPr>
              <w:rPr>
                <w:bCs/>
                <w:color w:val="000000"/>
                <w:lang w:val="es-AR" w:eastAsia="es-AR"/>
              </w:rPr>
            </w:pPr>
          </w:p>
        </w:tc>
        <w:tc>
          <w:tcPr>
            <w:tcW w:w="1143" w:type="dxa"/>
            <w:tcBorders>
              <w:top w:val="nil"/>
              <w:left w:val="nil"/>
              <w:bottom w:val="nil"/>
              <w:right w:val="nil"/>
            </w:tcBorders>
            <w:shd w:val="clear" w:color="auto" w:fill="auto"/>
            <w:noWrap/>
            <w:vAlign w:val="bottom"/>
            <w:hideMark/>
          </w:tcPr>
          <w:p w14:paraId="19A8D565" w14:textId="77777777" w:rsidR="0010523F" w:rsidRPr="0010523F" w:rsidRDefault="0010523F" w:rsidP="0010523F">
            <w:pPr>
              <w:rPr>
                <w:bCs/>
                <w:color w:val="000000"/>
                <w:lang w:val="es-AR" w:eastAsia="es-AR"/>
              </w:rPr>
            </w:pPr>
          </w:p>
        </w:tc>
      </w:tr>
      <w:tr w:rsidR="0010523F" w:rsidRPr="0010523F" w14:paraId="1D2AA2CA" w14:textId="77777777" w:rsidTr="00774E7E">
        <w:trPr>
          <w:trHeight w:val="108"/>
        </w:trPr>
        <w:tc>
          <w:tcPr>
            <w:tcW w:w="7099" w:type="dxa"/>
            <w:gridSpan w:val="2"/>
            <w:tcBorders>
              <w:top w:val="nil"/>
              <w:left w:val="nil"/>
              <w:bottom w:val="nil"/>
              <w:right w:val="nil"/>
            </w:tcBorders>
            <w:shd w:val="clear" w:color="auto" w:fill="auto"/>
            <w:noWrap/>
            <w:vAlign w:val="bottom"/>
          </w:tcPr>
          <w:p w14:paraId="4E34023B" w14:textId="77777777" w:rsidR="0010523F" w:rsidRPr="0010523F" w:rsidRDefault="0010523F" w:rsidP="0010523F">
            <w:pPr>
              <w:spacing w:line="100" w:lineRule="exact"/>
              <w:rPr>
                <w:rFonts w:ascii="Calibri" w:hAnsi="Calibri"/>
                <w:color w:val="000000"/>
                <w:lang w:val="es-AR" w:eastAsia="es-AR"/>
              </w:rPr>
            </w:pPr>
          </w:p>
        </w:tc>
        <w:tc>
          <w:tcPr>
            <w:tcW w:w="1044" w:type="dxa"/>
            <w:tcBorders>
              <w:top w:val="nil"/>
              <w:left w:val="nil"/>
              <w:bottom w:val="nil"/>
              <w:right w:val="nil"/>
            </w:tcBorders>
            <w:shd w:val="clear" w:color="auto" w:fill="auto"/>
            <w:noWrap/>
            <w:vAlign w:val="bottom"/>
          </w:tcPr>
          <w:p w14:paraId="3C465EFC" w14:textId="77777777" w:rsidR="0010523F" w:rsidRPr="0010523F" w:rsidRDefault="0010523F" w:rsidP="0010523F">
            <w:pPr>
              <w:spacing w:line="100" w:lineRule="exact"/>
              <w:rPr>
                <w:rFonts w:ascii="Calibri" w:hAnsi="Calibri"/>
                <w:color w:val="000000"/>
                <w:lang w:val="es-AR" w:eastAsia="es-AR"/>
              </w:rPr>
            </w:pPr>
          </w:p>
        </w:tc>
        <w:tc>
          <w:tcPr>
            <w:tcW w:w="1143" w:type="dxa"/>
            <w:tcBorders>
              <w:top w:val="nil"/>
              <w:left w:val="nil"/>
              <w:bottom w:val="nil"/>
              <w:right w:val="nil"/>
            </w:tcBorders>
            <w:shd w:val="clear" w:color="auto" w:fill="auto"/>
            <w:noWrap/>
            <w:vAlign w:val="bottom"/>
          </w:tcPr>
          <w:p w14:paraId="72B6C34F" w14:textId="77777777" w:rsidR="0010523F" w:rsidRPr="0010523F" w:rsidRDefault="0010523F" w:rsidP="0010523F">
            <w:pPr>
              <w:spacing w:line="100" w:lineRule="exact"/>
              <w:rPr>
                <w:rFonts w:ascii="Calibri" w:hAnsi="Calibri"/>
                <w:color w:val="000000"/>
                <w:lang w:val="es-AR" w:eastAsia="es-AR"/>
              </w:rPr>
            </w:pPr>
          </w:p>
        </w:tc>
        <w:tc>
          <w:tcPr>
            <w:tcW w:w="1143" w:type="dxa"/>
            <w:tcBorders>
              <w:top w:val="nil"/>
              <w:left w:val="nil"/>
              <w:bottom w:val="nil"/>
              <w:right w:val="nil"/>
            </w:tcBorders>
            <w:shd w:val="clear" w:color="auto" w:fill="auto"/>
            <w:noWrap/>
            <w:vAlign w:val="bottom"/>
          </w:tcPr>
          <w:p w14:paraId="686F9EC4" w14:textId="77777777" w:rsidR="0010523F" w:rsidRPr="0010523F" w:rsidRDefault="0010523F" w:rsidP="0010523F">
            <w:pPr>
              <w:spacing w:line="100" w:lineRule="exact"/>
              <w:rPr>
                <w:rFonts w:ascii="Calibri" w:hAnsi="Calibri"/>
                <w:color w:val="000000"/>
                <w:lang w:val="es-AR" w:eastAsia="es-AR"/>
              </w:rPr>
            </w:pPr>
          </w:p>
        </w:tc>
      </w:tr>
      <w:tr w:rsidR="0010523F" w:rsidRPr="0010523F" w14:paraId="1DAC3A0C" w14:textId="77777777" w:rsidTr="00774E7E">
        <w:trPr>
          <w:trHeight w:val="300"/>
        </w:trPr>
        <w:tc>
          <w:tcPr>
            <w:tcW w:w="10429" w:type="dxa"/>
            <w:gridSpan w:val="5"/>
            <w:tcBorders>
              <w:top w:val="nil"/>
              <w:left w:val="nil"/>
              <w:bottom w:val="nil"/>
              <w:right w:val="nil"/>
            </w:tcBorders>
            <w:shd w:val="clear" w:color="auto" w:fill="auto"/>
            <w:noWrap/>
            <w:vAlign w:val="bottom"/>
            <w:hideMark/>
          </w:tcPr>
          <w:p w14:paraId="07B3F435" w14:textId="77777777" w:rsidR="0010523F" w:rsidRPr="0010523F" w:rsidRDefault="0010523F" w:rsidP="0010523F">
            <w:pPr>
              <w:rPr>
                <w:bCs/>
                <w:color w:val="000000"/>
                <w:u w:val="single"/>
                <w:lang w:val="es-AR" w:eastAsia="es-AR"/>
              </w:rPr>
            </w:pPr>
            <w:r w:rsidRPr="0010523F">
              <w:rPr>
                <w:bCs/>
                <w:color w:val="000000"/>
                <w:u w:val="single"/>
                <w:lang w:val="es-AR" w:eastAsia="es-AR"/>
              </w:rPr>
              <w:t>Activos financieros valuados al valor razonable con cambios en otro resultado integral</w:t>
            </w:r>
          </w:p>
        </w:tc>
      </w:tr>
      <w:tr w:rsidR="0010523F" w:rsidRPr="0010523F" w14:paraId="214E4470" w14:textId="77777777" w:rsidTr="00774E7E">
        <w:trPr>
          <w:trHeight w:val="128"/>
        </w:trPr>
        <w:tc>
          <w:tcPr>
            <w:tcW w:w="5969" w:type="dxa"/>
            <w:tcBorders>
              <w:top w:val="nil"/>
              <w:left w:val="nil"/>
              <w:right w:val="nil"/>
            </w:tcBorders>
            <w:shd w:val="clear" w:color="auto" w:fill="auto"/>
            <w:noWrap/>
            <w:vAlign w:val="bottom"/>
            <w:hideMark/>
          </w:tcPr>
          <w:p w14:paraId="733B98F3" w14:textId="77777777" w:rsidR="0010523F" w:rsidRPr="0010523F" w:rsidRDefault="0010523F" w:rsidP="0010523F">
            <w:pPr>
              <w:spacing w:line="100" w:lineRule="exact"/>
              <w:rPr>
                <w:rFonts w:ascii="Calibri" w:hAnsi="Calibri"/>
                <w:color w:val="000000"/>
                <w:lang w:val="es-AR" w:eastAsia="es-AR"/>
              </w:rPr>
            </w:pPr>
          </w:p>
        </w:tc>
        <w:tc>
          <w:tcPr>
            <w:tcW w:w="1130" w:type="dxa"/>
            <w:tcBorders>
              <w:top w:val="nil"/>
              <w:left w:val="nil"/>
              <w:bottom w:val="nil"/>
              <w:right w:val="nil"/>
            </w:tcBorders>
            <w:shd w:val="clear" w:color="auto" w:fill="auto"/>
            <w:noWrap/>
            <w:vAlign w:val="bottom"/>
            <w:hideMark/>
          </w:tcPr>
          <w:p w14:paraId="5067A421" w14:textId="77777777" w:rsidR="0010523F" w:rsidRPr="0010523F" w:rsidRDefault="0010523F" w:rsidP="0010523F">
            <w:pPr>
              <w:spacing w:line="100" w:lineRule="exact"/>
              <w:rPr>
                <w:rFonts w:ascii="Calibri" w:hAnsi="Calibri"/>
                <w:color w:val="000000"/>
                <w:lang w:val="es-AR" w:eastAsia="es-AR"/>
              </w:rPr>
            </w:pPr>
          </w:p>
        </w:tc>
        <w:tc>
          <w:tcPr>
            <w:tcW w:w="1044" w:type="dxa"/>
            <w:tcBorders>
              <w:top w:val="nil"/>
              <w:left w:val="nil"/>
              <w:bottom w:val="nil"/>
              <w:right w:val="nil"/>
            </w:tcBorders>
            <w:shd w:val="clear" w:color="auto" w:fill="auto"/>
            <w:noWrap/>
            <w:vAlign w:val="bottom"/>
            <w:hideMark/>
          </w:tcPr>
          <w:p w14:paraId="33105796" w14:textId="77777777" w:rsidR="0010523F" w:rsidRPr="0010523F" w:rsidRDefault="0010523F" w:rsidP="0010523F">
            <w:pPr>
              <w:spacing w:line="100" w:lineRule="exact"/>
              <w:rPr>
                <w:rFonts w:ascii="Calibri" w:hAnsi="Calibri"/>
                <w:color w:val="000000"/>
                <w:lang w:val="es-AR" w:eastAsia="es-AR"/>
              </w:rPr>
            </w:pPr>
          </w:p>
        </w:tc>
        <w:tc>
          <w:tcPr>
            <w:tcW w:w="1143" w:type="dxa"/>
            <w:tcBorders>
              <w:top w:val="nil"/>
              <w:left w:val="nil"/>
              <w:bottom w:val="nil"/>
              <w:right w:val="nil"/>
            </w:tcBorders>
            <w:shd w:val="clear" w:color="auto" w:fill="auto"/>
            <w:noWrap/>
            <w:vAlign w:val="bottom"/>
            <w:hideMark/>
          </w:tcPr>
          <w:p w14:paraId="14FCE7EB" w14:textId="77777777" w:rsidR="0010523F" w:rsidRPr="0010523F" w:rsidRDefault="0010523F" w:rsidP="0010523F">
            <w:pPr>
              <w:spacing w:line="100" w:lineRule="exact"/>
              <w:rPr>
                <w:rFonts w:ascii="Calibri" w:hAnsi="Calibri"/>
                <w:color w:val="000000"/>
                <w:lang w:val="es-AR" w:eastAsia="es-AR"/>
              </w:rPr>
            </w:pPr>
          </w:p>
        </w:tc>
        <w:tc>
          <w:tcPr>
            <w:tcW w:w="1143" w:type="dxa"/>
            <w:tcBorders>
              <w:top w:val="nil"/>
              <w:left w:val="nil"/>
              <w:bottom w:val="nil"/>
              <w:right w:val="nil"/>
            </w:tcBorders>
            <w:shd w:val="clear" w:color="auto" w:fill="auto"/>
            <w:noWrap/>
            <w:vAlign w:val="bottom"/>
            <w:hideMark/>
          </w:tcPr>
          <w:p w14:paraId="4559CE5B" w14:textId="77777777" w:rsidR="0010523F" w:rsidRPr="0010523F" w:rsidRDefault="0010523F" w:rsidP="0010523F">
            <w:pPr>
              <w:spacing w:line="100" w:lineRule="exact"/>
              <w:rPr>
                <w:rFonts w:ascii="Calibri" w:hAnsi="Calibri"/>
                <w:color w:val="000000"/>
                <w:lang w:val="es-AR" w:eastAsia="es-AR"/>
              </w:rPr>
            </w:pPr>
          </w:p>
        </w:tc>
      </w:tr>
      <w:tr w:rsidR="0010523F" w:rsidRPr="0010523F" w14:paraId="1EAD22E6" w14:textId="77777777" w:rsidTr="00774E7E">
        <w:trPr>
          <w:trHeight w:val="570"/>
        </w:trPr>
        <w:tc>
          <w:tcPr>
            <w:tcW w:w="5969" w:type="dxa"/>
            <w:tcBorders>
              <w:left w:val="nil"/>
              <w:right w:val="nil"/>
            </w:tcBorders>
            <w:shd w:val="clear" w:color="auto" w:fill="auto"/>
            <w:noWrap/>
            <w:vAlign w:val="center"/>
            <w:hideMark/>
          </w:tcPr>
          <w:p w14:paraId="52A44C30" w14:textId="77777777" w:rsidR="0010523F" w:rsidRPr="0010523F" w:rsidRDefault="0010523F" w:rsidP="0010523F">
            <w:pPr>
              <w:rPr>
                <w:bCs/>
                <w:color w:val="000000"/>
                <w:sz w:val="22"/>
                <w:szCs w:val="22"/>
                <w:lang w:val="es-AR" w:eastAsia="es-AR"/>
              </w:rPr>
            </w:pPr>
          </w:p>
        </w:tc>
        <w:tc>
          <w:tcPr>
            <w:tcW w:w="1130" w:type="dxa"/>
            <w:tcBorders>
              <w:top w:val="single" w:sz="4" w:space="0" w:color="auto"/>
              <w:left w:val="nil"/>
              <w:bottom w:val="single" w:sz="4" w:space="0" w:color="auto"/>
              <w:right w:val="nil"/>
            </w:tcBorders>
            <w:shd w:val="clear" w:color="auto" w:fill="auto"/>
            <w:vAlign w:val="center"/>
            <w:hideMark/>
          </w:tcPr>
          <w:p w14:paraId="040B9C91" w14:textId="77777777" w:rsidR="0010523F" w:rsidRPr="0010523F" w:rsidRDefault="0010523F" w:rsidP="0010523F">
            <w:pPr>
              <w:jc w:val="center"/>
              <w:rPr>
                <w:bCs/>
                <w:color w:val="000000"/>
                <w:sz w:val="22"/>
                <w:szCs w:val="22"/>
                <w:lang w:val="es-AR" w:eastAsia="es-AR"/>
              </w:rPr>
            </w:pPr>
            <w:r w:rsidRPr="0010523F">
              <w:rPr>
                <w:bCs/>
                <w:color w:val="000000"/>
                <w:sz w:val="22"/>
                <w:szCs w:val="22"/>
                <w:lang w:val="es-AR" w:eastAsia="es-AR"/>
              </w:rPr>
              <w:t>Cantidad</w:t>
            </w:r>
          </w:p>
        </w:tc>
        <w:tc>
          <w:tcPr>
            <w:tcW w:w="1044" w:type="dxa"/>
            <w:tcBorders>
              <w:top w:val="single" w:sz="4" w:space="0" w:color="auto"/>
              <w:left w:val="nil"/>
              <w:bottom w:val="single" w:sz="4" w:space="0" w:color="auto"/>
              <w:right w:val="nil"/>
            </w:tcBorders>
            <w:shd w:val="clear" w:color="auto" w:fill="auto"/>
            <w:vAlign w:val="center"/>
            <w:hideMark/>
          </w:tcPr>
          <w:p w14:paraId="4C8212F5" w14:textId="77777777" w:rsidR="0010523F" w:rsidRPr="0010523F" w:rsidRDefault="0010523F" w:rsidP="0010523F">
            <w:pPr>
              <w:jc w:val="center"/>
              <w:rPr>
                <w:bCs/>
                <w:color w:val="000000"/>
                <w:sz w:val="22"/>
                <w:szCs w:val="22"/>
                <w:lang w:val="es-AR" w:eastAsia="es-AR"/>
              </w:rPr>
            </w:pPr>
            <w:r w:rsidRPr="0010523F">
              <w:rPr>
                <w:bCs/>
                <w:color w:val="000000"/>
                <w:sz w:val="22"/>
                <w:szCs w:val="22"/>
                <w:lang w:val="es-AR" w:eastAsia="es-AR"/>
              </w:rPr>
              <w:t>Valor de cotización</w:t>
            </w:r>
          </w:p>
        </w:tc>
        <w:tc>
          <w:tcPr>
            <w:tcW w:w="1143" w:type="dxa"/>
            <w:tcBorders>
              <w:top w:val="single" w:sz="4" w:space="0" w:color="auto"/>
              <w:left w:val="nil"/>
              <w:bottom w:val="single" w:sz="4" w:space="0" w:color="auto"/>
              <w:right w:val="nil"/>
            </w:tcBorders>
            <w:shd w:val="clear" w:color="auto" w:fill="auto"/>
            <w:noWrap/>
            <w:vAlign w:val="center"/>
            <w:hideMark/>
          </w:tcPr>
          <w:p w14:paraId="351E2842" w14:textId="77777777" w:rsidR="0010523F" w:rsidRPr="0010523F" w:rsidRDefault="0010523F" w:rsidP="0010523F">
            <w:pPr>
              <w:jc w:val="center"/>
              <w:rPr>
                <w:bCs/>
                <w:color w:val="000000"/>
                <w:sz w:val="22"/>
                <w:szCs w:val="22"/>
                <w:lang w:val="es-AR" w:eastAsia="es-AR"/>
              </w:rPr>
            </w:pPr>
            <w:r w:rsidRPr="0010523F">
              <w:rPr>
                <w:bCs/>
                <w:color w:val="000000"/>
                <w:sz w:val="22"/>
                <w:szCs w:val="22"/>
                <w:lang w:val="es-AR" w:eastAsia="es-AR"/>
              </w:rPr>
              <w:t>30/09/2019</w:t>
            </w:r>
          </w:p>
        </w:tc>
        <w:tc>
          <w:tcPr>
            <w:tcW w:w="1143" w:type="dxa"/>
            <w:tcBorders>
              <w:top w:val="single" w:sz="4" w:space="0" w:color="auto"/>
              <w:left w:val="nil"/>
              <w:bottom w:val="single" w:sz="4" w:space="0" w:color="auto"/>
              <w:right w:val="nil"/>
            </w:tcBorders>
            <w:shd w:val="clear" w:color="auto" w:fill="auto"/>
            <w:noWrap/>
            <w:vAlign w:val="center"/>
            <w:hideMark/>
          </w:tcPr>
          <w:p w14:paraId="60FB2AFD" w14:textId="77777777" w:rsidR="0010523F" w:rsidRPr="0010523F" w:rsidRDefault="0010523F" w:rsidP="0010523F">
            <w:pPr>
              <w:jc w:val="center"/>
              <w:rPr>
                <w:bCs/>
                <w:color w:val="000000"/>
                <w:sz w:val="22"/>
                <w:szCs w:val="22"/>
                <w:lang w:val="es-AR" w:eastAsia="es-AR"/>
              </w:rPr>
            </w:pPr>
            <w:r w:rsidRPr="0010523F">
              <w:rPr>
                <w:bCs/>
                <w:color w:val="000000"/>
                <w:sz w:val="22"/>
                <w:szCs w:val="22"/>
                <w:lang w:val="es-AR" w:eastAsia="es-AR"/>
              </w:rPr>
              <w:t>31/12/2018</w:t>
            </w:r>
          </w:p>
        </w:tc>
      </w:tr>
      <w:tr w:rsidR="0010523F" w:rsidRPr="0010523F" w14:paraId="4945348F" w14:textId="77777777" w:rsidTr="00774E7E">
        <w:trPr>
          <w:trHeight w:val="300"/>
        </w:trPr>
        <w:tc>
          <w:tcPr>
            <w:tcW w:w="5969" w:type="dxa"/>
            <w:tcBorders>
              <w:top w:val="nil"/>
              <w:left w:val="nil"/>
              <w:bottom w:val="nil"/>
              <w:right w:val="nil"/>
            </w:tcBorders>
            <w:shd w:val="clear" w:color="auto" w:fill="auto"/>
            <w:noWrap/>
            <w:vAlign w:val="bottom"/>
          </w:tcPr>
          <w:p w14:paraId="7320961C" w14:textId="77777777" w:rsidR="0010523F" w:rsidRPr="0010523F" w:rsidRDefault="0010523F" w:rsidP="0010523F">
            <w:pPr>
              <w:rPr>
                <w:color w:val="000000"/>
                <w:sz w:val="22"/>
                <w:szCs w:val="22"/>
                <w:u w:val="single"/>
                <w:lang w:val="es-AR" w:eastAsia="es-AR"/>
              </w:rPr>
            </w:pPr>
            <w:r w:rsidRPr="0010523F">
              <w:rPr>
                <w:bCs/>
                <w:color w:val="000000"/>
                <w:sz w:val="22"/>
                <w:szCs w:val="22"/>
                <w:u w:val="single"/>
                <w:lang w:val="es-AR" w:eastAsia="es-AR"/>
              </w:rPr>
              <w:t>Títulos públicos</w:t>
            </w:r>
          </w:p>
        </w:tc>
        <w:tc>
          <w:tcPr>
            <w:tcW w:w="1130" w:type="dxa"/>
            <w:tcBorders>
              <w:top w:val="single" w:sz="4" w:space="0" w:color="auto"/>
              <w:left w:val="nil"/>
              <w:right w:val="nil"/>
            </w:tcBorders>
            <w:shd w:val="clear" w:color="auto" w:fill="auto"/>
            <w:noWrap/>
            <w:vAlign w:val="bottom"/>
          </w:tcPr>
          <w:p w14:paraId="442BB818" w14:textId="77777777" w:rsidR="0010523F" w:rsidRPr="0010523F" w:rsidRDefault="0010523F" w:rsidP="0010523F">
            <w:pPr>
              <w:jc w:val="right"/>
              <w:rPr>
                <w:color w:val="000000"/>
                <w:sz w:val="22"/>
                <w:szCs w:val="22"/>
                <w:lang w:val="es-AR" w:eastAsia="es-AR"/>
              </w:rPr>
            </w:pPr>
          </w:p>
        </w:tc>
        <w:tc>
          <w:tcPr>
            <w:tcW w:w="1044" w:type="dxa"/>
            <w:tcBorders>
              <w:top w:val="single" w:sz="4" w:space="0" w:color="auto"/>
              <w:left w:val="nil"/>
              <w:right w:val="nil"/>
            </w:tcBorders>
            <w:shd w:val="clear" w:color="auto" w:fill="auto"/>
            <w:noWrap/>
            <w:vAlign w:val="bottom"/>
          </w:tcPr>
          <w:p w14:paraId="5C423760" w14:textId="77777777" w:rsidR="0010523F" w:rsidRPr="0010523F" w:rsidRDefault="0010523F" w:rsidP="0010523F">
            <w:pPr>
              <w:jc w:val="right"/>
              <w:rPr>
                <w:color w:val="000000"/>
                <w:sz w:val="22"/>
                <w:szCs w:val="22"/>
                <w:lang w:val="es-AR" w:eastAsia="es-AR"/>
              </w:rPr>
            </w:pPr>
          </w:p>
        </w:tc>
        <w:tc>
          <w:tcPr>
            <w:tcW w:w="1143" w:type="dxa"/>
            <w:tcBorders>
              <w:top w:val="nil"/>
              <w:left w:val="nil"/>
              <w:right w:val="nil"/>
            </w:tcBorders>
            <w:shd w:val="clear" w:color="auto" w:fill="auto"/>
            <w:noWrap/>
            <w:vAlign w:val="bottom"/>
          </w:tcPr>
          <w:p w14:paraId="735342BA" w14:textId="77777777" w:rsidR="0010523F" w:rsidRPr="0010523F" w:rsidRDefault="0010523F" w:rsidP="0010523F">
            <w:pPr>
              <w:jc w:val="right"/>
              <w:rPr>
                <w:color w:val="000000"/>
                <w:sz w:val="22"/>
                <w:szCs w:val="22"/>
                <w:lang w:val="es-AR" w:eastAsia="es-AR"/>
              </w:rPr>
            </w:pPr>
          </w:p>
        </w:tc>
        <w:tc>
          <w:tcPr>
            <w:tcW w:w="1143" w:type="dxa"/>
            <w:tcBorders>
              <w:top w:val="nil"/>
              <w:left w:val="nil"/>
              <w:right w:val="nil"/>
            </w:tcBorders>
            <w:shd w:val="clear" w:color="auto" w:fill="auto"/>
            <w:noWrap/>
            <w:vAlign w:val="bottom"/>
          </w:tcPr>
          <w:p w14:paraId="5C33C624" w14:textId="77777777" w:rsidR="0010523F" w:rsidRPr="0010523F" w:rsidRDefault="0010523F" w:rsidP="0010523F">
            <w:pPr>
              <w:jc w:val="right"/>
              <w:rPr>
                <w:color w:val="000000"/>
                <w:sz w:val="22"/>
                <w:szCs w:val="22"/>
                <w:lang w:val="es-AR" w:eastAsia="es-AR"/>
              </w:rPr>
            </w:pPr>
          </w:p>
        </w:tc>
      </w:tr>
      <w:tr w:rsidR="0010523F" w:rsidRPr="0010523F" w14:paraId="1E01A50C" w14:textId="77777777" w:rsidTr="00774E7E">
        <w:trPr>
          <w:trHeight w:val="113"/>
        </w:trPr>
        <w:tc>
          <w:tcPr>
            <w:tcW w:w="5969" w:type="dxa"/>
            <w:tcBorders>
              <w:left w:val="nil"/>
              <w:right w:val="nil"/>
            </w:tcBorders>
            <w:shd w:val="clear" w:color="auto" w:fill="auto"/>
            <w:noWrap/>
            <w:vAlign w:val="center"/>
          </w:tcPr>
          <w:p w14:paraId="7EFE37D9" w14:textId="77777777" w:rsidR="0010523F" w:rsidRPr="0010523F" w:rsidRDefault="0010523F" w:rsidP="0010523F">
            <w:pPr>
              <w:spacing w:line="140" w:lineRule="exact"/>
              <w:rPr>
                <w:bCs/>
                <w:color w:val="000000"/>
                <w:sz w:val="22"/>
                <w:szCs w:val="22"/>
                <w:u w:val="single"/>
                <w:lang w:val="es-AR" w:eastAsia="es-AR"/>
              </w:rPr>
            </w:pPr>
          </w:p>
        </w:tc>
        <w:tc>
          <w:tcPr>
            <w:tcW w:w="1130" w:type="dxa"/>
            <w:tcBorders>
              <w:left w:val="nil"/>
              <w:right w:val="nil"/>
            </w:tcBorders>
            <w:shd w:val="clear" w:color="auto" w:fill="auto"/>
            <w:noWrap/>
            <w:vAlign w:val="center"/>
          </w:tcPr>
          <w:p w14:paraId="79B1813B" w14:textId="77777777" w:rsidR="0010523F" w:rsidRPr="0010523F" w:rsidRDefault="0010523F" w:rsidP="0010523F">
            <w:pPr>
              <w:spacing w:line="140" w:lineRule="exact"/>
              <w:jc w:val="center"/>
              <w:rPr>
                <w:bCs/>
                <w:color w:val="000000"/>
                <w:sz w:val="22"/>
                <w:szCs w:val="22"/>
                <w:lang w:val="es-AR" w:eastAsia="es-AR"/>
              </w:rPr>
            </w:pPr>
          </w:p>
        </w:tc>
        <w:tc>
          <w:tcPr>
            <w:tcW w:w="1044" w:type="dxa"/>
            <w:tcBorders>
              <w:left w:val="nil"/>
              <w:right w:val="nil"/>
            </w:tcBorders>
            <w:shd w:val="clear" w:color="auto" w:fill="auto"/>
            <w:vAlign w:val="center"/>
          </w:tcPr>
          <w:p w14:paraId="29B7A8F3" w14:textId="77777777" w:rsidR="0010523F" w:rsidRPr="0010523F" w:rsidRDefault="0010523F" w:rsidP="0010523F">
            <w:pPr>
              <w:spacing w:line="140" w:lineRule="exact"/>
              <w:jc w:val="center"/>
              <w:rPr>
                <w:bCs/>
                <w:color w:val="000000"/>
                <w:sz w:val="22"/>
                <w:szCs w:val="22"/>
                <w:lang w:val="es-AR" w:eastAsia="es-AR"/>
              </w:rPr>
            </w:pPr>
          </w:p>
        </w:tc>
        <w:tc>
          <w:tcPr>
            <w:tcW w:w="1143" w:type="dxa"/>
            <w:tcBorders>
              <w:left w:val="nil"/>
              <w:right w:val="nil"/>
            </w:tcBorders>
            <w:shd w:val="clear" w:color="auto" w:fill="auto"/>
            <w:noWrap/>
            <w:vAlign w:val="center"/>
          </w:tcPr>
          <w:p w14:paraId="05D93724" w14:textId="77777777" w:rsidR="0010523F" w:rsidRPr="0010523F" w:rsidRDefault="0010523F" w:rsidP="0010523F">
            <w:pPr>
              <w:spacing w:line="140" w:lineRule="exact"/>
              <w:jc w:val="center"/>
              <w:rPr>
                <w:bCs/>
                <w:color w:val="000000"/>
                <w:sz w:val="22"/>
                <w:szCs w:val="22"/>
                <w:lang w:val="es-AR" w:eastAsia="es-AR"/>
              </w:rPr>
            </w:pPr>
          </w:p>
        </w:tc>
        <w:tc>
          <w:tcPr>
            <w:tcW w:w="1143" w:type="dxa"/>
            <w:tcBorders>
              <w:left w:val="nil"/>
              <w:right w:val="nil"/>
            </w:tcBorders>
            <w:shd w:val="clear" w:color="auto" w:fill="auto"/>
            <w:noWrap/>
            <w:vAlign w:val="center"/>
          </w:tcPr>
          <w:p w14:paraId="792510C7" w14:textId="77777777" w:rsidR="0010523F" w:rsidRPr="0010523F" w:rsidRDefault="0010523F" w:rsidP="0010523F">
            <w:pPr>
              <w:spacing w:line="140" w:lineRule="exact"/>
              <w:jc w:val="center"/>
              <w:rPr>
                <w:bCs/>
                <w:color w:val="000000"/>
                <w:sz w:val="22"/>
                <w:szCs w:val="22"/>
                <w:lang w:val="es-AR" w:eastAsia="es-AR"/>
              </w:rPr>
            </w:pPr>
          </w:p>
        </w:tc>
      </w:tr>
      <w:tr w:rsidR="0010523F" w:rsidRPr="0010523F" w14:paraId="1D6F2892" w14:textId="77777777" w:rsidTr="00774E7E">
        <w:trPr>
          <w:trHeight w:val="300"/>
        </w:trPr>
        <w:tc>
          <w:tcPr>
            <w:tcW w:w="5969" w:type="dxa"/>
            <w:tcBorders>
              <w:top w:val="nil"/>
              <w:left w:val="nil"/>
              <w:bottom w:val="nil"/>
              <w:right w:val="nil"/>
            </w:tcBorders>
            <w:shd w:val="clear" w:color="auto" w:fill="auto"/>
            <w:noWrap/>
            <w:vAlign w:val="bottom"/>
            <w:hideMark/>
          </w:tcPr>
          <w:p w14:paraId="40256F7D"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Bonos de la República Argentina con Descuento en pesos 5,83%</w:t>
            </w:r>
          </w:p>
        </w:tc>
        <w:tc>
          <w:tcPr>
            <w:tcW w:w="1130" w:type="dxa"/>
            <w:tcBorders>
              <w:top w:val="nil"/>
              <w:left w:val="nil"/>
              <w:right w:val="nil"/>
            </w:tcBorders>
            <w:shd w:val="clear" w:color="auto" w:fill="auto"/>
            <w:noWrap/>
            <w:vAlign w:val="bottom"/>
            <w:hideMark/>
          </w:tcPr>
          <w:p w14:paraId="7732D5BD"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 xml:space="preserve">4.821.350 </w:t>
            </w:r>
          </w:p>
        </w:tc>
        <w:tc>
          <w:tcPr>
            <w:tcW w:w="1044" w:type="dxa"/>
            <w:tcBorders>
              <w:top w:val="nil"/>
              <w:left w:val="nil"/>
              <w:right w:val="nil"/>
            </w:tcBorders>
            <w:shd w:val="clear" w:color="auto" w:fill="auto"/>
            <w:noWrap/>
            <w:vAlign w:val="bottom"/>
            <w:hideMark/>
          </w:tcPr>
          <w:p w14:paraId="743EB0DD"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 xml:space="preserve">4,70 </w:t>
            </w:r>
          </w:p>
        </w:tc>
        <w:tc>
          <w:tcPr>
            <w:tcW w:w="1143" w:type="dxa"/>
            <w:tcBorders>
              <w:top w:val="nil"/>
              <w:left w:val="nil"/>
              <w:bottom w:val="nil"/>
              <w:right w:val="nil"/>
            </w:tcBorders>
            <w:shd w:val="clear" w:color="auto" w:fill="auto"/>
            <w:noWrap/>
            <w:vAlign w:val="bottom"/>
            <w:hideMark/>
          </w:tcPr>
          <w:p w14:paraId="2413FC35"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 xml:space="preserve">              23 </w:t>
            </w:r>
          </w:p>
        </w:tc>
        <w:tc>
          <w:tcPr>
            <w:tcW w:w="1143" w:type="dxa"/>
            <w:tcBorders>
              <w:top w:val="nil"/>
              <w:left w:val="nil"/>
              <w:bottom w:val="nil"/>
              <w:right w:val="nil"/>
            </w:tcBorders>
            <w:shd w:val="clear" w:color="auto" w:fill="auto"/>
            <w:noWrap/>
            <w:vAlign w:val="bottom"/>
            <w:hideMark/>
          </w:tcPr>
          <w:p w14:paraId="2DBF42B7" w14:textId="77777777" w:rsidR="0010523F" w:rsidRPr="0010523F" w:rsidRDefault="0010523F" w:rsidP="0010523F">
            <w:pPr>
              <w:jc w:val="right"/>
              <w:rPr>
                <w:color w:val="000000"/>
                <w:sz w:val="22"/>
                <w:szCs w:val="22"/>
                <w:lang w:val="es-AR" w:eastAsia="es-AR"/>
              </w:rPr>
            </w:pPr>
            <w:r w:rsidRPr="0010523F">
              <w:rPr>
                <w:color w:val="000000"/>
                <w:sz w:val="22"/>
                <w:szCs w:val="22"/>
                <w:lang w:val="es-AR" w:eastAsia="es-AR"/>
              </w:rPr>
              <w:t xml:space="preserve">              42 </w:t>
            </w:r>
          </w:p>
        </w:tc>
      </w:tr>
      <w:tr w:rsidR="0010523F" w:rsidRPr="0010523F" w14:paraId="49DAFF4A" w14:textId="77777777" w:rsidTr="00774E7E">
        <w:trPr>
          <w:trHeight w:hRule="exact" w:val="57"/>
        </w:trPr>
        <w:tc>
          <w:tcPr>
            <w:tcW w:w="5969" w:type="dxa"/>
            <w:tcBorders>
              <w:left w:val="nil"/>
              <w:right w:val="nil"/>
            </w:tcBorders>
            <w:shd w:val="clear" w:color="auto" w:fill="auto"/>
            <w:noWrap/>
            <w:vAlign w:val="bottom"/>
          </w:tcPr>
          <w:p w14:paraId="4C742475" w14:textId="77777777" w:rsidR="0010523F" w:rsidRPr="0010523F" w:rsidRDefault="0010523F" w:rsidP="0010523F">
            <w:pPr>
              <w:rPr>
                <w:bCs/>
                <w:color w:val="000000"/>
                <w:sz w:val="22"/>
                <w:szCs w:val="22"/>
                <w:lang w:val="es-AR" w:eastAsia="es-AR"/>
              </w:rPr>
            </w:pPr>
          </w:p>
        </w:tc>
        <w:tc>
          <w:tcPr>
            <w:tcW w:w="1130" w:type="dxa"/>
            <w:tcBorders>
              <w:top w:val="single" w:sz="4" w:space="0" w:color="auto"/>
              <w:left w:val="nil"/>
              <w:right w:val="nil"/>
            </w:tcBorders>
            <w:shd w:val="clear" w:color="auto" w:fill="auto"/>
            <w:noWrap/>
            <w:vAlign w:val="bottom"/>
          </w:tcPr>
          <w:p w14:paraId="1EA777EB" w14:textId="77777777" w:rsidR="0010523F" w:rsidRPr="0010523F" w:rsidRDefault="0010523F" w:rsidP="0010523F">
            <w:pPr>
              <w:rPr>
                <w:bCs/>
                <w:color w:val="000000"/>
                <w:sz w:val="22"/>
                <w:szCs w:val="22"/>
                <w:lang w:val="es-AR" w:eastAsia="es-AR"/>
              </w:rPr>
            </w:pPr>
          </w:p>
        </w:tc>
        <w:tc>
          <w:tcPr>
            <w:tcW w:w="1044" w:type="dxa"/>
            <w:tcBorders>
              <w:top w:val="single" w:sz="4" w:space="0" w:color="auto"/>
              <w:left w:val="nil"/>
              <w:right w:val="nil"/>
            </w:tcBorders>
            <w:shd w:val="clear" w:color="auto" w:fill="auto"/>
            <w:noWrap/>
            <w:vAlign w:val="bottom"/>
          </w:tcPr>
          <w:p w14:paraId="19B03CED" w14:textId="77777777" w:rsidR="0010523F" w:rsidRPr="0010523F" w:rsidRDefault="0010523F" w:rsidP="0010523F">
            <w:pPr>
              <w:rPr>
                <w:bCs/>
                <w:color w:val="000000"/>
                <w:sz w:val="22"/>
                <w:szCs w:val="22"/>
                <w:lang w:val="es-AR" w:eastAsia="es-AR"/>
              </w:rPr>
            </w:pPr>
          </w:p>
        </w:tc>
        <w:tc>
          <w:tcPr>
            <w:tcW w:w="1143" w:type="dxa"/>
            <w:tcBorders>
              <w:top w:val="single" w:sz="4" w:space="0" w:color="auto"/>
              <w:left w:val="nil"/>
              <w:right w:val="nil"/>
            </w:tcBorders>
            <w:shd w:val="clear" w:color="auto" w:fill="auto"/>
            <w:noWrap/>
            <w:vAlign w:val="bottom"/>
          </w:tcPr>
          <w:p w14:paraId="191E1FAD" w14:textId="77777777" w:rsidR="0010523F" w:rsidRPr="0010523F" w:rsidRDefault="0010523F" w:rsidP="0010523F">
            <w:pPr>
              <w:jc w:val="right"/>
              <w:rPr>
                <w:bCs/>
                <w:color w:val="000000"/>
                <w:sz w:val="22"/>
                <w:szCs w:val="22"/>
                <w:lang w:val="es-AR" w:eastAsia="es-AR"/>
              </w:rPr>
            </w:pPr>
          </w:p>
        </w:tc>
        <w:tc>
          <w:tcPr>
            <w:tcW w:w="1143" w:type="dxa"/>
            <w:tcBorders>
              <w:top w:val="single" w:sz="4" w:space="0" w:color="auto"/>
              <w:left w:val="nil"/>
              <w:right w:val="nil"/>
            </w:tcBorders>
            <w:shd w:val="clear" w:color="auto" w:fill="auto"/>
            <w:noWrap/>
            <w:vAlign w:val="bottom"/>
          </w:tcPr>
          <w:p w14:paraId="33B1DF94" w14:textId="77777777" w:rsidR="0010523F" w:rsidRPr="0010523F" w:rsidRDefault="0010523F" w:rsidP="0010523F">
            <w:pPr>
              <w:jc w:val="right"/>
              <w:rPr>
                <w:bCs/>
                <w:color w:val="000000"/>
                <w:sz w:val="22"/>
                <w:szCs w:val="22"/>
                <w:lang w:val="es-AR" w:eastAsia="es-AR"/>
              </w:rPr>
            </w:pPr>
          </w:p>
        </w:tc>
      </w:tr>
      <w:tr w:rsidR="0010523F" w:rsidRPr="0010523F" w14:paraId="3D00943A" w14:textId="77777777" w:rsidTr="00774E7E">
        <w:trPr>
          <w:trHeight w:val="300"/>
        </w:trPr>
        <w:tc>
          <w:tcPr>
            <w:tcW w:w="5969" w:type="dxa"/>
            <w:tcBorders>
              <w:left w:val="nil"/>
              <w:right w:val="nil"/>
            </w:tcBorders>
            <w:shd w:val="clear" w:color="auto" w:fill="auto"/>
            <w:noWrap/>
            <w:vAlign w:val="bottom"/>
            <w:hideMark/>
          </w:tcPr>
          <w:p w14:paraId="7180A182" w14:textId="77777777" w:rsidR="0010523F" w:rsidRPr="0010523F" w:rsidRDefault="0010523F" w:rsidP="0010523F">
            <w:pPr>
              <w:rPr>
                <w:bCs/>
                <w:color w:val="000000"/>
                <w:sz w:val="22"/>
                <w:szCs w:val="22"/>
                <w:lang w:val="es-AR" w:eastAsia="es-AR"/>
              </w:rPr>
            </w:pPr>
            <w:r w:rsidRPr="0010523F">
              <w:rPr>
                <w:bCs/>
                <w:color w:val="000000"/>
                <w:sz w:val="22"/>
                <w:szCs w:val="22"/>
                <w:lang w:val="es-AR" w:eastAsia="es-AR"/>
              </w:rPr>
              <w:t>Total</w:t>
            </w:r>
          </w:p>
        </w:tc>
        <w:tc>
          <w:tcPr>
            <w:tcW w:w="1130" w:type="dxa"/>
            <w:tcBorders>
              <w:left w:val="nil"/>
              <w:bottom w:val="single" w:sz="4" w:space="0" w:color="auto"/>
              <w:right w:val="nil"/>
            </w:tcBorders>
            <w:shd w:val="clear" w:color="auto" w:fill="auto"/>
            <w:noWrap/>
            <w:vAlign w:val="bottom"/>
            <w:hideMark/>
          </w:tcPr>
          <w:p w14:paraId="6EC0DA15" w14:textId="77777777" w:rsidR="0010523F" w:rsidRPr="0010523F" w:rsidRDefault="0010523F" w:rsidP="0010523F">
            <w:pPr>
              <w:rPr>
                <w:bCs/>
                <w:color w:val="000000"/>
                <w:sz w:val="22"/>
                <w:szCs w:val="22"/>
                <w:lang w:val="es-AR" w:eastAsia="es-AR"/>
              </w:rPr>
            </w:pPr>
            <w:r w:rsidRPr="0010523F">
              <w:rPr>
                <w:bCs/>
                <w:color w:val="000000"/>
                <w:sz w:val="22"/>
                <w:szCs w:val="22"/>
                <w:lang w:val="es-AR" w:eastAsia="es-AR"/>
              </w:rPr>
              <w:t> </w:t>
            </w:r>
          </w:p>
        </w:tc>
        <w:tc>
          <w:tcPr>
            <w:tcW w:w="1044" w:type="dxa"/>
            <w:tcBorders>
              <w:left w:val="nil"/>
              <w:bottom w:val="single" w:sz="4" w:space="0" w:color="auto"/>
              <w:right w:val="nil"/>
            </w:tcBorders>
            <w:shd w:val="clear" w:color="auto" w:fill="auto"/>
            <w:noWrap/>
            <w:vAlign w:val="bottom"/>
            <w:hideMark/>
          </w:tcPr>
          <w:p w14:paraId="777B3A28" w14:textId="77777777" w:rsidR="0010523F" w:rsidRPr="0010523F" w:rsidRDefault="0010523F" w:rsidP="0010523F">
            <w:pPr>
              <w:rPr>
                <w:bCs/>
                <w:color w:val="000000"/>
                <w:sz w:val="22"/>
                <w:szCs w:val="22"/>
                <w:lang w:val="es-AR" w:eastAsia="es-AR"/>
              </w:rPr>
            </w:pPr>
            <w:r w:rsidRPr="0010523F">
              <w:rPr>
                <w:bCs/>
                <w:color w:val="000000"/>
                <w:sz w:val="22"/>
                <w:szCs w:val="22"/>
                <w:lang w:val="es-AR" w:eastAsia="es-AR"/>
              </w:rPr>
              <w:t> </w:t>
            </w:r>
          </w:p>
        </w:tc>
        <w:tc>
          <w:tcPr>
            <w:tcW w:w="1143" w:type="dxa"/>
            <w:tcBorders>
              <w:left w:val="nil"/>
              <w:bottom w:val="single" w:sz="4" w:space="0" w:color="auto"/>
              <w:right w:val="nil"/>
            </w:tcBorders>
            <w:shd w:val="clear" w:color="auto" w:fill="auto"/>
            <w:noWrap/>
            <w:vAlign w:val="bottom"/>
            <w:hideMark/>
          </w:tcPr>
          <w:p w14:paraId="4D730B57" w14:textId="77777777" w:rsidR="0010523F" w:rsidRPr="0010523F" w:rsidRDefault="0010523F" w:rsidP="0010523F">
            <w:pPr>
              <w:jc w:val="right"/>
              <w:rPr>
                <w:bCs/>
                <w:color w:val="000000"/>
                <w:sz w:val="22"/>
                <w:szCs w:val="22"/>
                <w:lang w:val="es-AR" w:eastAsia="es-AR"/>
              </w:rPr>
            </w:pPr>
            <w:r w:rsidRPr="0010523F">
              <w:rPr>
                <w:bCs/>
                <w:color w:val="000000"/>
                <w:sz w:val="22"/>
                <w:szCs w:val="22"/>
                <w:lang w:val="es-AR" w:eastAsia="es-AR"/>
              </w:rPr>
              <w:t xml:space="preserve">            23 </w:t>
            </w:r>
          </w:p>
        </w:tc>
        <w:tc>
          <w:tcPr>
            <w:tcW w:w="1143" w:type="dxa"/>
            <w:tcBorders>
              <w:left w:val="nil"/>
              <w:bottom w:val="single" w:sz="4" w:space="0" w:color="auto"/>
              <w:right w:val="nil"/>
            </w:tcBorders>
            <w:shd w:val="clear" w:color="auto" w:fill="auto"/>
            <w:noWrap/>
            <w:vAlign w:val="bottom"/>
            <w:hideMark/>
          </w:tcPr>
          <w:p w14:paraId="5186D75B" w14:textId="77777777" w:rsidR="0010523F" w:rsidRPr="0010523F" w:rsidRDefault="0010523F" w:rsidP="0010523F">
            <w:pPr>
              <w:jc w:val="right"/>
              <w:rPr>
                <w:bCs/>
                <w:color w:val="000000"/>
                <w:sz w:val="22"/>
                <w:szCs w:val="22"/>
                <w:lang w:val="es-AR" w:eastAsia="es-AR"/>
              </w:rPr>
            </w:pPr>
            <w:r w:rsidRPr="0010523F">
              <w:rPr>
                <w:bCs/>
                <w:color w:val="000000"/>
                <w:sz w:val="22"/>
                <w:szCs w:val="22"/>
                <w:lang w:val="es-AR" w:eastAsia="es-AR"/>
              </w:rPr>
              <w:t xml:space="preserve">             42 </w:t>
            </w:r>
          </w:p>
        </w:tc>
      </w:tr>
    </w:tbl>
    <w:p w14:paraId="5A434A90" w14:textId="77777777" w:rsidR="0010523F" w:rsidRPr="0010523F" w:rsidRDefault="0010523F" w:rsidP="0010523F">
      <w:pPr>
        <w:tabs>
          <w:tab w:val="center" w:pos="6120"/>
          <w:tab w:val="center" w:pos="7680"/>
          <w:tab w:val="center" w:pos="9120"/>
        </w:tabs>
        <w:spacing w:before="120" w:line="220" w:lineRule="exact"/>
        <w:jc w:val="both"/>
        <w:rPr>
          <w:sz w:val="22"/>
          <w:szCs w:val="22"/>
          <w:lang w:val="es-AR" w:eastAsia="en-US"/>
        </w:rPr>
      </w:pPr>
      <w:r w:rsidRPr="0010523F">
        <w:rPr>
          <w:sz w:val="22"/>
          <w:szCs w:val="22"/>
          <w:lang w:val="es-AR" w:eastAsia="en-US"/>
        </w:rPr>
        <w:t xml:space="preserve">Adicionalmente, la Sucursal posee 2.000 acciones de Garantizar S.A. a un valor de cotización de $1 por acción. </w:t>
      </w:r>
    </w:p>
    <w:p w14:paraId="629059D1" w14:textId="77777777" w:rsidR="0010523F" w:rsidRPr="0010523F" w:rsidRDefault="0010523F" w:rsidP="0010523F">
      <w:pPr>
        <w:tabs>
          <w:tab w:val="center" w:pos="6120"/>
          <w:tab w:val="center" w:pos="7680"/>
          <w:tab w:val="center" w:pos="9120"/>
        </w:tabs>
        <w:spacing w:line="220" w:lineRule="exact"/>
        <w:jc w:val="both"/>
        <w:rPr>
          <w:sz w:val="22"/>
          <w:szCs w:val="22"/>
          <w:lang w:val="es-AR" w:eastAsia="en-US"/>
        </w:rPr>
      </w:pPr>
    </w:p>
    <w:p w14:paraId="56D28928" w14:textId="77777777" w:rsidR="0010523F" w:rsidRPr="0010523F" w:rsidRDefault="0010523F" w:rsidP="0010523F">
      <w:pPr>
        <w:tabs>
          <w:tab w:val="center" w:pos="6120"/>
          <w:tab w:val="center" w:pos="7680"/>
          <w:tab w:val="center" w:pos="9120"/>
        </w:tabs>
        <w:spacing w:line="220" w:lineRule="exact"/>
        <w:jc w:val="both"/>
        <w:rPr>
          <w:sz w:val="22"/>
          <w:szCs w:val="22"/>
          <w:lang w:val="es-AR" w:eastAsia="en-US"/>
        </w:rPr>
      </w:pPr>
    </w:p>
    <w:p w14:paraId="65E4A263" w14:textId="77777777" w:rsidR="0010523F" w:rsidRPr="0010523F" w:rsidRDefault="0010523F" w:rsidP="0010523F">
      <w:pPr>
        <w:tabs>
          <w:tab w:val="center" w:pos="6120"/>
          <w:tab w:val="center" w:pos="7680"/>
          <w:tab w:val="center" w:pos="9120"/>
        </w:tabs>
        <w:spacing w:line="220" w:lineRule="exact"/>
        <w:jc w:val="both"/>
        <w:rPr>
          <w:sz w:val="22"/>
          <w:szCs w:val="22"/>
          <w:lang w:val="es-AR" w:eastAsia="en-US"/>
        </w:rPr>
      </w:pPr>
    </w:p>
    <w:p w14:paraId="0F36AE86" w14:textId="77777777" w:rsidR="0010523F" w:rsidRPr="0010523F" w:rsidRDefault="0010523F" w:rsidP="0010523F">
      <w:pPr>
        <w:tabs>
          <w:tab w:val="center" w:pos="6120"/>
          <w:tab w:val="center" w:pos="7680"/>
          <w:tab w:val="center" w:pos="9120"/>
        </w:tabs>
        <w:spacing w:line="220" w:lineRule="exact"/>
        <w:jc w:val="both"/>
        <w:rPr>
          <w:sz w:val="22"/>
          <w:szCs w:val="22"/>
          <w:lang w:val="es-AR" w:eastAsia="en-US"/>
        </w:rPr>
      </w:pPr>
    </w:p>
    <w:p w14:paraId="3FD1F623" w14:textId="77777777" w:rsidR="0010523F" w:rsidRPr="0010523F" w:rsidRDefault="0010523F" w:rsidP="0010523F">
      <w:pPr>
        <w:rPr>
          <w:b/>
          <w:lang w:val="es-AR" w:eastAsia="en-US"/>
        </w:rPr>
      </w:pPr>
      <w:r w:rsidRPr="0010523F">
        <w:rPr>
          <w:b/>
          <w:lang w:val="es-AR" w:eastAsia="en-US"/>
        </w:rPr>
        <w:br w:type="page"/>
      </w:r>
    </w:p>
    <w:p w14:paraId="74DC840A" w14:textId="77777777" w:rsidR="0010523F" w:rsidRPr="0010523F" w:rsidRDefault="0010523F" w:rsidP="0010523F">
      <w:pPr>
        <w:jc w:val="both"/>
        <w:rPr>
          <w:b/>
          <w:lang w:val="es-AR" w:eastAsia="en-US"/>
        </w:rPr>
      </w:pPr>
      <w:r w:rsidRPr="0010523F">
        <w:rPr>
          <w:b/>
          <w:lang w:val="es-AR" w:eastAsia="en-US"/>
        </w:rPr>
        <w:t>NOTA 3 -</w:t>
      </w:r>
      <w:r w:rsidRPr="0010523F">
        <w:rPr>
          <w:b/>
          <w:lang w:val="es-AR" w:eastAsia="en-US"/>
        </w:rPr>
        <w:tab/>
        <w:t>COMPOSICIÓN DE CIERTOS RUBROS DEL ESTADO DE SITUACIÓN FINANCIERA INTERMEDIO CONDENSADO (cont.)</w:t>
      </w:r>
    </w:p>
    <w:p w14:paraId="4AC25FFB" w14:textId="77777777" w:rsidR="0010523F" w:rsidRPr="0010523F" w:rsidRDefault="0010523F" w:rsidP="0010523F">
      <w:pPr>
        <w:tabs>
          <w:tab w:val="center" w:pos="6120"/>
          <w:tab w:val="center" w:pos="7680"/>
          <w:tab w:val="center" w:pos="9120"/>
        </w:tabs>
        <w:spacing w:line="220" w:lineRule="exact"/>
        <w:jc w:val="both"/>
        <w:rPr>
          <w:sz w:val="22"/>
          <w:szCs w:val="22"/>
          <w:lang w:val="es-AR" w:eastAsia="en-US"/>
        </w:rPr>
      </w:pPr>
    </w:p>
    <w:tbl>
      <w:tblPr>
        <w:tblW w:w="9956" w:type="dxa"/>
        <w:tblLayout w:type="fixed"/>
        <w:tblCellMar>
          <w:left w:w="70" w:type="dxa"/>
          <w:right w:w="70" w:type="dxa"/>
        </w:tblCellMar>
        <w:tblLook w:val="04A0" w:firstRow="1" w:lastRow="0" w:firstColumn="1" w:lastColumn="0" w:noHBand="0" w:noVBand="1"/>
      </w:tblPr>
      <w:tblGrid>
        <w:gridCol w:w="4835"/>
        <w:gridCol w:w="1275"/>
        <w:gridCol w:w="1134"/>
        <w:gridCol w:w="1276"/>
        <w:gridCol w:w="160"/>
        <w:gridCol w:w="1276"/>
      </w:tblGrid>
      <w:tr w:rsidR="0010523F" w:rsidRPr="0010523F" w14:paraId="719237A5" w14:textId="77777777" w:rsidTr="00774E7E">
        <w:trPr>
          <w:trHeight w:val="315"/>
        </w:trPr>
        <w:tc>
          <w:tcPr>
            <w:tcW w:w="4835" w:type="dxa"/>
            <w:tcBorders>
              <w:top w:val="nil"/>
              <w:left w:val="nil"/>
              <w:bottom w:val="nil"/>
              <w:right w:val="nil"/>
            </w:tcBorders>
            <w:shd w:val="clear" w:color="auto" w:fill="auto"/>
            <w:noWrap/>
            <w:vAlign w:val="bottom"/>
          </w:tcPr>
          <w:p w14:paraId="1DE8ECD6" w14:textId="77777777" w:rsidR="0010523F" w:rsidRPr="0010523F" w:rsidRDefault="0010523F" w:rsidP="0010523F">
            <w:pPr>
              <w:keepNext/>
              <w:widowControl w:val="0"/>
              <w:tabs>
                <w:tab w:val="decimal" w:pos="4962"/>
                <w:tab w:val="decimal" w:pos="6379"/>
                <w:tab w:val="decimal" w:pos="7797"/>
                <w:tab w:val="decimal" w:pos="9214"/>
                <w:tab w:val="decimal" w:pos="10490"/>
                <w:tab w:val="decimal" w:pos="12049"/>
                <w:tab w:val="decimal" w:pos="13325"/>
                <w:tab w:val="decimal" w:pos="14601"/>
              </w:tabs>
              <w:spacing w:line="220" w:lineRule="exact"/>
              <w:ind w:right="12"/>
              <w:jc w:val="both"/>
              <w:outlineLvl w:val="3"/>
              <w:rPr>
                <w:color w:val="000000"/>
                <w:szCs w:val="20"/>
                <w:u w:val="single"/>
                <w:lang w:val="es-AR" w:eastAsia="es-AR"/>
              </w:rPr>
            </w:pPr>
            <w:r w:rsidRPr="0010523F">
              <w:rPr>
                <w:szCs w:val="20"/>
                <w:lang w:val="es-AR" w:eastAsia="en-US"/>
              </w:rPr>
              <w:t>d) Inversiones no corrientes y corrientes (cont.)</w:t>
            </w:r>
          </w:p>
        </w:tc>
        <w:tc>
          <w:tcPr>
            <w:tcW w:w="1275" w:type="dxa"/>
            <w:tcBorders>
              <w:top w:val="nil"/>
              <w:left w:val="nil"/>
              <w:bottom w:val="nil"/>
              <w:right w:val="nil"/>
            </w:tcBorders>
            <w:shd w:val="clear" w:color="auto" w:fill="auto"/>
            <w:noWrap/>
            <w:vAlign w:val="bottom"/>
          </w:tcPr>
          <w:p w14:paraId="0BD2A09E" w14:textId="77777777" w:rsidR="0010523F" w:rsidRPr="0010523F" w:rsidRDefault="0010523F" w:rsidP="0010523F">
            <w:pPr>
              <w:rPr>
                <w:rFonts w:ascii="Calibri" w:hAnsi="Calibri"/>
                <w:color w:val="000000"/>
                <w:lang w:val="es-AR" w:eastAsia="es-AR"/>
              </w:rPr>
            </w:pPr>
          </w:p>
        </w:tc>
        <w:tc>
          <w:tcPr>
            <w:tcW w:w="1134" w:type="dxa"/>
            <w:tcBorders>
              <w:top w:val="nil"/>
              <w:left w:val="nil"/>
              <w:bottom w:val="nil"/>
              <w:right w:val="nil"/>
            </w:tcBorders>
            <w:shd w:val="clear" w:color="auto" w:fill="auto"/>
            <w:noWrap/>
            <w:vAlign w:val="bottom"/>
          </w:tcPr>
          <w:p w14:paraId="2A687CD4" w14:textId="77777777" w:rsidR="0010523F" w:rsidRPr="0010523F" w:rsidRDefault="0010523F" w:rsidP="0010523F">
            <w:pPr>
              <w:rPr>
                <w:rFonts w:ascii="Calibri" w:hAnsi="Calibri"/>
                <w:color w:val="000000"/>
                <w:lang w:val="es-AR" w:eastAsia="es-AR"/>
              </w:rPr>
            </w:pPr>
          </w:p>
        </w:tc>
        <w:tc>
          <w:tcPr>
            <w:tcW w:w="1276" w:type="dxa"/>
            <w:tcBorders>
              <w:top w:val="nil"/>
              <w:left w:val="nil"/>
              <w:bottom w:val="nil"/>
              <w:right w:val="nil"/>
            </w:tcBorders>
            <w:shd w:val="clear" w:color="auto" w:fill="auto"/>
            <w:noWrap/>
            <w:vAlign w:val="bottom"/>
          </w:tcPr>
          <w:p w14:paraId="0589AA09" w14:textId="77777777" w:rsidR="0010523F" w:rsidRPr="0010523F" w:rsidRDefault="0010523F" w:rsidP="0010523F">
            <w:pPr>
              <w:rPr>
                <w:rFonts w:ascii="Calibri" w:hAnsi="Calibri"/>
                <w:color w:val="000000"/>
                <w:lang w:val="es-AR" w:eastAsia="es-AR"/>
              </w:rPr>
            </w:pPr>
          </w:p>
        </w:tc>
        <w:tc>
          <w:tcPr>
            <w:tcW w:w="160" w:type="dxa"/>
            <w:tcBorders>
              <w:top w:val="nil"/>
              <w:left w:val="nil"/>
              <w:bottom w:val="nil"/>
              <w:right w:val="nil"/>
            </w:tcBorders>
          </w:tcPr>
          <w:p w14:paraId="0D4CC6A8" w14:textId="77777777" w:rsidR="0010523F" w:rsidRPr="0010523F" w:rsidRDefault="0010523F" w:rsidP="0010523F">
            <w:pPr>
              <w:rPr>
                <w:rFonts w:ascii="Calibri" w:hAnsi="Calibri"/>
                <w:color w:val="000000"/>
                <w:lang w:val="es-AR" w:eastAsia="es-AR"/>
              </w:rPr>
            </w:pPr>
          </w:p>
        </w:tc>
        <w:tc>
          <w:tcPr>
            <w:tcW w:w="1276" w:type="dxa"/>
            <w:tcBorders>
              <w:top w:val="nil"/>
              <w:left w:val="nil"/>
              <w:bottom w:val="nil"/>
              <w:right w:val="nil"/>
            </w:tcBorders>
            <w:shd w:val="clear" w:color="auto" w:fill="auto"/>
            <w:noWrap/>
            <w:vAlign w:val="bottom"/>
          </w:tcPr>
          <w:p w14:paraId="556DD506" w14:textId="77777777" w:rsidR="0010523F" w:rsidRPr="0010523F" w:rsidRDefault="0010523F" w:rsidP="0010523F">
            <w:pPr>
              <w:rPr>
                <w:rFonts w:ascii="Calibri" w:hAnsi="Calibri"/>
                <w:color w:val="000000"/>
                <w:lang w:val="es-AR" w:eastAsia="es-AR"/>
              </w:rPr>
            </w:pPr>
          </w:p>
        </w:tc>
      </w:tr>
      <w:tr w:rsidR="0010523F" w:rsidRPr="0010523F" w14:paraId="1F1B6CAC" w14:textId="77777777" w:rsidTr="00774E7E">
        <w:trPr>
          <w:trHeight w:val="170"/>
        </w:trPr>
        <w:tc>
          <w:tcPr>
            <w:tcW w:w="4835" w:type="dxa"/>
            <w:tcBorders>
              <w:top w:val="nil"/>
              <w:left w:val="nil"/>
              <w:bottom w:val="nil"/>
              <w:right w:val="nil"/>
            </w:tcBorders>
            <w:shd w:val="clear" w:color="auto" w:fill="auto"/>
            <w:noWrap/>
            <w:vAlign w:val="bottom"/>
          </w:tcPr>
          <w:p w14:paraId="116DA76F" w14:textId="77777777" w:rsidR="0010523F" w:rsidRPr="0010523F" w:rsidRDefault="0010523F" w:rsidP="0010523F">
            <w:pPr>
              <w:spacing w:line="180" w:lineRule="exact"/>
              <w:rPr>
                <w:rFonts w:ascii="Calibri" w:hAnsi="Calibri"/>
                <w:color w:val="000000"/>
                <w:u w:val="single"/>
                <w:lang w:val="es-AR" w:eastAsia="es-AR"/>
              </w:rPr>
            </w:pPr>
          </w:p>
        </w:tc>
        <w:tc>
          <w:tcPr>
            <w:tcW w:w="1275" w:type="dxa"/>
            <w:tcBorders>
              <w:top w:val="nil"/>
              <w:left w:val="nil"/>
              <w:bottom w:val="nil"/>
              <w:right w:val="nil"/>
            </w:tcBorders>
            <w:shd w:val="clear" w:color="auto" w:fill="auto"/>
            <w:noWrap/>
            <w:vAlign w:val="bottom"/>
          </w:tcPr>
          <w:p w14:paraId="36BD15C8" w14:textId="77777777" w:rsidR="0010523F" w:rsidRPr="0010523F" w:rsidRDefault="0010523F" w:rsidP="0010523F">
            <w:pPr>
              <w:spacing w:line="180" w:lineRule="exact"/>
              <w:rPr>
                <w:rFonts w:ascii="Calibri" w:hAnsi="Calibri"/>
                <w:color w:val="000000"/>
                <w:u w:val="single"/>
                <w:lang w:val="es-AR" w:eastAsia="es-AR"/>
              </w:rPr>
            </w:pPr>
          </w:p>
        </w:tc>
        <w:tc>
          <w:tcPr>
            <w:tcW w:w="1134" w:type="dxa"/>
            <w:tcBorders>
              <w:top w:val="nil"/>
              <w:left w:val="nil"/>
              <w:bottom w:val="nil"/>
              <w:right w:val="nil"/>
            </w:tcBorders>
            <w:shd w:val="clear" w:color="auto" w:fill="auto"/>
            <w:noWrap/>
            <w:vAlign w:val="bottom"/>
          </w:tcPr>
          <w:p w14:paraId="0EF965F0" w14:textId="77777777" w:rsidR="0010523F" w:rsidRPr="0010523F" w:rsidRDefault="0010523F" w:rsidP="0010523F">
            <w:pPr>
              <w:spacing w:line="180" w:lineRule="exact"/>
              <w:rPr>
                <w:rFonts w:ascii="Calibri" w:hAnsi="Calibri"/>
                <w:color w:val="000000"/>
                <w:u w:val="single"/>
                <w:lang w:val="es-AR" w:eastAsia="es-AR"/>
              </w:rPr>
            </w:pPr>
          </w:p>
        </w:tc>
        <w:tc>
          <w:tcPr>
            <w:tcW w:w="1276" w:type="dxa"/>
            <w:tcBorders>
              <w:top w:val="nil"/>
              <w:left w:val="nil"/>
              <w:bottom w:val="nil"/>
              <w:right w:val="nil"/>
            </w:tcBorders>
            <w:shd w:val="clear" w:color="auto" w:fill="auto"/>
            <w:noWrap/>
            <w:vAlign w:val="bottom"/>
          </w:tcPr>
          <w:p w14:paraId="10C85838" w14:textId="77777777" w:rsidR="0010523F" w:rsidRPr="0010523F" w:rsidRDefault="0010523F" w:rsidP="0010523F">
            <w:pPr>
              <w:spacing w:line="180" w:lineRule="exact"/>
              <w:rPr>
                <w:rFonts w:ascii="Calibri" w:hAnsi="Calibri"/>
                <w:color w:val="000000"/>
                <w:u w:val="single"/>
                <w:lang w:val="es-AR" w:eastAsia="es-AR"/>
              </w:rPr>
            </w:pPr>
          </w:p>
        </w:tc>
        <w:tc>
          <w:tcPr>
            <w:tcW w:w="160" w:type="dxa"/>
            <w:tcBorders>
              <w:top w:val="nil"/>
              <w:left w:val="nil"/>
              <w:bottom w:val="nil"/>
              <w:right w:val="nil"/>
            </w:tcBorders>
          </w:tcPr>
          <w:p w14:paraId="70ED2060" w14:textId="77777777" w:rsidR="0010523F" w:rsidRPr="0010523F" w:rsidRDefault="0010523F" w:rsidP="0010523F">
            <w:pPr>
              <w:spacing w:line="180" w:lineRule="exact"/>
              <w:rPr>
                <w:rFonts w:ascii="Calibri" w:hAnsi="Calibri"/>
                <w:color w:val="000000"/>
                <w:u w:val="single"/>
                <w:lang w:val="es-AR" w:eastAsia="es-AR"/>
              </w:rPr>
            </w:pPr>
          </w:p>
        </w:tc>
        <w:tc>
          <w:tcPr>
            <w:tcW w:w="1276" w:type="dxa"/>
            <w:tcBorders>
              <w:top w:val="nil"/>
              <w:left w:val="nil"/>
              <w:bottom w:val="nil"/>
              <w:right w:val="nil"/>
            </w:tcBorders>
            <w:shd w:val="clear" w:color="auto" w:fill="auto"/>
            <w:noWrap/>
            <w:vAlign w:val="bottom"/>
          </w:tcPr>
          <w:p w14:paraId="54000061" w14:textId="77777777" w:rsidR="0010523F" w:rsidRPr="0010523F" w:rsidRDefault="0010523F" w:rsidP="0010523F">
            <w:pPr>
              <w:spacing w:line="180" w:lineRule="exact"/>
              <w:rPr>
                <w:rFonts w:ascii="Calibri" w:hAnsi="Calibri"/>
                <w:color w:val="000000"/>
                <w:u w:val="single"/>
                <w:lang w:val="es-AR" w:eastAsia="es-AR"/>
              </w:rPr>
            </w:pPr>
          </w:p>
        </w:tc>
      </w:tr>
      <w:tr w:rsidR="0010523F" w:rsidRPr="0010523F" w14:paraId="2A8617C7" w14:textId="77777777" w:rsidTr="00774E7E">
        <w:trPr>
          <w:trHeight w:val="315"/>
        </w:trPr>
        <w:tc>
          <w:tcPr>
            <w:tcW w:w="4835" w:type="dxa"/>
            <w:tcBorders>
              <w:top w:val="nil"/>
              <w:left w:val="nil"/>
              <w:bottom w:val="nil"/>
              <w:right w:val="nil"/>
            </w:tcBorders>
            <w:shd w:val="clear" w:color="auto" w:fill="auto"/>
            <w:noWrap/>
            <w:vAlign w:val="bottom"/>
            <w:hideMark/>
          </w:tcPr>
          <w:p w14:paraId="7A24B761" w14:textId="77777777" w:rsidR="0010523F" w:rsidRPr="0010523F" w:rsidRDefault="0010523F" w:rsidP="0010523F">
            <w:pPr>
              <w:rPr>
                <w:color w:val="000000"/>
                <w:u w:val="single"/>
                <w:lang w:val="es-AR" w:eastAsia="es-AR"/>
              </w:rPr>
            </w:pPr>
            <w:r w:rsidRPr="0010523F">
              <w:rPr>
                <w:color w:val="000000"/>
                <w:u w:val="single"/>
                <w:lang w:val="es-AR" w:eastAsia="es-AR"/>
              </w:rPr>
              <w:t>Inversiones corrientes</w:t>
            </w:r>
          </w:p>
        </w:tc>
        <w:tc>
          <w:tcPr>
            <w:tcW w:w="1275" w:type="dxa"/>
            <w:tcBorders>
              <w:top w:val="nil"/>
              <w:left w:val="nil"/>
              <w:bottom w:val="nil"/>
              <w:right w:val="nil"/>
            </w:tcBorders>
            <w:shd w:val="clear" w:color="auto" w:fill="auto"/>
            <w:noWrap/>
            <w:vAlign w:val="bottom"/>
            <w:hideMark/>
          </w:tcPr>
          <w:p w14:paraId="6D9C0D94" w14:textId="77777777" w:rsidR="0010523F" w:rsidRPr="0010523F" w:rsidRDefault="0010523F" w:rsidP="0010523F">
            <w:pPr>
              <w:rPr>
                <w:rFonts w:ascii="Calibri" w:hAnsi="Calibri"/>
                <w:color w:val="000000"/>
                <w:lang w:val="es-AR" w:eastAsia="es-AR"/>
              </w:rPr>
            </w:pPr>
          </w:p>
        </w:tc>
        <w:tc>
          <w:tcPr>
            <w:tcW w:w="1134" w:type="dxa"/>
            <w:tcBorders>
              <w:top w:val="nil"/>
              <w:left w:val="nil"/>
              <w:bottom w:val="nil"/>
              <w:right w:val="nil"/>
            </w:tcBorders>
            <w:shd w:val="clear" w:color="auto" w:fill="auto"/>
            <w:noWrap/>
            <w:vAlign w:val="bottom"/>
            <w:hideMark/>
          </w:tcPr>
          <w:p w14:paraId="16C1E506" w14:textId="77777777" w:rsidR="0010523F" w:rsidRPr="0010523F" w:rsidRDefault="0010523F" w:rsidP="0010523F">
            <w:pPr>
              <w:rPr>
                <w:rFonts w:ascii="Calibri" w:hAnsi="Calibri"/>
                <w:color w:val="000000"/>
                <w:lang w:val="es-AR" w:eastAsia="es-AR"/>
              </w:rPr>
            </w:pPr>
          </w:p>
        </w:tc>
        <w:tc>
          <w:tcPr>
            <w:tcW w:w="1276" w:type="dxa"/>
            <w:tcBorders>
              <w:top w:val="nil"/>
              <w:left w:val="nil"/>
              <w:bottom w:val="nil"/>
              <w:right w:val="nil"/>
            </w:tcBorders>
            <w:shd w:val="clear" w:color="auto" w:fill="auto"/>
            <w:noWrap/>
            <w:vAlign w:val="bottom"/>
            <w:hideMark/>
          </w:tcPr>
          <w:p w14:paraId="277BCD34" w14:textId="77777777" w:rsidR="0010523F" w:rsidRPr="0010523F" w:rsidRDefault="0010523F" w:rsidP="0010523F">
            <w:pPr>
              <w:rPr>
                <w:rFonts w:ascii="Calibri" w:hAnsi="Calibri"/>
                <w:color w:val="000000"/>
                <w:lang w:val="es-AR" w:eastAsia="es-AR"/>
              </w:rPr>
            </w:pPr>
          </w:p>
        </w:tc>
        <w:tc>
          <w:tcPr>
            <w:tcW w:w="160" w:type="dxa"/>
            <w:tcBorders>
              <w:top w:val="nil"/>
              <w:left w:val="nil"/>
              <w:bottom w:val="nil"/>
              <w:right w:val="nil"/>
            </w:tcBorders>
          </w:tcPr>
          <w:p w14:paraId="537C1C4E" w14:textId="77777777" w:rsidR="0010523F" w:rsidRPr="0010523F" w:rsidRDefault="0010523F" w:rsidP="0010523F">
            <w:pPr>
              <w:rPr>
                <w:rFonts w:ascii="Calibri" w:hAnsi="Calibri"/>
                <w:color w:val="000000"/>
                <w:lang w:val="es-AR" w:eastAsia="es-AR"/>
              </w:rPr>
            </w:pPr>
          </w:p>
        </w:tc>
        <w:tc>
          <w:tcPr>
            <w:tcW w:w="1276" w:type="dxa"/>
            <w:tcBorders>
              <w:top w:val="nil"/>
              <w:left w:val="nil"/>
              <w:bottom w:val="nil"/>
              <w:right w:val="nil"/>
            </w:tcBorders>
            <w:shd w:val="clear" w:color="auto" w:fill="auto"/>
            <w:noWrap/>
            <w:vAlign w:val="bottom"/>
            <w:hideMark/>
          </w:tcPr>
          <w:p w14:paraId="5B56C310" w14:textId="77777777" w:rsidR="0010523F" w:rsidRPr="0010523F" w:rsidRDefault="0010523F" w:rsidP="0010523F">
            <w:pPr>
              <w:rPr>
                <w:rFonts w:ascii="Calibri" w:hAnsi="Calibri"/>
                <w:color w:val="000000"/>
                <w:lang w:val="es-AR" w:eastAsia="es-AR"/>
              </w:rPr>
            </w:pPr>
          </w:p>
        </w:tc>
      </w:tr>
      <w:tr w:rsidR="0010523F" w:rsidRPr="0010523F" w14:paraId="305B93D3" w14:textId="77777777" w:rsidTr="00774E7E">
        <w:trPr>
          <w:trHeight w:val="170"/>
        </w:trPr>
        <w:tc>
          <w:tcPr>
            <w:tcW w:w="4835" w:type="dxa"/>
            <w:tcBorders>
              <w:top w:val="nil"/>
              <w:left w:val="nil"/>
              <w:bottom w:val="nil"/>
              <w:right w:val="nil"/>
            </w:tcBorders>
            <w:shd w:val="clear" w:color="auto" w:fill="auto"/>
            <w:noWrap/>
            <w:vAlign w:val="bottom"/>
            <w:hideMark/>
          </w:tcPr>
          <w:p w14:paraId="754AF466" w14:textId="77777777" w:rsidR="0010523F" w:rsidRPr="0010523F" w:rsidRDefault="0010523F" w:rsidP="0010523F">
            <w:pPr>
              <w:spacing w:line="180" w:lineRule="exact"/>
              <w:rPr>
                <w:rFonts w:ascii="Calibri" w:hAnsi="Calibri"/>
                <w:color w:val="000000"/>
                <w:u w:val="single"/>
                <w:lang w:val="es-AR" w:eastAsia="es-AR"/>
              </w:rPr>
            </w:pPr>
          </w:p>
        </w:tc>
        <w:tc>
          <w:tcPr>
            <w:tcW w:w="1275" w:type="dxa"/>
            <w:tcBorders>
              <w:top w:val="nil"/>
              <w:left w:val="nil"/>
              <w:bottom w:val="nil"/>
              <w:right w:val="nil"/>
            </w:tcBorders>
            <w:shd w:val="clear" w:color="auto" w:fill="auto"/>
            <w:noWrap/>
            <w:vAlign w:val="bottom"/>
            <w:hideMark/>
          </w:tcPr>
          <w:p w14:paraId="578ED55B" w14:textId="77777777" w:rsidR="0010523F" w:rsidRPr="0010523F" w:rsidRDefault="0010523F" w:rsidP="0010523F">
            <w:pPr>
              <w:spacing w:line="180" w:lineRule="exact"/>
              <w:rPr>
                <w:rFonts w:ascii="Calibri" w:hAnsi="Calibri"/>
                <w:color w:val="000000"/>
                <w:lang w:val="es-AR" w:eastAsia="es-AR"/>
              </w:rPr>
            </w:pPr>
          </w:p>
        </w:tc>
        <w:tc>
          <w:tcPr>
            <w:tcW w:w="1134" w:type="dxa"/>
            <w:tcBorders>
              <w:top w:val="nil"/>
              <w:left w:val="nil"/>
              <w:bottom w:val="nil"/>
              <w:right w:val="nil"/>
            </w:tcBorders>
            <w:shd w:val="clear" w:color="auto" w:fill="auto"/>
            <w:noWrap/>
            <w:vAlign w:val="bottom"/>
            <w:hideMark/>
          </w:tcPr>
          <w:p w14:paraId="1D9BD7E8" w14:textId="77777777" w:rsidR="0010523F" w:rsidRPr="0010523F" w:rsidRDefault="0010523F" w:rsidP="0010523F">
            <w:pPr>
              <w:spacing w:line="180" w:lineRule="exact"/>
              <w:rPr>
                <w:rFonts w:ascii="Calibri" w:hAnsi="Calibri"/>
                <w:color w:val="000000"/>
                <w:lang w:val="es-AR" w:eastAsia="es-AR"/>
              </w:rPr>
            </w:pPr>
          </w:p>
        </w:tc>
        <w:tc>
          <w:tcPr>
            <w:tcW w:w="1276" w:type="dxa"/>
            <w:tcBorders>
              <w:top w:val="nil"/>
              <w:left w:val="nil"/>
              <w:bottom w:val="nil"/>
              <w:right w:val="nil"/>
            </w:tcBorders>
            <w:shd w:val="clear" w:color="auto" w:fill="auto"/>
            <w:noWrap/>
            <w:vAlign w:val="bottom"/>
            <w:hideMark/>
          </w:tcPr>
          <w:p w14:paraId="7EB69C92" w14:textId="77777777" w:rsidR="0010523F" w:rsidRPr="0010523F" w:rsidRDefault="0010523F" w:rsidP="0010523F">
            <w:pPr>
              <w:spacing w:line="180" w:lineRule="exact"/>
              <w:rPr>
                <w:rFonts w:ascii="Calibri" w:hAnsi="Calibri"/>
                <w:color w:val="000000"/>
                <w:lang w:val="es-AR" w:eastAsia="es-AR"/>
              </w:rPr>
            </w:pPr>
          </w:p>
        </w:tc>
        <w:tc>
          <w:tcPr>
            <w:tcW w:w="160" w:type="dxa"/>
            <w:tcBorders>
              <w:top w:val="nil"/>
              <w:left w:val="nil"/>
              <w:bottom w:val="nil"/>
              <w:right w:val="nil"/>
            </w:tcBorders>
          </w:tcPr>
          <w:p w14:paraId="3EA17D35" w14:textId="77777777" w:rsidR="0010523F" w:rsidRPr="0010523F" w:rsidRDefault="0010523F" w:rsidP="0010523F">
            <w:pPr>
              <w:spacing w:line="180" w:lineRule="exact"/>
              <w:rPr>
                <w:rFonts w:ascii="Calibri" w:hAnsi="Calibri"/>
                <w:color w:val="000000"/>
                <w:lang w:val="es-AR" w:eastAsia="es-AR"/>
              </w:rPr>
            </w:pPr>
          </w:p>
        </w:tc>
        <w:tc>
          <w:tcPr>
            <w:tcW w:w="1276" w:type="dxa"/>
            <w:tcBorders>
              <w:top w:val="nil"/>
              <w:left w:val="nil"/>
              <w:bottom w:val="nil"/>
              <w:right w:val="nil"/>
            </w:tcBorders>
            <w:shd w:val="clear" w:color="auto" w:fill="auto"/>
            <w:noWrap/>
            <w:vAlign w:val="bottom"/>
            <w:hideMark/>
          </w:tcPr>
          <w:p w14:paraId="544D30F2" w14:textId="77777777" w:rsidR="0010523F" w:rsidRPr="0010523F" w:rsidRDefault="0010523F" w:rsidP="0010523F">
            <w:pPr>
              <w:spacing w:line="180" w:lineRule="exact"/>
              <w:rPr>
                <w:rFonts w:ascii="Calibri" w:hAnsi="Calibri"/>
                <w:color w:val="000000"/>
                <w:lang w:val="es-AR" w:eastAsia="es-AR"/>
              </w:rPr>
            </w:pPr>
          </w:p>
        </w:tc>
      </w:tr>
      <w:tr w:rsidR="0010523F" w:rsidRPr="0010523F" w14:paraId="3A9FD527" w14:textId="77777777" w:rsidTr="00774E7E">
        <w:trPr>
          <w:trHeight w:val="315"/>
        </w:trPr>
        <w:tc>
          <w:tcPr>
            <w:tcW w:w="8520" w:type="dxa"/>
            <w:gridSpan w:val="4"/>
            <w:tcBorders>
              <w:top w:val="nil"/>
              <w:left w:val="nil"/>
              <w:bottom w:val="nil"/>
              <w:right w:val="nil"/>
            </w:tcBorders>
            <w:shd w:val="clear" w:color="auto" w:fill="auto"/>
            <w:noWrap/>
            <w:vAlign w:val="bottom"/>
            <w:hideMark/>
          </w:tcPr>
          <w:p w14:paraId="4442CC4F" w14:textId="77777777" w:rsidR="0010523F" w:rsidRPr="0010523F" w:rsidRDefault="0010523F" w:rsidP="0010523F">
            <w:pPr>
              <w:rPr>
                <w:color w:val="000000"/>
                <w:lang w:val="es-AR" w:eastAsia="es-AR"/>
              </w:rPr>
            </w:pPr>
            <w:r w:rsidRPr="0010523F">
              <w:rPr>
                <w:color w:val="000000"/>
                <w:u w:val="single"/>
                <w:lang w:val="es-AR" w:eastAsia="es-AR"/>
              </w:rPr>
              <w:t>Inversiones a costo amortizado</w:t>
            </w:r>
          </w:p>
        </w:tc>
        <w:tc>
          <w:tcPr>
            <w:tcW w:w="160" w:type="dxa"/>
            <w:tcBorders>
              <w:top w:val="nil"/>
              <w:left w:val="nil"/>
              <w:bottom w:val="nil"/>
              <w:right w:val="nil"/>
            </w:tcBorders>
          </w:tcPr>
          <w:p w14:paraId="51A4D78D" w14:textId="77777777" w:rsidR="0010523F" w:rsidRPr="0010523F" w:rsidRDefault="0010523F" w:rsidP="0010523F">
            <w:pPr>
              <w:rPr>
                <w:color w:val="000000"/>
                <w:lang w:val="es-AR" w:eastAsia="es-AR"/>
              </w:rPr>
            </w:pPr>
          </w:p>
        </w:tc>
        <w:tc>
          <w:tcPr>
            <w:tcW w:w="1276" w:type="dxa"/>
            <w:tcBorders>
              <w:top w:val="nil"/>
              <w:left w:val="nil"/>
              <w:bottom w:val="nil"/>
              <w:right w:val="nil"/>
            </w:tcBorders>
            <w:shd w:val="clear" w:color="auto" w:fill="auto"/>
            <w:noWrap/>
            <w:vAlign w:val="bottom"/>
            <w:hideMark/>
          </w:tcPr>
          <w:p w14:paraId="3BEE28CB" w14:textId="77777777" w:rsidR="0010523F" w:rsidRPr="0010523F" w:rsidRDefault="0010523F" w:rsidP="0010523F">
            <w:pPr>
              <w:rPr>
                <w:color w:val="000000"/>
                <w:lang w:val="es-AR" w:eastAsia="es-AR"/>
              </w:rPr>
            </w:pPr>
          </w:p>
        </w:tc>
      </w:tr>
      <w:tr w:rsidR="0010523F" w:rsidRPr="0010523F" w14:paraId="67AF6DD0" w14:textId="77777777" w:rsidTr="00774E7E">
        <w:trPr>
          <w:trHeight w:val="170"/>
        </w:trPr>
        <w:tc>
          <w:tcPr>
            <w:tcW w:w="4835" w:type="dxa"/>
            <w:tcBorders>
              <w:top w:val="nil"/>
              <w:left w:val="nil"/>
              <w:right w:val="nil"/>
            </w:tcBorders>
            <w:shd w:val="clear" w:color="auto" w:fill="auto"/>
            <w:noWrap/>
            <w:vAlign w:val="center"/>
            <w:hideMark/>
          </w:tcPr>
          <w:p w14:paraId="20C1181B" w14:textId="77777777" w:rsidR="0010523F" w:rsidRPr="0010523F" w:rsidRDefault="0010523F" w:rsidP="0010523F">
            <w:pPr>
              <w:spacing w:line="180" w:lineRule="exact"/>
              <w:jc w:val="center"/>
              <w:rPr>
                <w:color w:val="000000"/>
                <w:lang w:val="es-AR" w:eastAsia="es-AR"/>
              </w:rPr>
            </w:pPr>
          </w:p>
        </w:tc>
        <w:tc>
          <w:tcPr>
            <w:tcW w:w="1275" w:type="dxa"/>
            <w:tcBorders>
              <w:top w:val="nil"/>
              <w:left w:val="nil"/>
              <w:right w:val="nil"/>
            </w:tcBorders>
            <w:shd w:val="clear" w:color="auto" w:fill="auto"/>
            <w:noWrap/>
            <w:vAlign w:val="center"/>
            <w:hideMark/>
          </w:tcPr>
          <w:p w14:paraId="2AC67C9B" w14:textId="77777777" w:rsidR="0010523F" w:rsidRPr="0010523F" w:rsidRDefault="0010523F" w:rsidP="0010523F">
            <w:pPr>
              <w:spacing w:line="180" w:lineRule="exact"/>
              <w:jc w:val="center"/>
              <w:rPr>
                <w:color w:val="000000"/>
                <w:lang w:val="es-AR" w:eastAsia="es-AR"/>
              </w:rPr>
            </w:pPr>
          </w:p>
        </w:tc>
        <w:tc>
          <w:tcPr>
            <w:tcW w:w="1134" w:type="dxa"/>
            <w:tcBorders>
              <w:top w:val="nil"/>
              <w:left w:val="nil"/>
              <w:right w:val="nil"/>
            </w:tcBorders>
            <w:shd w:val="clear" w:color="auto" w:fill="auto"/>
            <w:noWrap/>
            <w:vAlign w:val="center"/>
            <w:hideMark/>
          </w:tcPr>
          <w:p w14:paraId="1BA71403" w14:textId="77777777" w:rsidR="0010523F" w:rsidRPr="0010523F" w:rsidRDefault="0010523F" w:rsidP="0010523F">
            <w:pPr>
              <w:spacing w:line="180" w:lineRule="exact"/>
              <w:jc w:val="center"/>
              <w:rPr>
                <w:color w:val="000000"/>
                <w:lang w:val="es-AR" w:eastAsia="es-AR"/>
              </w:rPr>
            </w:pPr>
          </w:p>
        </w:tc>
        <w:tc>
          <w:tcPr>
            <w:tcW w:w="1276" w:type="dxa"/>
            <w:tcBorders>
              <w:top w:val="nil"/>
              <w:left w:val="nil"/>
              <w:right w:val="nil"/>
            </w:tcBorders>
            <w:shd w:val="clear" w:color="auto" w:fill="auto"/>
            <w:noWrap/>
            <w:vAlign w:val="center"/>
            <w:hideMark/>
          </w:tcPr>
          <w:p w14:paraId="73B7786D" w14:textId="77777777" w:rsidR="0010523F" w:rsidRPr="0010523F" w:rsidRDefault="0010523F" w:rsidP="0010523F">
            <w:pPr>
              <w:spacing w:line="180" w:lineRule="exact"/>
              <w:jc w:val="center"/>
              <w:rPr>
                <w:color w:val="000000"/>
                <w:lang w:val="es-AR" w:eastAsia="es-AR"/>
              </w:rPr>
            </w:pPr>
          </w:p>
        </w:tc>
        <w:tc>
          <w:tcPr>
            <w:tcW w:w="160" w:type="dxa"/>
            <w:tcBorders>
              <w:top w:val="nil"/>
              <w:left w:val="nil"/>
              <w:right w:val="nil"/>
            </w:tcBorders>
          </w:tcPr>
          <w:p w14:paraId="6093D66C" w14:textId="77777777" w:rsidR="0010523F" w:rsidRPr="0010523F" w:rsidRDefault="0010523F" w:rsidP="0010523F">
            <w:pPr>
              <w:spacing w:line="180" w:lineRule="exact"/>
              <w:rPr>
                <w:rFonts w:ascii="Calibri" w:hAnsi="Calibri"/>
                <w:color w:val="000000"/>
                <w:lang w:val="es-AR" w:eastAsia="es-AR"/>
              </w:rPr>
            </w:pPr>
          </w:p>
        </w:tc>
        <w:tc>
          <w:tcPr>
            <w:tcW w:w="1276" w:type="dxa"/>
            <w:tcBorders>
              <w:top w:val="nil"/>
              <w:left w:val="nil"/>
              <w:right w:val="nil"/>
            </w:tcBorders>
            <w:shd w:val="clear" w:color="auto" w:fill="auto"/>
            <w:noWrap/>
            <w:vAlign w:val="bottom"/>
            <w:hideMark/>
          </w:tcPr>
          <w:p w14:paraId="2295CB92" w14:textId="77777777" w:rsidR="0010523F" w:rsidRPr="0010523F" w:rsidRDefault="0010523F" w:rsidP="0010523F">
            <w:pPr>
              <w:spacing w:line="180" w:lineRule="exact"/>
              <w:rPr>
                <w:rFonts w:ascii="Calibri" w:hAnsi="Calibri"/>
                <w:color w:val="000000"/>
                <w:lang w:val="es-AR" w:eastAsia="es-AR"/>
              </w:rPr>
            </w:pPr>
          </w:p>
        </w:tc>
      </w:tr>
      <w:tr w:rsidR="0010523F" w:rsidRPr="0010523F" w14:paraId="4698BB1D" w14:textId="77777777" w:rsidTr="00774E7E">
        <w:trPr>
          <w:trHeight w:val="315"/>
        </w:trPr>
        <w:tc>
          <w:tcPr>
            <w:tcW w:w="4835" w:type="dxa"/>
            <w:tcBorders>
              <w:left w:val="nil"/>
              <w:right w:val="nil"/>
            </w:tcBorders>
            <w:shd w:val="clear" w:color="auto" w:fill="auto"/>
            <w:noWrap/>
            <w:vAlign w:val="center"/>
            <w:hideMark/>
          </w:tcPr>
          <w:p w14:paraId="5014B33B" w14:textId="77777777" w:rsidR="0010523F" w:rsidRPr="0010523F" w:rsidRDefault="0010523F" w:rsidP="0010523F">
            <w:pPr>
              <w:rPr>
                <w:color w:val="000000"/>
                <w:u w:val="single"/>
                <w:lang w:val="es-AR" w:eastAsia="es-AR"/>
              </w:rPr>
            </w:pPr>
          </w:p>
        </w:tc>
        <w:tc>
          <w:tcPr>
            <w:tcW w:w="1275" w:type="dxa"/>
            <w:tcBorders>
              <w:left w:val="nil"/>
              <w:right w:val="nil"/>
            </w:tcBorders>
            <w:shd w:val="clear" w:color="auto" w:fill="auto"/>
            <w:vAlign w:val="center"/>
          </w:tcPr>
          <w:p w14:paraId="452CC323" w14:textId="77777777" w:rsidR="0010523F" w:rsidRPr="0010523F" w:rsidRDefault="0010523F" w:rsidP="0010523F">
            <w:pPr>
              <w:jc w:val="center"/>
              <w:rPr>
                <w:color w:val="000000"/>
                <w:lang w:val="es-AR" w:eastAsia="es-AR"/>
              </w:rPr>
            </w:pPr>
          </w:p>
        </w:tc>
        <w:tc>
          <w:tcPr>
            <w:tcW w:w="1134" w:type="dxa"/>
            <w:tcBorders>
              <w:left w:val="nil"/>
              <w:right w:val="nil"/>
            </w:tcBorders>
            <w:shd w:val="clear" w:color="auto" w:fill="auto"/>
            <w:vAlign w:val="center"/>
          </w:tcPr>
          <w:p w14:paraId="6146F459" w14:textId="77777777" w:rsidR="0010523F" w:rsidRPr="0010523F" w:rsidRDefault="0010523F" w:rsidP="0010523F">
            <w:pPr>
              <w:jc w:val="center"/>
              <w:rPr>
                <w:color w:val="000000"/>
                <w:lang w:val="es-AR" w:eastAsia="es-AR"/>
              </w:rPr>
            </w:pPr>
          </w:p>
        </w:tc>
        <w:tc>
          <w:tcPr>
            <w:tcW w:w="1276" w:type="dxa"/>
            <w:tcBorders>
              <w:left w:val="nil"/>
              <w:bottom w:val="single" w:sz="4" w:space="0" w:color="auto"/>
              <w:right w:val="nil"/>
            </w:tcBorders>
            <w:shd w:val="clear" w:color="auto" w:fill="auto"/>
            <w:noWrap/>
            <w:vAlign w:val="bottom"/>
            <w:hideMark/>
          </w:tcPr>
          <w:p w14:paraId="7A18E3FA" w14:textId="77777777" w:rsidR="0010523F" w:rsidRPr="0010523F" w:rsidRDefault="0010523F" w:rsidP="0010523F">
            <w:pPr>
              <w:jc w:val="center"/>
              <w:rPr>
                <w:color w:val="000000"/>
                <w:lang w:val="es-AR" w:eastAsia="es-AR"/>
              </w:rPr>
            </w:pPr>
            <w:r w:rsidRPr="0010523F">
              <w:rPr>
                <w:color w:val="000000"/>
                <w:lang w:val="es-AR" w:eastAsia="es-AR"/>
              </w:rPr>
              <w:t>30/09/2019</w:t>
            </w:r>
          </w:p>
        </w:tc>
        <w:tc>
          <w:tcPr>
            <w:tcW w:w="160" w:type="dxa"/>
            <w:tcBorders>
              <w:left w:val="nil"/>
              <w:right w:val="nil"/>
            </w:tcBorders>
            <w:vAlign w:val="bottom"/>
          </w:tcPr>
          <w:p w14:paraId="27EEF25F" w14:textId="77777777" w:rsidR="0010523F" w:rsidRPr="0010523F" w:rsidRDefault="0010523F" w:rsidP="0010523F">
            <w:pPr>
              <w:jc w:val="center"/>
              <w:rPr>
                <w:color w:val="000000"/>
                <w:lang w:val="es-AR" w:eastAsia="es-AR"/>
              </w:rPr>
            </w:pPr>
          </w:p>
        </w:tc>
        <w:tc>
          <w:tcPr>
            <w:tcW w:w="1276" w:type="dxa"/>
            <w:tcBorders>
              <w:left w:val="nil"/>
              <w:bottom w:val="single" w:sz="4" w:space="0" w:color="auto"/>
              <w:right w:val="nil"/>
            </w:tcBorders>
            <w:shd w:val="clear" w:color="auto" w:fill="auto"/>
            <w:noWrap/>
            <w:vAlign w:val="bottom"/>
            <w:hideMark/>
          </w:tcPr>
          <w:p w14:paraId="14D4E66E" w14:textId="77777777" w:rsidR="0010523F" w:rsidRPr="0010523F" w:rsidRDefault="0010523F" w:rsidP="0010523F">
            <w:pPr>
              <w:jc w:val="center"/>
              <w:rPr>
                <w:color w:val="000000"/>
                <w:lang w:val="es-AR" w:eastAsia="es-AR"/>
              </w:rPr>
            </w:pPr>
            <w:r w:rsidRPr="0010523F">
              <w:rPr>
                <w:color w:val="000000"/>
                <w:lang w:val="es-AR" w:eastAsia="es-AR"/>
              </w:rPr>
              <w:t>31/12/2018</w:t>
            </w:r>
          </w:p>
        </w:tc>
      </w:tr>
      <w:tr w:rsidR="0010523F" w:rsidRPr="0010523F" w14:paraId="654905B7" w14:textId="77777777" w:rsidTr="00774E7E">
        <w:trPr>
          <w:trHeight w:val="170"/>
        </w:trPr>
        <w:tc>
          <w:tcPr>
            <w:tcW w:w="4835" w:type="dxa"/>
            <w:tcBorders>
              <w:left w:val="nil"/>
              <w:bottom w:val="nil"/>
              <w:right w:val="nil"/>
            </w:tcBorders>
            <w:shd w:val="clear" w:color="auto" w:fill="auto"/>
            <w:noWrap/>
            <w:vAlign w:val="bottom"/>
            <w:hideMark/>
          </w:tcPr>
          <w:p w14:paraId="6C4F275E" w14:textId="77777777" w:rsidR="0010523F" w:rsidRPr="0010523F" w:rsidRDefault="0010523F" w:rsidP="0010523F">
            <w:pPr>
              <w:spacing w:line="180" w:lineRule="exact"/>
              <w:rPr>
                <w:i/>
                <w:iCs/>
                <w:color w:val="000000"/>
                <w:lang w:val="es-AR" w:eastAsia="es-AR"/>
              </w:rPr>
            </w:pPr>
          </w:p>
        </w:tc>
        <w:tc>
          <w:tcPr>
            <w:tcW w:w="1275" w:type="dxa"/>
            <w:tcBorders>
              <w:left w:val="nil"/>
              <w:bottom w:val="nil"/>
              <w:right w:val="nil"/>
            </w:tcBorders>
            <w:shd w:val="clear" w:color="auto" w:fill="auto"/>
            <w:noWrap/>
            <w:vAlign w:val="bottom"/>
            <w:hideMark/>
          </w:tcPr>
          <w:p w14:paraId="33A62734" w14:textId="77777777" w:rsidR="0010523F" w:rsidRPr="0010523F" w:rsidRDefault="0010523F" w:rsidP="0010523F">
            <w:pPr>
              <w:spacing w:line="180" w:lineRule="exact"/>
              <w:rPr>
                <w:color w:val="000000"/>
                <w:lang w:val="es-AR" w:eastAsia="es-AR"/>
              </w:rPr>
            </w:pPr>
          </w:p>
        </w:tc>
        <w:tc>
          <w:tcPr>
            <w:tcW w:w="1134" w:type="dxa"/>
            <w:tcBorders>
              <w:left w:val="nil"/>
              <w:bottom w:val="nil"/>
              <w:right w:val="nil"/>
            </w:tcBorders>
            <w:shd w:val="clear" w:color="auto" w:fill="auto"/>
            <w:noWrap/>
            <w:vAlign w:val="bottom"/>
            <w:hideMark/>
          </w:tcPr>
          <w:p w14:paraId="083AB8A8" w14:textId="77777777" w:rsidR="0010523F" w:rsidRPr="0010523F" w:rsidRDefault="0010523F" w:rsidP="0010523F">
            <w:pPr>
              <w:spacing w:line="180" w:lineRule="exact"/>
              <w:rPr>
                <w:color w:val="000000"/>
                <w:lang w:val="es-AR" w:eastAsia="es-AR"/>
              </w:rPr>
            </w:pPr>
          </w:p>
        </w:tc>
        <w:tc>
          <w:tcPr>
            <w:tcW w:w="1276" w:type="dxa"/>
            <w:tcBorders>
              <w:top w:val="single" w:sz="4" w:space="0" w:color="auto"/>
              <w:left w:val="nil"/>
              <w:bottom w:val="nil"/>
              <w:right w:val="nil"/>
            </w:tcBorders>
            <w:shd w:val="clear" w:color="auto" w:fill="auto"/>
            <w:noWrap/>
            <w:vAlign w:val="bottom"/>
            <w:hideMark/>
          </w:tcPr>
          <w:p w14:paraId="4FCAB270" w14:textId="77777777" w:rsidR="0010523F" w:rsidRPr="0010523F" w:rsidRDefault="0010523F" w:rsidP="0010523F">
            <w:pPr>
              <w:spacing w:line="180" w:lineRule="exact"/>
              <w:jc w:val="center"/>
              <w:rPr>
                <w:rFonts w:ascii="Calibri" w:hAnsi="Calibri"/>
                <w:color w:val="000000"/>
                <w:lang w:val="es-AR" w:eastAsia="es-AR"/>
              </w:rPr>
            </w:pPr>
          </w:p>
        </w:tc>
        <w:tc>
          <w:tcPr>
            <w:tcW w:w="160" w:type="dxa"/>
            <w:tcBorders>
              <w:left w:val="nil"/>
              <w:bottom w:val="nil"/>
              <w:right w:val="nil"/>
            </w:tcBorders>
            <w:vAlign w:val="bottom"/>
          </w:tcPr>
          <w:p w14:paraId="2E2C4F60" w14:textId="77777777" w:rsidR="0010523F" w:rsidRPr="0010523F" w:rsidRDefault="0010523F" w:rsidP="0010523F">
            <w:pPr>
              <w:spacing w:line="180" w:lineRule="exact"/>
              <w:jc w:val="center"/>
              <w:rPr>
                <w:rFonts w:ascii="Calibri" w:hAnsi="Calibri"/>
                <w:color w:val="000000"/>
                <w:lang w:val="es-AR" w:eastAsia="es-AR"/>
              </w:rPr>
            </w:pPr>
          </w:p>
        </w:tc>
        <w:tc>
          <w:tcPr>
            <w:tcW w:w="1276" w:type="dxa"/>
            <w:tcBorders>
              <w:top w:val="single" w:sz="4" w:space="0" w:color="auto"/>
              <w:left w:val="nil"/>
              <w:bottom w:val="nil"/>
              <w:right w:val="nil"/>
            </w:tcBorders>
            <w:shd w:val="clear" w:color="auto" w:fill="auto"/>
            <w:noWrap/>
            <w:vAlign w:val="bottom"/>
            <w:hideMark/>
          </w:tcPr>
          <w:p w14:paraId="74EDE3CC" w14:textId="77777777" w:rsidR="0010523F" w:rsidRPr="0010523F" w:rsidRDefault="0010523F" w:rsidP="0010523F">
            <w:pPr>
              <w:spacing w:line="180" w:lineRule="exact"/>
              <w:jc w:val="center"/>
              <w:rPr>
                <w:rFonts w:ascii="Calibri" w:hAnsi="Calibri"/>
                <w:color w:val="000000"/>
                <w:lang w:val="es-AR" w:eastAsia="es-AR"/>
              </w:rPr>
            </w:pPr>
          </w:p>
        </w:tc>
      </w:tr>
      <w:tr w:rsidR="0010523F" w:rsidRPr="0010523F" w14:paraId="5CA49FED" w14:textId="77777777" w:rsidTr="00774E7E">
        <w:trPr>
          <w:trHeight w:val="510"/>
        </w:trPr>
        <w:tc>
          <w:tcPr>
            <w:tcW w:w="7244" w:type="dxa"/>
            <w:gridSpan w:val="3"/>
            <w:tcBorders>
              <w:top w:val="nil"/>
              <w:left w:val="nil"/>
              <w:bottom w:val="nil"/>
              <w:right w:val="nil"/>
            </w:tcBorders>
            <w:shd w:val="clear" w:color="auto" w:fill="auto"/>
            <w:vAlign w:val="bottom"/>
            <w:hideMark/>
          </w:tcPr>
          <w:p w14:paraId="3D6D1A04" w14:textId="77777777" w:rsidR="0010523F" w:rsidRPr="0010523F" w:rsidRDefault="0010523F" w:rsidP="0010523F">
            <w:pPr>
              <w:rPr>
                <w:color w:val="000000"/>
                <w:lang w:val="es-AR" w:eastAsia="es-AR"/>
              </w:rPr>
            </w:pPr>
            <w:r w:rsidRPr="0010523F">
              <w:rPr>
                <w:color w:val="000000"/>
                <w:lang w:val="es-AR" w:eastAsia="es-AR"/>
              </w:rPr>
              <w:t xml:space="preserve">Fideicomiso Central Termoeléctrica Manuel Belgrano y Central Termoeléctrica Timbúes </w:t>
            </w:r>
          </w:p>
        </w:tc>
        <w:tc>
          <w:tcPr>
            <w:tcW w:w="1276" w:type="dxa"/>
            <w:tcBorders>
              <w:top w:val="nil"/>
              <w:left w:val="nil"/>
              <w:bottom w:val="nil"/>
              <w:right w:val="nil"/>
            </w:tcBorders>
            <w:shd w:val="clear" w:color="auto" w:fill="auto"/>
            <w:noWrap/>
            <w:vAlign w:val="bottom"/>
            <w:hideMark/>
          </w:tcPr>
          <w:p w14:paraId="1D8BF1CF" w14:textId="77777777" w:rsidR="0010523F" w:rsidRPr="0010523F" w:rsidRDefault="0010523F" w:rsidP="0010523F">
            <w:pPr>
              <w:jc w:val="right"/>
              <w:rPr>
                <w:color w:val="000000"/>
                <w:lang w:val="es-AR" w:eastAsia="es-AR"/>
              </w:rPr>
            </w:pPr>
            <w:r w:rsidRPr="0010523F">
              <w:rPr>
                <w:color w:val="000000"/>
                <w:lang w:val="es-AR" w:eastAsia="es-AR"/>
              </w:rPr>
              <w:t xml:space="preserve">- </w:t>
            </w:r>
          </w:p>
        </w:tc>
        <w:tc>
          <w:tcPr>
            <w:tcW w:w="160" w:type="dxa"/>
            <w:tcBorders>
              <w:top w:val="nil"/>
              <w:left w:val="nil"/>
              <w:bottom w:val="nil"/>
              <w:right w:val="nil"/>
            </w:tcBorders>
          </w:tcPr>
          <w:p w14:paraId="1CC84A53" w14:textId="77777777" w:rsidR="0010523F" w:rsidRPr="0010523F" w:rsidRDefault="0010523F" w:rsidP="0010523F">
            <w:pPr>
              <w:jc w:val="right"/>
              <w:rPr>
                <w:color w:val="000000"/>
                <w:lang w:val="es-AR" w:eastAsia="es-AR"/>
              </w:rPr>
            </w:pPr>
          </w:p>
        </w:tc>
        <w:tc>
          <w:tcPr>
            <w:tcW w:w="1276" w:type="dxa"/>
            <w:tcBorders>
              <w:top w:val="nil"/>
              <w:left w:val="nil"/>
              <w:bottom w:val="nil"/>
              <w:right w:val="nil"/>
            </w:tcBorders>
            <w:shd w:val="clear" w:color="auto" w:fill="auto"/>
            <w:noWrap/>
            <w:vAlign w:val="bottom"/>
            <w:hideMark/>
          </w:tcPr>
          <w:p w14:paraId="4AD80780" w14:textId="77777777" w:rsidR="0010523F" w:rsidRPr="0010523F" w:rsidRDefault="0010523F" w:rsidP="0010523F">
            <w:pPr>
              <w:jc w:val="right"/>
              <w:rPr>
                <w:color w:val="000000"/>
                <w:lang w:val="es-AR" w:eastAsia="es-AR"/>
              </w:rPr>
            </w:pPr>
            <w:r w:rsidRPr="0010523F">
              <w:rPr>
                <w:color w:val="000000"/>
                <w:lang w:val="es-AR" w:eastAsia="es-AR"/>
              </w:rPr>
              <w:t>6</w:t>
            </w:r>
          </w:p>
        </w:tc>
      </w:tr>
      <w:tr w:rsidR="0010523F" w:rsidRPr="0010523F" w14:paraId="19B197A0" w14:textId="77777777" w:rsidTr="00774E7E">
        <w:trPr>
          <w:trHeight w:val="315"/>
        </w:trPr>
        <w:tc>
          <w:tcPr>
            <w:tcW w:w="4835" w:type="dxa"/>
            <w:tcBorders>
              <w:left w:val="nil"/>
              <w:right w:val="nil"/>
            </w:tcBorders>
            <w:shd w:val="clear" w:color="auto" w:fill="auto"/>
            <w:noWrap/>
            <w:vAlign w:val="bottom"/>
            <w:hideMark/>
          </w:tcPr>
          <w:p w14:paraId="32982C8D" w14:textId="77777777" w:rsidR="0010523F" w:rsidRPr="0010523F" w:rsidRDefault="0010523F" w:rsidP="0010523F">
            <w:pPr>
              <w:rPr>
                <w:color w:val="000000"/>
                <w:lang w:val="es-AR" w:eastAsia="es-AR"/>
              </w:rPr>
            </w:pPr>
            <w:r w:rsidRPr="0010523F">
              <w:rPr>
                <w:color w:val="000000"/>
                <w:lang w:val="es-AR" w:eastAsia="es-AR"/>
              </w:rPr>
              <w:t>Total</w:t>
            </w:r>
          </w:p>
        </w:tc>
        <w:tc>
          <w:tcPr>
            <w:tcW w:w="1275" w:type="dxa"/>
            <w:tcBorders>
              <w:left w:val="nil"/>
              <w:right w:val="nil"/>
            </w:tcBorders>
            <w:shd w:val="clear" w:color="auto" w:fill="auto"/>
            <w:noWrap/>
            <w:vAlign w:val="bottom"/>
            <w:hideMark/>
          </w:tcPr>
          <w:p w14:paraId="12F1F4D1" w14:textId="77777777" w:rsidR="0010523F" w:rsidRPr="0010523F" w:rsidRDefault="0010523F" w:rsidP="0010523F">
            <w:pPr>
              <w:jc w:val="right"/>
              <w:rPr>
                <w:color w:val="000000"/>
                <w:lang w:val="es-AR" w:eastAsia="es-AR"/>
              </w:rPr>
            </w:pPr>
            <w:r w:rsidRPr="0010523F">
              <w:rPr>
                <w:color w:val="000000"/>
                <w:lang w:val="es-AR" w:eastAsia="es-AR"/>
              </w:rPr>
              <w:t> </w:t>
            </w:r>
          </w:p>
        </w:tc>
        <w:tc>
          <w:tcPr>
            <w:tcW w:w="1134" w:type="dxa"/>
            <w:tcBorders>
              <w:left w:val="nil"/>
              <w:right w:val="nil"/>
            </w:tcBorders>
            <w:shd w:val="clear" w:color="auto" w:fill="auto"/>
            <w:noWrap/>
            <w:vAlign w:val="bottom"/>
            <w:hideMark/>
          </w:tcPr>
          <w:p w14:paraId="6749B65D" w14:textId="77777777" w:rsidR="0010523F" w:rsidRPr="0010523F" w:rsidRDefault="0010523F" w:rsidP="0010523F">
            <w:pPr>
              <w:jc w:val="right"/>
              <w:rPr>
                <w:color w:val="000000"/>
                <w:lang w:val="es-AR" w:eastAsia="es-AR"/>
              </w:rPr>
            </w:pPr>
            <w:r w:rsidRPr="0010523F">
              <w:rPr>
                <w:color w:val="000000"/>
                <w:lang w:val="es-AR" w:eastAsia="es-AR"/>
              </w:rPr>
              <w:t> </w:t>
            </w:r>
          </w:p>
        </w:tc>
        <w:tc>
          <w:tcPr>
            <w:tcW w:w="1276" w:type="dxa"/>
            <w:tcBorders>
              <w:top w:val="single" w:sz="4" w:space="0" w:color="auto"/>
              <w:left w:val="nil"/>
              <w:bottom w:val="single" w:sz="4" w:space="0" w:color="auto"/>
              <w:right w:val="nil"/>
            </w:tcBorders>
            <w:shd w:val="clear" w:color="auto" w:fill="auto"/>
            <w:noWrap/>
            <w:vAlign w:val="bottom"/>
            <w:hideMark/>
          </w:tcPr>
          <w:p w14:paraId="11E5EFB8" w14:textId="77777777" w:rsidR="0010523F" w:rsidRPr="0010523F" w:rsidRDefault="0010523F" w:rsidP="0010523F">
            <w:pPr>
              <w:jc w:val="right"/>
              <w:rPr>
                <w:color w:val="000000"/>
                <w:lang w:val="es-AR" w:eastAsia="es-AR"/>
              </w:rPr>
            </w:pPr>
            <w:r w:rsidRPr="0010523F">
              <w:rPr>
                <w:color w:val="000000"/>
                <w:lang w:val="es-AR" w:eastAsia="es-AR"/>
              </w:rPr>
              <w:t xml:space="preserve">- </w:t>
            </w:r>
          </w:p>
        </w:tc>
        <w:tc>
          <w:tcPr>
            <w:tcW w:w="160" w:type="dxa"/>
            <w:tcBorders>
              <w:top w:val="single" w:sz="4" w:space="0" w:color="auto"/>
              <w:left w:val="nil"/>
              <w:bottom w:val="single" w:sz="4" w:space="0" w:color="auto"/>
              <w:right w:val="nil"/>
            </w:tcBorders>
          </w:tcPr>
          <w:p w14:paraId="3D2A28D5" w14:textId="77777777" w:rsidR="0010523F" w:rsidRPr="0010523F" w:rsidRDefault="0010523F" w:rsidP="0010523F">
            <w:pPr>
              <w:jc w:val="right"/>
              <w:rPr>
                <w:color w:val="000000"/>
                <w:lang w:val="es-AR" w:eastAsia="es-AR"/>
              </w:rPr>
            </w:pPr>
          </w:p>
        </w:tc>
        <w:tc>
          <w:tcPr>
            <w:tcW w:w="1276" w:type="dxa"/>
            <w:tcBorders>
              <w:top w:val="single" w:sz="4" w:space="0" w:color="auto"/>
              <w:left w:val="nil"/>
              <w:bottom w:val="single" w:sz="4" w:space="0" w:color="auto"/>
              <w:right w:val="nil"/>
            </w:tcBorders>
            <w:shd w:val="clear" w:color="auto" w:fill="auto"/>
            <w:noWrap/>
            <w:vAlign w:val="bottom"/>
            <w:hideMark/>
          </w:tcPr>
          <w:p w14:paraId="156D35B2" w14:textId="77777777" w:rsidR="0010523F" w:rsidRPr="0010523F" w:rsidRDefault="0010523F" w:rsidP="0010523F">
            <w:pPr>
              <w:jc w:val="right"/>
              <w:rPr>
                <w:color w:val="000000"/>
                <w:lang w:val="es-AR" w:eastAsia="es-AR"/>
              </w:rPr>
            </w:pPr>
            <w:r w:rsidRPr="0010523F">
              <w:rPr>
                <w:color w:val="000000"/>
                <w:lang w:val="es-AR" w:eastAsia="es-AR"/>
              </w:rPr>
              <w:t xml:space="preserve">6 </w:t>
            </w:r>
          </w:p>
        </w:tc>
      </w:tr>
      <w:tr w:rsidR="0010523F" w:rsidRPr="0010523F" w14:paraId="5F75B820" w14:textId="77777777" w:rsidTr="00774E7E">
        <w:trPr>
          <w:trHeight w:val="170"/>
        </w:trPr>
        <w:tc>
          <w:tcPr>
            <w:tcW w:w="4835" w:type="dxa"/>
            <w:tcBorders>
              <w:left w:val="nil"/>
              <w:bottom w:val="nil"/>
              <w:right w:val="nil"/>
            </w:tcBorders>
            <w:shd w:val="clear" w:color="auto" w:fill="auto"/>
            <w:noWrap/>
            <w:vAlign w:val="bottom"/>
            <w:hideMark/>
          </w:tcPr>
          <w:p w14:paraId="4D12A42D" w14:textId="77777777" w:rsidR="0010523F" w:rsidRPr="0010523F" w:rsidRDefault="0010523F" w:rsidP="0010523F">
            <w:pPr>
              <w:spacing w:line="180" w:lineRule="exact"/>
              <w:rPr>
                <w:i/>
                <w:iCs/>
                <w:color w:val="000000"/>
                <w:lang w:val="es-AR" w:eastAsia="es-AR"/>
              </w:rPr>
            </w:pPr>
          </w:p>
        </w:tc>
        <w:tc>
          <w:tcPr>
            <w:tcW w:w="1275" w:type="dxa"/>
            <w:tcBorders>
              <w:left w:val="nil"/>
              <w:bottom w:val="nil"/>
              <w:right w:val="nil"/>
            </w:tcBorders>
            <w:shd w:val="clear" w:color="auto" w:fill="auto"/>
            <w:noWrap/>
            <w:vAlign w:val="bottom"/>
            <w:hideMark/>
          </w:tcPr>
          <w:p w14:paraId="5F311E06" w14:textId="77777777" w:rsidR="0010523F" w:rsidRPr="0010523F" w:rsidRDefault="0010523F" w:rsidP="0010523F">
            <w:pPr>
              <w:spacing w:line="180" w:lineRule="exact"/>
              <w:rPr>
                <w:color w:val="000000"/>
                <w:lang w:val="es-AR" w:eastAsia="es-AR"/>
              </w:rPr>
            </w:pPr>
          </w:p>
        </w:tc>
        <w:tc>
          <w:tcPr>
            <w:tcW w:w="1134" w:type="dxa"/>
            <w:tcBorders>
              <w:left w:val="nil"/>
              <w:bottom w:val="nil"/>
              <w:right w:val="nil"/>
            </w:tcBorders>
            <w:shd w:val="clear" w:color="auto" w:fill="auto"/>
            <w:noWrap/>
            <w:vAlign w:val="bottom"/>
            <w:hideMark/>
          </w:tcPr>
          <w:p w14:paraId="7A59B78C" w14:textId="77777777" w:rsidR="0010523F" w:rsidRPr="0010523F" w:rsidRDefault="0010523F" w:rsidP="0010523F">
            <w:pPr>
              <w:spacing w:line="180" w:lineRule="exact"/>
              <w:rPr>
                <w:color w:val="000000"/>
                <w:highlight w:val="yellow"/>
                <w:lang w:val="es-AR" w:eastAsia="es-AR"/>
              </w:rPr>
            </w:pPr>
          </w:p>
        </w:tc>
        <w:tc>
          <w:tcPr>
            <w:tcW w:w="1276" w:type="dxa"/>
            <w:tcBorders>
              <w:top w:val="nil"/>
              <w:left w:val="nil"/>
              <w:bottom w:val="nil"/>
              <w:right w:val="nil"/>
            </w:tcBorders>
            <w:shd w:val="clear" w:color="auto" w:fill="auto"/>
            <w:noWrap/>
            <w:vAlign w:val="bottom"/>
            <w:hideMark/>
          </w:tcPr>
          <w:p w14:paraId="5EE38139" w14:textId="77777777" w:rsidR="0010523F" w:rsidRPr="0010523F" w:rsidRDefault="0010523F" w:rsidP="0010523F">
            <w:pPr>
              <w:spacing w:line="180" w:lineRule="exact"/>
              <w:rPr>
                <w:rFonts w:ascii="Calibri" w:hAnsi="Calibri"/>
                <w:color w:val="000000"/>
                <w:lang w:val="es-AR" w:eastAsia="es-AR"/>
              </w:rPr>
            </w:pPr>
          </w:p>
        </w:tc>
        <w:tc>
          <w:tcPr>
            <w:tcW w:w="160" w:type="dxa"/>
            <w:tcBorders>
              <w:top w:val="nil"/>
              <w:left w:val="nil"/>
              <w:bottom w:val="nil"/>
              <w:right w:val="nil"/>
            </w:tcBorders>
          </w:tcPr>
          <w:p w14:paraId="58E16237" w14:textId="77777777" w:rsidR="0010523F" w:rsidRPr="0010523F" w:rsidRDefault="0010523F" w:rsidP="0010523F">
            <w:pPr>
              <w:spacing w:line="180" w:lineRule="exact"/>
              <w:rPr>
                <w:rFonts w:ascii="Calibri" w:hAnsi="Calibri"/>
                <w:color w:val="000000"/>
                <w:highlight w:val="yellow"/>
                <w:lang w:val="es-AR" w:eastAsia="es-AR"/>
              </w:rPr>
            </w:pPr>
          </w:p>
        </w:tc>
        <w:tc>
          <w:tcPr>
            <w:tcW w:w="1276" w:type="dxa"/>
            <w:tcBorders>
              <w:top w:val="nil"/>
              <w:left w:val="nil"/>
              <w:bottom w:val="nil"/>
              <w:right w:val="nil"/>
            </w:tcBorders>
            <w:shd w:val="clear" w:color="auto" w:fill="auto"/>
            <w:noWrap/>
            <w:vAlign w:val="bottom"/>
            <w:hideMark/>
          </w:tcPr>
          <w:p w14:paraId="5981B125" w14:textId="77777777" w:rsidR="0010523F" w:rsidRPr="0010523F" w:rsidRDefault="0010523F" w:rsidP="0010523F">
            <w:pPr>
              <w:spacing w:line="180" w:lineRule="exact"/>
              <w:rPr>
                <w:rFonts w:ascii="Calibri" w:hAnsi="Calibri"/>
                <w:color w:val="000000"/>
                <w:highlight w:val="yellow"/>
                <w:lang w:val="es-AR" w:eastAsia="es-AR"/>
              </w:rPr>
            </w:pPr>
          </w:p>
        </w:tc>
      </w:tr>
      <w:tr w:rsidR="0010523F" w:rsidRPr="0010523F" w14:paraId="3308F2E1" w14:textId="77777777" w:rsidTr="00774E7E">
        <w:trPr>
          <w:trHeight w:val="315"/>
        </w:trPr>
        <w:tc>
          <w:tcPr>
            <w:tcW w:w="9956" w:type="dxa"/>
            <w:gridSpan w:val="6"/>
            <w:tcBorders>
              <w:top w:val="nil"/>
              <w:left w:val="nil"/>
              <w:bottom w:val="nil"/>
              <w:right w:val="nil"/>
            </w:tcBorders>
          </w:tcPr>
          <w:p w14:paraId="42257BBE" w14:textId="77777777" w:rsidR="0010523F" w:rsidRPr="0010523F" w:rsidRDefault="0010523F" w:rsidP="0010523F">
            <w:pPr>
              <w:rPr>
                <w:rFonts w:ascii="Calibri" w:hAnsi="Calibri"/>
                <w:color w:val="000000"/>
                <w:lang w:val="es-AR" w:eastAsia="es-AR"/>
              </w:rPr>
            </w:pPr>
            <w:r w:rsidRPr="0010523F">
              <w:rPr>
                <w:color w:val="000000"/>
                <w:u w:val="single"/>
                <w:lang w:val="es-AR" w:eastAsia="es-AR"/>
              </w:rPr>
              <w:t>Activos financieros valuados al valor razonable con cambios en otro resultado integral</w:t>
            </w:r>
          </w:p>
        </w:tc>
      </w:tr>
      <w:tr w:rsidR="0010523F" w:rsidRPr="0010523F" w14:paraId="07224670" w14:textId="77777777" w:rsidTr="00774E7E">
        <w:trPr>
          <w:trHeight w:val="170"/>
        </w:trPr>
        <w:tc>
          <w:tcPr>
            <w:tcW w:w="4835" w:type="dxa"/>
            <w:tcBorders>
              <w:top w:val="nil"/>
              <w:left w:val="nil"/>
              <w:right w:val="nil"/>
            </w:tcBorders>
            <w:shd w:val="clear" w:color="auto" w:fill="auto"/>
            <w:noWrap/>
            <w:vAlign w:val="bottom"/>
            <w:hideMark/>
          </w:tcPr>
          <w:p w14:paraId="795A66D2" w14:textId="77777777" w:rsidR="0010523F" w:rsidRPr="0010523F" w:rsidRDefault="0010523F" w:rsidP="0010523F">
            <w:pPr>
              <w:spacing w:line="180" w:lineRule="exact"/>
              <w:rPr>
                <w:rFonts w:ascii="Calibri" w:hAnsi="Calibri"/>
                <w:color w:val="000000"/>
                <w:lang w:val="es-AR" w:eastAsia="es-AR"/>
              </w:rPr>
            </w:pPr>
          </w:p>
        </w:tc>
        <w:tc>
          <w:tcPr>
            <w:tcW w:w="1275" w:type="dxa"/>
            <w:tcBorders>
              <w:top w:val="nil"/>
              <w:left w:val="nil"/>
              <w:right w:val="nil"/>
            </w:tcBorders>
            <w:shd w:val="clear" w:color="auto" w:fill="auto"/>
            <w:noWrap/>
            <w:vAlign w:val="bottom"/>
            <w:hideMark/>
          </w:tcPr>
          <w:p w14:paraId="1C277243" w14:textId="77777777" w:rsidR="0010523F" w:rsidRPr="0010523F" w:rsidRDefault="0010523F" w:rsidP="0010523F">
            <w:pPr>
              <w:spacing w:line="180" w:lineRule="exact"/>
              <w:rPr>
                <w:rFonts w:ascii="Calibri" w:hAnsi="Calibri"/>
                <w:color w:val="000000"/>
                <w:lang w:val="es-AR" w:eastAsia="es-AR"/>
              </w:rPr>
            </w:pPr>
          </w:p>
        </w:tc>
        <w:tc>
          <w:tcPr>
            <w:tcW w:w="1134" w:type="dxa"/>
            <w:tcBorders>
              <w:top w:val="nil"/>
              <w:left w:val="nil"/>
              <w:right w:val="nil"/>
            </w:tcBorders>
            <w:shd w:val="clear" w:color="auto" w:fill="auto"/>
            <w:noWrap/>
            <w:vAlign w:val="bottom"/>
            <w:hideMark/>
          </w:tcPr>
          <w:p w14:paraId="30574471" w14:textId="77777777" w:rsidR="0010523F" w:rsidRPr="0010523F" w:rsidRDefault="0010523F" w:rsidP="0010523F">
            <w:pPr>
              <w:spacing w:line="180" w:lineRule="exact"/>
              <w:rPr>
                <w:rFonts w:ascii="Calibri" w:hAnsi="Calibri"/>
                <w:color w:val="000000"/>
                <w:lang w:val="es-AR" w:eastAsia="es-AR"/>
              </w:rPr>
            </w:pPr>
          </w:p>
        </w:tc>
        <w:tc>
          <w:tcPr>
            <w:tcW w:w="1276" w:type="dxa"/>
            <w:tcBorders>
              <w:top w:val="nil"/>
              <w:left w:val="nil"/>
              <w:right w:val="nil"/>
            </w:tcBorders>
            <w:shd w:val="clear" w:color="auto" w:fill="auto"/>
            <w:noWrap/>
            <w:vAlign w:val="bottom"/>
            <w:hideMark/>
          </w:tcPr>
          <w:p w14:paraId="1EE95D33" w14:textId="77777777" w:rsidR="0010523F" w:rsidRPr="0010523F" w:rsidRDefault="0010523F" w:rsidP="0010523F">
            <w:pPr>
              <w:spacing w:line="180" w:lineRule="exact"/>
              <w:rPr>
                <w:rFonts w:ascii="Calibri" w:hAnsi="Calibri"/>
                <w:color w:val="000000"/>
                <w:lang w:val="es-AR" w:eastAsia="es-AR"/>
              </w:rPr>
            </w:pPr>
          </w:p>
        </w:tc>
        <w:tc>
          <w:tcPr>
            <w:tcW w:w="160" w:type="dxa"/>
            <w:tcBorders>
              <w:top w:val="nil"/>
              <w:left w:val="nil"/>
              <w:right w:val="nil"/>
            </w:tcBorders>
          </w:tcPr>
          <w:p w14:paraId="79A91F34" w14:textId="77777777" w:rsidR="0010523F" w:rsidRPr="0010523F" w:rsidRDefault="0010523F" w:rsidP="0010523F">
            <w:pPr>
              <w:spacing w:line="180" w:lineRule="exact"/>
              <w:rPr>
                <w:rFonts w:ascii="Calibri" w:hAnsi="Calibri"/>
                <w:color w:val="000000"/>
                <w:lang w:val="es-AR" w:eastAsia="es-AR"/>
              </w:rPr>
            </w:pPr>
          </w:p>
        </w:tc>
        <w:tc>
          <w:tcPr>
            <w:tcW w:w="1276" w:type="dxa"/>
            <w:tcBorders>
              <w:top w:val="nil"/>
              <w:left w:val="nil"/>
              <w:right w:val="nil"/>
            </w:tcBorders>
            <w:shd w:val="clear" w:color="auto" w:fill="auto"/>
            <w:noWrap/>
            <w:vAlign w:val="bottom"/>
            <w:hideMark/>
          </w:tcPr>
          <w:p w14:paraId="681EF823" w14:textId="77777777" w:rsidR="0010523F" w:rsidRPr="0010523F" w:rsidRDefault="0010523F" w:rsidP="0010523F">
            <w:pPr>
              <w:spacing w:line="180" w:lineRule="exact"/>
              <w:rPr>
                <w:rFonts w:ascii="Calibri" w:hAnsi="Calibri"/>
                <w:color w:val="000000"/>
                <w:lang w:val="es-AR" w:eastAsia="es-AR"/>
              </w:rPr>
            </w:pPr>
          </w:p>
        </w:tc>
      </w:tr>
      <w:tr w:rsidR="0010523F" w:rsidRPr="0010523F" w14:paraId="1FA0F858" w14:textId="77777777" w:rsidTr="00774E7E">
        <w:trPr>
          <w:trHeight w:val="283"/>
        </w:trPr>
        <w:tc>
          <w:tcPr>
            <w:tcW w:w="4835" w:type="dxa"/>
            <w:tcBorders>
              <w:left w:val="nil"/>
              <w:right w:val="nil"/>
            </w:tcBorders>
            <w:shd w:val="clear" w:color="auto" w:fill="auto"/>
            <w:noWrap/>
            <w:vAlign w:val="bottom"/>
            <w:hideMark/>
          </w:tcPr>
          <w:p w14:paraId="48F4E37F" w14:textId="77777777" w:rsidR="0010523F" w:rsidRPr="0010523F" w:rsidRDefault="0010523F" w:rsidP="0010523F">
            <w:pPr>
              <w:rPr>
                <w:color w:val="000000"/>
                <w:u w:val="single"/>
                <w:lang w:val="es-AR" w:eastAsia="es-AR"/>
              </w:rPr>
            </w:pPr>
            <w:r w:rsidRPr="0010523F">
              <w:rPr>
                <w:color w:val="000000"/>
                <w:u w:val="single"/>
                <w:lang w:val="es-AR" w:eastAsia="es-AR"/>
              </w:rPr>
              <w:t>Títulos públicos</w:t>
            </w:r>
          </w:p>
        </w:tc>
        <w:tc>
          <w:tcPr>
            <w:tcW w:w="1275" w:type="dxa"/>
            <w:tcBorders>
              <w:left w:val="nil"/>
              <w:right w:val="nil"/>
            </w:tcBorders>
            <w:shd w:val="clear" w:color="auto" w:fill="auto"/>
            <w:vAlign w:val="center"/>
          </w:tcPr>
          <w:p w14:paraId="75C84A70" w14:textId="77777777" w:rsidR="0010523F" w:rsidRPr="0010523F" w:rsidRDefault="0010523F" w:rsidP="0010523F">
            <w:pPr>
              <w:jc w:val="center"/>
              <w:rPr>
                <w:color w:val="000000"/>
                <w:lang w:val="es-AR" w:eastAsia="es-AR"/>
              </w:rPr>
            </w:pPr>
          </w:p>
        </w:tc>
        <w:tc>
          <w:tcPr>
            <w:tcW w:w="1134" w:type="dxa"/>
            <w:tcBorders>
              <w:left w:val="nil"/>
              <w:right w:val="nil"/>
            </w:tcBorders>
            <w:shd w:val="clear" w:color="auto" w:fill="auto"/>
            <w:vAlign w:val="center"/>
          </w:tcPr>
          <w:p w14:paraId="1FDC9995" w14:textId="77777777" w:rsidR="0010523F" w:rsidRPr="0010523F" w:rsidRDefault="0010523F" w:rsidP="0010523F">
            <w:pPr>
              <w:jc w:val="center"/>
              <w:rPr>
                <w:color w:val="000000"/>
                <w:lang w:val="es-AR" w:eastAsia="es-AR"/>
              </w:rPr>
            </w:pPr>
          </w:p>
        </w:tc>
        <w:tc>
          <w:tcPr>
            <w:tcW w:w="1276" w:type="dxa"/>
            <w:tcBorders>
              <w:left w:val="nil"/>
              <w:bottom w:val="single" w:sz="4" w:space="0" w:color="auto"/>
              <w:right w:val="nil"/>
            </w:tcBorders>
            <w:shd w:val="clear" w:color="auto" w:fill="auto"/>
            <w:noWrap/>
            <w:vAlign w:val="center"/>
            <w:hideMark/>
          </w:tcPr>
          <w:p w14:paraId="6CFCBC5F" w14:textId="77777777" w:rsidR="0010523F" w:rsidRPr="0010523F" w:rsidRDefault="0010523F" w:rsidP="0010523F">
            <w:pPr>
              <w:jc w:val="center"/>
              <w:rPr>
                <w:color w:val="000000"/>
                <w:lang w:val="es-AR" w:eastAsia="es-AR"/>
              </w:rPr>
            </w:pPr>
            <w:r w:rsidRPr="0010523F">
              <w:rPr>
                <w:color w:val="000000"/>
                <w:lang w:val="es-AR" w:eastAsia="es-AR"/>
              </w:rPr>
              <w:t>30/09/2019</w:t>
            </w:r>
          </w:p>
        </w:tc>
        <w:tc>
          <w:tcPr>
            <w:tcW w:w="160" w:type="dxa"/>
            <w:tcBorders>
              <w:left w:val="nil"/>
              <w:right w:val="nil"/>
            </w:tcBorders>
          </w:tcPr>
          <w:p w14:paraId="36D38126" w14:textId="77777777" w:rsidR="0010523F" w:rsidRPr="0010523F" w:rsidRDefault="0010523F" w:rsidP="0010523F">
            <w:pPr>
              <w:jc w:val="center"/>
              <w:rPr>
                <w:color w:val="000000"/>
                <w:lang w:val="es-AR" w:eastAsia="es-AR"/>
              </w:rPr>
            </w:pPr>
          </w:p>
        </w:tc>
        <w:tc>
          <w:tcPr>
            <w:tcW w:w="1276" w:type="dxa"/>
            <w:tcBorders>
              <w:left w:val="nil"/>
              <w:bottom w:val="single" w:sz="4" w:space="0" w:color="auto"/>
              <w:right w:val="nil"/>
            </w:tcBorders>
            <w:shd w:val="clear" w:color="auto" w:fill="auto"/>
            <w:noWrap/>
            <w:vAlign w:val="center"/>
            <w:hideMark/>
          </w:tcPr>
          <w:p w14:paraId="6B0E535D" w14:textId="77777777" w:rsidR="0010523F" w:rsidRPr="0010523F" w:rsidRDefault="0010523F" w:rsidP="0010523F">
            <w:pPr>
              <w:jc w:val="center"/>
              <w:rPr>
                <w:color w:val="000000"/>
                <w:lang w:val="es-AR" w:eastAsia="es-AR"/>
              </w:rPr>
            </w:pPr>
            <w:r w:rsidRPr="0010523F">
              <w:rPr>
                <w:color w:val="000000"/>
                <w:lang w:val="es-AR" w:eastAsia="es-AR"/>
              </w:rPr>
              <w:t>31/12/2018</w:t>
            </w:r>
          </w:p>
        </w:tc>
      </w:tr>
      <w:tr w:rsidR="0010523F" w:rsidRPr="0010523F" w14:paraId="01900918" w14:textId="77777777" w:rsidTr="00774E7E">
        <w:trPr>
          <w:trHeight w:val="315"/>
        </w:trPr>
        <w:tc>
          <w:tcPr>
            <w:tcW w:w="4835" w:type="dxa"/>
            <w:tcBorders>
              <w:top w:val="nil"/>
              <w:left w:val="nil"/>
              <w:bottom w:val="nil"/>
              <w:right w:val="nil"/>
            </w:tcBorders>
            <w:shd w:val="clear" w:color="auto" w:fill="auto"/>
            <w:noWrap/>
            <w:vAlign w:val="bottom"/>
            <w:hideMark/>
          </w:tcPr>
          <w:p w14:paraId="7D640E9F" w14:textId="77777777" w:rsidR="0010523F" w:rsidRPr="0010523F" w:rsidRDefault="0010523F" w:rsidP="0010523F">
            <w:pPr>
              <w:rPr>
                <w:color w:val="000000"/>
                <w:lang w:val="es-AR" w:eastAsia="es-AR"/>
              </w:rPr>
            </w:pPr>
            <w:r w:rsidRPr="0010523F">
              <w:rPr>
                <w:color w:val="000000"/>
                <w:lang w:val="es-AR" w:eastAsia="es-AR"/>
              </w:rPr>
              <w:t>Bonar 2019</w:t>
            </w:r>
          </w:p>
        </w:tc>
        <w:tc>
          <w:tcPr>
            <w:tcW w:w="1275" w:type="dxa"/>
            <w:tcBorders>
              <w:top w:val="nil"/>
              <w:left w:val="nil"/>
              <w:bottom w:val="nil"/>
              <w:right w:val="nil"/>
            </w:tcBorders>
            <w:shd w:val="clear" w:color="auto" w:fill="auto"/>
            <w:noWrap/>
            <w:vAlign w:val="bottom"/>
          </w:tcPr>
          <w:p w14:paraId="0291F4FC" w14:textId="77777777" w:rsidR="0010523F" w:rsidRPr="0010523F" w:rsidRDefault="0010523F" w:rsidP="0010523F">
            <w:pPr>
              <w:jc w:val="right"/>
              <w:rPr>
                <w:color w:val="000000"/>
                <w:lang w:val="es-AR" w:eastAsia="es-AR"/>
              </w:rPr>
            </w:pPr>
          </w:p>
        </w:tc>
        <w:tc>
          <w:tcPr>
            <w:tcW w:w="1134" w:type="dxa"/>
            <w:tcBorders>
              <w:top w:val="nil"/>
              <w:left w:val="nil"/>
              <w:bottom w:val="nil"/>
              <w:right w:val="nil"/>
            </w:tcBorders>
            <w:shd w:val="clear" w:color="auto" w:fill="auto"/>
            <w:noWrap/>
            <w:vAlign w:val="bottom"/>
          </w:tcPr>
          <w:p w14:paraId="3470078B" w14:textId="77777777" w:rsidR="0010523F" w:rsidRPr="0010523F" w:rsidRDefault="0010523F" w:rsidP="0010523F">
            <w:pPr>
              <w:jc w:val="right"/>
              <w:rPr>
                <w:color w:val="000000"/>
                <w:lang w:val="es-AR" w:eastAsia="es-AR"/>
              </w:rPr>
            </w:pPr>
          </w:p>
        </w:tc>
        <w:tc>
          <w:tcPr>
            <w:tcW w:w="1276" w:type="dxa"/>
            <w:tcBorders>
              <w:top w:val="single" w:sz="4" w:space="0" w:color="auto"/>
              <w:left w:val="nil"/>
              <w:bottom w:val="nil"/>
              <w:right w:val="nil"/>
            </w:tcBorders>
            <w:shd w:val="clear" w:color="auto" w:fill="auto"/>
            <w:noWrap/>
            <w:vAlign w:val="bottom"/>
            <w:hideMark/>
          </w:tcPr>
          <w:p w14:paraId="48DE287A" w14:textId="77777777" w:rsidR="0010523F" w:rsidRPr="0010523F" w:rsidRDefault="0010523F" w:rsidP="0010523F">
            <w:pPr>
              <w:jc w:val="right"/>
              <w:rPr>
                <w:color w:val="000000"/>
                <w:lang w:val="es-AR" w:eastAsia="es-AR"/>
              </w:rPr>
            </w:pPr>
            <w:r w:rsidRPr="0010523F">
              <w:rPr>
                <w:color w:val="000000"/>
                <w:lang w:val="es-AR" w:eastAsia="es-AR"/>
              </w:rPr>
              <w:t xml:space="preserve">- </w:t>
            </w:r>
          </w:p>
        </w:tc>
        <w:tc>
          <w:tcPr>
            <w:tcW w:w="160" w:type="dxa"/>
            <w:tcBorders>
              <w:left w:val="nil"/>
              <w:right w:val="nil"/>
            </w:tcBorders>
          </w:tcPr>
          <w:p w14:paraId="0DC3BE05" w14:textId="77777777" w:rsidR="0010523F" w:rsidRPr="0010523F" w:rsidRDefault="0010523F" w:rsidP="0010523F">
            <w:pPr>
              <w:jc w:val="right"/>
              <w:rPr>
                <w:color w:val="000000"/>
                <w:lang w:val="es-AR" w:eastAsia="es-AR"/>
              </w:rPr>
            </w:pPr>
          </w:p>
        </w:tc>
        <w:tc>
          <w:tcPr>
            <w:tcW w:w="1276" w:type="dxa"/>
            <w:tcBorders>
              <w:top w:val="single" w:sz="4" w:space="0" w:color="auto"/>
              <w:left w:val="nil"/>
              <w:bottom w:val="nil"/>
              <w:right w:val="nil"/>
            </w:tcBorders>
            <w:shd w:val="clear" w:color="auto" w:fill="auto"/>
            <w:noWrap/>
            <w:vAlign w:val="bottom"/>
            <w:hideMark/>
          </w:tcPr>
          <w:p w14:paraId="295D764C" w14:textId="77777777" w:rsidR="0010523F" w:rsidRPr="0010523F" w:rsidRDefault="0010523F" w:rsidP="0010523F">
            <w:pPr>
              <w:jc w:val="right"/>
              <w:rPr>
                <w:color w:val="000000"/>
                <w:lang w:val="es-AR" w:eastAsia="es-AR"/>
              </w:rPr>
            </w:pPr>
            <w:r w:rsidRPr="0010523F">
              <w:rPr>
                <w:color w:val="000000"/>
                <w:lang w:val="es-AR" w:eastAsia="es-AR"/>
              </w:rPr>
              <w:t xml:space="preserve">970 </w:t>
            </w:r>
          </w:p>
        </w:tc>
      </w:tr>
      <w:tr w:rsidR="0010523F" w:rsidRPr="0010523F" w14:paraId="040E1A9F" w14:textId="77777777" w:rsidTr="00774E7E">
        <w:trPr>
          <w:trHeight w:val="315"/>
        </w:trPr>
        <w:tc>
          <w:tcPr>
            <w:tcW w:w="4835" w:type="dxa"/>
            <w:tcBorders>
              <w:top w:val="nil"/>
              <w:left w:val="nil"/>
              <w:bottom w:val="nil"/>
              <w:right w:val="nil"/>
            </w:tcBorders>
            <w:shd w:val="clear" w:color="auto" w:fill="auto"/>
            <w:noWrap/>
            <w:vAlign w:val="bottom"/>
            <w:hideMark/>
          </w:tcPr>
          <w:p w14:paraId="0DB99C23" w14:textId="77777777" w:rsidR="0010523F" w:rsidRPr="0010523F" w:rsidRDefault="0010523F" w:rsidP="0010523F">
            <w:pPr>
              <w:rPr>
                <w:color w:val="000000"/>
                <w:lang w:val="es-AR" w:eastAsia="es-AR"/>
              </w:rPr>
            </w:pPr>
            <w:r w:rsidRPr="0010523F">
              <w:rPr>
                <w:color w:val="000000"/>
                <w:lang w:val="es-AR" w:eastAsia="es-AR"/>
              </w:rPr>
              <w:t xml:space="preserve">Bonar 2019 - Cupón corrido </w:t>
            </w:r>
          </w:p>
        </w:tc>
        <w:tc>
          <w:tcPr>
            <w:tcW w:w="1275" w:type="dxa"/>
            <w:tcBorders>
              <w:top w:val="nil"/>
              <w:left w:val="nil"/>
              <w:bottom w:val="nil"/>
              <w:right w:val="nil"/>
            </w:tcBorders>
            <w:shd w:val="clear" w:color="auto" w:fill="auto"/>
            <w:noWrap/>
            <w:vAlign w:val="bottom"/>
          </w:tcPr>
          <w:p w14:paraId="24A7A9F5" w14:textId="77777777" w:rsidR="0010523F" w:rsidRPr="0010523F" w:rsidRDefault="0010523F" w:rsidP="0010523F">
            <w:pPr>
              <w:jc w:val="right"/>
              <w:rPr>
                <w:color w:val="000000"/>
                <w:lang w:val="es-AR" w:eastAsia="es-AR"/>
              </w:rPr>
            </w:pPr>
          </w:p>
        </w:tc>
        <w:tc>
          <w:tcPr>
            <w:tcW w:w="1134" w:type="dxa"/>
            <w:tcBorders>
              <w:top w:val="nil"/>
              <w:left w:val="nil"/>
              <w:bottom w:val="nil"/>
              <w:right w:val="nil"/>
            </w:tcBorders>
            <w:shd w:val="clear" w:color="auto" w:fill="auto"/>
            <w:noWrap/>
            <w:vAlign w:val="bottom"/>
          </w:tcPr>
          <w:p w14:paraId="4F2FE6AB" w14:textId="77777777" w:rsidR="0010523F" w:rsidRPr="0010523F" w:rsidRDefault="0010523F" w:rsidP="0010523F">
            <w:pPr>
              <w:jc w:val="right"/>
              <w:rPr>
                <w:color w:val="000000"/>
                <w:lang w:val="es-AR" w:eastAsia="es-AR"/>
              </w:rPr>
            </w:pPr>
          </w:p>
        </w:tc>
        <w:tc>
          <w:tcPr>
            <w:tcW w:w="1276" w:type="dxa"/>
            <w:tcBorders>
              <w:top w:val="nil"/>
              <w:left w:val="nil"/>
              <w:bottom w:val="nil"/>
              <w:right w:val="nil"/>
            </w:tcBorders>
            <w:shd w:val="clear" w:color="auto" w:fill="auto"/>
            <w:noWrap/>
            <w:vAlign w:val="bottom"/>
            <w:hideMark/>
          </w:tcPr>
          <w:p w14:paraId="7BB11B53" w14:textId="77777777" w:rsidR="0010523F" w:rsidRPr="0010523F" w:rsidRDefault="0010523F" w:rsidP="0010523F">
            <w:pPr>
              <w:jc w:val="right"/>
              <w:rPr>
                <w:color w:val="000000"/>
                <w:lang w:val="es-AR" w:eastAsia="es-AR"/>
              </w:rPr>
            </w:pPr>
            <w:r w:rsidRPr="0010523F">
              <w:rPr>
                <w:color w:val="000000"/>
                <w:lang w:val="es-AR" w:eastAsia="es-AR"/>
              </w:rPr>
              <w:t xml:space="preserve"> -   </w:t>
            </w:r>
          </w:p>
        </w:tc>
        <w:tc>
          <w:tcPr>
            <w:tcW w:w="160" w:type="dxa"/>
            <w:tcBorders>
              <w:top w:val="nil"/>
              <w:left w:val="nil"/>
              <w:bottom w:val="nil"/>
              <w:right w:val="nil"/>
            </w:tcBorders>
          </w:tcPr>
          <w:p w14:paraId="54724892" w14:textId="77777777" w:rsidR="0010523F" w:rsidRPr="0010523F" w:rsidRDefault="0010523F" w:rsidP="0010523F">
            <w:pPr>
              <w:jc w:val="right"/>
              <w:rPr>
                <w:color w:val="000000"/>
                <w:lang w:val="es-AR" w:eastAsia="es-AR"/>
              </w:rPr>
            </w:pPr>
          </w:p>
        </w:tc>
        <w:tc>
          <w:tcPr>
            <w:tcW w:w="1276" w:type="dxa"/>
            <w:tcBorders>
              <w:top w:val="nil"/>
              <w:left w:val="nil"/>
              <w:bottom w:val="nil"/>
              <w:right w:val="nil"/>
            </w:tcBorders>
            <w:shd w:val="clear" w:color="auto" w:fill="auto"/>
            <w:noWrap/>
            <w:vAlign w:val="bottom"/>
            <w:hideMark/>
          </w:tcPr>
          <w:p w14:paraId="3F56E7F9" w14:textId="77777777" w:rsidR="0010523F" w:rsidRPr="0010523F" w:rsidRDefault="0010523F" w:rsidP="0010523F">
            <w:pPr>
              <w:jc w:val="right"/>
              <w:rPr>
                <w:color w:val="000000"/>
                <w:lang w:val="es-AR" w:eastAsia="es-AR"/>
              </w:rPr>
            </w:pPr>
            <w:r w:rsidRPr="0010523F">
              <w:rPr>
                <w:color w:val="000000"/>
                <w:lang w:val="es-AR" w:eastAsia="es-AR"/>
              </w:rPr>
              <w:t>11</w:t>
            </w:r>
          </w:p>
        </w:tc>
      </w:tr>
      <w:tr w:rsidR="0010523F" w:rsidRPr="0010523F" w14:paraId="079029F7" w14:textId="77777777" w:rsidTr="00774E7E">
        <w:trPr>
          <w:trHeight w:val="315"/>
        </w:trPr>
        <w:tc>
          <w:tcPr>
            <w:tcW w:w="4835" w:type="dxa"/>
            <w:tcBorders>
              <w:left w:val="nil"/>
              <w:right w:val="nil"/>
            </w:tcBorders>
            <w:shd w:val="clear" w:color="auto" w:fill="auto"/>
            <w:noWrap/>
            <w:vAlign w:val="bottom"/>
            <w:hideMark/>
          </w:tcPr>
          <w:p w14:paraId="2C1FED1A" w14:textId="77777777" w:rsidR="0010523F" w:rsidRPr="0010523F" w:rsidRDefault="0010523F" w:rsidP="0010523F">
            <w:pPr>
              <w:rPr>
                <w:color w:val="000000"/>
                <w:lang w:val="es-AR" w:eastAsia="es-AR"/>
              </w:rPr>
            </w:pPr>
            <w:r w:rsidRPr="0010523F">
              <w:rPr>
                <w:color w:val="000000"/>
                <w:lang w:val="es-AR" w:eastAsia="es-AR"/>
              </w:rPr>
              <w:t>Total</w:t>
            </w:r>
          </w:p>
        </w:tc>
        <w:tc>
          <w:tcPr>
            <w:tcW w:w="1275" w:type="dxa"/>
            <w:tcBorders>
              <w:left w:val="nil"/>
              <w:right w:val="nil"/>
            </w:tcBorders>
            <w:shd w:val="clear" w:color="auto" w:fill="auto"/>
            <w:noWrap/>
            <w:vAlign w:val="bottom"/>
          </w:tcPr>
          <w:p w14:paraId="5FD7BFC8" w14:textId="77777777" w:rsidR="0010523F" w:rsidRPr="0010523F" w:rsidRDefault="0010523F" w:rsidP="0010523F">
            <w:pPr>
              <w:jc w:val="right"/>
              <w:rPr>
                <w:color w:val="000000"/>
                <w:lang w:val="es-AR" w:eastAsia="es-AR"/>
              </w:rPr>
            </w:pPr>
          </w:p>
        </w:tc>
        <w:tc>
          <w:tcPr>
            <w:tcW w:w="1134" w:type="dxa"/>
            <w:tcBorders>
              <w:left w:val="nil"/>
              <w:right w:val="nil"/>
            </w:tcBorders>
            <w:shd w:val="clear" w:color="auto" w:fill="auto"/>
            <w:noWrap/>
            <w:vAlign w:val="bottom"/>
          </w:tcPr>
          <w:p w14:paraId="72E5447A" w14:textId="77777777" w:rsidR="0010523F" w:rsidRPr="0010523F" w:rsidRDefault="0010523F" w:rsidP="0010523F">
            <w:pPr>
              <w:jc w:val="right"/>
              <w:rPr>
                <w:color w:val="000000"/>
                <w:lang w:val="es-AR" w:eastAsia="es-AR"/>
              </w:rPr>
            </w:pPr>
          </w:p>
        </w:tc>
        <w:tc>
          <w:tcPr>
            <w:tcW w:w="1276" w:type="dxa"/>
            <w:tcBorders>
              <w:top w:val="single" w:sz="4" w:space="0" w:color="auto"/>
              <w:left w:val="nil"/>
              <w:bottom w:val="single" w:sz="4" w:space="0" w:color="auto"/>
              <w:right w:val="nil"/>
            </w:tcBorders>
            <w:shd w:val="clear" w:color="auto" w:fill="auto"/>
            <w:noWrap/>
            <w:vAlign w:val="bottom"/>
            <w:hideMark/>
          </w:tcPr>
          <w:p w14:paraId="608100F1" w14:textId="77777777" w:rsidR="0010523F" w:rsidRPr="0010523F" w:rsidRDefault="0010523F" w:rsidP="0010523F">
            <w:pPr>
              <w:jc w:val="right"/>
              <w:rPr>
                <w:color w:val="000000"/>
                <w:lang w:val="es-AR" w:eastAsia="es-AR"/>
              </w:rPr>
            </w:pPr>
            <w:r w:rsidRPr="0010523F">
              <w:rPr>
                <w:color w:val="000000"/>
                <w:lang w:val="es-AR" w:eastAsia="es-AR"/>
              </w:rPr>
              <w:t xml:space="preserve">- </w:t>
            </w:r>
          </w:p>
        </w:tc>
        <w:tc>
          <w:tcPr>
            <w:tcW w:w="160" w:type="dxa"/>
            <w:tcBorders>
              <w:left w:val="nil"/>
              <w:right w:val="nil"/>
            </w:tcBorders>
          </w:tcPr>
          <w:p w14:paraId="500E0ADF" w14:textId="77777777" w:rsidR="0010523F" w:rsidRPr="0010523F" w:rsidRDefault="0010523F" w:rsidP="0010523F">
            <w:pPr>
              <w:jc w:val="right"/>
              <w:rPr>
                <w:color w:val="000000"/>
                <w:lang w:val="es-AR" w:eastAsia="es-AR"/>
              </w:rPr>
            </w:pPr>
          </w:p>
        </w:tc>
        <w:tc>
          <w:tcPr>
            <w:tcW w:w="1276" w:type="dxa"/>
            <w:tcBorders>
              <w:top w:val="single" w:sz="4" w:space="0" w:color="auto"/>
              <w:left w:val="nil"/>
              <w:bottom w:val="single" w:sz="4" w:space="0" w:color="auto"/>
              <w:right w:val="nil"/>
            </w:tcBorders>
            <w:shd w:val="clear" w:color="auto" w:fill="auto"/>
            <w:noWrap/>
            <w:vAlign w:val="bottom"/>
            <w:hideMark/>
          </w:tcPr>
          <w:p w14:paraId="45C3E760" w14:textId="77777777" w:rsidR="0010523F" w:rsidRPr="0010523F" w:rsidRDefault="0010523F" w:rsidP="0010523F">
            <w:pPr>
              <w:jc w:val="right"/>
              <w:rPr>
                <w:color w:val="000000"/>
                <w:lang w:val="es-AR" w:eastAsia="es-AR"/>
              </w:rPr>
            </w:pPr>
            <w:r w:rsidRPr="0010523F">
              <w:rPr>
                <w:color w:val="000000"/>
                <w:lang w:val="es-AR" w:eastAsia="es-AR"/>
              </w:rPr>
              <w:t>981</w:t>
            </w:r>
          </w:p>
        </w:tc>
      </w:tr>
    </w:tbl>
    <w:p w14:paraId="40A6A546" w14:textId="77777777" w:rsidR="0010523F" w:rsidRPr="0010523F" w:rsidRDefault="0010523F" w:rsidP="0010523F">
      <w:pPr>
        <w:tabs>
          <w:tab w:val="center" w:pos="1681"/>
          <w:tab w:val="center" w:pos="4516"/>
          <w:tab w:val="center" w:pos="7210"/>
        </w:tabs>
        <w:autoSpaceDE w:val="0"/>
        <w:autoSpaceDN w:val="0"/>
        <w:adjustRightInd w:val="0"/>
        <w:spacing w:line="140" w:lineRule="exact"/>
        <w:jc w:val="both"/>
        <w:rPr>
          <w:sz w:val="22"/>
          <w:szCs w:val="22"/>
          <w:lang w:val="es-AR" w:eastAsia="en-US"/>
        </w:rPr>
      </w:pPr>
    </w:p>
    <w:p w14:paraId="541F3F47" w14:textId="77777777" w:rsidR="0010523F" w:rsidRPr="0010523F" w:rsidRDefault="0010523F" w:rsidP="00E2318E">
      <w:pPr>
        <w:keepNext/>
        <w:widowControl w:val="0"/>
        <w:numPr>
          <w:ilvl w:val="0"/>
          <w:numId w:val="74"/>
        </w:numPr>
        <w:tabs>
          <w:tab w:val="decimal" w:pos="4962"/>
          <w:tab w:val="decimal" w:pos="6379"/>
          <w:tab w:val="decimal" w:pos="7797"/>
          <w:tab w:val="decimal" w:pos="9214"/>
          <w:tab w:val="decimal" w:pos="10490"/>
          <w:tab w:val="decimal" w:pos="12049"/>
          <w:tab w:val="decimal" w:pos="13325"/>
          <w:tab w:val="decimal" w:pos="14601"/>
        </w:tabs>
        <w:spacing w:before="240" w:line="220" w:lineRule="exact"/>
        <w:ind w:left="425" w:right="11" w:hanging="357"/>
        <w:jc w:val="both"/>
        <w:outlineLvl w:val="3"/>
        <w:rPr>
          <w:sz w:val="22"/>
          <w:szCs w:val="22"/>
          <w:lang w:val="es-AR" w:eastAsia="en-US"/>
        </w:rPr>
      </w:pPr>
      <w:r w:rsidRPr="0010523F">
        <w:rPr>
          <w:szCs w:val="20"/>
          <w:lang w:val="es-AR" w:eastAsia="en-US"/>
        </w:rPr>
        <w:t>Otros créditos no corrientes y corrientes</w:t>
      </w:r>
    </w:p>
    <w:tbl>
      <w:tblPr>
        <w:tblW w:w="9328" w:type="dxa"/>
        <w:tblInd w:w="-4" w:type="dxa"/>
        <w:tblLayout w:type="fixed"/>
        <w:tblLook w:val="0000" w:firstRow="0" w:lastRow="0" w:firstColumn="0" w:lastColumn="0" w:noHBand="0" w:noVBand="0"/>
      </w:tblPr>
      <w:tblGrid>
        <w:gridCol w:w="6208"/>
        <w:gridCol w:w="1560"/>
        <w:gridCol w:w="1560"/>
      </w:tblGrid>
      <w:tr w:rsidR="0010523F" w:rsidRPr="0010523F" w14:paraId="6BAD1DBF" w14:textId="77777777" w:rsidTr="00774E7E">
        <w:trPr>
          <w:trHeight w:val="227"/>
        </w:trPr>
        <w:tc>
          <w:tcPr>
            <w:tcW w:w="6208" w:type="dxa"/>
            <w:vAlign w:val="bottom"/>
          </w:tcPr>
          <w:p w14:paraId="4DCB6042" w14:textId="77777777" w:rsidR="0010523F" w:rsidRPr="0010523F" w:rsidRDefault="0010523F" w:rsidP="0010523F">
            <w:pPr>
              <w:tabs>
                <w:tab w:val="left" w:pos="426"/>
              </w:tabs>
              <w:ind w:left="567" w:hanging="567"/>
              <w:rPr>
                <w:lang w:val="es-AR" w:eastAsia="en-US"/>
              </w:rPr>
            </w:pPr>
          </w:p>
        </w:tc>
        <w:tc>
          <w:tcPr>
            <w:tcW w:w="1560" w:type="dxa"/>
          </w:tcPr>
          <w:p w14:paraId="0E38992C" w14:textId="77777777" w:rsidR="0010523F" w:rsidRPr="0010523F" w:rsidRDefault="0010523F" w:rsidP="0010523F">
            <w:pPr>
              <w:ind w:left="32" w:right="-150"/>
              <w:jc w:val="center"/>
              <w:rPr>
                <w:u w:val="single"/>
                <w:lang w:val="es-AR" w:eastAsia="en-US"/>
              </w:rPr>
            </w:pPr>
            <w:r w:rsidRPr="0010523F">
              <w:rPr>
                <w:u w:val="single"/>
                <w:lang w:val="es-AR" w:eastAsia="en-US"/>
              </w:rPr>
              <w:t>30/09/2019</w:t>
            </w:r>
          </w:p>
        </w:tc>
        <w:tc>
          <w:tcPr>
            <w:tcW w:w="1560" w:type="dxa"/>
            <w:vAlign w:val="bottom"/>
          </w:tcPr>
          <w:p w14:paraId="2C58F49E" w14:textId="77777777" w:rsidR="0010523F" w:rsidRPr="0010523F" w:rsidRDefault="0010523F" w:rsidP="0010523F">
            <w:pPr>
              <w:ind w:left="32" w:right="-150"/>
              <w:jc w:val="center"/>
              <w:rPr>
                <w:lang w:val="es-AR" w:eastAsia="en-US"/>
              </w:rPr>
            </w:pPr>
            <w:r w:rsidRPr="0010523F">
              <w:rPr>
                <w:u w:val="single"/>
                <w:lang w:val="es-AR" w:eastAsia="en-US"/>
              </w:rPr>
              <w:t>31/12/2018</w:t>
            </w:r>
          </w:p>
        </w:tc>
      </w:tr>
      <w:tr w:rsidR="0010523F" w:rsidRPr="0010523F" w14:paraId="26B26BBC" w14:textId="77777777" w:rsidTr="00774E7E">
        <w:trPr>
          <w:trHeight w:val="57"/>
        </w:trPr>
        <w:tc>
          <w:tcPr>
            <w:tcW w:w="6208" w:type="dxa"/>
            <w:vAlign w:val="bottom"/>
          </w:tcPr>
          <w:p w14:paraId="6B5B2C1C" w14:textId="77777777" w:rsidR="0010523F" w:rsidRPr="0010523F" w:rsidRDefault="0010523F" w:rsidP="0010523F">
            <w:pPr>
              <w:tabs>
                <w:tab w:val="left" w:pos="426"/>
              </w:tabs>
              <w:spacing w:line="140" w:lineRule="exact"/>
              <w:ind w:left="567" w:hanging="567"/>
              <w:rPr>
                <w:lang w:val="es-AR" w:eastAsia="en-US"/>
              </w:rPr>
            </w:pPr>
          </w:p>
        </w:tc>
        <w:tc>
          <w:tcPr>
            <w:tcW w:w="1560" w:type="dxa"/>
          </w:tcPr>
          <w:p w14:paraId="23B8149A" w14:textId="77777777" w:rsidR="0010523F" w:rsidRPr="0010523F" w:rsidRDefault="0010523F" w:rsidP="0010523F">
            <w:pPr>
              <w:tabs>
                <w:tab w:val="left" w:pos="426"/>
              </w:tabs>
              <w:spacing w:line="140" w:lineRule="exact"/>
              <w:ind w:left="567" w:hanging="567"/>
              <w:rPr>
                <w:lang w:val="es-AR" w:eastAsia="en-US"/>
              </w:rPr>
            </w:pPr>
          </w:p>
        </w:tc>
        <w:tc>
          <w:tcPr>
            <w:tcW w:w="1560" w:type="dxa"/>
            <w:vAlign w:val="bottom"/>
          </w:tcPr>
          <w:p w14:paraId="67FB171C" w14:textId="77777777" w:rsidR="0010523F" w:rsidRPr="0010523F" w:rsidRDefault="0010523F" w:rsidP="0010523F">
            <w:pPr>
              <w:tabs>
                <w:tab w:val="left" w:pos="426"/>
              </w:tabs>
              <w:spacing w:line="140" w:lineRule="exact"/>
              <w:ind w:left="567" w:hanging="567"/>
              <w:rPr>
                <w:lang w:val="es-AR" w:eastAsia="en-US"/>
              </w:rPr>
            </w:pPr>
          </w:p>
        </w:tc>
      </w:tr>
      <w:tr w:rsidR="0010523F" w:rsidRPr="0010523F" w14:paraId="4AE19D78" w14:textId="77777777" w:rsidTr="00774E7E">
        <w:trPr>
          <w:trHeight w:val="227"/>
        </w:trPr>
        <w:tc>
          <w:tcPr>
            <w:tcW w:w="6208" w:type="dxa"/>
            <w:vAlign w:val="bottom"/>
          </w:tcPr>
          <w:p w14:paraId="25DBC79E" w14:textId="77777777" w:rsidR="0010523F" w:rsidRPr="0010523F" w:rsidRDefault="0010523F" w:rsidP="0010523F">
            <w:pPr>
              <w:tabs>
                <w:tab w:val="left" w:pos="426"/>
              </w:tabs>
              <w:rPr>
                <w:lang w:val="es-AR" w:eastAsia="en-US"/>
              </w:rPr>
            </w:pPr>
            <w:r w:rsidRPr="0010523F">
              <w:rPr>
                <w:u w:val="single"/>
                <w:lang w:val="es-AR" w:eastAsia="en-US"/>
              </w:rPr>
              <w:t>No corrientes</w:t>
            </w:r>
          </w:p>
        </w:tc>
        <w:tc>
          <w:tcPr>
            <w:tcW w:w="1560" w:type="dxa"/>
          </w:tcPr>
          <w:p w14:paraId="7B85B456" w14:textId="77777777" w:rsidR="0010523F" w:rsidRPr="0010523F" w:rsidRDefault="0010523F" w:rsidP="0010523F">
            <w:pPr>
              <w:ind w:left="32" w:right="-150"/>
              <w:jc w:val="center"/>
              <w:rPr>
                <w:u w:val="single"/>
                <w:lang w:val="es-AR" w:eastAsia="en-US"/>
              </w:rPr>
            </w:pPr>
          </w:p>
        </w:tc>
        <w:tc>
          <w:tcPr>
            <w:tcW w:w="1560" w:type="dxa"/>
            <w:vAlign w:val="bottom"/>
          </w:tcPr>
          <w:p w14:paraId="5364536F" w14:textId="77777777" w:rsidR="0010523F" w:rsidRPr="0010523F" w:rsidRDefault="0010523F" w:rsidP="0010523F">
            <w:pPr>
              <w:ind w:left="32" w:right="-150"/>
              <w:jc w:val="center"/>
              <w:rPr>
                <w:u w:val="single"/>
                <w:lang w:val="es-AR" w:eastAsia="en-US"/>
              </w:rPr>
            </w:pPr>
          </w:p>
        </w:tc>
      </w:tr>
      <w:tr w:rsidR="0010523F" w:rsidRPr="0010523F" w14:paraId="7DB079F1" w14:textId="77777777" w:rsidTr="00774E7E">
        <w:trPr>
          <w:trHeight w:val="113"/>
        </w:trPr>
        <w:tc>
          <w:tcPr>
            <w:tcW w:w="6208" w:type="dxa"/>
            <w:vAlign w:val="bottom"/>
          </w:tcPr>
          <w:p w14:paraId="4C62DDC2" w14:textId="77777777" w:rsidR="0010523F" w:rsidRPr="0010523F" w:rsidRDefault="0010523F" w:rsidP="0010523F">
            <w:pPr>
              <w:tabs>
                <w:tab w:val="left" w:pos="426"/>
              </w:tabs>
              <w:spacing w:line="140" w:lineRule="exact"/>
              <w:ind w:left="567" w:hanging="567"/>
              <w:rPr>
                <w:lang w:val="es-AR" w:eastAsia="en-US"/>
              </w:rPr>
            </w:pPr>
          </w:p>
        </w:tc>
        <w:tc>
          <w:tcPr>
            <w:tcW w:w="1560" w:type="dxa"/>
          </w:tcPr>
          <w:p w14:paraId="07E23B2A" w14:textId="77777777" w:rsidR="0010523F" w:rsidRPr="0010523F" w:rsidRDefault="0010523F" w:rsidP="0010523F">
            <w:pPr>
              <w:tabs>
                <w:tab w:val="left" w:pos="426"/>
              </w:tabs>
              <w:spacing w:line="140" w:lineRule="exact"/>
              <w:ind w:left="567" w:hanging="567"/>
              <w:rPr>
                <w:lang w:val="es-AR" w:eastAsia="en-US"/>
              </w:rPr>
            </w:pPr>
          </w:p>
        </w:tc>
        <w:tc>
          <w:tcPr>
            <w:tcW w:w="1560" w:type="dxa"/>
            <w:vAlign w:val="bottom"/>
          </w:tcPr>
          <w:p w14:paraId="0D046C03" w14:textId="77777777" w:rsidR="0010523F" w:rsidRPr="0010523F" w:rsidRDefault="0010523F" w:rsidP="0010523F">
            <w:pPr>
              <w:tabs>
                <w:tab w:val="left" w:pos="426"/>
              </w:tabs>
              <w:spacing w:line="140" w:lineRule="exact"/>
              <w:ind w:left="567" w:hanging="567"/>
              <w:rPr>
                <w:lang w:val="es-AR" w:eastAsia="en-US"/>
              </w:rPr>
            </w:pPr>
          </w:p>
        </w:tc>
      </w:tr>
      <w:tr w:rsidR="0010523F" w:rsidRPr="0010523F" w14:paraId="58334CDB" w14:textId="77777777" w:rsidTr="00774E7E">
        <w:trPr>
          <w:trHeight w:val="227"/>
        </w:trPr>
        <w:tc>
          <w:tcPr>
            <w:tcW w:w="6208" w:type="dxa"/>
            <w:vAlign w:val="bottom"/>
          </w:tcPr>
          <w:p w14:paraId="7642FDFF" w14:textId="77777777" w:rsidR="0010523F" w:rsidRPr="0010523F" w:rsidRDefault="0010523F" w:rsidP="0010523F">
            <w:pPr>
              <w:tabs>
                <w:tab w:val="left" w:pos="426"/>
              </w:tabs>
              <w:rPr>
                <w:lang w:val="es-AR" w:eastAsia="en-US"/>
              </w:rPr>
            </w:pPr>
            <w:r w:rsidRPr="0010523F">
              <w:rPr>
                <w:lang w:val="es-AR" w:eastAsia="en-US"/>
              </w:rPr>
              <w:t>Saldos con partes relacionadas (Nota 8)</w:t>
            </w:r>
          </w:p>
        </w:tc>
        <w:tc>
          <w:tcPr>
            <w:tcW w:w="1560" w:type="dxa"/>
          </w:tcPr>
          <w:p w14:paraId="03170BC3" w14:textId="77777777" w:rsidR="0010523F" w:rsidRPr="0010523F" w:rsidRDefault="0010523F" w:rsidP="0010523F">
            <w:pPr>
              <w:tabs>
                <w:tab w:val="decimal" w:pos="1212"/>
              </w:tabs>
              <w:jc w:val="both"/>
              <w:rPr>
                <w:lang w:val="es-AR" w:eastAsia="en-US"/>
              </w:rPr>
            </w:pPr>
            <w:r w:rsidRPr="0010523F">
              <w:rPr>
                <w:lang w:val="es-AR" w:eastAsia="en-US"/>
              </w:rPr>
              <w:t>17</w:t>
            </w:r>
          </w:p>
        </w:tc>
        <w:tc>
          <w:tcPr>
            <w:tcW w:w="1560" w:type="dxa"/>
          </w:tcPr>
          <w:p w14:paraId="262AEF83" w14:textId="77777777" w:rsidR="0010523F" w:rsidRPr="0010523F" w:rsidRDefault="0010523F" w:rsidP="0010523F">
            <w:pPr>
              <w:tabs>
                <w:tab w:val="decimal" w:pos="1212"/>
              </w:tabs>
              <w:jc w:val="both"/>
              <w:rPr>
                <w:highlight w:val="yellow"/>
                <w:lang w:val="es-AR" w:eastAsia="en-US"/>
              </w:rPr>
            </w:pPr>
            <w:r w:rsidRPr="0010523F">
              <w:rPr>
                <w:lang w:val="es-AR" w:eastAsia="en-US"/>
              </w:rPr>
              <w:t>11</w:t>
            </w:r>
          </w:p>
        </w:tc>
      </w:tr>
      <w:tr w:rsidR="0010523F" w:rsidRPr="0010523F" w14:paraId="04D81C02" w14:textId="77777777" w:rsidTr="00774E7E">
        <w:trPr>
          <w:trHeight w:val="227"/>
        </w:trPr>
        <w:tc>
          <w:tcPr>
            <w:tcW w:w="6208" w:type="dxa"/>
            <w:vAlign w:val="bottom"/>
          </w:tcPr>
          <w:p w14:paraId="43185D5A" w14:textId="77777777" w:rsidR="0010523F" w:rsidRPr="0010523F" w:rsidRDefault="0010523F" w:rsidP="0010523F">
            <w:pPr>
              <w:tabs>
                <w:tab w:val="left" w:pos="426"/>
              </w:tabs>
              <w:rPr>
                <w:lang w:val="es-AR" w:eastAsia="en-US"/>
              </w:rPr>
            </w:pPr>
            <w:r w:rsidRPr="0010523F">
              <w:rPr>
                <w:lang w:val="es-AR" w:eastAsia="en-US"/>
              </w:rPr>
              <w:t>Anticipos a proveedores y otros</w:t>
            </w:r>
          </w:p>
        </w:tc>
        <w:tc>
          <w:tcPr>
            <w:tcW w:w="1560" w:type="dxa"/>
          </w:tcPr>
          <w:p w14:paraId="18C21FD6" w14:textId="77777777" w:rsidR="0010523F" w:rsidRPr="0010523F" w:rsidRDefault="0010523F" w:rsidP="0010523F">
            <w:pPr>
              <w:tabs>
                <w:tab w:val="decimal" w:pos="1212"/>
              </w:tabs>
              <w:jc w:val="both"/>
              <w:rPr>
                <w:lang w:val="es-AR" w:eastAsia="en-US"/>
              </w:rPr>
            </w:pPr>
            <w:r w:rsidRPr="0010523F">
              <w:rPr>
                <w:lang w:val="es-AR" w:eastAsia="en-US"/>
              </w:rPr>
              <w:t>367</w:t>
            </w:r>
          </w:p>
        </w:tc>
        <w:tc>
          <w:tcPr>
            <w:tcW w:w="1560" w:type="dxa"/>
          </w:tcPr>
          <w:p w14:paraId="6A4C1BEC" w14:textId="77777777" w:rsidR="0010523F" w:rsidRPr="0010523F" w:rsidRDefault="0010523F" w:rsidP="0010523F">
            <w:pPr>
              <w:tabs>
                <w:tab w:val="decimal" w:pos="1212"/>
              </w:tabs>
              <w:jc w:val="both"/>
              <w:rPr>
                <w:highlight w:val="yellow"/>
                <w:lang w:val="es-AR" w:eastAsia="en-US"/>
              </w:rPr>
            </w:pPr>
            <w:r w:rsidRPr="0010523F">
              <w:rPr>
                <w:lang w:val="es-AR" w:eastAsia="en-US"/>
              </w:rPr>
              <w:t>387</w:t>
            </w:r>
          </w:p>
        </w:tc>
      </w:tr>
      <w:tr w:rsidR="0010523F" w:rsidRPr="0010523F" w14:paraId="4AEA4D1D" w14:textId="77777777" w:rsidTr="00774E7E">
        <w:trPr>
          <w:trHeight w:val="227"/>
        </w:trPr>
        <w:tc>
          <w:tcPr>
            <w:tcW w:w="6208" w:type="dxa"/>
            <w:vAlign w:val="bottom"/>
          </w:tcPr>
          <w:p w14:paraId="71B72216" w14:textId="77777777" w:rsidR="0010523F" w:rsidRPr="0010523F" w:rsidRDefault="0010523F" w:rsidP="0010523F">
            <w:pPr>
              <w:tabs>
                <w:tab w:val="left" w:pos="426"/>
              </w:tabs>
              <w:rPr>
                <w:lang w:val="es-AR" w:eastAsia="en-US"/>
              </w:rPr>
            </w:pPr>
            <w:r w:rsidRPr="0010523F">
              <w:rPr>
                <w:lang w:val="es-AR" w:eastAsia="en-US"/>
              </w:rPr>
              <w:t>Documentos con garantía real</w:t>
            </w:r>
          </w:p>
        </w:tc>
        <w:tc>
          <w:tcPr>
            <w:tcW w:w="1560" w:type="dxa"/>
          </w:tcPr>
          <w:p w14:paraId="19A38A06" w14:textId="77777777" w:rsidR="0010523F" w:rsidRPr="0010523F" w:rsidRDefault="0010523F" w:rsidP="0010523F">
            <w:pPr>
              <w:tabs>
                <w:tab w:val="decimal" w:pos="1212"/>
              </w:tabs>
              <w:jc w:val="both"/>
              <w:rPr>
                <w:lang w:val="es-AR" w:eastAsia="en-US"/>
              </w:rPr>
            </w:pPr>
            <w:r w:rsidRPr="0010523F">
              <w:rPr>
                <w:lang w:val="es-AR" w:eastAsia="en-US"/>
              </w:rPr>
              <w:t>157</w:t>
            </w:r>
          </w:p>
        </w:tc>
        <w:tc>
          <w:tcPr>
            <w:tcW w:w="1560" w:type="dxa"/>
          </w:tcPr>
          <w:p w14:paraId="31F2CE8A" w14:textId="77777777" w:rsidR="0010523F" w:rsidRPr="0010523F" w:rsidRDefault="0010523F" w:rsidP="0010523F">
            <w:pPr>
              <w:tabs>
                <w:tab w:val="decimal" w:pos="1212"/>
              </w:tabs>
              <w:jc w:val="both"/>
              <w:rPr>
                <w:highlight w:val="yellow"/>
                <w:lang w:val="es-AR" w:eastAsia="en-US"/>
              </w:rPr>
            </w:pPr>
            <w:r w:rsidRPr="0010523F">
              <w:rPr>
                <w:lang w:val="es-AR" w:eastAsia="en-US"/>
              </w:rPr>
              <w:t>138</w:t>
            </w:r>
          </w:p>
        </w:tc>
      </w:tr>
      <w:tr w:rsidR="0010523F" w:rsidRPr="0010523F" w14:paraId="55BCEBF5" w14:textId="77777777" w:rsidTr="00774E7E">
        <w:trPr>
          <w:trHeight w:val="227"/>
        </w:trPr>
        <w:tc>
          <w:tcPr>
            <w:tcW w:w="6208" w:type="dxa"/>
            <w:vAlign w:val="bottom"/>
          </w:tcPr>
          <w:p w14:paraId="199D283B" w14:textId="77777777" w:rsidR="0010523F" w:rsidRPr="0010523F" w:rsidRDefault="0010523F" w:rsidP="0010523F">
            <w:pPr>
              <w:tabs>
                <w:tab w:val="left" w:pos="426"/>
              </w:tabs>
              <w:rPr>
                <w:lang w:val="es-AR" w:eastAsia="en-US"/>
              </w:rPr>
            </w:pPr>
            <w:r w:rsidRPr="0010523F">
              <w:rPr>
                <w:lang w:val="es-AR" w:eastAsia="en-US"/>
              </w:rPr>
              <w:t>Préstamos al personal</w:t>
            </w:r>
          </w:p>
        </w:tc>
        <w:tc>
          <w:tcPr>
            <w:tcW w:w="1560" w:type="dxa"/>
          </w:tcPr>
          <w:p w14:paraId="3D1D18FB" w14:textId="77777777" w:rsidR="0010523F" w:rsidRPr="0010523F" w:rsidRDefault="0010523F" w:rsidP="0010523F">
            <w:pPr>
              <w:tabs>
                <w:tab w:val="decimal" w:pos="1212"/>
              </w:tabs>
              <w:jc w:val="both"/>
              <w:rPr>
                <w:lang w:val="es-AR" w:eastAsia="en-US"/>
              </w:rPr>
            </w:pPr>
            <w:r w:rsidRPr="0010523F">
              <w:rPr>
                <w:lang w:val="es-AR" w:eastAsia="en-US"/>
              </w:rPr>
              <w:t>205</w:t>
            </w:r>
          </w:p>
        </w:tc>
        <w:tc>
          <w:tcPr>
            <w:tcW w:w="1560" w:type="dxa"/>
          </w:tcPr>
          <w:p w14:paraId="20541BD8" w14:textId="77777777" w:rsidR="0010523F" w:rsidRPr="0010523F" w:rsidRDefault="0010523F" w:rsidP="0010523F">
            <w:pPr>
              <w:tabs>
                <w:tab w:val="decimal" w:pos="1212"/>
              </w:tabs>
              <w:jc w:val="both"/>
              <w:rPr>
                <w:highlight w:val="yellow"/>
                <w:lang w:val="es-AR" w:eastAsia="en-US"/>
              </w:rPr>
            </w:pPr>
            <w:r w:rsidRPr="0010523F">
              <w:rPr>
                <w:lang w:val="es-AR" w:eastAsia="en-US"/>
              </w:rPr>
              <w:t>185</w:t>
            </w:r>
          </w:p>
        </w:tc>
      </w:tr>
      <w:tr w:rsidR="0010523F" w:rsidRPr="0010523F" w14:paraId="33A4FD96" w14:textId="77777777" w:rsidTr="00774E7E">
        <w:trPr>
          <w:trHeight w:val="227"/>
        </w:trPr>
        <w:tc>
          <w:tcPr>
            <w:tcW w:w="6208" w:type="dxa"/>
            <w:vAlign w:val="bottom"/>
          </w:tcPr>
          <w:p w14:paraId="4BB50293" w14:textId="77777777" w:rsidR="0010523F" w:rsidRPr="0010523F" w:rsidRDefault="0010523F" w:rsidP="0010523F">
            <w:pPr>
              <w:tabs>
                <w:tab w:val="left" w:pos="426"/>
              </w:tabs>
              <w:rPr>
                <w:lang w:val="es-AR" w:eastAsia="en-US"/>
              </w:rPr>
            </w:pPr>
            <w:r w:rsidRPr="0010523F">
              <w:rPr>
                <w:lang w:val="es-AR" w:eastAsia="en-US"/>
              </w:rPr>
              <w:t>Instrumentos financieros derivados (Nota 6)</w:t>
            </w:r>
          </w:p>
        </w:tc>
        <w:tc>
          <w:tcPr>
            <w:tcW w:w="1560" w:type="dxa"/>
          </w:tcPr>
          <w:p w14:paraId="7A30A2CE" w14:textId="77777777" w:rsidR="0010523F" w:rsidRPr="0010523F" w:rsidRDefault="0010523F" w:rsidP="0010523F">
            <w:pPr>
              <w:tabs>
                <w:tab w:val="decimal" w:pos="1212"/>
              </w:tabs>
              <w:jc w:val="both"/>
              <w:rPr>
                <w:lang w:val="es-AR" w:eastAsia="en-US"/>
              </w:rPr>
            </w:pPr>
            <w:r w:rsidRPr="0010523F">
              <w:rPr>
                <w:lang w:val="es-AR" w:eastAsia="en-US"/>
              </w:rPr>
              <w:t>4</w:t>
            </w:r>
          </w:p>
        </w:tc>
        <w:tc>
          <w:tcPr>
            <w:tcW w:w="1560" w:type="dxa"/>
          </w:tcPr>
          <w:p w14:paraId="36E2BE22" w14:textId="77777777" w:rsidR="0010523F" w:rsidRPr="0010523F" w:rsidRDefault="0010523F" w:rsidP="0010523F">
            <w:pPr>
              <w:tabs>
                <w:tab w:val="decimal" w:pos="1212"/>
              </w:tabs>
              <w:jc w:val="both"/>
              <w:rPr>
                <w:highlight w:val="yellow"/>
                <w:lang w:val="es-AR" w:eastAsia="en-US"/>
              </w:rPr>
            </w:pPr>
            <w:r w:rsidRPr="0010523F">
              <w:rPr>
                <w:lang w:val="es-AR" w:eastAsia="en-US"/>
              </w:rPr>
              <w:t>43</w:t>
            </w:r>
          </w:p>
        </w:tc>
      </w:tr>
      <w:tr w:rsidR="0010523F" w:rsidRPr="0010523F" w14:paraId="3DBB3845" w14:textId="77777777" w:rsidTr="00774E7E">
        <w:trPr>
          <w:trHeight w:val="227"/>
        </w:trPr>
        <w:tc>
          <w:tcPr>
            <w:tcW w:w="6208" w:type="dxa"/>
            <w:vAlign w:val="bottom"/>
          </w:tcPr>
          <w:p w14:paraId="5BA13829" w14:textId="77777777" w:rsidR="0010523F" w:rsidRPr="0010523F" w:rsidRDefault="0010523F" w:rsidP="0010523F">
            <w:pPr>
              <w:tabs>
                <w:tab w:val="left" w:pos="426"/>
              </w:tabs>
              <w:rPr>
                <w:lang w:val="es-AR" w:eastAsia="en-US"/>
              </w:rPr>
            </w:pPr>
            <w:r w:rsidRPr="0010523F">
              <w:rPr>
                <w:lang w:val="es-AR" w:eastAsia="en-US"/>
              </w:rPr>
              <w:t>Créditos impositivos y aduaneros</w:t>
            </w:r>
          </w:p>
        </w:tc>
        <w:tc>
          <w:tcPr>
            <w:tcW w:w="1560" w:type="dxa"/>
          </w:tcPr>
          <w:p w14:paraId="52F46079" w14:textId="77777777" w:rsidR="0010523F" w:rsidRPr="0010523F" w:rsidRDefault="0010523F" w:rsidP="0010523F">
            <w:pPr>
              <w:tabs>
                <w:tab w:val="decimal" w:pos="1212"/>
              </w:tabs>
              <w:jc w:val="both"/>
              <w:rPr>
                <w:lang w:val="es-AR" w:eastAsia="en-US"/>
              </w:rPr>
            </w:pPr>
            <w:r w:rsidRPr="0010523F">
              <w:rPr>
                <w:lang w:val="es-AR" w:eastAsia="en-US"/>
              </w:rPr>
              <w:t>53</w:t>
            </w:r>
          </w:p>
        </w:tc>
        <w:tc>
          <w:tcPr>
            <w:tcW w:w="1560" w:type="dxa"/>
          </w:tcPr>
          <w:p w14:paraId="0425EB29" w14:textId="77777777" w:rsidR="0010523F" w:rsidRPr="0010523F" w:rsidRDefault="0010523F" w:rsidP="0010523F">
            <w:pPr>
              <w:tabs>
                <w:tab w:val="decimal" w:pos="1212"/>
              </w:tabs>
              <w:jc w:val="both"/>
              <w:rPr>
                <w:highlight w:val="yellow"/>
                <w:lang w:val="es-AR" w:eastAsia="en-US"/>
              </w:rPr>
            </w:pPr>
            <w:r w:rsidRPr="0010523F">
              <w:rPr>
                <w:lang w:val="es-AR" w:eastAsia="en-US"/>
              </w:rPr>
              <w:t>94</w:t>
            </w:r>
          </w:p>
        </w:tc>
      </w:tr>
      <w:tr w:rsidR="0010523F" w:rsidRPr="0010523F" w14:paraId="2C5DD4B0" w14:textId="77777777" w:rsidTr="00774E7E">
        <w:trPr>
          <w:trHeight w:val="227"/>
        </w:trPr>
        <w:tc>
          <w:tcPr>
            <w:tcW w:w="6208" w:type="dxa"/>
            <w:vAlign w:val="bottom"/>
          </w:tcPr>
          <w:p w14:paraId="526A87A1" w14:textId="77777777" w:rsidR="0010523F" w:rsidRPr="0010523F" w:rsidRDefault="0010523F" w:rsidP="0010523F">
            <w:pPr>
              <w:tabs>
                <w:tab w:val="left" w:pos="426"/>
              </w:tabs>
              <w:rPr>
                <w:lang w:val="es-AR" w:eastAsia="en-US"/>
              </w:rPr>
            </w:pPr>
            <w:r w:rsidRPr="0010523F">
              <w:rPr>
                <w:lang w:val="es-AR" w:eastAsia="en-US"/>
              </w:rPr>
              <w:t>Garantías judiciales (Nota 10)</w:t>
            </w:r>
          </w:p>
        </w:tc>
        <w:tc>
          <w:tcPr>
            <w:tcW w:w="1560" w:type="dxa"/>
          </w:tcPr>
          <w:p w14:paraId="5BE22026" w14:textId="77777777" w:rsidR="0010523F" w:rsidRPr="0010523F" w:rsidRDefault="0010523F" w:rsidP="0010523F">
            <w:pPr>
              <w:tabs>
                <w:tab w:val="decimal" w:pos="1212"/>
              </w:tabs>
              <w:jc w:val="both"/>
              <w:rPr>
                <w:lang w:val="es-AR" w:eastAsia="en-US"/>
              </w:rPr>
            </w:pPr>
            <w:r w:rsidRPr="0010523F">
              <w:rPr>
                <w:lang w:val="es-AR" w:eastAsia="en-US"/>
              </w:rPr>
              <w:t>31</w:t>
            </w:r>
          </w:p>
        </w:tc>
        <w:tc>
          <w:tcPr>
            <w:tcW w:w="1560" w:type="dxa"/>
          </w:tcPr>
          <w:p w14:paraId="0CF84AE4" w14:textId="77777777" w:rsidR="0010523F" w:rsidRPr="0010523F" w:rsidRDefault="0010523F" w:rsidP="0010523F">
            <w:pPr>
              <w:tabs>
                <w:tab w:val="decimal" w:pos="1212"/>
              </w:tabs>
              <w:jc w:val="both"/>
              <w:rPr>
                <w:highlight w:val="yellow"/>
                <w:lang w:val="es-AR" w:eastAsia="en-US"/>
              </w:rPr>
            </w:pPr>
            <w:r w:rsidRPr="0010523F">
              <w:rPr>
                <w:lang w:val="es-AR" w:eastAsia="en-US"/>
              </w:rPr>
              <w:t>31</w:t>
            </w:r>
          </w:p>
        </w:tc>
      </w:tr>
      <w:tr w:rsidR="0010523F" w:rsidRPr="0010523F" w14:paraId="1CE284BF" w14:textId="77777777" w:rsidTr="00774E7E">
        <w:trPr>
          <w:trHeight w:val="227"/>
        </w:trPr>
        <w:tc>
          <w:tcPr>
            <w:tcW w:w="6208" w:type="dxa"/>
            <w:vAlign w:val="bottom"/>
          </w:tcPr>
          <w:p w14:paraId="26B51ED5" w14:textId="77777777" w:rsidR="0010523F" w:rsidRPr="0010523F" w:rsidRDefault="0010523F" w:rsidP="0010523F">
            <w:pPr>
              <w:tabs>
                <w:tab w:val="left" w:pos="426"/>
              </w:tabs>
              <w:rPr>
                <w:lang w:val="es-AR" w:eastAsia="en-US"/>
              </w:rPr>
            </w:pPr>
            <w:r w:rsidRPr="0010523F">
              <w:rPr>
                <w:lang w:val="es-AR" w:eastAsia="en-US"/>
              </w:rPr>
              <w:t xml:space="preserve">Créditos diversos </w:t>
            </w:r>
          </w:p>
        </w:tc>
        <w:tc>
          <w:tcPr>
            <w:tcW w:w="1560" w:type="dxa"/>
          </w:tcPr>
          <w:p w14:paraId="0D6CA261" w14:textId="77777777" w:rsidR="0010523F" w:rsidRPr="0010523F" w:rsidRDefault="0010523F" w:rsidP="0010523F">
            <w:pPr>
              <w:tabs>
                <w:tab w:val="decimal" w:pos="1212"/>
              </w:tabs>
              <w:jc w:val="both"/>
              <w:rPr>
                <w:u w:val="single"/>
                <w:lang w:val="es-AR" w:eastAsia="en-US"/>
              </w:rPr>
            </w:pPr>
            <w:r w:rsidRPr="0010523F">
              <w:rPr>
                <w:u w:val="single"/>
                <w:lang w:val="es-AR" w:eastAsia="en-US"/>
              </w:rPr>
              <w:t xml:space="preserve">   495</w:t>
            </w:r>
          </w:p>
        </w:tc>
        <w:tc>
          <w:tcPr>
            <w:tcW w:w="1560" w:type="dxa"/>
          </w:tcPr>
          <w:p w14:paraId="1B9E2447" w14:textId="77777777" w:rsidR="0010523F" w:rsidRPr="0010523F" w:rsidRDefault="0010523F" w:rsidP="0010523F">
            <w:pPr>
              <w:tabs>
                <w:tab w:val="decimal" w:pos="1212"/>
              </w:tabs>
              <w:jc w:val="both"/>
              <w:rPr>
                <w:highlight w:val="yellow"/>
                <w:u w:val="single"/>
                <w:lang w:val="es-AR" w:eastAsia="en-US"/>
              </w:rPr>
            </w:pPr>
            <w:r w:rsidRPr="0010523F">
              <w:rPr>
                <w:u w:val="single"/>
                <w:lang w:val="es-AR" w:eastAsia="en-US"/>
              </w:rPr>
              <w:t xml:space="preserve">   348</w:t>
            </w:r>
          </w:p>
        </w:tc>
      </w:tr>
      <w:tr w:rsidR="0010523F" w:rsidRPr="0010523F" w14:paraId="1F14AE7E" w14:textId="77777777" w:rsidTr="00774E7E">
        <w:trPr>
          <w:trHeight w:val="57"/>
        </w:trPr>
        <w:tc>
          <w:tcPr>
            <w:tcW w:w="6208" w:type="dxa"/>
          </w:tcPr>
          <w:p w14:paraId="390B5BC5" w14:textId="77777777" w:rsidR="0010523F" w:rsidRPr="0010523F" w:rsidRDefault="0010523F" w:rsidP="0010523F">
            <w:pPr>
              <w:tabs>
                <w:tab w:val="left" w:pos="426"/>
              </w:tabs>
              <w:spacing w:line="140" w:lineRule="exact"/>
              <w:ind w:left="567" w:hanging="567"/>
              <w:rPr>
                <w:lang w:val="es-AR" w:eastAsia="en-US"/>
              </w:rPr>
            </w:pPr>
          </w:p>
        </w:tc>
        <w:tc>
          <w:tcPr>
            <w:tcW w:w="1560" w:type="dxa"/>
          </w:tcPr>
          <w:p w14:paraId="03CC59E1" w14:textId="77777777" w:rsidR="0010523F" w:rsidRPr="0010523F" w:rsidRDefault="0010523F" w:rsidP="0010523F">
            <w:pPr>
              <w:tabs>
                <w:tab w:val="left" w:pos="426"/>
              </w:tabs>
              <w:spacing w:line="140" w:lineRule="exact"/>
              <w:ind w:left="567" w:hanging="567"/>
              <w:rPr>
                <w:lang w:val="es-AR" w:eastAsia="en-US"/>
              </w:rPr>
            </w:pPr>
          </w:p>
        </w:tc>
        <w:tc>
          <w:tcPr>
            <w:tcW w:w="1560" w:type="dxa"/>
          </w:tcPr>
          <w:p w14:paraId="51A0C0E3" w14:textId="77777777" w:rsidR="0010523F" w:rsidRPr="0010523F" w:rsidRDefault="0010523F" w:rsidP="0010523F">
            <w:pPr>
              <w:tabs>
                <w:tab w:val="left" w:pos="426"/>
              </w:tabs>
              <w:spacing w:line="140" w:lineRule="exact"/>
              <w:ind w:left="567" w:hanging="567"/>
              <w:rPr>
                <w:lang w:val="es-AR" w:eastAsia="en-US"/>
              </w:rPr>
            </w:pPr>
          </w:p>
        </w:tc>
      </w:tr>
      <w:tr w:rsidR="0010523F" w:rsidRPr="0010523F" w14:paraId="245385F4" w14:textId="77777777" w:rsidTr="00774E7E">
        <w:trPr>
          <w:trHeight w:val="227"/>
        </w:trPr>
        <w:tc>
          <w:tcPr>
            <w:tcW w:w="6208" w:type="dxa"/>
          </w:tcPr>
          <w:p w14:paraId="7776CC12" w14:textId="77777777" w:rsidR="0010523F" w:rsidRPr="0010523F" w:rsidRDefault="0010523F" w:rsidP="0010523F">
            <w:pPr>
              <w:ind w:left="4"/>
              <w:jc w:val="both"/>
              <w:rPr>
                <w:lang w:val="es-AR" w:eastAsia="en-US"/>
              </w:rPr>
            </w:pPr>
            <w:r w:rsidRPr="0010523F">
              <w:rPr>
                <w:lang w:val="es-AR" w:eastAsia="en-US"/>
              </w:rPr>
              <w:t>Total otros créditos no corrientes</w:t>
            </w:r>
          </w:p>
        </w:tc>
        <w:tc>
          <w:tcPr>
            <w:tcW w:w="1560" w:type="dxa"/>
          </w:tcPr>
          <w:p w14:paraId="237FC680" w14:textId="77777777" w:rsidR="0010523F" w:rsidRPr="0010523F" w:rsidRDefault="0010523F" w:rsidP="0010523F">
            <w:pPr>
              <w:tabs>
                <w:tab w:val="decimal" w:pos="1212"/>
              </w:tabs>
              <w:jc w:val="both"/>
              <w:rPr>
                <w:u w:val="double"/>
                <w:lang w:val="es-AR" w:eastAsia="en-US"/>
              </w:rPr>
            </w:pPr>
            <w:r w:rsidRPr="0010523F">
              <w:rPr>
                <w:u w:val="double"/>
                <w:lang w:val="es-AR" w:eastAsia="en-US"/>
              </w:rPr>
              <w:t>1.329</w:t>
            </w:r>
          </w:p>
        </w:tc>
        <w:tc>
          <w:tcPr>
            <w:tcW w:w="1560" w:type="dxa"/>
          </w:tcPr>
          <w:p w14:paraId="77EEEEFE" w14:textId="77777777" w:rsidR="0010523F" w:rsidRPr="0010523F" w:rsidRDefault="0010523F" w:rsidP="0010523F">
            <w:pPr>
              <w:tabs>
                <w:tab w:val="decimal" w:pos="1212"/>
              </w:tabs>
              <w:jc w:val="both"/>
              <w:rPr>
                <w:highlight w:val="yellow"/>
                <w:u w:val="double"/>
                <w:lang w:val="es-AR" w:eastAsia="en-US"/>
              </w:rPr>
            </w:pPr>
            <w:r w:rsidRPr="0010523F">
              <w:rPr>
                <w:u w:val="double"/>
                <w:lang w:val="es-AR" w:eastAsia="en-US"/>
              </w:rPr>
              <w:t>1.237</w:t>
            </w:r>
          </w:p>
        </w:tc>
      </w:tr>
    </w:tbl>
    <w:p w14:paraId="3346A8E6" w14:textId="77777777" w:rsidR="0010523F" w:rsidRPr="0010523F" w:rsidRDefault="0010523F" w:rsidP="0010523F">
      <w:pPr>
        <w:spacing w:line="200" w:lineRule="exact"/>
        <w:jc w:val="both"/>
        <w:rPr>
          <w:b/>
          <w:lang w:val="es-AR" w:eastAsia="en-US"/>
        </w:rPr>
      </w:pPr>
      <w:r w:rsidRPr="0010523F">
        <w:rPr>
          <w:szCs w:val="20"/>
          <w:lang w:val="es-AR" w:eastAsia="en-US"/>
        </w:rPr>
        <w:br w:type="page"/>
      </w:r>
      <w:r w:rsidRPr="0010523F">
        <w:rPr>
          <w:b/>
          <w:lang w:val="es-AR" w:eastAsia="en-US"/>
        </w:rPr>
        <w:t>NOTA 3 -</w:t>
      </w:r>
      <w:r w:rsidRPr="0010523F">
        <w:rPr>
          <w:b/>
          <w:lang w:val="es-AR" w:eastAsia="en-US"/>
        </w:rPr>
        <w:tab/>
        <w:t>COMPOSICIÓN DE CIERTOS RUBROS DEL ESTADO DE SITUACIÓN FINANCIERA INTERMEDIO CONDENSADO (cont.)</w:t>
      </w:r>
    </w:p>
    <w:p w14:paraId="38CA4F6E" w14:textId="77777777" w:rsidR="0010523F" w:rsidRPr="0010523F" w:rsidRDefault="0010523F" w:rsidP="00E2318E">
      <w:pPr>
        <w:numPr>
          <w:ilvl w:val="0"/>
          <w:numId w:val="75"/>
        </w:numPr>
        <w:spacing w:before="240" w:after="120" w:line="220" w:lineRule="exact"/>
        <w:ind w:left="426"/>
        <w:contextualSpacing/>
        <w:jc w:val="both"/>
        <w:rPr>
          <w:szCs w:val="20"/>
          <w:lang w:val="es-AR" w:eastAsia="en-US"/>
        </w:rPr>
      </w:pPr>
      <w:r w:rsidRPr="0010523F">
        <w:rPr>
          <w:lang w:val="es-AR" w:eastAsia="en-US"/>
        </w:rPr>
        <w:t>Otros créditos no corrientes y corrientes (cont.)</w:t>
      </w:r>
    </w:p>
    <w:tbl>
      <w:tblPr>
        <w:tblW w:w="9328" w:type="dxa"/>
        <w:tblInd w:w="-4" w:type="dxa"/>
        <w:tblLayout w:type="fixed"/>
        <w:tblLook w:val="0000" w:firstRow="0" w:lastRow="0" w:firstColumn="0" w:lastColumn="0" w:noHBand="0" w:noVBand="0"/>
      </w:tblPr>
      <w:tblGrid>
        <w:gridCol w:w="6208"/>
        <w:gridCol w:w="1560"/>
        <w:gridCol w:w="1560"/>
      </w:tblGrid>
      <w:tr w:rsidR="0010523F" w:rsidRPr="0010523F" w14:paraId="4D0F0914" w14:textId="77777777" w:rsidTr="00774E7E">
        <w:trPr>
          <w:trHeight w:val="64"/>
        </w:trPr>
        <w:tc>
          <w:tcPr>
            <w:tcW w:w="6208" w:type="dxa"/>
          </w:tcPr>
          <w:p w14:paraId="4455FA90" w14:textId="77777777" w:rsidR="0010523F" w:rsidRPr="0010523F" w:rsidRDefault="0010523F" w:rsidP="0010523F">
            <w:pPr>
              <w:ind w:left="430"/>
              <w:jc w:val="both"/>
              <w:rPr>
                <w:u w:val="single"/>
                <w:lang w:val="es-AR" w:eastAsia="en-US"/>
              </w:rPr>
            </w:pPr>
          </w:p>
        </w:tc>
        <w:tc>
          <w:tcPr>
            <w:tcW w:w="1560" w:type="dxa"/>
          </w:tcPr>
          <w:p w14:paraId="317A4AB8" w14:textId="77777777" w:rsidR="0010523F" w:rsidRPr="0010523F" w:rsidRDefault="0010523F" w:rsidP="0010523F">
            <w:pPr>
              <w:tabs>
                <w:tab w:val="decimal" w:pos="1212"/>
              </w:tabs>
              <w:jc w:val="both"/>
              <w:rPr>
                <w:highlight w:val="yellow"/>
                <w:u w:val="double"/>
                <w:lang w:val="es-AR" w:eastAsia="en-US"/>
              </w:rPr>
            </w:pPr>
            <w:r w:rsidRPr="0010523F">
              <w:rPr>
                <w:u w:val="single"/>
                <w:lang w:val="es-AR" w:eastAsia="en-US"/>
              </w:rPr>
              <w:t>30/09/2019</w:t>
            </w:r>
          </w:p>
        </w:tc>
        <w:tc>
          <w:tcPr>
            <w:tcW w:w="1560" w:type="dxa"/>
            <w:vAlign w:val="bottom"/>
          </w:tcPr>
          <w:p w14:paraId="3B91379B" w14:textId="77777777" w:rsidR="0010523F" w:rsidRPr="0010523F" w:rsidRDefault="0010523F" w:rsidP="0010523F">
            <w:pPr>
              <w:tabs>
                <w:tab w:val="decimal" w:pos="1212"/>
              </w:tabs>
              <w:jc w:val="both"/>
              <w:rPr>
                <w:u w:val="double"/>
                <w:lang w:val="es-AR" w:eastAsia="en-US"/>
              </w:rPr>
            </w:pPr>
            <w:r w:rsidRPr="0010523F">
              <w:rPr>
                <w:u w:val="single"/>
                <w:lang w:val="es-AR" w:eastAsia="en-US"/>
              </w:rPr>
              <w:t>31/12/2018</w:t>
            </w:r>
          </w:p>
        </w:tc>
      </w:tr>
      <w:tr w:rsidR="0010523F" w:rsidRPr="0010523F" w14:paraId="0793D1D6" w14:textId="77777777" w:rsidTr="00774E7E">
        <w:trPr>
          <w:trHeight w:val="170"/>
        </w:trPr>
        <w:tc>
          <w:tcPr>
            <w:tcW w:w="6208" w:type="dxa"/>
          </w:tcPr>
          <w:p w14:paraId="54DC20F3" w14:textId="77777777" w:rsidR="0010523F" w:rsidRPr="0010523F" w:rsidRDefault="0010523F" w:rsidP="0010523F">
            <w:pPr>
              <w:spacing w:line="180" w:lineRule="exact"/>
              <w:ind w:left="430"/>
              <w:jc w:val="both"/>
              <w:rPr>
                <w:u w:val="single"/>
                <w:lang w:val="es-AR" w:eastAsia="en-US"/>
              </w:rPr>
            </w:pPr>
          </w:p>
        </w:tc>
        <w:tc>
          <w:tcPr>
            <w:tcW w:w="1560" w:type="dxa"/>
          </w:tcPr>
          <w:p w14:paraId="1BE8FE92" w14:textId="77777777" w:rsidR="0010523F" w:rsidRPr="0010523F" w:rsidRDefault="0010523F" w:rsidP="0010523F">
            <w:pPr>
              <w:tabs>
                <w:tab w:val="decimal" w:pos="1212"/>
              </w:tabs>
              <w:spacing w:line="180" w:lineRule="exact"/>
              <w:jc w:val="both"/>
              <w:rPr>
                <w:highlight w:val="yellow"/>
                <w:u w:val="double"/>
                <w:lang w:val="es-AR" w:eastAsia="en-US"/>
              </w:rPr>
            </w:pPr>
          </w:p>
        </w:tc>
        <w:tc>
          <w:tcPr>
            <w:tcW w:w="1560" w:type="dxa"/>
          </w:tcPr>
          <w:p w14:paraId="547AD6EB" w14:textId="77777777" w:rsidR="0010523F" w:rsidRPr="0010523F" w:rsidRDefault="0010523F" w:rsidP="0010523F">
            <w:pPr>
              <w:tabs>
                <w:tab w:val="decimal" w:pos="1212"/>
              </w:tabs>
              <w:spacing w:line="180" w:lineRule="exact"/>
              <w:jc w:val="both"/>
              <w:rPr>
                <w:u w:val="double"/>
                <w:lang w:val="es-AR" w:eastAsia="en-US"/>
              </w:rPr>
            </w:pPr>
          </w:p>
        </w:tc>
      </w:tr>
      <w:tr w:rsidR="0010523F" w:rsidRPr="0010523F" w14:paraId="421CA5B3" w14:textId="77777777" w:rsidTr="00774E7E">
        <w:trPr>
          <w:trHeight w:val="227"/>
        </w:trPr>
        <w:tc>
          <w:tcPr>
            <w:tcW w:w="6208" w:type="dxa"/>
          </w:tcPr>
          <w:p w14:paraId="4CE5B7C3" w14:textId="77777777" w:rsidR="0010523F" w:rsidRPr="0010523F" w:rsidRDefault="0010523F" w:rsidP="0010523F">
            <w:pPr>
              <w:jc w:val="both"/>
              <w:rPr>
                <w:u w:val="single"/>
                <w:lang w:val="es-AR" w:eastAsia="en-US"/>
              </w:rPr>
            </w:pPr>
            <w:r w:rsidRPr="0010523F">
              <w:rPr>
                <w:u w:val="single"/>
                <w:lang w:val="es-AR" w:eastAsia="en-US"/>
              </w:rPr>
              <w:t>Corrientes</w:t>
            </w:r>
          </w:p>
        </w:tc>
        <w:tc>
          <w:tcPr>
            <w:tcW w:w="1560" w:type="dxa"/>
          </w:tcPr>
          <w:p w14:paraId="23C79673" w14:textId="77777777" w:rsidR="0010523F" w:rsidRPr="0010523F" w:rsidRDefault="0010523F" w:rsidP="0010523F">
            <w:pPr>
              <w:tabs>
                <w:tab w:val="decimal" w:pos="1212"/>
              </w:tabs>
              <w:jc w:val="both"/>
              <w:rPr>
                <w:highlight w:val="yellow"/>
                <w:u w:val="double"/>
                <w:lang w:val="es-AR" w:eastAsia="en-US"/>
              </w:rPr>
            </w:pPr>
          </w:p>
        </w:tc>
        <w:tc>
          <w:tcPr>
            <w:tcW w:w="1560" w:type="dxa"/>
          </w:tcPr>
          <w:p w14:paraId="3AE36EC1" w14:textId="77777777" w:rsidR="0010523F" w:rsidRPr="0010523F" w:rsidRDefault="0010523F" w:rsidP="0010523F">
            <w:pPr>
              <w:tabs>
                <w:tab w:val="decimal" w:pos="1212"/>
              </w:tabs>
              <w:jc w:val="both"/>
              <w:rPr>
                <w:u w:val="double"/>
                <w:lang w:val="es-AR" w:eastAsia="en-US"/>
              </w:rPr>
            </w:pPr>
          </w:p>
        </w:tc>
      </w:tr>
      <w:tr w:rsidR="0010523F" w:rsidRPr="0010523F" w14:paraId="514F104F" w14:textId="77777777" w:rsidTr="00774E7E">
        <w:trPr>
          <w:trHeight w:val="157"/>
        </w:trPr>
        <w:tc>
          <w:tcPr>
            <w:tcW w:w="6208" w:type="dxa"/>
          </w:tcPr>
          <w:p w14:paraId="600D97B8" w14:textId="77777777" w:rsidR="0010523F" w:rsidRPr="0010523F" w:rsidRDefault="0010523F" w:rsidP="0010523F">
            <w:pPr>
              <w:spacing w:line="160" w:lineRule="exact"/>
              <w:ind w:left="431"/>
              <w:jc w:val="both"/>
              <w:rPr>
                <w:u w:val="single"/>
                <w:lang w:val="es-AR" w:eastAsia="en-US"/>
              </w:rPr>
            </w:pPr>
          </w:p>
        </w:tc>
        <w:tc>
          <w:tcPr>
            <w:tcW w:w="1560" w:type="dxa"/>
          </w:tcPr>
          <w:p w14:paraId="048269EE" w14:textId="77777777" w:rsidR="0010523F" w:rsidRPr="0010523F" w:rsidRDefault="0010523F" w:rsidP="0010523F">
            <w:pPr>
              <w:spacing w:line="160" w:lineRule="exact"/>
              <w:ind w:left="431"/>
              <w:jc w:val="both"/>
              <w:rPr>
                <w:u w:val="single"/>
                <w:lang w:val="es-AR" w:eastAsia="en-US"/>
              </w:rPr>
            </w:pPr>
          </w:p>
        </w:tc>
        <w:tc>
          <w:tcPr>
            <w:tcW w:w="1560" w:type="dxa"/>
          </w:tcPr>
          <w:p w14:paraId="1A267B26" w14:textId="77777777" w:rsidR="0010523F" w:rsidRPr="0010523F" w:rsidRDefault="0010523F" w:rsidP="0010523F">
            <w:pPr>
              <w:spacing w:line="160" w:lineRule="exact"/>
              <w:ind w:left="431"/>
              <w:jc w:val="both"/>
              <w:rPr>
                <w:u w:val="single"/>
                <w:lang w:val="es-AR" w:eastAsia="en-US"/>
              </w:rPr>
            </w:pPr>
          </w:p>
        </w:tc>
      </w:tr>
      <w:tr w:rsidR="0010523F" w:rsidRPr="0010523F" w14:paraId="60C03EEC" w14:textId="77777777" w:rsidTr="00774E7E">
        <w:trPr>
          <w:trHeight w:val="227"/>
        </w:trPr>
        <w:tc>
          <w:tcPr>
            <w:tcW w:w="6208" w:type="dxa"/>
          </w:tcPr>
          <w:p w14:paraId="613186AE" w14:textId="77777777" w:rsidR="0010523F" w:rsidRPr="0010523F" w:rsidRDefault="0010523F" w:rsidP="0010523F">
            <w:pPr>
              <w:ind w:left="4"/>
              <w:rPr>
                <w:lang w:val="es-AR" w:eastAsia="en-US"/>
              </w:rPr>
            </w:pPr>
            <w:r w:rsidRPr="0010523F">
              <w:rPr>
                <w:lang w:val="es-AR" w:eastAsia="en-US"/>
              </w:rPr>
              <w:t>Anticipos a proveedores y otros</w:t>
            </w:r>
          </w:p>
        </w:tc>
        <w:tc>
          <w:tcPr>
            <w:tcW w:w="1560" w:type="dxa"/>
          </w:tcPr>
          <w:p w14:paraId="4408B533" w14:textId="77777777" w:rsidR="0010523F" w:rsidRPr="0010523F" w:rsidRDefault="0010523F" w:rsidP="0010523F">
            <w:pPr>
              <w:tabs>
                <w:tab w:val="decimal" w:pos="1212"/>
              </w:tabs>
              <w:jc w:val="both"/>
              <w:rPr>
                <w:u w:val="double"/>
                <w:lang w:val="es-AR" w:eastAsia="en-US"/>
              </w:rPr>
            </w:pPr>
            <w:r w:rsidRPr="0010523F">
              <w:rPr>
                <w:lang w:val="es-AR" w:eastAsia="en-US"/>
              </w:rPr>
              <w:t>4.621</w:t>
            </w:r>
          </w:p>
        </w:tc>
        <w:tc>
          <w:tcPr>
            <w:tcW w:w="1560" w:type="dxa"/>
          </w:tcPr>
          <w:p w14:paraId="1D1C4643"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3.584</w:t>
            </w:r>
          </w:p>
        </w:tc>
      </w:tr>
      <w:tr w:rsidR="0010523F" w:rsidRPr="0010523F" w14:paraId="03AFB26D" w14:textId="77777777" w:rsidTr="00774E7E">
        <w:trPr>
          <w:trHeight w:val="227"/>
        </w:trPr>
        <w:tc>
          <w:tcPr>
            <w:tcW w:w="6208" w:type="dxa"/>
          </w:tcPr>
          <w:p w14:paraId="4A3AC19F" w14:textId="77777777" w:rsidR="0010523F" w:rsidRPr="0010523F" w:rsidRDefault="0010523F" w:rsidP="0010523F">
            <w:pPr>
              <w:ind w:left="4"/>
              <w:rPr>
                <w:lang w:val="es-AR" w:eastAsia="en-US"/>
              </w:rPr>
            </w:pPr>
            <w:r w:rsidRPr="0010523F">
              <w:rPr>
                <w:lang w:val="es-AR" w:eastAsia="en-US"/>
              </w:rPr>
              <w:t xml:space="preserve">Créditos impositivos </w:t>
            </w:r>
          </w:p>
        </w:tc>
        <w:tc>
          <w:tcPr>
            <w:tcW w:w="1560" w:type="dxa"/>
          </w:tcPr>
          <w:p w14:paraId="4B22BB17" w14:textId="77777777" w:rsidR="0010523F" w:rsidRPr="0010523F" w:rsidRDefault="0010523F" w:rsidP="0010523F">
            <w:pPr>
              <w:tabs>
                <w:tab w:val="decimal" w:pos="1212"/>
              </w:tabs>
              <w:jc w:val="both"/>
              <w:rPr>
                <w:u w:val="double"/>
                <w:lang w:val="es-AR" w:eastAsia="en-US"/>
              </w:rPr>
            </w:pPr>
            <w:r w:rsidRPr="0010523F">
              <w:rPr>
                <w:lang w:val="es-AR" w:eastAsia="en-US"/>
              </w:rPr>
              <w:t>1.635</w:t>
            </w:r>
          </w:p>
        </w:tc>
        <w:tc>
          <w:tcPr>
            <w:tcW w:w="1560" w:type="dxa"/>
          </w:tcPr>
          <w:p w14:paraId="0E704264"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3.748</w:t>
            </w:r>
          </w:p>
        </w:tc>
      </w:tr>
      <w:tr w:rsidR="0010523F" w:rsidRPr="0010523F" w14:paraId="3B109150" w14:textId="77777777" w:rsidTr="00774E7E">
        <w:trPr>
          <w:trHeight w:val="227"/>
        </w:trPr>
        <w:tc>
          <w:tcPr>
            <w:tcW w:w="6208" w:type="dxa"/>
          </w:tcPr>
          <w:p w14:paraId="065CA6A4" w14:textId="77777777" w:rsidR="0010523F" w:rsidRPr="0010523F" w:rsidRDefault="0010523F" w:rsidP="0010523F">
            <w:pPr>
              <w:ind w:left="4"/>
              <w:rPr>
                <w:lang w:val="es-AR" w:eastAsia="en-US"/>
              </w:rPr>
            </w:pPr>
            <w:r w:rsidRPr="0010523F">
              <w:rPr>
                <w:lang w:val="es-AR" w:eastAsia="en-US"/>
              </w:rPr>
              <w:t>Préstamos al personal</w:t>
            </w:r>
          </w:p>
        </w:tc>
        <w:tc>
          <w:tcPr>
            <w:tcW w:w="1560" w:type="dxa"/>
          </w:tcPr>
          <w:p w14:paraId="2B71870B" w14:textId="77777777" w:rsidR="0010523F" w:rsidRPr="0010523F" w:rsidRDefault="0010523F" w:rsidP="0010523F">
            <w:pPr>
              <w:tabs>
                <w:tab w:val="decimal" w:pos="1212"/>
              </w:tabs>
              <w:jc w:val="both"/>
              <w:rPr>
                <w:u w:val="double"/>
                <w:lang w:val="es-AR" w:eastAsia="en-US"/>
              </w:rPr>
            </w:pPr>
            <w:r w:rsidRPr="0010523F">
              <w:rPr>
                <w:lang w:val="es-AR" w:eastAsia="en-US"/>
              </w:rPr>
              <w:t>667</w:t>
            </w:r>
          </w:p>
        </w:tc>
        <w:tc>
          <w:tcPr>
            <w:tcW w:w="1560" w:type="dxa"/>
          </w:tcPr>
          <w:p w14:paraId="3D5683F1"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485</w:t>
            </w:r>
          </w:p>
        </w:tc>
      </w:tr>
      <w:tr w:rsidR="0010523F" w:rsidRPr="0010523F" w14:paraId="632399CD" w14:textId="77777777" w:rsidTr="00774E7E">
        <w:trPr>
          <w:trHeight w:val="227"/>
        </w:trPr>
        <w:tc>
          <w:tcPr>
            <w:tcW w:w="6208" w:type="dxa"/>
          </w:tcPr>
          <w:p w14:paraId="05A37EF6" w14:textId="77777777" w:rsidR="0010523F" w:rsidRPr="0010523F" w:rsidRDefault="0010523F" w:rsidP="0010523F">
            <w:pPr>
              <w:ind w:left="4"/>
              <w:rPr>
                <w:lang w:val="es-AR" w:eastAsia="en-US"/>
              </w:rPr>
            </w:pPr>
            <w:r w:rsidRPr="0010523F">
              <w:rPr>
                <w:lang w:val="es-AR" w:eastAsia="en-US"/>
              </w:rPr>
              <w:t>Saldos con partes relacionadas (Nota 8)</w:t>
            </w:r>
          </w:p>
        </w:tc>
        <w:tc>
          <w:tcPr>
            <w:tcW w:w="1560" w:type="dxa"/>
          </w:tcPr>
          <w:p w14:paraId="6C4A4F1F" w14:textId="77777777" w:rsidR="0010523F" w:rsidRPr="0010523F" w:rsidRDefault="0010523F" w:rsidP="0010523F">
            <w:pPr>
              <w:tabs>
                <w:tab w:val="decimal" w:pos="1212"/>
              </w:tabs>
              <w:jc w:val="both"/>
              <w:rPr>
                <w:u w:val="double"/>
                <w:lang w:val="es-AR" w:eastAsia="en-US"/>
              </w:rPr>
            </w:pPr>
            <w:r w:rsidRPr="0010523F">
              <w:rPr>
                <w:lang w:val="es-AR" w:eastAsia="en-US"/>
              </w:rPr>
              <w:t>550</w:t>
            </w:r>
          </w:p>
        </w:tc>
        <w:tc>
          <w:tcPr>
            <w:tcW w:w="1560" w:type="dxa"/>
          </w:tcPr>
          <w:p w14:paraId="79CA5B75"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380</w:t>
            </w:r>
          </w:p>
        </w:tc>
      </w:tr>
      <w:tr w:rsidR="0010523F" w:rsidRPr="0010523F" w14:paraId="6870DB00" w14:textId="77777777" w:rsidTr="00774E7E">
        <w:trPr>
          <w:trHeight w:val="227"/>
        </w:trPr>
        <w:tc>
          <w:tcPr>
            <w:tcW w:w="6208" w:type="dxa"/>
          </w:tcPr>
          <w:p w14:paraId="67D048E1" w14:textId="77777777" w:rsidR="0010523F" w:rsidRPr="0010523F" w:rsidRDefault="0010523F" w:rsidP="0010523F">
            <w:pPr>
              <w:ind w:left="4"/>
              <w:rPr>
                <w:lang w:val="es-AR" w:eastAsia="en-US"/>
              </w:rPr>
            </w:pPr>
            <w:r w:rsidRPr="0010523F">
              <w:rPr>
                <w:lang w:val="es-AR" w:eastAsia="en-US"/>
              </w:rPr>
              <w:t>Gastos pagados por adelantado y a recuperar</w:t>
            </w:r>
          </w:p>
        </w:tc>
        <w:tc>
          <w:tcPr>
            <w:tcW w:w="1560" w:type="dxa"/>
          </w:tcPr>
          <w:p w14:paraId="3C88BFCC" w14:textId="77777777" w:rsidR="0010523F" w:rsidRPr="0010523F" w:rsidRDefault="0010523F" w:rsidP="0010523F">
            <w:pPr>
              <w:tabs>
                <w:tab w:val="decimal" w:pos="1212"/>
              </w:tabs>
              <w:jc w:val="both"/>
              <w:rPr>
                <w:u w:val="double"/>
                <w:lang w:val="es-AR" w:eastAsia="en-US"/>
              </w:rPr>
            </w:pPr>
            <w:r w:rsidRPr="0010523F">
              <w:rPr>
                <w:lang w:val="es-AR" w:eastAsia="en-US"/>
              </w:rPr>
              <w:t>366</w:t>
            </w:r>
          </w:p>
        </w:tc>
        <w:tc>
          <w:tcPr>
            <w:tcW w:w="1560" w:type="dxa"/>
          </w:tcPr>
          <w:p w14:paraId="6532C9B4"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124</w:t>
            </w:r>
          </w:p>
        </w:tc>
      </w:tr>
      <w:tr w:rsidR="0010523F" w:rsidRPr="0010523F" w14:paraId="6D93B484" w14:textId="77777777" w:rsidTr="00774E7E">
        <w:trPr>
          <w:trHeight w:val="227"/>
        </w:trPr>
        <w:tc>
          <w:tcPr>
            <w:tcW w:w="6208" w:type="dxa"/>
          </w:tcPr>
          <w:p w14:paraId="4C8E7C52" w14:textId="77777777" w:rsidR="0010523F" w:rsidRPr="0010523F" w:rsidRDefault="0010523F" w:rsidP="0010523F">
            <w:pPr>
              <w:ind w:left="4"/>
              <w:rPr>
                <w:lang w:val="es-AR" w:eastAsia="en-US"/>
              </w:rPr>
            </w:pPr>
            <w:r w:rsidRPr="0010523F">
              <w:rPr>
                <w:lang w:val="es-AR" w:eastAsia="en-US"/>
              </w:rPr>
              <w:t>Documentos con garantía real</w:t>
            </w:r>
          </w:p>
        </w:tc>
        <w:tc>
          <w:tcPr>
            <w:tcW w:w="1560" w:type="dxa"/>
          </w:tcPr>
          <w:p w14:paraId="11443028" w14:textId="77777777" w:rsidR="0010523F" w:rsidRPr="0010523F" w:rsidRDefault="0010523F" w:rsidP="0010523F">
            <w:pPr>
              <w:tabs>
                <w:tab w:val="decimal" w:pos="1212"/>
              </w:tabs>
              <w:jc w:val="both"/>
              <w:rPr>
                <w:u w:val="double"/>
                <w:lang w:val="es-AR" w:eastAsia="en-US"/>
              </w:rPr>
            </w:pPr>
            <w:r w:rsidRPr="0010523F">
              <w:rPr>
                <w:lang w:val="es-AR" w:eastAsia="en-US"/>
              </w:rPr>
              <w:t>100</w:t>
            </w:r>
          </w:p>
        </w:tc>
        <w:tc>
          <w:tcPr>
            <w:tcW w:w="1560" w:type="dxa"/>
          </w:tcPr>
          <w:p w14:paraId="7FF82440"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70</w:t>
            </w:r>
          </w:p>
        </w:tc>
      </w:tr>
      <w:tr w:rsidR="0010523F" w:rsidRPr="0010523F" w14:paraId="18AB29F1" w14:textId="77777777" w:rsidTr="00774E7E">
        <w:trPr>
          <w:trHeight w:val="227"/>
        </w:trPr>
        <w:tc>
          <w:tcPr>
            <w:tcW w:w="6208" w:type="dxa"/>
          </w:tcPr>
          <w:p w14:paraId="5681232A" w14:textId="77777777" w:rsidR="0010523F" w:rsidRPr="0010523F" w:rsidRDefault="0010523F" w:rsidP="0010523F">
            <w:pPr>
              <w:ind w:left="4"/>
              <w:rPr>
                <w:lang w:val="es-AR" w:eastAsia="en-US"/>
              </w:rPr>
            </w:pPr>
            <w:r w:rsidRPr="0010523F">
              <w:rPr>
                <w:lang w:val="es-AR" w:eastAsia="en-US"/>
              </w:rPr>
              <w:t>Instrumentos financieros derivados (Nota 6)</w:t>
            </w:r>
          </w:p>
        </w:tc>
        <w:tc>
          <w:tcPr>
            <w:tcW w:w="1560" w:type="dxa"/>
          </w:tcPr>
          <w:p w14:paraId="332EDBCC" w14:textId="77777777" w:rsidR="0010523F" w:rsidRPr="0010523F" w:rsidRDefault="0010523F" w:rsidP="0010523F">
            <w:pPr>
              <w:tabs>
                <w:tab w:val="decimal" w:pos="1212"/>
              </w:tabs>
              <w:jc w:val="both"/>
              <w:rPr>
                <w:u w:val="double"/>
                <w:lang w:val="es-AR" w:eastAsia="en-US"/>
              </w:rPr>
            </w:pPr>
            <w:r w:rsidRPr="0010523F">
              <w:rPr>
                <w:lang w:val="es-AR" w:eastAsia="en-US"/>
              </w:rPr>
              <w:t>12</w:t>
            </w:r>
          </w:p>
        </w:tc>
        <w:tc>
          <w:tcPr>
            <w:tcW w:w="1560" w:type="dxa"/>
          </w:tcPr>
          <w:p w14:paraId="27B2FD46"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28</w:t>
            </w:r>
          </w:p>
        </w:tc>
      </w:tr>
      <w:tr w:rsidR="0010523F" w:rsidRPr="0010523F" w14:paraId="16E7B5F1" w14:textId="77777777" w:rsidTr="00774E7E">
        <w:trPr>
          <w:trHeight w:val="227"/>
        </w:trPr>
        <w:tc>
          <w:tcPr>
            <w:tcW w:w="6208" w:type="dxa"/>
          </w:tcPr>
          <w:p w14:paraId="7974CF46" w14:textId="77777777" w:rsidR="0010523F" w:rsidRPr="0010523F" w:rsidRDefault="0010523F" w:rsidP="0010523F">
            <w:pPr>
              <w:ind w:left="4"/>
              <w:rPr>
                <w:lang w:val="es-AR" w:eastAsia="en-US"/>
              </w:rPr>
            </w:pPr>
            <w:r w:rsidRPr="0010523F">
              <w:rPr>
                <w:lang w:val="es-AR" w:eastAsia="en-US"/>
              </w:rPr>
              <w:t>Subsidio al gas licuado</w:t>
            </w:r>
          </w:p>
        </w:tc>
        <w:tc>
          <w:tcPr>
            <w:tcW w:w="1560" w:type="dxa"/>
          </w:tcPr>
          <w:p w14:paraId="1140B0A3" w14:textId="77777777" w:rsidR="0010523F" w:rsidRPr="0010523F" w:rsidRDefault="0010523F" w:rsidP="0010523F">
            <w:pPr>
              <w:tabs>
                <w:tab w:val="decimal" w:pos="1212"/>
              </w:tabs>
              <w:jc w:val="both"/>
              <w:rPr>
                <w:u w:val="double"/>
                <w:lang w:val="es-AR" w:eastAsia="en-US"/>
              </w:rPr>
            </w:pPr>
            <w:r w:rsidRPr="0010523F">
              <w:rPr>
                <w:lang w:val="es-AR" w:eastAsia="en-US"/>
              </w:rPr>
              <w:t>6</w:t>
            </w:r>
          </w:p>
        </w:tc>
        <w:tc>
          <w:tcPr>
            <w:tcW w:w="1560" w:type="dxa"/>
          </w:tcPr>
          <w:p w14:paraId="79C50898"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26</w:t>
            </w:r>
          </w:p>
        </w:tc>
      </w:tr>
      <w:tr w:rsidR="0010523F" w:rsidRPr="0010523F" w14:paraId="15D0CB61" w14:textId="77777777" w:rsidTr="00774E7E">
        <w:trPr>
          <w:trHeight w:val="227"/>
        </w:trPr>
        <w:tc>
          <w:tcPr>
            <w:tcW w:w="6208" w:type="dxa"/>
          </w:tcPr>
          <w:p w14:paraId="523BA8CE" w14:textId="77777777" w:rsidR="0010523F" w:rsidRPr="0010523F" w:rsidRDefault="0010523F" w:rsidP="0010523F">
            <w:pPr>
              <w:ind w:left="4"/>
              <w:rPr>
                <w:lang w:val="es-AR" w:eastAsia="en-US"/>
              </w:rPr>
            </w:pPr>
            <w:r w:rsidRPr="0010523F">
              <w:rPr>
                <w:lang w:val="es-AR" w:eastAsia="en-US"/>
              </w:rPr>
              <w:t>Subvenciones a cobrar</w:t>
            </w:r>
          </w:p>
        </w:tc>
        <w:tc>
          <w:tcPr>
            <w:tcW w:w="1560" w:type="dxa"/>
          </w:tcPr>
          <w:p w14:paraId="55C7C0E6" w14:textId="77777777" w:rsidR="0010523F" w:rsidRPr="0010523F" w:rsidRDefault="0010523F" w:rsidP="0010523F">
            <w:pPr>
              <w:tabs>
                <w:tab w:val="decimal" w:pos="1212"/>
              </w:tabs>
              <w:jc w:val="both"/>
              <w:rPr>
                <w:u w:val="double"/>
                <w:lang w:val="es-AR" w:eastAsia="en-US"/>
              </w:rPr>
            </w:pPr>
            <w:r w:rsidRPr="0010523F">
              <w:rPr>
                <w:lang w:val="es-AR" w:eastAsia="en-US"/>
              </w:rPr>
              <w:t>215</w:t>
            </w:r>
          </w:p>
        </w:tc>
        <w:tc>
          <w:tcPr>
            <w:tcW w:w="1560" w:type="dxa"/>
          </w:tcPr>
          <w:p w14:paraId="6B401E21"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166</w:t>
            </w:r>
          </w:p>
        </w:tc>
      </w:tr>
      <w:tr w:rsidR="0010523F" w:rsidRPr="0010523F" w14:paraId="4000A99B" w14:textId="77777777" w:rsidTr="00774E7E">
        <w:trPr>
          <w:trHeight w:val="227"/>
        </w:trPr>
        <w:tc>
          <w:tcPr>
            <w:tcW w:w="6208" w:type="dxa"/>
          </w:tcPr>
          <w:p w14:paraId="06171797" w14:textId="77777777" w:rsidR="0010523F" w:rsidRPr="0010523F" w:rsidRDefault="0010523F" w:rsidP="0010523F">
            <w:pPr>
              <w:ind w:left="4"/>
              <w:rPr>
                <w:lang w:val="es-AR" w:eastAsia="en-US"/>
              </w:rPr>
            </w:pPr>
            <w:r w:rsidRPr="0010523F">
              <w:rPr>
                <w:lang w:val="es-AR" w:eastAsia="en-US"/>
              </w:rPr>
              <w:t xml:space="preserve">Créditos diversos </w:t>
            </w:r>
          </w:p>
        </w:tc>
        <w:tc>
          <w:tcPr>
            <w:tcW w:w="1560" w:type="dxa"/>
          </w:tcPr>
          <w:p w14:paraId="3EF0BD0B" w14:textId="77777777" w:rsidR="0010523F" w:rsidRPr="0010523F" w:rsidRDefault="0010523F" w:rsidP="0010523F">
            <w:pPr>
              <w:tabs>
                <w:tab w:val="decimal" w:pos="1212"/>
              </w:tabs>
              <w:jc w:val="both"/>
              <w:rPr>
                <w:u w:val="double"/>
                <w:lang w:val="es-AR" w:eastAsia="en-US"/>
              </w:rPr>
            </w:pPr>
            <w:r w:rsidRPr="0010523F">
              <w:rPr>
                <w:lang w:val="es-AR" w:eastAsia="en-US"/>
              </w:rPr>
              <w:t>1.236</w:t>
            </w:r>
          </w:p>
        </w:tc>
        <w:tc>
          <w:tcPr>
            <w:tcW w:w="1560" w:type="dxa"/>
          </w:tcPr>
          <w:p w14:paraId="349129E3"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 xml:space="preserve">  931</w:t>
            </w:r>
          </w:p>
        </w:tc>
      </w:tr>
      <w:tr w:rsidR="0010523F" w:rsidRPr="0010523F" w14:paraId="2ECD538E" w14:textId="77777777" w:rsidTr="00774E7E">
        <w:trPr>
          <w:trHeight w:val="227"/>
        </w:trPr>
        <w:tc>
          <w:tcPr>
            <w:tcW w:w="6208" w:type="dxa"/>
          </w:tcPr>
          <w:p w14:paraId="7477655D" w14:textId="77777777" w:rsidR="0010523F" w:rsidRPr="0010523F" w:rsidRDefault="0010523F" w:rsidP="0010523F">
            <w:pPr>
              <w:ind w:left="4"/>
              <w:rPr>
                <w:lang w:val="es-AR" w:eastAsia="en-US"/>
              </w:rPr>
            </w:pPr>
            <w:r w:rsidRPr="0010523F">
              <w:rPr>
                <w:lang w:val="es-AR" w:eastAsia="en-US"/>
              </w:rPr>
              <w:t>Previsión para deudores incobrables (Anexo E-1)</w:t>
            </w:r>
          </w:p>
        </w:tc>
        <w:tc>
          <w:tcPr>
            <w:tcW w:w="1560" w:type="dxa"/>
          </w:tcPr>
          <w:p w14:paraId="23789A9F" w14:textId="77777777" w:rsidR="0010523F" w:rsidRPr="0010523F" w:rsidRDefault="0010523F" w:rsidP="0010523F">
            <w:pPr>
              <w:tabs>
                <w:tab w:val="decimal" w:pos="1212"/>
              </w:tabs>
              <w:jc w:val="both"/>
              <w:rPr>
                <w:u w:val="double"/>
                <w:lang w:val="es-AR" w:eastAsia="en-US"/>
              </w:rPr>
            </w:pPr>
            <w:r w:rsidRPr="0010523F">
              <w:rPr>
                <w:lang w:val="es-AR" w:eastAsia="en-US"/>
              </w:rPr>
              <w:t>(</w:t>
            </w:r>
            <w:r w:rsidRPr="0010523F">
              <w:rPr>
                <w:u w:val="single"/>
                <w:lang w:val="es-AR" w:eastAsia="en-US"/>
              </w:rPr>
              <w:t xml:space="preserve">     149</w:t>
            </w:r>
            <w:r w:rsidRPr="0010523F">
              <w:rPr>
                <w:lang w:val="es-AR" w:eastAsia="en-US"/>
              </w:rPr>
              <w:t>)</w:t>
            </w:r>
          </w:p>
        </w:tc>
        <w:tc>
          <w:tcPr>
            <w:tcW w:w="1560" w:type="dxa"/>
          </w:tcPr>
          <w:p w14:paraId="64D086B9" w14:textId="77777777" w:rsidR="0010523F" w:rsidRPr="0010523F" w:rsidRDefault="0010523F" w:rsidP="0010523F">
            <w:pPr>
              <w:tabs>
                <w:tab w:val="decimal" w:pos="1212"/>
              </w:tabs>
              <w:jc w:val="both"/>
              <w:rPr>
                <w:highlight w:val="yellow"/>
                <w:u w:val="double"/>
                <w:lang w:val="es-AR" w:eastAsia="en-US"/>
              </w:rPr>
            </w:pPr>
            <w:r w:rsidRPr="0010523F">
              <w:rPr>
                <w:lang w:val="es-AR" w:eastAsia="en-US"/>
              </w:rPr>
              <w:t>(</w:t>
            </w:r>
            <w:r w:rsidRPr="0010523F">
              <w:rPr>
                <w:u w:val="single"/>
                <w:lang w:val="es-AR" w:eastAsia="en-US"/>
              </w:rPr>
              <w:t xml:space="preserve">    102</w:t>
            </w:r>
            <w:r w:rsidRPr="0010523F">
              <w:rPr>
                <w:lang w:val="es-AR" w:eastAsia="en-US"/>
              </w:rPr>
              <w:t>)</w:t>
            </w:r>
          </w:p>
        </w:tc>
      </w:tr>
      <w:tr w:rsidR="0010523F" w:rsidRPr="0010523F" w14:paraId="17C209A4" w14:textId="77777777" w:rsidTr="00774E7E">
        <w:trPr>
          <w:trHeight w:val="113"/>
        </w:trPr>
        <w:tc>
          <w:tcPr>
            <w:tcW w:w="6208" w:type="dxa"/>
          </w:tcPr>
          <w:p w14:paraId="160B3B17" w14:textId="77777777" w:rsidR="0010523F" w:rsidRPr="0010523F" w:rsidRDefault="0010523F" w:rsidP="0010523F">
            <w:pPr>
              <w:spacing w:line="160" w:lineRule="exact"/>
              <w:ind w:left="431"/>
              <w:jc w:val="both"/>
              <w:rPr>
                <w:u w:val="single"/>
                <w:lang w:val="es-AR" w:eastAsia="en-US"/>
              </w:rPr>
            </w:pPr>
          </w:p>
        </w:tc>
        <w:tc>
          <w:tcPr>
            <w:tcW w:w="1560" w:type="dxa"/>
          </w:tcPr>
          <w:p w14:paraId="47E6A64A" w14:textId="77777777" w:rsidR="0010523F" w:rsidRPr="0010523F" w:rsidRDefault="0010523F" w:rsidP="0010523F">
            <w:pPr>
              <w:spacing w:line="160" w:lineRule="exact"/>
              <w:ind w:left="431"/>
              <w:jc w:val="both"/>
              <w:rPr>
                <w:u w:val="single"/>
                <w:lang w:val="es-AR" w:eastAsia="en-US"/>
              </w:rPr>
            </w:pPr>
          </w:p>
        </w:tc>
        <w:tc>
          <w:tcPr>
            <w:tcW w:w="1560" w:type="dxa"/>
          </w:tcPr>
          <w:p w14:paraId="768642EA" w14:textId="77777777" w:rsidR="0010523F" w:rsidRPr="0010523F" w:rsidRDefault="0010523F" w:rsidP="0010523F">
            <w:pPr>
              <w:spacing w:line="160" w:lineRule="exact"/>
              <w:ind w:left="431"/>
              <w:jc w:val="both"/>
              <w:rPr>
                <w:u w:val="single"/>
                <w:lang w:val="es-AR" w:eastAsia="en-US"/>
              </w:rPr>
            </w:pPr>
          </w:p>
        </w:tc>
      </w:tr>
      <w:tr w:rsidR="0010523F" w:rsidRPr="0010523F" w14:paraId="25692571" w14:textId="77777777" w:rsidTr="00774E7E">
        <w:trPr>
          <w:trHeight w:val="227"/>
        </w:trPr>
        <w:tc>
          <w:tcPr>
            <w:tcW w:w="6208" w:type="dxa"/>
          </w:tcPr>
          <w:p w14:paraId="09F88B29" w14:textId="77777777" w:rsidR="0010523F" w:rsidRPr="0010523F" w:rsidRDefault="0010523F" w:rsidP="0010523F">
            <w:pPr>
              <w:ind w:left="4"/>
              <w:rPr>
                <w:lang w:val="es-AR" w:eastAsia="en-US"/>
              </w:rPr>
            </w:pPr>
            <w:r w:rsidRPr="0010523F">
              <w:rPr>
                <w:lang w:val="es-AR" w:eastAsia="en-US"/>
              </w:rPr>
              <w:t>Total otros créditos corrientes</w:t>
            </w:r>
          </w:p>
        </w:tc>
        <w:tc>
          <w:tcPr>
            <w:tcW w:w="1560" w:type="dxa"/>
          </w:tcPr>
          <w:p w14:paraId="1EFF4850" w14:textId="77777777" w:rsidR="0010523F" w:rsidRPr="0010523F" w:rsidRDefault="0010523F" w:rsidP="0010523F">
            <w:pPr>
              <w:tabs>
                <w:tab w:val="decimal" w:pos="1212"/>
              </w:tabs>
              <w:jc w:val="both"/>
              <w:rPr>
                <w:u w:val="double"/>
                <w:lang w:val="es-AR" w:eastAsia="en-US"/>
              </w:rPr>
            </w:pPr>
            <w:r w:rsidRPr="0010523F">
              <w:rPr>
                <w:u w:val="double"/>
                <w:lang w:val="es-AR" w:eastAsia="en-US"/>
              </w:rPr>
              <w:t>9.259</w:t>
            </w:r>
          </w:p>
        </w:tc>
        <w:tc>
          <w:tcPr>
            <w:tcW w:w="1560" w:type="dxa"/>
          </w:tcPr>
          <w:p w14:paraId="4285E32E" w14:textId="77777777" w:rsidR="0010523F" w:rsidRPr="0010523F" w:rsidRDefault="0010523F" w:rsidP="0010523F">
            <w:pPr>
              <w:tabs>
                <w:tab w:val="decimal" w:pos="1212"/>
              </w:tabs>
              <w:jc w:val="both"/>
              <w:rPr>
                <w:highlight w:val="yellow"/>
                <w:u w:val="double"/>
                <w:lang w:val="es-AR" w:eastAsia="en-US"/>
              </w:rPr>
            </w:pPr>
            <w:r w:rsidRPr="0010523F">
              <w:rPr>
                <w:u w:val="double"/>
                <w:lang w:val="es-AR" w:eastAsia="en-US"/>
              </w:rPr>
              <w:t>9.440</w:t>
            </w:r>
          </w:p>
        </w:tc>
      </w:tr>
    </w:tbl>
    <w:p w14:paraId="4DCE2FB3" w14:textId="77777777" w:rsidR="0010523F" w:rsidRPr="0010523F" w:rsidRDefault="0010523F" w:rsidP="0010523F">
      <w:pPr>
        <w:spacing w:line="220" w:lineRule="exact"/>
        <w:jc w:val="both"/>
        <w:rPr>
          <w:szCs w:val="20"/>
          <w:lang w:val="es-AR" w:eastAsia="en-US"/>
        </w:rPr>
      </w:pPr>
    </w:p>
    <w:p w14:paraId="7A08C316" w14:textId="77777777" w:rsidR="0010523F" w:rsidRPr="0010523F" w:rsidRDefault="0010523F" w:rsidP="00E2318E">
      <w:pPr>
        <w:keepNext/>
        <w:widowControl w:val="0"/>
        <w:numPr>
          <w:ilvl w:val="0"/>
          <w:numId w:val="75"/>
        </w:numPr>
        <w:tabs>
          <w:tab w:val="decimal" w:pos="4962"/>
          <w:tab w:val="decimal" w:pos="6379"/>
          <w:tab w:val="decimal" w:pos="7797"/>
          <w:tab w:val="decimal" w:pos="9214"/>
          <w:tab w:val="decimal" w:pos="10490"/>
          <w:tab w:val="decimal" w:pos="12049"/>
          <w:tab w:val="decimal" w:pos="13325"/>
          <w:tab w:val="decimal" w:pos="14601"/>
        </w:tabs>
        <w:spacing w:line="220" w:lineRule="exact"/>
        <w:ind w:left="284" w:right="12" w:hanging="284"/>
        <w:jc w:val="both"/>
        <w:outlineLvl w:val="3"/>
        <w:rPr>
          <w:szCs w:val="20"/>
          <w:lang w:val="es-AR" w:eastAsia="en-US"/>
        </w:rPr>
      </w:pPr>
      <w:r w:rsidRPr="0010523F">
        <w:rPr>
          <w:szCs w:val="20"/>
          <w:lang w:val="es-AR" w:eastAsia="en-US"/>
        </w:rPr>
        <w:t>Inventarios</w:t>
      </w:r>
    </w:p>
    <w:p w14:paraId="3D3113C3" w14:textId="77777777" w:rsidR="0010523F" w:rsidRPr="0010523F" w:rsidRDefault="0010523F" w:rsidP="0010523F">
      <w:pPr>
        <w:spacing w:line="220" w:lineRule="exact"/>
        <w:jc w:val="both"/>
        <w:rPr>
          <w:szCs w:val="20"/>
          <w:lang w:val="es-AR" w:eastAsia="en-US"/>
        </w:rPr>
      </w:pPr>
    </w:p>
    <w:tbl>
      <w:tblPr>
        <w:tblW w:w="9328" w:type="dxa"/>
        <w:tblInd w:w="-4" w:type="dxa"/>
        <w:tblLayout w:type="fixed"/>
        <w:tblLook w:val="0000" w:firstRow="0" w:lastRow="0" w:firstColumn="0" w:lastColumn="0" w:noHBand="0" w:noVBand="0"/>
      </w:tblPr>
      <w:tblGrid>
        <w:gridCol w:w="6208"/>
        <w:gridCol w:w="1560"/>
        <w:gridCol w:w="1560"/>
      </w:tblGrid>
      <w:tr w:rsidR="0010523F" w:rsidRPr="0010523F" w14:paraId="37BA2AB5" w14:textId="77777777" w:rsidTr="00774E7E">
        <w:trPr>
          <w:trHeight w:val="227"/>
        </w:trPr>
        <w:tc>
          <w:tcPr>
            <w:tcW w:w="6208" w:type="dxa"/>
          </w:tcPr>
          <w:p w14:paraId="1ECFE18E" w14:textId="77777777" w:rsidR="0010523F" w:rsidRPr="0010523F" w:rsidRDefault="0010523F" w:rsidP="0010523F">
            <w:pPr>
              <w:tabs>
                <w:tab w:val="left" w:pos="426"/>
              </w:tabs>
              <w:jc w:val="both"/>
              <w:rPr>
                <w:lang w:val="es-AR" w:eastAsia="en-US"/>
              </w:rPr>
            </w:pPr>
            <w:r w:rsidRPr="0010523F">
              <w:rPr>
                <w:lang w:val="es-AR" w:eastAsia="en-US"/>
              </w:rPr>
              <w:t>Existencias de hidrocarburos</w:t>
            </w:r>
          </w:p>
        </w:tc>
        <w:tc>
          <w:tcPr>
            <w:tcW w:w="1560" w:type="dxa"/>
          </w:tcPr>
          <w:p w14:paraId="280CC387" w14:textId="77777777" w:rsidR="0010523F" w:rsidRPr="0010523F" w:rsidRDefault="0010523F" w:rsidP="0010523F">
            <w:pPr>
              <w:tabs>
                <w:tab w:val="decimal" w:pos="1212"/>
              </w:tabs>
              <w:ind w:left="-108"/>
              <w:jc w:val="both"/>
              <w:rPr>
                <w:lang w:val="es-AR" w:eastAsia="en-US"/>
              </w:rPr>
            </w:pPr>
            <w:r w:rsidRPr="0010523F">
              <w:rPr>
                <w:lang w:val="es-AR" w:eastAsia="en-US"/>
              </w:rPr>
              <w:t>5.904</w:t>
            </w:r>
          </w:p>
        </w:tc>
        <w:tc>
          <w:tcPr>
            <w:tcW w:w="1560" w:type="dxa"/>
          </w:tcPr>
          <w:p w14:paraId="0CB5DBB3" w14:textId="77777777" w:rsidR="0010523F" w:rsidRPr="0010523F" w:rsidRDefault="0010523F" w:rsidP="0010523F">
            <w:pPr>
              <w:tabs>
                <w:tab w:val="decimal" w:pos="1212"/>
              </w:tabs>
              <w:ind w:left="-108"/>
              <w:jc w:val="both"/>
              <w:rPr>
                <w:highlight w:val="yellow"/>
                <w:lang w:val="es-AR" w:eastAsia="en-US"/>
              </w:rPr>
            </w:pPr>
            <w:r w:rsidRPr="0010523F">
              <w:rPr>
                <w:lang w:val="es-AR" w:eastAsia="en-US"/>
              </w:rPr>
              <w:t>4.371</w:t>
            </w:r>
          </w:p>
        </w:tc>
      </w:tr>
      <w:tr w:rsidR="0010523F" w:rsidRPr="0010523F" w14:paraId="5A54D983" w14:textId="77777777" w:rsidTr="00774E7E">
        <w:trPr>
          <w:trHeight w:val="227"/>
        </w:trPr>
        <w:tc>
          <w:tcPr>
            <w:tcW w:w="6208" w:type="dxa"/>
          </w:tcPr>
          <w:p w14:paraId="7C0542EF" w14:textId="77777777" w:rsidR="0010523F" w:rsidRPr="0010523F" w:rsidRDefault="0010523F" w:rsidP="0010523F">
            <w:pPr>
              <w:tabs>
                <w:tab w:val="left" w:pos="426"/>
              </w:tabs>
              <w:jc w:val="both"/>
              <w:rPr>
                <w:lang w:val="es-AR" w:eastAsia="en-US"/>
              </w:rPr>
            </w:pPr>
            <w:r w:rsidRPr="0010523F">
              <w:rPr>
                <w:lang w:val="es-AR" w:eastAsia="en-US"/>
              </w:rPr>
              <w:t>Mercadería de reventa</w:t>
            </w:r>
          </w:p>
        </w:tc>
        <w:tc>
          <w:tcPr>
            <w:tcW w:w="1560" w:type="dxa"/>
          </w:tcPr>
          <w:p w14:paraId="70E5BB37" w14:textId="77777777" w:rsidR="0010523F" w:rsidRPr="0010523F" w:rsidRDefault="0010523F" w:rsidP="0010523F">
            <w:pPr>
              <w:tabs>
                <w:tab w:val="decimal" w:pos="1212"/>
              </w:tabs>
              <w:jc w:val="both"/>
              <w:rPr>
                <w:lang w:val="es-AR" w:eastAsia="en-US"/>
              </w:rPr>
            </w:pPr>
            <w:r w:rsidRPr="0010523F">
              <w:rPr>
                <w:lang w:val="es-AR" w:eastAsia="en-US"/>
              </w:rPr>
              <w:t>247</w:t>
            </w:r>
          </w:p>
        </w:tc>
        <w:tc>
          <w:tcPr>
            <w:tcW w:w="1560" w:type="dxa"/>
          </w:tcPr>
          <w:p w14:paraId="384C1881" w14:textId="77777777" w:rsidR="0010523F" w:rsidRPr="0010523F" w:rsidRDefault="0010523F" w:rsidP="0010523F">
            <w:pPr>
              <w:tabs>
                <w:tab w:val="decimal" w:pos="1212"/>
              </w:tabs>
              <w:jc w:val="both"/>
              <w:rPr>
                <w:highlight w:val="yellow"/>
                <w:lang w:val="es-AR" w:eastAsia="en-US"/>
              </w:rPr>
            </w:pPr>
            <w:r w:rsidRPr="0010523F">
              <w:rPr>
                <w:lang w:val="es-AR" w:eastAsia="en-US"/>
              </w:rPr>
              <w:t>163</w:t>
            </w:r>
          </w:p>
        </w:tc>
      </w:tr>
      <w:tr w:rsidR="0010523F" w:rsidRPr="0010523F" w14:paraId="0A6302B6" w14:textId="77777777" w:rsidTr="00774E7E">
        <w:trPr>
          <w:trHeight w:val="227"/>
        </w:trPr>
        <w:tc>
          <w:tcPr>
            <w:tcW w:w="6208" w:type="dxa"/>
          </w:tcPr>
          <w:p w14:paraId="04296FD4" w14:textId="77777777" w:rsidR="0010523F" w:rsidRPr="0010523F" w:rsidRDefault="0010523F" w:rsidP="0010523F">
            <w:pPr>
              <w:tabs>
                <w:tab w:val="left" w:pos="426"/>
              </w:tabs>
              <w:jc w:val="both"/>
              <w:rPr>
                <w:lang w:val="es-AR" w:eastAsia="en-US"/>
              </w:rPr>
            </w:pPr>
            <w:r w:rsidRPr="0010523F">
              <w:rPr>
                <w:lang w:val="es-AR" w:eastAsia="en-US"/>
              </w:rPr>
              <w:t>Productos en proceso y terminados</w:t>
            </w:r>
          </w:p>
        </w:tc>
        <w:tc>
          <w:tcPr>
            <w:tcW w:w="1560" w:type="dxa"/>
          </w:tcPr>
          <w:p w14:paraId="44B3C772" w14:textId="77777777" w:rsidR="0010523F" w:rsidRPr="0010523F" w:rsidRDefault="0010523F" w:rsidP="0010523F">
            <w:pPr>
              <w:tabs>
                <w:tab w:val="decimal" w:pos="1212"/>
              </w:tabs>
              <w:jc w:val="both"/>
              <w:rPr>
                <w:lang w:val="es-AR" w:eastAsia="en-US"/>
              </w:rPr>
            </w:pPr>
            <w:r w:rsidRPr="0010523F">
              <w:rPr>
                <w:lang w:val="es-AR" w:eastAsia="en-US"/>
              </w:rPr>
              <w:t>7.297</w:t>
            </w:r>
          </w:p>
        </w:tc>
        <w:tc>
          <w:tcPr>
            <w:tcW w:w="1560" w:type="dxa"/>
          </w:tcPr>
          <w:p w14:paraId="3FF7396E" w14:textId="77777777" w:rsidR="0010523F" w:rsidRPr="0010523F" w:rsidRDefault="0010523F" w:rsidP="0010523F">
            <w:pPr>
              <w:tabs>
                <w:tab w:val="decimal" w:pos="1212"/>
              </w:tabs>
              <w:jc w:val="both"/>
              <w:rPr>
                <w:highlight w:val="yellow"/>
                <w:lang w:val="es-AR" w:eastAsia="en-US"/>
              </w:rPr>
            </w:pPr>
            <w:r w:rsidRPr="0010523F">
              <w:rPr>
                <w:lang w:val="es-AR" w:eastAsia="en-US"/>
              </w:rPr>
              <w:t>5.472</w:t>
            </w:r>
          </w:p>
        </w:tc>
      </w:tr>
      <w:tr w:rsidR="0010523F" w:rsidRPr="0010523F" w14:paraId="20CDBF36" w14:textId="77777777" w:rsidTr="00774E7E">
        <w:trPr>
          <w:trHeight w:val="227"/>
        </w:trPr>
        <w:tc>
          <w:tcPr>
            <w:tcW w:w="6208" w:type="dxa"/>
          </w:tcPr>
          <w:p w14:paraId="136BBA1D" w14:textId="77777777" w:rsidR="0010523F" w:rsidRPr="0010523F" w:rsidRDefault="0010523F" w:rsidP="0010523F">
            <w:pPr>
              <w:tabs>
                <w:tab w:val="left" w:pos="426"/>
              </w:tabs>
              <w:jc w:val="both"/>
              <w:rPr>
                <w:lang w:val="es-AR" w:eastAsia="en-US"/>
              </w:rPr>
            </w:pPr>
            <w:r w:rsidRPr="0010523F">
              <w:rPr>
                <w:lang w:val="es-AR" w:eastAsia="en-US"/>
              </w:rPr>
              <w:t xml:space="preserve">Repuestos y materiales </w:t>
            </w:r>
          </w:p>
        </w:tc>
        <w:tc>
          <w:tcPr>
            <w:tcW w:w="1560" w:type="dxa"/>
          </w:tcPr>
          <w:p w14:paraId="26CFB4A4" w14:textId="77777777" w:rsidR="0010523F" w:rsidRPr="0010523F" w:rsidRDefault="0010523F" w:rsidP="0010523F">
            <w:pPr>
              <w:tabs>
                <w:tab w:val="decimal" w:pos="1212"/>
              </w:tabs>
              <w:ind w:left="-108"/>
              <w:jc w:val="both"/>
              <w:rPr>
                <w:lang w:val="es-AR" w:eastAsia="en-US"/>
              </w:rPr>
            </w:pPr>
            <w:r w:rsidRPr="0010523F">
              <w:rPr>
                <w:lang w:val="es-AR" w:eastAsia="en-US"/>
              </w:rPr>
              <w:t>13.086</w:t>
            </w:r>
          </w:p>
        </w:tc>
        <w:tc>
          <w:tcPr>
            <w:tcW w:w="1560" w:type="dxa"/>
          </w:tcPr>
          <w:p w14:paraId="0951C3B5" w14:textId="77777777" w:rsidR="0010523F" w:rsidRPr="0010523F" w:rsidRDefault="0010523F" w:rsidP="0010523F">
            <w:pPr>
              <w:tabs>
                <w:tab w:val="decimal" w:pos="1212"/>
              </w:tabs>
              <w:ind w:left="-108"/>
              <w:jc w:val="both"/>
              <w:rPr>
                <w:highlight w:val="yellow"/>
                <w:lang w:val="es-AR" w:eastAsia="en-US"/>
              </w:rPr>
            </w:pPr>
            <w:r w:rsidRPr="0010523F">
              <w:rPr>
                <w:lang w:val="es-AR" w:eastAsia="en-US"/>
              </w:rPr>
              <w:t>6.974</w:t>
            </w:r>
          </w:p>
        </w:tc>
      </w:tr>
      <w:tr w:rsidR="0010523F" w:rsidRPr="0010523F" w14:paraId="5485952F" w14:textId="77777777" w:rsidTr="00774E7E">
        <w:trPr>
          <w:trHeight w:val="227"/>
        </w:trPr>
        <w:tc>
          <w:tcPr>
            <w:tcW w:w="6208" w:type="dxa"/>
          </w:tcPr>
          <w:p w14:paraId="102D46E6" w14:textId="77777777" w:rsidR="0010523F" w:rsidRPr="0010523F" w:rsidRDefault="0010523F" w:rsidP="0010523F">
            <w:pPr>
              <w:tabs>
                <w:tab w:val="left" w:pos="426"/>
              </w:tabs>
              <w:jc w:val="both"/>
              <w:rPr>
                <w:lang w:val="es-AR" w:eastAsia="en-US"/>
              </w:rPr>
            </w:pPr>
            <w:r w:rsidRPr="0010523F">
              <w:rPr>
                <w:lang w:val="es-AR" w:eastAsia="en-US"/>
              </w:rPr>
              <w:t xml:space="preserve">Previsión por obsolescencia de materiales (Anexo E-1) </w:t>
            </w:r>
          </w:p>
        </w:tc>
        <w:tc>
          <w:tcPr>
            <w:tcW w:w="1560" w:type="dxa"/>
          </w:tcPr>
          <w:p w14:paraId="34059596" w14:textId="77777777" w:rsidR="0010523F" w:rsidRPr="0010523F" w:rsidRDefault="0010523F" w:rsidP="0010523F">
            <w:pPr>
              <w:tabs>
                <w:tab w:val="decimal" w:pos="1212"/>
              </w:tabs>
              <w:ind w:left="-108"/>
              <w:jc w:val="both"/>
              <w:rPr>
                <w:lang w:val="es-AR" w:eastAsia="en-US"/>
              </w:rPr>
            </w:pPr>
            <w:r w:rsidRPr="0010523F">
              <w:rPr>
                <w:lang w:val="es-AR" w:eastAsia="en-US"/>
              </w:rPr>
              <w:t>(</w:t>
            </w:r>
            <w:r w:rsidRPr="0010523F">
              <w:rPr>
                <w:u w:val="single"/>
                <w:lang w:val="es-AR" w:eastAsia="en-US"/>
              </w:rPr>
              <w:t xml:space="preserve">  1.168</w:t>
            </w:r>
            <w:r w:rsidRPr="0010523F">
              <w:rPr>
                <w:lang w:val="es-AR" w:eastAsia="en-US"/>
              </w:rPr>
              <w:t>)</w:t>
            </w:r>
          </w:p>
        </w:tc>
        <w:tc>
          <w:tcPr>
            <w:tcW w:w="1560" w:type="dxa"/>
          </w:tcPr>
          <w:p w14:paraId="55485F87" w14:textId="77777777" w:rsidR="0010523F" w:rsidRPr="0010523F" w:rsidRDefault="0010523F" w:rsidP="0010523F">
            <w:pPr>
              <w:tabs>
                <w:tab w:val="decimal" w:pos="1212"/>
              </w:tabs>
              <w:ind w:left="-108"/>
              <w:jc w:val="both"/>
              <w:rPr>
                <w:highlight w:val="yellow"/>
                <w:lang w:val="es-AR" w:eastAsia="en-US"/>
              </w:rPr>
            </w:pPr>
            <w:r w:rsidRPr="0010523F">
              <w:rPr>
                <w:lang w:val="es-AR" w:eastAsia="en-US"/>
              </w:rPr>
              <w:t>(</w:t>
            </w:r>
            <w:r w:rsidRPr="0010523F">
              <w:rPr>
                <w:u w:val="single"/>
                <w:lang w:val="es-AR" w:eastAsia="en-US"/>
              </w:rPr>
              <w:t xml:space="preserve">     718</w:t>
            </w:r>
            <w:r w:rsidRPr="0010523F">
              <w:rPr>
                <w:lang w:val="es-AR" w:eastAsia="en-US"/>
              </w:rPr>
              <w:t>)</w:t>
            </w:r>
          </w:p>
        </w:tc>
      </w:tr>
      <w:tr w:rsidR="0010523F" w:rsidRPr="0010523F" w14:paraId="1022F2ED" w14:textId="77777777" w:rsidTr="00774E7E">
        <w:trPr>
          <w:trHeight w:val="170"/>
        </w:trPr>
        <w:tc>
          <w:tcPr>
            <w:tcW w:w="6208" w:type="dxa"/>
          </w:tcPr>
          <w:p w14:paraId="23B90F6E" w14:textId="77777777" w:rsidR="0010523F" w:rsidRPr="0010523F" w:rsidRDefault="0010523F" w:rsidP="0010523F">
            <w:pPr>
              <w:spacing w:line="160" w:lineRule="exact"/>
              <w:ind w:left="431"/>
              <w:jc w:val="both"/>
              <w:rPr>
                <w:u w:val="single"/>
                <w:lang w:val="es-AR" w:eastAsia="en-US"/>
              </w:rPr>
            </w:pPr>
          </w:p>
        </w:tc>
        <w:tc>
          <w:tcPr>
            <w:tcW w:w="1560" w:type="dxa"/>
          </w:tcPr>
          <w:p w14:paraId="0D91C342" w14:textId="77777777" w:rsidR="0010523F" w:rsidRPr="0010523F" w:rsidRDefault="0010523F" w:rsidP="0010523F">
            <w:pPr>
              <w:spacing w:line="160" w:lineRule="exact"/>
              <w:ind w:left="431"/>
              <w:jc w:val="both"/>
              <w:rPr>
                <w:u w:val="single"/>
                <w:lang w:val="es-AR" w:eastAsia="en-US"/>
              </w:rPr>
            </w:pPr>
          </w:p>
        </w:tc>
        <w:tc>
          <w:tcPr>
            <w:tcW w:w="1560" w:type="dxa"/>
          </w:tcPr>
          <w:p w14:paraId="2BFC7BB7" w14:textId="77777777" w:rsidR="0010523F" w:rsidRPr="0010523F" w:rsidRDefault="0010523F" w:rsidP="0010523F">
            <w:pPr>
              <w:spacing w:line="160" w:lineRule="exact"/>
              <w:ind w:left="431"/>
              <w:jc w:val="both"/>
              <w:rPr>
                <w:u w:val="single"/>
                <w:lang w:val="es-AR" w:eastAsia="en-US"/>
              </w:rPr>
            </w:pPr>
          </w:p>
        </w:tc>
      </w:tr>
      <w:tr w:rsidR="0010523F" w:rsidRPr="0010523F" w14:paraId="0CB7A8D7" w14:textId="77777777" w:rsidTr="00774E7E">
        <w:trPr>
          <w:trHeight w:val="227"/>
        </w:trPr>
        <w:tc>
          <w:tcPr>
            <w:tcW w:w="6208" w:type="dxa"/>
          </w:tcPr>
          <w:p w14:paraId="27CE209A" w14:textId="77777777" w:rsidR="0010523F" w:rsidRPr="0010523F" w:rsidRDefault="0010523F" w:rsidP="0010523F">
            <w:pPr>
              <w:jc w:val="both"/>
              <w:rPr>
                <w:lang w:val="es-AR" w:eastAsia="en-US"/>
              </w:rPr>
            </w:pPr>
            <w:r w:rsidRPr="0010523F">
              <w:rPr>
                <w:lang w:val="es-AR" w:eastAsia="en-US"/>
              </w:rPr>
              <w:t xml:space="preserve">Subtotal </w:t>
            </w:r>
          </w:p>
        </w:tc>
        <w:tc>
          <w:tcPr>
            <w:tcW w:w="1560" w:type="dxa"/>
          </w:tcPr>
          <w:p w14:paraId="29C577C2" w14:textId="77777777" w:rsidR="0010523F" w:rsidRPr="0010523F" w:rsidRDefault="0010523F" w:rsidP="0010523F">
            <w:pPr>
              <w:tabs>
                <w:tab w:val="decimal" w:pos="1212"/>
              </w:tabs>
              <w:ind w:left="-108"/>
              <w:jc w:val="both"/>
              <w:rPr>
                <w:lang w:val="es-AR" w:eastAsia="en-US"/>
              </w:rPr>
            </w:pPr>
            <w:r w:rsidRPr="0010523F">
              <w:rPr>
                <w:lang w:val="es-AR" w:eastAsia="en-US"/>
              </w:rPr>
              <w:t>25.366</w:t>
            </w:r>
          </w:p>
        </w:tc>
        <w:tc>
          <w:tcPr>
            <w:tcW w:w="1560" w:type="dxa"/>
          </w:tcPr>
          <w:p w14:paraId="17900FB7" w14:textId="77777777" w:rsidR="0010523F" w:rsidRPr="0010523F" w:rsidRDefault="0010523F" w:rsidP="0010523F">
            <w:pPr>
              <w:tabs>
                <w:tab w:val="decimal" w:pos="1212"/>
              </w:tabs>
              <w:ind w:left="-108"/>
              <w:jc w:val="both"/>
              <w:rPr>
                <w:highlight w:val="yellow"/>
                <w:lang w:val="es-AR" w:eastAsia="en-US"/>
              </w:rPr>
            </w:pPr>
            <w:r w:rsidRPr="0010523F">
              <w:rPr>
                <w:lang w:val="es-AR" w:eastAsia="en-US"/>
              </w:rPr>
              <w:t>16.262</w:t>
            </w:r>
          </w:p>
        </w:tc>
      </w:tr>
      <w:tr w:rsidR="0010523F" w:rsidRPr="0010523F" w14:paraId="3EEC6356" w14:textId="77777777" w:rsidTr="00774E7E">
        <w:trPr>
          <w:trHeight w:val="113"/>
        </w:trPr>
        <w:tc>
          <w:tcPr>
            <w:tcW w:w="6208" w:type="dxa"/>
          </w:tcPr>
          <w:p w14:paraId="7CD4ECE9" w14:textId="77777777" w:rsidR="0010523F" w:rsidRPr="0010523F" w:rsidRDefault="0010523F" w:rsidP="0010523F">
            <w:pPr>
              <w:spacing w:line="160" w:lineRule="exact"/>
              <w:ind w:left="431"/>
              <w:jc w:val="both"/>
              <w:rPr>
                <w:u w:val="single"/>
                <w:lang w:val="es-AR" w:eastAsia="en-US"/>
              </w:rPr>
            </w:pPr>
          </w:p>
        </w:tc>
        <w:tc>
          <w:tcPr>
            <w:tcW w:w="1560" w:type="dxa"/>
          </w:tcPr>
          <w:p w14:paraId="0F919850" w14:textId="77777777" w:rsidR="0010523F" w:rsidRPr="0010523F" w:rsidRDefault="0010523F" w:rsidP="0010523F">
            <w:pPr>
              <w:spacing w:line="160" w:lineRule="exact"/>
              <w:ind w:left="431"/>
              <w:jc w:val="both"/>
              <w:rPr>
                <w:u w:val="single"/>
                <w:lang w:val="es-AR" w:eastAsia="en-US"/>
              </w:rPr>
            </w:pPr>
          </w:p>
        </w:tc>
        <w:tc>
          <w:tcPr>
            <w:tcW w:w="1560" w:type="dxa"/>
          </w:tcPr>
          <w:p w14:paraId="5F8CFDAB" w14:textId="77777777" w:rsidR="0010523F" w:rsidRPr="0010523F" w:rsidRDefault="0010523F" w:rsidP="0010523F">
            <w:pPr>
              <w:spacing w:line="160" w:lineRule="exact"/>
              <w:ind w:left="431"/>
              <w:jc w:val="both"/>
              <w:rPr>
                <w:u w:val="single"/>
                <w:lang w:val="es-AR" w:eastAsia="en-US"/>
              </w:rPr>
            </w:pPr>
          </w:p>
        </w:tc>
      </w:tr>
      <w:tr w:rsidR="0010523F" w:rsidRPr="0010523F" w14:paraId="26064861" w14:textId="77777777" w:rsidTr="00774E7E">
        <w:trPr>
          <w:trHeight w:val="227"/>
        </w:trPr>
        <w:tc>
          <w:tcPr>
            <w:tcW w:w="6208" w:type="dxa"/>
          </w:tcPr>
          <w:p w14:paraId="0DABA865" w14:textId="77777777" w:rsidR="0010523F" w:rsidRPr="0010523F" w:rsidRDefault="0010523F" w:rsidP="0010523F">
            <w:pPr>
              <w:tabs>
                <w:tab w:val="left" w:pos="426"/>
              </w:tabs>
              <w:jc w:val="both"/>
              <w:rPr>
                <w:lang w:val="es-AR" w:eastAsia="en-US"/>
              </w:rPr>
            </w:pPr>
            <w:r w:rsidRPr="0010523F">
              <w:rPr>
                <w:lang w:val="es-AR" w:eastAsia="en-US"/>
              </w:rPr>
              <w:t>Mercaderías en tránsito</w:t>
            </w:r>
          </w:p>
        </w:tc>
        <w:tc>
          <w:tcPr>
            <w:tcW w:w="1560" w:type="dxa"/>
          </w:tcPr>
          <w:p w14:paraId="0D67EF7B" w14:textId="77777777" w:rsidR="0010523F" w:rsidRPr="0010523F" w:rsidRDefault="0010523F" w:rsidP="0010523F">
            <w:pPr>
              <w:tabs>
                <w:tab w:val="decimal" w:pos="1212"/>
              </w:tabs>
              <w:ind w:left="-108"/>
              <w:jc w:val="both"/>
              <w:rPr>
                <w:u w:val="single"/>
                <w:lang w:val="es-AR" w:eastAsia="en-US"/>
              </w:rPr>
            </w:pPr>
            <w:r w:rsidRPr="0010523F">
              <w:rPr>
                <w:u w:val="single"/>
                <w:lang w:val="es-AR" w:eastAsia="en-US"/>
              </w:rPr>
              <w:t xml:space="preserve">     416</w:t>
            </w:r>
          </w:p>
        </w:tc>
        <w:tc>
          <w:tcPr>
            <w:tcW w:w="1560" w:type="dxa"/>
          </w:tcPr>
          <w:p w14:paraId="675AEB6B" w14:textId="77777777" w:rsidR="0010523F" w:rsidRPr="0010523F" w:rsidRDefault="0010523F" w:rsidP="0010523F">
            <w:pPr>
              <w:tabs>
                <w:tab w:val="decimal" w:pos="1212"/>
              </w:tabs>
              <w:ind w:left="-108"/>
              <w:jc w:val="both"/>
              <w:rPr>
                <w:highlight w:val="yellow"/>
                <w:u w:val="single"/>
                <w:lang w:val="es-AR" w:eastAsia="en-US"/>
              </w:rPr>
            </w:pPr>
            <w:r w:rsidRPr="0010523F">
              <w:rPr>
                <w:u w:val="single"/>
                <w:lang w:val="es-AR" w:eastAsia="en-US"/>
              </w:rPr>
              <w:t xml:space="preserve">     153</w:t>
            </w:r>
          </w:p>
        </w:tc>
      </w:tr>
      <w:tr w:rsidR="0010523F" w:rsidRPr="0010523F" w14:paraId="1F8B0E20" w14:textId="77777777" w:rsidTr="00774E7E">
        <w:trPr>
          <w:trHeight w:val="113"/>
        </w:trPr>
        <w:tc>
          <w:tcPr>
            <w:tcW w:w="6208" w:type="dxa"/>
          </w:tcPr>
          <w:p w14:paraId="5A138947" w14:textId="77777777" w:rsidR="0010523F" w:rsidRPr="0010523F" w:rsidRDefault="0010523F" w:rsidP="0010523F">
            <w:pPr>
              <w:spacing w:line="160" w:lineRule="exact"/>
              <w:ind w:left="431"/>
              <w:jc w:val="both"/>
              <w:rPr>
                <w:u w:val="single"/>
                <w:lang w:val="es-AR" w:eastAsia="en-US"/>
              </w:rPr>
            </w:pPr>
          </w:p>
        </w:tc>
        <w:tc>
          <w:tcPr>
            <w:tcW w:w="1560" w:type="dxa"/>
          </w:tcPr>
          <w:p w14:paraId="3A86530B" w14:textId="77777777" w:rsidR="0010523F" w:rsidRPr="0010523F" w:rsidRDefault="0010523F" w:rsidP="0010523F">
            <w:pPr>
              <w:spacing w:line="160" w:lineRule="exact"/>
              <w:ind w:left="431"/>
              <w:jc w:val="both"/>
              <w:rPr>
                <w:u w:val="single"/>
                <w:lang w:val="es-AR" w:eastAsia="en-US"/>
              </w:rPr>
            </w:pPr>
          </w:p>
        </w:tc>
        <w:tc>
          <w:tcPr>
            <w:tcW w:w="1560" w:type="dxa"/>
          </w:tcPr>
          <w:p w14:paraId="4E2C9633" w14:textId="77777777" w:rsidR="0010523F" w:rsidRPr="0010523F" w:rsidRDefault="0010523F" w:rsidP="0010523F">
            <w:pPr>
              <w:spacing w:line="160" w:lineRule="exact"/>
              <w:ind w:left="431"/>
              <w:jc w:val="both"/>
              <w:rPr>
                <w:u w:val="single"/>
                <w:lang w:val="es-AR" w:eastAsia="en-US"/>
              </w:rPr>
            </w:pPr>
          </w:p>
        </w:tc>
      </w:tr>
      <w:tr w:rsidR="0010523F" w:rsidRPr="0010523F" w14:paraId="79FD8BF7" w14:textId="77777777" w:rsidTr="00774E7E">
        <w:trPr>
          <w:trHeight w:val="227"/>
        </w:trPr>
        <w:tc>
          <w:tcPr>
            <w:tcW w:w="6208" w:type="dxa"/>
          </w:tcPr>
          <w:p w14:paraId="34A9B52C" w14:textId="77777777" w:rsidR="0010523F" w:rsidRPr="0010523F" w:rsidRDefault="0010523F" w:rsidP="0010523F">
            <w:pPr>
              <w:jc w:val="both"/>
              <w:rPr>
                <w:lang w:val="es-AR" w:eastAsia="en-US"/>
              </w:rPr>
            </w:pPr>
            <w:r w:rsidRPr="0010523F">
              <w:rPr>
                <w:lang w:val="es-AR" w:eastAsia="en-US"/>
              </w:rPr>
              <w:t>Total inventarios</w:t>
            </w:r>
          </w:p>
        </w:tc>
        <w:tc>
          <w:tcPr>
            <w:tcW w:w="1560" w:type="dxa"/>
          </w:tcPr>
          <w:p w14:paraId="6D9820C3" w14:textId="77777777" w:rsidR="0010523F" w:rsidRPr="0010523F" w:rsidRDefault="0010523F" w:rsidP="0010523F">
            <w:pPr>
              <w:tabs>
                <w:tab w:val="decimal" w:pos="1212"/>
              </w:tabs>
              <w:ind w:left="-108"/>
              <w:jc w:val="both"/>
              <w:rPr>
                <w:u w:val="double"/>
                <w:lang w:val="es-AR" w:eastAsia="en-US"/>
              </w:rPr>
            </w:pPr>
            <w:r w:rsidRPr="0010523F">
              <w:rPr>
                <w:u w:val="double"/>
                <w:lang w:val="es-AR" w:eastAsia="en-US"/>
              </w:rPr>
              <w:t>25.782</w:t>
            </w:r>
          </w:p>
        </w:tc>
        <w:tc>
          <w:tcPr>
            <w:tcW w:w="1560" w:type="dxa"/>
          </w:tcPr>
          <w:p w14:paraId="002DD97F" w14:textId="77777777" w:rsidR="0010523F" w:rsidRPr="0010523F" w:rsidRDefault="0010523F" w:rsidP="0010523F">
            <w:pPr>
              <w:tabs>
                <w:tab w:val="decimal" w:pos="1212"/>
              </w:tabs>
              <w:ind w:left="-108"/>
              <w:jc w:val="both"/>
              <w:rPr>
                <w:highlight w:val="yellow"/>
                <w:u w:val="double"/>
                <w:lang w:val="es-AR" w:eastAsia="en-US"/>
              </w:rPr>
            </w:pPr>
            <w:r w:rsidRPr="0010523F">
              <w:rPr>
                <w:u w:val="double"/>
                <w:lang w:val="es-AR" w:eastAsia="en-US"/>
              </w:rPr>
              <w:t>16.415</w:t>
            </w:r>
          </w:p>
        </w:tc>
      </w:tr>
    </w:tbl>
    <w:p w14:paraId="0EEF70BB" w14:textId="77777777" w:rsidR="0010523F" w:rsidRPr="0010523F" w:rsidRDefault="0010523F" w:rsidP="0010523F">
      <w:pPr>
        <w:spacing w:line="220" w:lineRule="exact"/>
        <w:jc w:val="both"/>
        <w:rPr>
          <w:szCs w:val="20"/>
          <w:lang w:val="es-AR" w:eastAsia="en-US"/>
        </w:rPr>
      </w:pPr>
    </w:p>
    <w:p w14:paraId="12C46A50" w14:textId="77777777" w:rsidR="0010523F" w:rsidRPr="0010523F" w:rsidRDefault="0010523F" w:rsidP="00E2318E">
      <w:pPr>
        <w:keepNext/>
        <w:widowControl w:val="0"/>
        <w:numPr>
          <w:ilvl w:val="0"/>
          <w:numId w:val="75"/>
        </w:numPr>
        <w:tabs>
          <w:tab w:val="decimal" w:pos="4962"/>
          <w:tab w:val="decimal" w:pos="6379"/>
          <w:tab w:val="decimal" w:pos="7797"/>
          <w:tab w:val="decimal" w:pos="9214"/>
          <w:tab w:val="decimal" w:pos="10490"/>
          <w:tab w:val="decimal" w:pos="12049"/>
          <w:tab w:val="decimal" w:pos="13325"/>
          <w:tab w:val="decimal" w:pos="14601"/>
        </w:tabs>
        <w:spacing w:after="120" w:line="220" w:lineRule="exact"/>
        <w:ind w:left="283" w:right="11" w:hanging="283"/>
        <w:jc w:val="both"/>
        <w:outlineLvl w:val="3"/>
        <w:rPr>
          <w:szCs w:val="20"/>
          <w:lang w:val="es-AR" w:eastAsia="en-US"/>
        </w:rPr>
      </w:pPr>
      <w:r w:rsidRPr="0010523F">
        <w:rPr>
          <w:szCs w:val="20"/>
          <w:lang w:val="es-AR" w:eastAsia="en-US"/>
        </w:rPr>
        <w:t xml:space="preserve">Créditos por ventas </w:t>
      </w:r>
    </w:p>
    <w:tbl>
      <w:tblPr>
        <w:tblW w:w="9328" w:type="dxa"/>
        <w:tblInd w:w="-4" w:type="dxa"/>
        <w:tblLayout w:type="fixed"/>
        <w:tblLook w:val="0000" w:firstRow="0" w:lastRow="0" w:firstColumn="0" w:lastColumn="0" w:noHBand="0" w:noVBand="0"/>
      </w:tblPr>
      <w:tblGrid>
        <w:gridCol w:w="6208"/>
        <w:gridCol w:w="1560"/>
        <w:gridCol w:w="1560"/>
      </w:tblGrid>
      <w:tr w:rsidR="0010523F" w:rsidRPr="0010523F" w14:paraId="0241B4DA" w14:textId="77777777" w:rsidTr="00774E7E">
        <w:trPr>
          <w:trHeight w:val="227"/>
        </w:trPr>
        <w:tc>
          <w:tcPr>
            <w:tcW w:w="6208" w:type="dxa"/>
          </w:tcPr>
          <w:p w14:paraId="142F3144" w14:textId="77777777" w:rsidR="0010523F" w:rsidRPr="0010523F" w:rsidRDefault="0010523F" w:rsidP="0010523F">
            <w:pPr>
              <w:tabs>
                <w:tab w:val="left" w:pos="426"/>
              </w:tabs>
              <w:jc w:val="both"/>
              <w:rPr>
                <w:lang w:val="es-AR" w:eastAsia="en-US"/>
              </w:rPr>
            </w:pPr>
            <w:r w:rsidRPr="0010523F">
              <w:rPr>
                <w:lang w:val="es-AR" w:eastAsia="en-US"/>
              </w:rPr>
              <w:t>Con terceros</w:t>
            </w:r>
          </w:p>
        </w:tc>
        <w:tc>
          <w:tcPr>
            <w:tcW w:w="1560" w:type="dxa"/>
          </w:tcPr>
          <w:p w14:paraId="7181CC00" w14:textId="77777777" w:rsidR="0010523F" w:rsidRPr="0010523F" w:rsidRDefault="0010523F" w:rsidP="0010523F">
            <w:pPr>
              <w:tabs>
                <w:tab w:val="decimal" w:pos="1212"/>
              </w:tabs>
              <w:ind w:left="-46"/>
              <w:jc w:val="both"/>
              <w:rPr>
                <w:lang w:val="es-AR" w:eastAsia="en-US"/>
              </w:rPr>
            </w:pPr>
            <w:r w:rsidRPr="0010523F">
              <w:rPr>
                <w:lang w:val="es-AR" w:eastAsia="en-US"/>
              </w:rPr>
              <w:t>20.369</w:t>
            </w:r>
          </w:p>
        </w:tc>
        <w:tc>
          <w:tcPr>
            <w:tcW w:w="1560" w:type="dxa"/>
          </w:tcPr>
          <w:p w14:paraId="1B7C1516" w14:textId="77777777" w:rsidR="0010523F" w:rsidRPr="0010523F" w:rsidRDefault="0010523F" w:rsidP="0010523F">
            <w:pPr>
              <w:tabs>
                <w:tab w:val="decimal" w:pos="1212"/>
              </w:tabs>
              <w:ind w:left="-46"/>
              <w:jc w:val="both"/>
              <w:rPr>
                <w:lang w:val="es-AR" w:eastAsia="en-US"/>
              </w:rPr>
            </w:pPr>
            <w:r w:rsidRPr="0010523F">
              <w:rPr>
                <w:lang w:val="es-AR" w:eastAsia="en-US"/>
              </w:rPr>
              <w:t>12.466</w:t>
            </w:r>
          </w:p>
        </w:tc>
      </w:tr>
      <w:tr w:rsidR="0010523F" w:rsidRPr="0010523F" w14:paraId="78CFE554" w14:textId="77777777" w:rsidTr="00774E7E">
        <w:trPr>
          <w:trHeight w:val="227"/>
        </w:trPr>
        <w:tc>
          <w:tcPr>
            <w:tcW w:w="6208" w:type="dxa"/>
          </w:tcPr>
          <w:p w14:paraId="2DC3CA17" w14:textId="77777777" w:rsidR="0010523F" w:rsidRPr="0010523F" w:rsidRDefault="0010523F" w:rsidP="0010523F">
            <w:pPr>
              <w:tabs>
                <w:tab w:val="left" w:pos="426"/>
              </w:tabs>
              <w:jc w:val="both"/>
              <w:rPr>
                <w:lang w:val="es-AR" w:eastAsia="en-US"/>
              </w:rPr>
            </w:pPr>
            <w:r w:rsidRPr="0010523F">
              <w:rPr>
                <w:lang w:val="es-AR" w:eastAsia="en-US"/>
              </w:rPr>
              <w:t>Con partes relacionadas (Nota 8)</w:t>
            </w:r>
          </w:p>
        </w:tc>
        <w:tc>
          <w:tcPr>
            <w:tcW w:w="1560" w:type="dxa"/>
          </w:tcPr>
          <w:p w14:paraId="4B2CA55B" w14:textId="77777777" w:rsidR="0010523F" w:rsidRPr="0010523F" w:rsidRDefault="0010523F" w:rsidP="0010523F">
            <w:pPr>
              <w:tabs>
                <w:tab w:val="decimal" w:pos="1212"/>
              </w:tabs>
              <w:ind w:left="-46"/>
              <w:jc w:val="both"/>
              <w:rPr>
                <w:lang w:val="es-AR" w:eastAsia="en-US"/>
              </w:rPr>
            </w:pPr>
            <w:r w:rsidRPr="0010523F">
              <w:rPr>
                <w:lang w:val="es-AR" w:eastAsia="en-US"/>
              </w:rPr>
              <w:t>16</w:t>
            </w:r>
          </w:p>
        </w:tc>
        <w:tc>
          <w:tcPr>
            <w:tcW w:w="1560" w:type="dxa"/>
          </w:tcPr>
          <w:p w14:paraId="0AD06C1A" w14:textId="77777777" w:rsidR="0010523F" w:rsidRPr="0010523F" w:rsidRDefault="0010523F" w:rsidP="0010523F">
            <w:pPr>
              <w:tabs>
                <w:tab w:val="decimal" w:pos="1212"/>
              </w:tabs>
              <w:ind w:left="-46"/>
              <w:jc w:val="both"/>
              <w:rPr>
                <w:lang w:val="es-AR" w:eastAsia="en-US"/>
              </w:rPr>
            </w:pPr>
            <w:r w:rsidRPr="0010523F">
              <w:rPr>
                <w:lang w:val="es-AR" w:eastAsia="en-US"/>
              </w:rPr>
              <w:t>1.835</w:t>
            </w:r>
          </w:p>
        </w:tc>
      </w:tr>
      <w:tr w:rsidR="0010523F" w:rsidRPr="0010523F" w14:paraId="2E0ABF12" w14:textId="77777777" w:rsidTr="00774E7E">
        <w:trPr>
          <w:trHeight w:val="177"/>
        </w:trPr>
        <w:tc>
          <w:tcPr>
            <w:tcW w:w="6208" w:type="dxa"/>
          </w:tcPr>
          <w:p w14:paraId="5A9DB715" w14:textId="77777777" w:rsidR="0010523F" w:rsidRPr="0010523F" w:rsidRDefault="0010523F" w:rsidP="0010523F">
            <w:pPr>
              <w:tabs>
                <w:tab w:val="left" w:pos="426"/>
              </w:tabs>
              <w:jc w:val="both"/>
              <w:rPr>
                <w:lang w:val="es-AR" w:eastAsia="en-US"/>
              </w:rPr>
            </w:pPr>
            <w:r w:rsidRPr="0010523F">
              <w:rPr>
                <w:lang w:val="es-AR" w:eastAsia="en-US"/>
              </w:rPr>
              <w:t>En gestión judicial</w:t>
            </w:r>
          </w:p>
        </w:tc>
        <w:tc>
          <w:tcPr>
            <w:tcW w:w="1560" w:type="dxa"/>
          </w:tcPr>
          <w:p w14:paraId="6F858C4C" w14:textId="77777777" w:rsidR="0010523F" w:rsidRPr="0010523F" w:rsidRDefault="0010523F" w:rsidP="0010523F">
            <w:pPr>
              <w:tabs>
                <w:tab w:val="decimal" w:pos="1212"/>
              </w:tabs>
              <w:jc w:val="both"/>
              <w:rPr>
                <w:lang w:val="es-AR" w:eastAsia="en-US"/>
              </w:rPr>
            </w:pPr>
            <w:r w:rsidRPr="0010523F">
              <w:rPr>
                <w:lang w:val="es-AR" w:eastAsia="en-US"/>
              </w:rPr>
              <w:t>4</w:t>
            </w:r>
          </w:p>
        </w:tc>
        <w:tc>
          <w:tcPr>
            <w:tcW w:w="1560" w:type="dxa"/>
          </w:tcPr>
          <w:p w14:paraId="7164407C" w14:textId="77777777" w:rsidR="0010523F" w:rsidRPr="0010523F" w:rsidRDefault="0010523F" w:rsidP="0010523F">
            <w:pPr>
              <w:tabs>
                <w:tab w:val="decimal" w:pos="1212"/>
              </w:tabs>
              <w:jc w:val="both"/>
              <w:rPr>
                <w:lang w:val="es-AR" w:eastAsia="en-US"/>
              </w:rPr>
            </w:pPr>
            <w:r w:rsidRPr="0010523F">
              <w:rPr>
                <w:lang w:val="es-AR" w:eastAsia="en-US"/>
              </w:rPr>
              <w:t>95</w:t>
            </w:r>
          </w:p>
        </w:tc>
      </w:tr>
      <w:tr w:rsidR="0010523F" w:rsidRPr="0010523F" w14:paraId="345232AC" w14:textId="77777777" w:rsidTr="00774E7E">
        <w:trPr>
          <w:trHeight w:val="227"/>
        </w:trPr>
        <w:tc>
          <w:tcPr>
            <w:tcW w:w="6208" w:type="dxa"/>
          </w:tcPr>
          <w:p w14:paraId="6D50F046" w14:textId="77777777" w:rsidR="0010523F" w:rsidRPr="0010523F" w:rsidRDefault="0010523F" w:rsidP="0010523F">
            <w:pPr>
              <w:tabs>
                <w:tab w:val="left" w:pos="426"/>
              </w:tabs>
              <w:jc w:val="both"/>
              <w:rPr>
                <w:lang w:val="es-AR" w:eastAsia="en-US"/>
              </w:rPr>
            </w:pPr>
            <w:r w:rsidRPr="0010523F">
              <w:rPr>
                <w:lang w:val="es-AR" w:eastAsia="en-US"/>
              </w:rPr>
              <w:t>Previsión para deudores incobrables (Anexo E-1)</w:t>
            </w:r>
          </w:p>
        </w:tc>
        <w:tc>
          <w:tcPr>
            <w:tcW w:w="1560" w:type="dxa"/>
          </w:tcPr>
          <w:p w14:paraId="551EAC5B" w14:textId="77777777" w:rsidR="0010523F" w:rsidRPr="0010523F" w:rsidRDefault="0010523F" w:rsidP="0010523F">
            <w:pPr>
              <w:tabs>
                <w:tab w:val="decimal" w:pos="1212"/>
              </w:tabs>
              <w:ind w:left="-46"/>
              <w:jc w:val="both"/>
              <w:rPr>
                <w:lang w:val="es-AR" w:eastAsia="en-US"/>
              </w:rPr>
            </w:pPr>
            <w:r w:rsidRPr="0010523F">
              <w:rPr>
                <w:lang w:val="es-AR" w:eastAsia="en-US"/>
              </w:rPr>
              <w:t>(</w:t>
            </w:r>
            <w:r w:rsidRPr="0010523F">
              <w:rPr>
                <w:u w:val="single"/>
                <w:lang w:val="es-AR" w:eastAsia="en-US"/>
              </w:rPr>
              <w:t xml:space="preserve">     926</w:t>
            </w:r>
            <w:r w:rsidRPr="0010523F">
              <w:rPr>
                <w:lang w:val="es-AR" w:eastAsia="en-US"/>
              </w:rPr>
              <w:t>)</w:t>
            </w:r>
          </w:p>
        </w:tc>
        <w:tc>
          <w:tcPr>
            <w:tcW w:w="1560" w:type="dxa"/>
          </w:tcPr>
          <w:p w14:paraId="14C713E0" w14:textId="77777777" w:rsidR="0010523F" w:rsidRPr="0010523F" w:rsidRDefault="0010523F" w:rsidP="0010523F">
            <w:pPr>
              <w:tabs>
                <w:tab w:val="decimal" w:pos="1212"/>
              </w:tabs>
              <w:ind w:left="-46"/>
              <w:jc w:val="both"/>
              <w:rPr>
                <w:lang w:val="es-AR" w:eastAsia="en-US"/>
              </w:rPr>
            </w:pPr>
            <w:r w:rsidRPr="0010523F">
              <w:rPr>
                <w:lang w:val="es-AR" w:eastAsia="en-US"/>
              </w:rPr>
              <w:t>(</w:t>
            </w:r>
            <w:r w:rsidRPr="0010523F">
              <w:rPr>
                <w:u w:val="single"/>
                <w:lang w:val="es-AR" w:eastAsia="en-US"/>
              </w:rPr>
              <w:t xml:space="preserve">     640</w:t>
            </w:r>
            <w:r w:rsidRPr="0010523F">
              <w:rPr>
                <w:lang w:val="es-AR" w:eastAsia="en-US"/>
              </w:rPr>
              <w:t>)</w:t>
            </w:r>
          </w:p>
        </w:tc>
      </w:tr>
      <w:tr w:rsidR="0010523F" w:rsidRPr="0010523F" w14:paraId="1A7B6041" w14:textId="77777777" w:rsidTr="00774E7E">
        <w:trPr>
          <w:trHeight w:val="57"/>
        </w:trPr>
        <w:tc>
          <w:tcPr>
            <w:tcW w:w="6208" w:type="dxa"/>
          </w:tcPr>
          <w:p w14:paraId="506EB019" w14:textId="77777777" w:rsidR="0010523F" w:rsidRPr="0010523F" w:rsidRDefault="0010523F" w:rsidP="0010523F">
            <w:pPr>
              <w:spacing w:line="160" w:lineRule="exact"/>
              <w:ind w:left="431"/>
              <w:jc w:val="both"/>
              <w:rPr>
                <w:u w:val="single"/>
                <w:lang w:val="es-AR" w:eastAsia="en-US"/>
              </w:rPr>
            </w:pPr>
          </w:p>
        </w:tc>
        <w:tc>
          <w:tcPr>
            <w:tcW w:w="1560" w:type="dxa"/>
          </w:tcPr>
          <w:p w14:paraId="41669117" w14:textId="77777777" w:rsidR="0010523F" w:rsidRPr="0010523F" w:rsidRDefault="0010523F" w:rsidP="0010523F">
            <w:pPr>
              <w:spacing w:line="160" w:lineRule="exact"/>
              <w:ind w:left="431"/>
              <w:jc w:val="both"/>
              <w:rPr>
                <w:u w:val="single"/>
                <w:lang w:val="es-AR" w:eastAsia="en-US"/>
              </w:rPr>
            </w:pPr>
          </w:p>
        </w:tc>
        <w:tc>
          <w:tcPr>
            <w:tcW w:w="1560" w:type="dxa"/>
          </w:tcPr>
          <w:p w14:paraId="16D8E950" w14:textId="77777777" w:rsidR="0010523F" w:rsidRPr="0010523F" w:rsidRDefault="0010523F" w:rsidP="0010523F">
            <w:pPr>
              <w:spacing w:line="160" w:lineRule="exact"/>
              <w:ind w:left="431"/>
              <w:jc w:val="both"/>
              <w:rPr>
                <w:u w:val="single"/>
                <w:lang w:val="es-AR" w:eastAsia="en-US"/>
              </w:rPr>
            </w:pPr>
          </w:p>
        </w:tc>
      </w:tr>
      <w:tr w:rsidR="0010523F" w:rsidRPr="0010523F" w14:paraId="7887F820" w14:textId="77777777" w:rsidTr="00774E7E">
        <w:trPr>
          <w:trHeight w:val="227"/>
        </w:trPr>
        <w:tc>
          <w:tcPr>
            <w:tcW w:w="6208" w:type="dxa"/>
          </w:tcPr>
          <w:p w14:paraId="0A286E51" w14:textId="77777777" w:rsidR="0010523F" w:rsidRPr="0010523F" w:rsidRDefault="0010523F" w:rsidP="0010523F">
            <w:pPr>
              <w:jc w:val="both"/>
              <w:rPr>
                <w:lang w:val="es-AR" w:eastAsia="en-US"/>
              </w:rPr>
            </w:pPr>
            <w:r w:rsidRPr="0010523F">
              <w:rPr>
                <w:lang w:val="es-AR" w:eastAsia="en-US"/>
              </w:rPr>
              <w:t>Total créditos por ventas</w:t>
            </w:r>
          </w:p>
        </w:tc>
        <w:tc>
          <w:tcPr>
            <w:tcW w:w="1560" w:type="dxa"/>
          </w:tcPr>
          <w:p w14:paraId="4C1CBE97" w14:textId="77777777" w:rsidR="0010523F" w:rsidRPr="0010523F" w:rsidRDefault="0010523F" w:rsidP="0010523F">
            <w:pPr>
              <w:tabs>
                <w:tab w:val="decimal" w:pos="1212"/>
              </w:tabs>
              <w:ind w:left="-46"/>
              <w:jc w:val="both"/>
              <w:rPr>
                <w:u w:val="double"/>
                <w:lang w:val="es-AR" w:eastAsia="en-US"/>
              </w:rPr>
            </w:pPr>
            <w:r w:rsidRPr="0010523F">
              <w:rPr>
                <w:u w:val="double"/>
                <w:lang w:val="es-AR" w:eastAsia="en-US"/>
              </w:rPr>
              <w:t>19.463</w:t>
            </w:r>
          </w:p>
        </w:tc>
        <w:tc>
          <w:tcPr>
            <w:tcW w:w="1560" w:type="dxa"/>
          </w:tcPr>
          <w:p w14:paraId="05C8844C" w14:textId="77777777" w:rsidR="0010523F" w:rsidRPr="0010523F" w:rsidRDefault="0010523F" w:rsidP="0010523F">
            <w:pPr>
              <w:tabs>
                <w:tab w:val="decimal" w:pos="1212"/>
              </w:tabs>
              <w:ind w:left="-46"/>
              <w:jc w:val="both"/>
              <w:rPr>
                <w:u w:val="double"/>
                <w:lang w:val="es-AR" w:eastAsia="en-US"/>
              </w:rPr>
            </w:pPr>
            <w:r w:rsidRPr="0010523F">
              <w:rPr>
                <w:u w:val="double"/>
                <w:lang w:val="es-AR" w:eastAsia="en-US"/>
              </w:rPr>
              <w:t>13.756</w:t>
            </w:r>
          </w:p>
        </w:tc>
      </w:tr>
    </w:tbl>
    <w:p w14:paraId="1346DD63" w14:textId="77777777" w:rsidR="0010523F" w:rsidRPr="0010523F" w:rsidRDefault="0010523F" w:rsidP="0010523F">
      <w:pPr>
        <w:spacing w:line="100" w:lineRule="exact"/>
        <w:rPr>
          <w:b/>
          <w:sz w:val="22"/>
          <w:szCs w:val="22"/>
          <w:lang w:val="es-AR" w:eastAsia="en-US"/>
        </w:rPr>
      </w:pPr>
      <w:r w:rsidRPr="0010523F">
        <w:rPr>
          <w:b/>
          <w:sz w:val="22"/>
          <w:szCs w:val="22"/>
          <w:lang w:val="es-AR" w:eastAsia="en-US"/>
        </w:rPr>
        <w:br w:type="page"/>
      </w:r>
    </w:p>
    <w:p w14:paraId="20A7D8E3" w14:textId="77777777" w:rsidR="0010523F" w:rsidRPr="0010523F" w:rsidRDefault="0010523F" w:rsidP="0010523F">
      <w:pPr>
        <w:spacing w:line="200" w:lineRule="exact"/>
        <w:jc w:val="both"/>
        <w:rPr>
          <w:b/>
          <w:lang w:val="es-AR" w:eastAsia="en-US"/>
        </w:rPr>
      </w:pPr>
      <w:r w:rsidRPr="0010523F">
        <w:rPr>
          <w:b/>
          <w:lang w:val="es-AR" w:eastAsia="en-US"/>
        </w:rPr>
        <w:t>NOTA 3 -</w:t>
      </w:r>
      <w:r w:rsidRPr="0010523F">
        <w:rPr>
          <w:b/>
          <w:lang w:val="es-AR" w:eastAsia="en-US"/>
        </w:rPr>
        <w:tab/>
        <w:t>COMPOSICIÓN DE CIERTOS RUBROS DEL ESTADO DE SITUACIÓN FINANCIERA INTERMEDIO CONDENSADO (cont.)</w:t>
      </w:r>
    </w:p>
    <w:p w14:paraId="62383F99" w14:textId="77777777" w:rsidR="0010523F" w:rsidRPr="0010523F" w:rsidRDefault="0010523F" w:rsidP="0010523F">
      <w:pPr>
        <w:spacing w:line="60" w:lineRule="exact"/>
        <w:ind w:right="-62"/>
        <w:rPr>
          <w:color w:val="000000"/>
          <w:sz w:val="20"/>
          <w:szCs w:val="16"/>
          <w:lang w:val="es-AR" w:eastAsia="en-US"/>
        </w:rPr>
      </w:pPr>
    </w:p>
    <w:p w14:paraId="22ECC732" w14:textId="77777777" w:rsidR="0010523F" w:rsidRPr="0010523F" w:rsidRDefault="0010523F" w:rsidP="0010523F">
      <w:pPr>
        <w:spacing w:line="80" w:lineRule="exact"/>
        <w:rPr>
          <w:color w:val="000000"/>
          <w:sz w:val="20"/>
          <w:szCs w:val="16"/>
          <w:lang w:val="es-AR" w:eastAsia="en-US"/>
        </w:rPr>
      </w:pPr>
    </w:p>
    <w:p w14:paraId="70A2913E" w14:textId="77777777" w:rsidR="0010523F" w:rsidRPr="0010523F" w:rsidRDefault="0010523F" w:rsidP="00E2318E">
      <w:pPr>
        <w:keepNext/>
        <w:widowControl w:val="0"/>
        <w:numPr>
          <w:ilvl w:val="0"/>
          <w:numId w:val="75"/>
        </w:numPr>
        <w:tabs>
          <w:tab w:val="decimal" w:pos="4962"/>
          <w:tab w:val="decimal" w:pos="6379"/>
          <w:tab w:val="decimal" w:pos="7797"/>
          <w:tab w:val="decimal" w:pos="9214"/>
          <w:tab w:val="decimal" w:pos="10490"/>
          <w:tab w:val="decimal" w:pos="12049"/>
          <w:tab w:val="decimal" w:pos="13325"/>
          <w:tab w:val="decimal" w:pos="14601"/>
        </w:tabs>
        <w:spacing w:after="120" w:line="220" w:lineRule="exact"/>
        <w:ind w:left="283" w:right="11" w:hanging="283"/>
        <w:jc w:val="both"/>
        <w:outlineLvl w:val="3"/>
        <w:rPr>
          <w:szCs w:val="20"/>
          <w:lang w:val="es-AR" w:eastAsia="en-US"/>
        </w:rPr>
      </w:pPr>
      <w:r w:rsidRPr="0010523F">
        <w:rPr>
          <w:szCs w:val="20"/>
          <w:lang w:val="es-AR" w:eastAsia="en-US"/>
        </w:rPr>
        <w:t>Efectivo y equivalentes de efectivo</w:t>
      </w:r>
    </w:p>
    <w:tbl>
      <w:tblPr>
        <w:tblW w:w="9939" w:type="dxa"/>
        <w:tblInd w:w="-34" w:type="dxa"/>
        <w:tblLayout w:type="fixed"/>
        <w:tblLook w:val="04A0" w:firstRow="1" w:lastRow="0" w:firstColumn="1" w:lastColumn="0" w:noHBand="0" w:noVBand="1"/>
      </w:tblPr>
      <w:tblGrid>
        <w:gridCol w:w="7138"/>
        <w:gridCol w:w="1418"/>
        <w:gridCol w:w="1383"/>
      </w:tblGrid>
      <w:tr w:rsidR="0010523F" w:rsidRPr="0010523F" w14:paraId="48AFD0F4" w14:textId="77777777" w:rsidTr="00774E7E">
        <w:tc>
          <w:tcPr>
            <w:tcW w:w="7138" w:type="dxa"/>
            <w:tcBorders>
              <w:top w:val="nil"/>
              <w:left w:val="nil"/>
              <w:bottom w:val="nil"/>
              <w:right w:val="nil"/>
            </w:tcBorders>
            <w:shd w:val="clear" w:color="auto" w:fill="auto"/>
            <w:noWrap/>
            <w:vAlign w:val="bottom"/>
          </w:tcPr>
          <w:p w14:paraId="27AAEDB0" w14:textId="77777777" w:rsidR="0010523F" w:rsidRPr="0010523F" w:rsidRDefault="0010523F" w:rsidP="0010523F">
            <w:pPr>
              <w:jc w:val="both"/>
              <w:rPr>
                <w:lang w:val="es-AR" w:eastAsia="en-US"/>
              </w:rPr>
            </w:pPr>
          </w:p>
        </w:tc>
        <w:tc>
          <w:tcPr>
            <w:tcW w:w="1418" w:type="dxa"/>
            <w:tcBorders>
              <w:top w:val="nil"/>
              <w:left w:val="nil"/>
              <w:bottom w:val="nil"/>
              <w:right w:val="nil"/>
            </w:tcBorders>
            <w:shd w:val="clear" w:color="auto" w:fill="auto"/>
            <w:noWrap/>
          </w:tcPr>
          <w:p w14:paraId="636D3DA5" w14:textId="77777777" w:rsidR="0010523F" w:rsidRPr="0010523F" w:rsidRDefault="0010523F" w:rsidP="0010523F">
            <w:pPr>
              <w:jc w:val="center"/>
              <w:rPr>
                <w:bCs/>
                <w:highlight w:val="yellow"/>
                <w:u w:val="single"/>
                <w:lang w:val="es-AR" w:eastAsia="en-US"/>
              </w:rPr>
            </w:pPr>
            <w:r w:rsidRPr="0010523F">
              <w:rPr>
                <w:u w:val="single"/>
                <w:lang w:val="es-AR" w:eastAsia="en-US"/>
              </w:rPr>
              <w:t>30/09/2019</w:t>
            </w:r>
          </w:p>
        </w:tc>
        <w:tc>
          <w:tcPr>
            <w:tcW w:w="1383" w:type="dxa"/>
            <w:tcBorders>
              <w:top w:val="nil"/>
              <w:left w:val="nil"/>
              <w:bottom w:val="nil"/>
              <w:right w:val="nil"/>
            </w:tcBorders>
            <w:shd w:val="clear" w:color="auto" w:fill="auto"/>
            <w:noWrap/>
            <w:vAlign w:val="bottom"/>
          </w:tcPr>
          <w:p w14:paraId="70E2D26F" w14:textId="77777777" w:rsidR="0010523F" w:rsidRPr="0010523F" w:rsidRDefault="0010523F" w:rsidP="0010523F">
            <w:pPr>
              <w:jc w:val="center"/>
              <w:rPr>
                <w:bCs/>
                <w:u w:val="single"/>
                <w:lang w:val="es-AR" w:eastAsia="en-US"/>
              </w:rPr>
            </w:pPr>
            <w:r w:rsidRPr="0010523F">
              <w:rPr>
                <w:u w:val="single"/>
                <w:lang w:val="es-AR" w:eastAsia="en-US"/>
              </w:rPr>
              <w:t>31/12/2018</w:t>
            </w:r>
          </w:p>
        </w:tc>
      </w:tr>
      <w:tr w:rsidR="0010523F" w:rsidRPr="0010523F" w14:paraId="38957253" w14:textId="77777777" w:rsidTr="00774E7E">
        <w:trPr>
          <w:trHeight w:val="98"/>
        </w:trPr>
        <w:tc>
          <w:tcPr>
            <w:tcW w:w="7138" w:type="dxa"/>
            <w:tcBorders>
              <w:top w:val="nil"/>
              <w:left w:val="nil"/>
              <w:bottom w:val="nil"/>
              <w:right w:val="nil"/>
            </w:tcBorders>
            <w:shd w:val="clear" w:color="auto" w:fill="auto"/>
            <w:noWrap/>
            <w:vAlign w:val="bottom"/>
            <w:hideMark/>
          </w:tcPr>
          <w:p w14:paraId="1BEFF862" w14:textId="77777777" w:rsidR="0010523F" w:rsidRPr="0010523F" w:rsidRDefault="0010523F" w:rsidP="0010523F">
            <w:pPr>
              <w:spacing w:line="180" w:lineRule="exact"/>
              <w:rPr>
                <w:bCs/>
                <w:u w:val="single"/>
                <w:lang w:val="es-AR" w:eastAsia="en-US"/>
              </w:rPr>
            </w:pPr>
          </w:p>
        </w:tc>
        <w:tc>
          <w:tcPr>
            <w:tcW w:w="1418" w:type="dxa"/>
            <w:tcBorders>
              <w:left w:val="nil"/>
              <w:bottom w:val="nil"/>
              <w:right w:val="nil"/>
            </w:tcBorders>
            <w:shd w:val="clear" w:color="auto" w:fill="auto"/>
            <w:vAlign w:val="bottom"/>
          </w:tcPr>
          <w:p w14:paraId="601895FA" w14:textId="77777777" w:rsidR="0010523F" w:rsidRPr="0010523F" w:rsidRDefault="0010523F" w:rsidP="0010523F">
            <w:pPr>
              <w:spacing w:line="180" w:lineRule="exact"/>
              <w:jc w:val="center"/>
              <w:rPr>
                <w:bCs/>
                <w:highlight w:val="yellow"/>
                <w:u w:val="single"/>
                <w:lang w:val="es-AR" w:eastAsia="en-US"/>
              </w:rPr>
            </w:pPr>
          </w:p>
        </w:tc>
        <w:tc>
          <w:tcPr>
            <w:tcW w:w="1383" w:type="dxa"/>
            <w:tcBorders>
              <w:left w:val="nil"/>
              <w:bottom w:val="nil"/>
              <w:right w:val="nil"/>
            </w:tcBorders>
            <w:shd w:val="clear" w:color="auto" w:fill="auto"/>
            <w:vAlign w:val="bottom"/>
          </w:tcPr>
          <w:p w14:paraId="2A3E7183" w14:textId="77777777" w:rsidR="0010523F" w:rsidRPr="0010523F" w:rsidRDefault="0010523F" w:rsidP="0010523F">
            <w:pPr>
              <w:spacing w:line="180" w:lineRule="exact"/>
              <w:jc w:val="center"/>
              <w:rPr>
                <w:bCs/>
                <w:u w:val="single"/>
                <w:lang w:val="es-AR" w:eastAsia="en-US"/>
              </w:rPr>
            </w:pPr>
          </w:p>
        </w:tc>
      </w:tr>
      <w:tr w:rsidR="0010523F" w:rsidRPr="0010523F" w14:paraId="6DB4C4A5" w14:textId="77777777" w:rsidTr="00774E7E">
        <w:tblPrEx>
          <w:tblLook w:val="0000" w:firstRow="0" w:lastRow="0" w:firstColumn="0" w:lastColumn="0" w:noHBand="0" w:noVBand="0"/>
        </w:tblPrEx>
        <w:tc>
          <w:tcPr>
            <w:tcW w:w="7138" w:type="dxa"/>
            <w:vAlign w:val="bottom"/>
          </w:tcPr>
          <w:p w14:paraId="584FBBC8" w14:textId="77777777" w:rsidR="0010523F" w:rsidRPr="0010523F" w:rsidRDefault="0010523F" w:rsidP="0010523F">
            <w:pPr>
              <w:rPr>
                <w:lang w:val="es-AR" w:eastAsia="en-US"/>
              </w:rPr>
            </w:pPr>
            <w:r w:rsidRPr="0010523F">
              <w:rPr>
                <w:lang w:val="es-AR" w:eastAsia="en-US"/>
              </w:rPr>
              <w:t xml:space="preserve">Efectivo: </w:t>
            </w:r>
          </w:p>
        </w:tc>
        <w:tc>
          <w:tcPr>
            <w:tcW w:w="1418" w:type="dxa"/>
            <w:vAlign w:val="bottom"/>
          </w:tcPr>
          <w:p w14:paraId="05E3DB80" w14:textId="77777777" w:rsidR="0010523F" w:rsidRPr="0010523F" w:rsidRDefault="0010523F" w:rsidP="0010523F">
            <w:pPr>
              <w:tabs>
                <w:tab w:val="decimal" w:pos="1212"/>
              </w:tabs>
              <w:jc w:val="both"/>
              <w:rPr>
                <w:highlight w:val="yellow"/>
                <w:lang w:val="es-AR" w:eastAsia="en-US"/>
              </w:rPr>
            </w:pPr>
          </w:p>
        </w:tc>
        <w:tc>
          <w:tcPr>
            <w:tcW w:w="1383" w:type="dxa"/>
            <w:vAlign w:val="bottom"/>
          </w:tcPr>
          <w:p w14:paraId="116869F0" w14:textId="77777777" w:rsidR="0010523F" w:rsidRPr="0010523F" w:rsidRDefault="0010523F" w:rsidP="0010523F">
            <w:pPr>
              <w:jc w:val="both"/>
              <w:rPr>
                <w:u w:val="single"/>
                <w:lang w:val="es-AR" w:eastAsia="en-US"/>
              </w:rPr>
            </w:pPr>
          </w:p>
        </w:tc>
      </w:tr>
      <w:tr w:rsidR="0010523F" w:rsidRPr="0010523F" w14:paraId="4AA9FD23" w14:textId="77777777" w:rsidTr="00774E7E">
        <w:tblPrEx>
          <w:tblLook w:val="0000" w:firstRow="0" w:lastRow="0" w:firstColumn="0" w:lastColumn="0" w:noHBand="0" w:noVBand="0"/>
        </w:tblPrEx>
        <w:tc>
          <w:tcPr>
            <w:tcW w:w="7138" w:type="dxa"/>
            <w:vAlign w:val="bottom"/>
          </w:tcPr>
          <w:p w14:paraId="4AE8F171" w14:textId="77777777" w:rsidR="0010523F" w:rsidRPr="0010523F" w:rsidRDefault="0010523F" w:rsidP="0010523F">
            <w:pPr>
              <w:rPr>
                <w:u w:val="double"/>
                <w:lang w:val="es-AR" w:eastAsia="en-US"/>
              </w:rPr>
            </w:pPr>
            <w:r w:rsidRPr="0010523F">
              <w:rPr>
                <w:lang w:val="es-AR" w:eastAsia="en-US"/>
              </w:rPr>
              <w:t xml:space="preserve">Caja y bancos </w:t>
            </w:r>
          </w:p>
        </w:tc>
        <w:tc>
          <w:tcPr>
            <w:tcW w:w="1418" w:type="dxa"/>
            <w:vAlign w:val="bottom"/>
          </w:tcPr>
          <w:p w14:paraId="65834D7F" w14:textId="77777777" w:rsidR="0010523F" w:rsidRPr="0010523F" w:rsidRDefault="0010523F" w:rsidP="0010523F">
            <w:pPr>
              <w:tabs>
                <w:tab w:val="decimal" w:pos="961"/>
              </w:tabs>
              <w:jc w:val="both"/>
              <w:rPr>
                <w:u w:val="single"/>
                <w:lang w:val="es-AR" w:eastAsia="en-US"/>
              </w:rPr>
            </w:pPr>
            <w:r w:rsidRPr="0010523F">
              <w:rPr>
                <w:u w:val="single"/>
                <w:lang w:val="es-AR" w:eastAsia="en-US"/>
              </w:rPr>
              <w:t xml:space="preserve">  4.943</w:t>
            </w:r>
          </w:p>
        </w:tc>
        <w:tc>
          <w:tcPr>
            <w:tcW w:w="1383" w:type="dxa"/>
            <w:vAlign w:val="bottom"/>
          </w:tcPr>
          <w:p w14:paraId="7940EBFB" w14:textId="77777777" w:rsidR="0010523F" w:rsidRPr="0010523F" w:rsidRDefault="0010523F" w:rsidP="0010523F">
            <w:pPr>
              <w:tabs>
                <w:tab w:val="decimal" w:pos="1082"/>
              </w:tabs>
              <w:jc w:val="both"/>
              <w:rPr>
                <w:highlight w:val="yellow"/>
                <w:u w:val="single"/>
                <w:lang w:val="es-AR" w:eastAsia="en-US"/>
              </w:rPr>
            </w:pPr>
            <w:r w:rsidRPr="0010523F">
              <w:rPr>
                <w:u w:val="single"/>
                <w:lang w:val="es-AR" w:eastAsia="en-US"/>
              </w:rPr>
              <w:t>2.320</w:t>
            </w:r>
          </w:p>
        </w:tc>
      </w:tr>
      <w:tr w:rsidR="0010523F" w:rsidRPr="0010523F" w14:paraId="451BEA6B" w14:textId="77777777" w:rsidTr="00774E7E">
        <w:tblPrEx>
          <w:tblLook w:val="0000" w:firstRow="0" w:lastRow="0" w:firstColumn="0" w:lastColumn="0" w:noHBand="0" w:noVBand="0"/>
        </w:tblPrEx>
        <w:tc>
          <w:tcPr>
            <w:tcW w:w="7138" w:type="dxa"/>
            <w:vAlign w:val="bottom"/>
          </w:tcPr>
          <w:p w14:paraId="7660F26A" w14:textId="77777777" w:rsidR="0010523F" w:rsidRPr="0010523F" w:rsidRDefault="0010523F" w:rsidP="0010523F">
            <w:pPr>
              <w:spacing w:line="180" w:lineRule="exact"/>
              <w:rPr>
                <w:bCs/>
                <w:u w:val="single"/>
                <w:lang w:val="es-AR" w:eastAsia="en-US"/>
              </w:rPr>
            </w:pPr>
          </w:p>
        </w:tc>
        <w:tc>
          <w:tcPr>
            <w:tcW w:w="1418" w:type="dxa"/>
            <w:vAlign w:val="bottom"/>
          </w:tcPr>
          <w:p w14:paraId="0040D063" w14:textId="77777777" w:rsidR="0010523F" w:rsidRPr="0010523F" w:rsidRDefault="0010523F" w:rsidP="0010523F">
            <w:pPr>
              <w:spacing w:line="180" w:lineRule="exact"/>
              <w:rPr>
                <w:bCs/>
                <w:u w:val="single"/>
                <w:lang w:val="es-AR" w:eastAsia="en-US"/>
              </w:rPr>
            </w:pPr>
          </w:p>
        </w:tc>
        <w:tc>
          <w:tcPr>
            <w:tcW w:w="1383" w:type="dxa"/>
            <w:vAlign w:val="bottom"/>
          </w:tcPr>
          <w:p w14:paraId="51870D74" w14:textId="77777777" w:rsidR="0010523F" w:rsidRPr="0010523F" w:rsidRDefault="0010523F" w:rsidP="0010523F">
            <w:pPr>
              <w:spacing w:line="180" w:lineRule="exact"/>
              <w:rPr>
                <w:bCs/>
                <w:highlight w:val="yellow"/>
                <w:u w:val="single"/>
                <w:lang w:val="es-AR" w:eastAsia="en-US"/>
              </w:rPr>
            </w:pPr>
          </w:p>
        </w:tc>
      </w:tr>
      <w:tr w:rsidR="0010523F" w:rsidRPr="0010523F" w14:paraId="433DD485" w14:textId="77777777" w:rsidTr="00774E7E">
        <w:tblPrEx>
          <w:tblLook w:val="0000" w:firstRow="0" w:lastRow="0" w:firstColumn="0" w:lastColumn="0" w:noHBand="0" w:noVBand="0"/>
        </w:tblPrEx>
        <w:tc>
          <w:tcPr>
            <w:tcW w:w="7138" w:type="dxa"/>
            <w:vAlign w:val="bottom"/>
          </w:tcPr>
          <w:p w14:paraId="5AFCD37A" w14:textId="77777777" w:rsidR="0010523F" w:rsidRPr="0010523F" w:rsidRDefault="0010523F" w:rsidP="0010523F">
            <w:pPr>
              <w:rPr>
                <w:lang w:val="es-AR" w:eastAsia="en-US"/>
              </w:rPr>
            </w:pPr>
            <w:r w:rsidRPr="0010523F">
              <w:rPr>
                <w:lang w:val="es-AR" w:eastAsia="en-US"/>
              </w:rPr>
              <w:t xml:space="preserve">Inversiones equivalentes de efectivo: </w:t>
            </w:r>
          </w:p>
        </w:tc>
        <w:tc>
          <w:tcPr>
            <w:tcW w:w="1418" w:type="dxa"/>
            <w:vAlign w:val="bottom"/>
          </w:tcPr>
          <w:p w14:paraId="3049C989" w14:textId="77777777" w:rsidR="0010523F" w:rsidRPr="0010523F" w:rsidRDefault="0010523F" w:rsidP="0010523F">
            <w:pPr>
              <w:tabs>
                <w:tab w:val="decimal" w:pos="961"/>
              </w:tabs>
              <w:jc w:val="both"/>
              <w:rPr>
                <w:u w:val="double"/>
                <w:lang w:val="es-AR" w:eastAsia="en-US"/>
              </w:rPr>
            </w:pPr>
          </w:p>
        </w:tc>
        <w:tc>
          <w:tcPr>
            <w:tcW w:w="1383" w:type="dxa"/>
            <w:vAlign w:val="bottom"/>
          </w:tcPr>
          <w:p w14:paraId="19C55AEC" w14:textId="77777777" w:rsidR="0010523F" w:rsidRPr="0010523F" w:rsidRDefault="0010523F" w:rsidP="0010523F">
            <w:pPr>
              <w:ind w:left="-142" w:firstLine="142"/>
              <w:jc w:val="both"/>
              <w:rPr>
                <w:highlight w:val="yellow"/>
                <w:u w:val="double"/>
                <w:lang w:val="es-AR" w:eastAsia="en-US"/>
              </w:rPr>
            </w:pPr>
          </w:p>
        </w:tc>
      </w:tr>
      <w:tr w:rsidR="0010523F" w:rsidRPr="0010523F" w14:paraId="6C2DBE18" w14:textId="77777777" w:rsidTr="00774E7E">
        <w:tblPrEx>
          <w:tblLook w:val="0000" w:firstRow="0" w:lastRow="0" w:firstColumn="0" w:lastColumn="0" w:noHBand="0" w:noVBand="0"/>
        </w:tblPrEx>
        <w:tc>
          <w:tcPr>
            <w:tcW w:w="7138" w:type="dxa"/>
            <w:vAlign w:val="bottom"/>
          </w:tcPr>
          <w:p w14:paraId="360EC26A" w14:textId="77777777" w:rsidR="0010523F" w:rsidRPr="0010523F" w:rsidRDefault="0010523F" w:rsidP="0010523F">
            <w:pPr>
              <w:rPr>
                <w:lang w:val="es-AR" w:eastAsia="en-US"/>
              </w:rPr>
            </w:pPr>
            <w:r w:rsidRPr="0010523F">
              <w:rPr>
                <w:lang w:val="es-AR" w:eastAsia="en-US"/>
              </w:rPr>
              <w:t xml:space="preserve">Colocaciones transitorias a corto plazo </w:t>
            </w:r>
          </w:p>
        </w:tc>
        <w:tc>
          <w:tcPr>
            <w:tcW w:w="1418" w:type="dxa"/>
            <w:vAlign w:val="bottom"/>
          </w:tcPr>
          <w:p w14:paraId="6F453D03" w14:textId="77777777" w:rsidR="0010523F" w:rsidRPr="0010523F" w:rsidRDefault="0010523F" w:rsidP="0010523F">
            <w:pPr>
              <w:tabs>
                <w:tab w:val="decimal" w:pos="961"/>
              </w:tabs>
              <w:jc w:val="both"/>
              <w:rPr>
                <w:lang w:val="es-AR" w:eastAsia="en-US"/>
              </w:rPr>
            </w:pPr>
            <w:r w:rsidRPr="0010523F">
              <w:rPr>
                <w:lang w:val="es-AR" w:eastAsia="en-US"/>
              </w:rPr>
              <w:t>8.384</w:t>
            </w:r>
          </w:p>
        </w:tc>
        <w:tc>
          <w:tcPr>
            <w:tcW w:w="1383" w:type="dxa"/>
            <w:vAlign w:val="bottom"/>
          </w:tcPr>
          <w:p w14:paraId="4E429A7E" w14:textId="77777777" w:rsidR="0010523F" w:rsidRPr="0010523F" w:rsidRDefault="0010523F" w:rsidP="0010523F">
            <w:pPr>
              <w:tabs>
                <w:tab w:val="decimal" w:pos="1082"/>
              </w:tabs>
              <w:jc w:val="both"/>
              <w:rPr>
                <w:highlight w:val="yellow"/>
                <w:lang w:val="es-AR" w:eastAsia="en-US"/>
              </w:rPr>
            </w:pPr>
            <w:r w:rsidRPr="0010523F">
              <w:rPr>
                <w:lang w:val="es-AR" w:eastAsia="en-US"/>
              </w:rPr>
              <w:t>14.954</w:t>
            </w:r>
          </w:p>
        </w:tc>
      </w:tr>
      <w:tr w:rsidR="0010523F" w:rsidRPr="0010523F" w14:paraId="1B5F1FD6" w14:textId="77777777" w:rsidTr="00774E7E">
        <w:tblPrEx>
          <w:tblLook w:val="0000" w:firstRow="0" w:lastRow="0" w:firstColumn="0" w:lastColumn="0" w:noHBand="0" w:noVBand="0"/>
        </w:tblPrEx>
        <w:tc>
          <w:tcPr>
            <w:tcW w:w="7138" w:type="dxa"/>
            <w:vAlign w:val="bottom"/>
          </w:tcPr>
          <w:p w14:paraId="31E29542" w14:textId="77777777" w:rsidR="0010523F" w:rsidRPr="0010523F" w:rsidRDefault="0010523F" w:rsidP="0010523F">
            <w:pPr>
              <w:ind w:right="-108"/>
              <w:rPr>
                <w:lang w:val="es-AR" w:eastAsia="en-US"/>
              </w:rPr>
            </w:pPr>
            <w:r w:rsidRPr="0010523F">
              <w:rPr>
                <w:lang w:val="es-AR" w:eastAsia="en-US"/>
              </w:rPr>
              <w:t>Activos financieros valuados al valor razonable con cambios reconocidos en resultados</w:t>
            </w:r>
          </w:p>
        </w:tc>
        <w:tc>
          <w:tcPr>
            <w:tcW w:w="1418" w:type="dxa"/>
            <w:vAlign w:val="bottom"/>
          </w:tcPr>
          <w:p w14:paraId="5C84C63D" w14:textId="77777777" w:rsidR="0010523F" w:rsidRPr="0010523F" w:rsidRDefault="0010523F" w:rsidP="0010523F">
            <w:pPr>
              <w:tabs>
                <w:tab w:val="decimal" w:pos="961"/>
              </w:tabs>
              <w:jc w:val="both"/>
              <w:rPr>
                <w:u w:val="single"/>
                <w:lang w:val="es-AR" w:eastAsia="en-US"/>
              </w:rPr>
            </w:pPr>
            <w:r w:rsidRPr="0010523F">
              <w:rPr>
                <w:u w:val="single"/>
                <w:lang w:val="es-AR" w:eastAsia="en-US"/>
              </w:rPr>
              <w:t xml:space="preserve">          -</w:t>
            </w:r>
          </w:p>
        </w:tc>
        <w:tc>
          <w:tcPr>
            <w:tcW w:w="1383" w:type="dxa"/>
            <w:vAlign w:val="bottom"/>
          </w:tcPr>
          <w:p w14:paraId="6CB5F404" w14:textId="77777777" w:rsidR="0010523F" w:rsidRPr="0010523F" w:rsidRDefault="0010523F" w:rsidP="0010523F">
            <w:pPr>
              <w:tabs>
                <w:tab w:val="decimal" w:pos="1082"/>
              </w:tabs>
              <w:jc w:val="both"/>
              <w:rPr>
                <w:highlight w:val="yellow"/>
                <w:u w:val="single"/>
                <w:lang w:val="es-AR" w:eastAsia="en-US"/>
              </w:rPr>
            </w:pPr>
            <w:r w:rsidRPr="0010523F">
              <w:rPr>
                <w:u w:val="single"/>
                <w:lang w:val="es-AR" w:eastAsia="en-US"/>
              </w:rPr>
              <w:t xml:space="preserve">     224</w:t>
            </w:r>
          </w:p>
        </w:tc>
      </w:tr>
      <w:tr w:rsidR="0010523F" w:rsidRPr="0010523F" w14:paraId="4921B845" w14:textId="77777777" w:rsidTr="00774E7E">
        <w:tblPrEx>
          <w:tblLook w:val="0000" w:firstRow="0" w:lastRow="0" w:firstColumn="0" w:lastColumn="0" w:noHBand="0" w:noVBand="0"/>
        </w:tblPrEx>
        <w:tc>
          <w:tcPr>
            <w:tcW w:w="7138" w:type="dxa"/>
            <w:vAlign w:val="bottom"/>
          </w:tcPr>
          <w:p w14:paraId="2B551B40" w14:textId="77777777" w:rsidR="0010523F" w:rsidRPr="0010523F" w:rsidRDefault="0010523F" w:rsidP="0010523F">
            <w:pPr>
              <w:spacing w:line="180" w:lineRule="exact"/>
              <w:rPr>
                <w:bCs/>
                <w:u w:val="single"/>
                <w:lang w:val="es-AR" w:eastAsia="en-US"/>
              </w:rPr>
            </w:pPr>
          </w:p>
        </w:tc>
        <w:tc>
          <w:tcPr>
            <w:tcW w:w="1418" w:type="dxa"/>
            <w:vAlign w:val="bottom"/>
          </w:tcPr>
          <w:p w14:paraId="7B033D2A" w14:textId="77777777" w:rsidR="0010523F" w:rsidRPr="0010523F" w:rsidRDefault="0010523F" w:rsidP="0010523F">
            <w:pPr>
              <w:spacing w:line="180" w:lineRule="exact"/>
              <w:rPr>
                <w:bCs/>
                <w:u w:val="single"/>
                <w:lang w:val="es-AR" w:eastAsia="en-US"/>
              </w:rPr>
            </w:pPr>
          </w:p>
        </w:tc>
        <w:tc>
          <w:tcPr>
            <w:tcW w:w="1383" w:type="dxa"/>
            <w:vAlign w:val="bottom"/>
          </w:tcPr>
          <w:p w14:paraId="464E6912" w14:textId="77777777" w:rsidR="0010523F" w:rsidRPr="0010523F" w:rsidRDefault="0010523F" w:rsidP="0010523F">
            <w:pPr>
              <w:spacing w:line="180" w:lineRule="exact"/>
              <w:rPr>
                <w:bCs/>
                <w:highlight w:val="yellow"/>
                <w:u w:val="single"/>
                <w:lang w:val="es-AR" w:eastAsia="en-US"/>
              </w:rPr>
            </w:pPr>
          </w:p>
        </w:tc>
      </w:tr>
      <w:tr w:rsidR="0010523F" w:rsidRPr="0010523F" w14:paraId="39A18BD6" w14:textId="77777777" w:rsidTr="00774E7E">
        <w:tblPrEx>
          <w:tblLook w:val="0000" w:firstRow="0" w:lastRow="0" w:firstColumn="0" w:lastColumn="0" w:noHBand="0" w:noVBand="0"/>
        </w:tblPrEx>
        <w:tc>
          <w:tcPr>
            <w:tcW w:w="7138" w:type="dxa"/>
            <w:vAlign w:val="bottom"/>
          </w:tcPr>
          <w:p w14:paraId="2DA71C03" w14:textId="77777777" w:rsidR="0010523F" w:rsidRPr="0010523F" w:rsidRDefault="0010523F" w:rsidP="0010523F">
            <w:pPr>
              <w:jc w:val="both"/>
              <w:rPr>
                <w:u w:val="double"/>
                <w:lang w:val="es-AR" w:eastAsia="en-US"/>
              </w:rPr>
            </w:pPr>
            <w:r w:rsidRPr="0010523F">
              <w:rPr>
                <w:lang w:val="es-AR" w:eastAsia="en-US"/>
              </w:rPr>
              <w:t>Subtotal</w:t>
            </w:r>
          </w:p>
        </w:tc>
        <w:tc>
          <w:tcPr>
            <w:tcW w:w="1418" w:type="dxa"/>
            <w:vAlign w:val="bottom"/>
          </w:tcPr>
          <w:p w14:paraId="7EEA7CF9" w14:textId="77777777" w:rsidR="0010523F" w:rsidRPr="0010523F" w:rsidRDefault="0010523F" w:rsidP="0010523F">
            <w:pPr>
              <w:tabs>
                <w:tab w:val="decimal" w:pos="961"/>
              </w:tabs>
              <w:jc w:val="both"/>
              <w:rPr>
                <w:u w:val="single"/>
                <w:lang w:val="es-AR" w:eastAsia="en-US"/>
              </w:rPr>
            </w:pPr>
            <w:r w:rsidRPr="0010523F">
              <w:rPr>
                <w:u w:val="single"/>
                <w:lang w:val="es-AR" w:eastAsia="en-US"/>
              </w:rPr>
              <w:t xml:space="preserve">  8.384</w:t>
            </w:r>
          </w:p>
        </w:tc>
        <w:tc>
          <w:tcPr>
            <w:tcW w:w="1383" w:type="dxa"/>
            <w:vAlign w:val="bottom"/>
          </w:tcPr>
          <w:p w14:paraId="04C94D27" w14:textId="77777777" w:rsidR="0010523F" w:rsidRPr="0010523F" w:rsidRDefault="0010523F" w:rsidP="0010523F">
            <w:pPr>
              <w:tabs>
                <w:tab w:val="decimal" w:pos="1082"/>
              </w:tabs>
              <w:jc w:val="both"/>
              <w:rPr>
                <w:highlight w:val="yellow"/>
                <w:u w:val="single"/>
                <w:lang w:val="es-AR" w:eastAsia="en-US"/>
              </w:rPr>
            </w:pPr>
            <w:r w:rsidRPr="0010523F">
              <w:rPr>
                <w:u w:val="single"/>
                <w:lang w:val="es-AR" w:eastAsia="en-US"/>
              </w:rPr>
              <w:t>15.178</w:t>
            </w:r>
          </w:p>
        </w:tc>
      </w:tr>
      <w:tr w:rsidR="0010523F" w:rsidRPr="0010523F" w14:paraId="0500BFD5" w14:textId="77777777" w:rsidTr="00774E7E">
        <w:tblPrEx>
          <w:tblLook w:val="0000" w:firstRow="0" w:lastRow="0" w:firstColumn="0" w:lastColumn="0" w:noHBand="0" w:noVBand="0"/>
        </w:tblPrEx>
        <w:tc>
          <w:tcPr>
            <w:tcW w:w="7138" w:type="dxa"/>
            <w:vAlign w:val="bottom"/>
          </w:tcPr>
          <w:p w14:paraId="057E7334" w14:textId="77777777" w:rsidR="0010523F" w:rsidRPr="0010523F" w:rsidRDefault="0010523F" w:rsidP="0010523F">
            <w:pPr>
              <w:spacing w:line="180" w:lineRule="exact"/>
              <w:rPr>
                <w:bCs/>
                <w:u w:val="single"/>
                <w:lang w:val="es-AR" w:eastAsia="en-US"/>
              </w:rPr>
            </w:pPr>
          </w:p>
        </w:tc>
        <w:tc>
          <w:tcPr>
            <w:tcW w:w="1418" w:type="dxa"/>
            <w:vAlign w:val="bottom"/>
          </w:tcPr>
          <w:p w14:paraId="5F1638ED" w14:textId="77777777" w:rsidR="0010523F" w:rsidRPr="0010523F" w:rsidRDefault="0010523F" w:rsidP="0010523F">
            <w:pPr>
              <w:spacing w:line="180" w:lineRule="exact"/>
              <w:rPr>
                <w:bCs/>
                <w:u w:val="single"/>
                <w:lang w:val="es-AR" w:eastAsia="en-US"/>
              </w:rPr>
            </w:pPr>
          </w:p>
        </w:tc>
        <w:tc>
          <w:tcPr>
            <w:tcW w:w="1383" w:type="dxa"/>
            <w:vAlign w:val="bottom"/>
          </w:tcPr>
          <w:p w14:paraId="7292CE49" w14:textId="77777777" w:rsidR="0010523F" w:rsidRPr="0010523F" w:rsidRDefault="0010523F" w:rsidP="0010523F">
            <w:pPr>
              <w:spacing w:line="180" w:lineRule="exact"/>
              <w:rPr>
                <w:bCs/>
                <w:highlight w:val="yellow"/>
                <w:u w:val="single"/>
                <w:lang w:val="es-AR" w:eastAsia="en-US"/>
              </w:rPr>
            </w:pPr>
          </w:p>
        </w:tc>
      </w:tr>
      <w:tr w:rsidR="0010523F" w:rsidRPr="0010523F" w14:paraId="3309E4FD" w14:textId="77777777" w:rsidTr="00774E7E">
        <w:tblPrEx>
          <w:tblLook w:val="0000" w:firstRow="0" w:lastRow="0" w:firstColumn="0" w:lastColumn="0" w:noHBand="0" w:noVBand="0"/>
        </w:tblPrEx>
        <w:tc>
          <w:tcPr>
            <w:tcW w:w="7138" w:type="dxa"/>
            <w:vAlign w:val="bottom"/>
          </w:tcPr>
          <w:p w14:paraId="08CC04DB" w14:textId="77777777" w:rsidR="0010523F" w:rsidRPr="0010523F" w:rsidRDefault="0010523F" w:rsidP="0010523F">
            <w:pPr>
              <w:jc w:val="both"/>
              <w:rPr>
                <w:u w:val="double"/>
                <w:lang w:val="es-AR" w:eastAsia="en-US"/>
              </w:rPr>
            </w:pPr>
            <w:r w:rsidRPr="0010523F">
              <w:rPr>
                <w:lang w:val="es-AR" w:eastAsia="en-US"/>
              </w:rPr>
              <w:t>Total efectivo y equivalente de efectivo</w:t>
            </w:r>
          </w:p>
        </w:tc>
        <w:tc>
          <w:tcPr>
            <w:tcW w:w="1418" w:type="dxa"/>
            <w:vAlign w:val="bottom"/>
          </w:tcPr>
          <w:p w14:paraId="15E2FB0F" w14:textId="77777777" w:rsidR="0010523F" w:rsidRPr="0010523F" w:rsidRDefault="0010523F" w:rsidP="0010523F">
            <w:pPr>
              <w:tabs>
                <w:tab w:val="decimal" w:pos="961"/>
              </w:tabs>
              <w:jc w:val="both"/>
              <w:rPr>
                <w:u w:val="double"/>
                <w:lang w:val="es-AR" w:eastAsia="en-US"/>
              </w:rPr>
            </w:pPr>
            <w:r w:rsidRPr="0010523F">
              <w:rPr>
                <w:u w:val="double"/>
                <w:lang w:val="es-AR" w:eastAsia="en-US"/>
              </w:rPr>
              <w:t>13.327</w:t>
            </w:r>
          </w:p>
        </w:tc>
        <w:tc>
          <w:tcPr>
            <w:tcW w:w="1383" w:type="dxa"/>
            <w:vAlign w:val="bottom"/>
          </w:tcPr>
          <w:p w14:paraId="3FC63C73" w14:textId="77777777" w:rsidR="0010523F" w:rsidRPr="0010523F" w:rsidRDefault="0010523F" w:rsidP="0010523F">
            <w:pPr>
              <w:tabs>
                <w:tab w:val="decimal" w:pos="1082"/>
              </w:tabs>
              <w:jc w:val="both"/>
              <w:rPr>
                <w:highlight w:val="yellow"/>
                <w:u w:val="double"/>
                <w:lang w:val="es-AR" w:eastAsia="en-US"/>
              </w:rPr>
            </w:pPr>
            <w:r w:rsidRPr="0010523F">
              <w:rPr>
                <w:u w:val="double"/>
                <w:lang w:val="es-AR" w:eastAsia="en-US"/>
              </w:rPr>
              <w:t>17.498</w:t>
            </w:r>
          </w:p>
        </w:tc>
      </w:tr>
    </w:tbl>
    <w:p w14:paraId="1DA29641" w14:textId="77777777" w:rsidR="0010523F" w:rsidRPr="0010523F" w:rsidRDefault="0010523F" w:rsidP="0010523F">
      <w:pPr>
        <w:rPr>
          <w:sz w:val="22"/>
          <w:szCs w:val="22"/>
          <w:lang w:val="es-AR" w:eastAsia="en-US"/>
        </w:rPr>
      </w:pPr>
    </w:p>
    <w:p w14:paraId="016AF503" w14:textId="77777777" w:rsidR="0010523F" w:rsidRPr="0010523F" w:rsidRDefault="0010523F" w:rsidP="0010523F">
      <w:pPr>
        <w:spacing w:line="200" w:lineRule="exact"/>
        <w:jc w:val="both"/>
        <w:rPr>
          <w:lang w:val="es-AR" w:eastAsia="en-US"/>
        </w:rPr>
      </w:pPr>
      <w:r w:rsidRPr="0010523F">
        <w:rPr>
          <w:lang w:val="es-AR" w:eastAsia="en-US"/>
        </w:rPr>
        <w:t>Se detalla a continuación la composición de los activos financieros equivalentes de efectivo valuados al valor razonable con cambios reconocidos en resultados:</w:t>
      </w:r>
    </w:p>
    <w:p w14:paraId="7F462CCF" w14:textId="77777777" w:rsidR="0010523F" w:rsidRPr="0010523F" w:rsidRDefault="0010523F" w:rsidP="0010523F">
      <w:pPr>
        <w:spacing w:line="200" w:lineRule="exact"/>
        <w:rPr>
          <w:lang w:val="es-AR" w:eastAsia="en-US"/>
        </w:rPr>
      </w:pPr>
    </w:p>
    <w:tbl>
      <w:tblPr>
        <w:tblW w:w="10125" w:type="dxa"/>
        <w:tblCellMar>
          <w:left w:w="70" w:type="dxa"/>
          <w:right w:w="70" w:type="dxa"/>
        </w:tblCellMar>
        <w:tblLook w:val="04A0" w:firstRow="1" w:lastRow="0" w:firstColumn="1" w:lastColumn="0" w:noHBand="0" w:noVBand="1"/>
      </w:tblPr>
      <w:tblGrid>
        <w:gridCol w:w="4820"/>
        <w:gridCol w:w="1180"/>
        <w:gridCol w:w="1655"/>
        <w:gridCol w:w="1236"/>
        <w:gridCol w:w="1234"/>
      </w:tblGrid>
      <w:tr w:rsidR="0010523F" w:rsidRPr="0010523F" w14:paraId="5898AEEA" w14:textId="77777777" w:rsidTr="00774E7E">
        <w:trPr>
          <w:trHeight w:val="645"/>
        </w:trPr>
        <w:tc>
          <w:tcPr>
            <w:tcW w:w="4820" w:type="dxa"/>
            <w:tcBorders>
              <w:top w:val="single" w:sz="4" w:space="0" w:color="auto"/>
              <w:left w:val="nil"/>
              <w:bottom w:val="single" w:sz="4" w:space="0" w:color="auto"/>
              <w:right w:val="nil"/>
            </w:tcBorders>
            <w:shd w:val="clear" w:color="auto" w:fill="auto"/>
            <w:noWrap/>
            <w:vAlign w:val="center"/>
            <w:hideMark/>
          </w:tcPr>
          <w:p w14:paraId="4231EE4C" w14:textId="77777777" w:rsidR="0010523F" w:rsidRPr="0010523F" w:rsidRDefault="0010523F" w:rsidP="0010523F">
            <w:pPr>
              <w:rPr>
                <w:color w:val="000000"/>
                <w:lang w:val="es-AR" w:eastAsia="es-AR"/>
              </w:rPr>
            </w:pPr>
            <w:r w:rsidRPr="0010523F">
              <w:rPr>
                <w:color w:val="000000"/>
                <w:lang w:val="es-AR" w:eastAsia="es-AR"/>
              </w:rPr>
              <w:t>Fondos comunes de inversión</w:t>
            </w:r>
          </w:p>
        </w:tc>
        <w:tc>
          <w:tcPr>
            <w:tcW w:w="1180" w:type="dxa"/>
            <w:tcBorders>
              <w:top w:val="single" w:sz="4" w:space="0" w:color="auto"/>
              <w:left w:val="nil"/>
              <w:bottom w:val="single" w:sz="4" w:space="0" w:color="auto"/>
              <w:right w:val="nil"/>
            </w:tcBorders>
            <w:shd w:val="clear" w:color="auto" w:fill="auto"/>
            <w:noWrap/>
            <w:vAlign w:val="center"/>
            <w:hideMark/>
          </w:tcPr>
          <w:p w14:paraId="108FAA9C" w14:textId="77777777" w:rsidR="0010523F" w:rsidRPr="0010523F" w:rsidRDefault="0010523F" w:rsidP="0010523F">
            <w:pPr>
              <w:jc w:val="center"/>
              <w:rPr>
                <w:color w:val="000000"/>
                <w:lang w:val="es-AR" w:eastAsia="es-AR"/>
              </w:rPr>
            </w:pPr>
            <w:r w:rsidRPr="0010523F">
              <w:rPr>
                <w:color w:val="000000"/>
                <w:lang w:val="es-AR" w:eastAsia="es-AR"/>
              </w:rPr>
              <w:t>Cantidad</w:t>
            </w:r>
          </w:p>
        </w:tc>
        <w:tc>
          <w:tcPr>
            <w:tcW w:w="1655" w:type="dxa"/>
            <w:tcBorders>
              <w:top w:val="single" w:sz="4" w:space="0" w:color="auto"/>
              <w:left w:val="nil"/>
              <w:bottom w:val="single" w:sz="4" w:space="0" w:color="auto"/>
              <w:right w:val="nil"/>
            </w:tcBorders>
            <w:shd w:val="clear" w:color="auto" w:fill="auto"/>
            <w:vAlign w:val="center"/>
            <w:hideMark/>
          </w:tcPr>
          <w:p w14:paraId="7290E3B5" w14:textId="77777777" w:rsidR="0010523F" w:rsidRPr="0010523F" w:rsidRDefault="0010523F" w:rsidP="0010523F">
            <w:pPr>
              <w:jc w:val="center"/>
              <w:rPr>
                <w:color w:val="000000"/>
                <w:lang w:val="es-AR" w:eastAsia="es-AR"/>
              </w:rPr>
            </w:pPr>
            <w:r w:rsidRPr="0010523F">
              <w:rPr>
                <w:color w:val="000000"/>
                <w:lang w:val="es-AR" w:eastAsia="es-AR"/>
              </w:rPr>
              <w:t>Valor de cotización</w:t>
            </w:r>
          </w:p>
        </w:tc>
        <w:tc>
          <w:tcPr>
            <w:tcW w:w="1236" w:type="dxa"/>
            <w:tcBorders>
              <w:top w:val="single" w:sz="4" w:space="0" w:color="auto"/>
              <w:left w:val="nil"/>
              <w:bottom w:val="single" w:sz="4" w:space="0" w:color="auto"/>
              <w:right w:val="nil"/>
            </w:tcBorders>
            <w:shd w:val="clear" w:color="auto" w:fill="auto"/>
            <w:noWrap/>
            <w:vAlign w:val="center"/>
            <w:hideMark/>
          </w:tcPr>
          <w:p w14:paraId="3B7C8A12" w14:textId="77777777" w:rsidR="0010523F" w:rsidRPr="0010523F" w:rsidRDefault="0010523F" w:rsidP="0010523F">
            <w:pPr>
              <w:jc w:val="center"/>
              <w:rPr>
                <w:color w:val="000000"/>
                <w:lang w:val="es-AR" w:eastAsia="es-AR"/>
              </w:rPr>
            </w:pPr>
            <w:r w:rsidRPr="0010523F">
              <w:rPr>
                <w:color w:val="000000"/>
                <w:lang w:val="es-AR" w:eastAsia="es-AR"/>
              </w:rPr>
              <w:t>30/09/2019</w:t>
            </w:r>
          </w:p>
        </w:tc>
        <w:tc>
          <w:tcPr>
            <w:tcW w:w="1234" w:type="dxa"/>
            <w:tcBorders>
              <w:top w:val="single" w:sz="4" w:space="0" w:color="auto"/>
              <w:left w:val="nil"/>
              <w:bottom w:val="single" w:sz="4" w:space="0" w:color="auto"/>
              <w:right w:val="nil"/>
            </w:tcBorders>
            <w:shd w:val="clear" w:color="auto" w:fill="auto"/>
            <w:noWrap/>
            <w:vAlign w:val="center"/>
            <w:hideMark/>
          </w:tcPr>
          <w:p w14:paraId="33C99CFF" w14:textId="77777777" w:rsidR="0010523F" w:rsidRPr="0010523F" w:rsidRDefault="0010523F" w:rsidP="0010523F">
            <w:pPr>
              <w:jc w:val="right"/>
              <w:rPr>
                <w:color w:val="000000"/>
                <w:lang w:val="es-AR" w:eastAsia="es-AR"/>
              </w:rPr>
            </w:pPr>
            <w:r w:rsidRPr="0010523F">
              <w:rPr>
                <w:color w:val="000000"/>
                <w:lang w:val="es-AR" w:eastAsia="es-AR"/>
              </w:rPr>
              <w:t>31/12/2018</w:t>
            </w:r>
          </w:p>
        </w:tc>
      </w:tr>
      <w:tr w:rsidR="0010523F" w:rsidRPr="0010523F" w14:paraId="0996B448" w14:textId="77777777" w:rsidTr="00774E7E">
        <w:trPr>
          <w:trHeight w:val="315"/>
        </w:trPr>
        <w:tc>
          <w:tcPr>
            <w:tcW w:w="4820" w:type="dxa"/>
            <w:tcBorders>
              <w:top w:val="single" w:sz="4" w:space="0" w:color="auto"/>
              <w:left w:val="nil"/>
              <w:bottom w:val="nil"/>
              <w:right w:val="nil"/>
            </w:tcBorders>
            <w:shd w:val="clear" w:color="auto" w:fill="auto"/>
            <w:noWrap/>
            <w:vAlign w:val="center"/>
            <w:hideMark/>
          </w:tcPr>
          <w:p w14:paraId="747B1D66" w14:textId="77777777" w:rsidR="0010523F" w:rsidRPr="0010523F" w:rsidRDefault="0010523F" w:rsidP="0010523F">
            <w:pPr>
              <w:rPr>
                <w:color w:val="000000"/>
                <w:lang w:val="es-AR" w:eastAsia="es-AR"/>
              </w:rPr>
            </w:pPr>
            <w:r w:rsidRPr="0010523F">
              <w:rPr>
                <w:color w:val="000000"/>
                <w:lang w:val="es-AR" w:eastAsia="es-AR"/>
              </w:rPr>
              <w:t>Banco Itaú (Goal pesos FCI)</w:t>
            </w:r>
          </w:p>
        </w:tc>
        <w:tc>
          <w:tcPr>
            <w:tcW w:w="1180" w:type="dxa"/>
            <w:tcBorders>
              <w:top w:val="single" w:sz="4" w:space="0" w:color="auto"/>
              <w:left w:val="nil"/>
              <w:bottom w:val="nil"/>
              <w:right w:val="nil"/>
            </w:tcBorders>
            <w:shd w:val="clear" w:color="auto" w:fill="auto"/>
            <w:noWrap/>
            <w:vAlign w:val="center"/>
            <w:hideMark/>
          </w:tcPr>
          <w:p w14:paraId="3223BC74" w14:textId="77777777" w:rsidR="0010523F" w:rsidRPr="0010523F" w:rsidRDefault="0010523F" w:rsidP="0010523F">
            <w:pPr>
              <w:jc w:val="right"/>
              <w:rPr>
                <w:color w:val="000000"/>
                <w:lang w:val="es-AR" w:eastAsia="es-AR"/>
              </w:rPr>
            </w:pPr>
            <w:r w:rsidRPr="0010523F">
              <w:rPr>
                <w:color w:val="000000"/>
                <w:lang w:val="es-AR" w:eastAsia="es-AR"/>
              </w:rPr>
              <w:t>-</w:t>
            </w:r>
          </w:p>
        </w:tc>
        <w:tc>
          <w:tcPr>
            <w:tcW w:w="1655" w:type="dxa"/>
            <w:tcBorders>
              <w:top w:val="single" w:sz="4" w:space="0" w:color="auto"/>
              <w:left w:val="nil"/>
              <w:bottom w:val="nil"/>
              <w:right w:val="nil"/>
            </w:tcBorders>
            <w:shd w:val="clear" w:color="auto" w:fill="auto"/>
            <w:noWrap/>
            <w:vAlign w:val="center"/>
            <w:hideMark/>
          </w:tcPr>
          <w:p w14:paraId="20018549" w14:textId="77777777" w:rsidR="0010523F" w:rsidRPr="0010523F" w:rsidRDefault="0010523F" w:rsidP="0010523F">
            <w:pPr>
              <w:jc w:val="right"/>
              <w:rPr>
                <w:color w:val="000000"/>
                <w:lang w:val="es-AR" w:eastAsia="es-AR"/>
              </w:rPr>
            </w:pPr>
            <w:r w:rsidRPr="0010523F">
              <w:rPr>
                <w:color w:val="000000"/>
                <w:lang w:val="es-AR" w:eastAsia="es-AR"/>
              </w:rPr>
              <w:t>-</w:t>
            </w:r>
          </w:p>
        </w:tc>
        <w:tc>
          <w:tcPr>
            <w:tcW w:w="1236" w:type="dxa"/>
            <w:tcBorders>
              <w:top w:val="single" w:sz="4" w:space="0" w:color="auto"/>
              <w:left w:val="nil"/>
              <w:bottom w:val="nil"/>
              <w:right w:val="nil"/>
            </w:tcBorders>
            <w:shd w:val="clear" w:color="auto" w:fill="auto"/>
            <w:noWrap/>
            <w:vAlign w:val="center"/>
            <w:hideMark/>
          </w:tcPr>
          <w:p w14:paraId="7562FE82" w14:textId="77777777" w:rsidR="0010523F" w:rsidRPr="0010523F" w:rsidRDefault="0010523F" w:rsidP="0010523F">
            <w:pPr>
              <w:jc w:val="right"/>
              <w:rPr>
                <w:color w:val="000000"/>
                <w:lang w:val="es-AR" w:eastAsia="es-AR"/>
              </w:rPr>
            </w:pPr>
            <w:r w:rsidRPr="0010523F">
              <w:rPr>
                <w:color w:val="000000"/>
                <w:lang w:val="es-AR" w:eastAsia="es-AR"/>
              </w:rPr>
              <w:t>-</w:t>
            </w:r>
          </w:p>
        </w:tc>
        <w:tc>
          <w:tcPr>
            <w:tcW w:w="1234" w:type="dxa"/>
            <w:tcBorders>
              <w:top w:val="single" w:sz="4" w:space="0" w:color="auto"/>
              <w:left w:val="nil"/>
              <w:bottom w:val="nil"/>
              <w:right w:val="nil"/>
            </w:tcBorders>
            <w:shd w:val="clear" w:color="auto" w:fill="auto"/>
            <w:noWrap/>
            <w:vAlign w:val="center"/>
            <w:hideMark/>
          </w:tcPr>
          <w:p w14:paraId="71CABBE2" w14:textId="77777777" w:rsidR="0010523F" w:rsidRPr="0010523F" w:rsidRDefault="0010523F" w:rsidP="0010523F">
            <w:pPr>
              <w:jc w:val="right"/>
              <w:rPr>
                <w:color w:val="000000"/>
                <w:lang w:val="es-AR" w:eastAsia="es-AR"/>
              </w:rPr>
            </w:pPr>
            <w:r w:rsidRPr="0010523F">
              <w:rPr>
                <w:color w:val="000000"/>
                <w:lang w:val="es-AR" w:eastAsia="es-AR"/>
              </w:rPr>
              <w:t>72</w:t>
            </w:r>
          </w:p>
        </w:tc>
      </w:tr>
      <w:tr w:rsidR="0010523F" w:rsidRPr="0010523F" w14:paraId="2736042F" w14:textId="77777777" w:rsidTr="00774E7E">
        <w:trPr>
          <w:trHeight w:val="315"/>
        </w:trPr>
        <w:tc>
          <w:tcPr>
            <w:tcW w:w="4820" w:type="dxa"/>
            <w:tcBorders>
              <w:top w:val="nil"/>
              <w:left w:val="nil"/>
              <w:bottom w:val="single" w:sz="4" w:space="0" w:color="auto"/>
              <w:right w:val="nil"/>
            </w:tcBorders>
            <w:shd w:val="clear" w:color="auto" w:fill="auto"/>
            <w:noWrap/>
            <w:vAlign w:val="center"/>
            <w:hideMark/>
          </w:tcPr>
          <w:p w14:paraId="758EE646" w14:textId="77777777" w:rsidR="0010523F" w:rsidRPr="0010523F" w:rsidRDefault="0010523F" w:rsidP="0010523F">
            <w:pPr>
              <w:rPr>
                <w:color w:val="000000"/>
                <w:lang w:val="es-AR" w:eastAsia="es-AR"/>
              </w:rPr>
            </w:pPr>
            <w:r w:rsidRPr="0010523F">
              <w:rPr>
                <w:color w:val="000000"/>
                <w:lang w:val="es-AR" w:eastAsia="es-AR"/>
              </w:rPr>
              <w:t>Banco Santander (Superahorro pesos cuota B)</w:t>
            </w:r>
          </w:p>
        </w:tc>
        <w:tc>
          <w:tcPr>
            <w:tcW w:w="1180" w:type="dxa"/>
            <w:tcBorders>
              <w:top w:val="nil"/>
              <w:left w:val="nil"/>
              <w:bottom w:val="single" w:sz="4" w:space="0" w:color="auto"/>
              <w:right w:val="nil"/>
            </w:tcBorders>
            <w:shd w:val="clear" w:color="auto" w:fill="auto"/>
            <w:noWrap/>
            <w:vAlign w:val="center"/>
            <w:hideMark/>
          </w:tcPr>
          <w:p w14:paraId="06250D82" w14:textId="77777777" w:rsidR="0010523F" w:rsidRPr="0010523F" w:rsidRDefault="0010523F" w:rsidP="0010523F">
            <w:pPr>
              <w:jc w:val="right"/>
              <w:rPr>
                <w:color w:val="000000"/>
                <w:lang w:val="es-AR" w:eastAsia="es-AR"/>
              </w:rPr>
            </w:pPr>
            <w:r w:rsidRPr="0010523F">
              <w:rPr>
                <w:color w:val="000000"/>
                <w:lang w:val="es-AR" w:eastAsia="es-AR"/>
              </w:rPr>
              <w:t>-</w:t>
            </w:r>
          </w:p>
        </w:tc>
        <w:tc>
          <w:tcPr>
            <w:tcW w:w="1655" w:type="dxa"/>
            <w:tcBorders>
              <w:top w:val="nil"/>
              <w:left w:val="nil"/>
              <w:bottom w:val="single" w:sz="4" w:space="0" w:color="auto"/>
              <w:right w:val="nil"/>
            </w:tcBorders>
            <w:shd w:val="clear" w:color="auto" w:fill="auto"/>
            <w:noWrap/>
            <w:vAlign w:val="center"/>
            <w:hideMark/>
          </w:tcPr>
          <w:p w14:paraId="5683F44A" w14:textId="77777777" w:rsidR="0010523F" w:rsidRPr="0010523F" w:rsidRDefault="0010523F" w:rsidP="0010523F">
            <w:pPr>
              <w:jc w:val="right"/>
              <w:rPr>
                <w:color w:val="000000"/>
                <w:lang w:val="es-AR" w:eastAsia="es-AR"/>
              </w:rPr>
            </w:pPr>
            <w:r w:rsidRPr="0010523F">
              <w:rPr>
                <w:color w:val="000000"/>
                <w:lang w:val="es-AR" w:eastAsia="es-AR"/>
              </w:rPr>
              <w:t>-</w:t>
            </w:r>
          </w:p>
        </w:tc>
        <w:tc>
          <w:tcPr>
            <w:tcW w:w="1236" w:type="dxa"/>
            <w:tcBorders>
              <w:top w:val="nil"/>
              <w:left w:val="nil"/>
              <w:bottom w:val="single" w:sz="4" w:space="0" w:color="auto"/>
              <w:right w:val="nil"/>
            </w:tcBorders>
            <w:shd w:val="clear" w:color="auto" w:fill="auto"/>
            <w:noWrap/>
            <w:vAlign w:val="center"/>
            <w:hideMark/>
          </w:tcPr>
          <w:p w14:paraId="1F3FA057" w14:textId="77777777" w:rsidR="0010523F" w:rsidRPr="0010523F" w:rsidRDefault="0010523F" w:rsidP="0010523F">
            <w:pPr>
              <w:jc w:val="right"/>
              <w:rPr>
                <w:color w:val="000000"/>
                <w:lang w:val="es-AR" w:eastAsia="es-AR"/>
              </w:rPr>
            </w:pPr>
            <w:r w:rsidRPr="0010523F">
              <w:rPr>
                <w:color w:val="000000"/>
                <w:lang w:val="es-AR" w:eastAsia="es-AR"/>
              </w:rPr>
              <w:t>-</w:t>
            </w:r>
          </w:p>
        </w:tc>
        <w:tc>
          <w:tcPr>
            <w:tcW w:w="1234" w:type="dxa"/>
            <w:tcBorders>
              <w:top w:val="nil"/>
              <w:left w:val="nil"/>
              <w:bottom w:val="single" w:sz="4" w:space="0" w:color="auto"/>
              <w:right w:val="nil"/>
            </w:tcBorders>
            <w:shd w:val="clear" w:color="auto" w:fill="auto"/>
            <w:noWrap/>
            <w:vAlign w:val="center"/>
            <w:hideMark/>
          </w:tcPr>
          <w:p w14:paraId="66F6DAD5" w14:textId="77777777" w:rsidR="0010523F" w:rsidRPr="0010523F" w:rsidRDefault="0010523F" w:rsidP="0010523F">
            <w:pPr>
              <w:jc w:val="right"/>
              <w:rPr>
                <w:color w:val="000000"/>
                <w:lang w:val="es-AR" w:eastAsia="es-AR"/>
              </w:rPr>
            </w:pPr>
            <w:r w:rsidRPr="0010523F">
              <w:rPr>
                <w:color w:val="000000"/>
                <w:lang w:val="es-AR" w:eastAsia="es-AR"/>
              </w:rPr>
              <w:t>152</w:t>
            </w:r>
          </w:p>
        </w:tc>
      </w:tr>
      <w:tr w:rsidR="0010523F" w:rsidRPr="0010523F" w14:paraId="16138770" w14:textId="77777777" w:rsidTr="00774E7E">
        <w:trPr>
          <w:trHeight w:val="330"/>
        </w:trPr>
        <w:tc>
          <w:tcPr>
            <w:tcW w:w="4820" w:type="dxa"/>
            <w:tcBorders>
              <w:top w:val="single" w:sz="4" w:space="0" w:color="auto"/>
              <w:left w:val="nil"/>
              <w:bottom w:val="single" w:sz="4" w:space="0" w:color="auto"/>
              <w:right w:val="nil"/>
            </w:tcBorders>
            <w:shd w:val="clear" w:color="auto" w:fill="auto"/>
            <w:noWrap/>
            <w:vAlign w:val="center"/>
            <w:hideMark/>
          </w:tcPr>
          <w:p w14:paraId="5E4B3AA4" w14:textId="77777777" w:rsidR="0010523F" w:rsidRPr="0010523F" w:rsidRDefault="0010523F" w:rsidP="0010523F">
            <w:pPr>
              <w:rPr>
                <w:color w:val="000000"/>
                <w:lang w:val="es-AR" w:eastAsia="es-AR"/>
              </w:rPr>
            </w:pPr>
            <w:r w:rsidRPr="0010523F">
              <w:rPr>
                <w:color w:val="000000"/>
                <w:lang w:val="es-AR" w:eastAsia="es-AR"/>
              </w:rPr>
              <w:t>Total</w:t>
            </w:r>
          </w:p>
        </w:tc>
        <w:tc>
          <w:tcPr>
            <w:tcW w:w="1180" w:type="dxa"/>
            <w:tcBorders>
              <w:top w:val="single" w:sz="4" w:space="0" w:color="auto"/>
              <w:left w:val="nil"/>
              <w:bottom w:val="single" w:sz="4" w:space="0" w:color="auto"/>
              <w:right w:val="nil"/>
            </w:tcBorders>
            <w:shd w:val="clear" w:color="auto" w:fill="auto"/>
            <w:noWrap/>
            <w:vAlign w:val="center"/>
            <w:hideMark/>
          </w:tcPr>
          <w:p w14:paraId="07158EEE" w14:textId="77777777" w:rsidR="0010523F" w:rsidRPr="0010523F" w:rsidRDefault="0010523F" w:rsidP="0010523F">
            <w:pPr>
              <w:rPr>
                <w:color w:val="000000"/>
                <w:lang w:val="es-AR" w:eastAsia="es-AR"/>
              </w:rPr>
            </w:pPr>
            <w:r w:rsidRPr="0010523F">
              <w:rPr>
                <w:color w:val="000000"/>
                <w:lang w:val="es-AR" w:eastAsia="es-AR"/>
              </w:rPr>
              <w:t> </w:t>
            </w:r>
          </w:p>
        </w:tc>
        <w:tc>
          <w:tcPr>
            <w:tcW w:w="1655" w:type="dxa"/>
            <w:tcBorders>
              <w:top w:val="single" w:sz="4" w:space="0" w:color="auto"/>
              <w:left w:val="nil"/>
              <w:bottom w:val="single" w:sz="4" w:space="0" w:color="auto"/>
              <w:right w:val="nil"/>
            </w:tcBorders>
            <w:shd w:val="clear" w:color="auto" w:fill="auto"/>
            <w:noWrap/>
            <w:vAlign w:val="center"/>
            <w:hideMark/>
          </w:tcPr>
          <w:p w14:paraId="611902C5" w14:textId="77777777" w:rsidR="0010523F" w:rsidRPr="0010523F" w:rsidRDefault="0010523F" w:rsidP="0010523F">
            <w:pPr>
              <w:rPr>
                <w:color w:val="000000"/>
                <w:lang w:val="es-AR" w:eastAsia="es-AR"/>
              </w:rPr>
            </w:pPr>
            <w:r w:rsidRPr="0010523F">
              <w:rPr>
                <w:color w:val="000000"/>
                <w:lang w:val="es-AR" w:eastAsia="es-AR"/>
              </w:rPr>
              <w:t> </w:t>
            </w:r>
          </w:p>
        </w:tc>
        <w:tc>
          <w:tcPr>
            <w:tcW w:w="1236" w:type="dxa"/>
            <w:tcBorders>
              <w:top w:val="single" w:sz="4" w:space="0" w:color="auto"/>
              <w:left w:val="nil"/>
              <w:bottom w:val="single" w:sz="4" w:space="0" w:color="auto"/>
              <w:right w:val="nil"/>
            </w:tcBorders>
            <w:shd w:val="clear" w:color="auto" w:fill="auto"/>
            <w:noWrap/>
            <w:vAlign w:val="center"/>
            <w:hideMark/>
          </w:tcPr>
          <w:p w14:paraId="178C3641" w14:textId="77777777" w:rsidR="0010523F" w:rsidRPr="0010523F" w:rsidRDefault="0010523F" w:rsidP="0010523F">
            <w:pPr>
              <w:jc w:val="right"/>
              <w:rPr>
                <w:color w:val="000000"/>
                <w:lang w:val="es-AR" w:eastAsia="es-AR"/>
              </w:rPr>
            </w:pPr>
            <w:r w:rsidRPr="0010523F">
              <w:rPr>
                <w:color w:val="000000"/>
                <w:lang w:val="es-AR" w:eastAsia="es-AR"/>
              </w:rPr>
              <w:t>-</w:t>
            </w:r>
          </w:p>
        </w:tc>
        <w:tc>
          <w:tcPr>
            <w:tcW w:w="1234" w:type="dxa"/>
            <w:tcBorders>
              <w:top w:val="single" w:sz="4" w:space="0" w:color="auto"/>
              <w:left w:val="nil"/>
              <w:bottom w:val="single" w:sz="4" w:space="0" w:color="auto"/>
              <w:right w:val="nil"/>
            </w:tcBorders>
            <w:shd w:val="clear" w:color="auto" w:fill="auto"/>
            <w:noWrap/>
            <w:vAlign w:val="center"/>
            <w:hideMark/>
          </w:tcPr>
          <w:p w14:paraId="790A2AA9" w14:textId="77777777" w:rsidR="0010523F" w:rsidRPr="0010523F" w:rsidRDefault="0010523F" w:rsidP="0010523F">
            <w:pPr>
              <w:jc w:val="right"/>
              <w:rPr>
                <w:color w:val="000000"/>
                <w:lang w:val="es-AR" w:eastAsia="es-AR"/>
              </w:rPr>
            </w:pPr>
            <w:r w:rsidRPr="0010523F">
              <w:rPr>
                <w:color w:val="000000"/>
                <w:lang w:val="es-AR" w:eastAsia="es-AR"/>
              </w:rPr>
              <w:t>224</w:t>
            </w:r>
          </w:p>
        </w:tc>
      </w:tr>
    </w:tbl>
    <w:p w14:paraId="063F98DA" w14:textId="77777777" w:rsidR="0010523F" w:rsidRPr="0010523F" w:rsidRDefault="0010523F" w:rsidP="0010523F">
      <w:pPr>
        <w:spacing w:line="200" w:lineRule="exact"/>
        <w:rPr>
          <w:lang w:val="es-AR" w:eastAsia="en-US"/>
        </w:rPr>
      </w:pPr>
    </w:p>
    <w:p w14:paraId="50D78968" w14:textId="77777777" w:rsidR="0010523F" w:rsidRPr="0010523F" w:rsidRDefault="0010523F" w:rsidP="0010523F">
      <w:pPr>
        <w:spacing w:line="200" w:lineRule="exact"/>
        <w:rPr>
          <w:lang w:val="es-AR" w:eastAsia="en-US"/>
        </w:rPr>
      </w:pPr>
    </w:p>
    <w:p w14:paraId="77BF4D0B" w14:textId="77777777" w:rsidR="0010523F" w:rsidRPr="0010523F" w:rsidRDefault="0010523F" w:rsidP="00E2318E">
      <w:pPr>
        <w:keepNext/>
        <w:widowControl w:val="0"/>
        <w:numPr>
          <w:ilvl w:val="0"/>
          <w:numId w:val="75"/>
        </w:numPr>
        <w:tabs>
          <w:tab w:val="decimal" w:pos="4962"/>
          <w:tab w:val="decimal" w:pos="6379"/>
          <w:tab w:val="decimal" w:pos="7797"/>
          <w:tab w:val="decimal" w:pos="9214"/>
          <w:tab w:val="decimal" w:pos="10490"/>
          <w:tab w:val="decimal" w:pos="12049"/>
          <w:tab w:val="decimal" w:pos="13325"/>
          <w:tab w:val="decimal" w:pos="14601"/>
        </w:tabs>
        <w:spacing w:after="120" w:line="220" w:lineRule="exact"/>
        <w:ind w:left="283" w:right="11" w:hanging="283"/>
        <w:jc w:val="both"/>
        <w:outlineLvl w:val="3"/>
        <w:rPr>
          <w:szCs w:val="20"/>
          <w:lang w:val="es-AR" w:eastAsia="en-US"/>
        </w:rPr>
      </w:pPr>
      <w:r w:rsidRPr="0010523F">
        <w:rPr>
          <w:szCs w:val="20"/>
          <w:lang w:val="es-AR" w:eastAsia="en-US"/>
        </w:rPr>
        <w:t xml:space="preserve">Otras deudas fiscales </w:t>
      </w:r>
    </w:p>
    <w:tbl>
      <w:tblPr>
        <w:tblW w:w="10123" w:type="dxa"/>
        <w:tblInd w:w="-14" w:type="dxa"/>
        <w:tblLayout w:type="fixed"/>
        <w:tblLook w:val="0000" w:firstRow="0" w:lastRow="0" w:firstColumn="0" w:lastColumn="0" w:noHBand="0" w:noVBand="0"/>
      </w:tblPr>
      <w:tblGrid>
        <w:gridCol w:w="6903"/>
        <w:gridCol w:w="1560"/>
        <w:gridCol w:w="1660"/>
      </w:tblGrid>
      <w:tr w:rsidR="0010523F" w:rsidRPr="0010523F" w14:paraId="0DCC8B44" w14:textId="77777777" w:rsidTr="00774E7E">
        <w:tc>
          <w:tcPr>
            <w:tcW w:w="6903" w:type="dxa"/>
          </w:tcPr>
          <w:p w14:paraId="00FB9F47" w14:textId="77777777" w:rsidR="0010523F" w:rsidRPr="0010523F" w:rsidRDefault="0010523F" w:rsidP="0010523F">
            <w:pPr>
              <w:tabs>
                <w:tab w:val="left" w:pos="426"/>
              </w:tabs>
              <w:jc w:val="both"/>
              <w:rPr>
                <w:lang w:val="es-AR" w:eastAsia="en-US"/>
              </w:rPr>
            </w:pPr>
          </w:p>
        </w:tc>
        <w:tc>
          <w:tcPr>
            <w:tcW w:w="1560" w:type="dxa"/>
          </w:tcPr>
          <w:p w14:paraId="501A1912" w14:textId="77777777" w:rsidR="0010523F" w:rsidRPr="0010523F" w:rsidRDefault="0010523F" w:rsidP="0010523F">
            <w:pPr>
              <w:tabs>
                <w:tab w:val="decimal" w:pos="1168"/>
              </w:tabs>
              <w:jc w:val="center"/>
              <w:rPr>
                <w:u w:val="single"/>
                <w:lang w:val="es-AR" w:eastAsia="en-US"/>
              </w:rPr>
            </w:pPr>
            <w:r w:rsidRPr="0010523F">
              <w:rPr>
                <w:u w:val="single"/>
                <w:lang w:val="es-AR" w:eastAsia="en-US"/>
              </w:rPr>
              <w:t>30/09/2019</w:t>
            </w:r>
          </w:p>
        </w:tc>
        <w:tc>
          <w:tcPr>
            <w:tcW w:w="1660" w:type="dxa"/>
            <w:vAlign w:val="bottom"/>
          </w:tcPr>
          <w:p w14:paraId="14409CD0" w14:textId="77777777" w:rsidR="0010523F" w:rsidRPr="0010523F" w:rsidRDefault="0010523F" w:rsidP="0010523F">
            <w:pPr>
              <w:tabs>
                <w:tab w:val="decimal" w:pos="1115"/>
              </w:tabs>
              <w:jc w:val="center"/>
              <w:rPr>
                <w:u w:val="single"/>
                <w:lang w:val="es-AR" w:eastAsia="en-US"/>
              </w:rPr>
            </w:pPr>
            <w:r w:rsidRPr="0010523F">
              <w:rPr>
                <w:u w:val="single"/>
                <w:lang w:val="es-AR" w:eastAsia="en-US"/>
              </w:rPr>
              <w:t>31/12/2018</w:t>
            </w:r>
          </w:p>
        </w:tc>
      </w:tr>
      <w:tr w:rsidR="0010523F" w:rsidRPr="0010523F" w14:paraId="1A655DF9" w14:textId="77777777" w:rsidTr="00774E7E">
        <w:tc>
          <w:tcPr>
            <w:tcW w:w="6903" w:type="dxa"/>
          </w:tcPr>
          <w:p w14:paraId="7B076FEA" w14:textId="77777777" w:rsidR="0010523F" w:rsidRPr="0010523F" w:rsidRDefault="0010523F" w:rsidP="0010523F">
            <w:pPr>
              <w:tabs>
                <w:tab w:val="left" w:pos="426"/>
              </w:tabs>
              <w:spacing w:line="180" w:lineRule="exact"/>
              <w:jc w:val="both"/>
              <w:rPr>
                <w:lang w:val="es-AR" w:eastAsia="en-US"/>
              </w:rPr>
            </w:pPr>
          </w:p>
        </w:tc>
        <w:tc>
          <w:tcPr>
            <w:tcW w:w="1560" w:type="dxa"/>
          </w:tcPr>
          <w:p w14:paraId="675D5765" w14:textId="77777777" w:rsidR="0010523F" w:rsidRPr="0010523F" w:rsidRDefault="0010523F" w:rsidP="0010523F">
            <w:pPr>
              <w:tabs>
                <w:tab w:val="left" w:pos="426"/>
              </w:tabs>
              <w:spacing w:line="180" w:lineRule="exact"/>
              <w:jc w:val="both"/>
              <w:rPr>
                <w:lang w:val="es-AR" w:eastAsia="en-US"/>
              </w:rPr>
            </w:pPr>
          </w:p>
        </w:tc>
        <w:tc>
          <w:tcPr>
            <w:tcW w:w="1660" w:type="dxa"/>
          </w:tcPr>
          <w:p w14:paraId="02EEB368" w14:textId="77777777" w:rsidR="0010523F" w:rsidRPr="0010523F" w:rsidRDefault="0010523F" w:rsidP="0010523F">
            <w:pPr>
              <w:tabs>
                <w:tab w:val="left" w:pos="426"/>
              </w:tabs>
              <w:spacing w:line="180" w:lineRule="exact"/>
              <w:jc w:val="both"/>
              <w:rPr>
                <w:lang w:val="es-AR" w:eastAsia="en-US"/>
              </w:rPr>
            </w:pPr>
          </w:p>
        </w:tc>
      </w:tr>
      <w:tr w:rsidR="0010523F" w:rsidRPr="0010523F" w14:paraId="4500538A" w14:textId="77777777" w:rsidTr="00774E7E">
        <w:tc>
          <w:tcPr>
            <w:tcW w:w="6903" w:type="dxa"/>
          </w:tcPr>
          <w:p w14:paraId="3DD2CDFC" w14:textId="77777777" w:rsidR="0010523F" w:rsidRPr="0010523F" w:rsidRDefault="0010523F" w:rsidP="0010523F">
            <w:pPr>
              <w:tabs>
                <w:tab w:val="left" w:pos="426"/>
              </w:tabs>
              <w:rPr>
                <w:u w:val="single"/>
                <w:lang w:val="es-AR" w:eastAsia="en-US"/>
              </w:rPr>
            </w:pPr>
            <w:r w:rsidRPr="0010523F">
              <w:rPr>
                <w:u w:val="single"/>
                <w:lang w:val="es-AR" w:eastAsia="en-US"/>
              </w:rPr>
              <w:t>Corrientes</w:t>
            </w:r>
          </w:p>
        </w:tc>
        <w:tc>
          <w:tcPr>
            <w:tcW w:w="1560" w:type="dxa"/>
          </w:tcPr>
          <w:p w14:paraId="5B3513B0" w14:textId="77777777" w:rsidR="0010523F" w:rsidRPr="0010523F" w:rsidRDefault="0010523F" w:rsidP="0010523F">
            <w:pPr>
              <w:tabs>
                <w:tab w:val="left" w:pos="426"/>
              </w:tabs>
              <w:ind w:left="567" w:hanging="567"/>
              <w:rPr>
                <w:highlight w:val="yellow"/>
                <w:lang w:val="es-AR" w:eastAsia="en-US"/>
              </w:rPr>
            </w:pPr>
          </w:p>
        </w:tc>
        <w:tc>
          <w:tcPr>
            <w:tcW w:w="1660" w:type="dxa"/>
          </w:tcPr>
          <w:p w14:paraId="1E412A4B" w14:textId="77777777" w:rsidR="0010523F" w:rsidRPr="0010523F" w:rsidRDefault="0010523F" w:rsidP="0010523F">
            <w:pPr>
              <w:tabs>
                <w:tab w:val="left" w:pos="426"/>
              </w:tabs>
              <w:ind w:left="567" w:hanging="567"/>
              <w:rPr>
                <w:highlight w:val="yellow"/>
                <w:lang w:val="es-AR" w:eastAsia="en-US"/>
              </w:rPr>
            </w:pPr>
          </w:p>
        </w:tc>
      </w:tr>
      <w:tr w:rsidR="0010523F" w:rsidRPr="0010523F" w14:paraId="6CB6A25A" w14:textId="77777777" w:rsidTr="00774E7E">
        <w:tc>
          <w:tcPr>
            <w:tcW w:w="6903" w:type="dxa"/>
          </w:tcPr>
          <w:p w14:paraId="3891BC3C" w14:textId="77777777" w:rsidR="0010523F" w:rsidRPr="0010523F" w:rsidRDefault="0010523F" w:rsidP="0010523F">
            <w:pPr>
              <w:tabs>
                <w:tab w:val="left" w:pos="426"/>
              </w:tabs>
              <w:spacing w:line="180" w:lineRule="exact"/>
              <w:jc w:val="both"/>
              <w:rPr>
                <w:lang w:val="es-AR" w:eastAsia="en-US"/>
              </w:rPr>
            </w:pPr>
          </w:p>
        </w:tc>
        <w:tc>
          <w:tcPr>
            <w:tcW w:w="1560" w:type="dxa"/>
          </w:tcPr>
          <w:p w14:paraId="49EF213D" w14:textId="77777777" w:rsidR="0010523F" w:rsidRPr="0010523F" w:rsidRDefault="0010523F" w:rsidP="0010523F">
            <w:pPr>
              <w:tabs>
                <w:tab w:val="left" w:pos="426"/>
              </w:tabs>
              <w:spacing w:line="180" w:lineRule="exact"/>
              <w:jc w:val="both"/>
              <w:rPr>
                <w:highlight w:val="yellow"/>
                <w:lang w:val="es-AR" w:eastAsia="en-US"/>
              </w:rPr>
            </w:pPr>
          </w:p>
        </w:tc>
        <w:tc>
          <w:tcPr>
            <w:tcW w:w="1660" w:type="dxa"/>
          </w:tcPr>
          <w:p w14:paraId="75DAFA06" w14:textId="77777777" w:rsidR="0010523F" w:rsidRPr="0010523F" w:rsidRDefault="0010523F" w:rsidP="0010523F">
            <w:pPr>
              <w:tabs>
                <w:tab w:val="left" w:pos="426"/>
              </w:tabs>
              <w:spacing w:line="180" w:lineRule="exact"/>
              <w:jc w:val="both"/>
              <w:rPr>
                <w:highlight w:val="yellow"/>
                <w:lang w:val="es-AR" w:eastAsia="en-US"/>
              </w:rPr>
            </w:pPr>
          </w:p>
        </w:tc>
      </w:tr>
      <w:tr w:rsidR="0010523F" w:rsidRPr="0010523F" w14:paraId="27CBA851" w14:textId="77777777" w:rsidTr="00774E7E">
        <w:tc>
          <w:tcPr>
            <w:tcW w:w="6903" w:type="dxa"/>
          </w:tcPr>
          <w:p w14:paraId="357F3F5F" w14:textId="77777777" w:rsidR="0010523F" w:rsidRPr="0010523F" w:rsidRDefault="0010523F" w:rsidP="0010523F">
            <w:pPr>
              <w:tabs>
                <w:tab w:val="left" w:pos="426"/>
              </w:tabs>
              <w:rPr>
                <w:lang w:val="es-AR" w:eastAsia="en-US"/>
              </w:rPr>
            </w:pPr>
            <w:r w:rsidRPr="0010523F">
              <w:rPr>
                <w:lang w:val="es-AR" w:eastAsia="en-US"/>
              </w:rPr>
              <w:t>Impuesto sobre los ingresos brutos y cargas sobre la producción</w:t>
            </w:r>
          </w:p>
        </w:tc>
        <w:tc>
          <w:tcPr>
            <w:tcW w:w="1560" w:type="dxa"/>
            <w:vAlign w:val="bottom"/>
          </w:tcPr>
          <w:p w14:paraId="6DAEEFE8" w14:textId="77777777" w:rsidR="0010523F" w:rsidRPr="0010523F" w:rsidRDefault="0010523F" w:rsidP="0010523F">
            <w:pPr>
              <w:tabs>
                <w:tab w:val="left" w:pos="426"/>
              </w:tabs>
              <w:ind w:left="567" w:hanging="567"/>
              <w:jc w:val="right"/>
              <w:rPr>
                <w:lang w:val="es-AR" w:eastAsia="en-US"/>
              </w:rPr>
            </w:pPr>
            <w:r w:rsidRPr="0010523F">
              <w:rPr>
                <w:lang w:val="es-AR" w:eastAsia="en-US"/>
              </w:rPr>
              <w:t>2.336</w:t>
            </w:r>
          </w:p>
        </w:tc>
        <w:tc>
          <w:tcPr>
            <w:tcW w:w="1660" w:type="dxa"/>
            <w:vAlign w:val="bottom"/>
          </w:tcPr>
          <w:p w14:paraId="6B3693A9" w14:textId="77777777" w:rsidR="0010523F" w:rsidRPr="0010523F" w:rsidRDefault="0010523F" w:rsidP="0010523F">
            <w:pPr>
              <w:tabs>
                <w:tab w:val="left" w:pos="426"/>
              </w:tabs>
              <w:ind w:left="567" w:hanging="567"/>
              <w:jc w:val="right"/>
              <w:rPr>
                <w:highlight w:val="yellow"/>
                <w:lang w:val="es-AR" w:eastAsia="en-US"/>
              </w:rPr>
            </w:pPr>
            <w:r w:rsidRPr="0010523F">
              <w:rPr>
                <w:lang w:val="es-AR" w:eastAsia="en-US"/>
              </w:rPr>
              <w:t>1.607</w:t>
            </w:r>
          </w:p>
        </w:tc>
      </w:tr>
      <w:tr w:rsidR="0010523F" w:rsidRPr="0010523F" w14:paraId="3F5A3EC7" w14:textId="77777777" w:rsidTr="00774E7E">
        <w:tc>
          <w:tcPr>
            <w:tcW w:w="6903" w:type="dxa"/>
          </w:tcPr>
          <w:p w14:paraId="4B04F0E2" w14:textId="77777777" w:rsidR="0010523F" w:rsidRPr="0010523F" w:rsidRDefault="0010523F" w:rsidP="0010523F">
            <w:pPr>
              <w:tabs>
                <w:tab w:val="left" w:pos="426"/>
              </w:tabs>
              <w:rPr>
                <w:lang w:val="es-AR" w:eastAsia="en-US"/>
              </w:rPr>
            </w:pPr>
            <w:r w:rsidRPr="0010523F">
              <w:rPr>
                <w:lang w:val="es-AR" w:eastAsia="en-US"/>
              </w:rPr>
              <w:t>Impuesto a la transferencia de los combustibles</w:t>
            </w:r>
          </w:p>
        </w:tc>
        <w:tc>
          <w:tcPr>
            <w:tcW w:w="1560" w:type="dxa"/>
            <w:vAlign w:val="bottom"/>
          </w:tcPr>
          <w:p w14:paraId="1799F68E" w14:textId="77777777" w:rsidR="0010523F" w:rsidRPr="0010523F" w:rsidRDefault="0010523F" w:rsidP="0010523F">
            <w:pPr>
              <w:tabs>
                <w:tab w:val="left" w:pos="426"/>
              </w:tabs>
              <w:ind w:left="567" w:hanging="567"/>
              <w:jc w:val="right"/>
              <w:rPr>
                <w:lang w:val="es-AR" w:eastAsia="en-US"/>
              </w:rPr>
            </w:pPr>
            <w:r w:rsidRPr="0010523F">
              <w:rPr>
                <w:lang w:val="es-AR" w:eastAsia="en-US"/>
              </w:rPr>
              <w:t>779</w:t>
            </w:r>
          </w:p>
        </w:tc>
        <w:tc>
          <w:tcPr>
            <w:tcW w:w="1660" w:type="dxa"/>
            <w:vAlign w:val="bottom"/>
          </w:tcPr>
          <w:p w14:paraId="08946102" w14:textId="77777777" w:rsidR="0010523F" w:rsidRPr="0010523F" w:rsidRDefault="0010523F" w:rsidP="0010523F">
            <w:pPr>
              <w:tabs>
                <w:tab w:val="left" w:pos="426"/>
              </w:tabs>
              <w:ind w:left="567" w:hanging="567"/>
              <w:jc w:val="right"/>
              <w:rPr>
                <w:highlight w:val="yellow"/>
                <w:lang w:val="es-AR" w:eastAsia="en-US"/>
              </w:rPr>
            </w:pPr>
            <w:r w:rsidRPr="0010523F">
              <w:rPr>
                <w:lang w:val="es-AR" w:eastAsia="en-US"/>
              </w:rPr>
              <w:t>690</w:t>
            </w:r>
          </w:p>
        </w:tc>
      </w:tr>
      <w:tr w:rsidR="0010523F" w:rsidRPr="0010523F" w14:paraId="5351DCF9" w14:textId="77777777" w:rsidTr="00774E7E">
        <w:tc>
          <w:tcPr>
            <w:tcW w:w="6903" w:type="dxa"/>
          </w:tcPr>
          <w:p w14:paraId="042722DA" w14:textId="77777777" w:rsidR="0010523F" w:rsidRPr="0010523F" w:rsidRDefault="0010523F" w:rsidP="0010523F">
            <w:pPr>
              <w:tabs>
                <w:tab w:val="left" w:pos="426"/>
              </w:tabs>
              <w:rPr>
                <w:lang w:val="es-AR" w:eastAsia="en-US"/>
              </w:rPr>
            </w:pPr>
            <w:r w:rsidRPr="0010523F">
              <w:rPr>
                <w:lang w:val="es-AR" w:eastAsia="en-US"/>
              </w:rPr>
              <w:t xml:space="preserve">Impuesto al valor agregado </w:t>
            </w:r>
          </w:p>
        </w:tc>
        <w:tc>
          <w:tcPr>
            <w:tcW w:w="1560" w:type="dxa"/>
            <w:vAlign w:val="bottom"/>
          </w:tcPr>
          <w:p w14:paraId="6C70AE67" w14:textId="77777777" w:rsidR="0010523F" w:rsidRPr="0010523F" w:rsidRDefault="0010523F" w:rsidP="0010523F">
            <w:pPr>
              <w:tabs>
                <w:tab w:val="left" w:pos="426"/>
              </w:tabs>
              <w:ind w:left="567" w:hanging="567"/>
              <w:jc w:val="right"/>
              <w:rPr>
                <w:lang w:val="es-AR" w:eastAsia="en-US"/>
              </w:rPr>
            </w:pPr>
            <w:r w:rsidRPr="0010523F">
              <w:rPr>
                <w:lang w:val="es-AR" w:eastAsia="en-US"/>
              </w:rPr>
              <w:t>501</w:t>
            </w:r>
          </w:p>
        </w:tc>
        <w:tc>
          <w:tcPr>
            <w:tcW w:w="1660" w:type="dxa"/>
            <w:vAlign w:val="bottom"/>
          </w:tcPr>
          <w:p w14:paraId="39DFA1E0" w14:textId="77777777" w:rsidR="0010523F" w:rsidRPr="0010523F" w:rsidRDefault="0010523F" w:rsidP="0010523F">
            <w:pPr>
              <w:tabs>
                <w:tab w:val="left" w:pos="426"/>
              </w:tabs>
              <w:ind w:left="567" w:hanging="567"/>
              <w:jc w:val="right"/>
              <w:rPr>
                <w:highlight w:val="yellow"/>
                <w:lang w:val="es-AR" w:eastAsia="en-US"/>
              </w:rPr>
            </w:pPr>
            <w:r w:rsidRPr="0010523F">
              <w:rPr>
                <w:lang w:val="es-AR" w:eastAsia="en-US"/>
              </w:rPr>
              <w:t>371</w:t>
            </w:r>
          </w:p>
        </w:tc>
      </w:tr>
      <w:tr w:rsidR="0010523F" w:rsidRPr="0010523F" w14:paraId="02C2D368" w14:textId="77777777" w:rsidTr="00774E7E">
        <w:tc>
          <w:tcPr>
            <w:tcW w:w="6903" w:type="dxa"/>
          </w:tcPr>
          <w:p w14:paraId="06972B0E" w14:textId="77777777" w:rsidR="0010523F" w:rsidRPr="0010523F" w:rsidRDefault="0010523F" w:rsidP="0010523F">
            <w:pPr>
              <w:tabs>
                <w:tab w:val="left" w:pos="426"/>
              </w:tabs>
              <w:rPr>
                <w:lang w:val="es-AR" w:eastAsia="en-US"/>
              </w:rPr>
            </w:pPr>
            <w:r w:rsidRPr="0010523F">
              <w:rPr>
                <w:lang w:val="es-AR" w:eastAsia="en-US"/>
              </w:rPr>
              <w:t xml:space="preserve">Otros </w:t>
            </w:r>
          </w:p>
        </w:tc>
        <w:tc>
          <w:tcPr>
            <w:tcW w:w="1560" w:type="dxa"/>
            <w:vAlign w:val="bottom"/>
          </w:tcPr>
          <w:p w14:paraId="705B6F75" w14:textId="77777777" w:rsidR="0010523F" w:rsidRPr="0010523F" w:rsidRDefault="0010523F" w:rsidP="0010523F">
            <w:pPr>
              <w:tabs>
                <w:tab w:val="left" w:pos="426"/>
              </w:tabs>
              <w:ind w:left="567" w:hanging="567"/>
              <w:jc w:val="right"/>
              <w:rPr>
                <w:lang w:val="es-AR" w:eastAsia="en-US"/>
              </w:rPr>
            </w:pPr>
            <w:r w:rsidRPr="0010523F">
              <w:rPr>
                <w:u w:val="single"/>
                <w:lang w:val="es-AR" w:eastAsia="en-US"/>
              </w:rPr>
              <w:t xml:space="preserve">     669</w:t>
            </w:r>
          </w:p>
        </w:tc>
        <w:tc>
          <w:tcPr>
            <w:tcW w:w="1660" w:type="dxa"/>
            <w:vAlign w:val="bottom"/>
          </w:tcPr>
          <w:p w14:paraId="7ECFBE42" w14:textId="77777777" w:rsidR="0010523F" w:rsidRPr="0010523F" w:rsidRDefault="0010523F" w:rsidP="0010523F">
            <w:pPr>
              <w:tabs>
                <w:tab w:val="left" w:pos="426"/>
              </w:tabs>
              <w:ind w:left="567" w:hanging="567"/>
              <w:jc w:val="right"/>
              <w:rPr>
                <w:highlight w:val="yellow"/>
                <w:u w:val="single"/>
                <w:lang w:val="es-AR" w:eastAsia="en-US"/>
              </w:rPr>
            </w:pPr>
            <w:r w:rsidRPr="0010523F">
              <w:rPr>
                <w:u w:val="single"/>
                <w:lang w:val="es-AR" w:eastAsia="en-US"/>
              </w:rPr>
              <w:t xml:space="preserve">    520</w:t>
            </w:r>
          </w:p>
        </w:tc>
      </w:tr>
      <w:tr w:rsidR="0010523F" w:rsidRPr="0010523F" w14:paraId="222CAC9B" w14:textId="77777777" w:rsidTr="00774E7E">
        <w:tc>
          <w:tcPr>
            <w:tcW w:w="6903" w:type="dxa"/>
          </w:tcPr>
          <w:p w14:paraId="0734DFC7" w14:textId="77777777" w:rsidR="0010523F" w:rsidRPr="0010523F" w:rsidRDefault="0010523F" w:rsidP="0010523F">
            <w:pPr>
              <w:tabs>
                <w:tab w:val="left" w:pos="426"/>
              </w:tabs>
              <w:spacing w:line="180" w:lineRule="exact"/>
              <w:jc w:val="both"/>
              <w:rPr>
                <w:lang w:val="es-AR" w:eastAsia="en-US"/>
              </w:rPr>
            </w:pPr>
          </w:p>
        </w:tc>
        <w:tc>
          <w:tcPr>
            <w:tcW w:w="1560" w:type="dxa"/>
            <w:vAlign w:val="center"/>
          </w:tcPr>
          <w:p w14:paraId="1279821B" w14:textId="77777777" w:rsidR="0010523F" w:rsidRPr="0010523F" w:rsidRDefault="0010523F" w:rsidP="0010523F">
            <w:pPr>
              <w:tabs>
                <w:tab w:val="left" w:pos="426"/>
              </w:tabs>
              <w:spacing w:line="180" w:lineRule="exact"/>
              <w:jc w:val="both"/>
              <w:rPr>
                <w:lang w:val="es-AR" w:eastAsia="en-US"/>
              </w:rPr>
            </w:pPr>
          </w:p>
        </w:tc>
        <w:tc>
          <w:tcPr>
            <w:tcW w:w="1660" w:type="dxa"/>
            <w:vAlign w:val="bottom"/>
          </w:tcPr>
          <w:p w14:paraId="5A8101BE" w14:textId="77777777" w:rsidR="0010523F" w:rsidRPr="0010523F" w:rsidRDefault="0010523F" w:rsidP="0010523F">
            <w:pPr>
              <w:tabs>
                <w:tab w:val="left" w:pos="426"/>
              </w:tabs>
              <w:spacing w:line="180" w:lineRule="exact"/>
              <w:jc w:val="both"/>
              <w:rPr>
                <w:lang w:val="es-AR" w:eastAsia="en-US"/>
              </w:rPr>
            </w:pPr>
          </w:p>
        </w:tc>
      </w:tr>
      <w:tr w:rsidR="0010523F" w:rsidRPr="0010523F" w14:paraId="41B70C9F" w14:textId="77777777" w:rsidTr="00774E7E">
        <w:tc>
          <w:tcPr>
            <w:tcW w:w="6903" w:type="dxa"/>
          </w:tcPr>
          <w:p w14:paraId="26E6788C" w14:textId="77777777" w:rsidR="0010523F" w:rsidRPr="0010523F" w:rsidRDefault="0010523F" w:rsidP="0010523F">
            <w:pPr>
              <w:jc w:val="both"/>
              <w:rPr>
                <w:lang w:val="es-AR" w:eastAsia="en-US"/>
              </w:rPr>
            </w:pPr>
            <w:r w:rsidRPr="0010523F">
              <w:rPr>
                <w:lang w:val="es-AR" w:eastAsia="en-US"/>
              </w:rPr>
              <w:t xml:space="preserve">Total otras deudas fiscales </w:t>
            </w:r>
          </w:p>
        </w:tc>
        <w:tc>
          <w:tcPr>
            <w:tcW w:w="1560" w:type="dxa"/>
            <w:vAlign w:val="center"/>
          </w:tcPr>
          <w:p w14:paraId="72AB5C36" w14:textId="77777777" w:rsidR="0010523F" w:rsidRPr="0010523F" w:rsidRDefault="0010523F" w:rsidP="0010523F">
            <w:pPr>
              <w:tabs>
                <w:tab w:val="decimal" w:pos="1168"/>
              </w:tabs>
              <w:jc w:val="right"/>
              <w:rPr>
                <w:u w:val="double"/>
                <w:lang w:val="es-AR" w:eastAsia="en-US"/>
              </w:rPr>
            </w:pPr>
            <w:r w:rsidRPr="0010523F">
              <w:rPr>
                <w:u w:val="double"/>
                <w:lang w:val="es-AR" w:eastAsia="en-US"/>
              </w:rPr>
              <w:t xml:space="preserve">  4.285</w:t>
            </w:r>
          </w:p>
        </w:tc>
        <w:tc>
          <w:tcPr>
            <w:tcW w:w="1660" w:type="dxa"/>
            <w:vAlign w:val="bottom"/>
          </w:tcPr>
          <w:p w14:paraId="32FD7D27" w14:textId="77777777" w:rsidR="0010523F" w:rsidRPr="0010523F" w:rsidRDefault="0010523F" w:rsidP="0010523F">
            <w:pPr>
              <w:tabs>
                <w:tab w:val="decimal" w:pos="1115"/>
              </w:tabs>
              <w:jc w:val="right"/>
              <w:rPr>
                <w:highlight w:val="yellow"/>
                <w:u w:val="double"/>
                <w:lang w:val="es-AR" w:eastAsia="en-US"/>
              </w:rPr>
            </w:pPr>
            <w:r w:rsidRPr="0010523F">
              <w:rPr>
                <w:u w:val="double"/>
                <w:lang w:val="es-AR" w:eastAsia="en-US"/>
              </w:rPr>
              <w:t xml:space="preserve"> 3.188</w:t>
            </w:r>
          </w:p>
        </w:tc>
      </w:tr>
    </w:tbl>
    <w:p w14:paraId="266C063B" w14:textId="77777777" w:rsidR="0010523F" w:rsidRPr="0010523F" w:rsidRDefault="0010523F" w:rsidP="0010523F">
      <w:pPr>
        <w:spacing w:line="220" w:lineRule="exact"/>
        <w:jc w:val="both"/>
        <w:rPr>
          <w:szCs w:val="20"/>
          <w:lang w:val="es-AR" w:eastAsia="en-US"/>
        </w:rPr>
      </w:pPr>
      <w:r w:rsidRPr="0010523F">
        <w:rPr>
          <w:szCs w:val="20"/>
          <w:lang w:val="es-AR" w:eastAsia="en-US"/>
        </w:rPr>
        <w:br w:type="page"/>
      </w:r>
    </w:p>
    <w:p w14:paraId="1937D071" w14:textId="77777777" w:rsidR="0010523F" w:rsidRPr="0010523F" w:rsidRDefault="0010523F" w:rsidP="0010523F">
      <w:pPr>
        <w:spacing w:line="200" w:lineRule="exact"/>
        <w:jc w:val="both"/>
        <w:rPr>
          <w:b/>
          <w:lang w:val="es-AR" w:eastAsia="en-US"/>
        </w:rPr>
      </w:pPr>
      <w:r w:rsidRPr="0010523F">
        <w:rPr>
          <w:b/>
          <w:lang w:val="es-AR" w:eastAsia="en-US"/>
        </w:rPr>
        <w:t>NOTA 3 -</w:t>
      </w:r>
      <w:r w:rsidRPr="0010523F">
        <w:rPr>
          <w:b/>
          <w:lang w:val="es-AR" w:eastAsia="en-US"/>
        </w:rPr>
        <w:tab/>
        <w:t>COMPOSICIÓN DE CIERTOS RUBROS DEL ESTADO DE SITUACIÓN FINANCIERA INTERMEDIO CONDENSADO (cont.)</w:t>
      </w:r>
    </w:p>
    <w:p w14:paraId="0D442BB6" w14:textId="77777777" w:rsidR="0010523F" w:rsidRPr="0010523F" w:rsidRDefault="0010523F" w:rsidP="00E2318E">
      <w:pPr>
        <w:keepNext/>
        <w:widowControl w:val="0"/>
        <w:numPr>
          <w:ilvl w:val="0"/>
          <w:numId w:val="75"/>
        </w:numPr>
        <w:tabs>
          <w:tab w:val="decimal" w:pos="4962"/>
          <w:tab w:val="decimal" w:pos="6379"/>
          <w:tab w:val="decimal" w:pos="7797"/>
          <w:tab w:val="decimal" w:pos="9214"/>
          <w:tab w:val="decimal" w:pos="10490"/>
          <w:tab w:val="decimal" w:pos="12049"/>
          <w:tab w:val="decimal" w:pos="13325"/>
          <w:tab w:val="decimal" w:pos="14601"/>
        </w:tabs>
        <w:spacing w:before="240" w:after="120" w:line="220" w:lineRule="exact"/>
        <w:ind w:left="426" w:right="11" w:hanging="357"/>
        <w:jc w:val="both"/>
        <w:outlineLvl w:val="3"/>
        <w:rPr>
          <w:szCs w:val="20"/>
          <w:lang w:val="es-AR" w:eastAsia="en-US"/>
        </w:rPr>
      </w:pPr>
      <w:r w:rsidRPr="0010523F">
        <w:rPr>
          <w:szCs w:val="20"/>
          <w:lang w:val="es-AR" w:eastAsia="en-US"/>
        </w:rPr>
        <w:t xml:space="preserve">Obligaciones negociables no corrientes y corrientes </w:t>
      </w:r>
    </w:p>
    <w:tbl>
      <w:tblPr>
        <w:tblW w:w="10123" w:type="dxa"/>
        <w:tblInd w:w="-14" w:type="dxa"/>
        <w:tblLayout w:type="fixed"/>
        <w:tblLook w:val="0000" w:firstRow="0" w:lastRow="0" w:firstColumn="0" w:lastColumn="0" w:noHBand="0" w:noVBand="0"/>
      </w:tblPr>
      <w:tblGrid>
        <w:gridCol w:w="14"/>
        <w:gridCol w:w="6889"/>
        <w:gridCol w:w="1560"/>
        <w:gridCol w:w="1660"/>
      </w:tblGrid>
      <w:tr w:rsidR="0010523F" w:rsidRPr="0010523F" w14:paraId="46895155" w14:textId="77777777" w:rsidTr="00774E7E">
        <w:tc>
          <w:tcPr>
            <w:tcW w:w="6903" w:type="dxa"/>
            <w:gridSpan w:val="2"/>
          </w:tcPr>
          <w:p w14:paraId="0B4DA27D" w14:textId="77777777" w:rsidR="0010523F" w:rsidRPr="0010523F" w:rsidRDefault="0010523F" w:rsidP="0010523F">
            <w:pPr>
              <w:ind w:left="284" w:firstLine="156"/>
              <w:jc w:val="both"/>
              <w:rPr>
                <w:lang w:val="es-AR" w:eastAsia="en-US"/>
              </w:rPr>
            </w:pPr>
          </w:p>
        </w:tc>
        <w:tc>
          <w:tcPr>
            <w:tcW w:w="1560" w:type="dxa"/>
          </w:tcPr>
          <w:p w14:paraId="3C5F3FD2" w14:textId="77777777" w:rsidR="0010523F" w:rsidRPr="0010523F" w:rsidRDefault="0010523F" w:rsidP="0010523F">
            <w:pPr>
              <w:tabs>
                <w:tab w:val="decimal" w:pos="1168"/>
              </w:tabs>
              <w:jc w:val="right"/>
              <w:rPr>
                <w:sz w:val="22"/>
                <w:szCs w:val="22"/>
                <w:u w:val="double"/>
                <w:lang w:val="es-AR" w:eastAsia="en-US"/>
              </w:rPr>
            </w:pPr>
            <w:r w:rsidRPr="0010523F">
              <w:rPr>
                <w:u w:val="single"/>
                <w:lang w:val="es-AR" w:eastAsia="en-US"/>
              </w:rPr>
              <w:t>30/09/2019</w:t>
            </w:r>
          </w:p>
        </w:tc>
        <w:tc>
          <w:tcPr>
            <w:tcW w:w="1660" w:type="dxa"/>
            <w:vAlign w:val="bottom"/>
          </w:tcPr>
          <w:p w14:paraId="2D202DC9" w14:textId="77777777" w:rsidR="0010523F" w:rsidRPr="0010523F" w:rsidRDefault="0010523F" w:rsidP="0010523F">
            <w:pPr>
              <w:tabs>
                <w:tab w:val="decimal" w:pos="1115"/>
              </w:tabs>
              <w:jc w:val="right"/>
              <w:rPr>
                <w:sz w:val="22"/>
                <w:szCs w:val="22"/>
                <w:u w:val="double"/>
                <w:lang w:val="es-AR" w:eastAsia="en-US"/>
              </w:rPr>
            </w:pPr>
            <w:r w:rsidRPr="0010523F">
              <w:rPr>
                <w:u w:val="single"/>
                <w:lang w:val="es-AR" w:eastAsia="en-US"/>
              </w:rPr>
              <w:t>31/12/2018</w:t>
            </w:r>
          </w:p>
        </w:tc>
      </w:tr>
      <w:tr w:rsidR="0010523F" w:rsidRPr="0010523F" w14:paraId="1179C3CD" w14:textId="77777777" w:rsidTr="00774E7E">
        <w:tc>
          <w:tcPr>
            <w:tcW w:w="6903" w:type="dxa"/>
            <w:gridSpan w:val="2"/>
          </w:tcPr>
          <w:p w14:paraId="1D021780" w14:textId="77777777" w:rsidR="0010523F" w:rsidRPr="0010523F" w:rsidRDefault="0010523F" w:rsidP="0010523F">
            <w:pPr>
              <w:tabs>
                <w:tab w:val="left" w:pos="426"/>
              </w:tabs>
              <w:spacing w:line="140" w:lineRule="exact"/>
              <w:ind w:left="562" w:hanging="562"/>
              <w:rPr>
                <w:lang w:val="es-AR" w:eastAsia="en-US"/>
              </w:rPr>
            </w:pPr>
          </w:p>
        </w:tc>
        <w:tc>
          <w:tcPr>
            <w:tcW w:w="1560" w:type="dxa"/>
          </w:tcPr>
          <w:p w14:paraId="744C595F"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300D837B" w14:textId="77777777" w:rsidR="0010523F" w:rsidRPr="0010523F" w:rsidRDefault="0010523F" w:rsidP="0010523F">
            <w:pPr>
              <w:tabs>
                <w:tab w:val="left" w:pos="426"/>
              </w:tabs>
              <w:spacing w:line="140" w:lineRule="exact"/>
              <w:ind w:left="562" w:hanging="562"/>
              <w:rPr>
                <w:lang w:val="es-AR" w:eastAsia="en-US"/>
              </w:rPr>
            </w:pPr>
          </w:p>
        </w:tc>
      </w:tr>
      <w:tr w:rsidR="0010523F" w:rsidRPr="0010523F" w14:paraId="1D0B6E92" w14:textId="77777777" w:rsidTr="00774E7E">
        <w:tc>
          <w:tcPr>
            <w:tcW w:w="6903" w:type="dxa"/>
            <w:gridSpan w:val="2"/>
          </w:tcPr>
          <w:p w14:paraId="07595935" w14:textId="77777777" w:rsidR="0010523F" w:rsidRPr="0010523F" w:rsidRDefault="0010523F" w:rsidP="0010523F">
            <w:pPr>
              <w:rPr>
                <w:u w:val="single"/>
                <w:lang w:val="es-AR" w:eastAsia="en-US"/>
              </w:rPr>
            </w:pPr>
            <w:r w:rsidRPr="0010523F">
              <w:rPr>
                <w:u w:val="single"/>
                <w:lang w:val="es-AR" w:eastAsia="en-US"/>
              </w:rPr>
              <w:t>No corrientes</w:t>
            </w:r>
          </w:p>
        </w:tc>
        <w:tc>
          <w:tcPr>
            <w:tcW w:w="1560" w:type="dxa"/>
          </w:tcPr>
          <w:p w14:paraId="09BFEF8B" w14:textId="77777777" w:rsidR="0010523F" w:rsidRPr="0010523F" w:rsidRDefault="0010523F" w:rsidP="0010523F">
            <w:pPr>
              <w:tabs>
                <w:tab w:val="left" w:pos="426"/>
              </w:tabs>
              <w:ind w:left="562" w:hanging="562"/>
              <w:rPr>
                <w:highlight w:val="yellow"/>
                <w:lang w:val="es-AR" w:eastAsia="en-US"/>
              </w:rPr>
            </w:pPr>
          </w:p>
        </w:tc>
        <w:tc>
          <w:tcPr>
            <w:tcW w:w="1660" w:type="dxa"/>
          </w:tcPr>
          <w:p w14:paraId="23555E32" w14:textId="77777777" w:rsidR="0010523F" w:rsidRPr="0010523F" w:rsidRDefault="0010523F" w:rsidP="0010523F">
            <w:pPr>
              <w:tabs>
                <w:tab w:val="left" w:pos="426"/>
              </w:tabs>
              <w:ind w:left="562" w:hanging="562"/>
              <w:rPr>
                <w:lang w:val="es-AR" w:eastAsia="en-US"/>
              </w:rPr>
            </w:pPr>
          </w:p>
        </w:tc>
      </w:tr>
      <w:tr w:rsidR="0010523F" w:rsidRPr="0010523F" w14:paraId="799B46A6" w14:textId="77777777" w:rsidTr="00774E7E">
        <w:tc>
          <w:tcPr>
            <w:tcW w:w="6903" w:type="dxa"/>
            <w:gridSpan w:val="2"/>
          </w:tcPr>
          <w:p w14:paraId="5A9D98AD" w14:textId="77777777" w:rsidR="0010523F" w:rsidRPr="0010523F" w:rsidRDefault="0010523F" w:rsidP="0010523F">
            <w:pPr>
              <w:tabs>
                <w:tab w:val="left" w:pos="426"/>
              </w:tabs>
              <w:spacing w:line="140" w:lineRule="exact"/>
              <w:ind w:left="562" w:hanging="562"/>
              <w:rPr>
                <w:lang w:val="es-AR" w:eastAsia="en-US"/>
              </w:rPr>
            </w:pPr>
          </w:p>
        </w:tc>
        <w:tc>
          <w:tcPr>
            <w:tcW w:w="1560" w:type="dxa"/>
          </w:tcPr>
          <w:p w14:paraId="6AF7032E"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2141EFDA" w14:textId="77777777" w:rsidR="0010523F" w:rsidRPr="0010523F" w:rsidRDefault="0010523F" w:rsidP="0010523F">
            <w:pPr>
              <w:tabs>
                <w:tab w:val="left" w:pos="426"/>
              </w:tabs>
              <w:spacing w:line="140" w:lineRule="exact"/>
              <w:ind w:left="562" w:hanging="562"/>
              <w:rPr>
                <w:lang w:val="es-AR" w:eastAsia="en-US"/>
              </w:rPr>
            </w:pPr>
          </w:p>
        </w:tc>
      </w:tr>
      <w:tr w:rsidR="0010523F" w:rsidRPr="0010523F" w14:paraId="20FC735F" w14:textId="77777777" w:rsidTr="00774E7E">
        <w:tc>
          <w:tcPr>
            <w:tcW w:w="6903" w:type="dxa"/>
            <w:gridSpan w:val="2"/>
          </w:tcPr>
          <w:p w14:paraId="54F240F2" w14:textId="77777777" w:rsidR="0010523F" w:rsidRPr="0010523F" w:rsidRDefault="0010523F" w:rsidP="0010523F">
            <w:pPr>
              <w:tabs>
                <w:tab w:val="left" w:pos="426"/>
              </w:tabs>
              <w:jc w:val="both"/>
              <w:rPr>
                <w:lang w:val="es-AR" w:eastAsia="en-US"/>
              </w:rPr>
            </w:pPr>
            <w:r w:rsidRPr="0010523F">
              <w:rPr>
                <w:lang w:val="es-AR" w:eastAsia="en-US"/>
              </w:rPr>
              <w:t>Obligaciones negociables - capital (Nota 7.2)</w:t>
            </w:r>
          </w:p>
        </w:tc>
        <w:tc>
          <w:tcPr>
            <w:tcW w:w="1560" w:type="dxa"/>
          </w:tcPr>
          <w:p w14:paraId="6CB25A74" w14:textId="77777777" w:rsidR="0010523F" w:rsidRPr="0010523F" w:rsidRDefault="0010523F" w:rsidP="0010523F">
            <w:pPr>
              <w:tabs>
                <w:tab w:val="decimal" w:pos="1168"/>
              </w:tabs>
              <w:ind w:left="-40"/>
              <w:jc w:val="right"/>
              <w:rPr>
                <w:lang w:val="es-AR" w:eastAsia="en-US"/>
              </w:rPr>
            </w:pPr>
            <w:r w:rsidRPr="0010523F">
              <w:rPr>
                <w:lang w:val="es-AR" w:eastAsia="en-US"/>
              </w:rPr>
              <w:t>11.393</w:t>
            </w:r>
          </w:p>
        </w:tc>
        <w:tc>
          <w:tcPr>
            <w:tcW w:w="1660" w:type="dxa"/>
          </w:tcPr>
          <w:p w14:paraId="11450C7B" w14:textId="77777777" w:rsidR="0010523F" w:rsidRPr="0010523F" w:rsidRDefault="0010523F" w:rsidP="0010523F">
            <w:pPr>
              <w:tabs>
                <w:tab w:val="decimal" w:pos="1115"/>
              </w:tabs>
              <w:jc w:val="right"/>
              <w:rPr>
                <w:highlight w:val="yellow"/>
                <w:lang w:val="es-AR" w:eastAsia="en-US"/>
              </w:rPr>
            </w:pPr>
            <w:r w:rsidRPr="0010523F">
              <w:rPr>
                <w:lang w:val="es-AR" w:eastAsia="en-US"/>
              </w:rPr>
              <w:t>14.853</w:t>
            </w:r>
          </w:p>
        </w:tc>
      </w:tr>
      <w:tr w:rsidR="0010523F" w:rsidRPr="0010523F" w14:paraId="1C60A80A" w14:textId="77777777" w:rsidTr="00774E7E">
        <w:tc>
          <w:tcPr>
            <w:tcW w:w="6903" w:type="dxa"/>
            <w:gridSpan w:val="2"/>
          </w:tcPr>
          <w:p w14:paraId="0FE2CF31" w14:textId="77777777" w:rsidR="0010523F" w:rsidRPr="0010523F" w:rsidRDefault="0010523F" w:rsidP="0010523F">
            <w:pPr>
              <w:tabs>
                <w:tab w:val="left" w:pos="426"/>
              </w:tabs>
              <w:jc w:val="both"/>
              <w:rPr>
                <w:lang w:val="es-AR" w:eastAsia="en-US"/>
              </w:rPr>
            </w:pPr>
            <w:r w:rsidRPr="0010523F">
              <w:rPr>
                <w:lang w:val="es-AR" w:eastAsia="en-US"/>
              </w:rPr>
              <w:t>Costo de emisión asociados</w:t>
            </w:r>
          </w:p>
        </w:tc>
        <w:tc>
          <w:tcPr>
            <w:tcW w:w="1560" w:type="dxa"/>
          </w:tcPr>
          <w:p w14:paraId="0B334FD0" w14:textId="77777777" w:rsidR="0010523F" w:rsidRPr="0010523F" w:rsidRDefault="0010523F" w:rsidP="0010523F">
            <w:pPr>
              <w:tabs>
                <w:tab w:val="decimal" w:pos="1168"/>
              </w:tabs>
              <w:ind w:left="-40"/>
              <w:jc w:val="right"/>
              <w:rPr>
                <w:lang w:val="es-AR" w:eastAsia="en-US"/>
              </w:rPr>
            </w:pPr>
            <w:r w:rsidRPr="0010523F">
              <w:rPr>
                <w:lang w:val="es-AR" w:eastAsia="en-US"/>
              </w:rPr>
              <w:t>(</w:t>
            </w:r>
            <w:r w:rsidRPr="0010523F">
              <w:rPr>
                <w:u w:val="single"/>
                <w:lang w:val="es-AR" w:eastAsia="en-US"/>
              </w:rPr>
              <w:t xml:space="preserve">      64</w:t>
            </w:r>
            <w:r w:rsidRPr="0010523F">
              <w:rPr>
                <w:lang w:val="es-AR" w:eastAsia="en-US"/>
              </w:rPr>
              <w:t>)</w:t>
            </w:r>
          </w:p>
        </w:tc>
        <w:tc>
          <w:tcPr>
            <w:tcW w:w="1660" w:type="dxa"/>
          </w:tcPr>
          <w:p w14:paraId="4A899D34" w14:textId="77777777" w:rsidR="0010523F" w:rsidRPr="0010523F" w:rsidRDefault="0010523F" w:rsidP="0010523F">
            <w:pPr>
              <w:tabs>
                <w:tab w:val="decimal" w:pos="1115"/>
              </w:tabs>
              <w:jc w:val="right"/>
              <w:rPr>
                <w:highlight w:val="yellow"/>
                <w:u w:val="single"/>
                <w:lang w:val="es-AR" w:eastAsia="en-US"/>
              </w:rPr>
            </w:pPr>
            <w:r w:rsidRPr="0010523F">
              <w:rPr>
                <w:lang w:val="es-AR" w:eastAsia="en-US"/>
              </w:rPr>
              <w:t>(</w:t>
            </w:r>
            <w:r w:rsidRPr="0010523F">
              <w:rPr>
                <w:u w:val="single"/>
                <w:lang w:val="es-AR" w:eastAsia="en-US"/>
              </w:rPr>
              <w:t xml:space="preserve">      43</w:t>
            </w:r>
            <w:r w:rsidRPr="0010523F">
              <w:rPr>
                <w:lang w:val="es-AR" w:eastAsia="en-US"/>
              </w:rPr>
              <w:t>)</w:t>
            </w:r>
          </w:p>
        </w:tc>
      </w:tr>
      <w:tr w:rsidR="0010523F" w:rsidRPr="0010523F" w14:paraId="56487152" w14:textId="77777777" w:rsidTr="00774E7E">
        <w:tc>
          <w:tcPr>
            <w:tcW w:w="6903" w:type="dxa"/>
            <w:gridSpan w:val="2"/>
          </w:tcPr>
          <w:p w14:paraId="431B3A6F" w14:textId="77777777" w:rsidR="0010523F" w:rsidRPr="0010523F" w:rsidRDefault="0010523F" w:rsidP="0010523F">
            <w:pPr>
              <w:tabs>
                <w:tab w:val="left" w:pos="426"/>
              </w:tabs>
              <w:spacing w:line="140" w:lineRule="exact"/>
              <w:ind w:left="562" w:hanging="562"/>
              <w:rPr>
                <w:lang w:val="es-AR" w:eastAsia="en-US"/>
              </w:rPr>
            </w:pPr>
            <w:r w:rsidRPr="0010523F">
              <w:rPr>
                <w:lang w:val="es-AR" w:eastAsia="en-US"/>
              </w:rPr>
              <w:tab/>
            </w:r>
          </w:p>
        </w:tc>
        <w:tc>
          <w:tcPr>
            <w:tcW w:w="1560" w:type="dxa"/>
          </w:tcPr>
          <w:p w14:paraId="069D9403" w14:textId="77777777" w:rsidR="0010523F" w:rsidRPr="0010523F" w:rsidRDefault="0010523F" w:rsidP="0010523F">
            <w:pPr>
              <w:tabs>
                <w:tab w:val="left" w:pos="426"/>
              </w:tabs>
              <w:spacing w:line="140" w:lineRule="exact"/>
              <w:ind w:left="562" w:hanging="562"/>
              <w:jc w:val="right"/>
              <w:rPr>
                <w:lang w:val="es-AR" w:eastAsia="en-US"/>
              </w:rPr>
            </w:pPr>
          </w:p>
        </w:tc>
        <w:tc>
          <w:tcPr>
            <w:tcW w:w="1660" w:type="dxa"/>
          </w:tcPr>
          <w:p w14:paraId="6643E8D7" w14:textId="77777777" w:rsidR="0010523F" w:rsidRPr="0010523F" w:rsidRDefault="0010523F" w:rsidP="0010523F">
            <w:pPr>
              <w:tabs>
                <w:tab w:val="left" w:pos="426"/>
              </w:tabs>
              <w:spacing w:line="140" w:lineRule="exact"/>
              <w:ind w:left="562" w:hanging="562"/>
              <w:jc w:val="right"/>
              <w:rPr>
                <w:highlight w:val="yellow"/>
                <w:lang w:val="es-AR" w:eastAsia="en-US"/>
              </w:rPr>
            </w:pPr>
          </w:p>
        </w:tc>
      </w:tr>
      <w:tr w:rsidR="0010523F" w:rsidRPr="0010523F" w14:paraId="28DC9666" w14:textId="77777777" w:rsidTr="00774E7E">
        <w:tc>
          <w:tcPr>
            <w:tcW w:w="6903" w:type="dxa"/>
            <w:gridSpan w:val="2"/>
          </w:tcPr>
          <w:p w14:paraId="3430423D" w14:textId="77777777" w:rsidR="0010523F" w:rsidRPr="0010523F" w:rsidRDefault="0010523F" w:rsidP="0010523F">
            <w:pPr>
              <w:jc w:val="both"/>
              <w:rPr>
                <w:lang w:val="es-AR" w:eastAsia="en-US"/>
              </w:rPr>
            </w:pPr>
            <w:r w:rsidRPr="0010523F">
              <w:rPr>
                <w:lang w:val="es-AR" w:eastAsia="en-US"/>
              </w:rPr>
              <w:t>Total obligaciones negociables no corrientes</w:t>
            </w:r>
          </w:p>
        </w:tc>
        <w:tc>
          <w:tcPr>
            <w:tcW w:w="1560" w:type="dxa"/>
          </w:tcPr>
          <w:p w14:paraId="3A69E3C5" w14:textId="77777777" w:rsidR="0010523F" w:rsidRPr="0010523F" w:rsidRDefault="0010523F" w:rsidP="0010523F">
            <w:pPr>
              <w:tabs>
                <w:tab w:val="decimal" w:pos="1168"/>
              </w:tabs>
              <w:jc w:val="right"/>
              <w:rPr>
                <w:u w:val="double"/>
                <w:lang w:val="es-AR" w:eastAsia="en-US"/>
              </w:rPr>
            </w:pPr>
            <w:r w:rsidRPr="0010523F">
              <w:rPr>
                <w:u w:val="double"/>
                <w:lang w:val="es-AR" w:eastAsia="en-US"/>
              </w:rPr>
              <w:t>11.329</w:t>
            </w:r>
          </w:p>
        </w:tc>
        <w:tc>
          <w:tcPr>
            <w:tcW w:w="1660" w:type="dxa"/>
          </w:tcPr>
          <w:p w14:paraId="0B53CC98" w14:textId="77777777" w:rsidR="0010523F" w:rsidRPr="0010523F" w:rsidRDefault="0010523F" w:rsidP="0010523F">
            <w:pPr>
              <w:tabs>
                <w:tab w:val="decimal" w:pos="1115"/>
              </w:tabs>
              <w:jc w:val="right"/>
              <w:rPr>
                <w:highlight w:val="yellow"/>
                <w:u w:val="double"/>
                <w:lang w:val="es-AR" w:eastAsia="en-US"/>
              </w:rPr>
            </w:pPr>
            <w:r w:rsidRPr="0010523F">
              <w:rPr>
                <w:u w:val="double"/>
                <w:lang w:val="es-AR" w:eastAsia="en-US"/>
              </w:rPr>
              <w:t>14.810</w:t>
            </w:r>
          </w:p>
        </w:tc>
      </w:tr>
      <w:tr w:rsidR="0010523F" w:rsidRPr="0010523F" w14:paraId="01C9968C" w14:textId="77777777" w:rsidTr="00774E7E">
        <w:trPr>
          <w:gridBefore w:val="1"/>
          <w:wBefore w:w="14" w:type="dxa"/>
        </w:trPr>
        <w:tc>
          <w:tcPr>
            <w:tcW w:w="6889" w:type="dxa"/>
          </w:tcPr>
          <w:p w14:paraId="31827CDB" w14:textId="77777777" w:rsidR="0010523F" w:rsidRPr="0010523F" w:rsidRDefault="0010523F" w:rsidP="0010523F">
            <w:pPr>
              <w:tabs>
                <w:tab w:val="left" w:pos="426"/>
              </w:tabs>
              <w:spacing w:line="140" w:lineRule="exact"/>
              <w:ind w:left="562" w:hanging="562"/>
              <w:jc w:val="right"/>
              <w:rPr>
                <w:lang w:val="es-AR" w:eastAsia="en-US"/>
              </w:rPr>
            </w:pPr>
          </w:p>
        </w:tc>
        <w:tc>
          <w:tcPr>
            <w:tcW w:w="1560" w:type="dxa"/>
          </w:tcPr>
          <w:p w14:paraId="75FCA111" w14:textId="77777777" w:rsidR="0010523F" w:rsidRPr="0010523F" w:rsidRDefault="0010523F" w:rsidP="0010523F">
            <w:pPr>
              <w:tabs>
                <w:tab w:val="left" w:pos="426"/>
              </w:tabs>
              <w:spacing w:line="140" w:lineRule="exact"/>
              <w:ind w:left="562" w:hanging="562"/>
              <w:jc w:val="right"/>
              <w:rPr>
                <w:lang w:val="es-AR" w:eastAsia="en-US"/>
              </w:rPr>
            </w:pPr>
          </w:p>
        </w:tc>
        <w:tc>
          <w:tcPr>
            <w:tcW w:w="1660" w:type="dxa"/>
          </w:tcPr>
          <w:p w14:paraId="77BBFC43" w14:textId="77777777" w:rsidR="0010523F" w:rsidRPr="0010523F" w:rsidRDefault="0010523F" w:rsidP="0010523F">
            <w:pPr>
              <w:tabs>
                <w:tab w:val="left" w:pos="426"/>
              </w:tabs>
              <w:spacing w:line="140" w:lineRule="exact"/>
              <w:ind w:left="562" w:hanging="562"/>
              <w:jc w:val="right"/>
              <w:rPr>
                <w:highlight w:val="yellow"/>
                <w:lang w:val="es-AR" w:eastAsia="en-US"/>
              </w:rPr>
            </w:pPr>
          </w:p>
        </w:tc>
      </w:tr>
      <w:tr w:rsidR="0010523F" w:rsidRPr="0010523F" w14:paraId="5718EBAD" w14:textId="77777777" w:rsidTr="00774E7E">
        <w:trPr>
          <w:gridBefore w:val="1"/>
          <w:wBefore w:w="14" w:type="dxa"/>
        </w:trPr>
        <w:tc>
          <w:tcPr>
            <w:tcW w:w="6889" w:type="dxa"/>
          </w:tcPr>
          <w:p w14:paraId="2DA1243F" w14:textId="77777777" w:rsidR="0010523F" w:rsidRPr="0010523F" w:rsidRDefault="0010523F" w:rsidP="0010523F">
            <w:pPr>
              <w:tabs>
                <w:tab w:val="decimal" w:pos="7513"/>
                <w:tab w:val="decimal" w:pos="9356"/>
              </w:tabs>
              <w:jc w:val="both"/>
              <w:rPr>
                <w:lang w:val="es-AR" w:eastAsia="en-US"/>
              </w:rPr>
            </w:pPr>
            <w:r w:rsidRPr="0010523F">
              <w:rPr>
                <w:u w:val="single"/>
                <w:lang w:val="es-AR" w:eastAsia="en-US"/>
              </w:rPr>
              <w:t>Corrientes</w:t>
            </w:r>
          </w:p>
        </w:tc>
        <w:tc>
          <w:tcPr>
            <w:tcW w:w="1560" w:type="dxa"/>
          </w:tcPr>
          <w:p w14:paraId="19F83EE3" w14:textId="77777777" w:rsidR="0010523F" w:rsidRPr="0010523F" w:rsidRDefault="0010523F" w:rsidP="0010523F">
            <w:pPr>
              <w:tabs>
                <w:tab w:val="decimal" w:pos="1168"/>
              </w:tabs>
              <w:jc w:val="right"/>
              <w:rPr>
                <w:lang w:val="es-AR" w:eastAsia="en-US"/>
              </w:rPr>
            </w:pPr>
          </w:p>
        </w:tc>
        <w:tc>
          <w:tcPr>
            <w:tcW w:w="1660" w:type="dxa"/>
          </w:tcPr>
          <w:p w14:paraId="63914535" w14:textId="77777777" w:rsidR="0010523F" w:rsidRPr="0010523F" w:rsidRDefault="0010523F" w:rsidP="0010523F">
            <w:pPr>
              <w:tabs>
                <w:tab w:val="decimal" w:pos="1067"/>
              </w:tabs>
              <w:jc w:val="right"/>
              <w:rPr>
                <w:highlight w:val="yellow"/>
                <w:lang w:val="es-AR" w:eastAsia="en-US"/>
              </w:rPr>
            </w:pPr>
          </w:p>
        </w:tc>
      </w:tr>
      <w:tr w:rsidR="0010523F" w:rsidRPr="0010523F" w14:paraId="6DDF82E9" w14:textId="77777777" w:rsidTr="00774E7E">
        <w:trPr>
          <w:gridBefore w:val="1"/>
          <w:wBefore w:w="14" w:type="dxa"/>
        </w:trPr>
        <w:tc>
          <w:tcPr>
            <w:tcW w:w="6889" w:type="dxa"/>
          </w:tcPr>
          <w:p w14:paraId="72163B7D" w14:textId="77777777" w:rsidR="0010523F" w:rsidRPr="0010523F" w:rsidRDefault="0010523F" w:rsidP="0010523F">
            <w:pPr>
              <w:tabs>
                <w:tab w:val="left" w:pos="426"/>
              </w:tabs>
              <w:spacing w:line="140" w:lineRule="exact"/>
              <w:ind w:left="562" w:hanging="562"/>
              <w:rPr>
                <w:lang w:val="es-AR" w:eastAsia="en-US"/>
              </w:rPr>
            </w:pPr>
            <w:r w:rsidRPr="0010523F">
              <w:rPr>
                <w:lang w:val="es-AR" w:eastAsia="en-US"/>
              </w:rPr>
              <w:tab/>
            </w:r>
          </w:p>
        </w:tc>
        <w:tc>
          <w:tcPr>
            <w:tcW w:w="1560" w:type="dxa"/>
          </w:tcPr>
          <w:p w14:paraId="59F51CF9" w14:textId="77777777" w:rsidR="0010523F" w:rsidRPr="0010523F" w:rsidRDefault="0010523F" w:rsidP="0010523F">
            <w:pPr>
              <w:tabs>
                <w:tab w:val="left" w:pos="426"/>
              </w:tabs>
              <w:spacing w:line="140" w:lineRule="exact"/>
              <w:ind w:left="562" w:hanging="562"/>
              <w:jc w:val="right"/>
              <w:rPr>
                <w:lang w:val="es-AR" w:eastAsia="en-US"/>
              </w:rPr>
            </w:pPr>
          </w:p>
        </w:tc>
        <w:tc>
          <w:tcPr>
            <w:tcW w:w="1660" w:type="dxa"/>
          </w:tcPr>
          <w:p w14:paraId="2B657252" w14:textId="77777777" w:rsidR="0010523F" w:rsidRPr="0010523F" w:rsidRDefault="0010523F" w:rsidP="0010523F">
            <w:pPr>
              <w:tabs>
                <w:tab w:val="left" w:pos="426"/>
              </w:tabs>
              <w:spacing w:line="140" w:lineRule="exact"/>
              <w:ind w:left="562" w:hanging="562"/>
              <w:jc w:val="right"/>
              <w:rPr>
                <w:highlight w:val="yellow"/>
                <w:lang w:val="es-AR" w:eastAsia="en-US"/>
              </w:rPr>
            </w:pPr>
          </w:p>
        </w:tc>
      </w:tr>
      <w:tr w:rsidR="0010523F" w:rsidRPr="0010523F" w14:paraId="1CE0D244" w14:textId="77777777" w:rsidTr="00774E7E">
        <w:trPr>
          <w:gridBefore w:val="1"/>
          <w:wBefore w:w="14" w:type="dxa"/>
        </w:trPr>
        <w:tc>
          <w:tcPr>
            <w:tcW w:w="6889" w:type="dxa"/>
            <w:vAlign w:val="center"/>
          </w:tcPr>
          <w:p w14:paraId="32AE1DA8" w14:textId="77777777" w:rsidR="0010523F" w:rsidRPr="0010523F" w:rsidRDefault="0010523F" w:rsidP="0010523F">
            <w:pPr>
              <w:tabs>
                <w:tab w:val="left" w:pos="426"/>
                <w:tab w:val="left" w:pos="567"/>
                <w:tab w:val="decimal" w:pos="7513"/>
                <w:tab w:val="decimal" w:pos="9356"/>
              </w:tabs>
              <w:jc w:val="both"/>
              <w:rPr>
                <w:lang w:val="es-AR" w:eastAsia="en-US"/>
              </w:rPr>
            </w:pPr>
            <w:r w:rsidRPr="0010523F">
              <w:rPr>
                <w:lang w:val="es-AR" w:eastAsia="en-US"/>
              </w:rPr>
              <w:t>Obligaciones negociables - capital (Nota 7.2)</w:t>
            </w:r>
          </w:p>
        </w:tc>
        <w:tc>
          <w:tcPr>
            <w:tcW w:w="1560" w:type="dxa"/>
            <w:vAlign w:val="center"/>
          </w:tcPr>
          <w:p w14:paraId="5CB476FE" w14:textId="77777777" w:rsidR="0010523F" w:rsidRPr="0010523F" w:rsidRDefault="0010523F" w:rsidP="0010523F">
            <w:pPr>
              <w:tabs>
                <w:tab w:val="decimal" w:pos="1168"/>
              </w:tabs>
              <w:jc w:val="right"/>
              <w:rPr>
                <w:lang w:val="es-AR" w:eastAsia="en-US"/>
              </w:rPr>
            </w:pPr>
            <w:r w:rsidRPr="0010523F">
              <w:rPr>
                <w:lang w:val="es-AR" w:eastAsia="en-US"/>
              </w:rPr>
              <w:t>9.993</w:t>
            </w:r>
          </w:p>
        </w:tc>
        <w:tc>
          <w:tcPr>
            <w:tcW w:w="1660" w:type="dxa"/>
            <w:vAlign w:val="center"/>
          </w:tcPr>
          <w:p w14:paraId="1245DA9F" w14:textId="77777777" w:rsidR="0010523F" w:rsidRPr="0010523F" w:rsidRDefault="0010523F" w:rsidP="0010523F">
            <w:pPr>
              <w:tabs>
                <w:tab w:val="decimal" w:pos="1067"/>
              </w:tabs>
              <w:jc w:val="right"/>
              <w:rPr>
                <w:highlight w:val="yellow"/>
                <w:lang w:val="es-AR" w:eastAsia="en-US"/>
              </w:rPr>
            </w:pPr>
            <w:r w:rsidRPr="0010523F">
              <w:rPr>
                <w:lang w:val="es-AR" w:eastAsia="en-US"/>
              </w:rPr>
              <w:t>6.276</w:t>
            </w:r>
          </w:p>
        </w:tc>
      </w:tr>
      <w:tr w:rsidR="0010523F" w:rsidRPr="0010523F" w14:paraId="424EF19D" w14:textId="77777777" w:rsidTr="00774E7E">
        <w:trPr>
          <w:gridBefore w:val="1"/>
          <w:wBefore w:w="14" w:type="dxa"/>
        </w:trPr>
        <w:tc>
          <w:tcPr>
            <w:tcW w:w="6889" w:type="dxa"/>
          </w:tcPr>
          <w:p w14:paraId="77EF3FA2" w14:textId="77777777" w:rsidR="0010523F" w:rsidRPr="0010523F" w:rsidRDefault="0010523F" w:rsidP="0010523F">
            <w:pPr>
              <w:tabs>
                <w:tab w:val="left" w:pos="426"/>
                <w:tab w:val="left" w:pos="567"/>
                <w:tab w:val="decimal" w:pos="7513"/>
                <w:tab w:val="decimal" w:pos="9356"/>
              </w:tabs>
              <w:jc w:val="both"/>
              <w:rPr>
                <w:lang w:val="es-AR" w:eastAsia="en-US"/>
              </w:rPr>
            </w:pPr>
            <w:r w:rsidRPr="0010523F">
              <w:rPr>
                <w:lang w:val="es-AR" w:eastAsia="en-US"/>
              </w:rPr>
              <w:t xml:space="preserve">Intereses devengados </w:t>
            </w:r>
          </w:p>
        </w:tc>
        <w:tc>
          <w:tcPr>
            <w:tcW w:w="1560" w:type="dxa"/>
            <w:vAlign w:val="bottom"/>
          </w:tcPr>
          <w:p w14:paraId="30692E40" w14:textId="77777777" w:rsidR="0010523F" w:rsidRPr="0010523F" w:rsidRDefault="0010523F" w:rsidP="0010523F">
            <w:pPr>
              <w:tabs>
                <w:tab w:val="decimal" w:pos="1168"/>
              </w:tabs>
              <w:jc w:val="right"/>
              <w:rPr>
                <w:lang w:val="es-AR" w:eastAsia="en-US"/>
              </w:rPr>
            </w:pPr>
            <w:r w:rsidRPr="0010523F">
              <w:rPr>
                <w:lang w:val="es-AR" w:eastAsia="en-US"/>
              </w:rPr>
              <w:t>736</w:t>
            </w:r>
          </w:p>
        </w:tc>
        <w:tc>
          <w:tcPr>
            <w:tcW w:w="1660" w:type="dxa"/>
            <w:vAlign w:val="bottom"/>
          </w:tcPr>
          <w:p w14:paraId="4E202597" w14:textId="77777777" w:rsidR="0010523F" w:rsidRPr="0010523F" w:rsidRDefault="0010523F" w:rsidP="0010523F">
            <w:pPr>
              <w:tabs>
                <w:tab w:val="decimal" w:pos="1067"/>
              </w:tabs>
              <w:jc w:val="right"/>
              <w:rPr>
                <w:highlight w:val="yellow"/>
                <w:lang w:val="es-AR" w:eastAsia="en-US"/>
              </w:rPr>
            </w:pPr>
            <w:r w:rsidRPr="0010523F">
              <w:rPr>
                <w:lang w:val="es-AR" w:eastAsia="en-US"/>
              </w:rPr>
              <w:t>334</w:t>
            </w:r>
          </w:p>
        </w:tc>
      </w:tr>
      <w:tr w:rsidR="0010523F" w:rsidRPr="0010523F" w14:paraId="0E79CF2C" w14:textId="77777777" w:rsidTr="00774E7E">
        <w:trPr>
          <w:gridBefore w:val="1"/>
          <w:wBefore w:w="14" w:type="dxa"/>
        </w:trPr>
        <w:tc>
          <w:tcPr>
            <w:tcW w:w="6889" w:type="dxa"/>
          </w:tcPr>
          <w:p w14:paraId="6997F31E" w14:textId="77777777" w:rsidR="0010523F" w:rsidRPr="0010523F" w:rsidRDefault="0010523F" w:rsidP="0010523F">
            <w:pPr>
              <w:tabs>
                <w:tab w:val="left" w:pos="426"/>
                <w:tab w:val="left" w:pos="567"/>
                <w:tab w:val="decimal" w:pos="7513"/>
                <w:tab w:val="decimal" w:pos="9356"/>
              </w:tabs>
              <w:jc w:val="both"/>
              <w:rPr>
                <w:lang w:val="es-AR" w:eastAsia="en-US"/>
              </w:rPr>
            </w:pPr>
            <w:r w:rsidRPr="0010523F">
              <w:rPr>
                <w:lang w:val="es-AR" w:eastAsia="en-US"/>
              </w:rPr>
              <w:t>Costos de emisión asociados</w:t>
            </w:r>
          </w:p>
        </w:tc>
        <w:tc>
          <w:tcPr>
            <w:tcW w:w="1560" w:type="dxa"/>
            <w:vAlign w:val="bottom"/>
          </w:tcPr>
          <w:p w14:paraId="0556B2FF" w14:textId="77777777" w:rsidR="0010523F" w:rsidRPr="0010523F" w:rsidRDefault="0010523F" w:rsidP="0010523F">
            <w:pPr>
              <w:tabs>
                <w:tab w:val="decimal" w:pos="1168"/>
              </w:tabs>
              <w:jc w:val="right"/>
              <w:rPr>
                <w:lang w:val="es-AR" w:eastAsia="en-US"/>
              </w:rPr>
            </w:pPr>
            <w:r w:rsidRPr="0010523F">
              <w:rPr>
                <w:lang w:val="es-AR" w:eastAsia="en-US"/>
              </w:rPr>
              <w:t>(</w:t>
            </w:r>
            <w:r w:rsidRPr="0010523F">
              <w:rPr>
                <w:u w:val="single"/>
                <w:lang w:val="es-AR" w:eastAsia="en-US"/>
              </w:rPr>
              <w:t xml:space="preserve">      92</w:t>
            </w:r>
            <w:r w:rsidRPr="0010523F">
              <w:rPr>
                <w:lang w:val="es-AR" w:eastAsia="en-US"/>
              </w:rPr>
              <w:t>)</w:t>
            </w:r>
          </w:p>
        </w:tc>
        <w:tc>
          <w:tcPr>
            <w:tcW w:w="1660" w:type="dxa"/>
            <w:vAlign w:val="bottom"/>
          </w:tcPr>
          <w:p w14:paraId="6A1DA618" w14:textId="77777777" w:rsidR="0010523F" w:rsidRPr="0010523F" w:rsidRDefault="0010523F" w:rsidP="0010523F">
            <w:pPr>
              <w:tabs>
                <w:tab w:val="decimal" w:pos="1067"/>
              </w:tabs>
              <w:jc w:val="right"/>
              <w:rPr>
                <w:highlight w:val="yellow"/>
                <w:lang w:val="es-AR" w:eastAsia="en-US"/>
              </w:rPr>
            </w:pPr>
            <w:r w:rsidRPr="0010523F">
              <w:rPr>
                <w:lang w:val="es-AR" w:eastAsia="en-US"/>
              </w:rPr>
              <w:t>(</w:t>
            </w:r>
            <w:r w:rsidRPr="0010523F">
              <w:rPr>
                <w:u w:val="single"/>
                <w:lang w:val="es-AR" w:eastAsia="en-US"/>
              </w:rPr>
              <w:t xml:space="preserve">      22</w:t>
            </w:r>
            <w:r w:rsidRPr="0010523F">
              <w:rPr>
                <w:lang w:val="es-AR" w:eastAsia="en-US"/>
              </w:rPr>
              <w:t>)</w:t>
            </w:r>
          </w:p>
        </w:tc>
      </w:tr>
      <w:tr w:rsidR="0010523F" w:rsidRPr="0010523F" w14:paraId="3C181966" w14:textId="77777777" w:rsidTr="00774E7E">
        <w:trPr>
          <w:gridBefore w:val="1"/>
          <w:wBefore w:w="14" w:type="dxa"/>
        </w:trPr>
        <w:tc>
          <w:tcPr>
            <w:tcW w:w="6889" w:type="dxa"/>
          </w:tcPr>
          <w:p w14:paraId="720D8666" w14:textId="77777777" w:rsidR="0010523F" w:rsidRPr="0010523F" w:rsidRDefault="0010523F" w:rsidP="0010523F">
            <w:pPr>
              <w:tabs>
                <w:tab w:val="left" w:pos="426"/>
              </w:tabs>
              <w:spacing w:line="140" w:lineRule="exact"/>
              <w:ind w:left="562" w:hanging="562"/>
              <w:rPr>
                <w:lang w:val="es-AR" w:eastAsia="en-US"/>
              </w:rPr>
            </w:pPr>
            <w:r w:rsidRPr="0010523F">
              <w:rPr>
                <w:lang w:val="es-AR" w:eastAsia="en-US"/>
              </w:rPr>
              <w:tab/>
            </w:r>
          </w:p>
        </w:tc>
        <w:tc>
          <w:tcPr>
            <w:tcW w:w="1560" w:type="dxa"/>
          </w:tcPr>
          <w:p w14:paraId="0BE9F8D6" w14:textId="77777777" w:rsidR="0010523F" w:rsidRPr="0010523F" w:rsidRDefault="0010523F" w:rsidP="0010523F">
            <w:pPr>
              <w:tabs>
                <w:tab w:val="left" w:pos="426"/>
              </w:tabs>
              <w:spacing w:line="140" w:lineRule="exact"/>
              <w:ind w:left="562" w:hanging="562"/>
              <w:jc w:val="right"/>
              <w:rPr>
                <w:lang w:val="es-AR" w:eastAsia="en-US"/>
              </w:rPr>
            </w:pPr>
          </w:p>
        </w:tc>
        <w:tc>
          <w:tcPr>
            <w:tcW w:w="1660" w:type="dxa"/>
          </w:tcPr>
          <w:p w14:paraId="29FBCDEF" w14:textId="77777777" w:rsidR="0010523F" w:rsidRPr="0010523F" w:rsidRDefault="0010523F" w:rsidP="0010523F">
            <w:pPr>
              <w:tabs>
                <w:tab w:val="left" w:pos="426"/>
              </w:tabs>
              <w:spacing w:line="140" w:lineRule="exact"/>
              <w:ind w:left="562" w:hanging="562"/>
              <w:jc w:val="right"/>
              <w:rPr>
                <w:highlight w:val="yellow"/>
                <w:lang w:val="es-AR" w:eastAsia="en-US"/>
              </w:rPr>
            </w:pPr>
          </w:p>
        </w:tc>
      </w:tr>
      <w:tr w:rsidR="0010523F" w:rsidRPr="0010523F" w14:paraId="148F90F0" w14:textId="77777777" w:rsidTr="00774E7E">
        <w:trPr>
          <w:gridBefore w:val="1"/>
          <w:wBefore w:w="14" w:type="dxa"/>
        </w:trPr>
        <w:tc>
          <w:tcPr>
            <w:tcW w:w="6889" w:type="dxa"/>
            <w:vAlign w:val="center"/>
          </w:tcPr>
          <w:p w14:paraId="03933427" w14:textId="77777777" w:rsidR="0010523F" w:rsidRPr="0010523F" w:rsidRDefault="0010523F" w:rsidP="0010523F">
            <w:pPr>
              <w:tabs>
                <w:tab w:val="left" w:pos="426"/>
                <w:tab w:val="left" w:pos="567"/>
                <w:tab w:val="decimal" w:pos="7513"/>
                <w:tab w:val="decimal" w:pos="9356"/>
              </w:tabs>
              <w:jc w:val="both"/>
              <w:rPr>
                <w:lang w:val="es-AR" w:eastAsia="en-US"/>
              </w:rPr>
            </w:pPr>
            <w:r w:rsidRPr="0010523F">
              <w:rPr>
                <w:lang w:val="es-AR" w:eastAsia="en-US"/>
              </w:rPr>
              <w:t>Total obligaciones negociables corrientes</w:t>
            </w:r>
          </w:p>
        </w:tc>
        <w:tc>
          <w:tcPr>
            <w:tcW w:w="1560" w:type="dxa"/>
            <w:vAlign w:val="center"/>
          </w:tcPr>
          <w:p w14:paraId="41446454" w14:textId="77777777" w:rsidR="0010523F" w:rsidRPr="0010523F" w:rsidRDefault="0010523F" w:rsidP="0010523F">
            <w:pPr>
              <w:tabs>
                <w:tab w:val="decimal" w:pos="1168"/>
              </w:tabs>
              <w:jc w:val="right"/>
              <w:rPr>
                <w:lang w:val="es-AR" w:eastAsia="en-US"/>
              </w:rPr>
            </w:pPr>
            <w:r w:rsidRPr="0010523F">
              <w:rPr>
                <w:u w:val="double"/>
                <w:lang w:val="es-AR" w:eastAsia="en-US"/>
              </w:rPr>
              <w:t xml:space="preserve"> 10.637</w:t>
            </w:r>
          </w:p>
        </w:tc>
        <w:tc>
          <w:tcPr>
            <w:tcW w:w="1660" w:type="dxa"/>
            <w:vAlign w:val="center"/>
          </w:tcPr>
          <w:p w14:paraId="77C9D223" w14:textId="77777777" w:rsidR="0010523F" w:rsidRPr="0010523F" w:rsidRDefault="0010523F" w:rsidP="0010523F">
            <w:pPr>
              <w:tabs>
                <w:tab w:val="decimal" w:pos="1067"/>
              </w:tabs>
              <w:jc w:val="right"/>
              <w:rPr>
                <w:highlight w:val="yellow"/>
                <w:lang w:val="es-AR" w:eastAsia="en-US"/>
              </w:rPr>
            </w:pPr>
            <w:r w:rsidRPr="0010523F">
              <w:rPr>
                <w:u w:val="double"/>
                <w:lang w:val="es-AR" w:eastAsia="en-US"/>
              </w:rPr>
              <w:t xml:space="preserve">  6.588</w:t>
            </w:r>
          </w:p>
        </w:tc>
      </w:tr>
    </w:tbl>
    <w:p w14:paraId="62B8035A" w14:textId="77777777" w:rsidR="0010523F" w:rsidRPr="0010523F" w:rsidRDefault="0010523F" w:rsidP="00E2318E">
      <w:pPr>
        <w:keepNext/>
        <w:widowControl w:val="0"/>
        <w:numPr>
          <w:ilvl w:val="0"/>
          <w:numId w:val="75"/>
        </w:numPr>
        <w:tabs>
          <w:tab w:val="decimal" w:pos="4962"/>
          <w:tab w:val="decimal" w:pos="6379"/>
          <w:tab w:val="decimal" w:pos="7797"/>
          <w:tab w:val="decimal" w:pos="9214"/>
          <w:tab w:val="decimal" w:pos="10490"/>
          <w:tab w:val="decimal" w:pos="12049"/>
          <w:tab w:val="decimal" w:pos="13325"/>
          <w:tab w:val="decimal" w:pos="14601"/>
        </w:tabs>
        <w:spacing w:before="240" w:after="120" w:line="220" w:lineRule="exact"/>
        <w:ind w:left="425" w:right="11" w:hanging="357"/>
        <w:jc w:val="both"/>
        <w:outlineLvl w:val="3"/>
        <w:rPr>
          <w:szCs w:val="20"/>
          <w:lang w:val="es-AR" w:eastAsia="en-US"/>
        </w:rPr>
      </w:pPr>
      <w:r w:rsidRPr="0010523F">
        <w:rPr>
          <w:szCs w:val="20"/>
          <w:lang w:val="es-AR" w:eastAsia="en-US"/>
        </w:rPr>
        <w:t xml:space="preserve">Préstamos y otras deudas financieras no corrientes y corrientes </w:t>
      </w:r>
    </w:p>
    <w:tbl>
      <w:tblPr>
        <w:tblW w:w="10123" w:type="dxa"/>
        <w:tblInd w:w="-14" w:type="dxa"/>
        <w:tblLayout w:type="fixed"/>
        <w:tblLook w:val="0000" w:firstRow="0" w:lastRow="0" w:firstColumn="0" w:lastColumn="0" w:noHBand="0" w:noVBand="0"/>
      </w:tblPr>
      <w:tblGrid>
        <w:gridCol w:w="14"/>
        <w:gridCol w:w="6889"/>
        <w:gridCol w:w="1560"/>
        <w:gridCol w:w="1660"/>
      </w:tblGrid>
      <w:tr w:rsidR="0010523F" w:rsidRPr="0010523F" w14:paraId="5983F04A" w14:textId="77777777" w:rsidTr="00774E7E">
        <w:trPr>
          <w:gridBefore w:val="1"/>
          <w:wBefore w:w="14" w:type="dxa"/>
        </w:trPr>
        <w:tc>
          <w:tcPr>
            <w:tcW w:w="6889" w:type="dxa"/>
          </w:tcPr>
          <w:p w14:paraId="48658E6D" w14:textId="77777777" w:rsidR="0010523F" w:rsidRPr="0010523F" w:rsidRDefault="0010523F" w:rsidP="0010523F">
            <w:pPr>
              <w:tabs>
                <w:tab w:val="decimal" w:pos="7513"/>
                <w:tab w:val="decimal" w:pos="9356"/>
              </w:tabs>
              <w:jc w:val="both"/>
              <w:rPr>
                <w:lang w:val="es-AR" w:eastAsia="en-US"/>
              </w:rPr>
            </w:pPr>
            <w:r w:rsidRPr="0010523F">
              <w:rPr>
                <w:u w:val="single"/>
                <w:lang w:val="es-AR" w:eastAsia="en-US"/>
              </w:rPr>
              <w:t>No corrientes</w:t>
            </w:r>
          </w:p>
        </w:tc>
        <w:tc>
          <w:tcPr>
            <w:tcW w:w="1560" w:type="dxa"/>
            <w:vAlign w:val="bottom"/>
          </w:tcPr>
          <w:p w14:paraId="7B15D9AA" w14:textId="77777777" w:rsidR="0010523F" w:rsidRPr="0010523F" w:rsidRDefault="0010523F" w:rsidP="0010523F">
            <w:pPr>
              <w:tabs>
                <w:tab w:val="decimal" w:pos="1168"/>
              </w:tabs>
              <w:jc w:val="right"/>
              <w:rPr>
                <w:highlight w:val="yellow"/>
                <w:lang w:val="es-AR" w:eastAsia="en-US"/>
              </w:rPr>
            </w:pPr>
          </w:p>
        </w:tc>
        <w:tc>
          <w:tcPr>
            <w:tcW w:w="1660" w:type="dxa"/>
            <w:vAlign w:val="bottom"/>
          </w:tcPr>
          <w:p w14:paraId="104C4872" w14:textId="77777777" w:rsidR="0010523F" w:rsidRPr="0010523F" w:rsidRDefault="0010523F" w:rsidP="0010523F">
            <w:pPr>
              <w:tabs>
                <w:tab w:val="decimal" w:pos="1067"/>
              </w:tabs>
              <w:jc w:val="right"/>
              <w:rPr>
                <w:lang w:val="es-AR" w:eastAsia="en-US"/>
              </w:rPr>
            </w:pPr>
          </w:p>
        </w:tc>
      </w:tr>
      <w:tr w:rsidR="0010523F" w:rsidRPr="0010523F" w14:paraId="0470F9E4" w14:textId="77777777" w:rsidTr="00774E7E">
        <w:trPr>
          <w:gridBefore w:val="1"/>
          <w:wBefore w:w="14" w:type="dxa"/>
        </w:trPr>
        <w:tc>
          <w:tcPr>
            <w:tcW w:w="6889" w:type="dxa"/>
          </w:tcPr>
          <w:p w14:paraId="35A62D89" w14:textId="77777777" w:rsidR="0010523F" w:rsidRPr="0010523F" w:rsidRDefault="0010523F" w:rsidP="0010523F">
            <w:pPr>
              <w:tabs>
                <w:tab w:val="left" w:pos="426"/>
              </w:tabs>
              <w:spacing w:line="140" w:lineRule="exact"/>
              <w:ind w:left="562" w:hanging="562"/>
              <w:rPr>
                <w:lang w:val="es-AR" w:eastAsia="en-US"/>
              </w:rPr>
            </w:pPr>
          </w:p>
        </w:tc>
        <w:tc>
          <w:tcPr>
            <w:tcW w:w="1560" w:type="dxa"/>
            <w:vAlign w:val="bottom"/>
          </w:tcPr>
          <w:p w14:paraId="432DB4C4" w14:textId="77777777" w:rsidR="0010523F" w:rsidRPr="0010523F" w:rsidRDefault="0010523F" w:rsidP="0010523F">
            <w:pPr>
              <w:tabs>
                <w:tab w:val="left" w:pos="426"/>
              </w:tabs>
              <w:spacing w:line="140" w:lineRule="exact"/>
              <w:ind w:left="562" w:hanging="562"/>
              <w:jc w:val="right"/>
              <w:rPr>
                <w:highlight w:val="yellow"/>
                <w:lang w:val="es-AR" w:eastAsia="en-US"/>
              </w:rPr>
            </w:pPr>
          </w:p>
        </w:tc>
        <w:tc>
          <w:tcPr>
            <w:tcW w:w="1660" w:type="dxa"/>
            <w:vAlign w:val="bottom"/>
          </w:tcPr>
          <w:p w14:paraId="4B7C8E6E" w14:textId="77777777" w:rsidR="0010523F" w:rsidRPr="0010523F" w:rsidRDefault="0010523F" w:rsidP="0010523F">
            <w:pPr>
              <w:tabs>
                <w:tab w:val="left" w:pos="426"/>
              </w:tabs>
              <w:spacing w:line="140" w:lineRule="exact"/>
              <w:ind w:left="562" w:hanging="562"/>
              <w:jc w:val="right"/>
              <w:rPr>
                <w:lang w:val="es-AR" w:eastAsia="en-US"/>
              </w:rPr>
            </w:pPr>
          </w:p>
        </w:tc>
      </w:tr>
      <w:tr w:rsidR="0010523F" w:rsidRPr="0010523F" w14:paraId="25A5554E" w14:textId="77777777" w:rsidTr="00774E7E">
        <w:trPr>
          <w:gridBefore w:val="1"/>
          <w:wBefore w:w="14" w:type="dxa"/>
        </w:trPr>
        <w:tc>
          <w:tcPr>
            <w:tcW w:w="6889" w:type="dxa"/>
          </w:tcPr>
          <w:p w14:paraId="7D2F50D4" w14:textId="77777777" w:rsidR="0010523F" w:rsidRPr="0010523F" w:rsidRDefault="0010523F" w:rsidP="0010523F">
            <w:pPr>
              <w:tabs>
                <w:tab w:val="left" w:pos="426"/>
                <w:tab w:val="left" w:pos="567"/>
                <w:tab w:val="decimal" w:pos="7513"/>
                <w:tab w:val="decimal" w:pos="9356"/>
              </w:tabs>
              <w:jc w:val="both"/>
              <w:rPr>
                <w:lang w:val="es-AR" w:eastAsia="en-US"/>
              </w:rPr>
            </w:pPr>
            <w:r w:rsidRPr="0010523F">
              <w:rPr>
                <w:lang w:val="es-AR" w:eastAsia="en-US"/>
              </w:rPr>
              <w:t>Obligaciones a pagar sin garantía real (Nota 7.1)</w:t>
            </w:r>
          </w:p>
        </w:tc>
        <w:tc>
          <w:tcPr>
            <w:tcW w:w="1560" w:type="dxa"/>
            <w:vAlign w:val="bottom"/>
          </w:tcPr>
          <w:p w14:paraId="1B3CCD47" w14:textId="77777777" w:rsidR="0010523F" w:rsidRPr="0010523F" w:rsidRDefault="0010523F" w:rsidP="0010523F">
            <w:pPr>
              <w:tabs>
                <w:tab w:val="decimal" w:pos="1168"/>
              </w:tabs>
              <w:jc w:val="right"/>
              <w:rPr>
                <w:lang w:val="es-AR" w:eastAsia="en-US"/>
              </w:rPr>
            </w:pPr>
            <w:r w:rsidRPr="0010523F">
              <w:rPr>
                <w:lang w:val="es-AR" w:eastAsia="en-US"/>
              </w:rPr>
              <w:t>56.469</w:t>
            </w:r>
          </w:p>
        </w:tc>
        <w:tc>
          <w:tcPr>
            <w:tcW w:w="1660" w:type="dxa"/>
            <w:vAlign w:val="bottom"/>
          </w:tcPr>
          <w:p w14:paraId="069BE4CE" w14:textId="77777777" w:rsidR="0010523F" w:rsidRPr="0010523F" w:rsidRDefault="0010523F" w:rsidP="0010523F">
            <w:pPr>
              <w:tabs>
                <w:tab w:val="decimal" w:pos="1067"/>
              </w:tabs>
              <w:jc w:val="right"/>
              <w:rPr>
                <w:highlight w:val="yellow"/>
                <w:lang w:val="es-AR" w:eastAsia="en-US"/>
              </w:rPr>
            </w:pPr>
            <w:r w:rsidRPr="0010523F">
              <w:rPr>
                <w:lang w:val="es-AR" w:eastAsia="en-US"/>
              </w:rPr>
              <w:t>41.520</w:t>
            </w:r>
          </w:p>
        </w:tc>
      </w:tr>
      <w:tr w:rsidR="0010523F" w:rsidRPr="0010523F" w14:paraId="79E80D3F" w14:textId="77777777" w:rsidTr="00774E7E">
        <w:trPr>
          <w:gridBefore w:val="1"/>
          <w:wBefore w:w="14" w:type="dxa"/>
        </w:trPr>
        <w:tc>
          <w:tcPr>
            <w:tcW w:w="6889" w:type="dxa"/>
          </w:tcPr>
          <w:p w14:paraId="52C65A17" w14:textId="77777777" w:rsidR="0010523F" w:rsidRPr="0010523F" w:rsidRDefault="0010523F" w:rsidP="0010523F">
            <w:pPr>
              <w:tabs>
                <w:tab w:val="left" w:pos="426"/>
                <w:tab w:val="left" w:pos="567"/>
                <w:tab w:val="decimal" w:pos="7513"/>
                <w:tab w:val="decimal" w:pos="9356"/>
              </w:tabs>
              <w:jc w:val="both"/>
              <w:rPr>
                <w:lang w:val="es-AR" w:eastAsia="en-US"/>
              </w:rPr>
            </w:pPr>
            <w:r w:rsidRPr="0010523F">
              <w:rPr>
                <w:lang w:val="es-AR" w:eastAsia="en-US"/>
              </w:rPr>
              <w:t>Costos de emisión asociados</w:t>
            </w:r>
          </w:p>
        </w:tc>
        <w:tc>
          <w:tcPr>
            <w:tcW w:w="1560" w:type="dxa"/>
            <w:vAlign w:val="bottom"/>
          </w:tcPr>
          <w:p w14:paraId="1E7B0C82" w14:textId="77777777" w:rsidR="0010523F" w:rsidRPr="0010523F" w:rsidRDefault="0010523F" w:rsidP="0010523F">
            <w:pPr>
              <w:tabs>
                <w:tab w:val="decimal" w:pos="1168"/>
              </w:tabs>
              <w:jc w:val="right"/>
              <w:rPr>
                <w:lang w:val="es-AR" w:eastAsia="en-US"/>
              </w:rPr>
            </w:pPr>
            <w:r w:rsidRPr="0010523F">
              <w:rPr>
                <w:lang w:val="es-AR" w:eastAsia="en-US"/>
              </w:rPr>
              <w:t>( 1.270)</w:t>
            </w:r>
          </w:p>
        </w:tc>
        <w:tc>
          <w:tcPr>
            <w:tcW w:w="1660" w:type="dxa"/>
            <w:vAlign w:val="bottom"/>
          </w:tcPr>
          <w:p w14:paraId="719B9D22" w14:textId="77777777" w:rsidR="0010523F" w:rsidRPr="0010523F" w:rsidRDefault="0010523F" w:rsidP="0010523F">
            <w:pPr>
              <w:tabs>
                <w:tab w:val="decimal" w:pos="1067"/>
              </w:tabs>
              <w:jc w:val="right"/>
              <w:rPr>
                <w:highlight w:val="yellow"/>
                <w:lang w:val="es-AR" w:eastAsia="en-US"/>
              </w:rPr>
            </w:pPr>
            <w:r w:rsidRPr="0010523F">
              <w:rPr>
                <w:lang w:val="es-AR" w:eastAsia="en-US"/>
              </w:rPr>
              <w:t>(    437)</w:t>
            </w:r>
          </w:p>
        </w:tc>
      </w:tr>
      <w:tr w:rsidR="0010523F" w:rsidRPr="0010523F" w14:paraId="3F1A4286" w14:textId="77777777" w:rsidTr="00774E7E">
        <w:trPr>
          <w:gridBefore w:val="1"/>
          <w:wBefore w:w="14" w:type="dxa"/>
        </w:trPr>
        <w:tc>
          <w:tcPr>
            <w:tcW w:w="6889" w:type="dxa"/>
          </w:tcPr>
          <w:p w14:paraId="5651194E" w14:textId="77777777" w:rsidR="0010523F" w:rsidRPr="0010523F" w:rsidRDefault="0010523F" w:rsidP="0010523F">
            <w:pPr>
              <w:tabs>
                <w:tab w:val="left" w:pos="426"/>
                <w:tab w:val="left" w:pos="567"/>
                <w:tab w:val="decimal" w:pos="7513"/>
                <w:tab w:val="decimal" w:pos="9356"/>
              </w:tabs>
              <w:jc w:val="both"/>
              <w:rPr>
                <w:lang w:val="es-AR" w:eastAsia="en-US"/>
              </w:rPr>
            </w:pPr>
            <w:r w:rsidRPr="0010523F">
              <w:rPr>
                <w:lang w:val="es-AR" w:eastAsia="en-US"/>
              </w:rPr>
              <w:t>Deudas financieras por derecho a uso de activos (Nota 2.4)</w:t>
            </w:r>
          </w:p>
        </w:tc>
        <w:tc>
          <w:tcPr>
            <w:tcW w:w="1560" w:type="dxa"/>
            <w:vAlign w:val="bottom"/>
          </w:tcPr>
          <w:p w14:paraId="0044A313" w14:textId="77777777" w:rsidR="0010523F" w:rsidRPr="0010523F" w:rsidRDefault="0010523F" w:rsidP="0010523F">
            <w:pPr>
              <w:tabs>
                <w:tab w:val="decimal" w:pos="1168"/>
              </w:tabs>
              <w:jc w:val="right"/>
              <w:rPr>
                <w:u w:val="single"/>
                <w:lang w:val="es-AR" w:eastAsia="en-US"/>
              </w:rPr>
            </w:pPr>
            <w:r w:rsidRPr="0010523F">
              <w:rPr>
                <w:u w:val="single"/>
                <w:lang w:val="es-AR" w:eastAsia="en-US"/>
              </w:rPr>
              <w:t xml:space="preserve">  4.236</w:t>
            </w:r>
          </w:p>
        </w:tc>
        <w:tc>
          <w:tcPr>
            <w:tcW w:w="1660" w:type="dxa"/>
            <w:vAlign w:val="bottom"/>
          </w:tcPr>
          <w:p w14:paraId="6430CC4B" w14:textId="77777777" w:rsidR="0010523F" w:rsidRPr="0010523F" w:rsidRDefault="0010523F" w:rsidP="0010523F">
            <w:pPr>
              <w:tabs>
                <w:tab w:val="decimal" w:pos="1067"/>
              </w:tabs>
              <w:jc w:val="right"/>
              <w:rPr>
                <w:highlight w:val="yellow"/>
                <w:u w:val="single"/>
                <w:lang w:val="es-AR" w:eastAsia="en-US"/>
              </w:rPr>
            </w:pPr>
            <w:r w:rsidRPr="0010523F">
              <w:rPr>
                <w:u w:val="single"/>
                <w:lang w:val="es-AR" w:eastAsia="en-US"/>
              </w:rPr>
              <w:t xml:space="preserve">    934</w:t>
            </w:r>
          </w:p>
        </w:tc>
      </w:tr>
      <w:tr w:rsidR="0010523F" w:rsidRPr="0010523F" w14:paraId="7BB23278" w14:textId="77777777" w:rsidTr="00774E7E">
        <w:trPr>
          <w:gridBefore w:val="1"/>
          <w:wBefore w:w="14" w:type="dxa"/>
        </w:trPr>
        <w:tc>
          <w:tcPr>
            <w:tcW w:w="6889" w:type="dxa"/>
          </w:tcPr>
          <w:p w14:paraId="6D76D868" w14:textId="77777777" w:rsidR="0010523F" w:rsidRPr="0010523F" w:rsidRDefault="0010523F" w:rsidP="0010523F">
            <w:pPr>
              <w:tabs>
                <w:tab w:val="left" w:pos="426"/>
              </w:tabs>
              <w:spacing w:line="140" w:lineRule="exact"/>
              <w:ind w:left="562" w:hanging="562"/>
              <w:rPr>
                <w:lang w:val="es-AR" w:eastAsia="en-US"/>
              </w:rPr>
            </w:pPr>
            <w:r w:rsidRPr="0010523F">
              <w:rPr>
                <w:lang w:val="es-AR" w:eastAsia="en-US"/>
              </w:rPr>
              <w:tab/>
            </w:r>
          </w:p>
        </w:tc>
        <w:tc>
          <w:tcPr>
            <w:tcW w:w="1560" w:type="dxa"/>
          </w:tcPr>
          <w:p w14:paraId="035903CC" w14:textId="77777777" w:rsidR="0010523F" w:rsidRPr="0010523F" w:rsidRDefault="0010523F" w:rsidP="0010523F">
            <w:pPr>
              <w:tabs>
                <w:tab w:val="left" w:pos="426"/>
              </w:tabs>
              <w:spacing w:line="140" w:lineRule="exact"/>
              <w:ind w:left="562" w:hanging="562"/>
              <w:jc w:val="right"/>
              <w:rPr>
                <w:lang w:val="es-AR" w:eastAsia="en-US"/>
              </w:rPr>
            </w:pPr>
          </w:p>
        </w:tc>
        <w:tc>
          <w:tcPr>
            <w:tcW w:w="1660" w:type="dxa"/>
          </w:tcPr>
          <w:p w14:paraId="08F35FE3" w14:textId="77777777" w:rsidR="0010523F" w:rsidRPr="0010523F" w:rsidRDefault="0010523F" w:rsidP="0010523F">
            <w:pPr>
              <w:tabs>
                <w:tab w:val="left" w:pos="426"/>
              </w:tabs>
              <w:spacing w:line="140" w:lineRule="exact"/>
              <w:ind w:left="562" w:hanging="562"/>
              <w:jc w:val="right"/>
              <w:rPr>
                <w:highlight w:val="yellow"/>
                <w:lang w:val="es-AR" w:eastAsia="en-US"/>
              </w:rPr>
            </w:pPr>
          </w:p>
        </w:tc>
      </w:tr>
      <w:tr w:rsidR="0010523F" w:rsidRPr="0010523F" w14:paraId="42779D84" w14:textId="77777777" w:rsidTr="00774E7E">
        <w:trPr>
          <w:gridBefore w:val="1"/>
          <w:wBefore w:w="14" w:type="dxa"/>
        </w:trPr>
        <w:tc>
          <w:tcPr>
            <w:tcW w:w="6889" w:type="dxa"/>
          </w:tcPr>
          <w:p w14:paraId="7E472FD5" w14:textId="77777777" w:rsidR="0010523F" w:rsidRPr="0010523F" w:rsidRDefault="0010523F" w:rsidP="0010523F">
            <w:pPr>
              <w:jc w:val="both"/>
              <w:rPr>
                <w:lang w:val="es-AR" w:eastAsia="en-US"/>
              </w:rPr>
            </w:pPr>
            <w:r w:rsidRPr="0010523F">
              <w:rPr>
                <w:lang w:val="es-AR" w:eastAsia="en-US"/>
              </w:rPr>
              <w:t>Total préstamos y otras deudas financieras no corrientes</w:t>
            </w:r>
          </w:p>
        </w:tc>
        <w:tc>
          <w:tcPr>
            <w:tcW w:w="1560" w:type="dxa"/>
          </w:tcPr>
          <w:p w14:paraId="0C030388" w14:textId="77777777" w:rsidR="0010523F" w:rsidRPr="0010523F" w:rsidRDefault="0010523F" w:rsidP="0010523F">
            <w:pPr>
              <w:tabs>
                <w:tab w:val="decimal" w:pos="1168"/>
              </w:tabs>
              <w:jc w:val="right"/>
              <w:rPr>
                <w:u w:val="double"/>
                <w:lang w:val="es-AR" w:eastAsia="en-US"/>
              </w:rPr>
            </w:pPr>
            <w:r w:rsidRPr="0010523F">
              <w:rPr>
                <w:u w:val="double"/>
                <w:lang w:val="es-AR" w:eastAsia="en-US"/>
              </w:rPr>
              <w:t>59.435</w:t>
            </w:r>
          </w:p>
        </w:tc>
        <w:tc>
          <w:tcPr>
            <w:tcW w:w="1660" w:type="dxa"/>
          </w:tcPr>
          <w:p w14:paraId="6AAB2356" w14:textId="77777777" w:rsidR="0010523F" w:rsidRPr="0010523F" w:rsidRDefault="0010523F" w:rsidP="0010523F">
            <w:pPr>
              <w:tabs>
                <w:tab w:val="decimal" w:pos="1067"/>
              </w:tabs>
              <w:jc w:val="right"/>
              <w:rPr>
                <w:highlight w:val="yellow"/>
                <w:u w:val="double"/>
                <w:lang w:val="es-AR" w:eastAsia="en-US"/>
              </w:rPr>
            </w:pPr>
            <w:r w:rsidRPr="0010523F">
              <w:rPr>
                <w:u w:val="double"/>
                <w:lang w:val="es-AR" w:eastAsia="en-US"/>
              </w:rPr>
              <w:t>42.017</w:t>
            </w:r>
          </w:p>
        </w:tc>
      </w:tr>
      <w:tr w:rsidR="0010523F" w:rsidRPr="0010523F" w14:paraId="4A1FD8E6" w14:textId="77777777" w:rsidTr="00774E7E">
        <w:tc>
          <w:tcPr>
            <w:tcW w:w="6903" w:type="dxa"/>
            <w:gridSpan w:val="2"/>
          </w:tcPr>
          <w:p w14:paraId="01E2B3CA" w14:textId="77777777" w:rsidR="0010523F" w:rsidRPr="0010523F" w:rsidRDefault="0010523F" w:rsidP="0010523F">
            <w:pPr>
              <w:tabs>
                <w:tab w:val="left" w:pos="426"/>
              </w:tabs>
              <w:spacing w:line="140" w:lineRule="exact"/>
              <w:ind w:left="562" w:hanging="562"/>
              <w:rPr>
                <w:lang w:val="es-AR" w:eastAsia="en-US"/>
              </w:rPr>
            </w:pPr>
            <w:r w:rsidRPr="0010523F">
              <w:rPr>
                <w:lang w:val="es-AR" w:eastAsia="en-US"/>
              </w:rPr>
              <w:tab/>
            </w:r>
          </w:p>
        </w:tc>
        <w:tc>
          <w:tcPr>
            <w:tcW w:w="1560" w:type="dxa"/>
          </w:tcPr>
          <w:p w14:paraId="7117EFE5"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3E5B2825" w14:textId="77777777" w:rsidR="0010523F" w:rsidRPr="0010523F" w:rsidRDefault="0010523F" w:rsidP="0010523F">
            <w:pPr>
              <w:tabs>
                <w:tab w:val="left" w:pos="426"/>
              </w:tabs>
              <w:spacing w:line="140" w:lineRule="exact"/>
              <w:ind w:left="562" w:hanging="562"/>
              <w:rPr>
                <w:highlight w:val="yellow"/>
                <w:lang w:val="es-AR" w:eastAsia="en-US"/>
              </w:rPr>
            </w:pPr>
          </w:p>
        </w:tc>
      </w:tr>
      <w:tr w:rsidR="0010523F" w:rsidRPr="0010523F" w14:paraId="7EF82A1C" w14:textId="77777777" w:rsidTr="00774E7E">
        <w:tc>
          <w:tcPr>
            <w:tcW w:w="6903" w:type="dxa"/>
            <w:gridSpan w:val="2"/>
          </w:tcPr>
          <w:p w14:paraId="42D0D801" w14:textId="77777777" w:rsidR="0010523F" w:rsidRPr="0010523F" w:rsidRDefault="0010523F" w:rsidP="0010523F">
            <w:pPr>
              <w:rPr>
                <w:u w:val="single"/>
                <w:lang w:val="es-AR" w:eastAsia="en-US"/>
              </w:rPr>
            </w:pPr>
            <w:r w:rsidRPr="0010523F">
              <w:rPr>
                <w:u w:val="single"/>
                <w:lang w:val="es-AR" w:eastAsia="en-US"/>
              </w:rPr>
              <w:t>Corrientes</w:t>
            </w:r>
          </w:p>
        </w:tc>
        <w:tc>
          <w:tcPr>
            <w:tcW w:w="1560" w:type="dxa"/>
          </w:tcPr>
          <w:p w14:paraId="60FB8025" w14:textId="77777777" w:rsidR="0010523F" w:rsidRPr="0010523F" w:rsidRDefault="0010523F" w:rsidP="0010523F">
            <w:pPr>
              <w:tabs>
                <w:tab w:val="left" w:pos="426"/>
              </w:tabs>
              <w:ind w:left="562" w:hanging="562"/>
              <w:rPr>
                <w:lang w:val="es-AR" w:eastAsia="en-US"/>
              </w:rPr>
            </w:pPr>
          </w:p>
        </w:tc>
        <w:tc>
          <w:tcPr>
            <w:tcW w:w="1660" w:type="dxa"/>
          </w:tcPr>
          <w:p w14:paraId="2B6FE6DB" w14:textId="77777777" w:rsidR="0010523F" w:rsidRPr="0010523F" w:rsidRDefault="0010523F" w:rsidP="0010523F">
            <w:pPr>
              <w:tabs>
                <w:tab w:val="left" w:pos="426"/>
              </w:tabs>
              <w:ind w:left="562" w:hanging="562"/>
              <w:rPr>
                <w:lang w:val="es-AR" w:eastAsia="en-US"/>
              </w:rPr>
            </w:pPr>
          </w:p>
        </w:tc>
      </w:tr>
      <w:tr w:rsidR="0010523F" w:rsidRPr="0010523F" w14:paraId="2C34697B" w14:textId="77777777" w:rsidTr="00774E7E">
        <w:trPr>
          <w:trHeight w:val="170"/>
        </w:trPr>
        <w:tc>
          <w:tcPr>
            <w:tcW w:w="6903" w:type="dxa"/>
            <w:gridSpan w:val="2"/>
          </w:tcPr>
          <w:p w14:paraId="11746A1D" w14:textId="77777777" w:rsidR="0010523F" w:rsidRPr="0010523F" w:rsidRDefault="0010523F" w:rsidP="0010523F">
            <w:pPr>
              <w:tabs>
                <w:tab w:val="left" w:pos="426"/>
              </w:tabs>
              <w:spacing w:line="140" w:lineRule="exact"/>
              <w:ind w:left="562" w:hanging="562"/>
              <w:rPr>
                <w:lang w:val="es-AR" w:eastAsia="en-US"/>
              </w:rPr>
            </w:pPr>
            <w:r w:rsidRPr="0010523F">
              <w:rPr>
                <w:lang w:val="es-AR" w:eastAsia="en-US"/>
              </w:rPr>
              <w:tab/>
            </w:r>
          </w:p>
        </w:tc>
        <w:tc>
          <w:tcPr>
            <w:tcW w:w="1560" w:type="dxa"/>
          </w:tcPr>
          <w:p w14:paraId="3A178A6A"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3425E0F8" w14:textId="77777777" w:rsidR="0010523F" w:rsidRPr="0010523F" w:rsidRDefault="0010523F" w:rsidP="0010523F">
            <w:pPr>
              <w:tabs>
                <w:tab w:val="left" w:pos="426"/>
              </w:tabs>
              <w:spacing w:line="140" w:lineRule="exact"/>
              <w:ind w:left="562" w:hanging="562"/>
              <w:rPr>
                <w:lang w:val="es-AR" w:eastAsia="en-US"/>
              </w:rPr>
            </w:pPr>
          </w:p>
        </w:tc>
      </w:tr>
      <w:tr w:rsidR="0010523F" w:rsidRPr="0010523F" w14:paraId="13302F00" w14:textId="77777777" w:rsidTr="00774E7E">
        <w:trPr>
          <w:trHeight w:val="283"/>
        </w:trPr>
        <w:tc>
          <w:tcPr>
            <w:tcW w:w="6903" w:type="dxa"/>
            <w:gridSpan w:val="2"/>
            <w:vAlign w:val="bottom"/>
          </w:tcPr>
          <w:p w14:paraId="71BF4FEC" w14:textId="77777777" w:rsidR="0010523F" w:rsidRPr="0010523F" w:rsidRDefault="0010523F" w:rsidP="0010523F">
            <w:pPr>
              <w:tabs>
                <w:tab w:val="left" w:pos="426"/>
              </w:tabs>
              <w:rPr>
                <w:lang w:val="es-AR" w:eastAsia="en-US"/>
              </w:rPr>
            </w:pPr>
            <w:r w:rsidRPr="0010523F">
              <w:rPr>
                <w:lang w:val="es-AR" w:eastAsia="en-US"/>
              </w:rPr>
              <w:t>Obligaciones a pagar sin garantía real (Nota 7.1)</w:t>
            </w:r>
          </w:p>
        </w:tc>
        <w:tc>
          <w:tcPr>
            <w:tcW w:w="1560" w:type="dxa"/>
            <w:vAlign w:val="bottom"/>
          </w:tcPr>
          <w:p w14:paraId="536A126F" w14:textId="77777777" w:rsidR="0010523F" w:rsidRPr="0010523F" w:rsidRDefault="0010523F" w:rsidP="0010523F">
            <w:pPr>
              <w:tabs>
                <w:tab w:val="left" w:pos="426"/>
              </w:tabs>
              <w:ind w:left="561" w:hanging="561"/>
              <w:jc w:val="right"/>
              <w:rPr>
                <w:lang w:val="es-AR" w:eastAsia="en-US"/>
              </w:rPr>
            </w:pPr>
            <w:r w:rsidRPr="0010523F">
              <w:rPr>
                <w:lang w:val="es-AR" w:eastAsia="en-US"/>
              </w:rPr>
              <w:t>44.106</w:t>
            </w:r>
          </w:p>
        </w:tc>
        <w:tc>
          <w:tcPr>
            <w:tcW w:w="1660" w:type="dxa"/>
            <w:vAlign w:val="bottom"/>
          </w:tcPr>
          <w:p w14:paraId="27521659" w14:textId="77777777" w:rsidR="0010523F" w:rsidRPr="0010523F" w:rsidRDefault="0010523F" w:rsidP="0010523F">
            <w:pPr>
              <w:tabs>
                <w:tab w:val="left" w:pos="426"/>
              </w:tabs>
              <w:ind w:left="561" w:hanging="561"/>
              <w:jc w:val="right"/>
              <w:rPr>
                <w:highlight w:val="yellow"/>
                <w:lang w:val="es-AR" w:eastAsia="en-US"/>
              </w:rPr>
            </w:pPr>
            <w:r w:rsidRPr="0010523F">
              <w:rPr>
                <w:lang w:val="es-AR" w:eastAsia="en-US"/>
              </w:rPr>
              <w:t>25.463</w:t>
            </w:r>
          </w:p>
        </w:tc>
      </w:tr>
      <w:tr w:rsidR="0010523F" w:rsidRPr="0010523F" w14:paraId="71A6F5AD" w14:textId="77777777" w:rsidTr="00774E7E">
        <w:trPr>
          <w:trHeight w:val="283"/>
        </w:trPr>
        <w:tc>
          <w:tcPr>
            <w:tcW w:w="6903" w:type="dxa"/>
            <w:gridSpan w:val="2"/>
            <w:vAlign w:val="bottom"/>
          </w:tcPr>
          <w:p w14:paraId="3A87BE3C" w14:textId="77777777" w:rsidR="0010523F" w:rsidRPr="0010523F" w:rsidRDefault="0010523F" w:rsidP="0010523F">
            <w:pPr>
              <w:tabs>
                <w:tab w:val="left" w:pos="426"/>
              </w:tabs>
              <w:rPr>
                <w:lang w:val="es-AR" w:eastAsia="en-US"/>
              </w:rPr>
            </w:pPr>
            <w:r w:rsidRPr="0010523F">
              <w:rPr>
                <w:lang w:val="es-AR" w:eastAsia="en-US"/>
              </w:rPr>
              <w:t>Saldos con partes relacionadas (Nota 8) (1)</w:t>
            </w:r>
          </w:p>
        </w:tc>
        <w:tc>
          <w:tcPr>
            <w:tcW w:w="1560" w:type="dxa"/>
            <w:vAlign w:val="bottom"/>
          </w:tcPr>
          <w:p w14:paraId="0499D639" w14:textId="77777777" w:rsidR="0010523F" w:rsidRPr="0010523F" w:rsidRDefault="0010523F" w:rsidP="0010523F">
            <w:pPr>
              <w:tabs>
                <w:tab w:val="left" w:pos="426"/>
              </w:tabs>
              <w:ind w:left="561" w:hanging="561"/>
              <w:jc w:val="right"/>
              <w:rPr>
                <w:lang w:val="es-AR" w:eastAsia="en-US"/>
              </w:rPr>
            </w:pPr>
            <w:r w:rsidRPr="0010523F">
              <w:rPr>
                <w:lang w:val="es-AR" w:eastAsia="en-US"/>
              </w:rPr>
              <w:t>878</w:t>
            </w:r>
          </w:p>
        </w:tc>
        <w:tc>
          <w:tcPr>
            <w:tcW w:w="1660" w:type="dxa"/>
            <w:vAlign w:val="bottom"/>
          </w:tcPr>
          <w:p w14:paraId="1CBBF4B1" w14:textId="77777777" w:rsidR="0010523F" w:rsidRPr="0010523F" w:rsidRDefault="0010523F" w:rsidP="0010523F">
            <w:pPr>
              <w:tabs>
                <w:tab w:val="left" w:pos="426"/>
              </w:tabs>
              <w:ind w:left="561" w:hanging="561"/>
              <w:jc w:val="right"/>
              <w:rPr>
                <w:highlight w:val="yellow"/>
                <w:lang w:val="es-AR" w:eastAsia="en-US"/>
              </w:rPr>
            </w:pPr>
            <w:r w:rsidRPr="0010523F">
              <w:rPr>
                <w:lang w:val="es-AR" w:eastAsia="en-US"/>
              </w:rPr>
              <w:t>211</w:t>
            </w:r>
          </w:p>
        </w:tc>
      </w:tr>
      <w:tr w:rsidR="0010523F" w:rsidRPr="0010523F" w14:paraId="01DD37C4" w14:textId="77777777" w:rsidTr="00774E7E">
        <w:trPr>
          <w:trHeight w:val="283"/>
        </w:trPr>
        <w:tc>
          <w:tcPr>
            <w:tcW w:w="6903" w:type="dxa"/>
            <w:gridSpan w:val="2"/>
          </w:tcPr>
          <w:p w14:paraId="2D2BE3B6" w14:textId="77777777" w:rsidR="0010523F" w:rsidRPr="0010523F" w:rsidRDefault="0010523F" w:rsidP="0010523F">
            <w:pPr>
              <w:tabs>
                <w:tab w:val="left" w:pos="426"/>
              </w:tabs>
              <w:rPr>
                <w:lang w:val="es-AR" w:eastAsia="en-US"/>
              </w:rPr>
            </w:pPr>
            <w:r w:rsidRPr="0010523F">
              <w:rPr>
                <w:lang w:val="es-AR" w:eastAsia="en-US"/>
              </w:rPr>
              <w:t xml:space="preserve">Intereses devengados por obligaciones a pagar sin garantía real </w:t>
            </w:r>
          </w:p>
        </w:tc>
        <w:tc>
          <w:tcPr>
            <w:tcW w:w="1560" w:type="dxa"/>
            <w:vAlign w:val="bottom"/>
          </w:tcPr>
          <w:p w14:paraId="07CB8C52" w14:textId="77777777" w:rsidR="0010523F" w:rsidRPr="0010523F" w:rsidRDefault="0010523F" w:rsidP="0010523F">
            <w:pPr>
              <w:tabs>
                <w:tab w:val="left" w:pos="426"/>
              </w:tabs>
              <w:ind w:left="561" w:hanging="135"/>
              <w:jc w:val="right"/>
              <w:rPr>
                <w:lang w:val="es-AR" w:eastAsia="en-US"/>
              </w:rPr>
            </w:pPr>
            <w:r w:rsidRPr="0010523F">
              <w:rPr>
                <w:lang w:val="es-AR" w:eastAsia="en-US"/>
              </w:rPr>
              <w:t>1.526</w:t>
            </w:r>
          </w:p>
        </w:tc>
        <w:tc>
          <w:tcPr>
            <w:tcW w:w="1660" w:type="dxa"/>
            <w:vAlign w:val="bottom"/>
          </w:tcPr>
          <w:p w14:paraId="26D2D90B" w14:textId="77777777" w:rsidR="0010523F" w:rsidRPr="0010523F" w:rsidRDefault="0010523F" w:rsidP="0010523F">
            <w:pPr>
              <w:tabs>
                <w:tab w:val="left" w:pos="426"/>
              </w:tabs>
              <w:ind w:left="561" w:hanging="135"/>
              <w:jc w:val="right"/>
              <w:rPr>
                <w:highlight w:val="yellow"/>
                <w:lang w:val="es-AR" w:eastAsia="en-US"/>
              </w:rPr>
            </w:pPr>
            <w:r w:rsidRPr="0010523F">
              <w:rPr>
                <w:lang w:val="es-AR" w:eastAsia="en-US"/>
              </w:rPr>
              <w:t>808</w:t>
            </w:r>
          </w:p>
        </w:tc>
      </w:tr>
      <w:tr w:rsidR="0010523F" w:rsidRPr="0010523F" w14:paraId="4094B889" w14:textId="77777777" w:rsidTr="00774E7E">
        <w:trPr>
          <w:gridBefore w:val="1"/>
          <w:wBefore w:w="14" w:type="dxa"/>
        </w:trPr>
        <w:tc>
          <w:tcPr>
            <w:tcW w:w="6889" w:type="dxa"/>
            <w:vAlign w:val="bottom"/>
          </w:tcPr>
          <w:p w14:paraId="1EB11998" w14:textId="77777777" w:rsidR="0010523F" w:rsidRPr="0010523F" w:rsidRDefault="0010523F" w:rsidP="0010523F">
            <w:pPr>
              <w:tabs>
                <w:tab w:val="left" w:pos="426"/>
              </w:tabs>
              <w:rPr>
                <w:lang w:val="es-AR" w:eastAsia="en-US"/>
              </w:rPr>
            </w:pPr>
            <w:r w:rsidRPr="0010523F">
              <w:rPr>
                <w:lang w:val="es-AR" w:eastAsia="en-US"/>
              </w:rPr>
              <w:t>Costos de emisión asociados</w:t>
            </w:r>
          </w:p>
        </w:tc>
        <w:tc>
          <w:tcPr>
            <w:tcW w:w="1560" w:type="dxa"/>
            <w:vAlign w:val="bottom"/>
          </w:tcPr>
          <w:p w14:paraId="0B2FA953" w14:textId="77777777" w:rsidR="0010523F" w:rsidRPr="0010523F" w:rsidRDefault="0010523F" w:rsidP="0010523F">
            <w:pPr>
              <w:tabs>
                <w:tab w:val="left" w:pos="426"/>
              </w:tabs>
              <w:ind w:left="561" w:hanging="561"/>
              <w:jc w:val="right"/>
              <w:rPr>
                <w:lang w:val="es-AR" w:eastAsia="en-US"/>
              </w:rPr>
            </w:pPr>
            <w:r w:rsidRPr="0010523F">
              <w:rPr>
                <w:lang w:val="es-AR" w:eastAsia="en-US"/>
              </w:rPr>
              <w:t>(    424)</w:t>
            </w:r>
          </w:p>
        </w:tc>
        <w:tc>
          <w:tcPr>
            <w:tcW w:w="1660" w:type="dxa"/>
            <w:vAlign w:val="bottom"/>
          </w:tcPr>
          <w:p w14:paraId="3E7F9C1C" w14:textId="77777777" w:rsidR="0010523F" w:rsidRPr="0010523F" w:rsidRDefault="0010523F" w:rsidP="0010523F">
            <w:pPr>
              <w:tabs>
                <w:tab w:val="left" w:pos="426"/>
              </w:tabs>
              <w:ind w:left="561" w:hanging="561"/>
              <w:jc w:val="right"/>
              <w:rPr>
                <w:highlight w:val="yellow"/>
                <w:lang w:val="es-AR" w:eastAsia="en-US"/>
              </w:rPr>
            </w:pPr>
            <w:r w:rsidRPr="0010523F">
              <w:rPr>
                <w:lang w:val="es-AR" w:eastAsia="en-US"/>
              </w:rPr>
              <w:t>(   324)</w:t>
            </w:r>
          </w:p>
        </w:tc>
      </w:tr>
      <w:tr w:rsidR="0010523F" w:rsidRPr="0010523F" w14:paraId="280DA1BB" w14:textId="77777777" w:rsidTr="00774E7E">
        <w:trPr>
          <w:gridBefore w:val="1"/>
          <w:wBefore w:w="14" w:type="dxa"/>
          <w:trHeight w:val="283"/>
        </w:trPr>
        <w:tc>
          <w:tcPr>
            <w:tcW w:w="6889" w:type="dxa"/>
            <w:vAlign w:val="bottom"/>
          </w:tcPr>
          <w:p w14:paraId="24783BDC" w14:textId="77777777" w:rsidR="0010523F" w:rsidRPr="0010523F" w:rsidRDefault="0010523F" w:rsidP="0010523F">
            <w:pPr>
              <w:tabs>
                <w:tab w:val="left" w:pos="426"/>
              </w:tabs>
              <w:rPr>
                <w:lang w:val="es-AR" w:eastAsia="en-US"/>
              </w:rPr>
            </w:pPr>
            <w:r w:rsidRPr="0010523F">
              <w:rPr>
                <w:lang w:val="es-AR" w:eastAsia="en-US"/>
              </w:rPr>
              <w:t>Deudas financieras por derecho a uso de activos (Nota 2.4)</w:t>
            </w:r>
          </w:p>
        </w:tc>
        <w:tc>
          <w:tcPr>
            <w:tcW w:w="1560" w:type="dxa"/>
            <w:vAlign w:val="bottom"/>
          </w:tcPr>
          <w:p w14:paraId="339D2377" w14:textId="77777777" w:rsidR="0010523F" w:rsidRPr="0010523F" w:rsidRDefault="0010523F" w:rsidP="0010523F">
            <w:pPr>
              <w:tabs>
                <w:tab w:val="left" w:pos="426"/>
              </w:tabs>
              <w:ind w:left="567" w:hanging="567"/>
              <w:jc w:val="right"/>
              <w:rPr>
                <w:lang w:val="es-AR" w:eastAsia="en-US"/>
              </w:rPr>
            </w:pPr>
            <w:r w:rsidRPr="0010523F">
              <w:rPr>
                <w:u w:val="single"/>
                <w:lang w:val="es-AR" w:eastAsia="en-US"/>
              </w:rPr>
              <w:t xml:space="preserve">  2.184</w:t>
            </w:r>
          </w:p>
        </w:tc>
        <w:tc>
          <w:tcPr>
            <w:tcW w:w="1660" w:type="dxa"/>
            <w:vAlign w:val="bottom"/>
          </w:tcPr>
          <w:p w14:paraId="2E665D14" w14:textId="77777777" w:rsidR="0010523F" w:rsidRPr="0010523F" w:rsidRDefault="0010523F" w:rsidP="0010523F">
            <w:pPr>
              <w:tabs>
                <w:tab w:val="left" w:pos="426"/>
              </w:tabs>
              <w:ind w:left="567" w:hanging="567"/>
              <w:jc w:val="right"/>
              <w:rPr>
                <w:highlight w:val="yellow"/>
                <w:lang w:val="es-AR" w:eastAsia="en-US"/>
              </w:rPr>
            </w:pPr>
            <w:r w:rsidRPr="0010523F">
              <w:rPr>
                <w:u w:val="single"/>
                <w:lang w:val="es-AR" w:eastAsia="en-US"/>
              </w:rPr>
              <w:t xml:space="preserve">     208</w:t>
            </w:r>
          </w:p>
        </w:tc>
      </w:tr>
      <w:tr w:rsidR="0010523F" w:rsidRPr="0010523F" w14:paraId="076A4EE6" w14:textId="77777777" w:rsidTr="00774E7E">
        <w:trPr>
          <w:gridBefore w:val="1"/>
          <w:wBefore w:w="14" w:type="dxa"/>
          <w:trHeight w:val="170"/>
        </w:trPr>
        <w:tc>
          <w:tcPr>
            <w:tcW w:w="6889" w:type="dxa"/>
          </w:tcPr>
          <w:p w14:paraId="2E025821" w14:textId="77777777" w:rsidR="0010523F" w:rsidRPr="0010523F" w:rsidRDefault="0010523F" w:rsidP="0010523F">
            <w:pPr>
              <w:tabs>
                <w:tab w:val="left" w:pos="426"/>
              </w:tabs>
              <w:spacing w:line="140" w:lineRule="exact"/>
              <w:ind w:left="562" w:hanging="562"/>
              <w:rPr>
                <w:lang w:val="es-AR" w:eastAsia="en-US"/>
              </w:rPr>
            </w:pPr>
          </w:p>
        </w:tc>
        <w:tc>
          <w:tcPr>
            <w:tcW w:w="1560" w:type="dxa"/>
          </w:tcPr>
          <w:p w14:paraId="2AFBB19F"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14D9ED1E" w14:textId="77777777" w:rsidR="0010523F" w:rsidRPr="0010523F" w:rsidRDefault="0010523F" w:rsidP="0010523F">
            <w:pPr>
              <w:tabs>
                <w:tab w:val="left" w:pos="426"/>
              </w:tabs>
              <w:spacing w:line="140" w:lineRule="exact"/>
              <w:ind w:left="562" w:hanging="562"/>
              <w:rPr>
                <w:highlight w:val="yellow"/>
                <w:lang w:val="es-AR" w:eastAsia="en-US"/>
              </w:rPr>
            </w:pPr>
          </w:p>
        </w:tc>
      </w:tr>
      <w:tr w:rsidR="0010523F" w:rsidRPr="0010523F" w14:paraId="45F7027E" w14:textId="77777777" w:rsidTr="00774E7E">
        <w:trPr>
          <w:gridBefore w:val="1"/>
          <w:wBefore w:w="14" w:type="dxa"/>
          <w:trHeight w:val="227"/>
        </w:trPr>
        <w:tc>
          <w:tcPr>
            <w:tcW w:w="6889" w:type="dxa"/>
            <w:vAlign w:val="center"/>
          </w:tcPr>
          <w:p w14:paraId="14618D79" w14:textId="77777777" w:rsidR="0010523F" w:rsidRPr="0010523F" w:rsidRDefault="0010523F" w:rsidP="0010523F">
            <w:pPr>
              <w:tabs>
                <w:tab w:val="left" w:pos="426"/>
              </w:tabs>
              <w:ind w:left="567" w:hanging="567"/>
              <w:rPr>
                <w:lang w:val="es-AR" w:eastAsia="en-US"/>
              </w:rPr>
            </w:pPr>
            <w:r w:rsidRPr="0010523F">
              <w:rPr>
                <w:lang w:val="es-AR" w:eastAsia="en-US"/>
              </w:rPr>
              <w:t>Total préstamos y otras deudas financieras corrientes</w:t>
            </w:r>
          </w:p>
        </w:tc>
        <w:tc>
          <w:tcPr>
            <w:tcW w:w="1560" w:type="dxa"/>
            <w:vAlign w:val="center"/>
          </w:tcPr>
          <w:p w14:paraId="7D7D0C1B" w14:textId="77777777" w:rsidR="0010523F" w:rsidRPr="0010523F" w:rsidRDefault="0010523F" w:rsidP="0010523F">
            <w:pPr>
              <w:tabs>
                <w:tab w:val="left" w:pos="426"/>
              </w:tabs>
              <w:ind w:left="567" w:hanging="567"/>
              <w:jc w:val="right"/>
              <w:rPr>
                <w:u w:val="double"/>
                <w:lang w:val="es-AR" w:eastAsia="en-US"/>
              </w:rPr>
            </w:pPr>
            <w:r w:rsidRPr="0010523F">
              <w:rPr>
                <w:u w:val="double"/>
                <w:lang w:val="es-AR" w:eastAsia="en-US"/>
              </w:rPr>
              <w:t>48.270</w:t>
            </w:r>
          </w:p>
        </w:tc>
        <w:tc>
          <w:tcPr>
            <w:tcW w:w="1660" w:type="dxa"/>
            <w:vAlign w:val="center"/>
          </w:tcPr>
          <w:p w14:paraId="41466E01" w14:textId="77777777" w:rsidR="0010523F" w:rsidRPr="0010523F" w:rsidRDefault="0010523F" w:rsidP="0010523F">
            <w:pPr>
              <w:tabs>
                <w:tab w:val="left" w:pos="426"/>
              </w:tabs>
              <w:ind w:left="567" w:hanging="567"/>
              <w:jc w:val="right"/>
              <w:rPr>
                <w:highlight w:val="yellow"/>
                <w:u w:val="double"/>
                <w:lang w:val="es-AR" w:eastAsia="en-US"/>
              </w:rPr>
            </w:pPr>
            <w:r w:rsidRPr="0010523F">
              <w:rPr>
                <w:u w:val="double"/>
                <w:lang w:val="es-AR" w:eastAsia="en-US"/>
              </w:rPr>
              <w:t>26.366</w:t>
            </w:r>
          </w:p>
        </w:tc>
      </w:tr>
    </w:tbl>
    <w:p w14:paraId="3027655B" w14:textId="77777777" w:rsidR="0010523F" w:rsidRPr="0010523F" w:rsidRDefault="0010523F" w:rsidP="0010523F">
      <w:pPr>
        <w:tabs>
          <w:tab w:val="left" w:pos="567"/>
          <w:tab w:val="decimal" w:pos="7513"/>
          <w:tab w:val="decimal" w:pos="9356"/>
        </w:tabs>
        <w:spacing w:line="180" w:lineRule="exact"/>
        <w:jc w:val="both"/>
        <w:rPr>
          <w:sz w:val="22"/>
          <w:szCs w:val="22"/>
          <w:lang w:val="es-AR" w:eastAsia="en-US"/>
        </w:rPr>
      </w:pPr>
    </w:p>
    <w:p w14:paraId="726815C5" w14:textId="77777777" w:rsidR="0010523F" w:rsidRPr="0010523F" w:rsidRDefault="0010523F" w:rsidP="0010523F">
      <w:pPr>
        <w:tabs>
          <w:tab w:val="left" w:pos="567"/>
          <w:tab w:val="decimal" w:pos="7513"/>
          <w:tab w:val="decimal" w:pos="9356"/>
        </w:tabs>
        <w:spacing w:line="220" w:lineRule="exact"/>
        <w:jc w:val="both"/>
        <w:rPr>
          <w:sz w:val="18"/>
          <w:szCs w:val="18"/>
          <w:lang w:val="es-AR" w:eastAsia="en-US"/>
        </w:rPr>
      </w:pPr>
      <w:r w:rsidRPr="0010523F">
        <w:rPr>
          <w:sz w:val="18"/>
          <w:szCs w:val="18"/>
          <w:lang w:val="es-AR" w:eastAsia="en-US"/>
        </w:rPr>
        <w:t>(1) Incluye intereses por 26 al 30/09/2019 y 11 al 31/12/2018.</w:t>
      </w:r>
    </w:p>
    <w:p w14:paraId="1E180BDF" w14:textId="77777777" w:rsidR="0010523F" w:rsidRPr="0010523F" w:rsidRDefault="0010523F" w:rsidP="0010523F">
      <w:pPr>
        <w:spacing w:line="220" w:lineRule="exact"/>
        <w:jc w:val="both"/>
        <w:rPr>
          <w:szCs w:val="20"/>
          <w:lang w:val="es-AR" w:eastAsia="en-US"/>
        </w:rPr>
      </w:pPr>
    </w:p>
    <w:p w14:paraId="1B8C33AB" w14:textId="77777777" w:rsidR="0010523F" w:rsidRPr="0010523F" w:rsidRDefault="0010523F" w:rsidP="0010523F">
      <w:pPr>
        <w:spacing w:line="220" w:lineRule="exact"/>
        <w:jc w:val="both"/>
        <w:rPr>
          <w:szCs w:val="20"/>
          <w:lang w:val="es-AR" w:eastAsia="en-US"/>
        </w:rPr>
      </w:pPr>
    </w:p>
    <w:p w14:paraId="6CA6EFCD" w14:textId="77777777" w:rsidR="0010523F" w:rsidRPr="0010523F" w:rsidRDefault="0010523F" w:rsidP="0010523F">
      <w:pPr>
        <w:rPr>
          <w:szCs w:val="20"/>
          <w:lang w:val="es-AR" w:eastAsia="en-US"/>
        </w:rPr>
      </w:pPr>
      <w:r w:rsidRPr="0010523F">
        <w:rPr>
          <w:szCs w:val="20"/>
          <w:lang w:val="es-AR" w:eastAsia="en-US"/>
        </w:rPr>
        <w:br w:type="page"/>
      </w:r>
    </w:p>
    <w:p w14:paraId="5B4A6CA7" w14:textId="77777777" w:rsidR="0010523F" w:rsidRPr="0010523F" w:rsidRDefault="0010523F" w:rsidP="0010523F">
      <w:pPr>
        <w:spacing w:line="200" w:lineRule="exact"/>
        <w:jc w:val="both"/>
        <w:rPr>
          <w:b/>
          <w:lang w:val="es-AR" w:eastAsia="en-US"/>
        </w:rPr>
      </w:pPr>
      <w:r w:rsidRPr="0010523F">
        <w:rPr>
          <w:b/>
          <w:lang w:val="es-AR" w:eastAsia="en-US"/>
        </w:rPr>
        <w:t>NOTA 3 -</w:t>
      </w:r>
      <w:r w:rsidRPr="0010523F">
        <w:rPr>
          <w:b/>
          <w:lang w:val="es-AR" w:eastAsia="en-US"/>
        </w:rPr>
        <w:tab/>
        <w:t>COMPOSICIÓN DE CIERTOS RUBROS DEL ESTADO DE SITUACIÓN FINANCIERA INTERMEDIO CONDENSADO (cont.)</w:t>
      </w:r>
    </w:p>
    <w:p w14:paraId="51373322" w14:textId="77777777" w:rsidR="0010523F" w:rsidRPr="0010523F" w:rsidRDefault="0010523F" w:rsidP="00E2318E">
      <w:pPr>
        <w:keepNext/>
        <w:widowControl w:val="0"/>
        <w:numPr>
          <w:ilvl w:val="0"/>
          <w:numId w:val="75"/>
        </w:numPr>
        <w:tabs>
          <w:tab w:val="decimal" w:pos="4962"/>
          <w:tab w:val="decimal" w:pos="6379"/>
          <w:tab w:val="decimal" w:pos="7797"/>
          <w:tab w:val="decimal" w:pos="9214"/>
          <w:tab w:val="decimal" w:pos="10490"/>
          <w:tab w:val="decimal" w:pos="12049"/>
          <w:tab w:val="decimal" w:pos="13325"/>
          <w:tab w:val="decimal" w:pos="14601"/>
        </w:tabs>
        <w:spacing w:before="240" w:after="120" w:line="220" w:lineRule="exact"/>
        <w:ind w:left="426" w:right="11" w:hanging="357"/>
        <w:jc w:val="both"/>
        <w:outlineLvl w:val="3"/>
        <w:rPr>
          <w:szCs w:val="20"/>
          <w:lang w:val="es-AR" w:eastAsia="en-US"/>
        </w:rPr>
      </w:pPr>
      <w:r w:rsidRPr="0010523F">
        <w:rPr>
          <w:szCs w:val="20"/>
          <w:lang w:val="es-AR" w:eastAsia="en-US"/>
        </w:rPr>
        <w:t>Cuentas por pagar no corrientes y corrientes</w:t>
      </w:r>
    </w:p>
    <w:tbl>
      <w:tblPr>
        <w:tblW w:w="9755" w:type="dxa"/>
        <w:tblInd w:w="-14" w:type="dxa"/>
        <w:tblLayout w:type="fixed"/>
        <w:tblLook w:val="0000" w:firstRow="0" w:lastRow="0" w:firstColumn="0" w:lastColumn="0" w:noHBand="0" w:noVBand="0"/>
      </w:tblPr>
      <w:tblGrid>
        <w:gridCol w:w="14"/>
        <w:gridCol w:w="6521"/>
        <w:gridCol w:w="1560"/>
        <w:gridCol w:w="1660"/>
      </w:tblGrid>
      <w:tr w:rsidR="0010523F" w:rsidRPr="0010523F" w14:paraId="6DC8F444" w14:textId="77777777" w:rsidTr="00774E7E">
        <w:trPr>
          <w:gridBefore w:val="1"/>
          <w:wBefore w:w="14" w:type="dxa"/>
          <w:trHeight w:val="227"/>
        </w:trPr>
        <w:tc>
          <w:tcPr>
            <w:tcW w:w="6521" w:type="dxa"/>
          </w:tcPr>
          <w:p w14:paraId="4DB191D7" w14:textId="77777777" w:rsidR="0010523F" w:rsidRPr="0010523F" w:rsidRDefault="0010523F" w:rsidP="0010523F">
            <w:pPr>
              <w:tabs>
                <w:tab w:val="left" w:pos="426"/>
              </w:tabs>
              <w:ind w:left="567" w:hanging="567"/>
              <w:rPr>
                <w:lang w:val="es-AR" w:eastAsia="en-US"/>
              </w:rPr>
            </w:pPr>
          </w:p>
        </w:tc>
        <w:tc>
          <w:tcPr>
            <w:tcW w:w="1560" w:type="dxa"/>
          </w:tcPr>
          <w:p w14:paraId="3034D3ED" w14:textId="77777777" w:rsidR="0010523F" w:rsidRPr="0010523F" w:rsidRDefault="0010523F" w:rsidP="0010523F">
            <w:pPr>
              <w:tabs>
                <w:tab w:val="left" w:pos="426"/>
              </w:tabs>
              <w:ind w:left="567" w:hanging="567"/>
              <w:jc w:val="right"/>
              <w:rPr>
                <w:u w:val="double"/>
                <w:lang w:val="es-AR" w:eastAsia="en-US"/>
              </w:rPr>
            </w:pPr>
            <w:r w:rsidRPr="0010523F">
              <w:rPr>
                <w:u w:val="single"/>
                <w:lang w:val="es-AR" w:eastAsia="en-US"/>
              </w:rPr>
              <w:t>30/09/2019</w:t>
            </w:r>
          </w:p>
        </w:tc>
        <w:tc>
          <w:tcPr>
            <w:tcW w:w="1660" w:type="dxa"/>
            <w:vAlign w:val="bottom"/>
          </w:tcPr>
          <w:p w14:paraId="75B2F75F" w14:textId="77777777" w:rsidR="0010523F" w:rsidRPr="0010523F" w:rsidRDefault="0010523F" w:rsidP="0010523F">
            <w:pPr>
              <w:tabs>
                <w:tab w:val="left" w:pos="426"/>
              </w:tabs>
              <w:ind w:left="567" w:hanging="567"/>
              <w:jc w:val="right"/>
              <w:rPr>
                <w:u w:val="double"/>
                <w:lang w:val="es-AR" w:eastAsia="en-US"/>
              </w:rPr>
            </w:pPr>
            <w:r w:rsidRPr="0010523F">
              <w:rPr>
                <w:u w:val="single"/>
                <w:lang w:val="es-AR" w:eastAsia="en-US"/>
              </w:rPr>
              <w:t>31/12/2018</w:t>
            </w:r>
          </w:p>
        </w:tc>
      </w:tr>
      <w:tr w:rsidR="0010523F" w:rsidRPr="0010523F" w14:paraId="581D3338" w14:textId="77777777" w:rsidTr="00774E7E">
        <w:trPr>
          <w:gridBefore w:val="1"/>
          <w:wBefore w:w="14" w:type="dxa"/>
          <w:trHeight w:val="113"/>
        </w:trPr>
        <w:tc>
          <w:tcPr>
            <w:tcW w:w="6521" w:type="dxa"/>
          </w:tcPr>
          <w:p w14:paraId="514FBF2D" w14:textId="77777777" w:rsidR="0010523F" w:rsidRPr="0010523F" w:rsidRDefault="0010523F" w:rsidP="0010523F">
            <w:pPr>
              <w:tabs>
                <w:tab w:val="left" w:pos="426"/>
              </w:tabs>
              <w:spacing w:line="140" w:lineRule="exact"/>
              <w:ind w:left="562" w:hanging="562"/>
              <w:rPr>
                <w:lang w:val="es-AR" w:eastAsia="en-US"/>
              </w:rPr>
            </w:pPr>
          </w:p>
        </w:tc>
        <w:tc>
          <w:tcPr>
            <w:tcW w:w="1560" w:type="dxa"/>
          </w:tcPr>
          <w:p w14:paraId="7B65FF87"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1308EA9D" w14:textId="77777777" w:rsidR="0010523F" w:rsidRPr="0010523F" w:rsidRDefault="0010523F" w:rsidP="0010523F">
            <w:pPr>
              <w:tabs>
                <w:tab w:val="left" w:pos="426"/>
              </w:tabs>
              <w:spacing w:line="140" w:lineRule="exact"/>
              <w:ind w:left="562" w:hanging="562"/>
              <w:rPr>
                <w:lang w:val="es-AR" w:eastAsia="en-US"/>
              </w:rPr>
            </w:pPr>
          </w:p>
        </w:tc>
      </w:tr>
      <w:tr w:rsidR="0010523F" w:rsidRPr="0010523F" w14:paraId="3785F8C3" w14:textId="77777777" w:rsidTr="00774E7E">
        <w:trPr>
          <w:trHeight w:val="227"/>
        </w:trPr>
        <w:tc>
          <w:tcPr>
            <w:tcW w:w="6535" w:type="dxa"/>
            <w:gridSpan w:val="2"/>
          </w:tcPr>
          <w:p w14:paraId="7342CF4C" w14:textId="77777777" w:rsidR="0010523F" w:rsidRPr="0010523F" w:rsidRDefault="0010523F" w:rsidP="0010523F">
            <w:pPr>
              <w:ind w:left="37"/>
              <w:rPr>
                <w:u w:val="single"/>
                <w:lang w:val="es-AR" w:eastAsia="en-US"/>
              </w:rPr>
            </w:pPr>
            <w:r w:rsidRPr="0010523F">
              <w:rPr>
                <w:u w:val="single"/>
                <w:lang w:val="es-AR" w:eastAsia="en-US"/>
              </w:rPr>
              <w:t>No corrientes</w:t>
            </w:r>
          </w:p>
        </w:tc>
        <w:tc>
          <w:tcPr>
            <w:tcW w:w="1560" w:type="dxa"/>
          </w:tcPr>
          <w:p w14:paraId="65177C49" w14:textId="77777777" w:rsidR="0010523F" w:rsidRPr="0010523F" w:rsidRDefault="0010523F" w:rsidP="0010523F">
            <w:pPr>
              <w:tabs>
                <w:tab w:val="left" w:pos="426"/>
              </w:tabs>
              <w:ind w:left="562" w:hanging="562"/>
              <w:rPr>
                <w:highlight w:val="yellow"/>
                <w:lang w:val="es-AR" w:eastAsia="en-US"/>
              </w:rPr>
            </w:pPr>
          </w:p>
        </w:tc>
        <w:tc>
          <w:tcPr>
            <w:tcW w:w="1660" w:type="dxa"/>
          </w:tcPr>
          <w:p w14:paraId="5107E917" w14:textId="77777777" w:rsidR="0010523F" w:rsidRPr="0010523F" w:rsidRDefault="0010523F" w:rsidP="0010523F">
            <w:pPr>
              <w:tabs>
                <w:tab w:val="left" w:pos="426"/>
              </w:tabs>
              <w:ind w:left="562" w:hanging="562"/>
              <w:rPr>
                <w:lang w:val="es-AR" w:eastAsia="en-US"/>
              </w:rPr>
            </w:pPr>
          </w:p>
        </w:tc>
      </w:tr>
      <w:tr w:rsidR="0010523F" w:rsidRPr="0010523F" w14:paraId="656E4EC9" w14:textId="77777777" w:rsidTr="00774E7E">
        <w:trPr>
          <w:gridBefore w:val="1"/>
          <w:wBefore w:w="14" w:type="dxa"/>
          <w:trHeight w:val="57"/>
        </w:trPr>
        <w:tc>
          <w:tcPr>
            <w:tcW w:w="6521" w:type="dxa"/>
          </w:tcPr>
          <w:p w14:paraId="29A52FC7" w14:textId="77777777" w:rsidR="0010523F" w:rsidRPr="0010523F" w:rsidRDefault="0010523F" w:rsidP="0010523F">
            <w:pPr>
              <w:tabs>
                <w:tab w:val="left" w:pos="426"/>
              </w:tabs>
              <w:spacing w:line="140" w:lineRule="exact"/>
              <w:ind w:left="37"/>
              <w:rPr>
                <w:lang w:val="es-AR" w:eastAsia="en-US"/>
              </w:rPr>
            </w:pPr>
          </w:p>
        </w:tc>
        <w:tc>
          <w:tcPr>
            <w:tcW w:w="1560" w:type="dxa"/>
          </w:tcPr>
          <w:p w14:paraId="41269E17"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018BA60F" w14:textId="77777777" w:rsidR="0010523F" w:rsidRPr="0010523F" w:rsidRDefault="0010523F" w:rsidP="0010523F">
            <w:pPr>
              <w:tabs>
                <w:tab w:val="left" w:pos="426"/>
              </w:tabs>
              <w:spacing w:line="140" w:lineRule="exact"/>
              <w:ind w:left="562" w:hanging="562"/>
              <w:rPr>
                <w:lang w:val="es-AR" w:eastAsia="en-US"/>
              </w:rPr>
            </w:pPr>
          </w:p>
        </w:tc>
      </w:tr>
      <w:tr w:rsidR="0010523F" w:rsidRPr="0010523F" w14:paraId="49E797B9" w14:textId="77777777" w:rsidTr="00774E7E">
        <w:trPr>
          <w:gridBefore w:val="1"/>
          <w:wBefore w:w="14" w:type="dxa"/>
          <w:trHeight w:val="227"/>
        </w:trPr>
        <w:tc>
          <w:tcPr>
            <w:tcW w:w="6521" w:type="dxa"/>
          </w:tcPr>
          <w:p w14:paraId="53D15DD8" w14:textId="77777777" w:rsidR="0010523F" w:rsidRPr="0010523F" w:rsidRDefault="0010523F" w:rsidP="0010523F">
            <w:pPr>
              <w:ind w:left="37"/>
              <w:rPr>
                <w:lang w:val="es-AR" w:eastAsia="en-US"/>
              </w:rPr>
            </w:pPr>
            <w:r w:rsidRPr="0010523F">
              <w:rPr>
                <w:lang w:val="es-AR" w:eastAsia="en-US"/>
              </w:rPr>
              <w:t>Deudas diversas</w:t>
            </w:r>
          </w:p>
        </w:tc>
        <w:tc>
          <w:tcPr>
            <w:tcW w:w="1560" w:type="dxa"/>
          </w:tcPr>
          <w:p w14:paraId="220A1132" w14:textId="77777777" w:rsidR="0010523F" w:rsidRPr="0010523F" w:rsidRDefault="0010523F" w:rsidP="0010523F">
            <w:pPr>
              <w:tabs>
                <w:tab w:val="left" w:pos="426"/>
              </w:tabs>
              <w:ind w:left="567" w:hanging="567"/>
              <w:jc w:val="right"/>
              <w:rPr>
                <w:u w:val="single"/>
                <w:lang w:val="es-AR" w:eastAsia="en-US"/>
              </w:rPr>
            </w:pPr>
            <w:r w:rsidRPr="0010523F">
              <w:rPr>
                <w:u w:val="single"/>
                <w:lang w:val="es-AR" w:eastAsia="en-US"/>
              </w:rPr>
              <w:t xml:space="preserve">  1.684</w:t>
            </w:r>
          </w:p>
        </w:tc>
        <w:tc>
          <w:tcPr>
            <w:tcW w:w="1660" w:type="dxa"/>
          </w:tcPr>
          <w:p w14:paraId="774269F3" w14:textId="77777777" w:rsidR="0010523F" w:rsidRPr="0010523F" w:rsidRDefault="0010523F" w:rsidP="0010523F">
            <w:pPr>
              <w:tabs>
                <w:tab w:val="left" w:pos="426"/>
              </w:tabs>
              <w:ind w:left="567" w:hanging="567"/>
              <w:jc w:val="right"/>
              <w:rPr>
                <w:highlight w:val="yellow"/>
                <w:u w:val="single"/>
                <w:lang w:val="es-AR" w:eastAsia="en-US"/>
              </w:rPr>
            </w:pPr>
            <w:r w:rsidRPr="0010523F">
              <w:rPr>
                <w:u w:val="single"/>
                <w:lang w:val="es-AR" w:eastAsia="en-US"/>
              </w:rPr>
              <w:t xml:space="preserve">     384</w:t>
            </w:r>
          </w:p>
        </w:tc>
      </w:tr>
      <w:tr w:rsidR="0010523F" w:rsidRPr="0010523F" w14:paraId="3263C9E9" w14:textId="77777777" w:rsidTr="00774E7E">
        <w:trPr>
          <w:gridBefore w:val="1"/>
          <w:wBefore w:w="14" w:type="dxa"/>
          <w:trHeight w:val="57"/>
        </w:trPr>
        <w:tc>
          <w:tcPr>
            <w:tcW w:w="6521" w:type="dxa"/>
          </w:tcPr>
          <w:p w14:paraId="54B46534" w14:textId="77777777" w:rsidR="0010523F" w:rsidRPr="0010523F" w:rsidRDefault="0010523F" w:rsidP="0010523F">
            <w:pPr>
              <w:spacing w:line="140" w:lineRule="exact"/>
              <w:ind w:left="37"/>
              <w:rPr>
                <w:lang w:val="es-AR" w:eastAsia="en-US"/>
              </w:rPr>
            </w:pPr>
          </w:p>
        </w:tc>
        <w:tc>
          <w:tcPr>
            <w:tcW w:w="1560" w:type="dxa"/>
          </w:tcPr>
          <w:p w14:paraId="279B634B"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0F3D0133" w14:textId="77777777" w:rsidR="0010523F" w:rsidRPr="0010523F" w:rsidRDefault="0010523F" w:rsidP="0010523F">
            <w:pPr>
              <w:tabs>
                <w:tab w:val="left" w:pos="426"/>
              </w:tabs>
              <w:spacing w:line="140" w:lineRule="exact"/>
              <w:ind w:left="562" w:hanging="562"/>
              <w:rPr>
                <w:highlight w:val="yellow"/>
                <w:lang w:val="es-AR" w:eastAsia="en-US"/>
              </w:rPr>
            </w:pPr>
          </w:p>
        </w:tc>
      </w:tr>
      <w:tr w:rsidR="0010523F" w:rsidRPr="0010523F" w14:paraId="53793377" w14:textId="77777777" w:rsidTr="00774E7E">
        <w:trPr>
          <w:gridBefore w:val="1"/>
          <w:wBefore w:w="14" w:type="dxa"/>
          <w:trHeight w:val="283"/>
        </w:trPr>
        <w:tc>
          <w:tcPr>
            <w:tcW w:w="6521" w:type="dxa"/>
          </w:tcPr>
          <w:p w14:paraId="3945B4F4" w14:textId="77777777" w:rsidR="0010523F" w:rsidRPr="0010523F" w:rsidRDefault="0010523F" w:rsidP="0010523F">
            <w:pPr>
              <w:ind w:left="37"/>
              <w:rPr>
                <w:lang w:val="es-AR" w:eastAsia="en-US"/>
              </w:rPr>
            </w:pPr>
            <w:r w:rsidRPr="0010523F">
              <w:rPr>
                <w:lang w:val="es-AR" w:eastAsia="en-US"/>
              </w:rPr>
              <w:t xml:space="preserve">Total cuentas por pagar no corrientes </w:t>
            </w:r>
          </w:p>
        </w:tc>
        <w:tc>
          <w:tcPr>
            <w:tcW w:w="1560" w:type="dxa"/>
          </w:tcPr>
          <w:p w14:paraId="423BCF27" w14:textId="77777777" w:rsidR="0010523F" w:rsidRPr="0010523F" w:rsidRDefault="0010523F" w:rsidP="0010523F">
            <w:pPr>
              <w:tabs>
                <w:tab w:val="left" w:pos="426"/>
              </w:tabs>
              <w:ind w:left="567" w:hanging="567"/>
              <w:jc w:val="right"/>
              <w:rPr>
                <w:u w:val="double"/>
                <w:lang w:val="es-AR" w:eastAsia="en-US"/>
              </w:rPr>
            </w:pPr>
            <w:r w:rsidRPr="0010523F">
              <w:rPr>
                <w:u w:val="double"/>
                <w:lang w:val="es-AR" w:eastAsia="en-US"/>
              </w:rPr>
              <w:t xml:space="preserve">  1.684</w:t>
            </w:r>
          </w:p>
        </w:tc>
        <w:tc>
          <w:tcPr>
            <w:tcW w:w="1660" w:type="dxa"/>
          </w:tcPr>
          <w:p w14:paraId="0B86F532" w14:textId="77777777" w:rsidR="0010523F" w:rsidRPr="0010523F" w:rsidRDefault="0010523F" w:rsidP="0010523F">
            <w:pPr>
              <w:tabs>
                <w:tab w:val="left" w:pos="426"/>
              </w:tabs>
              <w:ind w:left="567" w:hanging="567"/>
              <w:jc w:val="right"/>
              <w:rPr>
                <w:highlight w:val="yellow"/>
                <w:u w:val="double"/>
                <w:lang w:val="es-AR" w:eastAsia="en-US"/>
              </w:rPr>
            </w:pPr>
            <w:r w:rsidRPr="0010523F">
              <w:rPr>
                <w:u w:val="double"/>
                <w:lang w:val="es-AR" w:eastAsia="en-US"/>
              </w:rPr>
              <w:t xml:space="preserve">     384</w:t>
            </w:r>
          </w:p>
        </w:tc>
      </w:tr>
      <w:tr w:rsidR="0010523F" w:rsidRPr="0010523F" w14:paraId="590FE3A5" w14:textId="77777777" w:rsidTr="00774E7E">
        <w:trPr>
          <w:gridBefore w:val="1"/>
          <w:wBefore w:w="14" w:type="dxa"/>
          <w:trHeight w:val="57"/>
        </w:trPr>
        <w:tc>
          <w:tcPr>
            <w:tcW w:w="6521" w:type="dxa"/>
          </w:tcPr>
          <w:p w14:paraId="6BB82DD3" w14:textId="77777777" w:rsidR="0010523F" w:rsidRPr="0010523F" w:rsidRDefault="0010523F" w:rsidP="0010523F">
            <w:pPr>
              <w:tabs>
                <w:tab w:val="left" w:pos="426"/>
              </w:tabs>
              <w:spacing w:line="140" w:lineRule="exact"/>
              <w:ind w:left="37"/>
              <w:rPr>
                <w:lang w:val="es-AR" w:eastAsia="en-US"/>
              </w:rPr>
            </w:pPr>
          </w:p>
        </w:tc>
        <w:tc>
          <w:tcPr>
            <w:tcW w:w="1560" w:type="dxa"/>
          </w:tcPr>
          <w:p w14:paraId="13C2F071"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388ECB09" w14:textId="77777777" w:rsidR="0010523F" w:rsidRPr="0010523F" w:rsidRDefault="0010523F" w:rsidP="0010523F">
            <w:pPr>
              <w:tabs>
                <w:tab w:val="left" w:pos="426"/>
              </w:tabs>
              <w:spacing w:line="140" w:lineRule="exact"/>
              <w:ind w:left="562" w:hanging="562"/>
              <w:rPr>
                <w:lang w:val="es-AR" w:eastAsia="en-US"/>
              </w:rPr>
            </w:pPr>
          </w:p>
        </w:tc>
      </w:tr>
      <w:tr w:rsidR="0010523F" w:rsidRPr="0010523F" w14:paraId="32FFDD58" w14:textId="77777777" w:rsidTr="00774E7E">
        <w:tc>
          <w:tcPr>
            <w:tcW w:w="6535" w:type="dxa"/>
            <w:gridSpan w:val="2"/>
          </w:tcPr>
          <w:p w14:paraId="519D26CE" w14:textId="77777777" w:rsidR="0010523F" w:rsidRPr="0010523F" w:rsidRDefault="0010523F" w:rsidP="0010523F">
            <w:pPr>
              <w:ind w:left="37"/>
              <w:rPr>
                <w:u w:val="single"/>
                <w:lang w:val="es-AR" w:eastAsia="en-US"/>
              </w:rPr>
            </w:pPr>
            <w:r w:rsidRPr="0010523F">
              <w:rPr>
                <w:u w:val="single"/>
                <w:lang w:val="es-AR" w:eastAsia="en-US"/>
              </w:rPr>
              <w:t>Corrientes</w:t>
            </w:r>
          </w:p>
        </w:tc>
        <w:tc>
          <w:tcPr>
            <w:tcW w:w="1560" w:type="dxa"/>
          </w:tcPr>
          <w:p w14:paraId="14E67BF7" w14:textId="77777777" w:rsidR="0010523F" w:rsidRPr="0010523F" w:rsidRDefault="0010523F" w:rsidP="0010523F">
            <w:pPr>
              <w:tabs>
                <w:tab w:val="left" w:pos="426"/>
              </w:tabs>
              <w:ind w:left="562" w:hanging="562"/>
              <w:rPr>
                <w:lang w:val="es-AR" w:eastAsia="en-US"/>
              </w:rPr>
            </w:pPr>
          </w:p>
        </w:tc>
        <w:tc>
          <w:tcPr>
            <w:tcW w:w="1660" w:type="dxa"/>
          </w:tcPr>
          <w:p w14:paraId="692E5F03" w14:textId="77777777" w:rsidR="0010523F" w:rsidRPr="0010523F" w:rsidRDefault="0010523F" w:rsidP="0010523F">
            <w:pPr>
              <w:tabs>
                <w:tab w:val="left" w:pos="426"/>
              </w:tabs>
              <w:ind w:left="562" w:hanging="562"/>
              <w:rPr>
                <w:highlight w:val="yellow"/>
                <w:lang w:val="es-AR" w:eastAsia="en-US"/>
              </w:rPr>
            </w:pPr>
          </w:p>
        </w:tc>
      </w:tr>
      <w:tr w:rsidR="0010523F" w:rsidRPr="0010523F" w14:paraId="170C690E" w14:textId="77777777" w:rsidTr="00774E7E">
        <w:trPr>
          <w:gridBefore w:val="1"/>
          <w:wBefore w:w="14" w:type="dxa"/>
          <w:trHeight w:val="57"/>
        </w:trPr>
        <w:tc>
          <w:tcPr>
            <w:tcW w:w="6521" w:type="dxa"/>
          </w:tcPr>
          <w:p w14:paraId="1CDB37FC" w14:textId="77777777" w:rsidR="0010523F" w:rsidRPr="0010523F" w:rsidRDefault="0010523F" w:rsidP="0010523F">
            <w:pPr>
              <w:tabs>
                <w:tab w:val="left" w:pos="426"/>
              </w:tabs>
              <w:spacing w:line="140" w:lineRule="exact"/>
              <w:ind w:left="37"/>
              <w:rPr>
                <w:lang w:val="es-AR" w:eastAsia="en-US"/>
              </w:rPr>
            </w:pPr>
          </w:p>
        </w:tc>
        <w:tc>
          <w:tcPr>
            <w:tcW w:w="1560" w:type="dxa"/>
          </w:tcPr>
          <w:p w14:paraId="20FF8F2C"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07244F8C" w14:textId="77777777" w:rsidR="0010523F" w:rsidRPr="0010523F" w:rsidRDefault="0010523F" w:rsidP="0010523F">
            <w:pPr>
              <w:tabs>
                <w:tab w:val="left" w:pos="426"/>
              </w:tabs>
              <w:spacing w:line="140" w:lineRule="exact"/>
              <w:ind w:left="562" w:hanging="562"/>
              <w:rPr>
                <w:lang w:val="es-AR" w:eastAsia="en-US"/>
              </w:rPr>
            </w:pPr>
          </w:p>
        </w:tc>
      </w:tr>
      <w:tr w:rsidR="0010523F" w:rsidRPr="0010523F" w14:paraId="7D1006E9" w14:textId="77777777" w:rsidTr="00774E7E">
        <w:trPr>
          <w:gridBefore w:val="1"/>
          <w:wBefore w:w="14" w:type="dxa"/>
          <w:trHeight w:val="227"/>
        </w:trPr>
        <w:tc>
          <w:tcPr>
            <w:tcW w:w="6521" w:type="dxa"/>
            <w:vAlign w:val="bottom"/>
          </w:tcPr>
          <w:p w14:paraId="52270498" w14:textId="77777777" w:rsidR="0010523F" w:rsidRPr="0010523F" w:rsidRDefault="0010523F" w:rsidP="0010523F">
            <w:pPr>
              <w:tabs>
                <w:tab w:val="left" w:pos="426"/>
              </w:tabs>
              <w:ind w:left="37"/>
              <w:rPr>
                <w:lang w:val="es-AR" w:eastAsia="en-US"/>
              </w:rPr>
            </w:pPr>
            <w:r w:rsidRPr="0010523F">
              <w:rPr>
                <w:lang w:val="es-AR" w:eastAsia="en-US"/>
              </w:rPr>
              <w:t xml:space="preserve">Deudas comerciales </w:t>
            </w:r>
          </w:p>
        </w:tc>
        <w:tc>
          <w:tcPr>
            <w:tcW w:w="1560" w:type="dxa"/>
          </w:tcPr>
          <w:p w14:paraId="3DE81223" w14:textId="77777777" w:rsidR="0010523F" w:rsidRPr="0010523F" w:rsidRDefault="0010523F" w:rsidP="0010523F">
            <w:pPr>
              <w:tabs>
                <w:tab w:val="left" w:pos="426"/>
              </w:tabs>
              <w:ind w:left="567" w:hanging="567"/>
              <w:jc w:val="right"/>
              <w:rPr>
                <w:u w:val="double"/>
                <w:lang w:val="es-AR" w:eastAsia="en-US"/>
              </w:rPr>
            </w:pPr>
            <w:r w:rsidRPr="0010523F">
              <w:rPr>
                <w:lang w:val="es-AR" w:eastAsia="en-US"/>
              </w:rPr>
              <w:t>27.737</w:t>
            </w:r>
          </w:p>
        </w:tc>
        <w:tc>
          <w:tcPr>
            <w:tcW w:w="1660" w:type="dxa"/>
          </w:tcPr>
          <w:p w14:paraId="0B0C972B" w14:textId="77777777" w:rsidR="0010523F" w:rsidRPr="0010523F" w:rsidRDefault="0010523F" w:rsidP="0010523F">
            <w:pPr>
              <w:tabs>
                <w:tab w:val="left" w:pos="426"/>
              </w:tabs>
              <w:ind w:left="567" w:hanging="567"/>
              <w:jc w:val="right"/>
              <w:rPr>
                <w:highlight w:val="yellow"/>
                <w:u w:val="double"/>
                <w:lang w:val="es-AR" w:eastAsia="en-US"/>
              </w:rPr>
            </w:pPr>
            <w:r w:rsidRPr="0010523F">
              <w:rPr>
                <w:lang w:val="es-AR" w:eastAsia="en-US"/>
              </w:rPr>
              <w:t>21.064</w:t>
            </w:r>
          </w:p>
        </w:tc>
      </w:tr>
      <w:tr w:rsidR="0010523F" w:rsidRPr="0010523F" w14:paraId="5B844A72" w14:textId="77777777" w:rsidTr="00774E7E">
        <w:trPr>
          <w:gridBefore w:val="1"/>
          <w:wBefore w:w="14" w:type="dxa"/>
          <w:trHeight w:val="283"/>
        </w:trPr>
        <w:tc>
          <w:tcPr>
            <w:tcW w:w="6521" w:type="dxa"/>
            <w:vAlign w:val="bottom"/>
          </w:tcPr>
          <w:p w14:paraId="6AE624FC" w14:textId="77777777" w:rsidR="0010523F" w:rsidRPr="0010523F" w:rsidRDefault="0010523F" w:rsidP="0010523F">
            <w:pPr>
              <w:tabs>
                <w:tab w:val="left" w:pos="426"/>
              </w:tabs>
              <w:ind w:left="37"/>
              <w:rPr>
                <w:lang w:val="es-AR" w:eastAsia="en-US"/>
              </w:rPr>
            </w:pPr>
            <w:r w:rsidRPr="0010523F">
              <w:rPr>
                <w:lang w:val="es-AR" w:eastAsia="en-US"/>
              </w:rPr>
              <w:t>Con partes relacionadas (Nota 8)</w:t>
            </w:r>
          </w:p>
        </w:tc>
        <w:tc>
          <w:tcPr>
            <w:tcW w:w="1560" w:type="dxa"/>
          </w:tcPr>
          <w:p w14:paraId="1A25B9A1" w14:textId="77777777" w:rsidR="0010523F" w:rsidRPr="0010523F" w:rsidRDefault="0010523F" w:rsidP="0010523F">
            <w:pPr>
              <w:tabs>
                <w:tab w:val="left" w:pos="426"/>
              </w:tabs>
              <w:ind w:left="567" w:hanging="567"/>
              <w:jc w:val="right"/>
              <w:rPr>
                <w:u w:val="double"/>
                <w:lang w:val="es-AR" w:eastAsia="en-US"/>
              </w:rPr>
            </w:pPr>
            <w:r w:rsidRPr="0010523F">
              <w:rPr>
                <w:lang w:val="es-AR" w:eastAsia="en-US"/>
              </w:rPr>
              <w:t>549</w:t>
            </w:r>
          </w:p>
        </w:tc>
        <w:tc>
          <w:tcPr>
            <w:tcW w:w="1660" w:type="dxa"/>
          </w:tcPr>
          <w:p w14:paraId="344F267D" w14:textId="77777777" w:rsidR="0010523F" w:rsidRPr="0010523F" w:rsidRDefault="0010523F" w:rsidP="0010523F">
            <w:pPr>
              <w:tabs>
                <w:tab w:val="left" w:pos="426"/>
              </w:tabs>
              <w:ind w:left="567" w:hanging="567"/>
              <w:jc w:val="right"/>
              <w:rPr>
                <w:highlight w:val="yellow"/>
                <w:u w:val="double"/>
                <w:lang w:val="es-AR" w:eastAsia="en-US"/>
              </w:rPr>
            </w:pPr>
            <w:r w:rsidRPr="0010523F">
              <w:rPr>
                <w:lang w:val="es-AR" w:eastAsia="en-US"/>
              </w:rPr>
              <w:t>924</w:t>
            </w:r>
          </w:p>
        </w:tc>
      </w:tr>
      <w:tr w:rsidR="0010523F" w:rsidRPr="0010523F" w14:paraId="11675E8E" w14:textId="77777777" w:rsidTr="00774E7E">
        <w:trPr>
          <w:gridBefore w:val="1"/>
          <w:wBefore w:w="14" w:type="dxa"/>
          <w:trHeight w:val="227"/>
        </w:trPr>
        <w:tc>
          <w:tcPr>
            <w:tcW w:w="6521" w:type="dxa"/>
            <w:vAlign w:val="bottom"/>
          </w:tcPr>
          <w:p w14:paraId="7D28EABA" w14:textId="77777777" w:rsidR="0010523F" w:rsidRPr="0010523F" w:rsidRDefault="0010523F" w:rsidP="0010523F">
            <w:pPr>
              <w:tabs>
                <w:tab w:val="left" w:pos="426"/>
              </w:tabs>
              <w:ind w:left="37"/>
              <w:rPr>
                <w:lang w:val="es-AR" w:eastAsia="en-US"/>
              </w:rPr>
            </w:pPr>
            <w:r w:rsidRPr="0010523F">
              <w:rPr>
                <w:lang w:val="es-AR" w:eastAsia="en-US"/>
              </w:rPr>
              <w:t>Otros</w:t>
            </w:r>
          </w:p>
        </w:tc>
        <w:tc>
          <w:tcPr>
            <w:tcW w:w="1560" w:type="dxa"/>
          </w:tcPr>
          <w:p w14:paraId="25C1D051" w14:textId="77777777" w:rsidR="0010523F" w:rsidRPr="0010523F" w:rsidRDefault="0010523F" w:rsidP="0010523F">
            <w:pPr>
              <w:tabs>
                <w:tab w:val="left" w:pos="426"/>
              </w:tabs>
              <w:ind w:left="567" w:hanging="567"/>
              <w:jc w:val="right"/>
              <w:rPr>
                <w:u w:val="double"/>
                <w:lang w:val="es-AR" w:eastAsia="en-US"/>
              </w:rPr>
            </w:pPr>
            <w:r w:rsidRPr="0010523F">
              <w:rPr>
                <w:u w:val="single"/>
                <w:lang w:val="es-AR" w:eastAsia="en-US"/>
              </w:rPr>
              <w:t xml:space="preserve">     395</w:t>
            </w:r>
          </w:p>
        </w:tc>
        <w:tc>
          <w:tcPr>
            <w:tcW w:w="1660" w:type="dxa"/>
          </w:tcPr>
          <w:p w14:paraId="176178E3" w14:textId="77777777" w:rsidR="0010523F" w:rsidRPr="0010523F" w:rsidRDefault="0010523F" w:rsidP="0010523F">
            <w:pPr>
              <w:tabs>
                <w:tab w:val="left" w:pos="426"/>
              </w:tabs>
              <w:ind w:left="567" w:hanging="567"/>
              <w:jc w:val="right"/>
              <w:rPr>
                <w:highlight w:val="yellow"/>
                <w:u w:val="double"/>
                <w:lang w:val="es-AR" w:eastAsia="en-US"/>
              </w:rPr>
            </w:pPr>
            <w:r w:rsidRPr="0010523F">
              <w:rPr>
                <w:u w:val="single"/>
                <w:lang w:val="es-AR" w:eastAsia="en-US"/>
              </w:rPr>
              <w:t xml:space="preserve">     256</w:t>
            </w:r>
          </w:p>
        </w:tc>
      </w:tr>
      <w:tr w:rsidR="0010523F" w:rsidRPr="0010523F" w14:paraId="01FA9669" w14:textId="77777777" w:rsidTr="00774E7E">
        <w:trPr>
          <w:gridBefore w:val="1"/>
          <w:wBefore w:w="14" w:type="dxa"/>
          <w:trHeight w:val="57"/>
        </w:trPr>
        <w:tc>
          <w:tcPr>
            <w:tcW w:w="6521" w:type="dxa"/>
          </w:tcPr>
          <w:p w14:paraId="45A32901" w14:textId="77777777" w:rsidR="0010523F" w:rsidRPr="0010523F" w:rsidRDefault="0010523F" w:rsidP="0010523F">
            <w:pPr>
              <w:tabs>
                <w:tab w:val="left" w:pos="426"/>
              </w:tabs>
              <w:spacing w:line="140" w:lineRule="exact"/>
              <w:ind w:left="37"/>
              <w:rPr>
                <w:lang w:val="es-AR" w:eastAsia="en-US"/>
              </w:rPr>
            </w:pPr>
          </w:p>
        </w:tc>
        <w:tc>
          <w:tcPr>
            <w:tcW w:w="1560" w:type="dxa"/>
          </w:tcPr>
          <w:p w14:paraId="1F68E6C7" w14:textId="77777777" w:rsidR="0010523F" w:rsidRPr="0010523F" w:rsidRDefault="0010523F" w:rsidP="0010523F">
            <w:pPr>
              <w:tabs>
                <w:tab w:val="left" w:pos="426"/>
              </w:tabs>
              <w:spacing w:line="140" w:lineRule="exact"/>
              <w:ind w:left="562" w:hanging="562"/>
              <w:rPr>
                <w:lang w:val="es-AR" w:eastAsia="en-US"/>
              </w:rPr>
            </w:pPr>
          </w:p>
        </w:tc>
        <w:tc>
          <w:tcPr>
            <w:tcW w:w="1660" w:type="dxa"/>
          </w:tcPr>
          <w:p w14:paraId="166A2AD9" w14:textId="77777777" w:rsidR="0010523F" w:rsidRPr="0010523F" w:rsidRDefault="0010523F" w:rsidP="0010523F">
            <w:pPr>
              <w:tabs>
                <w:tab w:val="left" w:pos="426"/>
              </w:tabs>
              <w:spacing w:line="140" w:lineRule="exact"/>
              <w:ind w:left="562" w:hanging="562"/>
              <w:rPr>
                <w:highlight w:val="yellow"/>
                <w:lang w:val="es-AR" w:eastAsia="en-US"/>
              </w:rPr>
            </w:pPr>
          </w:p>
        </w:tc>
      </w:tr>
      <w:tr w:rsidR="0010523F" w:rsidRPr="0010523F" w14:paraId="177589E4" w14:textId="77777777" w:rsidTr="00774E7E">
        <w:trPr>
          <w:gridBefore w:val="1"/>
          <w:wBefore w:w="14" w:type="dxa"/>
          <w:trHeight w:val="283"/>
        </w:trPr>
        <w:tc>
          <w:tcPr>
            <w:tcW w:w="6521" w:type="dxa"/>
          </w:tcPr>
          <w:p w14:paraId="0568E9E1" w14:textId="77777777" w:rsidR="0010523F" w:rsidRPr="0010523F" w:rsidRDefault="0010523F" w:rsidP="0010523F">
            <w:pPr>
              <w:tabs>
                <w:tab w:val="left" w:pos="426"/>
              </w:tabs>
              <w:ind w:left="37"/>
              <w:rPr>
                <w:lang w:val="es-AR" w:eastAsia="en-US"/>
              </w:rPr>
            </w:pPr>
            <w:r w:rsidRPr="0010523F">
              <w:rPr>
                <w:lang w:val="es-AR" w:eastAsia="en-US"/>
              </w:rPr>
              <w:t>Total cuentas por pagar corrientes</w:t>
            </w:r>
          </w:p>
        </w:tc>
        <w:tc>
          <w:tcPr>
            <w:tcW w:w="1560" w:type="dxa"/>
          </w:tcPr>
          <w:p w14:paraId="24E104E7" w14:textId="77777777" w:rsidR="0010523F" w:rsidRPr="0010523F" w:rsidRDefault="0010523F" w:rsidP="0010523F">
            <w:pPr>
              <w:tabs>
                <w:tab w:val="left" w:pos="426"/>
              </w:tabs>
              <w:ind w:left="567" w:hanging="567"/>
              <w:jc w:val="right"/>
              <w:rPr>
                <w:u w:val="double"/>
                <w:lang w:val="es-AR" w:eastAsia="en-US"/>
              </w:rPr>
            </w:pPr>
            <w:r w:rsidRPr="0010523F">
              <w:rPr>
                <w:u w:val="double"/>
                <w:lang w:val="es-AR" w:eastAsia="en-US"/>
              </w:rPr>
              <w:t>28.681</w:t>
            </w:r>
          </w:p>
        </w:tc>
        <w:tc>
          <w:tcPr>
            <w:tcW w:w="1660" w:type="dxa"/>
          </w:tcPr>
          <w:p w14:paraId="6785EA2C" w14:textId="77777777" w:rsidR="0010523F" w:rsidRPr="0010523F" w:rsidRDefault="0010523F" w:rsidP="0010523F">
            <w:pPr>
              <w:tabs>
                <w:tab w:val="left" w:pos="426"/>
              </w:tabs>
              <w:ind w:left="567" w:hanging="567"/>
              <w:jc w:val="right"/>
              <w:rPr>
                <w:highlight w:val="yellow"/>
                <w:u w:val="double"/>
                <w:lang w:val="es-AR" w:eastAsia="en-US"/>
              </w:rPr>
            </w:pPr>
            <w:r w:rsidRPr="0010523F">
              <w:rPr>
                <w:u w:val="double"/>
                <w:lang w:val="es-AR" w:eastAsia="en-US"/>
              </w:rPr>
              <w:t>22.244</w:t>
            </w:r>
          </w:p>
        </w:tc>
      </w:tr>
    </w:tbl>
    <w:p w14:paraId="1337C134" w14:textId="77777777" w:rsidR="0010523F" w:rsidRPr="0010523F" w:rsidRDefault="0010523F" w:rsidP="0010523F">
      <w:pPr>
        <w:spacing w:line="220" w:lineRule="exact"/>
        <w:ind w:left="1134" w:hanging="1134"/>
        <w:jc w:val="both"/>
        <w:rPr>
          <w:sz w:val="22"/>
          <w:szCs w:val="22"/>
          <w:lang w:val="es-AR" w:eastAsia="en-US"/>
        </w:rPr>
      </w:pPr>
    </w:p>
    <w:p w14:paraId="5CFBA568"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NOTA 4 -</w:t>
      </w:r>
      <w:r w:rsidRPr="0010523F">
        <w:rPr>
          <w:b/>
          <w:szCs w:val="20"/>
          <w:lang w:val="es-AR" w:eastAsia="en-US"/>
        </w:rPr>
        <w:tab/>
        <w:t xml:space="preserve"> COMPOSICIÓN DE CIERTOS RUBROS DEL ESTADO DEL RESULTADO INTERMEDIO CONDENSADO</w:t>
      </w:r>
    </w:p>
    <w:p w14:paraId="3D05657E" w14:textId="77777777" w:rsidR="0010523F" w:rsidRPr="0010523F" w:rsidRDefault="0010523F" w:rsidP="0010523F">
      <w:pPr>
        <w:spacing w:line="180" w:lineRule="exact"/>
        <w:jc w:val="both"/>
        <w:rPr>
          <w:sz w:val="14"/>
          <w:szCs w:val="20"/>
          <w:lang w:val="es-AR" w:eastAsia="en-US"/>
        </w:rPr>
      </w:pPr>
    </w:p>
    <w:p w14:paraId="13135D08" w14:textId="77777777" w:rsidR="0010523F" w:rsidRPr="0010523F" w:rsidRDefault="0010523F" w:rsidP="00E2318E">
      <w:pPr>
        <w:keepNext/>
        <w:widowControl w:val="0"/>
        <w:numPr>
          <w:ilvl w:val="0"/>
          <w:numId w:val="71"/>
        </w:numPr>
        <w:tabs>
          <w:tab w:val="decimal" w:pos="4962"/>
          <w:tab w:val="decimal" w:pos="6379"/>
          <w:tab w:val="decimal" w:pos="7797"/>
          <w:tab w:val="decimal" w:pos="9214"/>
          <w:tab w:val="decimal" w:pos="10490"/>
          <w:tab w:val="decimal" w:pos="12049"/>
          <w:tab w:val="decimal" w:pos="13325"/>
          <w:tab w:val="decimal" w:pos="14601"/>
        </w:tabs>
        <w:spacing w:line="220" w:lineRule="exact"/>
        <w:ind w:left="426" w:right="12"/>
        <w:jc w:val="both"/>
        <w:outlineLvl w:val="3"/>
        <w:rPr>
          <w:szCs w:val="20"/>
          <w:lang w:val="es-AR" w:eastAsia="en-US"/>
        </w:rPr>
      </w:pPr>
      <w:bookmarkStart w:id="163" w:name="_Toc306957451"/>
      <w:bookmarkStart w:id="164" w:name="_Toc309132476"/>
      <w:r w:rsidRPr="0010523F">
        <w:rPr>
          <w:szCs w:val="20"/>
          <w:lang w:val="es-AR" w:eastAsia="en-US"/>
        </w:rPr>
        <w:t>Ventas netas y subvenciones</w:t>
      </w:r>
    </w:p>
    <w:p w14:paraId="68E4AF9B" w14:textId="77777777" w:rsidR="0010523F" w:rsidRPr="0010523F" w:rsidRDefault="0010523F" w:rsidP="0010523F">
      <w:pPr>
        <w:spacing w:line="220" w:lineRule="exact"/>
        <w:jc w:val="both"/>
        <w:rPr>
          <w:sz w:val="10"/>
          <w:szCs w:val="20"/>
          <w:lang w:val="es-AR" w:eastAsia="en-US"/>
        </w:rPr>
      </w:pPr>
    </w:p>
    <w:p w14:paraId="2831B3E3" w14:textId="77777777" w:rsidR="0010523F" w:rsidRPr="0010523F" w:rsidRDefault="0010523F" w:rsidP="0010523F">
      <w:pPr>
        <w:keepNext/>
        <w:widowControl w:val="0"/>
        <w:tabs>
          <w:tab w:val="decimal" w:pos="4962"/>
          <w:tab w:val="decimal" w:pos="6379"/>
          <w:tab w:val="decimal" w:pos="7797"/>
          <w:tab w:val="decimal" w:pos="9214"/>
          <w:tab w:val="decimal" w:pos="10490"/>
          <w:tab w:val="decimal" w:pos="12049"/>
          <w:tab w:val="decimal" w:pos="13325"/>
          <w:tab w:val="decimal" w:pos="14601"/>
        </w:tabs>
        <w:spacing w:line="220" w:lineRule="exact"/>
        <w:ind w:left="142" w:right="12"/>
        <w:jc w:val="both"/>
        <w:outlineLvl w:val="3"/>
        <w:rPr>
          <w:szCs w:val="20"/>
          <w:lang w:val="es-AR" w:eastAsia="en-US"/>
        </w:rPr>
      </w:pPr>
      <w:r w:rsidRPr="0010523F">
        <w:rPr>
          <w:szCs w:val="20"/>
          <w:lang w:val="es-AR" w:eastAsia="en-US"/>
        </w:rPr>
        <w:t>a.1) Apertura por producto</w:t>
      </w:r>
      <w:r w:rsidRPr="0010523F">
        <w:rPr>
          <w:szCs w:val="20"/>
          <w:lang w:val="es-AR" w:eastAsia="en-US"/>
        </w:rPr>
        <w:tab/>
      </w:r>
      <w:r w:rsidRPr="0010523F">
        <w:rPr>
          <w:szCs w:val="20"/>
          <w:lang w:val="es-AR" w:eastAsia="en-US"/>
        </w:rPr>
        <w:tab/>
      </w:r>
      <w:r w:rsidRPr="0010523F">
        <w:rPr>
          <w:szCs w:val="20"/>
          <w:lang w:val="es-AR" w:eastAsia="en-US"/>
        </w:rPr>
        <w:tab/>
      </w:r>
    </w:p>
    <w:tbl>
      <w:tblPr>
        <w:tblW w:w="9923" w:type="dxa"/>
        <w:tblInd w:w="108" w:type="dxa"/>
        <w:tblLayout w:type="fixed"/>
        <w:tblLook w:val="0000" w:firstRow="0" w:lastRow="0" w:firstColumn="0" w:lastColumn="0" w:noHBand="0" w:noVBand="0"/>
      </w:tblPr>
      <w:tblGrid>
        <w:gridCol w:w="4820"/>
        <w:gridCol w:w="1276"/>
        <w:gridCol w:w="1275"/>
        <w:gridCol w:w="1276"/>
        <w:gridCol w:w="1276"/>
      </w:tblGrid>
      <w:tr w:rsidR="0010523F" w:rsidRPr="0010523F" w14:paraId="4B00D537" w14:textId="77777777" w:rsidTr="00774E7E">
        <w:trPr>
          <w:trHeight w:val="283"/>
        </w:trPr>
        <w:tc>
          <w:tcPr>
            <w:tcW w:w="4820" w:type="dxa"/>
            <w:vAlign w:val="bottom"/>
          </w:tcPr>
          <w:p w14:paraId="15CED87E" w14:textId="77777777" w:rsidR="0010523F" w:rsidRPr="0010523F" w:rsidRDefault="0010523F" w:rsidP="0010523F">
            <w:pPr>
              <w:spacing w:line="220" w:lineRule="exact"/>
              <w:jc w:val="both"/>
              <w:rPr>
                <w:bCs/>
                <w:lang w:val="es-AR" w:eastAsia="en-US"/>
              </w:rPr>
            </w:pPr>
          </w:p>
        </w:tc>
        <w:tc>
          <w:tcPr>
            <w:tcW w:w="1276" w:type="dxa"/>
            <w:vAlign w:val="bottom"/>
          </w:tcPr>
          <w:p w14:paraId="3B542920" w14:textId="77777777" w:rsidR="0010523F" w:rsidRPr="0010523F" w:rsidRDefault="0010523F" w:rsidP="0010523F">
            <w:pPr>
              <w:spacing w:line="220" w:lineRule="exact"/>
              <w:ind w:left="-108" w:right="-136" w:firstLine="3438"/>
              <w:jc w:val="center"/>
              <w:rPr>
                <w:bCs/>
                <w:lang w:val="es-AR" w:eastAsia="en-US"/>
              </w:rPr>
            </w:pPr>
            <w:r w:rsidRPr="0010523F">
              <w:rPr>
                <w:bCs/>
                <w:lang w:val="es-AR" w:eastAsia="en-US"/>
              </w:rPr>
              <w:t>22019</w:t>
            </w:r>
          </w:p>
        </w:tc>
        <w:tc>
          <w:tcPr>
            <w:tcW w:w="1275" w:type="dxa"/>
            <w:vAlign w:val="bottom"/>
          </w:tcPr>
          <w:p w14:paraId="26BA71D1" w14:textId="77777777" w:rsidR="0010523F" w:rsidRPr="0010523F" w:rsidRDefault="0010523F" w:rsidP="0010523F">
            <w:pPr>
              <w:spacing w:line="220" w:lineRule="exact"/>
              <w:ind w:left="-108"/>
              <w:jc w:val="center"/>
              <w:rPr>
                <w:bCs/>
                <w:lang w:val="es-AR" w:eastAsia="en-US"/>
              </w:rPr>
            </w:pPr>
            <w:r w:rsidRPr="0010523F">
              <w:rPr>
                <w:bCs/>
                <w:lang w:val="es-AR" w:eastAsia="en-US"/>
              </w:rPr>
              <w:t>2018</w:t>
            </w:r>
          </w:p>
        </w:tc>
        <w:tc>
          <w:tcPr>
            <w:tcW w:w="1276" w:type="dxa"/>
            <w:vAlign w:val="bottom"/>
          </w:tcPr>
          <w:p w14:paraId="59AD1373" w14:textId="77777777" w:rsidR="0010523F" w:rsidRPr="0010523F" w:rsidRDefault="0010523F" w:rsidP="0010523F">
            <w:pPr>
              <w:spacing w:line="220" w:lineRule="exact"/>
              <w:ind w:left="-108"/>
              <w:jc w:val="center"/>
              <w:rPr>
                <w:bCs/>
                <w:lang w:val="es-AR" w:eastAsia="en-US"/>
              </w:rPr>
            </w:pPr>
            <w:r w:rsidRPr="0010523F">
              <w:rPr>
                <w:bCs/>
                <w:lang w:val="es-AR" w:eastAsia="en-US"/>
              </w:rPr>
              <w:t>2019</w:t>
            </w:r>
          </w:p>
        </w:tc>
        <w:tc>
          <w:tcPr>
            <w:tcW w:w="1276" w:type="dxa"/>
            <w:vAlign w:val="bottom"/>
          </w:tcPr>
          <w:p w14:paraId="5FD00947" w14:textId="77777777" w:rsidR="0010523F" w:rsidRPr="0010523F" w:rsidRDefault="0010523F" w:rsidP="0010523F">
            <w:pPr>
              <w:spacing w:line="220" w:lineRule="exact"/>
              <w:ind w:left="-108"/>
              <w:jc w:val="center"/>
              <w:rPr>
                <w:bCs/>
                <w:lang w:val="es-AR" w:eastAsia="en-US"/>
              </w:rPr>
            </w:pPr>
            <w:r w:rsidRPr="0010523F">
              <w:rPr>
                <w:bCs/>
                <w:lang w:val="es-AR" w:eastAsia="en-US"/>
              </w:rPr>
              <w:t>2018</w:t>
            </w:r>
          </w:p>
        </w:tc>
      </w:tr>
      <w:tr w:rsidR="0010523F" w:rsidRPr="0010523F" w14:paraId="00E08A78" w14:textId="77777777" w:rsidTr="00774E7E">
        <w:tc>
          <w:tcPr>
            <w:tcW w:w="4820" w:type="dxa"/>
            <w:vAlign w:val="bottom"/>
          </w:tcPr>
          <w:p w14:paraId="7A007273" w14:textId="77777777" w:rsidR="0010523F" w:rsidRPr="0010523F" w:rsidRDefault="0010523F" w:rsidP="0010523F">
            <w:pPr>
              <w:tabs>
                <w:tab w:val="left" w:pos="567"/>
                <w:tab w:val="decimal" w:pos="7513"/>
                <w:tab w:val="decimal" w:pos="9356"/>
              </w:tabs>
              <w:ind w:right="-3546"/>
              <w:jc w:val="both"/>
              <w:rPr>
                <w:bCs/>
                <w:lang w:val="es-AR" w:eastAsia="en-US"/>
              </w:rPr>
            </w:pPr>
          </w:p>
        </w:tc>
        <w:tc>
          <w:tcPr>
            <w:tcW w:w="1276" w:type="dxa"/>
            <w:vAlign w:val="bottom"/>
          </w:tcPr>
          <w:p w14:paraId="7E338CF3" w14:textId="77777777" w:rsidR="0010523F" w:rsidRPr="0010523F" w:rsidRDefault="0010523F" w:rsidP="0010523F">
            <w:pPr>
              <w:jc w:val="center"/>
              <w:rPr>
                <w:bCs/>
                <w:u w:val="single"/>
                <w:lang w:val="es-AR" w:eastAsia="en-US"/>
              </w:rPr>
            </w:pPr>
            <w:r w:rsidRPr="0010523F">
              <w:rPr>
                <w:bCs/>
                <w:lang w:val="es-AR" w:eastAsia="en-US"/>
              </w:rPr>
              <w:t>(tercer</w:t>
            </w:r>
            <w:r w:rsidRPr="0010523F">
              <w:rPr>
                <w:bCs/>
                <w:u w:val="single"/>
                <w:lang w:val="es-AR" w:eastAsia="en-US"/>
              </w:rPr>
              <w:t xml:space="preserve"> trimestre</w:t>
            </w:r>
            <w:r w:rsidRPr="0010523F">
              <w:rPr>
                <w:bCs/>
                <w:lang w:val="es-AR" w:eastAsia="en-US"/>
              </w:rPr>
              <w:t>)</w:t>
            </w:r>
          </w:p>
        </w:tc>
        <w:tc>
          <w:tcPr>
            <w:tcW w:w="1275" w:type="dxa"/>
            <w:vAlign w:val="bottom"/>
          </w:tcPr>
          <w:p w14:paraId="1AB34B21" w14:textId="77777777" w:rsidR="0010523F" w:rsidRPr="0010523F" w:rsidRDefault="0010523F" w:rsidP="0010523F">
            <w:pPr>
              <w:ind w:left="-108"/>
              <w:jc w:val="center"/>
              <w:rPr>
                <w:bCs/>
                <w:u w:val="single"/>
                <w:lang w:val="es-AR" w:eastAsia="en-US"/>
              </w:rPr>
            </w:pPr>
            <w:r w:rsidRPr="0010523F">
              <w:rPr>
                <w:bCs/>
                <w:lang w:val="es-AR" w:eastAsia="en-US"/>
              </w:rPr>
              <w:t xml:space="preserve">(tercer </w:t>
            </w:r>
            <w:r w:rsidRPr="0010523F">
              <w:rPr>
                <w:bCs/>
                <w:u w:val="single"/>
                <w:lang w:val="es-AR" w:eastAsia="en-US"/>
              </w:rPr>
              <w:t>trimestre</w:t>
            </w:r>
            <w:r w:rsidRPr="0010523F">
              <w:rPr>
                <w:bCs/>
                <w:lang w:val="es-AR" w:eastAsia="en-US"/>
              </w:rPr>
              <w:t>)</w:t>
            </w:r>
          </w:p>
        </w:tc>
        <w:tc>
          <w:tcPr>
            <w:tcW w:w="1276" w:type="dxa"/>
            <w:vAlign w:val="bottom"/>
          </w:tcPr>
          <w:p w14:paraId="6B55E669" w14:textId="77777777" w:rsidR="0010523F" w:rsidRPr="0010523F" w:rsidRDefault="0010523F" w:rsidP="0010523F">
            <w:pPr>
              <w:ind w:left="-108"/>
              <w:jc w:val="center"/>
              <w:rPr>
                <w:bCs/>
                <w:u w:val="single"/>
                <w:lang w:val="es-AR" w:eastAsia="en-US"/>
              </w:rPr>
            </w:pPr>
            <w:r w:rsidRPr="0010523F">
              <w:rPr>
                <w:bCs/>
                <w:u w:val="single"/>
                <w:lang w:val="es-AR" w:eastAsia="en-US"/>
              </w:rPr>
              <w:t>(9 meses)</w:t>
            </w:r>
          </w:p>
        </w:tc>
        <w:tc>
          <w:tcPr>
            <w:tcW w:w="1276" w:type="dxa"/>
            <w:vAlign w:val="bottom"/>
          </w:tcPr>
          <w:p w14:paraId="5975378A" w14:textId="77777777" w:rsidR="0010523F" w:rsidRPr="0010523F" w:rsidRDefault="0010523F" w:rsidP="0010523F">
            <w:pPr>
              <w:ind w:left="-108"/>
              <w:jc w:val="center"/>
              <w:rPr>
                <w:bCs/>
                <w:u w:val="single"/>
                <w:lang w:val="es-AR" w:eastAsia="en-US"/>
              </w:rPr>
            </w:pPr>
            <w:r w:rsidRPr="0010523F">
              <w:rPr>
                <w:bCs/>
                <w:u w:val="single"/>
                <w:lang w:val="es-AR" w:eastAsia="en-US"/>
              </w:rPr>
              <w:t>(9 meses)</w:t>
            </w:r>
          </w:p>
        </w:tc>
      </w:tr>
      <w:tr w:rsidR="0010523F" w:rsidRPr="0010523F" w14:paraId="1E848AED" w14:textId="77777777" w:rsidTr="00774E7E">
        <w:tc>
          <w:tcPr>
            <w:tcW w:w="4820" w:type="dxa"/>
            <w:vAlign w:val="bottom"/>
          </w:tcPr>
          <w:p w14:paraId="412CCF32" w14:textId="77777777" w:rsidR="0010523F" w:rsidRPr="0010523F" w:rsidRDefault="0010523F" w:rsidP="0010523F">
            <w:pPr>
              <w:tabs>
                <w:tab w:val="left" w:pos="567"/>
                <w:tab w:val="decimal" w:pos="7513"/>
                <w:tab w:val="decimal" w:pos="9356"/>
              </w:tabs>
              <w:spacing w:line="220" w:lineRule="exact"/>
              <w:jc w:val="both"/>
              <w:rPr>
                <w:bCs/>
                <w:lang w:val="es-AR" w:eastAsia="en-US"/>
              </w:rPr>
            </w:pPr>
            <w:r w:rsidRPr="0010523F">
              <w:rPr>
                <w:bCs/>
                <w:lang w:val="es-AR" w:eastAsia="en-US"/>
              </w:rPr>
              <w:t>Upstream</w:t>
            </w:r>
          </w:p>
        </w:tc>
        <w:tc>
          <w:tcPr>
            <w:tcW w:w="1276" w:type="dxa"/>
            <w:vAlign w:val="bottom"/>
          </w:tcPr>
          <w:p w14:paraId="6F159471" w14:textId="77777777" w:rsidR="0010523F" w:rsidRPr="0010523F" w:rsidRDefault="0010523F" w:rsidP="0010523F">
            <w:pPr>
              <w:tabs>
                <w:tab w:val="decimal" w:pos="1152"/>
              </w:tabs>
              <w:spacing w:line="220" w:lineRule="exact"/>
              <w:ind w:left="-108"/>
              <w:jc w:val="both"/>
              <w:rPr>
                <w:b/>
                <w:bCs/>
                <w:lang w:val="es-AR" w:eastAsia="en-US"/>
              </w:rPr>
            </w:pPr>
          </w:p>
        </w:tc>
        <w:tc>
          <w:tcPr>
            <w:tcW w:w="1275" w:type="dxa"/>
            <w:vAlign w:val="bottom"/>
          </w:tcPr>
          <w:p w14:paraId="29ECB235" w14:textId="77777777" w:rsidR="0010523F" w:rsidRPr="0010523F" w:rsidRDefault="0010523F" w:rsidP="0010523F">
            <w:pPr>
              <w:tabs>
                <w:tab w:val="decimal" w:pos="1236"/>
              </w:tabs>
              <w:spacing w:line="220" w:lineRule="exact"/>
              <w:ind w:left="-108"/>
              <w:jc w:val="both"/>
              <w:rPr>
                <w:b/>
                <w:bCs/>
                <w:lang w:val="es-AR" w:eastAsia="en-US"/>
              </w:rPr>
            </w:pPr>
          </w:p>
        </w:tc>
        <w:tc>
          <w:tcPr>
            <w:tcW w:w="1276" w:type="dxa"/>
          </w:tcPr>
          <w:p w14:paraId="787D582B" w14:textId="77777777" w:rsidR="0010523F" w:rsidRPr="0010523F" w:rsidRDefault="0010523F" w:rsidP="0010523F">
            <w:pPr>
              <w:tabs>
                <w:tab w:val="decimal" w:pos="1236"/>
              </w:tabs>
              <w:spacing w:line="220" w:lineRule="exact"/>
              <w:ind w:left="-108"/>
              <w:jc w:val="both"/>
              <w:rPr>
                <w:b/>
                <w:bCs/>
                <w:lang w:val="es-AR" w:eastAsia="en-US"/>
              </w:rPr>
            </w:pPr>
          </w:p>
        </w:tc>
        <w:tc>
          <w:tcPr>
            <w:tcW w:w="1276" w:type="dxa"/>
          </w:tcPr>
          <w:p w14:paraId="7BAC5D4F" w14:textId="77777777" w:rsidR="0010523F" w:rsidRPr="0010523F" w:rsidRDefault="0010523F" w:rsidP="0010523F">
            <w:pPr>
              <w:tabs>
                <w:tab w:val="decimal" w:pos="1236"/>
              </w:tabs>
              <w:spacing w:line="220" w:lineRule="exact"/>
              <w:ind w:left="-108"/>
              <w:jc w:val="both"/>
              <w:rPr>
                <w:b/>
                <w:bCs/>
                <w:lang w:val="es-AR" w:eastAsia="en-US"/>
              </w:rPr>
            </w:pPr>
          </w:p>
        </w:tc>
      </w:tr>
      <w:tr w:rsidR="0010523F" w:rsidRPr="0010523F" w14:paraId="39696D77" w14:textId="77777777" w:rsidTr="00774E7E">
        <w:trPr>
          <w:trHeight w:val="255"/>
        </w:trPr>
        <w:tc>
          <w:tcPr>
            <w:tcW w:w="4820" w:type="dxa"/>
            <w:vAlign w:val="bottom"/>
          </w:tcPr>
          <w:p w14:paraId="5DD256E0" w14:textId="77777777" w:rsidR="0010523F" w:rsidRPr="0010523F" w:rsidRDefault="0010523F" w:rsidP="0010523F">
            <w:pPr>
              <w:spacing w:line="220" w:lineRule="exact"/>
              <w:ind w:left="284" w:right="-108"/>
              <w:jc w:val="both"/>
              <w:rPr>
                <w:lang w:val="es-AR" w:eastAsia="en-US"/>
              </w:rPr>
            </w:pPr>
            <w:r w:rsidRPr="0010523F">
              <w:rPr>
                <w:lang w:val="es-AR" w:eastAsia="en-US"/>
              </w:rPr>
              <w:t xml:space="preserve">Petróleo </w:t>
            </w:r>
          </w:p>
        </w:tc>
        <w:tc>
          <w:tcPr>
            <w:tcW w:w="1276" w:type="dxa"/>
            <w:vAlign w:val="bottom"/>
          </w:tcPr>
          <w:p w14:paraId="695BB2BA" w14:textId="77777777" w:rsidR="0010523F" w:rsidRPr="0010523F" w:rsidRDefault="0010523F" w:rsidP="0010523F">
            <w:pPr>
              <w:spacing w:line="220" w:lineRule="exact"/>
              <w:ind w:left="-108" w:right="87"/>
              <w:jc w:val="right"/>
              <w:rPr>
                <w:lang w:val="es-AR" w:eastAsia="en-US"/>
              </w:rPr>
            </w:pPr>
            <w:r w:rsidRPr="0010523F">
              <w:rPr>
                <w:lang w:val="es-AR" w:eastAsia="en-US"/>
              </w:rPr>
              <w:t>13.410</w:t>
            </w:r>
          </w:p>
        </w:tc>
        <w:tc>
          <w:tcPr>
            <w:tcW w:w="1275" w:type="dxa"/>
            <w:vAlign w:val="bottom"/>
          </w:tcPr>
          <w:p w14:paraId="7DE48439" w14:textId="77777777" w:rsidR="0010523F" w:rsidRPr="0010523F" w:rsidRDefault="0010523F" w:rsidP="0010523F">
            <w:pPr>
              <w:spacing w:line="220" w:lineRule="exact"/>
              <w:ind w:left="-108"/>
              <w:jc w:val="right"/>
              <w:rPr>
                <w:lang w:val="es-AR" w:eastAsia="en-US"/>
              </w:rPr>
            </w:pPr>
            <w:r w:rsidRPr="0010523F">
              <w:rPr>
                <w:lang w:val="es-AR" w:eastAsia="en-US"/>
              </w:rPr>
              <w:t>10.515</w:t>
            </w:r>
          </w:p>
        </w:tc>
        <w:tc>
          <w:tcPr>
            <w:tcW w:w="1276" w:type="dxa"/>
            <w:vAlign w:val="bottom"/>
          </w:tcPr>
          <w:p w14:paraId="42B18C2C" w14:textId="77777777" w:rsidR="0010523F" w:rsidRPr="0010523F" w:rsidRDefault="0010523F" w:rsidP="0010523F">
            <w:pPr>
              <w:spacing w:line="220" w:lineRule="exact"/>
              <w:ind w:left="-108"/>
              <w:jc w:val="right"/>
              <w:rPr>
                <w:lang w:val="en-US" w:eastAsia="en-US"/>
              </w:rPr>
            </w:pPr>
            <w:r w:rsidRPr="0010523F">
              <w:rPr>
                <w:lang w:val="en-US" w:eastAsia="en-US"/>
              </w:rPr>
              <w:t>30.042</w:t>
            </w:r>
          </w:p>
        </w:tc>
        <w:tc>
          <w:tcPr>
            <w:tcW w:w="1276" w:type="dxa"/>
            <w:vAlign w:val="bottom"/>
          </w:tcPr>
          <w:p w14:paraId="305B4B6D" w14:textId="77777777" w:rsidR="0010523F" w:rsidRPr="0010523F" w:rsidRDefault="0010523F" w:rsidP="0010523F">
            <w:pPr>
              <w:spacing w:line="220" w:lineRule="exact"/>
              <w:ind w:left="-108"/>
              <w:jc w:val="right"/>
              <w:rPr>
                <w:lang w:val="en-US" w:eastAsia="en-US"/>
              </w:rPr>
            </w:pPr>
            <w:r w:rsidRPr="0010523F">
              <w:rPr>
                <w:lang w:val="es-AR" w:eastAsia="en-US"/>
              </w:rPr>
              <w:t>27.435</w:t>
            </w:r>
          </w:p>
        </w:tc>
      </w:tr>
      <w:tr w:rsidR="0010523F" w:rsidRPr="0010523F" w14:paraId="5101CEEA" w14:textId="77777777" w:rsidTr="00774E7E">
        <w:trPr>
          <w:trHeight w:val="255"/>
        </w:trPr>
        <w:tc>
          <w:tcPr>
            <w:tcW w:w="4820" w:type="dxa"/>
            <w:vAlign w:val="bottom"/>
          </w:tcPr>
          <w:p w14:paraId="1C99320B" w14:textId="77777777" w:rsidR="0010523F" w:rsidRPr="0010523F" w:rsidRDefault="0010523F" w:rsidP="0010523F">
            <w:pPr>
              <w:spacing w:line="220" w:lineRule="exact"/>
              <w:ind w:left="284" w:right="-108"/>
              <w:jc w:val="both"/>
              <w:rPr>
                <w:lang w:val="es-AR" w:eastAsia="en-US"/>
              </w:rPr>
            </w:pPr>
            <w:r w:rsidRPr="0010523F">
              <w:rPr>
                <w:lang w:val="es-AR" w:eastAsia="en-US"/>
              </w:rPr>
              <w:t>Gas natural</w:t>
            </w:r>
          </w:p>
        </w:tc>
        <w:tc>
          <w:tcPr>
            <w:tcW w:w="1276" w:type="dxa"/>
            <w:vAlign w:val="bottom"/>
          </w:tcPr>
          <w:p w14:paraId="3C21923C" w14:textId="77777777" w:rsidR="0010523F" w:rsidRPr="0010523F" w:rsidRDefault="0010523F" w:rsidP="0010523F">
            <w:pPr>
              <w:spacing w:line="220" w:lineRule="exact"/>
              <w:ind w:left="-108" w:right="87"/>
              <w:jc w:val="right"/>
              <w:rPr>
                <w:lang w:val="es-AR" w:eastAsia="en-US"/>
              </w:rPr>
            </w:pPr>
            <w:r w:rsidRPr="0010523F">
              <w:rPr>
                <w:lang w:val="es-AR" w:eastAsia="en-US"/>
              </w:rPr>
              <w:t>6.427</w:t>
            </w:r>
          </w:p>
        </w:tc>
        <w:tc>
          <w:tcPr>
            <w:tcW w:w="1275" w:type="dxa"/>
            <w:vAlign w:val="bottom"/>
          </w:tcPr>
          <w:p w14:paraId="6EF3D126" w14:textId="77777777" w:rsidR="0010523F" w:rsidRPr="0010523F" w:rsidRDefault="0010523F" w:rsidP="0010523F">
            <w:pPr>
              <w:spacing w:line="220" w:lineRule="exact"/>
              <w:ind w:left="-108"/>
              <w:jc w:val="right"/>
              <w:rPr>
                <w:lang w:val="es-AR" w:eastAsia="en-US"/>
              </w:rPr>
            </w:pPr>
            <w:r w:rsidRPr="0010523F">
              <w:rPr>
                <w:lang w:val="es-AR" w:eastAsia="en-US"/>
              </w:rPr>
              <w:t>5.771</w:t>
            </w:r>
          </w:p>
        </w:tc>
        <w:tc>
          <w:tcPr>
            <w:tcW w:w="1276" w:type="dxa"/>
            <w:vAlign w:val="bottom"/>
          </w:tcPr>
          <w:p w14:paraId="1AAB9857" w14:textId="77777777" w:rsidR="0010523F" w:rsidRPr="0010523F" w:rsidRDefault="0010523F" w:rsidP="0010523F">
            <w:pPr>
              <w:spacing w:line="220" w:lineRule="exact"/>
              <w:ind w:left="-108"/>
              <w:jc w:val="right"/>
              <w:rPr>
                <w:lang w:val="en-US" w:eastAsia="en-US"/>
              </w:rPr>
            </w:pPr>
            <w:r w:rsidRPr="0010523F">
              <w:rPr>
                <w:lang w:val="en-US" w:eastAsia="en-US"/>
              </w:rPr>
              <w:t>16.837</w:t>
            </w:r>
          </w:p>
        </w:tc>
        <w:tc>
          <w:tcPr>
            <w:tcW w:w="1276" w:type="dxa"/>
            <w:vAlign w:val="bottom"/>
          </w:tcPr>
          <w:p w14:paraId="44000D0F" w14:textId="77777777" w:rsidR="0010523F" w:rsidRPr="0010523F" w:rsidRDefault="0010523F" w:rsidP="0010523F">
            <w:pPr>
              <w:spacing w:line="220" w:lineRule="exact"/>
              <w:ind w:left="-108"/>
              <w:jc w:val="right"/>
              <w:rPr>
                <w:lang w:val="en-US" w:eastAsia="en-US"/>
              </w:rPr>
            </w:pPr>
            <w:r w:rsidRPr="0010523F">
              <w:rPr>
                <w:lang w:val="es-AR" w:eastAsia="en-US"/>
              </w:rPr>
              <w:t>12.392</w:t>
            </w:r>
          </w:p>
        </w:tc>
      </w:tr>
      <w:tr w:rsidR="0010523F" w:rsidRPr="0010523F" w14:paraId="25A8EA86" w14:textId="77777777" w:rsidTr="00774E7E">
        <w:trPr>
          <w:trHeight w:val="255"/>
        </w:trPr>
        <w:tc>
          <w:tcPr>
            <w:tcW w:w="4820" w:type="dxa"/>
            <w:vAlign w:val="bottom"/>
          </w:tcPr>
          <w:p w14:paraId="4D6BD860" w14:textId="77777777" w:rsidR="0010523F" w:rsidRPr="0010523F" w:rsidRDefault="0010523F" w:rsidP="0010523F">
            <w:pPr>
              <w:spacing w:line="220" w:lineRule="exact"/>
              <w:ind w:left="284" w:right="-108"/>
              <w:jc w:val="both"/>
              <w:rPr>
                <w:lang w:val="es-AR" w:eastAsia="en-US"/>
              </w:rPr>
            </w:pPr>
            <w:r w:rsidRPr="0010523F">
              <w:rPr>
                <w:lang w:val="es-AR" w:eastAsia="en-US"/>
              </w:rPr>
              <w:t xml:space="preserve">Diversos </w:t>
            </w:r>
          </w:p>
        </w:tc>
        <w:tc>
          <w:tcPr>
            <w:tcW w:w="1276" w:type="dxa"/>
            <w:vAlign w:val="bottom"/>
          </w:tcPr>
          <w:p w14:paraId="3D58ADE5" w14:textId="77777777" w:rsidR="0010523F" w:rsidRPr="0010523F" w:rsidRDefault="0010523F" w:rsidP="0010523F">
            <w:pPr>
              <w:spacing w:line="220" w:lineRule="exact"/>
              <w:ind w:left="-108" w:right="87"/>
              <w:jc w:val="right"/>
              <w:rPr>
                <w:lang w:val="es-AR" w:eastAsia="en-US"/>
              </w:rPr>
            </w:pPr>
            <w:r w:rsidRPr="0010523F">
              <w:rPr>
                <w:lang w:val="es-AR" w:eastAsia="en-US"/>
              </w:rPr>
              <w:t>58</w:t>
            </w:r>
          </w:p>
        </w:tc>
        <w:tc>
          <w:tcPr>
            <w:tcW w:w="1275" w:type="dxa"/>
            <w:vAlign w:val="bottom"/>
          </w:tcPr>
          <w:p w14:paraId="0E140DED" w14:textId="77777777" w:rsidR="0010523F" w:rsidRPr="0010523F" w:rsidRDefault="0010523F" w:rsidP="0010523F">
            <w:pPr>
              <w:spacing w:line="220" w:lineRule="exact"/>
              <w:ind w:left="-108"/>
              <w:jc w:val="right"/>
              <w:rPr>
                <w:lang w:val="es-AR" w:eastAsia="en-US"/>
              </w:rPr>
            </w:pPr>
            <w:r w:rsidRPr="0010523F">
              <w:rPr>
                <w:lang w:val="es-AR" w:eastAsia="en-US"/>
              </w:rPr>
              <w:t xml:space="preserve">     30</w:t>
            </w:r>
          </w:p>
        </w:tc>
        <w:tc>
          <w:tcPr>
            <w:tcW w:w="1276" w:type="dxa"/>
            <w:vAlign w:val="bottom"/>
          </w:tcPr>
          <w:p w14:paraId="3266E782" w14:textId="77777777" w:rsidR="0010523F" w:rsidRPr="0010523F" w:rsidRDefault="0010523F" w:rsidP="0010523F">
            <w:pPr>
              <w:spacing w:line="220" w:lineRule="exact"/>
              <w:ind w:left="-108"/>
              <w:jc w:val="right"/>
              <w:rPr>
                <w:lang w:val="en-US" w:eastAsia="en-US"/>
              </w:rPr>
            </w:pPr>
            <w:r w:rsidRPr="0010523F">
              <w:rPr>
                <w:lang w:val="en-US" w:eastAsia="en-US"/>
              </w:rPr>
              <w:t>354</w:t>
            </w:r>
          </w:p>
        </w:tc>
        <w:tc>
          <w:tcPr>
            <w:tcW w:w="1276" w:type="dxa"/>
            <w:vAlign w:val="bottom"/>
          </w:tcPr>
          <w:p w14:paraId="30CC38B9" w14:textId="77777777" w:rsidR="0010523F" w:rsidRPr="0010523F" w:rsidRDefault="0010523F" w:rsidP="0010523F">
            <w:pPr>
              <w:spacing w:line="220" w:lineRule="exact"/>
              <w:ind w:left="-108"/>
              <w:jc w:val="right"/>
              <w:rPr>
                <w:lang w:val="en-US" w:eastAsia="en-US"/>
              </w:rPr>
            </w:pPr>
            <w:r w:rsidRPr="0010523F">
              <w:rPr>
                <w:lang w:val="es-AR" w:eastAsia="en-US"/>
              </w:rPr>
              <w:t xml:space="preserve">     36</w:t>
            </w:r>
          </w:p>
        </w:tc>
      </w:tr>
      <w:tr w:rsidR="0010523F" w:rsidRPr="0010523F" w14:paraId="67F67B56" w14:textId="77777777" w:rsidTr="00774E7E">
        <w:trPr>
          <w:trHeight w:val="255"/>
        </w:trPr>
        <w:tc>
          <w:tcPr>
            <w:tcW w:w="4820" w:type="dxa"/>
            <w:vAlign w:val="bottom"/>
          </w:tcPr>
          <w:p w14:paraId="5C39DDEF" w14:textId="77777777" w:rsidR="0010523F" w:rsidRPr="0010523F" w:rsidRDefault="0010523F" w:rsidP="0010523F">
            <w:pPr>
              <w:spacing w:line="220" w:lineRule="exact"/>
              <w:ind w:left="284" w:right="-108"/>
              <w:rPr>
                <w:lang w:val="es-AR" w:eastAsia="en-US"/>
              </w:rPr>
            </w:pPr>
            <w:r w:rsidRPr="0010523F">
              <w:rPr>
                <w:lang w:val="es-AR" w:eastAsia="en-US"/>
              </w:rPr>
              <w:t>Retenciones a las exportaciones</w:t>
            </w:r>
          </w:p>
        </w:tc>
        <w:tc>
          <w:tcPr>
            <w:tcW w:w="1276" w:type="dxa"/>
            <w:vAlign w:val="bottom"/>
          </w:tcPr>
          <w:p w14:paraId="33041010" w14:textId="77777777" w:rsidR="0010523F" w:rsidRPr="0010523F" w:rsidRDefault="0010523F" w:rsidP="0010523F">
            <w:pPr>
              <w:spacing w:line="220" w:lineRule="exact"/>
              <w:ind w:left="-108" w:right="87"/>
              <w:jc w:val="right"/>
              <w:rPr>
                <w:u w:val="single"/>
                <w:lang w:val="es-AR" w:eastAsia="en-US"/>
              </w:rPr>
            </w:pPr>
            <w:r w:rsidRPr="0010523F">
              <w:rPr>
                <w:lang w:val="es-AR" w:eastAsia="en-US"/>
              </w:rPr>
              <w:t>(</w:t>
            </w:r>
            <w:r w:rsidRPr="0010523F">
              <w:rPr>
                <w:u w:val="single"/>
                <w:lang w:val="es-AR" w:eastAsia="en-US"/>
              </w:rPr>
              <w:t xml:space="preserve"> 1.102</w:t>
            </w:r>
            <w:r w:rsidRPr="0010523F">
              <w:rPr>
                <w:lang w:val="es-AR" w:eastAsia="en-US"/>
              </w:rPr>
              <w:t>)</w:t>
            </w:r>
          </w:p>
        </w:tc>
        <w:tc>
          <w:tcPr>
            <w:tcW w:w="1275" w:type="dxa"/>
            <w:vAlign w:val="bottom"/>
          </w:tcPr>
          <w:p w14:paraId="3DE9016A"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285)</w:t>
            </w:r>
          </w:p>
        </w:tc>
        <w:tc>
          <w:tcPr>
            <w:tcW w:w="1276" w:type="dxa"/>
            <w:vAlign w:val="bottom"/>
          </w:tcPr>
          <w:p w14:paraId="2EE823EA" w14:textId="77777777" w:rsidR="0010523F" w:rsidRPr="0010523F" w:rsidRDefault="0010523F" w:rsidP="0010523F">
            <w:pPr>
              <w:spacing w:line="220" w:lineRule="exact"/>
              <w:ind w:left="-108"/>
              <w:jc w:val="right"/>
              <w:rPr>
                <w:u w:val="single"/>
                <w:lang w:val="es-AR" w:eastAsia="en-US"/>
              </w:rPr>
            </w:pPr>
            <w:r w:rsidRPr="0010523F">
              <w:rPr>
                <w:lang w:val="es-AR" w:eastAsia="en-US"/>
              </w:rPr>
              <w:t>(</w:t>
            </w:r>
            <w:r w:rsidRPr="0010523F">
              <w:rPr>
                <w:u w:val="single"/>
                <w:lang w:val="es-AR" w:eastAsia="en-US"/>
              </w:rPr>
              <w:t xml:space="preserve"> 2.883</w:t>
            </w:r>
            <w:r w:rsidRPr="0010523F">
              <w:rPr>
                <w:lang w:val="es-AR" w:eastAsia="en-US"/>
              </w:rPr>
              <w:t>)</w:t>
            </w:r>
          </w:p>
        </w:tc>
        <w:tc>
          <w:tcPr>
            <w:tcW w:w="1276" w:type="dxa"/>
            <w:vAlign w:val="bottom"/>
          </w:tcPr>
          <w:p w14:paraId="1AB68AC6"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285)</w:t>
            </w:r>
          </w:p>
        </w:tc>
      </w:tr>
      <w:tr w:rsidR="0010523F" w:rsidRPr="0010523F" w14:paraId="45871EA2" w14:textId="77777777" w:rsidTr="00774E7E">
        <w:tc>
          <w:tcPr>
            <w:tcW w:w="4820" w:type="dxa"/>
            <w:vAlign w:val="bottom"/>
          </w:tcPr>
          <w:p w14:paraId="75E66EED" w14:textId="77777777" w:rsidR="0010523F" w:rsidRPr="0010523F" w:rsidRDefault="0010523F" w:rsidP="0010523F">
            <w:pPr>
              <w:tabs>
                <w:tab w:val="left" w:pos="426"/>
              </w:tabs>
              <w:spacing w:line="140" w:lineRule="exact"/>
              <w:ind w:right="-115"/>
              <w:jc w:val="both"/>
              <w:rPr>
                <w:lang w:val="es-AR" w:eastAsia="en-US"/>
              </w:rPr>
            </w:pPr>
          </w:p>
        </w:tc>
        <w:tc>
          <w:tcPr>
            <w:tcW w:w="1276" w:type="dxa"/>
            <w:vAlign w:val="bottom"/>
          </w:tcPr>
          <w:p w14:paraId="243A6E63" w14:textId="77777777" w:rsidR="0010523F" w:rsidRPr="0010523F" w:rsidRDefault="0010523F" w:rsidP="0010523F">
            <w:pPr>
              <w:spacing w:line="140" w:lineRule="exact"/>
              <w:ind w:left="-108" w:right="87"/>
              <w:jc w:val="right"/>
              <w:rPr>
                <w:lang w:val="es-AR" w:eastAsia="en-US"/>
              </w:rPr>
            </w:pPr>
          </w:p>
        </w:tc>
        <w:tc>
          <w:tcPr>
            <w:tcW w:w="1275" w:type="dxa"/>
            <w:vAlign w:val="bottom"/>
          </w:tcPr>
          <w:p w14:paraId="70A9A234" w14:textId="77777777" w:rsidR="0010523F" w:rsidRPr="0010523F" w:rsidRDefault="0010523F" w:rsidP="0010523F">
            <w:pPr>
              <w:spacing w:line="140" w:lineRule="exact"/>
              <w:ind w:left="-108"/>
              <w:jc w:val="right"/>
              <w:rPr>
                <w:lang w:val="es-AR" w:eastAsia="en-US"/>
              </w:rPr>
            </w:pPr>
          </w:p>
        </w:tc>
        <w:tc>
          <w:tcPr>
            <w:tcW w:w="1276" w:type="dxa"/>
          </w:tcPr>
          <w:p w14:paraId="36C0A7B7" w14:textId="77777777" w:rsidR="0010523F" w:rsidRPr="0010523F" w:rsidRDefault="0010523F" w:rsidP="0010523F">
            <w:pPr>
              <w:spacing w:line="140" w:lineRule="exact"/>
              <w:ind w:left="-108"/>
              <w:jc w:val="right"/>
              <w:rPr>
                <w:lang w:val="es-AR" w:eastAsia="en-US"/>
              </w:rPr>
            </w:pPr>
          </w:p>
        </w:tc>
        <w:tc>
          <w:tcPr>
            <w:tcW w:w="1276" w:type="dxa"/>
            <w:vAlign w:val="bottom"/>
          </w:tcPr>
          <w:p w14:paraId="17EEF704" w14:textId="77777777" w:rsidR="0010523F" w:rsidRPr="0010523F" w:rsidRDefault="0010523F" w:rsidP="0010523F">
            <w:pPr>
              <w:spacing w:line="140" w:lineRule="exact"/>
              <w:ind w:left="-108"/>
              <w:jc w:val="right"/>
              <w:rPr>
                <w:lang w:val="es-AR" w:eastAsia="en-US"/>
              </w:rPr>
            </w:pPr>
          </w:p>
        </w:tc>
      </w:tr>
      <w:tr w:rsidR="0010523F" w:rsidRPr="0010523F" w14:paraId="20A99D4A" w14:textId="77777777" w:rsidTr="00774E7E">
        <w:trPr>
          <w:trHeight w:val="283"/>
        </w:trPr>
        <w:tc>
          <w:tcPr>
            <w:tcW w:w="4820" w:type="dxa"/>
            <w:vAlign w:val="bottom"/>
          </w:tcPr>
          <w:p w14:paraId="6BAEFFF2" w14:textId="77777777" w:rsidR="0010523F" w:rsidRPr="0010523F" w:rsidRDefault="0010523F" w:rsidP="0010523F">
            <w:pPr>
              <w:tabs>
                <w:tab w:val="left" w:pos="426"/>
              </w:tabs>
              <w:spacing w:line="220" w:lineRule="exact"/>
              <w:ind w:right="-108"/>
              <w:jc w:val="both"/>
              <w:rPr>
                <w:lang w:val="es-AR" w:eastAsia="en-US"/>
              </w:rPr>
            </w:pPr>
            <w:r w:rsidRPr="0010523F">
              <w:rPr>
                <w:lang w:val="es-AR" w:eastAsia="en-US"/>
              </w:rPr>
              <w:t>Total upstream</w:t>
            </w:r>
          </w:p>
        </w:tc>
        <w:tc>
          <w:tcPr>
            <w:tcW w:w="1276" w:type="dxa"/>
            <w:vAlign w:val="bottom"/>
          </w:tcPr>
          <w:p w14:paraId="339DD19D" w14:textId="77777777" w:rsidR="0010523F" w:rsidRPr="0010523F" w:rsidRDefault="0010523F" w:rsidP="0010523F">
            <w:pPr>
              <w:spacing w:line="220" w:lineRule="exact"/>
              <w:ind w:left="-108" w:right="87"/>
              <w:jc w:val="right"/>
              <w:rPr>
                <w:u w:val="single"/>
                <w:lang w:val="es-AR" w:eastAsia="en-US"/>
              </w:rPr>
            </w:pPr>
            <w:r w:rsidRPr="0010523F">
              <w:rPr>
                <w:u w:val="single"/>
                <w:lang w:val="es-AR" w:eastAsia="en-US"/>
              </w:rPr>
              <w:t>18.793</w:t>
            </w:r>
          </w:p>
        </w:tc>
        <w:tc>
          <w:tcPr>
            <w:tcW w:w="1275" w:type="dxa"/>
            <w:vAlign w:val="bottom"/>
          </w:tcPr>
          <w:p w14:paraId="487F40B0"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16.031</w:t>
            </w:r>
          </w:p>
        </w:tc>
        <w:tc>
          <w:tcPr>
            <w:tcW w:w="1276" w:type="dxa"/>
            <w:vAlign w:val="bottom"/>
          </w:tcPr>
          <w:p w14:paraId="54E172CF"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44.350</w:t>
            </w:r>
          </w:p>
        </w:tc>
        <w:tc>
          <w:tcPr>
            <w:tcW w:w="1276" w:type="dxa"/>
            <w:vAlign w:val="bottom"/>
          </w:tcPr>
          <w:p w14:paraId="67FE44FD"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39.578</w:t>
            </w:r>
          </w:p>
        </w:tc>
      </w:tr>
      <w:tr w:rsidR="0010523F" w:rsidRPr="0010523F" w14:paraId="262F249B" w14:textId="77777777" w:rsidTr="00774E7E">
        <w:tc>
          <w:tcPr>
            <w:tcW w:w="4820" w:type="dxa"/>
            <w:vAlign w:val="bottom"/>
          </w:tcPr>
          <w:p w14:paraId="2603F1A2" w14:textId="77777777" w:rsidR="0010523F" w:rsidRPr="0010523F" w:rsidRDefault="0010523F" w:rsidP="0010523F">
            <w:pPr>
              <w:tabs>
                <w:tab w:val="left" w:pos="426"/>
              </w:tabs>
              <w:spacing w:line="140" w:lineRule="exact"/>
              <w:ind w:right="-115"/>
              <w:jc w:val="both"/>
              <w:rPr>
                <w:sz w:val="18"/>
                <w:highlight w:val="cyan"/>
                <w:lang w:val="es-AR" w:eastAsia="en-US"/>
              </w:rPr>
            </w:pPr>
          </w:p>
        </w:tc>
        <w:tc>
          <w:tcPr>
            <w:tcW w:w="1276" w:type="dxa"/>
            <w:vAlign w:val="bottom"/>
          </w:tcPr>
          <w:p w14:paraId="00598DDA" w14:textId="77777777" w:rsidR="0010523F" w:rsidRPr="0010523F" w:rsidRDefault="0010523F" w:rsidP="0010523F">
            <w:pPr>
              <w:tabs>
                <w:tab w:val="left" w:pos="426"/>
              </w:tabs>
              <w:spacing w:line="140" w:lineRule="exact"/>
              <w:ind w:right="-115"/>
              <w:jc w:val="both"/>
              <w:rPr>
                <w:highlight w:val="yellow"/>
                <w:lang w:val="es-AR" w:eastAsia="en-US"/>
              </w:rPr>
            </w:pPr>
          </w:p>
        </w:tc>
        <w:tc>
          <w:tcPr>
            <w:tcW w:w="1275" w:type="dxa"/>
            <w:vAlign w:val="bottom"/>
          </w:tcPr>
          <w:p w14:paraId="06A387F1" w14:textId="77777777" w:rsidR="0010523F" w:rsidRPr="0010523F" w:rsidRDefault="0010523F" w:rsidP="0010523F">
            <w:pPr>
              <w:tabs>
                <w:tab w:val="left" w:pos="426"/>
              </w:tabs>
              <w:spacing w:line="140" w:lineRule="exact"/>
              <w:ind w:right="-115"/>
              <w:jc w:val="both"/>
              <w:rPr>
                <w:highlight w:val="yellow"/>
                <w:lang w:val="es-AR" w:eastAsia="en-US"/>
              </w:rPr>
            </w:pPr>
          </w:p>
        </w:tc>
        <w:tc>
          <w:tcPr>
            <w:tcW w:w="1276" w:type="dxa"/>
            <w:vAlign w:val="bottom"/>
          </w:tcPr>
          <w:p w14:paraId="4AA2CE51" w14:textId="77777777" w:rsidR="0010523F" w:rsidRPr="0010523F" w:rsidRDefault="0010523F" w:rsidP="0010523F">
            <w:pPr>
              <w:tabs>
                <w:tab w:val="left" w:pos="426"/>
              </w:tabs>
              <w:spacing w:line="140" w:lineRule="exact"/>
              <w:ind w:right="-115"/>
              <w:jc w:val="right"/>
              <w:rPr>
                <w:highlight w:val="yellow"/>
                <w:lang w:val="es-AR" w:eastAsia="en-US"/>
              </w:rPr>
            </w:pPr>
          </w:p>
        </w:tc>
        <w:tc>
          <w:tcPr>
            <w:tcW w:w="1276" w:type="dxa"/>
          </w:tcPr>
          <w:p w14:paraId="62D1D040" w14:textId="77777777" w:rsidR="0010523F" w:rsidRPr="0010523F" w:rsidRDefault="0010523F" w:rsidP="0010523F">
            <w:pPr>
              <w:tabs>
                <w:tab w:val="left" w:pos="426"/>
              </w:tabs>
              <w:spacing w:line="140" w:lineRule="exact"/>
              <w:ind w:right="-115"/>
              <w:jc w:val="both"/>
              <w:rPr>
                <w:highlight w:val="yellow"/>
                <w:lang w:val="es-AR" w:eastAsia="en-US"/>
              </w:rPr>
            </w:pPr>
          </w:p>
        </w:tc>
      </w:tr>
      <w:tr w:rsidR="0010523F" w:rsidRPr="0010523F" w14:paraId="523E56CC" w14:textId="77777777" w:rsidTr="00774E7E">
        <w:trPr>
          <w:trHeight w:val="283"/>
        </w:trPr>
        <w:tc>
          <w:tcPr>
            <w:tcW w:w="4820" w:type="dxa"/>
            <w:vAlign w:val="bottom"/>
          </w:tcPr>
          <w:p w14:paraId="799C23B9" w14:textId="77777777" w:rsidR="0010523F" w:rsidRPr="0010523F" w:rsidRDefault="0010523F" w:rsidP="0010523F">
            <w:pPr>
              <w:tabs>
                <w:tab w:val="left" w:pos="426"/>
              </w:tabs>
              <w:spacing w:line="220" w:lineRule="exact"/>
              <w:ind w:right="-108"/>
              <w:jc w:val="both"/>
              <w:rPr>
                <w:lang w:val="es-AR" w:eastAsia="en-US"/>
              </w:rPr>
            </w:pPr>
            <w:r w:rsidRPr="0010523F">
              <w:rPr>
                <w:lang w:val="es-AR" w:eastAsia="en-US"/>
              </w:rPr>
              <w:t>Downstream</w:t>
            </w:r>
          </w:p>
        </w:tc>
        <w:tc>
          <w:tcPr>
            <w:tcW w:w="1276" w:type="dxa"/>
            <w:vAlign w:val="bottom"/>
          </w:tcPr>
          <w:p w14:paraId="7613731B" w14:textId="77777777" w:rsidR="0010523F" w:rsidRPr="0010523F" w:rsidRDefault="0010523F" w:rsidP="0010523F">
            <w:pPr>
              <w:spacing w:line="220" w:lineRule="exact"/>
              <w:ind w:left="-108" w:right="87"/>
              <w:jc w:val="right"/>
              <w:rPr>
                <w:highlight w:val="yellow"/>
                <w:lang w:val="es-AR" w:eastAsia="en-US"/>
              </w:rPr>
            </w:pPr>
          </w:p>
        </w:tc>
        <w:tc>
          <w:tcPr>
            <w:tcW w:w="1275" w:type="dxa"/>
            <w:vAlign w:val="bottom"/>
          </w:tcPr>
          <w:p w14:paraId="6333B93C" w14:textId="77777777" w:rsidR="0010523F" w:rsidRPr="0010523F" w:rsidRDefault="0010523F" w:rsidP="0010523F">
            <w:pPr>
              <w:spacing w:line="220" w:lineRule="exact"/>
              <w:ind w:left="-108"/>
              <w:jc w:val="right"/>
              <w:rPr>
                <w:highlight w:val="yellow"/>
                <w:lang w:val="es-AR" w:eastAsia="en-US"/>
              </w:rPr>
            </w:pPr>
          </w:p>
        </w:tc>
        <w:tc>
          <w:tcPr>
            <w:tcW w:w="1276" w:type="dxa"/>
            <w:vAlign w:val="bottom"/>
          </w:tcPr>
          <w:p w14:paraId="52561853" w14:textId="77777777" w:rsidR="0010523F" w:rsidRPr="0010523F" w:rsidRDefault="0010523F" w:rsidP="0010523F">
            <w:pPr>
              <w:spacing w:line="220" w:lineRule="exact"/>
              <w:ind w:left="-108"/>
              <w:jc w:val="right"/>
              <w:rPr>
                <w:highlight w:val="yellow"/>
                <w:lang w:val="es-AR" w:eastAsia="en-US"/>
              </w:rPr>
            </w:pPr>
          </w:p>
        </w:tc>
        <w:tc>
          <w:tcPr>
            <w:tcW w:w="1276" w:type="dxa"/>
          </w:tcPr>
          <w:p w14:paraId="4BF006B6" w14:textId="77777777" w:rsidR="0010523F" w:rsidRPr="0010523F" w:rsidRDefault="0010523F" w:rsidP="0010523F">
            <w:pPr>
              <w:spacing w:line="220" w:lineRule="exact"/>
              <w:ind w:left="-108"/>
              <w:jc w:val="right"/>
              <w:rPr>
                <w:highlight w:val="yellow"/>
                <w:lang w:val="es-AR" w:eastAsia="en-US"/>
              </w:rPr>
            </w:pPr>
          </w:p>
        </w:tc>
      </w:tr>
      <w:tr w:rsidR="0010523F" w:rsidRPr="0010523F" w14:paraId="4B194766" w14:textId="77777777" w:rsidTr="00774E7E">
        <w:trPr>
          <w:trHeight w:val="255"/>
        </w:trPr>
        <w:tc>
          <w:tcPr>
            <w:tcW w:w="4820" w:type="dxa"/>
            <w:vAlign w:val="bottom"/>
          </w:tcPr>
          <w:p w14:paraId="3C94B26A" w14:textId="77777777" w:rsidR="0010523F" w:rsidRPr="0010523F" w:rsidRDefault="0010523F" w:rsidP="0010523F">
            <w:pPr>
              <w:spacing w:line="220" w:lineRule="exact"/>
              <w:ind w:left="284" w:right="-108"/>
              <w:jc w:val="both"/>
              <w:rPr>
                <w:lang w:val="es-AR" w:eastAsia="en-US"/>
              </w:rPr>
            </w:pPr>
            <w:r w:rsidRPr="0010523F">
              <w:rPr>
                <w:lang w:val="es-AR" w:eastAsia="en-US"/>
              </w:rPr>
              <w:t>Combustibles</w:t>
            </w:r>
          </w:p>
        </w:tc>
        <w:tc>
          <w:tcPr>
            <w:tcW w:w="1276" w:type="dxa"/>
            <w:vAlign w:val="bottom"/>
          </w:tcPr>
          <w:p w14:paraId="2F8D7256" w14:textId="77777777" w:rsidR="0010523F" w:rsidRPr="0010523F" w:rsidRDefault="0010523F" w:rsidP="0010523F">
            <w:pPr>
              <w:spacing w:line="220" w:lineRule="exact"/>
              <w:ind w:left="-108" w:right="87"/>
              <w:jc w:val="right"/>
              <w:rPr>
                <w:lang w:val="es-AR" w:eastAsia="en-US"/>
              </w:rPr>
            </w:pPr>
            <w:r w:rsidRPr="0010523F">
              <w:rPr>
                <w:lang w:val="es-AR" w:eastAsia="en-US"/>
              </w:rPr>
              <w:t>33.944</w:t>
            </w:r>
          </w:p>
        </w:tc>
        <w:tc>
          <w:tcPr>
            <w:tcW w:w="1275" w:type="dxa"/>
            <w:vAlign w:val="bottom"/>
          </w:tcPr>
          <w:p w14:paraId="6068214F" w14:textId="77777777" w:rsidR="0010523F" w:rsidRPr="0010523F" w:rsidRDefault="0010523F" w:rsidP="0010523F">
            <w:pPr>
              <w:spacing w:line="220" w:lineRule="exact"/>
              <w:ind w:left="-108"/>
              <w:jc w:val="right"/>
              <w:rPr>
                <w:lang w:val="es-AR" w:eastAsia="en-US"/>
              </w:rPr>
            </w:pPr>
            <w:r w:rsidRPr="0010523F">
              <w:rPr>
                <w:lang w:val="es-AR" w:eastAsia="en-US"/>
              </w:rPr>
              <w:t>23.495</w:t>
            </w:r>
          </w:p>
        </w:tc>
        <w:tc>
          <w:tcPr>
            <w:tcW w:w="1276" w:type="dxa"/>
            <w:vAlign w:val="bottom"/>
          </w:tcPr>
          <w:p w14:paraId="15D2CC43" w14:textId="77777777" w:rsidR="0010523F" w:rsidRPr="0010523F" w:rsidRDefault="0010523F" w:rsidP="0010523F">
            <w:pPr>
              <w:spacing w:line="220" w:lineRule="exact"/>
              <w:ind w:left="-108"/>
              <w:jc w:val="right"/>
              <w:rPr>
                <w:lang w:val="es-AR" w:eastAsia="en-US"/>
              </w:rPr>
            </w:pPr>
            <w:r w:rsidRPr="0010523F">
              <w:rPr>
                <w:lang w:val="es-AR" w:eastAsia="en-US"/>
              </w:rPr>
              <w:t>93.179</w:t>
            </w:r>
          </w:p>
        </w:tc>
        <w:tc>
          <w:tcPr>
            <w:tcW w:w="1276" w:type="dxa"/>
            <w:vAlign w:val="bottom"/>
          </w:tcPr>
          <w:p w14:paraId="52F2E3C8" w14:textId="77777777" w:rsidR="0010523F" w:rsidRPr="0010523F" w:rsidRDefault="0010523F" w:rsidP="0010523F">
            <w:pPr>
              <w:spacing w:line="220" w:lineRule="exact"/>
              <w:ind w:left="-108"/>
              <w:jc w:val="right"/>
              <w:rPr>
                <w:lang w:val="es-AR" w:eastAsia="en-US"/>
              </w:rPr>
            </w:pPr>
            <w:r w:rsidRPr="0010523F">
              <w:rPr>
                <w:lang w:val="es-AR" w:eastAsia="en-US"/>
              </w:rPr>
              <w:t>40.546</w:t>
            </w:r>
          </w:p>
        </w:tc>
      </w:tr>
      <w:tr w:rsidR="0010523F" w:rsidRPr="0010523F" w14:paraId="79B86152" w14:textId="77777777" w:rsidTr="00774E7E">
        <w:trPr>
          <w:trHeight w:val="255"/>
        </w:trPr>
        <w:tc>
          <w:tcPr>
            <w:tcW w:w="4820" w:type="dxa"/>
            <w:vAlign w:val="bottom"/>
          </w:tcPr>
          <w:p w14:paraId="23D4E26F" w14:textId="77777777" w:rsidR="0010523F" w:rsidRPr="0010523F" w:rsidRDefault="0010523F" w:rsidP="0010523F">
            <w:pPr>
              <w:spacing w:line="220" w:lineRule="exact"/>
              <w:ind w:left="284" w:right="-108"/>
              <w:jc w:val="both"/>
              <w:rPr>
                <w:lang w:val="es-AR" w:eastAsia="en-US"/>
              </w:rPr>
            </w:pPr>
            <w:r w:rsidRPr="0010523F">
              <w:rPr>
                <w:lang w:val="es-AR" w:eastAsia="en-US"/>
              </w:rPr>
              <w:t>Lubricantes</w:t>
            </w:r>
          </w:p>
        </w:tc>
        <w:tc>
          <w:tcPr>
            <w:tcW w:w="1276" w:type="dxa"/>
            <w:vAlign w:val="bottom"/>
          </w:tcPr>
          <w:p w14:paraId="38FF6FA7" w14:textId="77777777" w:rsidR="0010523F" w:rsidRPr="0010523F" w:rsidRDefault="0010523F" w:rsidP="0010523F">
            <w:pPr>
              <w:spacing w:line="220" w:lineRule="exact"/>
              <w:ind w:left="-108" w:right="87"/>
              <w:jc w:val="right"/>
              <w:rPr>
                <w:lang w:val="es-AR" w:eastAsia="en-US"/>
              </w:rPr>
            </w:pPr>
            <w:r w:rsidRPr="0010523F">
              <w:rPr>
                <w:lang w:val="es-AR" w:eastAsia="en-US"/>
              </w:rPr>
              <w:t>417</w:t>
            </w:r>
          </w:p>
        </w:tc>
        <w:tc>
          <w:tcPr>
            <w:tcW w:w="1275" w:type="dxa"/>
            <w:vAlign w:val="bottom"/>
          </w:tcPr>
          <w:p w14:paraId="3A6B1D67" w14:textId="77777777" w:rsidR="0010523F" w:rsidRPr="0010523F" w:rsidRDefault="0010523F" w:rsidP="0010523F">
            <w:pPr>
              <w:spacing w:line="220" w:lineRule="exact"/>
              <w:ind w:left="-108"/>
              <w:jc w:val="right"/>
              <w:rPr>
                <w:lang w:val="es-AR" w:eastAsia="en-US"/>
              </w:rPr>
            </w:pPr>
            <w:r w:rsidRPr="0010523F">
              <w:rPr>
                <w:lang w:val="es-AR" w:eastAsia="en-US"/>
              </w:rPr>
              <w:t>352</w:t>
            </w:r>
          </w:p>
        </w:tc>
        <w:tc>
          <w:tcPr>
            <w:tcW w:w="1276" w:type="dxa"/>
            <w:vAlign w:val="bottom"/>
          </w:tcPr>
          <w:p w14:paraId="3A53DA0D" w14:textId="77777777" w:rsidR="0010523F" w:rsidRPr="0010523F" w:rsidRDefault="0010523F" w:rsidP="0010523F">
            <w:pPr>
              <w:spacing w:line="220" w:lineRule="exact"/>
              <w:ind w:left="-108"/>
              <w:jc w:val="right"/>
              <w:rPr>
                <w:lang w:val="es-AR" w:eastAsia="en-US"/>
              </w:rPr>
            </w:pPr>
            <w:r w:rsidRPr="0010523F">
              <w:rPr>
                <w:lang w:val="es-AR" w:eastAsia="en-US"/>
              </w:rPr>
              <w:t>1.205</w:t>
            </w:r>
          </w:p>
        </w:tc>
        <w:tc>
          <w:tcPr>
            <w:tcW w:w="1276" w:type="dxa"/>
            <w:vAlign w:val="bottom"/>
          </w:tcPr>
          <w:p w14:paraId="3DE0F233" w14:textId="77777777" w:rsidR="0010523F" w:rsidRPr="0010523F" w:rsidRDefault="0010523F" w:rsidP="0010523F">
            <w:pPr>
              <w:spacing w:line="220" w:lineRule="exact"/>
              <w:ind w:left="-108"/>
              <w:jc w:val="right"/>
              <w:rPr>
                <w:lang w:val="es-AR" w:eastAsia="en-US"/>
              </w:rPr>
            </w:pPr>
            <w:r w:rsidRPr="0010523F">
              <w:rPr>
                <w:lang w:val="es-AR" w:eastAsia="en-US"/>
              </w:rPr>
              <w:t>738</w:t>
            </w:r>
          </w:p>
        </w:tc>
      </w:tr>
      <w:tr w:rsidR="0010523F" w:rsidRPr="0010523F" w14:paraId="52DBEAC7" w14:textId="77777777" w:rsidTr="00774E7E">
        <w:trPr>
          <w:trHeight w:val="255"/>
        </w:trPr>
        <w:tc>
          <w:tcPr>
            <w:tcW w:w="4820" w:type="dxa"/>
            <w:vAlign w:val="bottom"/>
          </w:tcPr>
          <w:p w14:paraId="317A7BFA" w14:textId="77777777" w:rsidR="0010523F" w:rsidRPr="0010523F" w:rsidRDefault="0010523F" w:rsidP="0010523F">
            <w:pPr>
              <w:spacing w:line="220" w:lineRule="exact"/>
              <w:ind w:left="284" w:right="-108"/>
              <w:jc w:val="both"/>
              <w:rPr>
                <w:lang w:val="es-AR" w:eastAsia="en-US"/>
              </w:rPr>
            </w:pPr>
            <w:r w:rsidRPr="0010523F">
              <w:rPr>
                <w:lang w:val="es-AR" w:eastAsia="en-US"/>
              </w:rPr>
              <w:t>Mercadería de reventa</w:t>
            </w:r>
          </w:p>
        </w:tc>
        <w:tc>
          <w:tcPr>
            <w:tcW w:w="1276" w:type="dxa"/>
            <w:vAlign w:val="bottom"/>
          </w:tcPr>
          <w:p w14:paraId="42F302F5" w14:textId="77777777" w:rsidR="0010523F" w:rsidRPr="0010523F" w:rsidRDefault="0010523F" w:rsidP="0010523F">
            <w:pPr>
              <w:spacing w:line="220" w:lineRule="exact"/>
              <w:ind w:left="-108" w:right="87"/>
              <w:jc w:val="right"/>
              <w:rPr>
                <w:lang w:val="es-AR" w:eastAsia="en-US"/>
              </w:rPr>
            </w:pPr>
            <w:r w:rsidRPr="0010523F">
              <w:rPr>
                <w:lang w:val="es-AR" w:eastAsia="en-US"/>
              </w:rPr>
              <w:t>403</w:t>
            </w:r>
          </w:p>
        </w:tc>
        <w:tc>
          <w:tcPr>
            <w:tcW w:w="1275" w:type="dxa"/>
            <w:vAlign w:val="bottom"/>
          </w:tcPr>
          <w:p w14:paraId="7FC5425F" w14:textId="77777777" w:rsidR="0010523F" w:rsidRPr="0010523F" w:rsidRDefault="0010523F" w:rsidP="0010523F">
            <w:pPr>
              <w:spacing w:line="220" w:lineRule="exact"/>
              <w:ind w:left="-108"/>
              <w:jc w:val="right"/>
              <w:rPr>
                <w:lang w:val="es-AR" w:eastAsia="en-US"/>
              </w:rPr>
            </w:pPr>
            <w:r w:rsidRPr="0010523F">
              <w:rPr>
                <w:lang w:val="es-AR" w:eastAsia="en-US"/>
              </w:rPr>
              <w:t>282</w:t>
            </w:r>
          </w:p>
        </w:tc>
        <w:tc>
          <w:tcPr>
            <w:tcW w:w="1276" w:type="dxa"/>
            <w:vAlign w:val="bottom"/>
          </w:tcPr>
          <w:p w14:paraId="4D9040C1" w14:textId="77777777" w:rsidR="0010523F" w:rsidRPr="0010523F" w:rsidRDefault="0010523F" w:rsidP="0010523F">
            <w:pPr>
              <w:spacing w:line="220" w:lineRule="exact"/>
              <w:ind w:left="-108"/>
              <w:jc w:val="right"/>
              <w:rPr>
                <w:lang w:val="es-AR" w:eastAsia="en-US"/>
              </w:rPr>
            </w:pPr>
            <w:r w:rsidRPr="0010523F">
              <w:rPr>
                <w:lang w:val="es-AR" w:eastAsia="en-US"/>
              </w:rPr>
              <w:t>1.180</w:t>
            </w:r>
          </w:p>
        </w:tc>
        <w:tc>
          <w:tcPr>
            <w:tcW w:w="1276" w:type="dxa"/>
            <w:vAlign w:val="bottom"/>
          </w:tcPr>
          <w:p w14:paraId="32110AE6" w14:textId="77777777" w:rsidR="0010523F" w:rsidRPr="0010523F" w:rsidRDefault="0010523F" w:rsidP="0010523F">
            <w:pPr>
              <w:spacing w:line="220" w:lineRule="exact"/>
              <w:ind w:left="-108"/>
              <w:jc w:val="right"/>
              <w:rPr>
                <w:lang w:val="es-AR" w:eastAsia="en-US"/>
              </w:rPr>
            </w:pPr>
            <w:r w:rsidRPr="0010523F">
              <w:rPr>
                <w:lang w:val="es-AR" w:eastAsia="en-US"/>
              </w:rPr>
              <w:t>530</w:t>
            </w:r>
          </w:p>
        </w:tc>
      </w:tr>
      <w:tr w:rsidR="0010523F" w:rsidRPr="0010523F" w14:paraId="1E368B59" w14:textId="77777777" w:rsidTr="00774E7E">
        <w:trPr>
          <w:trHeight w:val="255"/>
        </w:trPr>
        <w:tc>
          <w:tcPr>
            <w:tcW w:w="4820" w:type="dxa"/>
            <w:vAlign w:val="bottom"/>
          </w:tcPr>
          <w:p w14:paraId="59CAAA3C" w14:textId="77777777" w:rsidR="0010523F" w:rsidRPr="0010523F" w:rsidRDefault="0010523F" w:rsidP="0010523F">
            <w:pPr>
              <w:spacing w:line="220" w:lineRule="exact"/>
              <w:ind w:left="284" w:right="-108"/>
              <w:jc w:val="both"/>
              <w:rPr>
                <w:lang w:val="es-AR" w:eastAsia="en-US"/>
              </w:rPr>
            </w:pPr>
            <w:r w:rsidRPr="0010523F">
              <w:rPr>
                <w:lang w:val="es-AR" w:eastAsia="en-US"/>
              </w:rPr>
              <w:t>Diversos</w:t>
            </w:r>
          </w:p>
        </w:tc>
        <w:tc>
          <w:tcPr>
            <w:tcW w:w="1276" w:type="dxa"/>
            <w:vAlign w:val="bottom"/>
          </w:tcPr>
          <w:p w14:paraId="4EF1A6BF" w14:textId="77777777" w:rsidR="0010523F" w:rsidRPr="0010523F" w:rsidRDefault="0010523F" w:rsidP="0010523F">
            <w:pPr>
              <w:spacing w:line="220" w:lineRule="exact"/>
              <w:ind w:left="-108" w:right="87"/>
              <w:jc w:val="right"/>
              <w:rPr>
                <w:lang w:val="es-AR" w:eastAsia="en-US"/>
              </w:rPr>
            </w:pPr>
            <w:r w:rsidRPr="0010523F">
              <w:rPr>
                <w:lang w:val="es-AR" w:eastAsia="en-US"/>
              </w:rPr>
              <w:t xml:space="preserve">     203</w:t>
            </w:r>
          </w:p>
        </w:tc>
        <w:tc>
          <w:tcPr>
            <w:tcW w:w="1275" w:type="dxa"/>
            <w:vAlign w:val="bottom"/>
          </w:tcPr>
          <w:p w14:paraId="2796DD42" w14:textId="77777777" w:rsidR="0010523F" w:rsidRPr="0010523F" w:rsidRDefault="0010523F" w:rsidP="0010523F">
            <w:pPr>
              <w:spacing w:line="220" w:lineRule="exact"/>
              <w:ind w:left="-108"/>
              <w:jc w:val="right"/>
              <w:rPr>
                <w:lang w:val="es-AR" w:eastAsia="en-US"/>
              </w:rPr>
            </w:pPr>
            <w:r w:rsidRPr="0010523F">
              <w:rPr>
                <w:lang w:val="es-AR" w:eastAsia="en-US"/>
              </w:rPr>
              <w:t xml:space="preserve">     151</w:t>
            </w:r>
          </w:p>
        </w:tc>
        <w:tc>
          <w:tcPr>
            <w:tcW w:w="1276" w:type="dxa"/>
            <w:vAlign w:val="bottom"/>
          </w:tcPr>
          <w:p w14:paraId="61B2E7B8" w14:textId="77777777" w:rsidR="0010523F" w:rsidRPr="0010523F" w:rsidRDefault="0010523F" w:rsidP="0010523F">
            <w:pPr>
              <w:spacing w:line="220" w:lineRule="exact"/>
              <w:ind w:left="-108"/>
              <w:jc w:val="right"/>
              <w:rPr>
                <w:lang w:val="es-AR" w:eastAsia="en-US"/>
              </w:rPr>
            </w:pPr>
            <w:r w:rsidRPr="0010523F">
              <w:rPr>
                <w:lang w:val="es-AR" w:eastAsia="en-US"/>
              </w:rPr>
              <w:t xml:space="preserve">      486</w:t>
            </w:r>
          </w:p>
        </w:tc>
        <w:tc>
          <w:tcPr>
            <w:tcW w:w="1276" w:type="dxa"/>
            <w:vAlign w:val="bottom"/>
          </w:tcPr>
          <w:p w14:paraId="27706745" w14:textId="77777777" w:rsidR="0010523F" w:rsidRPr="0010523F" w:rsidRDefault="0010523F" w:rsidP="0010523F">
            <w:pPr>
              <w:spacing w:line="220" w:lineRule="exact"/>
              <w:ind w:left="-108"/>
              <w:jc w:val="right"/>
              <w:rPr>
                <w:lang w:val="es-AR" w:eastAsia="en-US"/>
              </w:rPr>
            </w:pPr>
            <w:r w:rsidRPr="0010523F">
              <w:rPr>
                <w:lang w:val="es-AR" w:eastAsia="en-US"/>
              </w:rPr>
              <w:t xml:space="preserve">     223</w:t>
            </w:r>
          </w:p>
        </w:tc>
      </w:tr>
      <w:tr w:rsidR="0010523F" w:rsidRPr="0010523F" w14:paraId="1C72DFC5" w14:textId="77777777" w:rsidTr="00774E7E">
        <w:trPr>
          <w:trHeight w:val="255"/>
        </w:trPr>
        <w:tc>
          <w:tcPr>
            <w:tcW w:w="4820" w:type="dxa"/>
            <w:vAlign w:val="bottom"/>
          </w:tcPr>
          <w:p w14:paraId="2D8CA189" w14:textId="77777777" w:rsidR="0010523F" w:rsidRPr="0010523F" w:rsidRDefault="0010523F" w:rsidP="0010523F">
            <w:pPr>
              <w:spacing w:line="220" w:lineRule="exact"/>
              <w:ind w:left="284" w:right="-108"/>
              <w:rPr>
                <w:lang w:val="es-AR" w:eastAsia="en-US"/>
              </w:rPr>
            </w:pPr>
            <w:r w:rsidRPr="0010523F">
              <w:rPr>
                <w:lang w:val="es-AR" w:eastAsia="en-US"/>
              </w:rPr>
              <w:t>Retenciones a las exportaciones</w:t>
            </w:r>
          </w:p>
        </w:tc>
        <w:tc>
          <w:tcPr>
            <w:tcW w:w="1276" w:type="dxa"/>
            <w:vAlign w:val="bottom"/>
          </w:tcPr>
          <w:p w14:paraId="071DD433" w14:textId="77777777" w:rsidR="0010523F" w:rsidRPr="0010523F" w:rsidRDefault="0010523F" w:rsidP="0010523F">
            <w:pPr>
              <w:spacing w:line="220" w:lineRule="exact"/>
              <w:ind w:left="-108" w:right="87"/>
              <w:jc w:val="right"/>
              <w:rPr>
                <w:u w:val="single"/>
                <w:lang w:val="es-AR" w:eastAsia="en-US"/>
              </w:rPr>
            </w:pPr>
            <w:r w:rsidRPr="0010523F">
              <w:rPr>
                <w:lang w:val="es-AR" w:eastAsia="en-US"/>
              </w:rPr>
              <w:t>(</w:t>
            </w:r>
            <w:r w:rsidRPr="0010523F">
              <w:rPr>
                <w:u w:val="single"/>
                <w:lang w:val="es-AR" w:eastAsia="en-US"/>
              </w:rPr>
              <w:t xml:space="preserve">    214</w:t>
            </w:r>
            <w:r w:rsidRPr="0010523F">
              <w:rPr>
                <w:lang w:val="es-AR" w:eastAsia="en-US"/>
              </w:rPr>
              <w:t>)</w:t>
            </w:r>
            <w:r w:rsidRPr="0010523F">
              <w:rPr>
                <w:u w:val="single"/>
                <w:lang w:val="es-AR" w:eastAsia="en-US"/>
              </w:rPr>
              <w:t xml:space="preserve"> </w:t>
            </w:r>
          </w:p>
        </w:tc>
        <w:tc>
          <w:tcPr>
            <w:tcW w:w="1275" w:type="dxa"/>
            <w:vAlign w:val="bottom"/>
          </w:tcPr>
          <w:p w14:paraId="1E624A53" w14:textId="77777777" w:rsidR="0010523F" w:rsidRPr="0010523F" w:rsidRDefault="0010523F" w:rsidP="0010523F">
            <w:pPr>
              <w:spacing w:line="220" w:lineRule="exact"/>
              <w:ind w:left="-108"/>
              <w:jc w:val="right"/>
              <w:rPr>
                <w:u w:val="single"/>
                <w:lang w:val="en-US" w:eastAsia="en-US"/>
              </w:rPr>
            </w:pPr>
            <w:r w:rsidRPr="0010523F">
              <w:rPr>
                <w:u w:val="single"/>
                <w:lang w:val="en-US" w:eastAsia="en-US"/>
              </w:rPr>
              <w:t xml:space="preserve">          -</w:t>
            </w:r>
          </w:p>
        </w:tc>
        <w:tc>
          <w:tcPr>
            <w:tcW w:w="1276" w:type="dxa"/>
            <w:vAlign w:val="bottom"/>
          </w:tcPr>
          <w:p w14:paraId="3BCA028E" w14:textId="77777777" w:rsidR="0010523F" w:rsidRPr="0010523F" w:rsidRDefault="0010523F" w:rsidP="0010523F">
            <w:pPr>
              <w:spacing w:line="220" w:lineRule="exact"/>
              <w:ind w:left="-108"/>
              <w:jc w:val="right"/>
              <w:rPr>
                <w:lang w:val="es-AR" w:eastAsia="en-US"/>
              </w:rPr>
            </w:pPr>
            <w:r w:rsidRPr="0010523F">
              <w:rPr>
                <w:lang w:val="en-US" w:eastAsia="en-US"/>
              </w:rPr>
              <w:t>(</w:t>
            </w:r>
            <w:r w:rsidRPr="0010523F">
              <w:rPr>
                <w:u w:val="single"/>
                <w:lang w:val="en-US" w:eastAsia="en-US"/>
              </w:rPr>
              <w:t xml:space="preserve">     636</w:t>
            </w:r>
            <w:r w:rsidRPr="0010523F">
              <w:rPr>
                <w:lang w:val="en-US" w:eastAsia="en-US"/>
              </w:rPr>
              <w:t>)</w:t>
            </w:r>
          </w:p>
        </w:tc>
        <w:tc>
          <w:tcPr>
            <w:tcW w:w="1276" w:type="dxa"/>
            <w:vAlign w:val="bottom"/>
          </w:tcPr>
          <w:p w14:paraId="4FD0E876" w14:textId="77777777" w:rsidR="0010523F" w:rsidRPr="0010523F" w:rsidRDefault="0010523F" w:rsidP="0010523F">
            <w:pPr>
              <w:spacing w:line="220" w:lineRule="exact"/>
              <w:ind w:left="-108"/>
              <w:jc w:val="right"/>
              <w:rPr>
                <w:lang w:val="en-US" w:eastAsia="en-US"/>
              </w:rPr>
            </w:pPr>
            <w:r w:rsidRPr="0010523F">
              <w:rPr>
                <w:u w:val="single"/>
                <w:lang w:val="en-US" w:eastAsia="en-US"/>
              </w:rPr>
              <w:t xml:space="preserve">          -</w:t>
            </w:r>
          </w:p>
        </w:tc>
      </w:tr>
      <w:tr w:rsidR="0010523F" w:rsidRPr="0010523F" w14:paraId="1088F960" w14:textId="77777777" w:rsidTr="00774E7E">
        <w:tc>
          <w:tcPr>
            <w:tcW w:w="4820" w:type="dxa"/>
            <w:vAlign w:val="bottom"/>
          </w:tcPr>
          <w:p w14:paraId="7DFF476E" w14:textId="77777777" w:rsidR="0010523F" w:rsidRPr="0010523F" w:rsidRDefault="0010523F" w:rsidP="0010523F">
            <w:pPr>
              <w:tabs>
                <w:tab w:val="left" w:pos="426"/>
              </w:tabs>
              <w:spacing w:line="140" w:lineRule="exact"/>
              <w:ind w:right="-115"/>
              <w:jc w:val="both"/>
              <w:rPr>
                <w:highlight w:val="cyan"/>
                <w:lang w:val="es-AR" w:eastAsia="en-US"/>
              </w:rPr>
            </w:pPr>
          </w:p>
        </w:tc>
        <w:tc>
          <w:tcPr>
            <w:tcW w:w="1276" w:type="dxa"/>
            <w:vAlign w:val="bottom"/>
          </w:tcPr>
          <w:p w14:paraId="45643003" w14:textId="77777777" w:rsidR="0010523F" w:rsidRPr="0010523F" w:rsidRDefault="0010523F" w:rsidP="0010523F">
            <w:pPr>
              <w:spacing w:line="140" w:lineRule="exact"/>
              <w:ind w:left="-108" w:right="87"/>
              <w:jc w:val="right"/>
              <w:rPr>
                <w:u w:val="single"/>
                <w:lang w:val="es-AR" w:eastAsia="en-US"/>
              </w:rPr>
            </w:pPr>
          </w:p>
        </w:tc>
        <w:tc>
          <w:tcPr>
            <w:tcW w:w="1275" w:type="dxa"/>
            <w:vAlign w:val="bottom"/>
          </w:tcPr>
          <w:p w14:paraId="2F92B00B" w14:textId="77777777" w:rsidR="0010523F" w:rsidRPr="0010523F" w:rsidRDefault="0010523F" w:rsidP="0010523F">
            <w:pPr>
              <w:spacing w:line="140" w:lineRule="exact"/>
              <w:ind w:left="-108"/>
              <w:jc w:val="right"/>
              <w:rPr>
                <w:u w:val="single"/>
                <w:lang w:val="es-AR" w:eastAsia="en-US"/>
              </w:rPr>
            </w:pPr>
          </w:p>
        </w:tc>
        <w:tc>
          <w:tcPr>
            <w:tcW w:w="1276" w:type="dxa"/>
            <w:vAlign w:val="bottom"/>
          </w:tcPr>
          <w:p w14:paraId="29785E61" w14:textId="77777777" w:rsidR="0010523F" w:rsidRPr="0010523F" w:rsidRDefault="0010523F" w:rsidP="0010523F">
            <w:pPr>
              <w:spacing w:line="140" w:lineRule="exact"/>
              <w:ind w:left="-108"/>
              <w:jc w:val="right"/>
              <w:rPr>
                <w:u w:val="single"/>
                <w:lang w:val="es-AR" w:eastAsia="en-US"/>
              </w:rPr>
            </w:pPr>
          </w:p>
        </w:tc>
        <w:tc>
          <w:tcPr>
            <w:tcW w:w="1276" w:type="dxa"/>
            <w:vAlign w:val="bottom"/>
          </w:tcPr>
          <w:p w14:paraId="09C9748D" w14:textId="77777777" w:rsidR="0010523F" w:rsidRPr="0010523F" w:rsidRDefault="0010523F" w:rsidP="0010523F">
            <w:pPr>
              <w:spacing w:line="140" w:lineRule="exact"/>
              <w:ind w:left="-108"/>
              <w:jc w:val="right"/>
              <w:rPr>
                <w:u w:val="single"/>
                <w:lang w:val="es-AR" w:eastAsia="en-US"/>
              </w:rPr>
            </w:pPr>
          </w:p>
        </w:tc>
      </w:tr>
      <w:tr w:rsidR="0010523F" w:rsidRPr="0010523F" w14:paraId="46972386" w14:textId="77777777" w:rsidTr="00774E7E">
        <w:trPr>
          <w:trHeight w:val="283"/>
        </w:trPr>
        <w:tc>
          <w:tcPr>
            <w:tcW w:w="4820" w:type="dxa"/>
            <w:vAlign w:val="bottom"/>
          </w:tcPr>
          <w:p w14:paraId="71D39B88" w14:textId="77777777" w:rsidR="0010523F" w:rsidRPr="0010523F" w:rsidRDefault="0010523F" w:rsidP="0010523F">
            <w:pPr>
              <w:tabs>
                <w:tab w:val="left" w:pos="426"/>
              </w:tabs>
              <w:spacing w:line="220" w:lineRule="exact"/>
              <w:ind w:right="-108"/>
              <w:jc w:val="both"/>
              <w:rPr>
                <w:highlight w:val="cyan"/>
                <w:lang w:val="es-AR" w:eastAsia="en-US"/>
              </w:rPr>
            </w:pPr>
            <w:r w:rsidRPr="0010523F">
              <w:rPr>
                <w:lang w:val="es-AR" w:eastAsia="en-US"/>
              </w:rPr>
              <w:t>Total downstream</w:t>
            </w:r>
          </w:p>
        </w:tc>
        <w:tc>
          <w:tcPr>
            <w:tcW w:w="1276" w:type="dxa"/>
            <w:vAlign w:val="bottom"/>
          </w:tcPr>
          <w:p w14:paraId="5E02B16E" w14:textId="77777777" w:rsidR="0010523F" w:rsidRPr="0010523F" w:rsidRDefault="0010523F" w:rsidP="0010523F">
            <w:pPr>
              <w:spacing w:line="220" w:lineRule="exact"/>
              <w:ind w:left="-108" w:right="87"/>
              <w:jc w:val="right"/>
              <w:rPr>
                <w:u w:val="single"/>
                <w:lang w:val="es-AR" w:eastAsia="en-US"/>
              </w:rPr>
            </w:pPr>
            <w:r w:rsidRPr="0010523F">
              <w:rPr>
                <w:u w:val="single"/>
                <w:lang w:val="es-AR" w:eastAsia="en-US"/>
              </w:rPr>
              <w:t>34.753</w:t>
            </w:r>
          </w:p>
        </w:tc>
        <w:tc>
          <w:tcPr>
            <w:tcW w:w="1275" w:type="dxa"/>
            <w:vAlign w:val="bottom"/>
          </w:tcPr>
          <w:p w14:paraId="285DC113"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24.280</w:t>
            </w:r>
          </w:p>
        </w:tc>
        <w:tc>
          <w:tcPr>
            <w:tcW w:w="1276" w:type="dxa"/>
            <w:vAlign w:val="bottom"/>
          </w:tcPr>
          <w:p w14:paraId="2FC4AFE6"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95.414</w:t>
            </w:r>
          </w:p>
        </w:tc>
        <w:tc>
          <w:tcPr>
            <w:tcW w:w="1276" w:type="dxa"/>
            <w:vAlign w:val="bottom"/>
          </w:tcPr>
          <w:p w14:paraId="279CD4A9"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42.037</w:t>
            </w:r>
          </w:p>
        </w:tc>
      </w:tr>
      <w:tr w:rsidR="0010523F" w:rsidRPr="0010523F" w14:paraId="3F34A4BB" w14:textId="77777777" w:rsidTr="00774E7E">
        <w:tc>
          <w:tcPr>
            <w:tcW w:w="4820" w:type="dxa"/>
            <w:vAlign w:val="bottom"/>
          </w:tcPr>
          <w:p w14:paraId="2F3A9423" w14:textId="77777777" w:rsidR="0010523F" w:rsidRPr="0010523F" w:rsidRDefault="0010523F" w:rsidP="0010523F">
            <w:pPr>
              <w:tabs>
                <w:tab w:val="left" w:pos="426"/>
              </w:tabs>
              <w:spacing w:line="140" w:lineRule="exact"/>
              <w:ind w:right="-115"/>
              <w:jc w:val="both"/>
              <w:rPr>
                <w:highlight w:val="cyan"/>
                <w:lang w:val="es-AR" w:eastAsia="en-US"/>
              </w:rPr>
            </w:pPr>
          </w:p>
        </w:tc>
        <w:tc>
          <w:tcPr>
            <w:tcW w:w="1276" w:type="dxa"/>
            <w:vAlign w:val="bottom"/>
          </w:tcPr>
          <w:p w14:paraId="7551CEFD" w14:textId="77777777" w:rsidR="0010523F" w:rsidRPr="0010523F" w:rsidRDefault="0010523F" w:rsidP="0010523F">
            <w:pPr>
              <w:tabs>
                <w:tab w:val="left" w:pos="426"/>
              </w:tabs>
              <w:spacing w:line="140" w:lineRule="exact"/>
              <w:ind w:right="87"/>
              <w:jc w:val="right"/>
              <w:rPr>
                <w:highlight w:val="yellow"/>
                <w:lang w:val="es-AR" w:eastAsia="en-US"/>
              </w:rPr>
            </w:pPr>
          </w:p>
        </w:tc>
        <w:tc>
          <w:tcPr>
            <w:tcW w:w="1275" w:type="dxa"/>
            <w:vAlign w:val="bottom"/>
          </w:tcPr>
          <w:p w14:paraId="5E7EBCAA" w14:textId="77777777" w:rsidR="0010523F" w:rsidRPr="0010523F" w:rsidRDefault="0010523F" w:rsidP="0010523F">
            <w:pPr>
              <w:tabs>
                <w:tab w:val="left" w:pos="426"/>
              </w:tabs>
              <w:spacing w:line="140" w:lineRule="exact"/>
              <w:jc w:val="right"/>
              <w:rPr>
                <w:lang w:val="es-AR" w:eastAsia="en-US"/>
              </w:rPr>
            </w:pPr>
          </w:p>
        </w:tc>
        <w:tc>
          <w:tcPr>
            <w:tcW w:w="1276" w:type="dxa"/>
            <w:vAlign w:val="bottom"/>
          </w:tcPr>
          <w:p w14:paraId="3F18B03B" w14:textId="77777777" w:rsidR="0010523F" w:rsidRPr="0010523F" w:rsidRDefault="0010523F" w:rsidP="0010523F">
            <w:pPr>
              <w:tabs>
                <w:tab w:val="left" w:pos="426"/>
              </w:tabs>
              <w:spacing w:line="140" w:lineRule="exact"/>
              <w:jc w:val="right"/>
              <w:rPr>
                <w:highlight w:val="yellow"/>
                <w:lang w:val="es-AR" w:eastAsia="en-US"/>
              </w:rPr>
            </w:pPr>
          </w:p>
        </w:tc>
        <w:tc>
          <w:tcPr>
            <w:tcW w:w="1276" w:type="dxa"/>
            <w:vAlign w:val="bottom"/>
          </w:tcPr>
          <w:p w14:paraId="312DA58B" w14:textId="77777777" w:rsidR="0010523F" w:rsidRPr="0010523F" w:rsidRDefault="0010523F" w:rsidP="0010523F">
            <w:pPr>
              <w:tabs>
                <w:tab w:val="left" w:pos="426"/>
              </w:tabs>
              <w:spacing w:line="140" w:lineRule="exact"/>
              <w:jc w:val="right"/>
              <w:rPr>
                <w:lang w:val="es-AR" w:eastAsia="en-US"/>
              </w:rPr>
            </w:pPr>
          </w:p>
        </w:tc>
      </w:tr>
      <w:tr w:rsidR="0010523F" w:rsidRPr="0010523F" w14:paraId="06F362A4" w14:textId="77777777" w:rsidTr="00774E7E">
        <w:trPr>
          <w:trHeight w:val="255"/>
        </w:trPr>
        <w:tc>
          <w:tcPr>
            <w:tcW w:w="4820" w:type="dxa"/>
            <w:vAlign w:val="bottom"/>
          </w:tcPr>
          <w:p w14:paraId="61A06E9A" w14:textId="77777777" w:rsidR="0010523F" w:rsidRPr="0010523F" w:rsidRDefault="0010523F" w:rsidP="0010523F">
            <w:pPr>
              <w:spacing w:line="220" w:lineRule="exact"/>
              <w:ind w:left="284"/>
              <w:rPr>
                <w:lang w:val="es-AR" w:eastAsia="en-US"/>
              </w:rPr>
            </w:pPr>
            <w:r w:rsidRPr="0010523F">
              <w:rPr>
                <w:lang w:val="es-AR" w:eastAsia="en-US"/>
              </w:rPr>
              <w:t>Ventas netas (*)</w:t>
            </w:r>
          </w:p>
        </w:tc>
        <w:tc>
          <w:tcPr>
            <w:tcW w:w="1276" w:type="dxa"/>
            <w:vAlign w:val="bottom"/>
          </w:tcPr>
          <w:p w14:paraId="62BFED86" w14:textId="77777777" w:rsidR="0010523F" w:rsidRPr="0010523F" w:rsidRDefault="0010523F" w:rsidP="0010523F">
            <w:pPr>
              <w:spacing w:line="220" w:lineRule="exact"/>
              <w:ind w:left="-108" w:right="87"/>
              <w:jc w:val="right"/>
              <w:rPr>
                <w:lang w:val="es-AR" w:eastAsia="en-US"/>
              </w:rPr>
            </w:pPr>
            <w:r w:rsidRPr="0010523F">
              <w:rPr>
                <w:lang w:val="es-AR" w:eastAsia="en-US"/>
              </w:rPr>
              <w:t>53.546</w:t>
            </w:r>
          </w:p>
        </w:tc>
        <w:tc>
          <w:tcPr>
            <w:tcW w:w="1275" w:type="dxa"/>
            <w:vAlign w:val="bottom"/>
          </w:tcPr>
          <w:p w14:paraId="780816E0" w14:textId="77777777" w:rsidR="0010523F" w:rsidRPr="0010523F" w:rsidRDefault="0010523F" w:rsidP="0010523F">
            <w:pPr>
              <w:spacing w:line="220" w:lineRule="exact"/>
              <w:ind w:left="-108"/>
              <w:jc w:val="right"/>
              <w:rPr>
                <w:lang w:val="es-AR" w:eastAsia="en-US"/>
              </w:rPr>
            </w:pPr>
            <w:r w:rsidRPr="0010523F">
              <w:rPr>
                <w:lang w:val="es-AR" w:eastAsia="en-US"/>
              </w:rPr>
              <w:t>40.311</w:t>
            </w:r>
          </w:p>
        </w:tc>
        <w:tc>
          <w:tcPr>
            <w:tcW w:w="1276" w:type="dxa"/>
            <w:vAlign w:val="bottom"/>
          </w:tcPr>
          <w:p w14:paraId="69629079" w14:textId="77777777" w:rsidR="0010523F" w:rsidRPr="0010523F" w:rsidRDefault="0010523F" w:rsidP="0010523F">
            <w:pPr>
              <w:spacing w:line="220" w:lineRule="exact"/>
              <w:ind w:left="-108"/>
              <w:jc w:val="right"/>
              <w:rPr>
                <w:lang w:val="es-AR" w:eastAsia="en-US"/>
              </w:rPr>
            </w:pPr>
            <w:r w:rsidRPr="0010523F">
              <w:rPr>
                <w:lang w:val="es-AR" w:eastAsia="en-US"/>
              </w:rPr>
              <w:t>139.764</w:t>
            </w:r>
          </w:p>
        </w:tc>
        <w:tc>
          <w:tcPr>
            <w:tcW w:w="1276" w:type="dxa"/>
            <w:vAlign w:val="bottom"/>
          </w:tcPr>
          <w:p w14:paraId="054D70F7" w14:textId="77777777" w:rsidR="0010523F" w:rsidRPr="0010523F" w:rsidRDefault="0010523F" w:rsidP="0010523F">
            <w:pPr>
              <w:spacing w:line="220" w:lineRule="exact"/>
              <w:ind w:left="-108"/>
              <w:jc w:val="right"/>
              <w:rPr>
                <w:lang w:val="es-AR" w:eastAsia="en-US"/>
              </w:rPr>
            </w:pPr>
            <w:r w:rsidRPr="0010523F">
              <w:rPr>
                <w:lang w:val="es-AR" w:eastAsia="en-US"/>
              </w:rPr>
              <w:t>81.615</w:t>
            </w:r>
          </w:p>
        </w:tc>
      </w:tr>
      <w:tr w:rsidR="0010523F" w:rsidRPr="0010523F" w14:paraId="240A6300" w14:textId="77777777" w:rsidTr="00774E7E">
        <w:trPr>
          <w:trHeight w:val="255"/>
        </w:trPr>
        <w:tc>
          <w:tcPr>
            <w:tcW w:w="4820" w:type="dxa"/>
            <w:vAlign w:val="bottom"/>
          </w:tcPr>
          <w:p w14:paraId="421BD5D1" w14:textId="77777777" w:rsidR="0010523F" w:rsidRPr="0010523F" w:rsidRDefault="0010523F" w:rsidP="0010523F">
            <w:pPr>
              <w:spacing w:line="220" w:lineRule="exact"/>
              <w:ind w:left="284"/>
              <w:rPr>
                <w:lang w:val="es-AR" w:eastAsia="en-US"/>
              </w:rPr>
            </w:pPr>
            <w:r w:rsidRPr="0010523F">
              <w:rPr>
                <w:lang w:val="es-AR" w:eastAsia="en-US"/>
              </w:rPr>
              <w:t>Subvenciones del Gobierno (Upstream)</w:t>
            </w:r>
          </w:p>
        </w:tc>
        <w:tc>
          <w:tcPr>
            <w:tcW w:w="1276" w:type="dxa"/>
            <w:vAlign w:val="bottom"/>
          </w:tcPr>
          <w:p w14:paraId="40E67B28" w14:textId="77777777" w:rsidR="0010523F" w:rsidRPr="0010523F" w:rsidRDefault="0010523F" w:rsidP="0010523F">
            <w:pPr>
              <w:spacing w:line="220" w:lineRule="exact"/>
              <w:ind w:left="-108" w:right="87"/>
              <w:jc w:val="right"/>
              <w:rPr>
                <w:u w:val="single"/>
                <w:lang w:val="es-AR" w:eastAsia="en-US"/>
              </w:rPr>
            </w:pPr>
            <w:r w:rsidRPr="0010523F">
              <w:rPr>
                <w:u w:val="single"/>
                <w:lang w:val="es-AR" w:eastAsia="en-US"/>
              </w:rPr>
              <w:t xml:space="preserve">     753</w:t>
            </w:r>
          </w:p>
        </w:tc>
        <w:tc>
          <w:tcPr>
            <w:tcW w:w="1275" w:type="dxa"/>
            <w:vAlign w:val="bottom"/>
          </w:tcPr>
          <w:p w14:paraId="650F8B44"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34</w:t>
            </w:r>
          </w:p>
        </w:tc>
        <w:tc>
          <w:tcPr>
            <w:tcW w:w="1276" w:type="dxa"/>
            <w:vAlign w:val="bottom"/>
          </w:tcPr>
          <w:p w14:paraId="205E9276"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1.915</w:t>
            </w:r>
          </w:p>
        </w:tc>
        <w:tc>
          <w:tcPr>
            <w:tcW w:w="1276" w:type="dxa"/>
            <w:vAlign w:val="bottom"/>
          </w:tcPr>
          <w:p w14:paraId="67257BC7"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34</w:t>
            </w:r>
          </w:p>
        </w:tc>
      </w:tr>
      <w:tr w:rsidR="0010523F" w:rsidRPr="0010523F" w14:paraId="070E5ECA" w14:textId="77777777" w:rsidTr="00774E7E">
        <w:tc>
          <w:tcPr>
            <w:tcW w:w="4820" w:type="dxa"/>
            <w:vAlign w:val="bottom"/>
          </w:tcPr>
          <w:p w14:paraId="3D84CB72" w14:textId="77777777" w:rsidR="0010523F" w:rsidRPr="0010523F" w:rsidRDefault="0010523F" w:rsidP="0010523F">
            <w:pPr>
              <w:tabs>
                <w:tab w:val="left" w:pos="426"/>
              </w:tabs>
              <w:spacing w:line="140" w:lineRule="exact"/>
              <w:ind w:right="-115"/>
              <w:jc w:val="both"/>
              <w:rPr>
                <w:highlight w:val="cyan"/>
                <w:lang w:val="es-AR" w:eastAsia="en-US"/>
              </w:rPr>
            </w:pPr>
          </w:p>
        </w:tc>
        <w:tc>
          <w:tcPr>
            <w:tcW w:w="1276" w:type="dxa"/>
            <w:vAlign w:val="bottom"/>
          </w:tcPr>
          <w:p w14:paraId="2A7DA317" w14:textId="77777777" w:rsidR="0010523F" w:rsidRPr="0010523F" w:rsidRDefault="0010523F" w:rsidP="0010523F">
            <w:pPr>
              <w:tabs>
                <w:tab w:val="left" w:pos="426"/>
              </w:tabs>
              <w:spacing w:line="140" w:lineRule="exact"/>
              <w:ind w:right="87"/>
              <w:jc w:val="right"/>
              <w:rPr>
                <w:lang w:val="es-AR" w:eastAsia="en-US"/>
              </w:rPr>
            </w:pPr>
          </w:p>
        </w:tc>
        <w:tc>
          <w:tcPr>
            <w:tcW w:w="1275" w:type="dxa"/>
            <w:vAlign w:val="bottom"/>
          </w:tcPr>
          <w:p w14:paraId="30E6788E" w14:textId="77777777" w:rsidR="0010523F" w:rsidRPr="0010523F" w:rsidRDefault="0010523F" w:rsidP="0010523F">
            <w:pPr>
              <w:tabs>
                <w:tab w:val="left" w:pos="426"/>
              </w:tabs>
              <w:spacing w:line="140" w:lineRule="exact"/>
              <w:jc w:val="right"/>
              <w:rPr>
                <w:lang w:val="es-AR" w:eastAsia="en-US"/>
              </w:rPr>
            </w:pPr>
          </w:p>
        </w:tc>
        <w:tc>
          <w:tcPr>
            <w:tcW w:w="1276" w:type="dxa"/>
            <w:vAlign w:val="bottom"/>
          </w:tcPr>
          <w:p w14:paraId="14ABB934" w14:textId="77777777" w:rsidR="0010523F" w:rsidRPr="0010523F" w:rsidRDefault="0010523F" w:rsidP="0010523F">
            <w:pPr>
              <w:tabs>
                <w:tab w:val="left" w:pos="426"/>
              </w:tabs>
              <w:spacing w:line="140" w:lineRule="exact"/>
              <w:jc w:val="right"/>
              <w:rPr>
                <w:lang w:val="es-AR" w:eastAsia="en-US"/>
              </w:rPr>
            </w:pPr>
          </w:p>
        </w:tc>
        <w:tc>
          <w:tcPr>
            <w:tcW w:w="1276" w:type="dxa"/>
            <w:vAlign w:val="bottom"/>
          </w:tcPr>
          <w:p w14:paraId="1AECBCA9" w14:textId="77777777" w:rsidR="0010523F" w:rsidRPr="0010523F" w:rsidRDefault="0010523F" w:rsidP="0010523F">
            <w:pPr>
              <w:tabs>
                <w:tab w:val="left" w:pos="426"/>
              </w:tabs>
              <w:spacing w:line="140" w:lineRule="exact"/>
              <w:jc w:val="right"/>
              <w:rPr>
                <w:lang w:val="es-AR" w:eastAsia="en-US"/>
              </w:rPr>
            </w:pPr>
          </w:p>
        </w:tc>
      </w:tr>
      <w:tr w:rsidR="0010523F" w:rsidRPr="0010523F" w14:paraId="33526866" w14:textId="77777777" w:rsidTr="00774E7E">
        <w:trPr>
          <w:trHeight w:val="255"/>
        </w:trPr>
        <w:tc>
          <w:tcPr>
            <w:tcW w:w="4820" w:type="dxa"/>
            <w:vAlign w:val="bottom"/>
          </w:tcPr>
          <w:p w14:paraId="4D57121F" w14:textId="77777777" w:rsidR="0010523F" w:rsidRPr="0010523F" w:rsidRDefault="0010523F" w:rsidP="0010523F">
            <w:pPr>
              <w:spacing w:line="220" w:lineRule="exact"/>
              <w:ind w:left="284"/>
              <w:rPr>
                <w:lang w:val="es-AR" w:eastAsia="en-US"/>
              </w:rPr>
            </w:pPr>
            <w:r w:rsidRPr="0010523F">
              <w:rPr>
                <w:lang w:val="es-AR" w:eastAsia="en-US"/>
              </w:rPr>
              <w:t xml:space="preserve">Total ventas netas y subvenciones </w:t>
            </w:r>
          </w:p>
        </w:tc>
        <w:tc>
          <w:tcPr>
            <w:tcW w:w="1276" w:type="dxa"/>
            <w:vAlign w:val="bottom"/>
          </w:tcPr>
          <w:p w14:paraId="205F0595" w14:textId="77777777" w:rsidR="0010523F" w:rsidRPr="0010523F" w:rsidRDefault="0010523F" w:rsidP="0010523F">
            <w:pPr>
              <w:spacing w:line="220" w:lineRule="exact"/>
              <w:ind w:left="-108" w:right="87"/>
              <w:jc w:val="right"/>
              <w:rPr>
                <w:u w:val="double"/>
                <w:lang w:val="es-AR" w:eastAsia="en-US"/>
              </w:rPr>
            </w:pPr>
            <w:r w:rsidRPr="0010523F">
              <w:rPr>
                <w:u w:val="double"/>
                <w:lang w:val="es-AR" w:eastAsia="en-US"/>
              </w:rPr>
              <w:t>54.299</w:t>
            </w:r>
          </w:p>
        </w:tc>
        <w:tc>
          <w:tcPr>
            <w:tcW w:w="1275" w:type="dxa"/>
            <w:vAlign w:val="bottom"/>
          </w:tcPr>
          <w:p w14:paraId="7865E231" w14:textId="77777777" w:rsidR="0010523F" w:rsidRPr="0010523F" w:rsidRDefault="0010523F" w:rsidP="0010523F">
            <w:pPr>
              <w:spacing w:line="220" w:lineRule="exact"/>
              <w:ind w:left="-108"/>
              <w:jc w:val="right"/>
              <w:rPr>
                <w:u w:val="double"/>
                <w:lang w:val="es-AR" w:eastAsia="en-US"/>
              </w:rPr>
            </w:pPr>
            <w:r w:rsidRPr="0010523F">
              <w:rPr>
                <w:u w:val="double"/>
                <w:lang w:val="es-AR" w:eastAsia="en-US"/>
              </w:rPr>
              <w:t>40.345</w:t>
            </w:r>
          </w:p>
        </w:tc>
        <w:tc>
          <w:tcPr>
            <w:tcW w:w="1276" w:type="dxa"/>
            <w:vAlign w:val="bottom"/>
          </w:tcPr>
          <w:p w14:paraId="77A3736C" w14:textId="77777777" w:rsidR="0010523F" w:rsidRPr="0010523F" w:rsidRDefault="0010523F" w:rsidP="0010523F">
            <w:pPr>
              <w:spacing w:line="220" w:lineRule="exact"/>
              <w:ind w:left="-108"/>
              <w:jc w:val="right"/>
              <w:rPr>
                <w:u w:val="double"/>
                <w:lang w:val="es-AR" w:eastAsia="en-US"/>
              </w:rPr>
            </w:pPr>
            <w:r w:rsidRPr="0010523F">
              <w:rPr>
                <w:u w:val="double"/>
                <w:lang w:val="es-AR" w:eastAsia="en-US"/>
              </w:rPr>
              <w:t>141.679</w:t>
            </w:r>
          </w:p>
        </w:tc>
        <w:tc>
          <w:tcPr>
            <w:tcW w:w="1276" w:type="dxa"/>
            <w:vAlign w:val="bottom"/>
          </w:tcPr>
          <w:p w14:paraId="548FFFBA" w14:textId="77777777" w:rsidR="0010523F" w:rsidRPr="0010523F" w:rsidRDefault="0010523F" w:rsidP="0010523F">
            <w:pPr>
              <w:spacing w:line="220" w:lineRule="exact"/>
              <w:ind w:left="-108"/>
              <w:jc w:val="right"/>
              <w:rPr>
                <w:u w:val="double"/>
                <w:lang w:val="es-AR" w:eastAsia="en-US"/>
              </w:rPr>
            </w:pPr>
            <w:r w:rsidRPr="0010523F">
              <w:rPr>
                <w:u w:val="double"/>
                <w:lang w:val="es-AR" w:eastAsia="en-US"/>
              </w:rPr>
              <w:t>81.649</w:t>
            </w:r>
          </w:p>
        </w:tc>
      </w:tr>
    </w:tbl>
    <w:p w14:paraId="7B7BE51F" w14:textId="77777777" w:rsidR="0010523F" w:rsidRPr="0010523F" w:rsidRDefault="0010523F" w:rsidP="0010523F">
      <w:pPr>
        <w:tabs>
          <w:tab w:val="left" w:pos="567"/>
          <w:tab w:val="decimal" w:pos="7797"/>
          <w:tab w:val="decimal" w:pos="8931"/>
        </w:tabs>
        <w:spacing w:line="80" w:lineRule="exact"/>
        <w:jc w:val="both"/>
        <w:rPr>
          <w:sz w:val="20"/>
          <w:szCs w:val="20"/>
          <w:lang w:val="es-AR" w:eastAsia="en-US"/>
        </w:rPr>
      </w:pPr>
    </w:p>
    <w:p w14:paraId="5B11CED2" w14:textId="77777777" w:rsidR="0010523F" w:rsidRPr="0010523F" w:rsidRDefault="0010523F" w:rsidP="0010523F">
      <w:pPr>
        <w:tabs>
          <w:tab w:val="left" w:pos="567"/>
          <w:tab w:val="decimal" w:pos="7797"/>
          <w:tab w:val="decimal" w:pos="8931"/>
        </w:tabs>
        <w:jc w:val="both"/>
        <w:rPr>
          <w:sz w:val="20"/>
          <w:szCs w:val="20"/>
          <w:lang w:val="es-AR" w:eastAsia="en-US"/>
        </w:rPr>
      </w:pPr>
      <w:r w:rsidRPr="0010523F">
        <w:rPr>
          <w:sz w:val="20"/>
          <w:szCs w:val="20"/>
          <w:lang w:val="es-AR" w:eastAsia="en-US"/>
        </w:rPr>
        <w:t>(*) Ver página siguiente.</w:t>
      </w:r>
    </w:p>
    <w:p w14:paraId="5538322B" w14:textId="77777777" w:rsidR="0010523F" w:rsidRPr="0010523F" w:rsidRDefault="0010523F" w:rsidP="0010523F">
      <w:pPr>
        <w:tabs>
          <w:tab w:val="left" w:pos="567"/>
          <w:tab w:val="decimal" w:pos="7797"/>
          <w:tab w:val="decimal" w:pos="8931"/>
        </w:tabs>
        <w:jc w:val="both"/>
        <w:rPr>
          <w:b/>
          <w:lang w:val="es-AR" w:eastAsia="en-US"/>
        </w:rPr>
      </w:pPr>
      <w:r w:rsidRPr="0010523F" w:rsidDel="00AE5FB2">
        <w:rPr>
          <w:b/>
          <w:lang w:val="es-AR" w:eastAsia="en-US"/>
        </w:rPr>
        <w:t>NOTA 4 -</w:t>
      </w:r>
      <w:r w:rsidRPr="0010523F">
        <w:rPr>
          <w:b/>
          <w:lang w:val="es-AR" w:eastAsia="en-US"/>
        </w:rPr>
        <w:t xml:space="preserve"> </w:t>
      </w:r>
      <w:r w:rsidRPr="0010523F" w:rsidDel="00AE5FB2">
        <w:rPr>
          <w:b/>
          <w:lang w:val="es-AR" w:eastAsia="en-US"/>
        </w:rPr>
        <w:tab/>
        <w:t>COMPOSICIÓN DE CIERTOS RUBROS DEL ESTADO DEL RESULTADO INTERMEDIO CONDENSADO (cont.)</w:t>
      </w:r>
    </w:p>
    <w:p w14:paraId="67E97A54" w14:textId="77777777" w:rsidR="0010523F" w:rsidRPr="0010523F" w:rsidRDefault="0010523F" w:rsidP="0010523F">
      <w:pPr>
        <w:tabs>
          <w:tab w:val="center" w:pos="4382"/>
          <w:tab w:val="center" w:pos="6089"/>
          <w:tab w:val="center" w:pos="7573"/>
          <w:tab w:val="center" w:pos="9000"/>
        </w:tabs>
        <w:spacing w:line="160" w:lineRule="exact"/>
        <w:jc w:val="both"/>
        <w:rPr>
          <w:sz w:val="20"/>
          <w:szCs w:val="20"/>
          <w:lang w:val="es-AR" w:eastAsia="en-US"/>
        </w:rPr>
      </w:pPr>
    </w:p>
    <w:p w14:paraId="0306D923" w14:textId="77777777" w:rsidR="0010523F" w:rsidRPr="0010523F" w:rsidRDefault="0010523F" w:rsidP="00E2318E">
      <w:pPr>
        <w:numPr>
          <w:ilvl w:val="0"/>
          <w:numId w:val="72"/>
        </w:numPr>
        <w:spacing w:line="220" w:lineRule="exact"/>
        <w:ind w:left="567" w:hanging="425"/>
        <w:contextualSpacing/>
        <w:jc w:val="both"/>
        <w:rPr>
          <w:szCs w:val="20"/>
          <w:lang w:val="es-AR" w:eastAsia="en-US"/>
        </w:rPr>
      </w:pPr>
      <w:r w:rsidRPr="0010523F">
        <w:rPr>
          <w:szCs w:val="20"/>
          <w:lang w:val="es-AR" w:eastAsia="en-US"/>
        </w:rPr>
        <w:t>Ventas netas y subvenciones (cont.)</w:t>
      </w:r>
    </w:p>
    <w:p w14:paraId="38C4C76B" w14:textId="77777777" w:rsidR="0010523F" w:rsidRPr="0010523F" w:rsidRDefault="0010523F" w:rsidP="0010523F">
      <w:pPr>
        <w:tabs>
          <w:tab w:val="center" w:pos="4382"/>
          <w:tab w:val="center" w:pos="6089"/>
          <w:tab w:val="center" w:pos="7573"/>
          <w:tab w:val="center" w:pos="9000"/>
        </w:tabs>
        <w:spacing w:line="160" w:lineRule="exact"/>
        <w:jc w:val="both"/>
        <w:rPr>
          <w:sz w:val="20"/>
          <w:szCs w:val="20"/>
          <w:lang w:val="es-AR" w:eastAsia="en-US"/>
        </w:rPr>
      </w:pPr>
    </w:p>
    <w:p w14:paraId="70231416" w14:textId="77777777" w:rsidR="0010523F" w:rsidRPr="0010523F" w:rsidRDefault="0010523F" w:rsidP="0010523F">
      <w:pPr>
        <w:keepNext/>
        <w:widowControl w:val="0"/>
        <w:tabs>
          <w:tab w:val="decimal" w:pos="4962"/>
          <w:tab w:val="decimal" w:pos="6379"/>
          <w:tab w:val="decimal" w:pos="7797"/>
          <w:tab w:val="decimal" w:pos="9214"/>
          <w:tab w:val="decimal" w:pos="10490"/>
          <w:tab w:val="decimal" w:pos="12049"/>
          <w:tab w:val="decimal" w:pos="13325"/>
          <w:tab w:val="decimal" w:pos="14601"/>
        </w:tabs>
        <w:spacing w:line="220" w:lineRule="exact"/>
        <w:ind w:left="142" w:right="12"/>
        <w:jc w:val="both"/>
        <w:outlineLvl w:val="3"/>
        <w:rPr>
          <w:sz w:val="20"/>
          <w:szCs w:val="20"/>
          <w:lang w:val="es-AR" w:eastAsia="en-US"/>
        </w:rPr>
      </w:pPr>
      <w:r w:rsidRPr="0010523F">
        <w:rPr>
          <w:szCs w:val="20"/>
          <w:lang w:val="es-AR" w:eastAsia="en-US"/>
        </w:rPr>
        <w:t>a.2) Apertura por mercado</w:t>
      </w:r>
    </w:p>
    <w:tbl>
      <w:tblPr>
        <w:tblW w:w="9923" w:type="dxa"/>
        <w:tblInd w:w="108" w:type="dxa"/>
        <w:tblLayout w:type="fixed"/>
        <w:tblLook w:val="0000" w:firstRow="0" w:lastRow="0" w:firstColumn="0" w:lastColumn="0" w:noHBand="0" w:noVBand="0"/>
      </w:tblPr>
      <w:tblGrid>
        <w:gridCol w:w="4820"/>
        <w:gridCol w:w="1276"/>
        <w:gridCol w:w="1275"/>
        <w:gridCol w:w="1276"/>
        <w:gridCol w:w="1276"/>
      </w:tblGrid>
      <w:tr w:rsidR="0010523F" w:rsidRPr="0010523F" w14:paraId="677EBDD7" w14:textId="77777777" w:rsidTr="00774E7E">
        <w:trPr>
          <w:trHeight w:val="283"/>
        </w:trPr>
        <w:tc>
          <w:tcPr>
            <w:tcW w:w="4820" w:type="dxa"/>
            <w:vAlign w:val="bottom"/>
          </w:tcPr>
          <w:p w14:paraId="0CC67406" w14:textId="77777777" w:rsidR="0010523F" w:rsidRPr="0010523F" w:rsidRDefault="0010523F" w:rsidP="0010523F">
            <w:pPr>
              <w:spacing w:line="220" w:lineRule="exact"/>
              <w:jc w:val="both"/>
              <w:rPr>
                <w:bCs/>
                <w:lang w:val="es-AR" w:eastAsia="en-US"/>
              </w:rPr>
            </w:pPr>
          </w:p>
        </w:tc>
        <w:tc>
          <w:tcPr>
            <w:tcW w:w="1276" w:type="dxa"/>
            <w:vAlign w:val="bottom"/>
          </w:tcPr>
          <w:p w14:paraId="345DD08A" w14:textId="77777777" w:rsidR="0010523F" w:rsidRPr="0010523F" w:rsidRDefault="0010523F" w:rsidP="0010523F">
            <w:pPr>
              <w:spacing w:line="220" w:lineRule="exact"/>
              <w:ind w:right="-136"/>
              <w:jc w:val="center"/>
              <w:rPr>
                <w:bCs/>
                <w:lang w:val="es-AR" w:eastAsia="en-US"/>
              </w:rPr>
            </w:pPr>
            <w:r w:rsidRPr="0010523F">
              <w:rPr>
                <w:bCs/>
                <w:lang w:val="es-AR" w:eastAsia="en-US"/>
              </w:rPr>
              <w:t>2019</w:t>
            </w:r>
          </w:p>
        </w:tc>
        <w:tc>
          <w:tcPr>
            <w:tcW w:w="1275" w:type="dxa"/>
            <w:vAlign w:val="bottom"/>
          </w:tcPr>
          <w:p w14:paraId="0E16071E" w14:textId="77777777" w:rsidR="0010523F" w:rsidRPr="0010523F" w:rsidRDefault="0010523F" w:rsidP="0010523F">
            <w:pPr>
              <w:spacing w:line="220" w:lineRule="exact"/>
              <w:ind w:left="-108"/>
              <w:jc w:val="center"/>
              <w:rPr>
                <w:bCs/>
                <w:lang w:val="es-AR" w:eastAsia="en-US"/>
              </w:rPr>
            </w:pPr>
            <w:r w:rsidRPr="0010523F">
              <w:rPr>
                <w:bCs/>
                <w:lang w:val="es-AR" w:eastAsia="en-US"/>
              </w:rPr>
              <w:t>2018</w:t>
            </w:r>
          </w:p>
        </w:tc>
        <w:tc>
          <w:tcPr>
            <w:tcW w:w="1276" w:type="dxa"/>
            <w:vAlign w:val="bottom"/>
          </w:tcPr>
          <w:p w14:paraId="7E1BBA39" w14:textId="77777777" w:rsidR="0010523F" w:rsidRPr="0010523F" w:rsidRDefault="0010523F" w:rsidP="0010523F">
            <w:pPr>
              <w:spacing w:line="220" w:lineRule="exact"/>
              <w:ind w:left="-108"/>
              <w:jc w:val="center"/>
              <w:rPr>
                <w:bCs/>
                <w:lang w:val="es-AR" w:eastAsia="en-US"/>
              </w:rPr>
            </w:pPr>
            <w:r w:rsidRPr="0010523F">
              <w:rPr>
                <w:bCs/>
                <w:lang w:val="es-AR" w:eastAsia="en-US"/>
              </w:rPr>
              <w:t>2019</w:t>
            </w:r>
          </w:p>
        </w:tc>
        <w:tc>
          <w:tcPr>
            <w:tcW w:w="1276" w:type="dxa"/>
            <w:vAlign w:val="bottom"/>
          </w:tcPr>
          <w:p w14:paraId="08C422FB" w14:textId="77777777" w:rsidR="0010523F" w:rsidRPr="0010523F" w:rsidRDefault="0010523F" w:rsidP="0010523F">
            <w:pPr>
              <w:spacing w:line="220" w:lineRule="exact"/>
              <w:ind w:left="-108"/>
              <w:jc w:val="center"/>
              <w:rPr>
                <w:bCs/>
                <w:lang w:val="es-AR" w:eastAsia="en-US"/>
              </w:rPr>
            </w:pPr>
            <w:r w:rsidRPr="0010523F">
              <w:rPr>
                <w:bCs/>
                <w:lang w:val="es-AR" w:eastAsia="en-US"/>
              </w:rPr>
              <w:t>2018</w:t>
            </w:r>
          </w:p>
        </w:tc>
      </w:tr>
      <w:tr w:rsidR="0010523F" w:rsidRPr="0010523F" w14:paraId="1C682A4B" w14:textId="77777777" w:rsidTr="00774E7E">
        <w:tc>
          <w:tcPr>
            <w:tcW w:w="4820" w:type="dxa"/>
            <w:vAlign w:val="bottom"/>
          </w:tcPr>
          <w:p w14:paraId="0445C5F7" w14:textId="77777777" w:rsidR="0010523F" w:rsidRPr="0010523F" w:rsidRDefault="0010523F" w:rsidP="0010523F">
            <w:pPr>
              <w:tabs>
                <w:tab w:val="left" w:pos="567"/>
                <w:tab w:val="decimal" w:pos="7513"/>
                <w:tab w:val="decimal" w:pos="9356"/>
              </w:tabs>
              <w:ind w:right="-3546"/>
              <w:jc w:val="both"/>
              <w:rPr>
                <w:bCs/>
                <w:lang w:val="es-AR" w:eastAsia="en-US"/>
              </w:rPr>
            </w:pPr>
          </w:p>
        </w:tc>
        <w:tc>
          <w:tcPr>
            <w:tcW w:w="1276" w:type="dxa"/>
            <w:vAlign w:val="bottom"/>
          </w:tcPr>
          <w:p w14:paraId="03C83494" w14:textId="77777777" w:rsidR="0010523F" w:rsidRPr="0010523F" w:rsidRDefault="0010523F" w:rsidP="0010523F">
            <w:pPr>
              <w:jc w:val="center"/>
              <w:rPr>
                <w:bCs/>
                <w:u w:val="single"/>
                <w:lang w:val="es-AR" w:eastAsia="en-US"/>
              </w:rPr>
            </w:pPr>
            <w:r w:rsidRPr="0010523F">
              <w:rPr>
                <w:bCs/>
                <w:lang w:val="es-AR" w:eastAsia="en-US"/>
              </w:rPr>
              <w:t>(tercer</w:t>
            </w:r>
            <w:r w:rsidRPr="0010523F">
              <w:rPr>
                <w:bCs/>
                <w:u w:val="single"/>
                <w:lang w:val="es-AR" w:eastAsia="en-US"/>
              </w:rPr>
              <w:t xml:space="preserve"> trimestre</w:t>
            </w:r>
            <w:r w:rsidRPr="0010523F">
              <w:rPr>
                <w:bCs/>
                <w:lang w:val="es-AR" w:eastAsia="en-US"/>
              </w:rPr>
              <w:t>)</w:t>
            </w:r>
          </w:p>
        </w:tc>
        <w:tc>
          <w:tcPr>
            <w:tcW w:w="1275" w:type="dxa"/>
            <w:vAlign w:val="bottom"/>
          </w:tcPr>
          <w:p w14:paraId="3295CCCF" w14:textId="77777777" w:rsidR="0010523F" w:rsidRPr="0010523F" w:rsidRDefault="0010523F" w:rsidP="0010523F">
            <w:pPr>
              <w:ind w:left="-108"/>
              <w:jc w:val="center"/>
              <w:rPr>
                <w:bCs/>
                <w:u w:val="single"/>
                <w:lang w:val="es-AR" w:eastAsia="en-US"/>
              </w:rPr>
            </w:pPr>
            <w:r w:rsidRPr="0010523F">
              <w:rPr>
                <w:bCs/>
                <w:lang w:val="es-AR" w:eastAsia="en-US"/>
              </w:rPr>
              <w:t>(tercer</w:t>
            </w:r>
            <w:r w:rsidRPr="0010523F">
              <w:rPr>
                <w:bCs/>
                <w:u w:val="single"/>
                <w:lang w:val="es-AR" w:eastAsia="en-US"/>
              </w:rPr>
              <w:t xml:space="preserve"> trimestre</w:t>
            </w:r>
            <w:r w:rsidRPr="0010523F">
              <w:rPr>
                <w:bCs/>
                <w:lang w:val="es-AR" w:eastAsia="en-US"/>
              </w:rPr>
              <w:t>)</w:t>
            </w:r>
          </w:p>
        </w:tc>
        <w:tc>
          <w:tcPr>
            <w:tcW w:w="1276" w:type="dxa"/>
            <w:vAlign w:val="bottom"/>
          </w:tcPr>
          <w:p w14:paraId="37DF0022" w14:textId="77777777" w:rsidR="0010523F" w:rsidRPr="0010523F" w:rsidRDefault="0010523F" w:rsidP="0010523F">
            <w:pPr>
              <w:ind w:left="-108"/>
              <w:jc w:val="center"/>
              <w:rPr>
                <w:bCs/>
                <w:u w:val="single"/>
                <w:lang w:val="es-AR" w:eastAsia="en-US"/>
              </w:rPr>
            </w:pPr>
            <w:r w:rsidRPr="0010523F">
              <w:rPr>
                <w:bCs/>
                <w:u w:val="single"/>
                <w:lang w:val="es-AR" w:eastAsia="en-US"/>
              </w:rPr>
              <w:t>(9 meses)</w:t>
            </w:r>
          </w:p>
        </w:tc>
        <w:tc>
          <w:tcPr>
            <w:tcW w:w="1276" w:type="dxa"/>
            <w:vAlign w:val="bottom"/>
          </w:tcPr>
          <w:p w14:paraId="0114F784" w14:textId="77777777" w:rsidR="0010523F" w:rsidRPr="0010523F" w:rsidRDefault="0010523F" w:rsidP="0010523F">
            <w:pPr>
              <w:ind w:left="-108"/>
              <w:jc w:val="center"/>
              <w:rPr>
                <w:bCs/>
                <w:u w:val="single"/>
                <w:lang w:val="es-AR" w:eastAsia="en-US"/>
              </w:rPr>
            </w:pPr>
            <w:r w:rsidRPr="0010523F">
              <w:rPr>
                <w:bCs/>
                <w:u w:val="single"/>
                <w:lang w:val="es-AR" w:eastAsia="en-US"/>
              </w:rPr>
              <w:t>(9 meses)</w:t>
            </w:r>
          </w:p>
        </w:tc>
      </w:tr>
      <w:tr w:rsidR="0010523F" w:rsidRPr="0010523F" w14:paraId="65556B35" w14:textId="77777777" w:rsidTr="00774E7E">
        <w:tc>
          <w:tcPr>
            <w:tcW w:w="4820" w:type="dxa"/>
            <w:vAlign w:val="bottom"/>
          </w:tcPr>
          <w:p w14:paraId="632B4095" w14:textId="77777777" w:rsidR="0010523F" w:rsidRPr="0010523F" w:rsidRDefault="0010523F" w:rsidP="0010523F">
            <w:pPr>
              <w:tabs>
                <w:tab w:val="left" w:pos="567"/>
                <w:tab w:val="decimal" w:pos="7513"/>
                <w:tab w:val="decimal" w:pos="9356"/>
              </w:tabs>
              <w:spacing w:line="220" w:lineRule="exact"/>
              <w:jc w:val="both"/>
              <w:rPr>
                <w:bCs/>
                <w:lang w:val="es-AR" w:eastAsia="en-US"/>
              </w:rPr>
            </w:pPr>
            <w:r w:rsidRPr="0010523F">
              <w:rPr>
                <w:bCs/>
                <w:lang w:val="es-AR" w:eastAsia="en-US"/>
              </w:rPr>
              <w:t>Upstream</w:t>
            </w:r>
          </w:p>
        </w:tc>
        <w:tc>
          <w:tcPr>
            <w:tcW w:w="1276" w:type="dxa"/>
            <w:vAlign w:val="bottom"/>
          </w:tcPr>
          <w:p w14:paraId="0D598875" w14:textId="77777777" w:rsidR="0010523F" w:rsidRPr="0010523F" w:rsidRDefault="0010523F" w:rsidP="0010523F">
            <w:pPr>
              <w:tabs>
                <w:tab w:val="decimal" w:pos="1152"/>
              </w:tabs>
              <w:spacing w:line="220" w:lineRule="exact"/>
              <w:ind w:left="-108"/>
              <w:jc w:val="both"/>
              <w:rPr>
                <w:b/>
                <w:bCs/>
                <w:lang w:val="es-AR" w:eastAsia="en-US"/>
              </w:rPr>
            </w:pPr>
          </w:p>
        </w:tc>
        <w:tc>
          <w:tcPr>
            <w:tcW w:w="1275" w:type="dxa"/>
            <w:vAlign w:val="bottom"/>
          </w:tcPr>
          <w:p w14:paraId="3ED4B716" w14:textId="77777777" w:rsidR="0010523F" w:rsidRPr="0010523F" w:rsidRDefault="0010523F" w:rsidP="0010523F">
            <w:pPr>
              <w:tabs>
                <w:tab w:val="decimal" w:pos="1236"/>
              </w:tabs>
              <w:spacing w:line="220" w:lineRule="exact"/>
              <w:ind w:left="-108"/>
              <w:jc w:val="both"/>
              <w:rPr>
                <w:b/>
                <w:bCs/>
                <w:lang w:val="es-AR" w:eastAsia="en-US"/>
              </w:rPr>
            </w:pPr>
          </w:p>
        </w:tc>
        <w:tc>
          <w:tcPr>
            <w:tcW w:w="1276" w:type="dxa"/>
          </w:tcPr>
          <w:p w14:paraId="0180A4E2" w14:textId="77777777" w:rsidR="0010523F" w:rsidRPr="0010523F" w:rsidRDefault="0010523F" w:rsidP="0010523F">
            <w:pPr>
              <w:tabs>
                <w:tab w:val="decimal" w:pos="1236"/>
              </w:tabs>
              <w:spacing w:line="220" w:lineRule="exact"/>
              <w:ind w:left="-108"/>
              <w:jc w:val="both"/>
              <w:rPr>
                <w:b/>
                <w:bCs/>
                <w:lang w:val="es-AR" w:eastAsia="en-US"/>
              </w:rPr>
            </w:pPr>
          </w:p>
        </w:tc>
        <w:tc>
          <w:tcPr>
            <w:tcW w:w="1276" w:type="dxa"/>
          </w:tcPr>
          <w:p w14:paraId="3F421611" w14:textId="77777777" w:rsidR="0010523F" w:rsidRPr="0010523F" w:rsidRDefault="0010523F" w:rsidP="0010523F">
            <w:pPr>
              <w:tabs>
                <w:tab w:val="decimal" w:pos="1236"/>
              </w:tabs>
              <w:spacing w:line="220" w:lineRule="exact"/>
              <w:ind w:left="-108"/>
              <w:jc w:val="both"/>
              <w:rPr>
                <w:b/>
                <w:bCs/>
                <w:lang w:val="es-AR" w:eastAsia="en-US"/>
              </w:rPr>
            </w:pPr>
          </w:p>
        </w:tc>
      </w:tr>
      <w:tr w:rsidR="0010523F" w:rsidRPr="0010523F" w14:paraId="73AD820A" w14:textId="77777777" w:rsidTr="00774E7E">
        <w:trPr>
          <w:trHeight w:val="255"/>
        </w:trPr>
        <w:tc>
          <w:tcPr>
            <w:tcW w:w="4820" w:type="dxa"/>
            <w:vAlign w:val="bottom"/>
          </w:tcPr>
          <w:p w14:paraId="18FEBE2D" w14:textId="77777777" w:rsidR="0010523F" w:rsidRPr="0010523F" w:rsidRDefault="0010523F" w:rsidP="0010523F">
            <w:pPr>
              <w:spacing w:line="220" w:lineRule="exact"/>
              <w:ind w:left="284" w:right="-108"/>
              <w:jc w:val="both"/>
              <w:rPr>
                <w:lang w:val="es-AR" w:eastAsia="en-US"/>
              </w:rPr>
            </w:pPr>
            <w:r w:rsidRPr="0010523F">
              <w:rPr>
                <w:lang w:val="es-AR" w:eastAsia="en-US"/>
              </w:rPr>
              <w:t>Exportaciones</w:t>
            </w:r>
          </w:p>
        </w:tc>
        <w:tc>
          <w:tcPr>
            <w:tcW w:w="1276" w:type="dxa"/>
            <w:vAlign w:val="bottom"/>
          </w:tcPr>
          <w:p w14:paraId="7FD289BA" w14:textId="77777777" w:rsidR="0010523F" w:rsidRPr="0010523F" w:rsidRDefault="0010523F" w:rsidP="0010523F">
            <w:pPr>
              <w:spacing w:line="220" w:lineRule="exact"/>
              <w:ind w:left="-108" w:right="87"/>
              <w:jc w:val="right"/>
              <w:rPr>
                <w:lang w:val="es-AR" w:eastAsia="en-US"/>
              </w:rPr>
            </w:pPr>
            <w:r w:rsidRPr="0010523F">
              <w:rPr>
                <w:lang w:val="es-AR" w:eastAsia="en-US"/>
              </w:rPr>
              <w:t>12.525</w:t>
            </w:r>
          </w:p>
        </w:tc>
        <w:tc>
          <w:tcPr>
            <w:tcW w:w="1275" w:type="dxa"/>
            <w:vAlign w:val="bottom"/>
          </w:tcPr>
          <w:p w14:paraId="4AFAAC6A" w14:textId="77777777" w:rsidR="0010523F" w:rsidRPr="0010523F" w:rsidRDefault="0010523F" w:rsidP="0010523F">
            <w:pPr>
              <w:spacing w:line="220" w:lineRule="exact"/>
              <w:ind w:left="-108"/>
              <w:jc w:val="right"/>
              <w:rPr>
                <w:lang w:val="es-AR" w:eastAsia="en-US"/>
              </w:rPr>
            </w:pPr>
            <w:r w:rsidRPr="0010523F">
              <w:rPr>
                <w:lang w:val="en-US" w:eastAsia="en-US"/>
              </w:rPr>
              <w:t>9.309</w:t>
            </w:r>
          </w:p>
        </w:tc>
        <w:tc>
          <w:tcPr>
            <w:tcW w:w="1276" w:type="dxa"/>
            <w:vAlign w:val="bottom"/>
          </w:tcPr>
          <w:p w14:paraId="0DB5447D" w14:textId="77777777" w:rsidR="0010523F" w:rsidRPr="0010523F" w:rsidRDefault="0010523F" w:rsidP="0010523F">
            <w:pPr>
              <w:spacing w:line="220" w:lineRule="exact"/>
              <w:ind w:left="-108"/>
              <w:jc w:val="right"/>
              <w:rPr>
                <w:lang w:val="en-US" w:eastAsia="en-US"/>
              </w:rPr>
            </w:pPr>
            <w:r w:rsidRPr="0010523F">
              <w:rPr>
                <w:lang w:val="en-US" w:eastAsia="en-US"/>
              </w:rPr>
              <w:t>28.389</w:t>
            </w:r>
          </w:p>
        </w:tc>
        <w:tc>
          <w:tcPr>
            <w:tcW w:w="1276" w:type="dxa"/>
            <w:vAlign w:val="bottom"/>
          </w:tcPr>
          <w:p w14:paraId="7E112B0D" w14:textId="77777777" w:rsidR="0010523F" w:rsidRPr="0010523F" w:rsidRDefault="0010523F" w:rsidP="0010523F">
            <w:pPr>
              <w:spacing w:line="220" w:lineRule="exact"/>
              <w:ind w:left="-108"/>
              <w:jc w:val="right"/>
              <w:rPr>
                <w:lang w:val="en-US" w:eastAsia="en-US"/>
              </w:rPr>
            </w:pPr>
            <w:r w:rsidRPr="0010523F">
              <w:rPr>
                <w:lang w:val="en-US" w:eastAsia="en-US"/>
              </w:rPr>
              <w:t>20.408</w:t>
            </w:r>
          </w:p>
        </w:tc>
      </w:tr>
      <w:tr w:rsidR="0010523F" w:rsidRPr="0010523F" w14:paraId="68DCA5B3" w14:textId="77777777" w:rsidTr="00774E7E">
        <w:trPr>
          <w:trHeight w:val="255"/>
        </w:trPr>
        <w:tc>
          <w:tcPr>
            <w:tcW w:w="4820" w:type="dxa"/>
            <w:vAlign w:val="bottom"/>
          </w:tcPr>
          <w:p w14:paraId="62629E42" w14:textId="77777777" w:rsidR="0010523F" w:rsidRPr="0010523F" w:rsidRDefault="0010523F" w:rsidP="0010523F">
            <w:pPr>
              <w:spacing w:line="220" w:lineRule="exact"/>
              <w:ind w:left="284" w:right="-108"/>
              <w:rPr>
                <w:lang w:val="es-AR" w:eastAsia="en-US"/>
              </w:rPr>
            </w:pPr>
            <w:r w:rsidRPr="0010523F">
              <w:rPr>
                <w:lang w:val="es-AR" w:eastAsia="en-US"/>
              </w:rPr>
              <w:t>Venta local</w:t>
            </w:r>
          </w:p>
        </w:tc>
        <w:tc>
          <w:tcPr>
            <w:tcW w:w="1276" w:type="dxa"/>
            <w:vAlign w:val="bottom"/>
          </w:tcPr>
          <w:p w14:paraId="7C5E4814" w14:textId="77777777" w:rsidR="0010523F" w:rsidRPr="0010523F" w:rsidRDefault="0010523F" w:rsidP="0010523F">
            <w:pPr>
              <w:spacing w:line="220" w:lineRule="exact"/>
              <w:ind w:left="-108" w:right="87"/>
              <w:jc w:val="right"/>
              <w:rPr>
                <w:u w:val="single"/>
                <w:lang w:val="es-AR" w:eastAsia="en-US"/>
              </w:rPr>
            </w:pPr>
            <w:r w:rsidRPr="0010523F">
              <w:rPr>
                <w:u w:val="single"/>
                <w:lang w:val="es-AR" w:eastAsia="en-US"/>
              </w:rPr>
              <w:t xml:space="preserve">  6.268</w:t>
            </w:r>
          </w:p>
        </w:tc>
        <w:tc>
          <w:tcPr>
            <w:tcW w:w="1275" w:type="dxa"/>
            <w:vAlign w:val="bottom"/>
          </w:tcPr>
          <w:p w14:paraId="48001C01"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6.722</w:t>
            </w:r>
          </w:p>
        </w:tc>
        <w:tc>
          <w:tcPr>
            <w:tcW w:w="1276" w:type="dxa"/>
            <w:vAlign w:val="bottom"/>
          </w:tcPr>
          <w:p w14:paraId="473F2C34"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15.961</w:t>
            </w:r>
          </w:p>
        </w:tc>
        <w:tc>
          <w:tcPr>
            <w:tcW w:w="1276" w:type="dxa"/>
            <w:vAlign w:val="bottom"/>
          </w:tcPr>
          <w:p w14:paraId="5D8F9890"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19.170</w:t>
            </w:r>
          </w:p>
        </w:tc>
      </w:tr>
      <w:tr w:rsidR="0010523F" w:rsidRPr="0010523F" w14:paraId="37778113" w14:textId="77777777" w:rsidTr="00774E7E">
        <w:tc>
          <w:tcPr>
            <w:tcW w:w="4820" w:type="dxa"/>
            <w:vAlign w:val="bottom"/>
          </w:tcPr>
          <w:p w14:paraId="73CDB89D" w14:textId="77777777" w:rsidR="0010523F" w:rsidRPr="0010523F" w:rsidRDefault="0010523F" w:rsidP="0010523F">
            <w:pPr>
              <w:tabs>
                <w:tab w:val="left" w:pos="426"/>
              </w:tabs>
              <w:spacing w:line="140" w:lineRule="exact"/>
              <w:ind w:right="-115"/>
              <w:jc w:val="both"/>
              <w:rPr>
                <w:lang w:val="es-AR" w:eastAsia="en-US"/>
              </w:rPr>
            </w:pPr>
          </w:p>
        </w:tc>
        <w:tc>
          <w:tcPr>
            <w:tcW w:w="1276" w:type="dxa"/>
            <w:vAlign w:val="bottom"/>
          </w:tcPr>
          <w:p w14:paraId="36305127" w14:textId="77777777" w:rsidR="0010523F" w:rsidRPr="0010523F" w:rsidRDefault="0010523F" w:rsidP="0010523F">
            <w:pPr>
              <w:spacing w:line="140" w:lineRule="exact"/>
              <w:ind w:left="-108" w:right="87"/>
              <w:jc w:val="right"/>
              <w:rPr>
                <w:lang w:val="es-AR" w:eastAsia="en-US"/>
              </w:rPr>
            </w:pPr>
          </w:p>
        </w:tc>
        <w:tc>
          <w:tcPr>
            <w:tcW w:w="1275" w:type="dxa"/>
            <w:vAlign w:val="bottom"/>
          </w:tcPr>
          <w:p w14:paraId="76A61138" w14:textId="77777777" w:rsidR="0010523F" w:rsidRPr="0010523F" w:rsidRDefault="0010523F" w:rsidP="0010523F">
            <w:pPr>
              <w:spacing w:line="140" w:lineRule="exact"/>
              <w:ind w:left="-108"/>
              <w:jc w:val="right"/>
              <w:rPr>
                <w:lang w:val="es-AR" w:eastAsia="en-US"/>
              </w:rPr>
            </w:pPr>
          </w:p>
        </w:tc>
        <w:tc>
          <w:tcPr>
            <w:tcW w:w="1276" w:type="dxa"/>
          </w:tcPr>
          <w:p w14:paraId="5BEF7931" w14:textId="77777777" w:rsidR="0010523F" w:rsidRPr="0010523F" w:rsidRDefault="0010523F" w:rsidP="0010523F">
            <w:pPr>
              <w:spacing w:line="140" w:lineRule="exact"/>
              <w:ind w:left="-108"/>
              <w:jc w:val="right"/>
              <w:rPr>
                <w:lang w:val="es-AR" w:eastAsia="en-US"/>
              </w:rPr>
            </w:pPr>
          </w:p>
        </w:tc>
        <w:tc>
          <w:tcPr>
            <w:tcW w:w="1276" w:type="dxa"/>
          </w:tcPr>
          <w:p w14:paraId="0D0943B7" w14:textId="77777777" w:rsidR="0010523F" w:rsidRPr="0010523F" w:rsidRDefault="0010523F" w:rsidP="0010523F">
            <w:pPr>
              <w:spacing w:line="140" w:lineRule="exact"/>
              <w:ind w:left="-108"/>
              <w:jc w:val="right"/>
              <w:rPr>
                <w:lang w:val="es-AR" w:eastAsia="en-US"/>
              </w:rPr>
            </w:pPr>
          </w:p>
        </w:tc>
      </w:tr>
      <w:tr w:rsidR="0010523F" w:rsidRPr="0010523F" w14:paraId="185F0B07" w14:textId="77777777" w:rsidTr="00774E7E">
        <w:trPr>
          <w:trHeight w:val="283"/>
        </w:trPr>
        <w:tc>
          <w:tcPr>
            <w:tcW w:w="4820" w:type="dxa"/>
            <w:vAlign w:val="bottom"/>
          </w:tcPr>
          <w:p w14:paraId="7E9F7537" w14:textId="77777777" w:rsidR="0010523F" w:rsidRPr="0010523F" w:rsidRDefault="0010523F" w:rsidP="0010523F">
            <w:pPr>
              <w:tabs>
                <w:tab w:val="left" w:pos="426"/>
              </w:tabs>
              <w:spacing w:line="220" w:lineRule="exact"/>
              <w:ind w:right="-108"/>
              <w:jc w:val="both"/>
              <w:rPr>
                <w:lang w:val="es-AR" w:eastAsia="en-US"/>
              </w:rPr>
            </w:pPr>
            <w:r w:rsidRPr="0010523F">
              <w:rPr>
                <w:lang w:val="es-AR" w:eastAsia="en-US"/>
              </w:rPr>
              <w:t>Total upstream</w:t>
            </w:r>
          </w:p>
        </w:tc>
        <w:tc>
          <w:tcPr>
            <w:tcW w:w="1276" w:type="dxa"/>
            <w:vAlign w:val="bottom"/>
          </w:tcPr>
          <w:p w14:paraId="4660AB7A" w14:textId="77777777" w:rsidR="0010523F" w:rsidRPr="0010523F" w:rsidRDefault="0010523F" w:rsidP="0010523F">
            <w:pPr>
              <w:spacing w:line="220" w:lineRule="exact"/>
              <w:ind w:left="-108" w:right="87"/>
              <w:jc w:val="right"/>
              <w:rPr>
                <w:u w:val="single"/>
                <w:lang w:val="es-AR" w:eastAsia="en-US"/>
              </w:rPr>
            </w:pPr>
            <w:r w:rsidRPr="0010523F">
              <w:rPr>
                <w:u w:val="single"/>
                <w:lang w:val="es-AR" w:eastAsia="en-US"/>
              </w:rPr>
              <w:t>18.793</w:t>
            </w:r>
          </w:p>
        </w:tc>
        <w:tc>
          <w:tcPr>
            <w:tcW w:w="1275" w:type="dxa"/>
            <w:vAlign w:val="bottom"/>
          </w:tcPr>
          <w:p w14:paraId="059F41C3"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16.031</w:t>
            </w:r>
          </w:p>
        </w:tc>
        <w:tc>
          <w:tcPr>
            <w:tcW w:w="1276" w:type="dxa"/>
            <w:vAlign w:val="bottom"/>
          </w:tcPr>
          <w:p w14:paraId="49AA9288"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44.350</w:t>
            </w:r>
          </w:p>
        </w:tc>
        <w:tc>
          <w:tcPr>
            <w:tcW w:w="1276" w:type="dxa"/>
            <w:vAlign w:val="bottom"/>
          </w:tcPr>
          <w:p w14:paraId="2FC44A31"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39.578</w:t>
            </w:r>
          </w:p>
        </w:tc>
      </w:tr>
      <w:tr w:rsidR="0010523F" w:rsidRPr="0010523F" w14:paraId="553C2B55" w14:textId="77777777" w:rsidTr="00774E7E">
        <w:tc>
          <w:tcPr>
            <w:tcW w:w="4820" w:type="dxa"/>
            <w:vAlign w:val="bottom"/>
          </w:tcPr>
          <w:p w14:paraId="1136BB20" w14:textId="77777777" w:rsidR="0010523F" w:rsidRPr="0010523F" w:rsidRDefault="0010523F" w:rsidP="0010523F">
            <w:pPr>
              <w:tabs>
                <w:tab w:val="left" w:pos="426"/>
              </w:tabs>
              <w:spacing w:line="140" w:lineRule="exact"/>
              <w:ind w:right="-115"/>
              <w:jc w:val="both"/>
              <w:rPr>
                <w:highlight w:val="cyan"/>
                <w:lang w:val="es-AR" w:eastAsia="en-US"/>
              </w:rPr>
            </w:pPr>
          </w:p>
        </w:tc>
        <w:tc>
          <w:tcPr>
            <w:tcW w:w="1276" w:type="dxa"/>
            <w:vAlign w:val="bottom"/>
          </w:tcPr>
          <w:p w14:paraId="7BB57B36" w14:textId="77777777" w:rsidR="0010523F" w:rsidRPr="0010523F" w:rsidRDefault="0010523F" w:rsidP="0010523F">
            <w:pPr>
              <w:tabs>
                <w:tab w:val="left" w:pos="426"/>
              </w:tabs>
              <w:spacing w:line="140" w:lineRule="exact"/>
              <w:ind w:right="-115"/>
              <w:jc w:val="both"/>
              <w:rPr>
                <w:lang w:val="es-AR" w:eastAsia="en-US"/>
              </w:rPr>
            </w:pPr>
          </w:p>
        </w:tc>
        <w:tc>
          <w:tcPr>
            <w:tcW w:w="1275" w:type="dxa"/>
            <w:vAlign w:val="bottom"/>
          </w:tcPr>
          <w:p w14:paraId="7C44B67B" w14:textId="77777777" w:rsidR="0010523F" w:rsidRPr="0010523F" w:rsidRDefault="0010523F" w:rsidP="0010523F">
            <w:pPr>
              <w:tabs>
                <w:tab w:val="left" w:pos="426"/>
              </w:tabs>
              <w:spacing w:line="140" w:lineRule="exact"/>
              <w:ind w:right="-115"/>
              <w:jc w:val="both"/>
              <w:rPr>
                <w:lang w:val="es-AR" w:eastAsia="en-US"/>
              </w:rPr>
            </w:pPr>
          </w:p>
        </w:tc>
        <w:tc>
          <w:tcPr>
            <w:tcW w:w="1276" w:type="dxa"/>
            <w:vAlign w:val="bottom"/>
          </w:tcPr>
          <w:p w14:paraId="7319943A" w14:textId="77777777" w:rsidR="0010523F" w:rsidRPr="0010523F" w:rsidRDefault="0010523F" w:rsidP="0010523F">
            <w:pPr>
              <w:tabs>
                <w:tab w:val="left" w:pos="426"/>
              </w:tabs>
              <w:spacing w:line="140" w:lineRule="exact"/>
              <w:ind w:right="-115"/>
              <w:jc w:val="right"/>
              <w:rPr>
                <w:lang w:val="es-AR" w:eastAsia="en-US"/>
              </w:rPr>
            </w:pPr>
          </w:p>
        </w:tc>
        <w:tc>
          <w:tcPr>
            <w:tcW w:w="1276" w:type="dxa"/>
          </w:tcPr>
          <w:p w14:paraId="3758658A" w14:textId="77777777" w:rsidR="0010523F" w:rsidRPr="0010523F" w:rsidRDefault="0010523F" w:rsidP="0010523F">
            <w:pPr>
              <w:tabs>
                <w:tab w:val="left" w:pos="426"/>
              </w:tabs>
              <w:spacing w:line="140" w:lineRule="exact"/>
              <w:ind w:right="-115"/>
              <w:jc w:val="both"/>
              <w:rPr>
                <w:lang w:val="es-AR" w:eastAsia="en-US"/>
              </w:rPr>
            </w:pPr>
          </w:p>
        </w:tc>
      </w:tr>
      <w:tr w:rsidR="0010523F" w:rsidRPr="0010523F" w14:paraId="266AB776" w14:textId="77777777" w:rsidTr="00774E7E">
        <w:trPr>
          <w:trHeight w:val="283"/>
        </w:trPr>
        <w:tc>
          <w:tcPr>
            <w:tcW w:w="4820" w:type="dxa"/>
            <w:vAlign w:val="bottom"/>
          </w:tcPr>
          <w:p w14:paraId="005751AC" w14:textId="77777777" w:rsidR="0010523F" w:rsidRPr="0010523F" w:rsidRDefault="0010523F" w:rsidP="0010523F">
            <w:pPr>
              <w:tabs>
                <w:tab w:val="left" w:pos="426"/>
              </w:tabs>
              <w:spacing w:line="220" w:lineRule="exact"/>
              <w:ind w:right="-108"/>
              <w:jc w:val="both"/>
              <w:rPr>
                <w:lang w:val="es-AR" w:eastAsia="en-US"/>
              </w:rPr>
            </w:pPr>
            <w:r w:rsidRPr="0010523F">
              <w:rPr>
                <w:lang w:val="es-AR" w:eastAsia="en-US"/>
              </w:rPr>
              <w:t>Downstream</w:t>
            </w:r>
          </w:p>
        </w:tc>
        <w:tc>
          <w:tcPr>
            <w:tcW w:w="1276" w:type="dxa"/>
            <w:vAlign w:val="bottom"/>
          </w:tcPr>
          <w:p w14:paraId="30E4D547" w14:textId="77777777" w:rsidR="0010523F" w:rsidRPr="0010523F" w:rsidRDefault="0010523F" w:rsidP="0010523F">
            <w:pPr>
              <w:spacing w:line="220" w:lineRule="exact"/>
              <w:ind w:left="-108" w:right="87"/>
              <w:jc w:val="right"/>
              <w:rPr>
                <w:lang w:val="es-AR" w:eastAsia="en-US"/>
              </w:rPr>
            </w:pPr>
          </w:p>
        </w:tc>
        <w:tc>
          <w:tcPr>
            <w:tcW w:w="1275" w:type="dxa"/>
            <w:vAlign w:val="bottom"/>
          </w:tcPr>
          <w:p w14:paraId="55D6DB8F" w14:textId="77777777" w:rsidR="0010523F" w:rsidRPr="0010523F" w:rsidRDefault="0010523F" w:rsidP="0010523F">
            <w:pPr>
              <w:spacing w:line="220" w:lineRule="exact"/>
              <w:ind w:left="-108"/>
              <w:jc w:val="right"/>
              <w:rPr>
                <w:lang w:val="es-AR" w:eastAsia="en-US"/>
              </w:rPr>
            </w:pPr>
          </w:p>
        </w:tc>
        <w:tc>
          <w:tcPr>
            <w:tcW w:w="1276" w:type="dxa"/>
            <w:vAlign w:val="bottom"/>
          </w:tcPr>
          <w:p w14:paraId="2EB1F237" w14:textId="77777777" w:rsidR="0010523F" w:rsidRPr="0010523F" w:rsidRDefault="0010523F" w:rsidP="0010523F">
            <w:pPr>
              <w:spacing w:line="220" w:lineRule="exact"/>
              <w:ind w:left="-108"/>
              <w:jc w:val="right"/>
              <w:rPr>
                <w:lang w:val="es-AR" w:eastAsia="en-US"/>
              </w:rPr>
            </w:pPr>
          </w:p>
        </w:tc>
        <w:tc>
          <w:tcPr>
            <w:tcW w:w="1276" w:type="dxa"/>
          </w:tcPr>
          <w:p w14:paraId="7BA5E5B8" w14:textId="77777777" w:rsidR="0010523F" w:rsidRPr="0010523F" w:rsidRDefault="0010523F" w:rsidP="0010523F">
            <w:pPr>
              <w:spacing w:line="220" w:lineRule="exact"/>
              <w:ind w:left="-108"/>
              <w:jc w:val="right"/>
              <w:rPr>
                <w:lang w:val="es-AR" w:eastAsia="en-US"/>
              </w:rPr>
            </w:pPr>
          </w:p>
        </w:tc>
      </w:tr>
      <w:tr w:rsidR="0010523F" w:rsidRPr="0010523F" w14:paraId="06D48045" w14:textId="77777777" w:rsidTr="00774E7E">
        <w:trPr>
          <w:trHeight w:val="255"/>
        </w:trPr>
        <w:tc>
          <w:tcPr>
            <w:tcW w:w="4820" w:type="dxa"/>
            <w:vAlign w:val="bottom"/>
          </w:tcPr>
          <w:p w14:paraId="670CE7D5" w14:textId="77777777" w:rsidR="0010523F" w:rsidRPr="0010523F" w:rsidRDefault="0010523F" w:rsidP="0010523F">
            <w:pPr>
              <w:spacing w:line="220" w:lineRule="exact"/>
              <w:ind w:left="284" w:right="-108"/>
              <w:jc w:val="both"/>
              <w:rPr>
                <w:lang w:val="es-AR" w:eastAsia="en-US"/>
              </w:rPr>
            </w:pPr>
            <w:r w:rsidRPr="0010523F">
              <w:rPr>
                <w:lang w:val="es-AR" w:eastAsia="en-US"/>
              </w:rPr>
              <w:t>Exportaciones</w:t>
            </w:r>
          </w:p>
        </w:tc>
        <w:tc>
          <w:tcPr>
            <w:tcW w:w="1276" w:type="dxa"/>
            <w:vAlign w:val="bottom"/>
          </w:tcPr>
          <w:p w14:paraId="7526B888" w14:textId="77777777" w:rsidR="0010523F" w:rsidRPr="0010523F" w:rsidRDefault="0010523F" w:rsidP="0010523F">
            <w:pPr>
              <w:spacing w:line="220" w:lineRule="exact"/>
              <w:ind w:left="-108" w:right="87"/>
              <w:jc w:val="right"/>
              <w:rPr>
                <w:lang w:val="es-AR" w:eastAsia="en-US"/>
              </w:rPr>
            </w:pPr>
            <w:r w:rsidRPr="0010523F">
              <w:rPr>
                <w:lang w:val="es-AR" w:eastAsia="en-US"/>
              </w:rPr>
              <w:t>2.279</w:t>
            </w:r>
          </w:p>
        </w:tc>
        <w:tc>
          <w:tcPr>
            <w:tcW w:w="1275" w:type="dxa"/>
            <w:vAlign w:val="bottom"/>
          </w:tcPr>
          <w:p w14:paraId="698237A9" w14:textId="77777777" w:rsidR="0010523F" w:rsidRPr="0010523F" w:rsidRDefault="0010523F" w:rsidP="0010523F">
            <w:pPr>
              <w:spacing w:line="220" w:lineRule="exact"/>
              <w:ind w:left="-108"/>
              <w:jc w:val="right"/>
              <w:rPr>
                <w:lang w:val="es-AR" w:eastAsia="en-US"/>
              </w:rPr>
            </w:pPr>
            <w:r w:rsidRPr="0010523F">
              <w:rPr>
                <w:lang w:val="en-US" w:eastAsia="en-US"/>
              </w:rPr>
              <w:t>2.457</w:t>
            </w:r>
          </w:p>
        </w:tc>
        <w:tc>
          <w:tcPr>
            <w:tcW w:w="1276" w:type="dxa"/>
            <w:vAlign w:val="bottom"/>
          </w:tcPr>
          <w:p w14:paraId="439E2AC8" w14:textId="77777777" w:rsidR="0010523F" w:rsidRPr="0010523F" w:rsidRDefault="0010523F" w:rsidP="0010523F">
            <w:pPr>
              <w:spacing w:line="220" w:lineRule="exact"/>
              <w:ind w:left="-108"/>
              <w:jc w:val="right"/>
              <w:rPr>
                <w:lang w:val="es-AR" w:eastAsia="en-US"/>
              </w:rPr>
            </w:pPr>
            <w:r w:rsidRPr="0010523F">
              <w:rPr>
                <w:lang w:val="es-AR" w:eastAsia="en-US"/>
              </w:rPr>
              <w:t>6.656</w:t>
            </w:r>
          </w:p>
        </w:tc>
        <w:tc>
          <w:tcPr>
            <w:tcW w:w="1276" w:type="dxa"/>
            <w:vAlign w:val="bottom"/>
          </w:tcPr>
          <w:p w14:paraId="25DC1313" w14:textId="77777777" w:rsidR="0010523F" w:rsidRPr="0010523F" w:rsidRDefault="0010523F" w:rsidP="0010523F">
            <w:pPr>
              <w:spacing w:line="220" w:lineRule="exact"/>
              <w:ind w:left="-108"/>
              <w:jc w:val="right"/>
              <w:rPr>
                <w:lang w:val="es-AR" w:eastAsia="en-US"/>
              </w:rPr>
            </w:pPr>
            <w:r w:rsidRPr="0010523F">
              <w:rPr>
                <w:lang w:val="en-US" w:eastAsia="en-US"/>
              </w:rPr>
              <w:t>3.265</w:t>
            </w:r>
          </w:p>
        </w:tc>
      </w:tr>
      <w:tr w:rsidR="0010523F" w:rsidRPr="0010523F" w14:paraId="63A73748" w14:textId="77777777" w:rsidTr="00774E7E">
        <w:trPr>
          <w:trHeight w:val="255"/>
        </w:trPr>
        <w:tc>
          <w:tcPr>
            <w:tcW w:w="4820" w:type="dxa"/>
            <w:vAlign w:val="bottom"/>
          </w:tcPr>
          <w:p w14:paraId="21498BAB" w14:textId="77777777" w:rsidR="0010523F" w:rsidRPr="0010523F" w:rsidRDefault="0010523F" w:rsidP="0010523F">
            <w:pPr>
              <w:spacing w:line="220" w:lineRule="exact"/>
              <w:ind w:left="284" w:right="-108"/>
              <w:jc w:val="both"/>
              <w:rPr>
                <w:lang w:val="es-AR" w:eastAsia="en-US"/>
              </w:rPr>
            </w:pPr>
            <w:r w:rsidRPr="0010523F">
              <w:rPr>
                <w:lang w:val="es-AR" w:eastAsia="en-US"/>
              </w:rPr>
              <w:t>Venta local</w:t>
            </w:r>
          </w:p>
        </w:tc>
        <w:tc>
          <w:tcPr>
            <w:tcW w:w="1276" w:type="dxa"/>
            <w:vAlign w:val="bottom"/>
          </w:tcPr>
          <w:p w14:paraId="1D7FE63B" w14:textId="77777777" w:rsidR="0010523F" w:rsidRPr="0010523F" w:rsidRDefault="0010523F" w:rsidP="0010523F">
            <w:pPr>
              <w:spacing w:line="220" w:lineRule="exact"/>
              <w:ind w:left="-108" w:right="87"/>
              <w:jc w:val="right"/>
              <w:rPr>
                <w:lang w:val="es-AR" w:eastAsia="en-US"/>
              </w:rPr>
            </w:pPr>
            <w:r w:rsidRPr="0010523F">
              <w:rPr>
                <w:lang w:val="es-AR" w:eastAsia="en-US"/>
              </w:rPr>
              <w:t>29.010</w:t>
            </w:r>
          </w:p>
        </w:tc>
        <w:tc>
          <w:tcPr>
            <w:tcW w:w="1275" w:type="dxa"/>
            <w:vAlign w:val="bottom"/>
          </w:tcPr>
          <w:p w14:paraId="4EB0275F" w14:textId="77777777" w:rsidR="0010523F" w:rsidRPr="0010523F" w:rsidRDefault="0010523F" w:rsidP="0010523F">
            <w:pPr>
              <w:spacing w:line="220" w:lineRule="exact"/>
              <w:ind w:left="-108"/>
              <w:jc w:val="right"/>
              <w:rPr>
                <w:lang w:val="es-AR" w:eastAsia="en-US"/>
              </w:rPr>
            </w:pPr>
            <w:r w:rsidRPr="0010523F">
              <w:rPr>
                <w:lang w:val="en-US" w:eastAsia="en-US"/>
              </w:rPr>
              <w:t>19.049</w:t>
            </w:r>
          </w:p>
        </w:tc>
        <w:tc>
          <w:tcPr>
            <w:tcW w:w="1276" w:type="dxa"/>
            <w:vAlign w:val="bottom"/>
          </w:tcPr>
          <w:p w14:paraId="56E33B5B" w14:textId="77777777" w:rsidR="0010523F" w:rsidRPr="0010523F" w:rsidRDefault="0010523F" w:rsidP="0010523F">
            <w:pPr>
              <w:spacing w:line="220" w:lineRule="exact"/>
              <w:ind w:left="-108"/>
              <w:jc w:val="right"/>
              <w:rPr>
                <w:lang w:val="es-AR" w:eastAsia="en-US"/>
              </w:rPr>
            </w:pPr>
            <w:r w:rsidRPr="0010523F">
              <w:rPr>
                <w:lang w:val="es-AR" w:eastAsia="en-US"/>
              </w:rPr>
              <w:t>80.229</w:t>
            </w:r>
          </w:p>
        </w:tc>
        <w:tc>
          <w:tcPr>
            <w:tcW w:w="1276" w:type="dxa"/>
            <w:vAlign w:val="bottom"/>
          </w:tcPr>
          <w:p w14:paraId="6668F5B6" w14:textId="77777777" w:rsidR="0010523F" w:rsidRPr="0010523F" w:rsidRDefault="0010523F" w:rsidP="0010523F">
            <w:pPr>
              <w:spacing w:line="220" w:lineRule="exact"/>
              <w:ind w:left="-108"/>
              <w:jc w:val="right"/>
              <w:rPr>
                <w:lang w:val="es-AR" w:eastAsia="en-US"/>
              </w:rPr>
            </w:pPr>
            <w:r w:rsidRPr="0010523F">
              <w:rPr>
                <w:lang w:val="en-US" w:eastAsia="en-US"/>
              </w:rPr>
              <w:t>34.057</w:t>
            </w:r>
          </w:p>
        </w:tc>
      </w:tr>
      <w:tr w:rsidR="0010523F" w:rsidRPr="0010523F" w14:paraId="535CFE33" w14:textId="77777777" w:rsidTr="00774E7E">
        <w:trPr>
          <w:trHeight w:val="255"/>
        </w:trPr>
        <w:tc>
          <w:tcPr>
            <w:tcW w:w="4820" w:type="dxa"/>
            <w:vAlign w:val="bottom"/>
          </w:tcPr>
          <w:p w14:paraId="2100C224" w14:textId="77777777" w:rsidR="0010523F" w:rsidRPr="0010523F" w:rsidRDefault="0010523F" w:rsidP="0010523F">
            <w:pPr>
              <w:spacing w:line="220" w:lineRule="exact"/>
              <w:ind w:left="284" w:right="-108"/>
              <w:jc w:val="both"/>
              <w:rPr>
                <w:lang w:val="es-AR" w:eastAsia="en-US"/>
              </w:rPr>
            </w:pPr>
            <w:r w:rsidRPr="0010523F">
              <w:rPr>
                <w:lang w:val="es-AR" w:eastAsia="en-US"/>
              </w:rPr>
              <w:t>Ranchos</w:t>
            </w:r>
          </w:p>
        </w:tc>
        <w:tc>
          <w:tcPr>
            <w:tcW w:w="1276" w:type="dxa"/>
            <w:vAlign w:val="bottom"/>
          </w:tcPr>
          <w:p w14:paraId="352491A8" w14:textId="77777777" w:rsidR="0010523F" w:rsidRPr="0010523F" w:rsidRDefault="0010523F" w:rsidP="0010523F">
            <w:pPr>
              <w:spacing w:line="220" w:lineRule="exact"/>
              <w:ind w:left="-108" w:right="87"/>
              <w:jc w:val="right"/>
              <w:rPr>
                <w:u w:val="single"/>
                <w:lang w:val="es-AR" w:eastAsia="en-US"/>
              </w:rPr>
            </w:pPr>
            <w:r w:rsidRPr="0010523F">
              <w:rPr>
                <w:u w:val="single"/>
                <w:lang w:val="es-AR" w:eastAsia="en-US"/>
              </w:rPr>
              <w:t xml:space="preserve">  3.464</w:t>
            </w:r>
          </w:p>
        </w:tc>
        <w:tc>
          <w:tcPr>
            <w:tcW w:w="1275" w:type="dxa"/>
            <w:vAlign w:val="bottom"/>
          </w:tcPr>
          <w:p w14:paraId="56F4A4CF" w14:textId="77777777" w:rsidR="0010523F" w:rsidRPr="0010523F" w:rsidRDefault="0010523F" w:rsidP="0010523F">
            <w:pPr>
              <w:spacing w:line="220" w:lineRule="exact"/>
              <w:ind w:left="-108"/>
              <w:jc w:val="right"/>
              <w:rPr>
                <w:u w:val="single"/>
                <w:lang w:val="es-AR" w:eastAsia="en-US"/>
              </w:rPr>
            </w:pPr>
            <w:r w:rsidRPr="0010523F">
              <w:rPr>
                <w:u w:val="single"/>
                <w:lang w:val="en-US" w:eastAsia="en-US"/>
              </w:rPr>
              <w:t xml:space="preserve">  2.774</w:t>
            </w:r>
          </w:p>
        </w:tc>
        <w:tc>
          <w:tcPr>
            <w:tcW w:w="1276" w:type="dxa"/>
            <w:vAlign w:val="bottom"/>
          </w:tcPr>
          <w:p w14:paraId="02637DAF"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8.529</w:t>
            </w:r>
          </w:p>
        </w:tc>
        <w:tc>
          <w:tcPr>
            <w:tcW w:w="1276" w:type="dxa"/>
            <w:vAlign w:val="bottom"/>
          </w:tcPr>
          <w:p w14:paraId="3DD945F1" w14:textId="77777777" w:rsidR="0010523F" w:rsidRPr="0010523F" w:rsidRDefault="0010523F" w:rsidP="0010523F">
            <w:pPr>
              <w:spacing w:line="220" w:lineRule="exact"/>
              <w:ind w:left="-108"/>
              <w:jc w:val="right"/>
              <w:rPr>
                <w:u w:val="single"/>
                <w:lang w:val="es-AR" w:eastAsia="en-US"/>
              </w:rPr>
            </w:pPr>
            <w:r w:rsidRPr="0010523F">
              <w:rPr>
                <w:u w:val="single"/>
                <w:lang w:val="en-US" w:eastAsia="en-US"/>
              </w:rPr>
              <w:t xml:space="preserve">   4.715</w:t>
            </w:r>
          </w:p>
        </w:tc>
      </w:tr>
      <w:tr w:rsidR="0010523F" w:rsidRPr="0010523F" w14:paraId="624A4148" w14:textId="77777777" w:rsidTr="00774E7E">
        <w:tc>
          <w:tcPr>
            <w:tcW w:w="4820" w:type="dxa"/>
            <w:vAlign w:val="bottom"/>
          </w:tcPr>
          <w:p w14:paraId="3190DE98" w14:textId="77777777" w:rsidR="0010523F" w:rsidRPr="0010523F" w:rsidRDefault="0010523F" w:rsidP="0010523F">
            <w:pPr>
              <w:tabs>
                <w:tab w:val="left" w:pos="426"/>
              </w:tabs>
              <w:spacing w:line="140" w:lineRule="exact"/>
              <w:ind w:right="-115"/>
              <w:jc w:val="both"/>
              <w:rPr>
                <w:highlight w:val="cyan"/>
                <w:lang w:val="es-AR" w:eastAsia="en-US"/>
              </w:rPr>
            </w:pPr>
          </w:p>
        </w:tc>
        <w:tc>
          <w:tcPr>
            <w:tcW w:w="1276" w:type="dxa"/>
            <w:vAlign w:val="bottom"/>
          </w:tcPr>
          <w:p w14:paraId="1DB82E8F" w14:textId="77777777" w:rsidR="0010523F" w:rsidRPr="0010523F" w:rsidRDefault="0010523F" w:rsidP="0010523F">
            <w:pPr>
              <w:spacing w:line="140" w:lineRule="exact"/>
              <w:ind w:left="-108" w:right="87"/>
              <w:jc w:val="right"/>
              <w:rPr>
                <w:u w:val="single"/>
                <w:lang w:val="es-AR" w:eastAsia="en-US"/>
              </w:rPr>
            </w:pPr>
          </w:p>
        </w:tc>
        <w:tc>
          <w:tcPr>
            <w:tcW w:w="1275" w:type="dxa"/>
            <w:vAlign w:val="bottom"/>
          </w:tcPr>
          <w:p w14:paraId="3DDEE669" w14:textId="77777777" w:rsidR="0010523F" w:rsidRPr="0010523F" w:rsidRDefault="0010523F" w:rsidP="0010523F">
            <w:pPr>
              <w:spacing w:line="140" w:lineRule="exact"/>
              <w:ind w:left="-108"/>
              <w:jc w:val="right"/>
              <w:rPr>
                <w:u w:val="single"/>
                <w:lang w:val="es-AR" w:eastAsia="en-US"/>
              </w:rPr>
            </w:pPr>
          </w:p>
        </w:tc>
        <w:tc>
          <w:tcPr>
            <w:tcW w:w="1276" w:type="dxa"/>
            <w:vAlign w:val="bottom"/>
          </w:tcPr>
          <w:p w14:paraId="2B3A2868" w14:textId="77777777" w:rsidR="0010523F" w:rsidRPr="0010523F" w:rsidRDefault="0010523F" w:rsidP="0010523F">
            <w:pPr>
              <w:spacing w:line="140" w:lineRule="exact"/>
              <w:ind w:left="-108"/>
              <w:jc w:val="right"/>
              <w:rPr>
                <w:u w:val="single"/>
                <w:lang w:val="es-AR" w:eastAsia="en-US"/>
              </w:rPr>
            </w:pPr>
          </w:p>
        </w:tc>
        <w:tc>
          <w:tcPr>
            <w:tcW w:w="1276" w:type="dxa"/>
            <w:vAlign w:val="bottom"/>
          </w:tcPr>
          <w:p w14:paraId="712CE496" w14:textId="77777777" w:rsidR="0010523F" w:rsidRPr="0010523F" w:rsidRDefault="0010523F" w:rsidP="0010523F">
            <w:pPr>
              <w:spacing w:line="140" w:lineRule="exact"/>
              <w:ind w:left="-108"/>
              <w:jc w:val="right"/>
              <w:rPr>
                <w:u w:val="single"/>
                <w:lang w:val="es-AR" w:eastAsia="en-US"/>
              </w:rPr>
            </w:pPr>
          </w:p>
        </w:tc>
      </w:tr>
      <w:tr w:rsidR="0010523F" w:rsidRPr="0010523F" w14:paraId="3E4365DF" w14:textId="77777777" w:rsidTr="00774E7E">
        <w:trPr>
          <w:trHeight w:val="283"/>
        </w:trPr>
        <w:tc>
          <w:tcPr>
            <w:tcW w:w="4820" w:type="dxa"/>
            <w:vAlign w:val="bottom"/>
          </w:tcPr>
          <w:p w14:paraId="55B74B7C" w14:textId="77777777" w:rsidR="0010523F" w:rsidRPr="0010523F" w:rsidRDefault="0010523F" w:rsidP="0010523F">
            <w:pPr>
              <w:tabs>
                <w:tab w:val="left" w:pos="426"/>
              </w:tabs>
              <w:spacing w:line="220" w:lineRule="exact"/>
              <w:ind w:right="-108"/>
              <w:jc w:val="both"/>
              <w:rPr>
                <w:highlight w:val="cyan"/>
                <w:lang w:val="es-AR" w:eastAsia="en-US"/>
              </w:rPr>
            </w:pPr>
            <w:r w:rsidRPr="0010523F">
              <w:rPr>
                <w:lang w:val="es-AR" w:eastAsia="en-US"/>
              </w:rPr>
              <w:t>Total downstream</w:t>
            </w:r>
          </w:p>
        </w:tc>
        <w:tc>
          <w:tcPr>
            <w:tcW w:w="1276" w:type="dxa"/>
            <w:vAlign w:val="bottom"/>
          </w:tcPr>
          <w:p w14:paraId="73D7B633" w14:textId="77777777" w:rsidR="0010523F" w:rsidRPr="0010523F" w:rsidRDefault="0010523F" w:rsidP="0010523F">
            <w:pPr>
              <w:spacing w:line="220" w:lineRule="exact"/>
              <w:ind w:left="-108" w:right="87"/>
              <w:jc w:val="right"/>
              <w:rPr>
                <w:u w:val="single"/>
                <w:lang w:val="es-AR" w:eastAsia="en-US"/>
              </w:rPr>
            </w:pPr>
            <w:r w:rsidRPr="0010523F">
              <w:rPr>
                <w:u w:val="single"/>
                <w:lang w:val="es-AR" w:eastAsia="en-US"/>
              </w:rPr>
              <w:t>34.753</w:t>
            </w:r>
          </w:p>
        </w:tc>
        <w:tc>
          <w:tcPr>
            <w:tcW w:w="1275" w:type="dxa"/>
            <w:vAlign w:val="bottom"/>
          </w:tcPr>
          <w:p w14:paraId="3575C0C8" w14:textId="77777777" w:rsidR="0010523F" w:rsidRPr="0010523F" w:rsidRDefault="0010523F" w:rsidP="0010523F">
            <w:pPr>
              <w:spacing w:line="220" w:lineRule="exact"/>
              <w:ind w:left="-108"/>
              <w:jc w:val="right"/>
              <w:rPr>
                <w:u w:val="single"/>
                <w:lang w:val="es-AR" w:eastAsia="en-US"/>
              </w:rPr>
            </w:pPr>
            <w:r w:rsidRPr="0010523F">
              <w:rPr>
                <w:u w:val="single"/>
                <w:lang w:val="en-US" w:eastAsia="en-US"/>
              </w:rPr>
              <w:t>24.280</w:t>
            </w:r>
          </w:p>
        </w:tc>
        <w:tc>
          <w:tcPr>
            <w:tcW w:w="1276" w:type="dxa"/>
            <w:vAlign w:val="bottom"/>
          </w:tcPr>
          <w:p w14:paraId="0171950C"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95.414</w:t>
            </w:r>
          </w:p>
        </w:tc>
        <w:tc>
          <w:tcPr>
            <w:tcW w:w="1276" w:type="dxa"/>
            <w:vAlign w:val="bottom"/>
          </w:tcPr>
          <w:p w14:paraId="7D6F9F68" w14:textId="77777777" w:rsidR="0010523F" w:rsidRPr="0010523F" w:rsidRDefault="0010523F" w:rsidP="0010523F">
            <w:pPr>
              <w:spacing w:line="220" w:lineRule="exact"/>
              <w:ind w:left="-108"/>
              <w:jc w:val="right"/>
              <w:rPr>
                <w:u w:val="single"/>
                <w:lang w:val="es-AR" w:eastAsia="en-US"/>
              </w:rPr>
            </w:pPr>
            <w:r w:rsidRPr="0010523F">
              <w:rPr>
                <w:u w:val="single"/>
                <w:lang w:val="en-US" w:eastAsia="en-US"/>
              </w:rPr>
              <w:t>42.037</w:t>
            </w:r>
          </w:p>
        </w:tc>
      </w:tr>
      <w:tr w:rsidR="0010523F" w:rsidRPr="0010523F" w14:paraId="0B7B15EC" w14:textId="77777777" w:rsidTr="00774E7E">
        <w:tc>
          <w:tcPr>
            <w:tcW w:w="4820" w:type="dxa"/>
            <w:vAlign w:val="bottom"/>
          </w:tcPr>
          <w:p w14:paraId="3AA80297" w14:textId="77777777" w:rsidR="0010523F" w:rsidRPr="0010523F" w:rsidRDefault="0010523F" w:rsidP="0010523F">
            <w:pPr>
              <w:tabs>
                <w:tab w:val="left" w:pos="426"/>
              </w:tabs>
              <w:spacing w:line="140" w:lineRule="exact"/>
              <w:ind w:right="-115"/>
              <w:jc w:val="both"/>
              <w:rPr>
                <w:highlight w:val="cyan"/>
                <w:lang w:val="es-AR" w:eastAsia="en-US"/>
              </w:rPr>
            </w:pPr>
          </w:p>
        </w:tc>
        <w:tc>
          <w:tcPr>
            <w:tcW w:w="1276" w:type="dxa"/>
            <w:vAlign w:val="bottom"/>
          </w:tcPr>
          <w:p w14:paraId="5A7827E1" w14:textId="77777777" w:rsidR="0010523F" w:rsidRPr="0010523F" w:rsidRDefault="0010523F" w:rsidP="0010523F">
            <w:pPr>
              <w:tabs>
                <w:tab w:val="left" w:pos="426"/>
              </w:tabs>
              <w:spacing w:line="140" w:lineRule="exact"/>
              <w:ind w:right="87"/>
              <w:jc w:val="right"/>
              <w:rPr>
                <w:highlight w:val="yellow"/>
                <w:lang w:val="es-AR" w:eastAsia="en-US"/>
              </w:rPr>
            </w:pPr>
          </w:p>
        </w:tc>
        <w:tc>
          <w:tcPr>
            <w:tcW w:w="1275" w:type="dxa"/>
            <w:vAlign w:val="bottom"/>
          </w:tcPr>
          <w:p w14:paraId="4E9ED873" w14:textId="77777777" w:rsidR="0010523F" w:rsidRPr="0010523F" w:rsidRDefault="0010523F" w:rsidP="0010523F">
            <w:pPr>
              <w:tabs>
                <w:tab w:val="left" w:pos="426"/>
              </w:tabs>
              <w:spacing w:line="140" w:lineRule="exact"/>
              <w:jc w:val="right"/>
              <w:rPr>
                <w:highlight w:val="yellow"/>
                <w:lang w:val="es-AR" w:eastAsia="en-US"/>
              </w:rPr>
            </w:pPr>
          </w:p>
        </w:tc>
        <w:tc>
          <w:tcPr>
            <w:tcW w:w="1276" w:type="dxa"/>
            <w:vAlign w:val="bottom"/>
          </w:tcPr>
          <w:p w14:paraId="3EE29B54" w14:textId="77777777" w:rsidR="0010523F" w:rsidRPr="0010523F" w:rsidRDefault="0010523F" w:rsidP="0010523F">
            <w:pPr>
              <w:tabs>
                <w:tab w:val="left" w:pos="426"/>
              </w:tabs>
              <w:spacing w:line="140" w:lineRule="exact"/>
              <w:jc w:val="right"/>
              <w:rPr>
                <w:highlight w:val="yellow"/>
                <w:lang w:val="es-AR" w:eastAsia="en-US"/>
              </w:rPr>
            </w:pPr>
          </w:p>
        </w:tc>
        <w:tc>
          <w:tcPr>
            <w:tcW w:w="1276" w:type="dxa"/>
            <w:vAlign w:val="bottom"/>
          </w:tcPr>
          <w:p w14:paraId="166DC068" w14:textId="77777777" w:rsidR="0010523F" w:rsidRPr="0010523F" w:rsidRDefault="0010523F" w:rsidP="0010523F">
            <w:pPr>
              <w:tabs>
                <w:tab w:val="left" w:pos="426"/>
              </w:tabs>
              <w:spacing w:line="140" w:lineRule="exact"/>
              <w:jc w:val="right"/>
              <w:rPr>
                <w:highlight w:val="yellow"/>
                <w:lang w:val="es-AR" w:eastAsia="en-US"/>
              </w:rPr>
            </w:pPr>
          </w:p>
        </w:tc>
      </w:tr>
      <w:tr w:rsidR="0010523F" w:rsidRPr="0010523F" w14:paraId="6A5969CB" w14:textId="77777777" w:rsidTr="00774E7E">
        <w:trPr>
          <w:trHeight w:val="255"/>
        </w:trPr>
        <w:tc>
          <w:tcPr>
            <w:tcW w:w="4820" w:type="dxa"/>
            <w:vAlign w:val="bottom"/>
          </w:tcPr>
          <w:p w14:paraId="0C04C4CC" w14:textId="77777777" w:rsidR="0010523F" w:rsidRPr="0010523F" w:rsidRDefault="0010523F" w:rsidP="0010523F">
            <w:pPr>
              <w:spacing w:line="220" w:lineRule="exact"/>
              <w:ind w:left="284"/>
              <w:rPr>
                <w:lang w:val="es-AR" w:eastAsia="en-US"/>
              </w:rPr>
            </w:pPr>
            <w:r w:rsidRPr="0010523F">
              <w:rPr>
                <w:lang w:val="es-AR" w:eastAsia="en-US"/>
              </w:rPr>
              <w:t>Ventas netas (*)</w:t>
            </w:r>
          </w:p>
        </w:tc>
        <w:tc>
          <w:tcPr>
            <w:tcW w:w="1276" w:type="dxa"/>
            <w:vAlign w:val="bottom"/>
          </w:tcPr>
          <w:p w14:paraId="2DFE7338" w14:textId="77777777" w:rsidR="0010523F" w:rsidRPr="0010523F" w:rsidRDefault="0010523F" w:rsidP="0010523F">
            <w:pPr>
              <w:spacing w:line="220" w:lineRule="exact"/>
              <w:ind w:left="-108" w:right="87"/>
              <w:jc w:val="right"/>
              <w:rPr>
                <w:lang w:val="es-AR" w:eastAsia="en-US"/>
              </w:rPr>
            </w:pPr>
            <w:r w:rsidRPr="0010523F">
              <w:rPr>
                <w:lang w:val="es-AR" w:eastAsia="en-US"/>
              </w:rPr>
              <w:t>53.546</w:t>
            </w:r>
          </w:p>
        </w:tc>
        <w:tc>
          <w:tcPr>
            <w:tcW w:w="1275" w:type="dxa"/>
            <w:vAlign w:val="bottom"/>
          </w:tcPr>
          <w:p w14:paraId="1596EC29" w14:textId="77777777" w:rsidR="0010523F" w:rsidRPr="0010523F" w:rsidRDefault="0010523F" w:rsidP="0010523F">
            <w:pPr>
              <w:spacing w:line="220" w:lineRule="exact"/>
              <w:ind w:left="-108"/>
              <w:jc w:val="right"/>
              <w:rPr>
                <w:lang w:val="es-AR" w:eastAsia="en-US"/>
              </w:rPr>
            </w:pPr>
            <w:r w:rsidRPr="0010523F">
              <w:rPr>
                <w:lang w:val="es-AR" w:eastAsia="en-US"/>
              </w:rPr>
              <w:t>40.311</w:t>
            </w:r>
          </w:p>
        </w:tc>
        <w:tc>
          <w:tcPr>
            <w:tcW w:w="1276" w:type="dxa"/>
            <w:vAlign w:val="bottom"/>
          </w:tcPr>
          <w:p w14:paraId="59EE98F1" w14:textId="77777777" w:rsidR="0010523F" w:rsidRPr="0010523F" w:rsidRDefault="0010523F" w:rsidP="0010523F">
            <w:pPr>
              <w:spacing w:line="220" w:lineRule="exact"/>
              <w:ind w:left="-108"/>
              <w:jc w:val="right"/>
              <w:rPr>
                <w:lang w:val="es-AR" w:eastAsia="en-US"/>
              </w:rPr>
            </w:pPr>
            <w:r w:rsidRPr="0010523F">
              <w:rPr>
                <w:lang w:val="es-AR" w:eastAsia="en-US"/>
              </w:rPr>
              <w:t>139.764</w:t>
            </w:r>
          </w:p>
        </w:tc>
        <w:tc>
          <w:tcPr>
            <w:tcW w:w="1276" w:type="dxa"/>
            <w:vAlign w:val="bottom"/>
          </w:tcPr>
          <w:p w14:paraId="316E2A4C" w14:textId="77777777" w:rsidR="0010523F" w:rsidRPr="0010523F" w:rsidRDefault="0010523F" w:rsidP="0010523F">
            <w:pPr>
              <w:spacing w:line="220" w:lineRule="exact"/>
              <w:ind w:left="-108"/>
              <w:jc w:val="right"/>
              <w:rPr>
                <w:lang w:val="es-AR" w:eastAsia="en-US"/>
              </w:rPr>
            </w:pPr>
            <w:r w:rsidRPr="0010523F">
              <w:rPr>
                <w:lang w:val="es-AR" w:eastAsia="en-US"/>
              </w:rPr>
              <w:t>81.615</w:t>
            </w:r>
          </w:p>
        </w:tc>
      </w:tr>
      <w:tr w:rsidR="0010523F" w:rsidRPr="0010523F" w14:paraId="6CE0FA45" w14:textId="77777777" w:rsidTr="00774E7E">
        <w:trPr>
          <w:trHeight w:val="255"/>
        </w:trPr>
        <w:tc>
          <w:tcPr>
            <w:tcW w:w="4820" w:type="dxa"/>
            <w:vAlign w:val="bottom"/>
          </w:tcPr>
          <w:p w14:paraId="033C75D4" w14:textId="77777777" w:rsidR="0010523F" w:rsidRPr="0010523F" w:rsidRDefault="0010523F" w:rsidP="0010523F">
            <w:pPr>
              <w:spacing w:line="220" w:lineRule="exact"/>
              <w:ind w:left="284"/>
              <w:rPr>
                <w:lang w:val="es-AR" w:eastAsia="en-US"/>
              </w:rPr>
            </w:pPr>
            <w:r w:rsidRPr="0010523F">
              <w:rPr>
                <w:lang w:val="es-AR" w:eastAsia="en-US"/>
              </w:rPr>
              <w:t>Subvenciones del Gobierno (Upstream)</w:t>
            </w:r>
          </w:p>
        </w:tc>
        <w:tc>
          <w:tcPr>
            <w:tcW w:w="1276" w:type="dxa"/>
            <w:vAlign w:val="bottom"/>
          </w:tcPr>
          <w:p w14:paraId="4180FAC4" w14:textId="77777777" w:rsidR="0010523F" w:rsidRPr="0010523F" w:rsidRDefault="0010523F" w:rsidP="0010523F">
            <w:pPr>
              <w:spacing w:line="220" w:lineRule="exact"/>
              <w:ind w:left="-108" w:right="87"/>
              <w:jc w:val="right"/>
              <w:rPr>
                <w:u w:val="single"/>
                <w:lang w:val="es-AR" w:eastAsia="en-US"/>
              </w:rPr>
            </w:pPr>
            <w:r w:rsidRPr="0010523F">
              <w:rPr>
                <w:u w:val="single"/>
                <w:lang w:val="es-AR" w:eastAsia="en-US"/>
              </w:rPr>
              <w:t xml:space="preserve">     753</w:t>
            </w:r>
          </w:p>
        </w:tc>
        <w:tc>
          <w:tcPr>
            <w:tcW w:w="1275" w:type="dxa"/>
            <w:vAlign w:val="bottom"/>
          </w:tcPr>
          <w:p w14:paraId="0C210641"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34</w:t>
            </w:r>
          </w:p>
        </w:tc>
        <w:tc>
          <w:tcPr>
            <w:tcW w:w="1276" w:type="dxa"/>
            <w:vAlign w:val="bottom"/>
          </w:tcPr>
          <w:p w14:paraId="69F995F2"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1.915</w:t>
            </w:r>
          </w:p>
        </w:tc>
        <w:tc>
          <w:tcPr>
            <w:tcW w:w="1276" w:type="dxa"/>
            <w:vAlign w:val="bottom"/>
          </w:tcPr>
          <w:p w14:paraId="26FA56CF" w14:textId="77777777" w:rsidR="0010523F" w:rsidRPr="0010523F" w:rsidRDefault="0010523F" w:rsidP="0010523F">
            <w:pPr>
              <w:spacing w:line="220" w:lineRule="exact"/>
              <w:ind w:left="-108"/>
              <w:jc w:val="right"/>
              <w:rPr>
                <w:u w:val="single"/>
                <w:lang w:val="es-AR" w:eastAsia="en-US"/>
              </w:rPr>
            </w:pPr>
            <w:r w:rsidRPr="0010523F">
              <w:rPr>
                <w:u w:val="single"/>
                <w:lang w:val="es-AR" w:eastAsia="en-US"/>
              </w:rPr>
              <w:t xml:space="preserve">        34</w:t>
            </w:r>
          </w:p>
        </w:tc>
      </w:tr>
      <w:tr w:rsidR="0010523F" w:rsidRPr="0010523F" w14:paraId="3EB0DD97" w14:textId="77777777" w:rsidTr="00774E7E">
        <w:tc>
          <w:tcPr>
            <w:tcW w:w="4820" w:type="dxa"/>
            <w:vAlign w:val="bottom"/>
          </w:tcPr>
          <w:p w14:paraId="0DEE1651" w14:textId="77777777" w:rsidR="0010523F" w:rsidRPr="0010523F" w:rsidRDefault="0010523F" w:rsidP="0010523F">
            <w:pPr>
              <w:spacing w:line="140" w:lineRule="exact"/>
              <w:jc w:val="both"/>
              <w:rPr>
                <w:lang w:val="es-AR" w:eastAsia="en-US"/>
              </w:rPr>
            </w:pPr>
          </w:p>
        </w:tc>
        <w:tc>
          <w:tcPr>
            <w:tcW w:w="1276" w:type="dxa"/>
            <w:vAlign w:val="bottom"/>
          </w:tcPr>
          <w:p w14:paraId="01DACE9D" w14:textId="77777777" w:rsidR="0010523F" w:rsidRPr="0010523F" w:rsidRDefault="0010523F" w:rsidP="0010523F">
            <w:pPr>
              <w:spacing w:line="140" w:lineRule="exact"/>
              <w:jc w:val="both"/>
              <w:rPr>
                <w:lang w:val="es-AR" w:eastAsia="en-US"/>
              </w:rPr>
            </w:pPr>
          </w:p>
        </w:tc>
        <w:tc>
          <w:tcPr>
            <w:tcW w:w="1275" w:type="dxa"/>
            <w:vAlign w:val="bottom"/>
          </w:tcPr>
          <w:p w14:paraId="4234FE74" w14:textId="77777777" w:rsidR="0010523F" w:rsidRPr="0010523F" w:rsidRDefault="0010523F" w:rsidP="0010523F">
            <w:pPr>
              <w:spacing w:line="140" w:lineRule="exact"/>
              <w:jc w:val="both"/>
              <w:rPr>
                <w:lang w:val="es-AR" w:eastAsia="en-US"/>
              </w:rPr>
            </w:pPr>
          </w:p>
        </w:tc>
        <w:tc>
          <w:tcPr>
            <w:tcW w:w="1276" w:type="dxa"/>
            <w:vAlign w:val="bottom"/>
          </w:tcPr>
          <w:p w14:paraId="0612826F" w14:textId="77777777" w:rsidR="0010523F" w:rsidRPr="0010523F" w:rsidRDefault="0010523F" w:rsidP="0010523F">
            <w:pPr>
              <w:spacing w:line="140" w:lineRule="exact"/>
              <w:jc w:val="both"/>
              <w:rPr>
                <w:lang w:val="es-AR" w:eastAsia="en-US"/>
              </w:rPr>
            </w:pPr>
          </w:p>
        </w:tc>
        <w:tc>
          <w:tcPr>
            <w:tcW w:w="1276" w:type="dxa"/>
            <w:vAlign w:val="bottom"/>
          </w:tcPr>
          <w:p w14:paraId="0F22A216" w14:textId="77777777" w:rsidR="0010523F" w:rsidRPr="0010523F" w:rsidRDefault="0010523F" w:rsidP="0010523F">
            <w:pPr>
              <w:spacing w:line="140" w:lineRule="exact"/>
              <w:jc w:val="both"/>
              <w:rPr>
                <w:lang w:val="es-AR" w:eastAsia="en-US"/>
              </w:rPr>
            </w:pPr>
          </w:p>
        </w:tc>
      </w:tr>
      <w:tr w:rsidR="0010523F" w:rsidRPr="0010523F" w14:paraId="08970D77" w14:textId="77777777" w:rsidTr="00774E7E">
        <w:trPr>
          <w:trHeight w:val="255"/>
        </w:trPr>
        <w:tc>
          <w:tcPr>
            <w:tcW w:w="4820" w:type="dxa"/>
            <w:vAlign w:val="bottom"/>
          </w:tcPr>
          <w:p w14:paraId="2231BB28" w14:textId="77777777" w:rsidR="0010523F" w:rsidRPr="0010523F" w:rsidRDefault="0010523F" w:rsidP="0010523F">
            <w:pPr>
              <w:spacing w:line="220" w:lineRule="exact"/>
              <w:ind w:left="284"/>
              <w:rPr>
                <w:lang w:val="es-AR" w:eastAsia="en-US"/>
              </w:rPr>
            </w:pPr>
            <w:r w:rsidRPr="0010523F">
              <w:rPr>
                <w:lang w:val="es-AR" w:eastAsia="en-US"/>
              </w:rPr>
              <w:t xml:space="preserve">Ventas netas y subvenciones </w:t>
            </w:r>
          </w:p>
        </w:tc>
        <w:tc>
          <w:tcPr>
            <w:tcW w:w="1276" w:type="dxa"/>
            <w:vAlign w:val="bottom"/>
          </w:tcPr>
          <w:p w14:paraId="68E5A414" w14:textId="77777777" w:rsidR="0010523F" w:rsidRPr="0010523F" w:rsidRDefault="0010523F" w:rsidP="0010523F">
            <w:pPr>
              <w:spacing w:line="220" w:lineRule="exact"/>
              <w:ind w:left="-108" w:right="87"/>
              <w:jc w:val="right"/>
              <w:rPr>
                <w:u w:val="double"/>
                <w:lang w:val="es-AR" w:eastAsia="en-US"/>
              </w:rPr>
            </w:pPr>
            <w:r w:rsidRPr="0010523F">
              <w:rPr>
                <w:u w:val="double"/>
                <w:lang w:val="es-AR" w:eastAsia="en-US"/>
              </w:rPr>
              <w:t>54.299</w:t>
            </w:r>
          </w:p>
        </w:tc>
        <w:tc>
          <w:tcPr>
            <w:tcW w:w="1275" w:type="dxa"/>
            <w:vAlign w:val="bottom"/>
          </w:tcPr>
          <w:p w14:paraId="4CD47618" w14:textId="77777777" w:rsidR="0010523F" w:rsidRPr="0010523F" w:rsidRDefault="0010523F" w:rsidP="0010523F">
            <w:pPr>
              <w:spacing w:line="220" w:lineRule="exact"/>
              <w:ind w:left="-108"/>
              <w:jc w:val="right"/>
              <w:rPr>
                <w:u w:val="double"/>
                <w:lang w:val="es-AR" w:eastAsia="en-US"/>
              </w:rPr>
            </w:pPr>
            <w:r w:rsidRPr="0010523F">
              <w:rPr>
                <w:u w:val="double"/>
                <w:lang w:val="en-US" w:eastAsia="en-US"/>
              </w:rPr>
              <w:t>40.345</w:t>
            </w:r>
          </w:p>
        </w:tc>
        <w:tc>
          <w:tcPr>
            <w:tcW w:w="1276" w:type="dxa"/>
            <w:vAlign w:val="bottom"/>
          </w:tcPr>
          <w:p w14:paraId="0DC366F7" w14:textId="77777777" w:rsidR="0010523F" w:rsidRPr="0010523F" w:rsidRDefault="0010523F" w:rsidP="0010523F">
            <w:pPr>
              <w:spacing w:line="220" w:lineRule="exact"/>
              <w:ind w:left="-108"/>
              <w:jc w:val="right"/>
              <w:rPr>
                <w:u w:val="double"/>
                <w:lang w:val="es-AR" w:eastAsia="en-US"/>
              </w:rPr>
            </w:pPr>
            <w:r w:rsidRPr="0010523F">
              <w:rPr>
                <w:u w:val="double"/>
                <w:lang w:val="es-AR" w:eastAsia="en-US"/>
              </w:rPr>
              <w:t>141.679</w:t>
            </w:r>
          </w:p>
        </w:tc>
        <w:tc>
          <w:tcPr>
            <w:tcW w:w="1276" w:type="dxa"/>
            <w:vAlign w:val="bottom"/>
          </w:tcPr>
          <w:p w14:paraId="1C51C8F5" w14:textId="77777777" w:rsidR="0010523F" w:rsidRPr="0010523F" w:rsidRDefault="0010523F" w:rsidP="0010523F">
            <w:pPr>
              <w:spacing w:line="220" w:lineRule="exact"/>
              <w:ind w:left="-108"/>
              <w:jc w:val="right"/>
              <w:rPr>
                <w:u w:val="double"/>
                <w:lang w:val="es-AR" w:eastAsia="en-US"/>
              </w:rPr>
            </w:pPr>
            <w:r w:rsidRPr="0010523F">
              <w:rPr>
                <w:u w:val="double"/>
                <w:lang w:val="en-US" w:eastAsia="en-US"/>
              </w:rPr>
              <w:t>81.649</w:t>
            </w:r>
          </w:p>
        </w:tc>
      </w:tr>
    </w:tbl>
    <w:p w14:paraId="25EC3306" w14:textId="77777777" w:rsidR="0010523F" w:rsidRPr="0010523F" w:rsidRDefault="0010523F" w:rsidP="0010523F">
      <w:pPr>
        <w:spacing w:line="200" w:lineRule="exact"/>
        <w:jc w:val="both"/>
        <w:rPr>
          <w:b/>
          <w:lang w:val="es-AR" w:eastAsia="en-US"/>
        </w:rPr>
      </w:pPr>
    </w:p>
    <w:p w14:paraId="716E27C5" w14:textId="77777777" w:rsidR="0010523F" w:rsidRPr="0010523F" w:rsidRDefault="0010523F" w:rsidP="0010523F">
      <w:pPr>
        <w:tabs>
          <w:tab w:val="left" w:pos="567"/>
          <w:tab w:val="decimal" w:pos="7797"/>
          <w:tab w:val="decimal" w:pos="8931"/>
        </w:tabs>
        <w:jc w:val="both"/>
        <w:rPr>
          <w:sz w:val="20"/>
          <w:szCs w:val="20"/>
          <w:lang w:val="es-AR" w:eastAsia="en-US"/>
        </w:rPr>
      </w:pPr>
      <w:r w:rsidRPr="0010523F">
        <w:rPr>
          <w:sz w:val="20"/>
          <w:szCs w:val="20"/>
          <w:lang w:val="es-AR" w:eastAsia="en-US"/>
        </w:rPr>
        <w:t>(*) Incluye 2.690; 2.982; 5.314 y 11.624 en 2019 (tercer trimestre); 2018 (tercer trimestre); 2019 (9 meses) y 2018 (9 meses), respectivamente, correspondientes a operaciones con partes relacionadas. (Nota 8).</w:t>
      </w:r>
    </w:p>
    <w:p w14:paraId="29F8B26B" w14:textId="77777777" w:rsidR="0010523F" w:rsidRPr="0010523F" w:rsidRDefault="0010523F" w:rsidP="0010523F">
      <w:pPr>
        <w:tabs>
          <w:tab w:val="center" w:pos="4382"/>
          <w:tab w:val="center" w:pos="6089"/>
          <w:tab w:val="center" w:pos="7573"/>
          <w:tab w:val="center" w:pos="9000"/>
        </w:tabs>
        <w:spacing w:line="160" w:lineRule="exact"/>
        <w:jc w:val="both"/>
        <w:rPr>
          <w:sz w:val="20"/>
          <w:szCs w:val="20"/>
          <w:lang w:val="es-AR" w:eastAsia="en-US"/>
        </w:rPr>
      </w:pPr>
    </w:p>
    <w:p w14:paraId="44E18478" w14:textId="77777777" w:rsidR="0010523F" w:rsidRPr="0010523F" w:rsidRDefault="0010523F" w:rsidP="0010523F">
      <w:pPr>
        <w:keepNext/>
        <w:widowControl w:val="0"/>
        <w:tabs>
          <w:tab w:val="decimal" w:pos="4962"/>
          <w:tab w:val="decimal" w:pos="6379"/>
          <w:tab w:val="decimal" w:pos="7797"/>
          <w:tab w:val="decimal" w:pos="9214"/>
          <w:tab w:val="decimal" w:pos="10490"/>
          <w:tab w:val="decimal" w:pos="12049"/>
          <w:tab w:val="decimal" w:pos="13325"/>
          <w:tab w:val="decimal" w:pos="14601"/>
        </w:tabs>
        <w:spacing w:line="220" w:lineRule="exact"/>
        <w:ind w:left="142" w:right="12"/>
        <w:jc w:val="both"/>
        <w:outlineLvl w:val="3"/>
        <w:rPr>
          <w:sz w:val="20"/>
          <w:szCs w:val="20"/>
          <w:lang w:val="es-AR" w:eastAsia="en-US"/>
        </w:rPr>
      </w:pPr>
      <w:r w:rsidRPr="0010523F">
        <w:rPr>
          <w:szCs w:val="20"/>
          <w:lang w:val="es-AR" w:eastAsia="en-US"/>
        </w:rPr>
        <w:t>a.3) Pasivos de contratos</w:t>
      </w:r>
    </w:p>
    <w:p w14:paraId="1AA3C204" w14:textId="77777777" w:rsidR="0010523F" w:rsidRPr="0010523F" w:rsidRDefault="0010523F" w:rsidP="0010523F">
      <w:pPr>
        <w:tabs>
          <w:tab w:val="center" w:pos="4382"/>
          <w:tab w:val="center" w:pos="6089"/>
          <w:tab w:val="center" w:pos="7573"/>
          <w:tab w:val="center" w:pos="9000"/>
        </w:tabs>
        <w:spacing w:line="160" w:lineRule="exact"/>
        <w:jc w:val="both"/>
        <w:rPr>
          <w:sz w:val="20"/>
          <w:szCs w:val="20"/>
          <w:lang w:val="es-AR" w:eastAsia="en-US"/>
        </w:rPr>
      </w:pPr>
    </w:p>
    <w:p w14:paraId="1756E5CD" w14:textId="77777777" w:rsidR="0010523F" w:rsidRPr="0010523F" w:rsidRDefault="0010523F" w:rsidP="0010523F">
      <w:pPr>
        <w:autoSpaceDE w:val="0"/>
        <w:autoSpaceDN w:val="0"/>
        <w:adjustRightInd w:val="0"/>
        <w:jc w:val="both"/>
        <w:rPr>
          <w:color w:val="000000"/>
          <w:lang w:val="es-AR" w:eastAsia="en-US"/>
        </w:rPr>
      </w:pPr>
      <w:r w:rsidRPr="0010523F">
        <w:rPr>
          <w:color w:val="000000"/>
          <w:lang w:val="es-AR" w:eastAsia="en-US"/>
        </w:rPr>
        <w:t xml:space="preserve">Los pasivos de contratos están relacionados principalmente a los anticipos recibidos de clientes del segmento downstream. </w:t>
      </w:r>
    </w:p>
    <w:p w14:paraId="7BBAB4D9" w14:textId="77777777" w:rsidR="0010523F" w:rsidRPr="0010523F" w:rsidRDefault="0010523F" w:rsidP="0010523F">
      <w:pPr>
        <w:tabs>
          <w:tab w:val="center" w:pos="4382"/>
          <w:tab w:val="center" w:pos="6089"/>
          <w:tab w:val="center" w:pos="7573"/>
          <w:tab w:val="center" w:pos="9000"/>
        </w:tabs>
        <w:spacing w:line="160" w:lineRule="exact"/>
        <w:jc w:val="both"/>
        <w:rPr>
          <w:sz w:val="20"/>
          <w:szCs w:val="20"/>
          <w:lang w:val="es-AR" w:eastAsia="en-US"/>
        </w:rPr>
      </w:pPr>
    </w:p>
    <w:p w14:paraId="44B8DEB2" w14:textId="77777777" w:rsidR="0010523F" w:rsidRPr="0010523F" w:rsidDel="00AE5FB2" w:rsidRDefault="0010523F" w:rsidP="0010523F">
      <w:pPr>
        <w:jc w:val="both"/>
        <w:rPr>
          <w:b/>
          <w:lang w:val="es-AR" w:eastAsia="en-US"/>
        </w:rPr>
      </w:pPr>
      <w:r w:rsidRPr="0010523F">
        <w:rPr>
          <w:color w:val="000000"/>
          <w:lang w:val="es-AR" w:eastAsia="en-US"/>
        </w:rPr>
        <w:t>Durante los períodos de nueves meses finalizados el 30 de septiembre de 2019 y 2018, la Sucursal ha reconocido 723 y 614, respectivamente, en los ingresos de actividades ordinarias procedentes de contratos con clientes en el estado del resultado intermedio condensado, los cuales habían sido incluidos en el saldo de pasivos de contratos al comienzo del período (y en 2018 las provenientes de Axion, a la fecha de la TFC). Al 30 de septiembre de 2019, la Sucursal tiene pasivos de contratos por 680 que serán reconocidos en ingresos con posterioridad al cierre del período.</w:t>
      </w:r>
    </w:p>
    <w:p w14:paraId="034421DE" w14:textId="77777777" w:rsidR="0010523F" w:rsidRPr="0010523F" w:rsidRDefault="0010523F" w:rsidP="0010523F">
      <w:pPr>
        <w:tabs>
          <w:tab w:val="center" w:pos="4382"/>
          <w:tab w:val="center" w:pos="6089"/>
          <w:tab w:val="center" w:pos="7573"/>
          <w:tab w:val="center" w:pos="9000"/>
        </w:tabs>
        <w:spacing w:line="160" w:lineRule="exact"/>
        <w:jc w:val="both"/>
        <w:rPr>
          <w:sz w:val="20"/>
          <w:szCs w:val="20"/>
          <w:lang w:val="es-AR" w:eastAsia="en-US"/>
        </w:rPr>
      </w:pPr>
    </w:p>
    <w:p w14:paraId="67D3F4E6" w14:textId="77777777" w:rsidR="0010523F" w:rsidRPr="0010523F" w:rsidRDefault="0010523F" w:rsidP="0010523F">
      <w:pPr>
        <w:keepNext/>
        <w:widowControl w:val="0"/>
        <w:tabs>
          <w:tab w:val="decimal" w:pos="4962"/>
          <w:tab w:val="decimal" w:pos="6379"/>
          <w:tab w:val="decimal" w:pos="7797"/>
          <w:tab w:val="decimal" w:pos="9214"/>
          <w:tab w:val="decimal" w:pos="10490"/>
          <w:tab w:val="decimal" w:pos="12049"/>
          <w:tab w:val="decimal" w:pos="13325"/>
          <w:tab w:val="decimal" w:pos="14601"/>
        </w:tabs>
        <w:spacing w:line="220" w:lineRule="exact"/>
        <w:ind w:right="12"/>
        <w:jc w:val="both"/>
        <w:outlineLvl w:val="3"/>
        <w:rPr>
          <w:szCs w:val="20"/>
          <w:lang w:val="es-AR" w:eastAsia="en-US"/>
        </w:rPr>
      </w:pPr>
      <w:r w:rsidRPr="0010523F">
        <w:rPr>
          <w:szCs w:val="20"/>
          <w:lang w:val="es-AR" w:eastAsia="en-US"/>
        </w:rPr>
        <w:t>b) Costo de ventas</w:t>
      </w:r>
    </w:p>
    <w:tbl>
      <w:tblPr>
        <w:tblW w:w="10031" w:type="dxa"/>
        <w:tblLayout w:type="fixed"/>
        <w:tblLook w:val="0000" w:firstRow="0" w:lastRow="0" w:firstColumn="0" w:lastColumn="0" w:noHBand="0" w:noVBand="0"/>
      </w:tblPr>
      <w:tblGrid>
        <w:gridCol w:w="4928"/>
        <w:gridCol w:w="1276"/>
        <w:gridCol w:w="1275"/>
        <w:gridCol w:w="1276"/>
        <w:gridCol w:w="1276"/>
      </w:tblGrid>
      <w:tr w:rsidR="0010523F" w:rsidRPr="0010523F" w14:paraId="61F6DE0F" w14:textId="77777777" w:rsidTr="00774E7E">
        <w:trPr>
          <w:trHeight w:val="227"/>
        </w:trPr>
        <w:tc>
          <w:tcPr>
            <w:tcW w:w="4928" w:type="dxa"/>
            <w:vAlign w:val="bottom"/>
          </w:tcPr>
          <w:p w14:paraId="4966FEB0" w14:textId="77777777" w:rsidR="0010523F" w:rsidRPr="0010523F" w:rsidRDefault="0010523F" w:rsidP="0010523F">
            <w:pPr>
              <w:spacing w:line="220" w:lineRule="exact"/>
              <w:jc w:val="both"/>
              <w:rPr>
                <w:bCs/>
                <w:lang w:val="es-AR" w:eastAsia="en-US"/>
              </w:rPr>
            </w:pPr>
          </w:p>
        </w:tc>
        <w:tc>
          <w:tcPr>
            <w:tcW w:w="1276" w:type="dxa"/>
            <w:vAlign w:val="bottom"/>
          </w:tcPr>
          <w:p w14:paraId="0F457C55" w14:textId="77777777" w:rsidR="0010523F" w:rsidRPr="0010523F" w:rsidRDefault="0010523F" w:rsidP="0010523F">
            <w:pPr>
              <w:spacing w:line="220" w:lineRule="exact"/>
              <w:ind w:left="-69"/>
              <w:jc w:val="center"/>
              <w:rPr>
                <w:bCs/>
                <w:lang w:val="es-AR" w:eastAsia="en-US"/>
              </w:rPr>
            </w:pPr>
            <w:r w:rsidRPr="0010523F">
              <w:rPr>
                <w:bCs/>
                <w:lang w:val="es-AR" w:eastAsia="en-US"/>
              </w:rPr>
              <w:t>2019</w:t>
            </w:r>
          </w:p>
        </w:tc>
        <w:tc>
          <w:tcPr>
            <w:tcW w:w="1275" w:type="dxa"/>
            <w:vAlign w:val="bottom"/>
          </w:tcPr>
          <w:p w14:paraId="77BF8CE9" w14:textId="77777777" w:rsidR="0010523F" w:rsidRPr="0010523F" w:rsidRDefault="0010523F" w:rsidP="0010523F">
            <w:pPr>
              <w:spacing w:line="220" w:lineRule="exact"/>
              <w:ind w:left="-108"/>
              <w:jc w:val="center"/>
              <w:rPr>
                <w:bCs/>
                <w:lang w:val="es-AR" w:eastAsia="en-US"/>
              </w:rPr>
            </w:pPr>
            <w:r w:rsidRPr="0010523F">
              <w:rPr>
                <w:bCs/>
                <w:lang w:val="es-AR" w:eastAsia="en-US"/>
              </w:rPr>
              <w:t>2018</w:t>
            </w:r>
          </w:p>
        </w:tc>
        <w:tc>
          <w:tcPr>
            <w:tcW w:w="1276" w:type="dxa"/>
            <w:vAlign w:val="center"/>
          </w:tcPr>
          <w:p w14:paraId="0A8DC427" w14:textId="77777777" w:rsidR="0010523F" w:rsidRPr="0010523F" w:rsidRDefault="0010523F" w:rsidP="0010523F">
            <w:pPr>
              <w:spacing w:line="220" w:lineRule="exact"/>
              <w:ind w:left="-108"/>
              <w:jc w:val="center"/>
              <w:rPr>
                <w:bCs/>
                <w:lang w:val="es-AR" w:eastAsia="en-US"/>
              </w:rPr>
            </w:pPr>
            <w:r w:rsidRPr="0010523F">
              <w:rPr>
                <w:bCs/>
                <w:lang w:val="es-AR" w:eastAsia="en-US"/>
              </w:rPr>
              <w:t>2019</w:t>
            </w:r>
          </w:p>
        </w:tc>
        <w:tc>
          <w:tcPr>
            <w:tcW w:w="1276" w:type="dxa"/>
            <w:vAlign w:val="bottom"/>
          </w:tcPr>
          <w:p w14:paraId="7BAAC93B" w14:textId="77777777" w:rsidR="0010523F" w:rsidRPr="0010523F" w:rsidRDefault="0010523F" w:rsidP="0010523F">
            <w:pPr>
              <w:spacing w:line="220" w:lineRule="exact"/>
              <w:ind w:left="-108"/>
              <w:jc w:val="center"/>
              <w:rPr>
                <w:bCs/>
                <w:lang w:val="es-AR" w:eastAsia="en-US"/>
              </w:rPr>
            </w:pPr>
            <w:r w:rsidRPr="0010523F">
              <w:rPr>
                <w:bCs/>
                <w:lang w:val="es-AR" w:eastAsia="en-US"/>
              </w:rPr>
              <w:t>2018</w:t>
            </w:r>
          </w:p>
        </w:tc>
      </w:tr>
      <w:tr w:rsidR="0010523F" w:rsidRPr="0010523F" w14:paraId="767F36CC" w14:textId="77777777" w:rsidTr="00774E7E">
        <w:trPr>
          <w:trHeight w:val="510"/>
        </w:trPr>
        <w:tc>
          <w:tcPr>
            <w:tcW w:w="4928" w:type="dxa"/>
            <w:shd w:val="clear" w:color="auto" w:fill="auto"/>
            <w:vAlign w:val="bottom"/>
          </w:tcPr>
          <w:p w14:paraId="56B1C894" w14:textId="77777777" w:rsidR="0010523F" w:rsidRPr="0010523F" w:rsidRDefault="0010523F" w:rsidP="0010523F">
            <w:pPr>
              <w:tabs>
                <w:tab w:val="left" w:pos="567"/>
                <w:tab w:val="decimal" w:pos="7513"/>
                <w:tab w:val="decimal" w:pos="9356"/>
              </w:tabs>
              <w:jc w:val="both"/>
              <w:rPr>
                <w:bCs/>
                <w:lang w:val="es-AR" w:eastAsia="en-US"/>
              </w:rPr>
            </w:pPr>
          </w:p>
        </w:tc>
        <w:tc>
          <w:tcPr>
            <w:tcW w:w="1276" w:type="dxa"/>
            <w:shd w:val="clear" w:color="auto" w:fill="auto"/>
            <w:vAlign w:val="bottom"/>
          </w:tcPr>
          <w:p w14:paraId="7D68BB84" w14:textId="77777777" w:rsidR="0010523F" w:rsidRPr="0010523F" w:rsidRDefault="0010523F" w:rsidP="0010523F">
            <w:pPr>
              <w:ind w:left="-108"/>
              <w:jc w:val="center"/>
              <w:rPr>
                <w:bCs/>
                <w:u w:val="single"/>
                <w:lang w:val="es-AR" w:eastAsia="en-US"/>
              </w:rPr>
            </w:pPr>
            <w:r w:rsidRPr="0010523F">
              <w:rPr>
                <w:bCs/>
                <w:lang w:val="es-AR" w:eastAsia="en-US"/>
              </w:rPr>
              <w:t>(tercer</w:t>
            </w:r>
            <w:r w:rsidRPr="0010523F">
              <w:rPr>
                <w:bCs/>
                <w:u w:val="single"/>
                <w:lang w:val="es-AR" w:eastAsia="en-US"/>
              </w:rPr>
              <w:t xml:space="preserve"> trimestre</w:t>
            </w:r>
            <w:r w:rsidRPr="0010523F">
              <w:rPr>
                <w:bCs/>
                <w:lang w:val="es-AR" w:eastAsia="en-US"/>
              </w:rPr>
              <w:t>)</w:t>
            </w:r>
          </w:p>
        </w:tc>
        <w:tc>
          <w:tcPr>
            <w:tcW w:w="1275" w:type="dxa"/>
            <w:vAlign w:val="bottom"/>
          </w:tcPr>
          <w:p w14:paraId="35EEAA6B" w14:textId="77777777" w:rsidR="0010523F" w:rsidRPr="0010523F" w:rsidRDefault="0010523F" w:rsidP="0010523F">
            <w:pPr>
              <w:ind w:left="-108"/>
              <w:jc w:val="center"/>
              <w:rPr>
                <w:bCs/>
                <w:lang w:val="es-AR" w:eastAsia="en-US"/>
              </w:rPr>
            </w:pPr>
            <w:r w:rsidRPr="0010523F">
              <w:rPr>
                <w:bCs/>
                <w:lang w:val="es-AR" w:eastAsia="en-US"/>
              </w:rPr>
              <w:t>(tercer</w:t>
            </w:r>
            <w:r w:rsidRPr="0010523F">
              <w:rPr>
                <w:bCs/>
                <w:u w:val="single"/>
                <w:lang w:val="es-AR" w:eastAsia="en-US"/>
              </w:rPr>
              <w:t xml:space="preserve"> trimestre</w:t>
            </w:r>
            <w:r w:rsidRPr="0010523F">
              <w:rPr>
                <w:bCs/>
                <w:lang w:val="es-AR" w:eastAsia="en-US"/>
              </w:rPr>
              <w:t>)</w:t>
            </w:r>
          </w:p>
        </w:tc>
        <w:tc>
          <w:tcPr>
            <w:tcW w:w="1276" w:type="dxa"/>
            <w:vAlign w:val="bottom"/>
          </w:tcPr>
          <w:p w14:paraId="200CA144" w14:textId="77777777" w:rsidR="0010523F" w:rsidRPr="0010523F" w:rsidRDefault="0010523F" w:rsidP="0010523F">
            <w:pPr>
              <w:ind w:left="-108"/>
              <w:jc w:val="center"/>
              <w:rPr>
                <w:bCs/>
                <w:u w:val="single"/>
                <w:lang w:val="es-AR" w:eastAsia="en-US"/>
              </w:rPr>
            </w:pPr>
            <w:r w:rsidRPr="0010523F">
              <w:rPr>
                <w:bCs/>
                <w:u w:val="single"/>
                <w:lang w:val="es-AR" w:eastAsia="en-US"/>
              </w:rPr>
              <w:t>(9 meses)</w:t>
            </w:r>
          </w:p>
        </w:tc>
        <w:tc>
          <w:tcPr>
            <w:tcW w:w="1276" w:type="dxa"/>
            <w:shd w:val="clear" w:color="auto" w:fill="auto"/>
            <w:vAlign w:val="bottom"/>
          </w:tcPr>
          <w:p w14:paraId="1F9371BE" w14:textId="77777777" w:rsidR="0010523F" w:rsidRPr="0010523F" w:rsidRDefault="0010523F" w:rsidP="0010523F">
            <w:pPr>
              <w:ind w:left="-108"/>
              <w:jc w:val="center"/>
              <w:rPr>
                <w:bCs/>
                <w:u w:val="single"/>
                <w:lang w:val="es-AR" w:eastAsia="en-US"/>
              </w:rPr>
            </w:pPr>
            <w:r w:rsidRPr="0010523F">
              <w:rPr>
                <w:bCs/>
                <w:u w:val="single"/>
                <w:lang w:val="es-AR" w:eastAsia="en-US"/>
              </w:rPr>
              <w:t>(9 meses)</w:t>
            </w:r>
          </w:p>
        </w:tc>
      </w:tr>
      <w:tr w:rsidR="0010523F" w:rsidRPr="0010523F" w14:paraId="3AD12EDF" w14:textId="77777777" w:rsidTr="00774E7E">
        <w:tc>
          <w:tcPr>
            <w:tcW w:w="4928" w:type="dxa"/>
          </w:tcPr>
          <w:p w14:paraId="096639D5" w14:textId="77777777" w:rsidR="0010523F" w:rsidRPr="0010523F" w:rsidRDefault="0010523F" w:rsidP="0010523F">
            <w:pPr>
              <w:spacing w:line="120" w:lineRule="exact"/>
              <w:jc w:val="both"/>
              <w:rPr>
                <w:lang w:val="es-AR" w:eastAsia="en-US"/>
              </w:rPr>
            </w:pPr>
          </w:p>
        </w:tc>
        <w:tc>
          <w:tcPr>
            <w:tcW w:w="1276" w:type="dxa"/>
          </w:tcPr>
          <w:p w14:paraId="31C54E76" w14:textId="77777777" w:rsidR="0010523F" w:rsidRPr="0010523F" w:rsidRDefault="0010523F" w:rsidP="0010523F">
            <w:pPr>
              <w:spacing w:line="120" w:lineRule="exact"/>
              <w:jc w:val="center"/>
              <w:rPr>
                <w:lang w:val="es-AR" w:eastAsia="en-US"/>
              </w:rPr>
            </w:pPr>
          </w:p>
        </w:tc>
        <w:tc>
          <w:tcPr>
            <w:tcW w:w="1275" w:type="dxa"/>
          </w:tcPr>
          <w:p w14:paraId="795FD38A" w14:textId="77777777" w:rsidR="0010523F" w:rsidRPr="0010523F" w:rsidRDefault="0010523F" w:rsidP="0010523F">
            <w:pPr>
              <w:spacing w:line="120" w:lineRule="exact"/>
              <w:jc w:val="center"/>
              <w:rPr>
                <w:lang w:val="es-AR" w:eastAsia="en-US"/>
              </w:rPr>
            </w:pPr>
          </w:p>
        </w:tc>
        <w:tc>
          <w:tcPr>
            <w:tcW w:w="1276" w:type="dxa"/>
          </w:tcPr>
          <w:p w14:paraId="6C434AB1" w14:textId="77777777" w:rsidR="0010523F" w:rsidRPr="0010523F" w:rsidRDefault="0010523F" w:rsidP="0010523F">
            <w:pPr>
              <w:spacing w:line="120" w:lineRule="exact"/>
              <w:jc w:val="center"/>
              <w:rPr>
                <w:lang w:val="es-AR" w:eastAsia="en-US"/>
              </w:rPr>
            </w:pPr>
          </w:p>
        </w:tc>
        <w:tc>
          <w:tcPr>
            <w:tcW w:w="1276" w:type="dxa"/>
          </w:tcPr>
          <w:p w14:paraId="6C95685A" w14:textId="77777777" w:rsidR="0010523F" w:rsidRPr="0010523F" w:rsidRDefault="0010523F" w:rsidP="0010523F">
            <w:pPr>
              <w:spacing w:line="120" w:lineRule="exact"/>
              <w:jc w:val="center"/>
              <w:rPr>
                <w:lang w:val="es-AR" w:eastAsia="en-US"/>
              </w:rPr>
            </w:pPr>
          </w:p>
        </w:tc>
      </w:tr>
      <w:tr w:rsidR="0010523F" w:rsidRPr="0010523F" w14:paraId="744D3833" w14:textId="77777777" w:rsidTr="00774E7E">
        <w:trPr>
          <w:trHeight w:val="227"/>
        </w:trPr>
        <w:tc>
          <w:tcPr>
            <w:tcW w:w="4928" w:type="dxa"/>
          </w:tcPr>
          <w:p w14:paraId="05FFE354" w14:textId="77777777" w:rsidR="0010523F" w:rsidRPr="0010523F" w:rsidRDefault="0010523F" w:rsidP="0010523F">
            <w:pPr>
              <w:spacing w:line="220" w:lineRule="exact"/>
              <w:rPr>
                <w:lang w:val="es-AR" w:eastAsia="en-US"/>
              </w:rPr>
            </w:pPr>
            <w:r w:rsidRPr="0010523F">
              <w:rPr>
                <w:lang w:val="es-AR" w:eastAsia="en-US"/>
              </w:rPr>
              <w:t>Existencias al inicio del ejercicio</w:t>
            </w:r>
          </w:p>
        </w:tc>
        <w:tc>
          <w:tcPr>
            <w:tcW w:w="1276" w:type="dxa"/>
          </w:tcPr>
          <w:p w14:paraId="44C0B77A" w14:textId="77777777" w:rsidR="0010523F" w:rsidRPr="0010523F" w:rsidRDefault="0010523F" w:rsidP="0010523F">
            <w:pPr>
              <w:spacing w:line="220" w:lineRule="exact"/>
              <w:jc w:val="right"/>
              <w:rPr>
                <w:lang w:val="es-AR" w:eastAsia="en-US"/>
              </w:rPr>
            </w:pPr>
            <w:r w:rsidRPr="0010523F">
              <w:rPr>
                <w:lang w:val="es-AR" w:eastAsia="en-US"/>
              </w:rPr>
              <w:t>21.232</w:t>
            </w:r>
          </w:p>
        </w:tc>
        <w:tc>
          <w:tcPr>
            <w:tcW w:w="1275" w:type="dxa"/>
          </w:tcPr>
          <w:p w14:paraId="304B925F" w14:textId="77777777" w:rsidR="0010523F" w:rsidRPr="0010523F" w:rsidRDefault="0010523F" w:rsidP="0010523F">
            <w:pPr>
              <w:spacing w:line="220" w:lineRule="exact"/>
              <w:jc w:val="right"/>
              <w:rPr>
                <w:lang w:val="es-AR" w:eastAsia="en-US"/>
              </w:rPr>
            </w:pPr>
            <w:r w:rsidRPr="0010523F">
              <w:rPr>
                <w:lang w:val="es-AR" w:eastAsia="en-US"/>
              </w:rPr>
              <w:t>13.454</w:t>
            </w:r>
          </w:p>
        </w:tc>
        <w:tc>
          <w:tcPr>
            <w:tcW w:w="1276" w:type="dxa"/>
          </w:tcPr>
          <w:p w14:paraId="5E3B1230" w14:textId="77777777" w:rsidR="0010523F" w:rsidRPr="0010523F" w:rsidRDefault="0010523F" w:rsidP="0010523F">
            <w:pPr>
              <w:spacing w:line="220" w:lineRule="exact"/>
              <w:jc w:val="right"/>
              <w:rPr>
                <w:lang w:val="es-AR" w:eastAsia="en-US"/>
              </w:rPr>
            </w:pPr>
            <w:r w:rsidRPr="0010523F">
              <w:rPr>
                <w:lang w:val="es-AR" w:eastAsia="en-US"/>
              </w:rPr>
              <w:t>17.133</w:t>
            </w:r>
          </w:p>
        </w:tc>
        <w:tc>
          <w:tcPr>
            <w:tcW w:w="1276" w:type="dxa"/>
          </w:tcPr>
          <w:p w14:paraId="1B35A6D0" w14:textId="77777777" w:rsidR="0010523F" w:rsidRPr="0010523F" w:rsidRDefault="0010523F" w:rsidP="0010523F">
            <w:pPr>
              <w:spacing w:line="220" w:lineRule="exact"/>
              <w:jc w:val="right"/>
              <w:rPr>
                <w:lang w:val="es-AR" w:eastAsia="en-US"/>
              </w:rPr>
            </w:pPr>
            <w:r w:rsidRPr="0010523F">
              <w:rPr>
                <w:lang w:val="es-AR" w:eastAsia="en-US"/>
              </w:rPr>
              <w:t>3.678</w:t>
            </w:r>
          </w:p>
        </w:tc>
      </w:tr>
      <w:tr w:rsidR="0010523F" w:rsidRPr="0010523F" w14:paraId="43DB3C9B" w14:textId="77777777" w:rsidTr="00774E7E">
        <w:trPr>
          <w:trHeight w:val="227"/>
        </w:trPr>
        <w:tc>
          <w:tcPr>
            <w:tcW w:w="4928" w:type="dxa"/>
          </w:tcPr>
          <w:p w14:paraId="5171F709" w14:textId="77777777" w:rsidR="0010523F" w:rsidRPr="0010523F" w:rsidRDefault="0010523F" w:rsidP="0010523F">
            <w:pPr>
              <w:spacing w:line="220" w:lineRule="exact"/>
              <w:rPr>
                <w:lang w:val="es-AR" w:eastAsia="en-US"/>
              </w:rPr>
            </w:pPr>
            <w:r w:rsidRPr="0010523F">
              <w:rPr>
                <w:lang w:val="es-AR" w:eastAsia="en-US"/>
              </w:rPr>
              <w:t>Transferencia del fondo de comercio (Nota 1)</w:t>
            </w:r>
          </w:p>
        </w:tc>
        <w:tc>
          <w:tcPr>
            <w:tcW w:w="1276" w:type="dxa"/>
          </w:tcPr>
          <w:p w14:paraId="1C1EED83" w14:textId="77777777" w:rsidR="0010523F" w:rsidRPr="0010523F" w:rsidDel="006A4BE3" w:rsidRDefault="0010523F" w:rsidP="0010523F">
            <w:pPr>
              <w:spacing w:line="220" w:lineRule="exact"/>
              <w:jc w:val="right"/>
              <w:rPr>
                <w:lang w:val="es-AR" w:eastAsia="en-US"/>
              </w:rPr>
            </w:pPr>
            <w:r w:rsidRPr="0010523F">
              <w:rPr>
                <w:lang w:val="es-AR" w:eastAsia="en-US"/>
              </w:rPr>
              <w:t>-</w:t>
            </w:r>
          </w:p>
        </w:tc>
        <w:tc>
          <w:tcPr>
            <w:tcW w:w="1275" w:type="dxa"/>
            <w:vAlign w:val="bottom"/>
          </w:tcPr>
          <w:p w14:paraId="698A7AE0" w14:textId="77777777" w:rsidR="0010523F" w:rsidRPr="0010523F" w:rsidRDefault="0010523F" w:rsidP="0010523F">
            <w:pPr>
              <w:spacing w:line="220" w:lineRule="exact"/>
              <w:jc w:val="right"/>
              <w:rPr>
                <w:lang w:val="es-AR" w:eastAsia="en-US"/>
              </w:rPr>
            </w:pPr>
            <w:r w:rsidRPr="0010523F">
              <w:rPr>
                <w:lang w:val="es-AR" w:eastAsia="en-US"/>
              </w:rPr>
              <w:t>-</w:t>
            </w:r>
          </w:p>
        </w:tc>
        <w:tc>
          <w:tcPr>
            <w:tcW w:w="1276" w:type="dxa"/>
          </w:tcPr>
          <w:p w14:paraId="0098DDBD" w14:textId="77777777" w:rsidR="0010523F" w:rsidRPr="0010523F" w:rsidRDefault="0010523F" w:rsidP="0010523F">
            <w:pPr>
              <w:spacing w:line="220" w:lineRule="exact"/>
              <w:jc w:val="right"/>
              <w:rPr>
                <w:lang w:val="es-AR" w:eastAsia="en-US"/>
              </w:rPr>
            </w:pPr>
            <w:r w:rsidRPr="0010523F">
              <w:rPr>
                <w:lang w:val="es-AR" w:eastAsia="en-US"/>
              </w:rPr>
              <w:t>-</w:t>
            </w:r>
          </w:p>
        </w:tc>
        <w:tc>
          <w:tcPr>
            <w:tcW w:w="1276" w:type="dxa"/>
            <w:vAlign w:val="bottom"/>
          </w:tcPr>
          <w:p w14:paraId="037F4087" w14:textId="77777777" w:rsidR="0010523F" w:rsidRPr="0010523F" w:rsidDel="006A4BE3" w:rsidRDefault="0010523F" w:rsidP="0010523F">
            <w:pPr>
              <w:spacing w:line="220" w:lineRule="exact"/>
              <w:jc w:val="right"/>
              <w:rPr>
                <w:lang w:val="es-AR" w:eastAsia="en-US"/>
              </w:rPr>
            </w:pPr>
            <w:r w:rsidRPr="0010523F">
              <w:rPr>
                <w:lang w:val="es-AR" w:eastAsia="en-US"/>
              </w:rPr>
              <w:t>6.934</w:t>
            </w:r>
          </w:p>
        </w:tc>
      </w:tr>
      <w:tr w:rsidR="0010523F" w:rsidRPr="0010523F" w14:paraId="733C9D66" w14:textId="77777777" w:rsidTr="00774E7E">
        <w:trPr>
          <w:trHeight w:val="227"/>
        </w:trPr>
        <w:tc>
          <w:tcPr>
            <w:tcW w:w="4928" w:type="dxa"/>
          </w:tcPr>
          <w:p w14:paraId="4CB0E92C" w14:textId="77777777" w:rsidR="0010523F" w:rsidRPr="0010523F" w:rsidRDefault="0010523F" w:rsidP="0010523F">
            <w:pPr>
              <w:spacing w:line="220" w:lineRule="exact"/>
              <w:rPr>
                <w:lang w:val="es-AR" w:eastAsia="en-US"/>
              </w:rPr>
            </w:pPr>
            <w:r w:rsidRPr="0010523F">
              <w:rPr>
                <w:lang w:val="es-AR" w:eastAsia="en-US"/>
              </w:rPr>
              <w:t xml:space="preserve">Compras </w:t>
            </w:r>
          </w:p>
        </w:tc>
        <w:tc>
          <w:tcPr>
            <w:tcW w:w="1276" w:type="dxa"/>
          </w:tcPr>
          <w:p w14:paraId="39EE15ED" w14:textId="77777777" w:rsidR="0010523F" w:rsidRPr="0010523F" w:rsidRDefault="0010523F" w:rsidP="0010523F">
            <w:pPr>
              <w:spacing w:line="220" w:lineRule="exact"/>
              <w:jc w:val="right"/>
              <w:rPr>
                <w:lang w:val="es-AR" w:eastAsia="en-US"/>
              </w:rPr>
            </w:pPr>
            <w:r w:rsidRPr="0010523F">
              <w:rPr>
                <w:lang w:val="es-AR" w:eastAsia="en-US"/>
              </w:rPr>
              <w:t>18.331</w:t>
            </w:r>
          </w:p>
        </w:tc>
        <w:tc>
          <w:tcPr>
            <w:tcW w:w="1275" w:type="dxa"/>
          </w:tcPr>
          <w:p w14:paraId="7DCBEFDF" w14:textId="77777777" w:rsidR="0010523F" w:rsidRPr="0010523F" w:rsidRDefault="0010523F" w:rsidP="0010523F">
            <w:pPr>
              <w:spacing w:line="220" w:lineRule="exact"/>
              <w:jc w:val="right"/>
              <w:rPr>
                <w:lang w:val="es-AR" w:eastAsia="en-US"/>
              </w:rPr>
            </w:pPr>
            <w:r w:rsidRPr="0010523F">
              <w:rPr>
                <w:lang w:val="es-AR" w:eastAsia="en-US"/>
              </w:rPr>
              <w:t>18.392</w:t>
            </w:r>
          </w:p>
        </w:tc>
        <w:tc>
          <w:tcPr>
            <w:tcW w:w="1276" w:type="dxa"/>
          </w:tcPr>
          <w:p w14:paraId="13BE48DB" w14:textId="77777777" w:rsidR="0010523F" w:rsidRPr="0010523F" w:rsidRDefault="0010523F" w:rsidP="0010523F">
            <w:pPr>
              <w:spacing w:line="220" w:lineRule="exact"/>
              <w:jc w:val="right"/>
              <w:rPr>
                <w:lang w:val="es-AR" w:eastAsia="en-US"/>
              </w:rPr>
            </w:pPr>
            <w:r w:rsidRPr="0010523F">
              <w:rPr>
                <w:lang w:val="es-AR" w:eastAsia="en-US"/>
              </w:rPr>
              <w:t>42.591</w:t>
            </w:r>
          </w:p>
        </w:tc>
        <w:tc>
          <w:tcPr>
            <w:tcW w:w="1276" w:type="dxa"/>
          </w:tcPr>
          <w:p w14:paraId="05FDC35E" w14:textId="77777777" w:rsidR="0010523F" w:rsidRPr="0010523F" w:rsidRDefault="0010523F" w:rsidP="0010523F">
            <w:pPr>
              <w:spacing w:line="220" w:lineRule="exact"/>
              <w:jc w:val="right"/>
              <w:rPr>
                <w:lang w:val="es-AR" w:eastAsia="en-US"/>
              </w:rPr>
            </w:pPr>
            <w:r w:rsidRPr="0010523F">
              <w:rPr>
                <w:lang w:val="es-AR" w:eastAsia="en-US"/>
              </w:rPr>
              <w:t>27.149</w:t>
            </w:r>
          </w:p>
        </w:tc>
      </w:tr>
      <w:tr w:rsidR="0010523F" w:rsidRPr="0010523F" w14:paraId="7FD198CC" w14:textId="77777777" w:rsidTr="00774E7E">
        <w:trPr>
          <w:trHeight w:val="227"/>
        </w:trPr>
        <w:tc>
          <w:tcPr>
            <w:tcW w:w="4928" w:type="dxa"/>
          </w:tcPr>
          <w:p w14:paraId="776F515B" w14:textId="77777777" w:rsidR="0010523F" w:rsidRPr="0010523F" w:rsidRDefault="0010523F" w:rsidP="0010523F">
            <w:pPr>
              <w:spacing w:line="220" w:lineRule="exact"/>
              <w:rPr>
                <w:lang w:val="es-AR" w:eastAsia="en-US"/>
              </w:rPr>
            </w:pPr>
            <w:r w:rsidRPr="0010523F">
              <w:rPr>
                <w:lang w:val="es-AR" w:eastAsia="en-US"/>
              </w:rPr>
              <w:t>Costos de producción (Nota 4.c)</w:t>
            </w:r>
          </w:p>
        </w:tc>
        <w:tc>
          <w:tcPr>
            <w:tcW w:w="1276" w:type="dxa"/>
          </w:tcPr>
          <w:p w14:paraId="04910147" w14:textId="77777777" w:rsidR="0010523F" w:rsidRPr="0010523F" w:rsidRDefault="0010523F" w:rsidP="0010523F">
            <w:pPr>
              <w:spacing w:line="220" w:lineRule="exact"/>
              <w:jc w:val="right"/>
              <w:rPr>
                <w:lang w:val="es-AR" w:eastAsia="en-US"/>
              </w:rPr>
            </w:pPr>
            <w:r w:rsidRPr="0010523F">
              <w:rPr>
                <w:lang w:val="es-AR" w:eastAsia="en-US"/>
              </w:rPr>
              <w:t>26.540</w:t>
            </w:r>
          </w:p>
        </w:tc>
        <w:tc>
          <w:tcPr>
            <w:tcW w:w="1275" w:type="dxa"/>
          </w:tcPr>
          <w:p w14:paraId="49EAC5F4" w14:textId="77777777" w:rsidR="0010523F" w:rsidRPr="0010523F" w:rsidRDefault="0010523F" w:rsidP="0010523F">
            <w:pPr>
              <w:spacing w:line="220" w:lineRule="exact"/>
              <w:jc w:val="right"/>
              <w:rPr>
                <w:lang w:val="es-AR" w:eastAsia="en-US"/>
              </w:rPr>
            </w:pPr>
            <w:r w:rsidRPr="0010523F">
              <w:rPr>
                <w:lang w:val="es-AR" w:eastAsia="en-US"/>
              </w:rPr>
              <w:t>15.685</w:t>
            </w:r>
          </w:p>
        </w:tc>
        <w:tc>
          <w:tcPr>
            <w:tcW w:w="1276" w:type="dxa"/>
          </w:tcPr>
          <w:p w14:paraId="4EB8EE37" w14:textId="77777777" w:rsidR="0010523F" w:rsidRPr="0010523F" w:rsidRDefault="0010523F" w:rsidP="0010523F">
            <w:pPr>
              <w:spacing w:line="220" w:lineRule="exact"/>
              <w:jc w:val="right"/>
              <w:rPr>
                <w:lang w:val="es-AR" w:eastAsia="en-US"/>
              </w:rPr>
            </w:pPr>
            <w:r w:rsidRPr="0010523F">
              <w:rPr>
                <w:lang w:val="es-AR" w:eastAsia="en-US"/>
              </w:rPr>
              <w:t>67.250</w:t>
            </w:r>
          </w:p>
        </w:tc>
        <w:tc>
          <w:tcPr>
            <w:tcW w:w="1276" w:type="dxa"/>
          </w:tcPr>
          <w:p w14:paraId="2797A63F" w14:textId="77777777" w:rsidR="0010523F" w:rsidRPr="0010523F" w:rsidRDefault="0010523F" w:rsidP="0010523F">
            <w:pPr>
              <w:spacing w:line="220" w:lineRule="exact"/>
              <w:jc w:val="right"/>
              <w:rPr>
                <w:lang w:val="es-AR" w:eastAsia="en-US"/>
              </w:rPr>
            </w:pPr>
            <w:r w:rsidRPr="0010523F">
              <w:rPr>
                <w:lang w:val="es-AR" w:eastAsia="en-US"/>
              </w:rPr>
              <w:t>38.662</w:t>
            </w:r>
          </w:p>
        </w:tc>
      </w:tr>
      <w:tr w:rsidR="0010523F" w:rsidRPr="0010523F" w14:paraId="62467DB6" w14:textId="77777777" w:rsidTr="00774E7E">
        <w:trPr>
          <w:trHeight w:val="227"/>
        </w:trPr>
        <w:tc>
          <w:tcPr>
            <w:tcW w:w="4928" w:type="dxa"/>
          </w:tcPr>
          <w:p w14:paraId="26DFC91D" w14:textId="77777777" w:rsidR="0010523F" w:rsidRPr="0010523F" w:rsidRDefault="0010523F" w:rsidP="0010523F">
            <w:pPr>
              <w:spacing w:line="220" w:lineRule="exact"/>
              <w:rPr>
                <w:lang w:val="es-AR" w:eastAsia="en-US"/>
              </w:rPr>
            </w:pPr>
            <w:r w:rsidRPr="0010523F">
              <w:rPr>
                <w:lang w:val="es-AR" w:eastAsia="en-US"/>
              </w:rPr>
              <w:t>Existencias al cierre del período</w:t>
            </w:r>
          </w:p>
        </w:tc>
        <w:tc>
          <w:tcPr>
            <w:tcW w:w="1276" w:type="dxa"/>
          </w:tcPr>
          <w:p w14:paraId="723332E0" w14:textId="77777777" w:rsidR="0010523F" w:rsidRPr="0010523F" w:rsidRDefault="0010523F" w:rsidP="0010523F">
            <w:pPr>
              <w:spacing w:line="220" w:lineRule="exact"/>
              <w:jc w:val="right"/>
              <w:rPr>
                <w:u w:val="single"/>
                <w:lang w:val="es-AR" w:eastAsia="en-US"/>
              </w:rPr>
            </w:pPr>
            <w:r w:rsidRPr="0010523F">
              <w:rPr>
                <w:lang w:val="es-AR" w:eastAsia="en-US"/>
              </w:rPr>
              <w:t>(</w:t>
            </w:r>
            <w:r w:rsidRPr="0010523F">
              <w:rPr>
                <w:u w:val="single"/>
                <w:lang w:val="es-AR" w:eastAsia="en-US"/>
              </w:rPr>
              <w:t>26.950</w:t>
            </w:r>
            <w:r w:rsidRPr="0010523F">
              <w:rPr>
                <w:lang w:val="es-AR" w:eastAsia="en-US"/>
              </w:rPr>
              <w:t>)</w:t>
            </w:r>
          </w:p>
        </w:tc>
        <w:tc>
          <w:tcPr>
            <w:tcW w:w="1275" w:type="dxa"/>
          </w:tcPr>
          <w:p w14:paraId="3133B74F" w14:textId="77777777" w:rsidR="0010523F" w:rsidRPr="0010523F" w:rsidRDefault="0010523F" w:rsidP="0010523F">
            <w:pPr>
              <w:spacing w:line="220" w:lineRule="exact"/>
              <w:jc w:val="right"/>
              <w:rPr>
                <w:lang w:val="es-AR" w:eastAsia="en-US"/>
              </w:rPr>
            </w:pPr>
            <w:r w:rsidRPr="0010523F">
              <w:rPr>
                <w:lang w:val="es-AR" w:eastAsia="en-US"/>
              </w:rPr>
              <w:t xml:space="preserve"> (</w:t>
            </w:r>
            <w:r w:rsidRPr="0010523F">
              <w:rPr>
                <w:u w:val="single"/>
                <w:lang w:val="es-AR" w:eastAsia="en-US"/>
              </w:rPr>
              <w:t>18.711</w:t>
            </w:r>
            <w:r w:rsidRPr="0010523F">
              <w:rPr>
                <w:lang w:val="es-AR" w:eastAsia="en-US"/>
              </w:rPr>
              <w:t>)</w:t>
            </w:r>
          </w:p>
        </w:tc>
        <w:tc>
          <w:tcPr>
            <w:tcW w:w="1276" w:type="dxa"/>
          </w:tcPr>
          <w:p w14:paraId="280C15F6" w14:textId="77777777" w:rsidR="0010523F" w:rsidRPr="0010523F" w:rsidRDefault="0010523F" w:rsidP="0010523F">
            <w:pPr>
              <w:spacing w:line="220" w:lineRule="exact"/>
              <w:jc w:val="right"/>
              <w:rPr>
                <w:lang w:val="es-AR" w:eastAsia="en-US"/>
              </w:rPr>
            </w:pPr>
            <w:r w:rsidRPr="0010523F">
              <w:rPr>
                <w:lang w:val="es-AR" w:eastAsia="en-US"/>
              </w:rPr>
              <w:t>(</w:t>
            </w:r>
            <w:r w:rsidRPr="0010523F">
              <w:rPr>
                <w:u w:val="single"/>
                <w:lang w:val="es-AR" w:eastAsia="en-US"/>
              </w:rPr>
              <w:t xml:space="preserve"> 26.950</w:t>
            </w:r>
            <w:r w:rsidRPr="0010523F">
              <w:rPr>
                <w:lang w:val="es-AR" w:eastAsia="en-US"/>
              </w:rPr>
              <w:t>)</w:t>
            </w:r>
          </w:p>
        </w:tc>
        <w:tc>
          <w:tcPr>
            <w:tcW w:w="1276" w:type="dxa"/>
          </w:tcPr>
          <w:p w14:paraId="72B3440C" w14:textId="77777777" w:rsidR="0010523F" w:rsidRPr="0010523F" w:rsidRDefault="0010523F" w:rsidP="0010523F">
            <w:pPr>
              <w:spacing w:line="220" w:lineRule="exact"/>
              <w:jc w:val="right"/>
              <w:rPr>
                <w:u w:val="single"/>
                <w:lang w:val="es-AR" w:eastAsia="en-US"/>
              </w:rPr>
            </w:pPr>
            <w:r w:rsidRPr="0010523F">
              <w:rPr>
                <w:lang w:val="es-AR" w:eastAsia="en-US"/>
              </w:rPr>
              <w:t>(</w:t>
            </w:r>
            <w:r w:rsidRPr="0010523F">
              <w:rPr>
                <w:u w:val="single"/>
                <w:lang w:val="es-AR" w:eastAsia="en-US"/>
              </w:rPr>
              <w:t>18.711</w:t>
            </w:r>
            <w:r w:rsidRPr="0010523F">
              <w:rPr>
                <w:lang w:val="es-AR" w:eastAsia="en-US"/>
              </w:rPr>
              <w:t>)</w:t>
            </w:r>
          </w:p>
        </w:tc>
      </w:tr>
      <w:tr w:rsidR="0010523F" w:rsidRPr="0010523F" w14:paraId="1B521317" w14:textId="77777777" w:rsidTr="00774E7E">
        <w:trPr>
          <w:trHeight w:val="113"/>
        </w:trPr>
        <w:tc>
          <w:tcPr>
            <w:tcW w:w="4928" w:type="dxa"/>
          </w:tcPr>
          <w:p w14:paraId="4551AAF9" w14:textId="77777777" w:rsidR="0010523F" w:rsidRPr="0010523F" w:rsidRDefault="0010523F" w:rsidP="0010523F">
            <w:pPr>
              <w:spacing w:line="120" w:lineRule="exact"/>
              <w:jc w:val="both"/>
              <w:rPr>
                <w:lang w:val="es-AR" w:eastAsia="en-US"/>
              </w:rPr>
            </w:pPr>
          </w:p>
        </w:tc>
        <w:tc>
          <w:tcPr>
            <w:tcW w:w="1276" w:type="dxa"/>
          </w:tcPr>
          <w:p w14:paraId="6918F5F6" w14:textId="77777777" w:rsidR="0010523F" w:rsidRPr="0010523F" w:rsidRDefault="0010523F" w:rsidP="0010523F">
            <w:pPr>
              <w:spacing w:line="120" w:lineRule="exact"/>
              <w:jc w:val="both"/>
              <w:rPr>
                <w:lang w:val="es-AR" w:eastAsia="en-US"/>
              </w:rPr>
            </w:pPr>
          </w:p>
        </w:tc>
        <w:tc>
          <w:tcPr>
            <w:tcW w:w="1275" w:type="dxa"/>
          </w:tcPr>
          <w:p w14:paraId="7DA0C098" w14:textId="77777777" w:rsidR="0010523F" w:rsidRPr="0010523F" w:rsidRDefault="0010523F" w:rsidP="0010523F">
            <w:pPr>
              <w:spacing w:line="120" w:lineRule="exact"/>
              <w:jc w:val="both"/>
              <w:rPr>
                <w:lang w:val="es-AR" w:eastAsia="en-US"/>
              </w:rPr>
            </w:pPr>
          </w:p>
        </w:tc>
        <w:tc>
          <w:tcPr>
            <w:tcW w:w="1276" w:type="dxa"/>
          </w:tcPr>
          <w:p w14:paraId="1B098C72" w14:textId="77777777" w:rsidR="0010523F" w:rsidRPr="0010523F" w:rsidRDefault="0010523F" w:rsidP="0010523F">
            <w:pPr>
              <w:spacing w:line="120" w:lineRule="exact"/>
              <w:jc w:val="both"/>
              <w:rPr>
                <w:lang w:val="es-AR" w:eastAsia="en-US"/>
              </w:rPr>
            </w:pPr>
          </w:p>
        </w:tc>
        <w:tc>
          <w:tcPr>
            <w:tcW w:w="1276" w:type="dxa"/>
          </w:tcPr>
          <w:p w14:paraId="585DA364" w14:textId="77777777" w:rsidR="0010523F" w:rsidRPr="0010523F" w:rsidRDefault="0010523F" w:rsidP="0010523F">
            <w:pPr>
              <w:spacing w:line="120" w:lineRule="exact"/>
              <w:jc w:val="both"/>
              <w:rPr>
                <w:lang w:val="es-AR" w:eastAsia="en-US"/>
              </w:rPr>
            </w:pPr>
          </w:p>
        </w:tc>
      </w:tr>
      <w:tr w:rsidR="0010523F" w:rsidRPr="0010523F" w14:paraId="18478DA6" w14:textId="77777777" w:rsidTr="00774E7E">
        <w:trPr>
          <w:trHeight w:val="227"/>
        </w:trPr>
        <w:tc>
          <w:tcPr>
            <w:tcW w:w="4928" w:type="dxa"/>
          </w:tcPr>
          <w:p w14:paraId="36B31214" w14:textId="77777777" w:rsidR="0010523F" w:rsidRPr="0010523F" w:rsidRDefault="0010523F" w:rsidP="0010523F">
            <w:pPr>
              <w:spacing w:line="220" w:lineRule="exact"/>
              <w:rPr>
                <w:lang w:val="es-AR" w:eastAsia="en-US"/>
              </w:rPr>
            </w:pPr>
            <w:r w:rsidRPr="0010523F">
              <w:rPr>
                <w:lang w:val="es-AR" w:eastAsia="en-US"/>
              </w:rPr>
              <w:t>Costo de ventas</w:t>
            </w:r>
          </w:p>
        </w:tc>
        <w:tc>
          <w:tcPr>
            <w:tcW w:w="1276" w:type="dxa"/>
          </w:tcPr>
          <w:p w14:paraId="0EC95000" w14:textId="77777777" w:rsidR="0010523F" w:rsidRPr="0010523F" w:rsidRDefault="0010523F" w:rsidP="0010523F">
            <w:pPr>
              <w:spacing w:line="220" w:lineRule="exact"/>
              <w:jc w:val="right"/>
              <w:rPr>
                <w:u w:val="double"/>
                <w:lang w:val="es-AR" w:eastAsia="en-US"/>
              </w:rPr>
            </w:pPr>
            <w:r w:rsidRPr="0010523F">
              <w:rPr>
                <w:u w:val="double"/>
                <w:lang w:val="es-AR" w:eastAsia="en-US"/>
              </w:rPr>
              <w:t xml:space="preserve">  39.153</w:t>
            </w:r>
          </w:p>
        </w:tc>
        <w:tc>
          <w:tcPr>
            <w:tcW w:w="1275" w:type="dxa"/>
          </w:tcPr>
          <w:p w14:paraId="5C0ED575" w14:textId="77777777" w:rsidR="0010523F" w:rsidRPr="0010523F" w:rsidRDefault="0010523F" w:rsidP="0010523F">
            <w:pPr>
              <w:spacing w:line="220" w:lineRule="exact"/>
              <w:jc w:val="right"/>
              <w:rPr>
                <w:u w:val="double"/>
                <w:lang w:val="es-AR" w:eastAsia="en-US"/>
              </w:rPr>
            </w:pPr>
            <w:r w:rsidRPr="0010523F">
              <w:rPr>
                <w:u w:val="double"/>
                <w:lang w:val="es-AR" w:eastAsia="en-US"/>
              </w:rPr>
              <w:t>28.820</w:t>
            </w:r>
          </w:p>
        </w:tc>
        <w:tc>
          <w:tcPr>
            <w:tcW w:w="1276" w:type="dxa"/>
          </w:tcPr>
          <w:p w14:paraId="401FD1F4" w14:textId="77777777" w:rsidR="0010523F" w:rsidRPr="0010523F" w:rsidRDefault="0010523F" w:rsidP="0010523F">
            <w:pPr>
              <w:spacing w:line="220" w:lineRule="exact"/>
              <w:jc w:val="right"/>
              <w:rPr>
                <w:u w:val="double"/>
                <w:lang w:val="es-AR" w:eastAsia="en-US"/>
              </w:rPr>
            </w:pPr>
            <w:r w:rsidRPr="0010523F">
              <w:rPr>
                <w:u w:val="double"/>
                <w:lang w:val="es-AR" w:eastAsia="en-US"/>
              </w:rPr>
              <w:t xml:space="preserve"> 100.024</w:t>
            </w:r>
          </w:p>
        </w:tc>
        <w:tc>
          <w:tcPr>
            <w:tcW w:w="1276" w:type="dxa"/>
          </w:tcPr>
          <w:p w14:paraId="1FC65F6D" w14:textId="77777777" w:rsidR="0010523F" w:rsidRPr="0010523F" w:rsidRDefault="0010523F" w:rsidP="0010523F">
            <w:pPr>
              <w:spacing w:line="220" w:lineRule="exact"/>
              <w:jc w:val="right"/>
              <w:rPr>
                <w:u w:val="double"/>
                <w:lang w:val="es-AR" w:eastAsia="en-US"/>
              </w:rPr>
            </w:pPr>
            <w:r w:rsidRPr="0010523F">
              <w:rPr>
                <w:u w:val="double"/>
                <w:lang w:val="es-AR" w:eastAsia="en-US"/>
              </w:rPr>
              <w:t>57.712</w:t>
            </w:r>
          </w:p>
        </w:tc>
      </w:tr>
    </w:tbl>
    <w:p w14:paraId="0C11E3DD" w14:textId="77777777" w:rsidR="0010523F" w:rsidRPr="0010523F" w:rsidRDefault="0010523F" w:rsidP="0010523F">
      <w:pPr>
        <w:rPr>
          <w:sz w:val="23"/>
          <w:szCs w:val="23"/>
          <w:lang w:val="es-AR" w:eastAsia="en-US"/>
        </w:rPr>
        <w:sectPr w:rsidR="0010523F" w:rsidRPr="0010523F" w:rsidSect="00D811CD">
          <w:pgSz w:w="11907" w:h="16840" w:code="9"/>
          <w:pgMar w:top="567" w:right="1134" w:bottom="425" w:left="1134" w:header="567" w:footer="454" w:gutter="0"/>
          <w:paperSrc w:first="7" w:other="7"/>
          <w:cols w:space="720"/>
          <w:titlePg/>
          <w:docGrid w:linePitch="326"/>
        </w:sectPr>
      </w:pPr>
    </w:p>
    <w:bookmarkEnd w:id="163"/>
    <w:bookmarkEnd w:id="164"/>
    <w:p w14:paraId="255F3E7F" w14:textId="77777777" w:rsidR="0010523F" w:rsidRPr="0010523F" w:rsidRDefault="0010523F" w:rsidP="0010523F">
      <w:pPr>
        <w:spacing w:line="160" w:lineRule="exact"/>
        <w:jc w:val="both"/>
        <w:rPr>
          <w:b/>
          <w:lang w:eastAsia="en-US"/>
        </w:rPr>
      </w:pPr>
    </w:p>
    <w:p w14:paraId="51ED643B" w14:textId="77777777" w:rsidR="0010523F" w:rsidRPr="0010523F" w:rsidRDefault="0010523F" w:rsidP="0010523F">
      <w:pPr>
        <w:jc w:val="both"/>
        <w:rPr>
          <w:b/>
          <w:lang w:val="es-AR" w:eastAsia="en-US"/>
        </w:rPr>
      </w:pPr>
      <w:r w:rsidRPr="0010523F">
        <w:rPr>
          <w:b/>
          <w:lang w:val="es-AR" w:eastAsia="en-US"/>
        </w:rPr>
        <w:t>NOTA 4 -</w:t>
      </w:r>
      <w:r w:rsidRPr="0010523F">
        <w:rPr>
          <w:b/>
          <w:lang w:val="es-AR" w:eastAsia="en-US"/>
        </w:rPr>
        <w:tab/>
        <w:t>COMPOSICIÓN DE CIERTOS RUBROS DEL ESTADO DEL RESULTADO INTERMEDIO CONDENSADO (cont.)</w:t>
      </w:r>
    </w:p>
    <w:p w14:paraId="1B2AF9F6" w14:textId="77777777" w:rsidR="0010523F" w:rsidRPr="0010523F" w:rsidRDefault="0010523F" w:rsidP="0010523F">
      <w:pPr>
        <w:spacing w:line="100" w:lineRule="exact"/>
        <w:jc w:val="both"/>
        <w:rPr>
          <w:sz w:val="22"/>
          <w:szCs w:val="22"/>
          <w:lang w:val="es-AR" w:eastAsia="en-US"/>
        </w:rPr>
      </w:pPr>
    </w:p>
    <w:p w14:paraId="5AC413A1" w14:textId="77777777" w:rsidR="0010523F" w:rsidRPr="0010523F" w:rsidRDefault="0010523F" w:rsidP="0010523F">
      <w:pPr>
        <w:keepNext/>
        <w:widowControl w:val="0"/>
        <w:tabs>
          <w:tab w:val="decimal" w:pos="4962"/>
          <w:tab w:val="decimal" w:pos="6379"/>
          <w:tab w:val="decimal" w:pos="7797"/>
          <w:tab w:val="decimal" w:pos="9214"/>
          <w:tab w:val="decimal" w:pos="10490"/>
          <w:tab w:val="decimal" w:pos="12049"/>
          <w:tab w:val="decimal" w:pos="13325"/>
          <w:tab w:val="decimal" w:pos="14601"/>
        </w:tabs>
        <w:spacing w:line="220" w:lineRule="exact"/>
        <w:ind w:right="12"/>
        <w:jc w:val="both"/>
        <w:outlineLvl w:val="3"/>
        <w:rPr>
          <w:szCs w:val="20"/>
          <w:lang w:val="es-AR" w:eastAsia="en-US"/>
        </w:rPr>
      </w:pPr>
      <w:r w:rsidRPr="0010523F">
        <w:rPr>
          <w:szCs w:val="20"/>
          <w:lang w:val="es-AR" w:eastAsia="en-US"/>
        </w:rPr>
        <w:t>c) Información requerida por el art. 64 inc. 1 b) de la Ley N° 19.550 por los períodos de tres y nueve meses finalizados el 30 de septiembre de 2019, presentados en forma comparativa con los mismos períodos del ejercicio anterior</w:t>
      </w:r>
    </w:p>
    <w:p w14:paraId="2F31E959" w14:textId="77777777" w:rsidR="0010523F" w:rsidRPr="0010523F" w:rsidRDefault="0010523F" w:rsidP="0010523F">
      <w:pPr>
        <w:tabs>
          <w:tab w:val="left" w:pos="567"/>
          <w:tab w:val="decimal" w:pos="7797"/>
          <w:tab w:val="decimal" w:pos="8931"/>
        </w:tabs>
        <w:spacing w:line="120" w:lineRule="exact"/>
        <w:ind w:left="238" w:hanging="238"/>
        <w:jc w:val="both"/>
        <w:rPr>
          <w:lang w:val="es-AR" w:eastAsia="en-US"/>
        </w:rPr>
      </w:pPr>
    </w:p>
    <w:tbl>
      <w:tblPr>
        <w:tblW w:w="14243" w:type="dxa"/>
        <w:tblInd w:w="-56" w:type="dxa"/>
        <w:tblLayout w:type="fixed"/>
        <w:tblLook w:val="0000" w:firstRow="0" w:lastRow="0" w:firstColumn="0" w:lastColumn="0" w:noHBand="0" w:noVBand="0"/>
      </w:tblPr>
      <w:tblGrid>
        <w:gridCol w:w="6260"/>
        <w:gridCol w:w="1328"/>
        <w:gridCol w:w="365"/>
        <w:gridCol w:w="1459"/>
        <w:gridCol w:w="1440"/>
        <w:gridCol w:w="1647"/>
        <w:gridCol w:w="937"/>
        <w:gridCol w:w="6"/>
        <w:gridCol w:w="795"/>
        <w:gridCol w:w="6"/>
      </w:tblGrid>
      <w:tr w:rsidR="0010523F" w:rsidRPr="0010523F" w14:paraId="4351C7F0" w14:textId="77777777" w:rsidTr="00774E7E">
        <w:trPr>
          <w:gridAfter w:val="1"/>
          <w:wAfter w:w="6" w:type="dxa"/>
        </w:trPr>
        <w:tc>
          <w:tcPr>
            <w:tcW w:w="6260" w:type="dxa"/>
            <w:tcBorders>
              <w:top w:val="nil"/>
              <w:left w:val="nil"/>
              <w:bottom w:val="nil"/>
              <w:right w:val="nil"/>
            </w:tcBorders>
            <w:noWrap/>
            <w:vAlign w:val="bottom"/>
          </w:tcPr>
          <w:p w14:paraId="28D1B75A" w14:textId="77777777" w:rsidR="0010523F" w:rsidRPr="0010523F" w:rsidRDefault="0010523F" w:rsidP="0010523F">
            <w:pPr>
              <w:tabs>
                <w:tab w:val="center" w:pos="2019"/>
                <w:tab w:val="right" w:pos="3153"/>
              </w:tabs>
              <w:spacing w:line="200" w:lineRule="exact"/>
              <w:rPr>
                <w:sz w:val="22"/>
                <w:szCs w:val="22"/>
                <w:u w:val="single"/>
                <w:lang w:val="es-AR" w:eastAsia="en-US"/>
              </w:rPr>
            </w:pPr>
            <w:bookmarkStart w:id="165" w:name="_Hlk15318126"/>
          </w:p>
        </w:tc>
        <w:tc>
          <w:tcPr>
            <w:tcW w:w="7977" w:type="dxa"/>
            <w:gridSpan w:val="8"/>
            <w:tcBorders>
              <w:top w:val="nil"/>
              <w:left w:val="nil"/>
              <w:bottom w:val="single" w:sz="4" w:space="0" w:color="auto"/>
              <w:right w:val="nil"/>
            </w:tcBorders>
          </w:tcPr>
          <w:p w14:paraId="1073BE22" w14:textId="77777777" w:rsidR="0010523F" w:rsidRPr="0010523F" w:rsidRDefault="0010523F" w:rsidP="0010523F">
            <w:pPr>
              <w:tabs>
                <w:tab w:val="left" w:pos="0"/>
                <w:tab w:val="center" w:pos="2313"/>
                <w:tab w:val="right" w:pos="8442"/>
              </w:tabs>
              <w:spacing w:line="200" w:lineRule="exact"/>
              <w:ind w:right="-16"/>
              <w:jc w:val="center"/>
              <w:rPr>
                <w:sz w:val="22"/>
                <w:szCs w:val="22"/>
                <w:lang w:val="es-AR" w:eastAsia="en-US"/>
              </w:rPr>
            </w:pPr>
            <w:r w:rsidRPr="0010523F">
              <w:rPr>
                <w:sz w:val="22"/>
                <w:szCs w:val="22"/>
                <w:lang w:val="es-AR" w:eastAsia="en-US"/>
              </w:rPr>
              <w:t>Por el período de tres meses finalizado el 30 de septiembre de</w:t>
            </w:r>
          </w:p>
        </w:tc>
      </w:tr>
      <w:tr w:rsidR="0010523F" w:rsidRPr="0010523F" w14:paraId="1B1DDC12" w14:textId="77777777" w:rsidTr="00774E7E">
        <w:trPr>
          <w:gridAfter w:val="1"/>
          <w:wAfter w:w="6" w:type="dxa"/>
          <w:trHeight w:val="140"/>
        </w:trPr>
        <w:tc>
          <w:tcPr>
            <w:tcW w:w="6260" w:type="dxa"/>
            <w:tcBorders>
              <w:top w:val="nil"/>
              <w:left w:val="nil"/>
              <w:bottom w:val="nil"/>
              <w:right w:val="nil"/>
            </w:tcBorders>
            <w:noWrap/>
            <w:vAlign w:val="bottom"/>
          </w:tcPr>
          <w:p w14:paraId="337014C2" w14:textId="77777777" w:rsidR="0010523F" w:rsidRPr="0010523F" w:rsidRDefault="0010523F" w:rsidP="0010523F">
            <w:pPr>
              <w:tabs>
                <w:tab w:val="center" w:pos="2019"/>
                <w:tab w:val="right" w:pos="3153"/>
              </w:tabs>
              <w:spacing w:line="200" w:lineRule="exact"/>
              <w:rPr>
                <w:sz w:val="22"/>
                <w:szCs w:val="22"/>
                <w:u w:val="single"/>
                <w:lang w:val="es-AR" w:eastAsia="en-US"/>
              </w:rPr>
            </w:pPr>
          </w:p>
        </w:tc>
        <w:tc>
          <w:tcPr>
            <w:tcW w:w="7176" w:type="dxa"/>
            <w:gridSpan w:val="6"/>
            <w:tcBorders>
              <w:top w:val="single" w:sz="4" w:space="0" w:color="auto"/>
              <w:left w:val="nil"/>
              <w:bottom w:val="single" w:sz="4" w:space="0" w:color="auto"/>
              <w:right w:val="nil"/>
            </w:tcBorders>
          </w:tcPr>
          <w:p w14:paraId="6DD936C2" w14:textId="77777777" w:rsidR="0010523F" w:rsidRPr="0010523F" w:rsidRDefault="0010523F" w:rsidP="0010523F">
            <w:pPr>
              <w:tabs>
                <w:tab w:val="left" w:pos="0"/>
                <w:tab w:val="center" w:pos="2277"/>
                <w:tab w:val="right" w:pos="7092"/>
              </w:tabs>
              <w:spacing w:line="200" w:lineRule="exact"/>
              <w:ind w:left="-66" w:right="-16"/>
              <w:jc w:val="center"/>
              <w:rPr>
                <w:sz w:val="22"/>
                <w:szCs w:val="22"/>
                <w:lang w:val="es-AR" w:eastAsia="en-US"/>
              </w:rPr>
            </w:pPr>
            <w:r w:rsidRPr="0010523F">
              <w:rPr>
                <w:sz w:val="22"/>
                <w:szCs w:val="22"/>
                <w:lang w:val="es-AR" w:eastAsia="en-US"/>
              </w:rPr>
              <w:t>2019</w:t>
            </w:r>
          </w:p>
        </w:tc>
        <w:tc>
          <w:tcPr>
            <w:tcW w:w="801" w:type="dxa"/>
            <w:gridSpan w:val="2"/>
            <w:tcBorders>
              <w:top w:val="single" w:sz="4" w:space="0" w:color="auto"/>
              <w:left w:val="nil"/>
              <w:bottom w:val="nil"/>
              <w:right w:val="nil"/>
            </w:tcBorders>
            <w:vAlign w:val="bottom"/>
          </w:tcPr>
          <w:p w14:paraId="411699FA" w14:textId="77777777" w:rsidR="0010523F" w:rsidRPr="0010523F" w:rsidRDefault="0010523F" w:rsidP="0010523F">
            <w:pPr>
              <w:spacing w:line="200" w:lineRule="exact"/>
              <w:ind w:right="-16"/>
              <w:jc w:val="center"/>
              <w:rPr>
                <w:sz w:val="22"/>
                <w:szCs w:val="22"/>
                <w:u w:val="single"/>
                <w:lang w:val="es-AR" w:eastAsia="en-US"/>
              </w:rPr>
            </w:pPr>
            <w:r w:rsidRPr="0010523F">
              <w:rPr>
                <w:sz w:val="22"/>
                <w:szCs w:val="22"/>
                <w:u w:val="single"/>
                <w:lang w:val="es-AR" w:eastAsia="en-US"/>
              </w:rPr>
              <w:t>2018</w:t>
            </w:r>
          </w:p>
        </w:tc>
      </w:tr>
      <w:tr w:rsidR="0010523F" w:rsidRPr="0010523F" w14:paraId="7C309357" w14:textId="77777777" w:rsidTr="00774E7E">
        <w:tc>
          <w:tcPr>
            <w:tcW w:w="6260" w:type="dxa"/>
            <w:tcBorders>
              <w:top w:val="nil"/>
              <w:left w:val="nil"/>
              <w:bottom w:val="nil"/>
              <w:right w:val="nil"/>
            </w:tcBorders>
            <w:noWrap/>
            <w:vAlign w:val="bottom"/>
          </w:tcPr>
          <w:p w14:paraId="6390669E" w14:textId="77777777" w:rsidR="0010523F" w:rsidRPr="0010523F" w:rsidRDefault="0010523F" w:rsidP="0010523F">
            <w:pPr>
              <w:tabs>
                <w:tab w:val="center" w:pos="2466"/>
                <w:tab w:val="right" w:pos="5018"/>
              </w:tabs>
              <w:spacing w:line="200" w:lineRule="exact"/>
              <w:rPr>
                <w:sz w:val="22"/>
                <w:szCs w:val="22"/>
                <w:u w:val="single"/>
                <w:lang w:val="es-AR" w:eastAsia="en-US"/>
              </w:rPr>
            </w:pPr>
            <w:r w:rsidRPr="0010523F">
              <w:rPr>
                <w:sz w:val="22"/>
                <w:szCs w:val="22"/>
                <w:u w:val="single"/>
                <w:lang w:val="es-AR" w:eastAsia="en-US"/>
              </w:rPr>
              <w:tab/>
              <w:t>Rubros</w:t>
            </w:r>
            <w:r w:rsidRPr="0010523F">
              <w:rPr>
                <w:sz w:val="22"/>
                <w:szCs w:val="22"/>
                <w:u w:val="single"/>
                <w:lang w:val="es-AR" w:eastAsia="en-US"/>
              </w:rPr>
              <w:tab/>
              <w:t xml:space="preserve"> </w:t>
            </w:r>
          </w:p>
        </w:tc>
        <w:tc>
          <w:tcPr>
            <w:tcW w:w="1328" w:type="dxa"/>
            <w:tcBorders>
              <w:top w:val="nil"/>
              <w:left w:val="nil"/>
              <w:bottom w:val="nil"/>
              <w:right w:val="nil"/>
            </w:tcBorders>
            <w:vAlign w:val="bottom"/>
          </w:tcPr>
          <w:p w14:paraId="35BDB190" w14:textId="77777777" w:rsidR="0010523F" w:rsidRPr="0010523F" w:rsidRDefault="0010523F" w:rsidP="0010523F">
            <w:pPr>
              <w:spacing w:line="200" w:lineRule="exact"/>
              <w:jc w:val="center"/>
              <w:rPr>
                <w:sz w:val="22"/>
                <w:szCs w:val="22"/>
                <w:lang w:val="es-AR" w:eastAsia="en-US"/>
              </w:rPr>
            </w:pPr>
            <w:r w:rsidRPr="0010523F">
              <w:rPr>
                <w:sz w:val="22"/>
                <w:szCs w:val="22"/>
                <w:lang w:val="es-AR" w:eastAsia="en-US"/>
              </w:rPr>
              <w:t xml:space="preserve">Costos de </w:t>
            </w:r>
            <w:r w:rsidRPr="0010523F">
              <w:rPr>
                <w:sz w:val="22"/>
                <w:szCs w:val="22"/>
                <w:u w:val="single"/>
                <w:lang w:val="es-AR" w:eastAsia="en-US"/>
              </w:rPr>
              <w:t>producción</w:t>
            </w:r>
          </w:p>
        </w:tc>
        <w:tc>
          <w:tcPr>
            <w:tcW w:w="365" w:type="dxa"/>
            <w:tcBorders>
              <w:top w:val="nil"/>
              <w:left w:val="nil"/>
              <w:bottom w:val="nil"/>
              <w:right w:val="nil"/>
            </w:tcBorders>
          </w:tcPr>
          <w:p w14:paraId="4951A5F2" w14:textId="77777777" w:rsidR="0010523F" w:rsidRPr="0010523F" w:rsidRDefault="0010523F" w:rsidP="0010523F">
            <w:pPr>
              <w:spacing w:line="200" w:lineRule="exact"/>
              <w:ind w:left="-118" w:right="-82"/>
              <w:jc w:val="center"/>
              <w:rPr>
                <w:sz w:val="22"/>
                <w:szCs w:val="22"/>
                <w:lang w:val="es-AR" w:eastAsia="en-US"/>
              </w:rPr>
            </w:pPr>
          </w:p>
        </w:tc>
        <w:tc>
          <w:tcPr>
            <w:tcW w:w="1459" w:type="dxa"/>
            <w:tcBorders>
              <w:top w:val="nil"/>
              <w:left w:val="nil"/>
              <w:bottom w:val="nil"/>
              <w:right w:val="nil"/>
            </w:tcBorders>
            <w:vAlign w:val="bottom"/>
          </w:tcPr>
          <w:p w14:paraId="5C581D70" w14:textId="77777777" w:rsidR="0010523F" w:rsidRPr="0010523F" w:rsidRDefault="0010523F" w:rsidP="0010523F">
            <w:pPr>
              <w:spacing w:line="200" w:lineRule="exact"/>
              <w:ind w:left="-118" w:right="-82"/>
              <w:jc w:val="center"/>
              <w:rPr>
                <w:sz w:val="22"/>
                <w:szCs w:val="22"/>
                <w:lang w:val="es-AR" w:eastAsia="en-US"/>
              </w:rPr>
            </w:pPr>
            <w:r w:rsidRPr="0010523F">
              <w:rPr>
                <w:sz w:val="22"/>
                <w:szCs w:val="22"/>
                <w:lang w:val="es-AR" w:eastAsia="en-US"/>
              </w:rPr>
              <w:t xml:space="preserve">Gastos de </w:t>
            </w:r>
            <w:r w:rsidRPr="0010523F">
              <w:rPr>
                <w:sz w:val="22"/>
                <w:szCs w:val="22"/>
                <w:u w:val="single"/>
                <w:lang w:val="es-AR" w:eastAsia="en-US"/>
              </w:rPr>
              <w:t xml:space="preserve">exploración </w:t>
            </w:r>
            <w:r w:rsidRPr="0010523F">
              <w:rPr>
                <w:sz w:val="22"/>
                <w:szCs w:val="22"/>
                <w:lang w:val="es-AR" w:eastAsia="en-US"/>
              </w:rPr>
              <w:t>(3)</w:t>
            </w:r>
          </w:p>
        </w:tc>
        <w:tc>
          <w:tcPr>
            <w:tcW w:w="1440" w:type="dxa"/>
            <w:tcBorders>
              <w:top w:val="nil"/>
              <w:left w:val="nil"/>
              <w:bottom w:val="nil"/>
              <w:right w:val="nil"/>
            </w:tcBorders>
            <w:vAlign w:val="bottom"/>
          </w:tcPr>
          <w:p w14:paraId="3B6E3A70" w14:textId="77777777" w:rsidR="0010523F" w:rsidRPr="0010523F" w:rsidRDefault="0010523F" w:rsidP="0010523F">
            <w:pPr>
              <w:spacing w:line="200" w:lineRule="exact"/>
              <w:ind w:left="-118" w:right="-82"/>
              <w:jc w:val="center"/>
              <w:rPr>
                <w:sz w:val="22"/>
                <w:szCs w:val="22"/>
                <w:lang w:val="es-AR" w:eastAsia="en-US"/>
              </w:rPr>
            </w:pPr>
            <w:r w:rsidRPr="0010523F">
              <w:rPr>
                <w:sz w:val="22"/>
                <w:szCs w:val="22"/>
                <w:lang w:val="es-AR" w:eastAsia="en-US"/>
              </w:rPr>
              <w:t xml:space="preserve">Gastos de </w:t>
            </w:r>
            <w:r w:rsidRPr="0010523F">
              <w:rPr>
                <w:sz w:val="22"/>
                <w:szCs w:val="22"/>
                <w:u w:val="single"/>
                <w:lang w:val="es-AR" w:eastAsia="en-US"/>
              </w:rPr>
              <w:t>administración</w:t>
            </w:r>
          </w:p>
        </w:tc>
        <w:tc>
          <w:tcPr>
            <w:tcW w:w="1647" w:type="dxa"/>
            <w:tcBorders>
              <w:top w:val="nil"/>
              <w:left w:val="nil"/>
              <w:bottom w:val="nil"/>
              <w:right w:val="nil"/>
            </w:tcBorders>
            <w:vAlign w:val="bottom"/>
          </w:tcPr>
          <w:p w14:paraId="0EC4B1FB" w14:textId="77777777" w:rsidR="0010523F" w:rsidRPr="0010523F" w:rsidRDefault="0010523F" w:rsidP="0010523F">
            <w:pPr>
              <w:spacing w:line="200" w:lineRule="exact"/>
              <w:ind w:left="-118" w:right="-82"/>
              <w:jc w:val="center"/>
              <w:rPr>
                <w:sz w:val="22"/>
                <w:szCs w:val="22"/>
                <w:highlight w:val="cyan"/>
                <w:lang w:val="es-AR" w:eastAsia="en-US"/>
              </w:rPr>
            </w:pPr>
            <w:r w:rsidRPr="0010523F">
              <w:rPr>
                <w:sz w:val="22"/>
                <w:szCs w:val="22"/>
                <w:lang w:val="es-AR" w:eastAsia="en-US"/>
              </w:rPr>
              <w:t xml:space="preserve">Gastos de </w:t>
            </w:r>
            <w:r w:rsidRPr="0010523F">
              <w:rPr>
                <w:sz w:val="22"/>
                <w:szCs w:val="22"/>
                <w:u w:val="single"/>
                <w:lang w:val="es-AR" w:eastAsia="en-US"/>
              </w:rPr>
              <w:t>comercialización</w:t>
            </w:r>
          </w:p>
        </w:tc>
        <w:tc>
          <w:tcPr>
            <w:tcW w:w="943" w:type="dxa"/>
            <w:gridSpan w:val="2"/>
            <w:tcBorders>
              <w:top w:val="nil"/>
              <w:left w:val="nil"/>
              <w:bottom w:val="nil"/>
              <w:right w:val="nil"/>
            </w:tcBorders>
            <w:vAlign w:val="bottom"/>
          </w:tcPr>
          <w:p w14:paraId="2AECB51D" w14:textId="77777777" w:rsidR="0010523F" w:rsidRPr="0010523F" w:rsidRDefault="0010523F" w:rsidP="0010523F">
            <w:pPr>
              <w:spacing w:line="200" w:lineRule="exact"/>
              <w:ind w:right="-16"/>
              <w:jc w:val="center"/>
              <w:rPr>
                <w:sz w:val="22"/>
                <w:szCs w:val="22"/>
                <w:u w:val="single"/>
                <w:lang w:val="es-AR" w:eastAsia="en-US"/>
              </w:rPr>
            </w:pPr>
            <w:r w:rsidRPr="0010523F">
              <w:rPr>
                <w:sz w:val="22"/>
                <w:szCs w:val="22"/>
                <w:u w:val="single"/>
                <w:lang w:val="es-AR" w:eastAsia="en-US"/>
              </w:rPr>
              <w:t>Total</w:t>
            </w:r>
          </w:p>
        </w:tc>
        <w:tc>
          <w:tcPr>
            <w:tcW w:w="801" w:type="dxa"/>
            <w:gridSpan w:val="2"/>
            <w:tcBorders>
              <w:top w:val="nil"/>
              <w:left w:val="nil"/>
              <w:bottom w:val="nil"/>
              <w:right w:val="nil"/>
            </w:tcBorders>
            <w:vAlign w:val="bottom"/>
          </w:tcPr>
          <w:p w14:paraId="55ECE596" w14:textId="77777777" w:rsidR="0010523F" w:rsidRPr="0010523F" w:rsidRDefault="0010523F" w:rsidP="0010523F">
            <w:pPr>
              <w:spacing w:line="200" w:lineRule="exact"/>
              <w:ind w:right="-16"/>
              <w:jc w:val="center"/>
              <w:rPr>
                <w:sz w:val="22"/>
                <w:szCs w:val="22"/>
                <w:u w:val="single"/>
                <w:lang w:val="es-AR" w:eastAsia="en-US"/>
              </w:rPr>
            </w:pPr>
            <w:r w:rsidRPr="0010523F">
              <w:rPr>
                <w:sz w:val="22"/>
                <w:szCs w:val="22"/>
                <w:u w:val="single"/>
                <w:lang w:val="es-AR" w:eastAsia="en-US"/>
              </w:rPr>
              <w:t>Total</w:t>
            </w:r>
          </w:p>
        </w:tc>
      </w:tr>
      <w:tr w:rsidR="0010523F" w:rsidRPr="0010523F" w14:paraId="41CCED58" w14:textId="77777777" w:rsidTr="00774E7E">
        <w:trPr>
          <w:trHeight w:val="80"/>
        </w:trPr>
        <w:tc>
          <w:tcPr>
            <w:tcW w:w="6260" w:type="dxa"/>
            <w:tcBorders>
              <w:top w:val="nil"/>
              <w:left w:val="nil"/>
              <w:bottom w:val="nil"/>
              <w:right w:val="nil"/>
            </w:tcBorders>
            <w:noWrap/>
            <w:vAlign w:val="bottom"/>
          </w:tcPr>
          <w:p w14:paraId="6E91675D" w14:textId="77777777" w:rsidR="0010523F" w:rsidRPr="0010523F" w:rsidRDefault="0010523F" w:rsidP="0010523F">
            <w:pPr>
              <w:tabs>
                <w:tab w:val="center" w:pos="2019"/>
                <w:tab w:val="right" w:pos="3720"/>
              </w:tabs>
              <w:spacing w:line="100" w:lineRule="exact"/>
              <w:rPr>
                <w:sz w:val="22"/>
                <w:szCs w:val="22"/>
                <w:u w:val="single"/>
                <w:lang w:val="es-AR" w:eastAsia="en-US"/>
              </w:rPr>
            </w:pPr>
          </w:p>
        </w:tc>
        <w:tc>
          <w:tcPr>
            <w:tcW w:w="1328" w:type="dxa"/>
            <w:tcBorders>
              <w:top w:val="nil"/>
              <w:left w:val="nil"/>
              <w:bottom w:val="nil"/>
              <w:right w:val="nil"/>
            </w:tcBorders>
          </w:tcPr>
          <w:p w14:paraId="5B37573D" w14:textId="77777777" w:rsidR="0010523F" w:rsidRPr="0010523F" w:rsidRDefault="0010523F" w:rsidP="0010523F">
            <w:pPr>
              <w:spacing w:line="100" w:lineRule="exact"/>
              <w:jc w:val="center"/>
              <w:rPr>
                <w:sz w:val="22"/>
                <w:szCs w:val="22"/>
                <w:lang w:val="es-AR" w:eastAsia="en-US"/>
              </w:rPr>
            </w:pPr>
          </w:p>
        </w:tc>
        <w:tc>
          <w:tcPr>
            <w:tcW w:w="365" w:type="dxa"/>
            <w:tcBorders>
              <w:top w:val="nil"/>
              <w:left w:val="nil"/>
              <w:bottom w:val="nil"/>
              <w:right w:val="nil"/>
            </w:tcBorders>
          </w:tcPr>
          <w:p w14:paraId="751AB41F" w14:textId="77777777" w:rsidR="0010523F" w:rsidRPr="0010523F" w:rsidRDefault="0010523F" w:rsidP="0010523F">
            <w:pPr>
              <w:spacing w:line="100" w:lineRule="exact"/>
              <w:jc w:val="center"/>
              <w:rPr>
                <w:sz w:val="22"/>
                <w:szCs w:val="22"/>
                <w:lang w:val="es-AR" w:eastAsia="en-US"/>
              </w:rPr>
            </w:pPr>
          </w:p>
        </w:tc>
        <w:tc>
          <w:tcPr>
            <w:tcW w:w="1459" w:type="dxa"/>
            <w:tcBorders>
              <w:top w:val="nil"/>
              <w:left w:val="nil"/>
              <w:bottom w:val="nil"/>
              <w:right w:val="nil"/>
            </w:tcBorders>
          </w:tcPr>
          <w:p w14:paraId="1C7CF7DC" w14:textId="77777777" w:rsidR="0010523F" w:rsidRPr="0010523F" w:rsidRDefault="0010523F" w:rsidP="0010523F">
            <w:pPr>
              <w:spacing w:line="100" w:lineRule="exact"/>
              <w:jc w:val="center"/>
              <w:rPr>
                <w:sz w:val="22"/>
                <w:szCs w:val="22"/>
                <w:lang w:val="es-AR" w:eastAsia="en-US"/>
              </w:rPr>
            </w:pPr>
          </w:p>
        </w:tc>
        <w:tc>
          <w:tcPr>
            <w:tcW w:w="1440" w:type="dxa"/>
            <w:tcBorders>
              <w:top w:val="nil"/>
              <w:left w:val="nil"/>
              <w:bottom w:val="nil"/>
              <w:right w:val="nil"/>
            </w:tcBorders>
          </w:tcPr>
          <w:p w14:paraId="013D6A4C" w14:textId="77777777" w:rsidR="0010523F" w:rsidRPr="0010523F" w:rsidRDefault="0010523F" w:rsidP="0010523F">
            <w:pPr>
              <w:spacing w:line="100" w:lineRule="exact"/>
              <w:jc w:val="center"/>
              <w:rPr>
                <w:sz w:val="22"/>
                <w:szCs w:val="22"/>
                <w:lang w:val="es-AR" w:eastAsia="en-US"/>
              </w:rPr>
            </w:pPr>
          </w:p>
        </w:tc>
        <w:tc>
          <w:tcPr>
            <w:tcW w:w="1647" w:type="dxa"/>
            <w:tcBorders>
              <w:top w:val="nil"/>
              <w:left w:val="nil"/>
              <w:bottom w:val="nil"/>
              <w:right w:val="nil"/>
            </w:tcBorders>
          </w:tcPr>
          <w:p w14:paraId="2C23A201" w14:textId="77777777" w:rsidR="0010523F" w:rsidRPr="0010523F" w:rsidRDefault="0010523F" w:rsidP="0010523F">
            <w:pPr>
              <w:spacing w:line="100" w:lineRule="exact"/>
              <w:jc w:val="center"/>
              <w:rPr>
                <w:sz w:val="22"/>
                <w:szCs w:val="22"/>
                <w:highlight w:val="cyan"/>
                <w:lang w:val="es-AR" w:eastAsia="en-US"/>
              </w:rPr>
            </w:pPr>
          </w:p>
        </w:tc>
        <w:tc>
          <w:tcPr>
            <w:tcW w:w="943" w:type="dxa"/>
            <w:gridSpan w:val="2"/>
            <w:tcBorders>
              <w:top w:val="nil"/>
              <w:left w:val="nil"/>
              <w:bottom w:val="nil"/>
              <w:right w:val="nil"/>
            </w:tcBorders>
          </w:tcPr>
          <w:p w14:paraId="6E0AC346" w14:textId="77777777" w:rsidR="0010523F" w:rsidRPr="0010523F" w:rsidRDefault="0010523F" w:rsidP="0010523F">
            <w:pPr>
              <w:spacing w:line="100" w:lineRule="exact"/>
              <w:jc w:val="center"/>
              <w:rPr>
                <w:sz w:val="22"/>
                <w:szCs w:val="22"/>
                <w:lang w:val="es-AR" w:eastAsia="en-US"/>
              </w:rPr>
            </w:pPr>
          </w:p>
        </w:tc>
        <w:tc>
          <w:tcPr>
            <w:tcW w:w="801" w:type="dxa"/>
            <w:gridSpan w:val="2"/>
            <w:tcBorders>
              <w:top w:val="nil"/>
              <w:left w:val="nil"/>
              <w:bottom w:val="nil"/>
              <w:right w:val="nil"/>
            </w:tcBorders>
          </w:tcPr>
          <w:p w14:paraId="2DF241A4" w14:textId="77777777" w:rsidR="0010523F" w:rsidRPr="0010523F" w:rsidRDefault="0010523F" w:rsidP="0010523F">
            <w:pPr>
              <w:spacing w:line="100" w:lineRule="exact"/>
              <w:jc w:val="center"/>
              <w:rPr>
                <w:sz w:val="22"/>
                <w:szCs w:val="22"/>
                <w:lang w:val="es-AR" w:eastAsia="en-US"/>
              </w:rPr>
            </w:pPr>
          </w:p>
        </w:tc>
      </w:tr>
      <w:tr w:rsidR="0010523F" w:rsidRPr="0010523F" w14:paraId="4537CA9E" w14:textId="77777777" w:rsidTr="00774E7E">
        <w:trPr>
          <w:trHeight w:val="227"/>
        </w:trPr>
        <w:tc>
          <w:tcPr>
            <w:tcW w:w="6260" w:type="dxa"/>
            <w:tcBorders>
              <w:top w:val="nil"/>
              <w:left w:val="nil"/>
              <w:bottom w:val="nil"/>
              <w:right w:val="nil"/>
            </w:tcBorders>
            <w:noWrap/>
            <w:vAlign w:val="bottom"/>
          </w:tcPr>
          <w:p w14:paraId="6DBA2EB8" w14:textId="77777777" w:rsidR="0010523F" w:rsidRPr="0010523F" w:rsidRDefault="0010523F" w:rsidP="0010523F">
            <w:pPr>
              <w:spacing w:line="200" w:lineRule="exact"/>
              <w:rPr>
                <w:sz w:val="22"/>
                <w:szCs w:val="22"/>
                <w:lang w:val="es-AR" w:eastAsia="en-US"/>
              </w:rPr>
            </w:pPr>
            <w:r w:rsidRPr="0010523F">
              <w:rPr>
                <w:sz w:val="22"/>
                <w:szCs w:val="22"/>
                <w:lang w:val="es-AR" w:eastAsia="en-US"/>
              </w:rPr>
              <w:t>Honorarios y retribuciones por servicios</w:t>
            </w:r>
          </w:p>
        </w:tc>
        <w:tc>
          <w:tcPr>
            <w:tcW w:w="1328" w:type="dxa"/>
            <w:tcBorders>
              <w:top w:val="nil"/>
              <w:left w:val="nil"/>
              <w:bottom w:val="nil"/>
              <w:right w:val="nil"/>
            </w:tcBorders>
            <w:vAlign w:val="bottom"/>
          </w:tcPr>
          <w:p w14:paraId="1A9F3C5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120</w:t>
            </w:r>
          </w:p>
        </w:tc>
        <w:tc>
          <w:tcPr>
            <w:tcW w:w="365" w:type="dxa"/>
            <w:tcBorders>
              <w:top w:val="nil"/>
              <w:left w:val="nil"/>
              <w:bottom w:val="nil"/>
              <w:right w:val="nil"/>
            </w:tcBorders>
          </w:tcPr>
          <w:p w14:paraId="69D97917"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570751C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4ED8304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382</w:t>
            </w:r>
          </w:p>
        </w:tc>
        <w:tc>
          <w:tcPr>
            <w:tcW w:w="1647" w:type="dxa"/>
            <w:tcBorders>
              <w:top w:val="nil"/>
              <w:left w:val="nil"/>
              <w:bottom w:val="nil"/>
              <w:right w:val="nil"/>
            </w:tcBorders>
            <w:vAlign w:val="bottom"/>
          </w:tcPr>
          <w:p w14:paraId="56C010F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13</w:t>
            </w:r>
          </w:p>
        </w:tc>
        <w:tc>
          <w:tcPr>
            <w:tcW w:w="943" w:type="dxa"/>
            <w:gridSpan w:val="2"/>
            <w:tcBorders>
              <w:top w:val="nil"/>
              <w:left w:val="nil"/>
              <w:bottom w:val="nil"/>
              <w:right w:val="nil"/>
            </w:tcBorders>
            <w:vAlign w:val="bottom"/>
          </w:tcPr>
          <w:p w14:paraId="2157CE6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515</w:t>
            </w:r>
          </w:p>
        </w:tc>
        <w:tc>
          <w:tcPr>
            <w:tcW w:w="801" w:type="dxa"/>
            <w:gridSpan w:val="2"/>
            <w:tcBorders>
              <w:top w:val="nil"/>
              <w:left w:val="nil"/>
              <w:bottom w:val="nil"/>
              <w:right w:val="nil"/>
            </w:tcBorders>
          </w:tcPr>
          <w:p w14:paraId="40959311"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320</w:t>
            </w:r>
          </w:p>
        </w:tc>
      </w:tr>
      <w:tr w:rsidR="0010523F" w:rsidRPr="0010523F" w14:paraId="16CA406B" w14:textId="77777777" w:rsidTr="00774E7E">
        <w:trPr>
          <w:trHeight w:val="227"/>
        </w:trPr>
        <w:tc>
          <w:tcPr>
            <w:tcW w:w="6260" w:type="dxa"/>
            <w:tcBorders>
              <w:top w:val="nil"/>
              <w:left w:val="nil"/>
              <w:bottom w:val="nil"/>
              <w:right w:val="nil"/>
            </w:tcBorders>
            <w:noWrap/>
            <w:vAlign w:val="bottom"/>
          </w:tcPr>
          <w:p w14:paraId="0864E844" w14:textId="77777777" w:rsidR="0010523F" w:rsidRPr="0010523F" w:rsidRDefault="0010523F" w:rsidP="0010523F">
            <w:pPr>
              <w:spacing w:line="200" w:lineRule="exact"/>
              <w:rPr>
                <w:sz w:val="22"/>
                <w:szCs w:val="22"/>
                <w:lang w:val="es-AR" w:eastAsia="en-US"/>
              </w:rPr>
            </w:pPr>
            <w:r w:rsidRPr="0010523F">
              <w:rPr>
                <w:sz w:val="22"/>
                <w:szCs w:val="22"/>
                <w:lang w:val="es-AR" w:eastAsia="en-US"/>
              </w:rPr>
              <w:t>Remuneraciones y beneficios sociales al personal</w:t>
            </w:r>
          </w:p>
        </w:tc>
        <w:tc>
          <w:tcPr>
            <w:tcW w:w="1328" w:type="dxa"/>
            <w:tcBorders>
              <w:top w:val="nil"/>
              <w:left w:val="nil"/>
              <w:bottom w:val="nil"/>
              <w:right w:val="nil"/>
            </w:tcBorders>
            <w:vAlign w:val="bottom"/>
          </w:tcPr>
          <w:p w14:paraId="222F3C8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1.782</w:t>
            </w:r>
          </w:p>
        </w:tc>
        <w:tc>
          <w:tcPr>
            <w:tcW w:w="365" w:type="dxa"/>
            <w:tcBorders>
              <w:top w:val="nil"/>
              <w:left w:val="nil"/>
              <w:bottom w:val="nil"/>
              <w:right w:val="nil"/>
            </w:tcBorders>
          </w:tcPr>
          <w:p w14:paraId="09315632"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44C45F2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3C8354B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1.353</w:t>
            </w:r>
          </w:p>
        </w:tc>
        <w:tc>
          <w:tcPr>
            <w:tcW w:w="1647" w:type="dxa"/>
            <w:tcBorders>
              <w:top w:val="nil"/>
              <w:left w:val="nil"/>
              <w:bottom w:val="nil"/>
              <w:right w:val="nil"/>
            </w:tcBorders>
            <w:vAlign w:val="bottom"/>
          </w:tcPr>
          <w:p w14:paraId="155548B2"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567</w:t>
            </w:r>
          </w:p>
        </w:tc>
        <w:tc>
          <w:tcPr>
            <w:tcW w:w="943" w:type="dxa"/>
            <w:gridSpan w:val="2"/>
            <w:tcBorders>
              <w:top w:val="nil"/>
              <w:left w:val="nil"/>
              <w:bottom w:val="nil"/>
              <w:right w:val="nil"/>
            </w:tcBorders>
            <w:vAlign w:val="bottom"/>
          </w:tcPr>
          <w:p w14:paraId="03D29D33"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3.702</w:t>
            </w:r>
          </w:p>
        </w:tc>
        <w:tc>
          <w:tcPr>
            <w:tcW w:w="801" w:type="dxa"/>
            <w:gridSpan w:val="2"/>
            <w:tcBorders>
              <w:top w:val="nil"/>
              <w:left w:val="nil"/>
              <w:bottom w:val="nil"/>
              <w:right w:val="nil"/>
            </w:tcBorders>
            <w:vAlign w:val="bottom"/>
          </w:tcPr>
          <w:p w14:paraId="41E55A69"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2.134</w:t>
            </w:r>
          </w:p>
        </w:tc>
      </w:tr>
      <w:tr w:rsidR="0010523F" w:rsidRPr="0010523F" w14:paraId="74BD6EB4" w14:textId="77777777" w:rsidTr="00774E7E">
        <w:trPr>
          <w:trHeight w:val="227"/>
        </w:trPr>
        <w:tc>
          <w:tcPr>
            <w:tcW w:w="6260" w:type="dxa"/>
            <w:tcBorders>
              <w:top w:val="nil"/>
              <w:left w:val="nil"/>
              <w:bottom w:val="nil"/>
              <w:right w:val="nil"/>
            </w:tcBorders>
            <w:noWrap/>
            <w:vAlign w:val="bottom"/>
          </w:tcPr>
          <w:p w14:paraId="68160D47" w14:textId="77777777" w:rsidR="0010523F" w:rsidRPr="0010523F" w:rsidRDefault="0010523F" w:rsidP="0010523F">
            <w:pPr>
              <w:spacing w:line="200" w:lineRule="exact"/>
              <w:rPr>
                <w:sz w:val="22"/>
                <w:szCs w:val="22"/>
                <w:lang w:val="es-AR" w:eastAsia="en-US"/>
              </w:rPr>
            </w:pPr>
            <w:r w:rsidRPr="0010523F">
              <w:rPr>
                <w:sz w:val="22"/>
                <w:szCs w:val="22"/>
                <w:lang w:val="es-AR" w:eastAsia="en-US"/>
              </w:rPr>
              <w:t>Contribuciones sociales</w:t>
            </w:r>
          </w:p>
        </w:tc>
        <w:tc>
          <w:tcPr>
            <w:tcW w:w="1328" w:type="dxa"/>
            <w:tcBorders>
              <w:top w:val="nil"/>
              <w:left w:val="nil"/>
              <w:bottom w:val="nil"/>
              <w:right w:val="nil"/>
            </w:tcBorders>
            <w:vAlign w:val="bottom"/>
          </w:tcPr>
          <w:p w14:paraId="310856C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365</w:t>
            </w:r>
          </w:p>
        </w:tc>
        <w:tc>
          <w:tcPr>
            <w:tcW w:w="365" w:type="dxa"/>
            <w:tcBorders>
              <w:top w:val="nil"/>
              <w:left w:val="nil"/>
              <w:bottom w:val="nil"/>
              <w:right w:val="nil"/>
            </w:tcBorders>
          </w:tcPr>
          <w:p w14:paraId="27F5DF0B"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1E7A7F2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5C6D43C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309</w:t>
            </w:r>
          </w:p>
        </w:tc>
        <w:tc>
          <w:tcPr>
            <w:tcW w:w="1647" w:type="dxa"/>
            <w:tcBorders>
              <w:top w:val="nil"/>
              <w:left w:val="nil"/>
              <w:bottom w:val="nil"/>
              <w:right w:val="nil"/>
            </w:tcBorders>
            <w:vAlign w:val="bottom"/>
          </w:tcPr>
          <w:p w14:paraId="66CD004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124</w:t>
            </w:r>
          </w:p>
        </w:tc>
        <w:tc>
          <w:tcPr>
            <w:tcW w:w="943" w:type="dxa"/>
            <w:gridSpan w:val="2"/>
            <w:tcBorders>
              <w:top w:val="nil"/>
              <w:left w:val="nil"/>
              <w:bottom w:val="nil"/>
              <w:right w:val="nil"/>
            </w:tcBorders>
            <w:vAlign w:val="bottom"/>
          </w:tcPr>
          <w:p w14:paraId="618F9FD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798</w:t>
            </w:r>
          </w:p>
        </w:tc>
        <w:tc>
          <w:tcPr>
            <w:tcW w:w="801" w:type="dxa"/>
            <w:gridSpan w:val="2"/>
            <w:tcBorders>
              <w:top w:val="nil"/>
              <w:left w:val="nil"/>
              <w:bottom w:val="nil"/>
              <w:right w:val="nil"/>
            </w:tcBorders>
          </w:tcPr>
          <w:p w14:paraId="5DF40054"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460</w:t>
            </w:r>
          </w:p>
        </w:tc>
      </w:tr>
      <w:tr w:rsidR="0010523F" w:rsidRPr="0010523F" w14:paraId="00662C78" w14:textId="77777777" w:rsidTr="00774E7E">
        <w:trPr>
          <w:trHeight w:val="227"/>
        </w:trPr>
        <w:tc>
          <w:tcPr>
            <w:tcW w:w="6260" w:type="dxa"/>
            <w:tcBorders>
              <w:top w:val="nil"/>
              <w:left w:val="nil"/>
              <w:bottom w:val="nil"/>
              <w:right w:val="nil"/>
            </w:tcBorders>
            <w:noWrap/>
            <w:vAlign w:val="bottom"/>
          </w:tcPr>
          <w:p w14:paraId="224CE794" w14:textId="77777777" w:rsidR="0010523F" w:rsidRPr="0010523F" w:rsidRDefault="0010523F" w:rsidP="0010523F">
            <w:pPr>
              <w:spacing w:line="200" w:lineRule="exact"/>
              <w:rPr>
                <w:sz w:val="22"/>
                <w:szCs w:val="22"/>
                <w:lang w:val="es-AR" w:eastAsia="en-US"/>
              </w:rPr>
            </w:pPr>
            <w:r w:rsidRPr="0010523F">
              <w:rPr>
                <w:sz w:val="22"/>
                <w:szCs w:val="22"/>
                <w:lang w:val="es-AR" w:eastAsia="en-US"/>
              </w:rPr>
              <w:t>Impuestos, tasas y contribuciones</w:t>
            </w:r>
          </w:p>
        </w:tc>
        <w:tc>
          <w:tcPr>
            <w:tcW w:w="1328" w:type="dxa"/>
            <w:tcBorders>
              <w:top w:val="nil"/>
              <w:left w:val="nil"/>
              <w:bottom w:val="nil"/>
              <w:right w:val="nil"/>
            </w:tcBorders>
            <w:vAlign w:val="bottom"/>
          </w:tcPr>
          <w:p w14:paraId="7B5CD9B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5.446</w:t>
            </w:r>
          </w:p>
        </w:tc>
        <w:tc>
          <w:tcPr>
            <w:tcW w:w="365" w:type="dxa"/>
            <w:tcBorders>
              <w:top w:val="nil"/>
              <w:left w:val="nil"/>
              <w:bottom w:val="nil"/>
              <w:right w:val="nil"/>
            </w:tcBorders>
          </w:tcPr>
          <w:p w14:paraId="3419A0EB"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563F240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4F55CD0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522</w:t>
            </w:r>
          </w:p>
        </w:tc>
        <w:tc>
          <w:tcPr>
            <w:tcW w:w="1647" w:type="dxa"/>
            <w:tcBorders>
              <w:top w:val="nil"/>
              <w:left w:val="nil"/>
              <w:bottom w:val="nil"/>
              <w:right w:val="nil"/>
            </w:tcBorders>
            <w:vAlign w:val="bottom"/>
          </w:tcPr>
          <w:p w14:paraId="29A8418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955</w:t>
            </w:r>
          </w:p>
        </w:tc>
        <w:tc>
          <w:tcPr>
            <w:tcW w:w="943" w:type="dxa"/>
            <w:gridSpan w:val="2"/>
            <w:tcBorders>
              <w:top w:val="nil"/>
              <w:left w:val="nil"/>
              <w:bottom w:val="nil"/>
              <w:right w:val="nil"/>
            </w:tcBorders>
            <w:vAlign w:val="bottom"/>
          </w:tcPr>
          <w:p w14:paraId="36E63DF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6.923</w:t>
            </w:r>
          </w:p>
        </w:tc>
        <w:tc>
          <w:tcPr>
            <w:tcW w:w="801" w:type="dxa"/>
            <w:gridSpan w:val="2"/>
            <w:tcBorders>
              <w:top w:val="nil"/>
              <w:left w:val="nil"/>
              <w:bottom w:val="nil"/>
              <w:right w:val="nil"/>
            </w:tcBorders>
          </w:tcPr>
          <w:p w14:paraId="39E424D7"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5.307</w:t>
            </w:r>
          </w:p>
        </w:tc>
      </w:tr>
      <w:tr w:rsidR="0010523F" w:rsidRPr="0010523F" w14:paraId="7EAF26DA" w14:textId="77777777" w:rsidTr="00774E7E">
        <w:trPr>
          <w:trHeight w:val="227"/>
        </w:trPr>
        <w:tc>
          <w:tcPr>
            <w:tcW w:w="6260" w:type="dxa"/>
            <w:tcBorders>
              <w:top w:val="nil"/>
              <w:left w:val="nil"/>
              <w:bottom w:val="nil"/>
              <w:right w:val="nil"/>
            </w:tcBorders>
            <w:noWrap/>
            <w:vAlign w:val="bottom"/>
          </w:tcPr>
          <w:p w14:paraId="6AC49B55" w14:textId="77777777" w:rsidR="0010523F" w:rsidRPr="0010523F" w:rsidRDefault="0010523F" w:rsidP="0010523F">
            <w:pPr>
              <w:spacing w:line="200" w:lineRule="exact"/>
              <w:rPr>
                <w:sz w:val="22"/>
                <w:szCs w:val="22"/>
                <w:lang w:val="es-AR" w:eastAsia="en-US"/>
              </w:rPr>
            </w:pPr>
            <w:r w:rsidRPr="0010523F">
              <w:rPr>
                <w:sz w:val="22"/>
                <w:szCs w:val="22"/>
                <w:lang w:val="es-AR" w:eastAsia="en-US"/>
              </w:rPr>
              <w:t xml:space="preserve">Depreciación de propiedad, planta y equipo </w:t>
            </w:r>
          </w:p>
        </w:tc>
        <w:tc>
          <w:tcPr>
            <w:tcW w:w="1328" w:type="dxa"/>
            <w:tcBorders>
              <w:top w:val="nil"/>
              <w:left w:val="nil"/>
              <w:bottom w:val="nil"/>
              <w:right w:val="nil"/>
            </w:tcBorders>
            <w:vAlign w:val="bottom"/>
          </w:tcPr>
          <w:p w14:paraId="1387FE6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10.272</w:t>
            </w:r>
          </w:p>
        </w:tc>
        <w:tc>
          <w:tcPr>
            <w:tcW w:w="365" w:type="dxa"/>
            <w:tcBorders>
              <w:top w:val="nil"/>
              <w:left w:val="nil"/>
              <w:bottom w:val="nil"/>
              <w:right w:val="nil"/>
            </w:tcBorders>
          </w:tcPr>
          <w:p w14:paraId="6336595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w:t>
            </w:r>
          </w:p>
        </w:tc>
        <w:tc>
          <w:tcPr>
            <w:tcW w:w="1459" w:type="dxa"/>
            <w:tcBorders>
              <w:top w:val="nil"/>
              <w:left w:val="nil"/>
              <w:bottom w:val="nil"/>
              <w:right w:val="nil"/>
            </w:tcBorders>
            <w:vAlign w:val="bottom"/>
          </w:tcPr>
          <w:p w14:paraId="370EBF8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4BD6F5E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43</w:t>
            </w:r>
          </w:p>
        </w:tc>
        <w:tc>
          <w:tcPr>
            <w:tcW w:w="1647" w:type="dxa"/>
            <w:tcBorders>
              <w:top w:val="nil"/>
              <w:left w:val="nil"/>
              <w:bottom w:val="nil"/>
              <w:right w:val="nil"/>
            </w:tcBorders>
            <w:vAlign w:val="bottom"/>
          </w:tcPr>
          <w:p w14:paraId="10A4D14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141</w:t>
            </w:r>
          </w:p>
        </w:tc>
        <w:tc>
          <w:tcPr>
            <w:tcW w:w="943" w:type="dxa"/>
            <w:gridSpan w:val="2"/>
            <w:tcBorders>
              <w:top w:val="nil"/>
              <w:left w:val="nil"/>
              <w:bottom w:val="nil"/>
              <w:right w:val="nil"/>
            </w:tcBorders>
            <w:vAlign w:val="bottom"/>
          </w:tcPr>
          <w:p w14:paraId="1DFC436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10.456</w:t>
            </w:r>
          </w:p>
        </w:tc>
        <w:tc>
          <w:tcPr>
            <w:tcW w:w="801" w:type="dxa"/>
            <w:gridSpan w:val="2"/>
            <w:tcBorders>
              <w:top w:val="nil"/>
              <w:left w:val="nil"/>
              <w:bottom w:val="nil"/>
              <w:right w:val="nil"/>
            </w:tcBorders>
            <w:vAlign w:val="bottom"/>
          </w:tcPr>
          <w:p w14:paraId="71B31811"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6.691</w:t>
            </w:r>
          </w:p>
        </w:tc>
      </w:tr>
      <w:tr w:rsidR="0010523F" w:rsidRPr="0010523F" w14:paraId="25FC06D2" w14:textId="77777777" w:rsidTr="00774E7E">
        <w:trPr>
          <w:trHeight w:val="227"/>
        </w:trPr>
        <w:tc>
          <w:tcPr>
            <w:tcW w:w="6260" w:type="dxa"/>
            <w:tcBorders>
              <w:top w:val="nil"/>
              <w:left w:val="nil"/>
              <w:bottom w:val="nil"/>
              <w:right w:val="nil"/>
            </w:tcBorders>
            <w:noWrap/>
            <w:vAlign w:val="bottom"/>
          </w:tcPr>
          <w:p w14:paraId="207281F1" w14:textId="77777777" w:rsidR="0010523F" w:rsidRPr="0010523F" w:rsidRDefault="0010523F" w:rsidP="0010523F">
            <w:pPr>
              <w:spacing w:line="200" w:lineRule="exact"/>
              <w:rPr>
                <w:sz w:val="22"/>
                <w:szCs w:val="22"/>
                <w:lang w:val="es-AR" w:eastAsia="en-US"/>
              </w:rPr>
            </w:pPr>
            <w:r w:rsidRPr="0010523F">
              <w:rPr>
                <w:sz w:val="22"/>
                <w:szCs w:val="22"/>
                <w:lang w:val="es-AR" w:eastAsia="en-US"/>
              </w:rPr>
              <w:t xml:space="preserve">Amortización de activos intangibles </w:t>
            </w:r>
          </w:p>
        </w:tc>
        <w:tc>
          <w:tcPr>
            <w:tcW w:w="1328" w:type="dxa"/>
            <w:tcBorders>
              <w:top w:val="nil"/>
              <w:left w:val="nil"/>
              <w:bottom w:val="nil"/>
              <w:right w:val="nil"/>
            </w:tcBorders>
            <w:vAlign w:val="bottom"/>
          </w:tcPr>
          <w:p w14:paraId="63EFC10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6</w:t>
            </w:r>
          </w:p>
        </w:tc>
        <w:tc>
          <w:tcPr>
            <w:tcW w:w="365" w:type="dxa"/>
            <w:tcBorders>
              <w:top w:val="nil"/>
              <w:left w:val="nil"/>
              <w:bottom w:val="nil"/>
              <w:right w:val="nil"/>
            </w:tcBorders>
          </w:tcPr>
          <w:p w14:paraId="7FCE335D"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24956B9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134DAD5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155</w:t>
            </w:r>
          </w:p>
        </w:tc>
        <w:tc>
          <w:tcPr>
            <w:tcW w:w="1647" w:type="dxa"/>
            <w:tcBorders>
              <w:top w:val="nil"/>
              <w:left w:val="nil"/>
              <w:bottom w:val="nil"/>
              <w:right w:val="nil"/>
            </w:tcBorders>
            <w:vAlign w:val="bottom"/>
          </w:tcPr>
          <w:p w14:paraId="25FEC303"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w:t>
            </w:r>
          </w:p>
        </w:tc>
        <w:tc>
          <w:tcPr>
            <w:tcW w:w="943" w:type="dxa"/>
            <w:gridSpan w:val="2"/>
            <w:tcBorders>
              <w:top w:val="nil"/>
              <w:left w:val="nil"/>
              <w:bottom w:val="nil"/>
              <w:right w:val="nil"/>
            </w:tcBorders>
            <w:vAlign w:val="bottom"/>
          </w:tcPr>
          <w:p w14:paraId="398C019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162</w:t>
            </w:r>
          </w:p>
        </w:tc>
        <w:tc>
          <w:tcPr>
            <w:tcW w:w="801" w:type="dxa"/>
            <w:gridSpan w:val="2"/>
            <w:tcBorders>
              <w:top w:val="nil"/>
              <w:left w:val="nil"/>
              <w:bottom w:val="nil"/>
              <w:right w:val="nil"/>
            </w:tcBorders>
            <w:vAlign w:val="bottom"/>
          </w:tcPr>
          <w:p w14:paraId="4B26AE5D"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112</w:t>
            </w:r>
          </w:p>
        </w:tc>
      </w:tr>
      <w:tr w:rsidR="0010523F" w:rsidRPr="0010523F" w14:paraId="203DD371" w14:textId="77777777" w:rsidTr="00774E7E">
        <w:trPr>
          <w:trHeight w:val="227"/>
        </w:trPr>
        <w:tc>
          <w:tcPr>
            <w:tcW w:w="6260" w:type="dxa"/>
            <w:tcBorders>
              <w:top w:val="nil"/>
              <w:left w:val="nil"/>
              <w:bottom w:val="nil"/>
              <w:right w:val="nil"/>
            </w:tcBorders>
            <w:noWrap/>
            <w:vAlign w:val="bottom"/>
          </w:tcPr>
          <w:p w14:paraId="509E6262" w14:textId="77777777" w:rsidR="0010523F" w:rsidRPr="0010523F" w:rsidRDefault="0010523F" w:rsidP="0010523F">
            <w:pPr>
              <w:spacing w:line="200" w:lineRule="exact"/>
              <w:rPr>
                <w:sz w:val="22"/>
                <w:szCs w:val="22"/>
                <w:lang w:val="es-AR" w:eastAsia="en-US"/>
              </w:rPr>
            </w:pPr>
            <w:r w:rsidRPr="0010523F">
              <w:rPr>
                <w:sz w:val="22"/>
                <w:szCs w:val="22"/>
                <w:lang w:val="es-AR" w:eastAsia="en-US"/>
              </w:rPr>
              <w:t xml:space="preserve">Depreciación de activos por derecho a uso </w:t>
            </w:r>
          </w:p>
        </w:tc>
        <w:tc>
          <w:tcPr>
            <w:tcW w:w="1328" w:type="dxa"/>
            <w:tcBorders>
              <w:top w:val="nil"/>
              <w:left w:val="nil"/>
              <w:bottom w:val="nil"/>
              <w:right w:val="nil"/>
            </w:tcBorders>
            <w:vAlign w:val="bottom"/>
          </w:tcPr>
          <w:p w14:paraId="67311700" w14:textId="77777777" w:rsidR="0010523F" w:rsidRPr="0010523F" w:rsidDel="00D510C0" w:rsidRDefault="0010523F" w:rsidP="0010523F">
            <w:pPr>
              <w:spacing w:line="200" w:lineRule="exact"/>
              <w:ind w:left="-115"/>
              <w:jc w:val="right"/>
              <w:rPr>
                <w:sz w:val="22"/>
                <w:szCs w:val="22"/>
                <w:lang w:val="es-AR" w:eastAsia="en-US"/>
              </w:rPr>
            </w:pPr>
            <w:r w:rsidRPr="0010523F">
              <w:rPr>
                <w:sz w:val="22"/>
                <w:szCs w:val="22"/>
                <w:lang w:val="es-AR" w:eastAsia="en-US"/>
              </w:rPr>
              <w:t>253</w:t>
            </w:r>
          </w:p>
        </w:tc>
        <w:tc>
          <w:tcPr>
            <w:tcW w:w="365" w:type="dxa"/>
            <w:tcBorders>
              <w:top w:val="nil"/>
              <w:left w:val="nil"/>
              <w:bottom w:val="nil"/>
              <w:right w:val="nil"/>
            </w:tcBorders>
          </w:tcPr>
          <w:p w14:paraId="614C4D3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w:t>
            </w:r>
          </w:p>
        </w:tc>
        <w:tc>
          <w:tcPr>
            <w:tcW w:w="1459" w:type="dxa"/>
            <w:tcBorders>
              <w:top w:val="nil"/>
              <w:left w:val="nil"/>
              <w:bottom w:val="nil"/>
              <w:right w:val="nil"/>
            </w:tcBorders>
            <w:vAlign w:val="bottom"/>
          </w:tcPr>
          <w:p w14:paraId="473A23BF"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1C7A3327" w14:textId="77777777" w:rsidR="0010523F" w:rsidRPr="0010523F" w:rsidDel="00D510C0" w:rsidRDefault="0010523F" w:rsidP="0010523F">
            <w:pPr>
              <w:spacing w:line="200" w:lineRule="exact"/>
              <w:ind w:left="-115"/>
              <w:jc w:val="right"/>
              <w:rPr>
                <w:sz w:val="22"/>
                <w:szCs w:val="22"/>
                <w:lang w:val="es-AR" w:eastAsia="en-US"/>
              </w:rPr>
            </w:pPr>
            <w:r w:rsidRPr="0010523F">
              <w:rPr>
                <w:sz w:val="22"/>
                <w:szCs w:val="22"/>
                <w:lang w:val="es-AR" w:eastAsia="en-US"/>
              </w:rPr>
              <w:t>91</w:t>
            </w:r>
          </w:p>
        </w:tc>
        <w:tc>
          <w:tcPr>
            <w:tcW w:w="1647" w:type="dxa"/>
            <w:tcBorders>
              <w:top w:val="nil"/>
              <w:left w:val="nil"/>
              <w:bottom w:val="nil"/>
              <w:right w:val="nil"/>
            </w:tcBorders>
            <w:vAlign w:val="bottom"/>
          </w:tcPr>
          <w:p w14:paraId="17090DB4" w14:textId="77777777" w:rsidR="0010523F" w:rsidRPr="0010523F" w:rsidDel="00D510C0" w:rsidRDefault="0010523F" w:rsidP="0010523F">
            <w:pPr>
              <w:spacing w:line="200" w:lineRule="exact"/>
              <w:ind w:left="-115"/>
              <w:jc w:val="right"/>
              <w:rPr>
                <w:sz w:val="22"/>
                <w:szCs w:val="22"/>
                <w:lang w:val="es-AR" w:eastAsia="en-US"/>
              </w:rPr>
            </w:pPr>
            <w:r w:rsidRPr="0010523F">
              <w:rPr>
                <w:sz w:val="22"/>
                <w:szCs w:val="22"/>
                <w:lang w:val="es-AR" w:eastAsia="en-US"/>
              </w:rPr>
              <w:t>43</w:t>
            </w:r>
          </w:p>
        </w:tc>
        <w:tc>
          <w:tcPr>
            <w:tcW w:w="943" w:type="dxa"/>
            <w:gridSpan w:val="2"/>
            <w:tcBorders>
              <w:top w:val="nil"/>
              <w:left w:val="nil"/>
              <w:bottom w:val="nil"/>
              <w:right w:val="nil"/>
            </w:tcBorders>
            <w:vAlign w:val="bottom"/>
          </w:tcPr>
          <w:p w14:paraId="515F5E26" w14:textId="77777777" w:rsidR="0010523F" w:rsidRPr="0010523F" w:rsidDel="00CC3B9D" w:rsidRDefault="0010523F" w:rsidP="0010523F">
            <w:pPr>
              <w:spacing w:line="200" w:lineRule="exact"/>
              <w:ind w:left="-115"/>
              <w:jc w:val="right"/>
              <w:rPr>
                <w:sz w:val="22"/>
                <w:szCs w:val="22"/>
                <w:lang w:val="es-AR" w:eastAsia="en-US"/>
              </w:rPr>
            </w:pPr>
            <w:r w:rsidRPr="0010523F">
              <w:rPr>
                <w:sz w:val="22"/>
                <w:szCs w:val="22"/>
                <w:lang w:val="es-AR" w:eastAsia="en-US"/>
              </w:rPr>
              <w:t>387</w:t>
            </w:r>
          </w:p>
        </w:tc>
        <w:tc>
          <w:tcPr>
            <w:tcW w:w="801" w:type="dxa"/>
            <w:gridSpan w:val="2"/>
            <w:tcBorders>
              <w:top w:val="nil"/>
              <w:left w:val="nil"/>
              <w:bottom w:val="nil"/>
              <w:right w:val="nil"/>
            </w:tcBorders>
            <w:vAlign w:val="bottom"/>
          </w:tcPr>
          <w:p w14:paraId="52ABB4A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r>
      <w:tr w:rsidR="0010523F" w:rsidRPr="0010523F" w14:paraId="4EF8FEF6" w14:textId="77777777" w:rsidTr="00774E7E">
        <w:trPr>
          <w:trHeight w:val="227"/>
        </w:trPr>
        <w:tc>
          <w:tcPr>
            <w:tcW w:w="6260" w:type="dxa"/>
            <w:tcBorders>
              <w:top w:val="nil"/>
              <w:left w:val="nil"/>
              <w:bottom w:val="nil"/>
              <w:right w:val="nil"/>
            </w:tcBorders>
            <w:noWrap/>
            <w:vAlign w:val="bottom"/>
          </w:tcPr>
          <w:p w14:paraId="7EE5640C" w14:textId="77777777" w:rsidR="0010523F" w:rsidRPr="0010523F" w:rsidRDefault="0010523F" w:rsidP="0010523F">
            <w:pPr>
              <w:spacing w:line="200" w:lineRule="exact"/>
              <w:rPr>
                <w:sz w:val="22"/>
                <w:szCs w:val="22"/>
                <w:lang w:val="es-AR" w:eastAsia="en-US"/>
              </w:rPr>
            </w:pPr>
            <w:r w:rsidRPr="0010523F">
              <w:rPr>
                <w:sz w:val="22"/>
                <w:szCs w:val="22"/>
                <w:lang w:val="es-AR" w:eastAsia="en-US"/>
              </w:rPr>
              <w:t>Gastos de transporte, acarreo y almacenaje</w:t>
            </w:r>
          </w:p>
        </w:tc>
        <w:tc>
          <w:tcPr>
            <w:tcW w:w="1328" w:type="dxa"/>
            <w:tcBorders>
              <w:top w:val="nil"/>
              <w:left w:val="nil"/>
              <w:bottom w:val="nil"/>
              <w:right w:val="nil"/>
            </w:tcBorders>
            <w:vAlign w:val="bottom"/>
          </w:tcPr>
          <w:p w14:paraId="413C23EF"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413</w:t>
            </w:r>
          </w:p>
        </w:tc>
        <w:tc>
          <w:tcPr>
            <w:tcW w:w="365" w:type="dxa"/>
            <w:tcBorders>
              <w:top w:val="nil"/>
              <w:left w:val="nil"/>
              <w:bottom w:val="nil"/>
              <w:right w:val="nil"/>
            </w:tcBorders>
          </w:tcPr>
          <w:p w14:paraId="3B3B602A"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6FE50B03"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40E4778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4</w:t>
            </w:r>
          </w:p>
        </w:tc>
        <w:tc>
          <w:tcPr>
            <w:tcW w:w="1647" w:type="dxa"/>
            <w:tcBorders>
              <w:top w:val="nil"/>
              <w:left w:val="nil"/>
              <w:bottom w:val="nil"/>
              <w:right w:val="nil"/>
            </w:tcBorders>
            <w:vAlign w:val="bottom"/>
          </w:tcPr>
          <w:p w14:paraId="17CAAFF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711</w:t>
            </w:r>
          </w:p>
        </w:tc>
        <w:tc>
          <w:tcPr>
            <w:tcW w:w="943" w:type="dxa"/>
            <w:gridSpan w:val="2"/>
            <w:tcBorders>
              <w:top w:val="nil"/>
              <w:left w:val="nil"/>
              <w:bottom w:val="nil"/>
              <w:right w:val="nil"/>
            </w:tcBorders>
            <w:vAlign w:val="bottom"/>
          </w:tcPr>
          <w:p w14:paraId="55CC7CF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1.128</w:t>
            </w:r>
          </w:p>
        </w:tc>
        <w:tc>
          <w:tcPr>
            <w:tcW w:w="801" w:type="dxa"/>
            <w:gridSpan w:val="2"/>
            <w:tcBorders>
              <w:top w:val="nil"/>
              <w:left w:val="nil"/>
              <w:bottom w:val="nil"/>
              <w:right w:val="nil"/>
            </w:tcBorders>
          </w:tcPr>
          <w:p w14:paraId="20E36727"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617</w:t>
            </w:r>
          </w:p>
        </w:tc>
      </w:tr>
      <w:tr w:rsidR="0010523F" w:rsidRPr="0010523F" w14:paraId="6E456429" w14:textId="77777777" w:rsidTr="00774E7E">
        <w:trPr>
          <w:trHeight w:val="227"/>
        </w:trPr>
        <w:tc>
          <w:tcPr>
            <w:tcW w:w="6260" w:type="dxa"/>
            <w:tcBorders>
              <w:top w:val="nil"/>
              <w:left w:val="nil"/>
              <w:bottom w:val="nil"/>
              <w:right w:val="nil"/>
            </w:tcBorders>
            <w:noWrap/>
            <w:vAlign w:val="bottom"/>
          </w:tcPr>
          <w:p w14:paraId="4159FB42" w14:textId="77777777" w:rsidR="0010523F" w:rsidRPr="0010523F" w:rsidRDefault="0010523F" w:rsidP="0010523F">
            <w:pPr>
              <w:spacing w:line="200" w:lineRule="exact"/>
              <w:rPr>
                <w:sz w:val="22"/>
                <w:szCs w:val="22"/>
                <w:lang w:val="es-AR" w:eastAsia="en-US"/>
              </w:rPr>
            </w:pPr>
            <w:r w:rsidRPr="0010523F">
              <w:rPr>
                <w:sz w:val="22"/>
                <w:szCs w:val="22"/>
                <w:lang w:val="es-AR" w:eastAsia="en-US"/>
              </w:rPr>
              <w:t>Servicios contratados y otros</w:t>
            </w:r>
          </w:p>
        </w:tc>
        <w:tc>
          <w:tcPr>
            <w:tcW w:w="1328" w:type="dxa"/>
            <w:tcBorders>
              <w:top w:val="nil"/>
              <w:left w:val="nil"/>
              <w:bottom w:val="nil"/>
              <w:right w:val="nil"/>
            </w:tcBorders>
            <w:vAlign w:val="bottom"/>
          </w:tcPr>
          <w:p w14:paraId="3408EF4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5.801</w:t>
            </w:r>
          </w:p>
        </w:tc>
        <w:tc>
          <w:tcPr>
            <w:tcW w:w="365" w:type="dxa"/>
            <w:tcBorders>
              <w:top w:val="nil"/>
              <w:left w:val="nil"/>
              <w:bottom w:val="nil"/>
              <w:right w:val="nil"/>
            </w:tcBorders>
          </w:tcPr>
          <w:p w14:paraId="55D0BB54"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43AF705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3C767A6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49</w:t>
            </w:r>
          </w:p>
        </w:tc>
        <w:tc>
          <w:tcPr>
            <w:tcW w:w="1647" w:type="dxa"/>
            <w:tcBorders>
              <w:top w:val="nil"/>
              <w:left w:val="nil"/>
              <w:bottom w:val="nil"/>
              <w:right w:val="nil"/>
            </w:tcBorders>
            <w:vAlign w:val="bottom"/>
          </w:tcPr>
          <w:p w14:paraId="28417F8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115</w:t>
            </w:r>
          </w:p>
        </w:tc>
        <w:tc>
          <w:tcPr>
            <w:tcW w:w="943" w:type="dxa"/>
            <w:gridSpan w:val="2"/>
            <w:tcBorders>
              <w:top w:val="nil"/>
              <w:left w:val="nil"/>
              <w:bottom w:val="nil"/>
              <w:right w:val="nil"/>
            </w:tcBorders>
            <w:vAlign w:val="bottom"/>
          </w:tcPr>
          <w:p w14:paraId="73C54E6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5.965</w:t>
            </w:r>
          </w:p>
        </w:tc>
        <w:tc>
          <w:tcPr>
            <w:tcW w:w="801" w:type="dxa"/>
            <w:gridSpan w:val="2"/>
            <w:tcBorders>
              <w:top w:val="nil"/>
              <w:left w:val="nil"/>
              <w:bottom w:val="nil"/>
              <w:right w:val="nil"/>
            </w:tcBorders>
          </w:tcPr>
          <w:p w14:paraId="735DBDC0"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2.011</w:t>
            </w:r>
          </w:p>
        </w:tc>
      </w:tr>
      <w:tr w:rsidR="0010523F" w:rsidRPr="0010523F" w14:paraId="4240B062" w14:textId="77777777" w:rsidTr="00774E7E">
        <w:trPr>
          <w:trHeight w:val="227"/>
        </w:trPr>
        <w:tc>
          <w:tcPr>
            <w:tcW w:w="6260" w:type="dxa"/>
            <w:tcBorders>
              <w:top w:val="nil"/>
              <w:left w:val="nil"/>
              <w:bottom w:val="nil"/>
              <w:right w:val="nil"/>
            </w:tcBorders>
            <w:noWrap/>
            <w:vAlign w:val="bottom"/>
          </w:tcPr>
          <w:p w14:paraId="77206B02" w14:textId="77777777" w:rsidR="0010523F" w:rsidRPr="0010523F" w:rsidRDefault="0010523F" w:rsidP="0010523F">
            <w:pPr>
              <w:spacing w:line="200" w:lineRule="exact"/>
              <w:rPr>
                <w:sz w:val="22"/>
                <w:szCs w:val="22"/>
                <w:lang w:val="es-AR" w:eastAsia="en-US"/>
              </w:rPr>
            </w:pPr>
            <w:r w:rsidRPr="0010523F">
              <w:rPr>
                <w:sz w:val="22"/>
                <w:szCs w:val="22"/>
                <w:lang w:val="es-AR" w:eastAsia="en-US"/>
              </w:rPr>
              <w:t>Gastos de viaje y alojamiento</w:t>
            </w:r>
          </w:p>
        </w:tc>
        <w:tc>
          <w:tcPr>
            <w:tcW w:w="1328" w:type="dxa"/>
            <w:tcBorders>
              <w:top w:val="nil"/>
              <w:left w:val="nil"/>
              <w:bottom w:val="nil"/>
              <w:right w:val="nil"/>
            </w:tcBorders>
            <w:vAlign w:val="bottom"/>
          </w:tcPr>
          <w:p w14:paraId="31B61E2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31</w:t>
            </w:r>
          </w:p>
        </w:tc>
        <w:tc>
          <w:tcPr>
            <w:tcW w:w="365" w:type="dxa"/>
            <w:tcBorders>
              <w:top w:val="nil"/>
              <w:left w:val="nil"/>
              <w:bottom w:val="nil"/>
              <w:right w:val="nil"/>
            </w:tcBorders>
          </w:tcPr>
          <w:p w14:paraId="32AF3301"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064484BC"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0DA4CBD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83</w:t>
            </w:r>
          </w:p>
        </w:tc>
        <w:tc>
          <w:tcPr>
            <w:tcW w:w="1647" w:type="dxa"/>
            <w:tcBorders>
              <w:top w:val="nil"/>
              <w:left w:val="nil"/>
              <w:bottom w:val="nil"/>
              <w:right w:val="nil"/>
            </w:tcBorders>
            <w:vAlign w:val="bottom"/>
          </w:tcPr>
          <w:p w14:paraId="062C725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29</w:t>
            </w:r>
          </w:p>
        </w:tc>
        <w:tc>
          <w:tcPr>
            <w:tcW w:w="943" w:type="dxa"/>
            <w:gridSpan w:val="2"/>
            <w:tcBorders>
              <w:top w:val="nil"/>
              <w:left w:val="nil"/>
              <w:bottom w:val="nil"/>
              <w:right w:val="nil"/>
            </w:tcBorders>
            <w:vAlign w:val="bottom"/>
          </w:tcPr>
          <w:p w14:paraId="722A28EC"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143</w:t>
            </w:r>
          </w:p>
        </w:tc>
        <w:tc>
          <w:tcPr>
            <w:tcW w:w="801" w:type="dxa"/>
            <w:gridSpan w:val="2"/>
            <w:tcBorders>
              <w:top w:val="nil"/>
              <w:left w:val="nil"/>
              <w:bottom w:val="nil"/>
              <w:right w:val="nil"/>
            </w:tcBorders>
          </w:tcPr>
          <w:p w14:paraId="5670D8F9"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111</w:t>
            </w:r>
          </w:p>
        </w:tc>
      </w:tr>
      <w:tr w:rsidR="0010523F" w:rsidRPr="0010523F" w14:paraId="4A0226EC" w14:textId="77777777" w:rsidTr="00774E7E">
        <w:trPr>
          <w:trHeight w:val="227"/>
        </w:trPr>
        <w:tc>
          <w:tcPr>
            <w:tcW w:w="6260" w:type="dxa"/>
            <w:tcBorders>
              <w:top w:val="nil"/>
              <w:left w:val="nil"/>
              <w:bottom w:val="nil"/>
              <w:right w:val="nil"/>
            </w:tcBorders>
            <w:noWrap/>
            <w:vAlign w:val="bottom"/>
          </w:tcPr>
          <w:p w14:paraId="46BB76F8" w14:textId="77777777" w:rsidR="0010523F" w:rsidRPr="0010523F" w:rsidRDefault="0010523F" w:rsidP="0010523F">
            <w:pPr>
              <w:spacing w:line="200" w:lineRule="exact"/>
              <w:rPr>
                <w:sz w:val="22"/>
                <w:szCs w:val="22"/>
                <w:lang w:val="es-AR" w:eastAsia="en-US"/>
              </w:rPr>
            </w:pPr>
            <w:r w:rsidRPr="0010523F">
              <w:rPr>
                <w:sz w:val="22"/>
                <w:szCs w:val="22"/>
                <w:lang w:val="es-AR" w:eastAsia="en-US"/>
              </w:rPr>
              <w:t>Alquileres, mantenimiento de edificios y otros</w:t>
            </w:r>
          </w:p>
        </w:tc>
        <w:tc>
          <w:tcPr>
            <w:tcW w:w="1328" w:type="dxa"/>
            <w:tcBorders>
              <w:top w:val="nil"/>
              <w:left w:val="nil"/>
              <w:bottom w:val="nil"/>
              <w:right w:val="nil"/>
            </w:tcBorders>
            <w:vAlign w:val="bottom"/>
          </w:tcPr>
          <w:p w14:paraId="20CFD9F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364</w:t>
            </w:r>
          </w:p>
        </w:tc>
        <w:tc>
          <w:tcPr>
            <w:tcW w:w="365" w:type="dxa"/>
            <w:tcBorders>
              <w:top w:val="nil"/>
              <w:left w:val="nil"/>
              <w:bottom w:val="nil"/>
              <w:right w:val="nil"/>
            </w:tcBorders>
          </w:tcPr>
          <w:p w14:paraId="60EAAD34"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26038C1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712327C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101</w:t>
            </w:r>
          </w:p>
        </w:tc>
        <w:tc>
          <w:tcPr>
            <w:tcW w:w="1647" w:type="dxa"/>
            <w:tcBorders>
              <w:top w:val="nil"/>
              <w:left w:val="nil"/>
              <w:bottom w:val="nil"/>
              <w:right w:val="nil"/>
            </w:tcBorders>
            <w:vAlign w:val="bottom"/>
          </w:tcPr>
          <w:p w14:paraId="6CB9BEB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943" w:type="dxa"/>
            <w:gridSpan w:val="2"/>
            <w:tcBorders>
              <w:top w:val="nil"/>
              <w:left w:val="nil"/>
              <w:bottom w:val="nil"/>
              <w:right w:val="nil"/>
            </w:tcBorders>
            <w:vAlign w:val="bottom"/>
          </w:tcPr>
          <w:p w14:paraId="2CD5EF43"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465</w:t>
            </w:r>
          </w:p>
        </w:tc>
        <w:tc>
          <w:tcPr>
            <w:tcW w:w="801" w:type="dxa"/>
            <w:gridSpan w:val="2"/>
            <w:tcBorders>
              <w:top w:val="nil"/>
              <w:left w:val="nil"/>
              <w:bottom w:val="nil"/>
              <w:right w:val="nil"/>
            </w:tcBorders>
            <w:vAlign w:val="bottom"/>
          </w:tcPr>
          <w:p w14:paraId="26489829" w14:textId="77777777" w:rsidR="0010523F" w:rsidRPr="0010523F" w:rsidRDefault="0010523F" w:rsidP="0010523F">
            <w:pPr>
              <w:spacing w:line="200" w:lineRule="exact"/>
              <w:ind w:left="-115"/>
              <w:jc w:val="right"/>
              <w:rPr>
                <w:sz w:val="22"/>
                <w:szCs w:val="22"/>
                <w:highlight w:val="yellow"/>
                <w:lang w:val="es-AR" w:eastAsia="en-US"/>
              </w:rPr>
            </w:pPr>
            <w:r w:rsidRPr="0010523F">
              <w:rPr>
                <w:sz w:val="22"/>
                <w:szCs w:val="22"/>
                <w:lang w:val="es-AR" w:eastAsia="en-US"/>
              </w:rPr>
              <w:t>399</w:t>
            </w:r>
          </w:p>
        </w:tc>
      </w:tr>
      <w:tr w:rsidR="0010523F" w:rsidRPr="0010523F" w14:paraId="569D33CC" w14:textId="77777777" w:rsidTr="00774E7E">
        <w:trPr>
          <w:trHeight w:val="227"/>
        </w:trPr>
        <w:tc>
          <w:tcPr>
            <w:tcW w:w="6260" w:type="dxa"/>
            <w:tcBorders>
              <w:top w:val="nil"/>
              <w:left w:val="nil"/>
              <w:bottom w:val="nil"/>
              <w:right w:val="nil"/>
            </w:tcBorders>
            <w:noWrap/>
            <w:vAlign w:val="bottom"/>
          </w:tcPr>
          <w:p w14:paraId="4F9C1741" w14:textId="77777777" w:rsidR="0010523F" w:rsidRPr="0010523F" w:rsidRDefault="0010523F" w:rsidP="0010523F">
            <w:pPr>
              <w:spacing w:line="200" w:lineRule="exact"/>
              <w:rPr>
                <w:sz w:val="22"/>
                <w:szCs w:val="22"/>
                <w:highlight w:val="yellow"/>
                <w:lang w:val="es-AR" w:eastAsia="en-US"/>
              </w:rPr>
            </w:pPr>
            <w:r w:rsidRPr="0010523F">
              <w:rPr>
                <w:sz w:val="22"/>
                <w:szCs w:val="22"/>
                <w:lang w:val="es-AR" w:eastAsia="en-US"/>
              </w:rPr>
              <w:t>Gastos de publicidad y propaganda</w:t>
            </w:r>
          </w:p>
        </w:tc>
        <w:tc>
          <w:tcPr>
            <w:tcW w:w="1328" w:type="dxa"/>
            <w:tcBorders>
              <w:top w:val="nil"/>
              <w:left w:val="nil"/>
              <w:bottom w:val="nil"/>
              <w:right w:val="nil"/>
            </w:tcBorders>
            <w:vAlign w:val="bottom"/>
          </w:tcPr>
          <w:p w14:paraId="32350B8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w:t>
            </w:r>
          </w:p>
        </w:tc>
        <w:tc>
          <w:tcPr>
            <w:tcW w:w="365" w:type="dxa"/>
            <w:tcBorders>
              <w:top w:val="nil"/>
              <w:left w:val="nil"/>
              <w:bottom w:val="nil"/>
              <w:right w:val="nil"/>
            </w:tcBorders>
          </w:tcPr>
          <w:p w14:paraId="3809127D"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4F171F53"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45198BC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11</w:t>
            </w:r>
          </w:p>
        </w:tc>
        <w:tc>
          <w:tcPr>
            <w:tcW w:w="1647" w:type="dxa"/>
            <w:tcBorders>
              <w:top w:val="nil"/>
              <w:left w:val="nil"/>
              <w:bottom w:val="nil"/>
              <w:right w:val="nil"/>
            </w:tcBorders>
            <w:vAlign w:val="bottom"/>
          </w:tcPr>
          <w:p w14:paraId="0014C00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154</w:t>
            </w:r>
          </w:p>
        </w:tc>
        <w:tc>
          <w:tcPr>
            <w:tcW w:w="943" w:type="dxa"/>
            <w:gridSpan w:val="2"/>
            <w:tcBorders>
              <w:top w:val="nil"/>
              <w:left w:val="nil"/>
              <w:bottom w:val="nil"/>
              <w:right w:val="nil"/>
            </w:tcBorders>
            <w:vAlign w:val="bottom"/>
          </w:tcPr>
          <w:p w14:paraId="3717280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166</w:t>
            </w:r>
          </w:p>
        </w:tc>
        <w:tc>
          <w:tcPr>
            <w:tcW w:w="801" w:type="dxa"/>
            <w:gridSpan w:val="2"/>
            <w:tcBorders>
              <w:top w:val="nil"/>
              <w:left w:val="nil"/>
              <w:bottom w:val="nil"/>
              <w:right w:val="nil"/>
            </w:tcBorders>
            <w:vAlign w:val="bottom"/>
          </w:tcPr>
          <w:p w14:paraId="0E686952"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109</w:t>
            </w:r>
          </w:p>
        </w:tc>
      </w:tr>
      <w:tr w:rsidR="0010523F" w:rsidRPr="0010523F" w14:paraId="5C055720" w14:textId="77777777" w:rsidTr="00774E7E">
        <w:trPr>
          <w:trHeight w:val="227"/>
        </w:trPr>
        <w:tc>
          <w:tcPr>
            <w:tcW w:w="6260" w:type="dxa"/>
            <w:tcBorders>
              <w:top w:val="nil"/>
              <w:left w:val="nil"/>
              <w:bottom w:val="nil"/>
              <w:right w:val="nil"/>
            </w:tcBorders>
            <w:noWrap/>
            <w:vAlign w:val="bottom"/>
          </w:tcPr>
          <w:p w14:paraId="67D8FE1C" w14:textId="77777777" w:rsidR="0010523F" w:rsidRPr="0010523F" w:rsidRDefault="0010523F" w:rsidP="0010523F">
            <w:pPr>
              <w:spacing w:line="200" w:lineRule="exact"/>
              <w:rPr>
                <w:sz w:val="22"/>
                <w:szCs w:val="22"/>
                <w:lang w:val="es-AR" w:eastAsia="en-US"/>
              </w:rPr>
            </w:pPr>
            <w:r w:rsidRPr="0010523F">
              <w:rPr>
                <w:sz w:val="22"/>
                <w:szCs w:val="22"/>
                <w:lang w:val="es-AR" w:eastAsia="en-US"/>
              </w:rPr>
              <w:t>Remediación de medio ambiente y servidumbres</w:t>
            </w:r>
          </w:p>
        </w:tc>
        <w:tc>
          <w:tcPr>
            <w:tcW w:w="1328" w:type="dxa"/>
            <w:tcBorders>
              <w:top w:val="nil"/>
              <w:left w:val="nil"/>
              <w:bottom w:val="nil"/>
              <w:right w:val="nil"/>
            </w:tcBorders>
            <w:vAlign w:val="bottom"/>
          </w:tcPr>
          <w:p w14:paraId="0A9972AF"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350</w:t>
            </w:r>
          </w:p>
        </w:tc>
        <w:tc>
          <w:tcPr>
            <w:tcW w:w="365" w:type="dxa"/>
            <w:tcBorders>
              <w:top w:val="nil"/>
              <w:left w:val="nil"/>
              <w:bottom w:val="nil"/>
              <w:right w:val="nil"/>
            </w:tcBorders>
          </w:tcPr>
          <w:p w14:paraId="3BD15660"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68EB808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2DAFC61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647" w:type="dxa"/>
            <w:tcBorders>
              <w:top w:val="nil"/>
              <w:left w:val="nil"/>
              <w:bottom w:val="nil"/>
              <w:right w:val="nil"/>
            </w:tcBorders>
            <w:vAlign w:val="bottom"/>
          </w:tcPr>
          <w:p w14:paraId="4B4E450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26</w:t>
            </w:r>
          </w:p>
        </w:tc>
        <w:tc>
          <w:tcPr>
            <w:tcW w:w="943" w:type="dxa"/>
            <w:gridSpan w:val="2"/>
            <w:tcBorders>
              <w:top w:val="nil"/>
              <w:left w:val="nil"/>
              <w:bottom w:val="nil"/>
              <w:right w:val="nil"/>
            </w:tcBorders>
            <w:vAlign w:val="bottom"/>
          </w:tcPr>
          <w:p w14:paraId="14BB08F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376</w:t>
            </w:r>
          </w:p>
        </w:tc>
        <w:tc>
          <w:tcPr>
            <w:tcW w:w="801" w:type="dxa"/>
            <w:gridSpan w:val="2"/>
            <w:tcBorders>
              <w:top w:val="nil"/>
              <w:left w:val="nil"/>
              <w:bottom w:val="nil"/>
              <w:right w:val="nil"/>
            </w:tcBorders>
            <w:vAlign w:val="bottom"/>
          </w:tcPr>
          <w:p w14:paraId="6654BDE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169</w:t>
            </w:r>
          </w:p>
        </w:tc>
      </w:tr>
      <w:tr w:rsidR="0010523F" w:rsidRPr="0010523F" w14:paraId="7CF1FFF1" w14:textId="77777777" w:rsidTr="00774E7E">
        <w:trPr>
          <w:trHeight w:val="227"/>
        </w:trPr>
        <w:tc>
          <w:tcPr>
            <w:tcW w:w="6260" w:type="dxa"/>
            <w:tcBorders>
              <w:top w:val="nil"/>
              <w:left w:val="nil"/>
              <w:bottom w:val="nil"/>
              <w:right w:val="nil"/>
            </w:tcBorders>
            <w:noWrap/>
            <w:vAlign w:val="bottom"/>
          </w:tcPr>
          <w:p w14:paraId="53EC402A" w14:textId="77777777" w:rsidR="0010523F" w:rsidRPr="0010523F" w:rsidRDefault="0010523F" w:rsidP="0010523F">
            <w:pPr>
              <w:spacing w:line="200" w:lineRule="exact"/>
              <w:rPr>
                <w:sz w:val="22"/>
                <w:szCs w:val="22"/>
                <w:lang w:val="es-AR" w:eastAsia="en-US"/>
              </w:rPr>
            </w:pPr>
            <w:r w:rsidRPr="0010523F">
              <w:rPr>
                <w:sz w:val="22"/>
                <w:szCs w:val="22"/>
                <w:lang w:val="es-AR" w:eastAsia="en-US"/>
              </w:rPr>
              <w:t>Combustibles y energía eléctrica</w:t>
            </w:r>
          </w:p>
        </w:tc>
        <w:tc>
          <w:tcPr>
            <w:tcW w:w="1328" w:type="dxa"/>
            <w:tcBorders>
              <w:top w:val="nil"/>
              <w:left w:val="nil"/>
              <w:bottom w:val="nil"/>
              <w:right w:val="nil"/>
            </w:tcBorders>
            <w:vAlign w:val="bottom"/>
          </w:tcPr>
          <w:p w14:paraId="2966676C"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779</w:t>
            </w:r>
          </w:p>
        </w:tc>
        <w:tc>
          <w:tcPr>
            <w:tcW w:w="365" w:type="dxa"/>
            <w:tcBorders>
              <w:top w:val="nil"/>
              <w:left w:val="nil"/>
              <w:bottom w:val="nil"/>
              <w:right w:val="nil"/>
            </w:tcBorders>
          </w:tcPr>
          <w:p w14:paraId="589A5DBE"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350B351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0A01736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647" w:type="dxa"/>
            <w:tcBorders>
              <w:top w:val="nil"/>
              <w:left w:val="nil"/>
              <w:bottom w:val="nil"/>
              <w:right w:val="nil"/>
            </w:tcBorders>
            <w:vAlign w:val="bottom"/>
          </w:tcPr>
          <w:p w14:paraId="74B3FB8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37</w:t>
            </w:r>
          </w:p>
        </w:tc>
        <w:tc>
          <w:tcPr>
            <w:tcW w:w="943" w:type="dxa"/>
            <w:gridSpan w:val="2"/>
            <w:tcBorders>
              <w:top w:val="nil"/>
              <w:left w:val="nil"/>
              <w:bottom w:val="nil"/>
              <w:right w:val="nil"/>
            </w:tcBorders>
            <w:vAlign w:val="bottom"/>
          </w:tcPr>
          <w:p w14:paraId="37C6034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816</w:t>
            </w:r>
          </w:p>
        </w:tc>
        <w:tc>
          <w:tcPr>
            <w:tcW w:w="801" w:type="dxa"/>
            <w:gridSpan w:val="2"/>
            <w:tcBorders>
              <w:top w:val="nil"/>
              <w:left w:val="nil"/>
              <w:bottom w:val="nil"/>
              <w:right w:val="nil"/>
            </w:tcBorders>
          </w:tcPr>
          <w:p w14:paraId="42777C8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598</w:t>
            </w:r>
          </w:p>
        </w:tc>
      </w:tr>
      <w:tr w:rsidR="0010523F" w:rsidRPr="0010523F" w14:paraId="05C0D368" w14:textId="77777777" w:rsidTr="00774E7E">
        <w:trPr>
          <w:trHeight w:val="227"/>
        </w:trPr>
        <w:tc>
          <w:tcPr>
            <w:tcW w:w="6260" w:type="dxa"/>
            <w:tcBorders>
              <w:top w:val="nil"/>
              <w:left w:val="nil"/>
              <w:bottom w:val="nil"/>
              <w:right w:val="nil"/>
            </w:tcBorders>
            <w:noWrap/>
            <w:vAlign w:val="bottom"/>
          </w:tcPr>
          <w:p w14:paraId="6AF4AEC5" w14:textId="77777777" w:rsidR="0010523F" w:rsidRPr="0010523F" w:rsidRDefault="0010523F" w:rsidP="0010523F">
            <w:pPr>
              <w:spacing w:line="200" w:lineRule="exact"/>
              <w:rPr>
                <w:sz w:val="22"/>
                <w:szCs w:val="22"/>
                <w:lang w:val="es-AR" w:eastAsia="en-US"/>
              </w:rPr>
            </w:pPr>
            <w:r w:rsidRPr="0010523F">
              <w:rPr>
                <w:sz w:val="22"/>
                <w:szCs w:val="22"/>
                <w:lang w:val="es-AR" w:eastAsia="en-US"/>
              </w:rPr>
              <w:t>Juicios</w:t>
            </w:r>
          </w:p>
        </w:tc>
        <w:tc>
          <w:tcPr>
            <w:tcW w:w="1328" w:type="dxa"/>
            <w:tcBorders>
              <w:top w:val="nil"/>
              <w:left w:val="nil"/>
              <w:bottom w:val="nil"/>
              <w:right w:val="nil"/>
            </w:tcBorders>
            <w:vAlign w:val="bottom"/>
          </w:tcPr>
          <w:p w14:paraId="47E19CE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59</w:t>
            </w:r>
          </w:p>
        </w:tc>
        <w:tc>
          <w:tcPr>
            <w:tcW w:w="365" w:type="dxa"/>
            <w:tcBorders>
              <w:top w:val="nil"/>
              <w:left w:val="nil"/>
              <w:bottom w:val="nil"/>
              <w:right w:val="nil"/>
            </w:tcBorders>
          </w:tcPr>
          <w:p w14:paraId="354CFB99"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655CE07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371C24C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20</w:t>
            </w:r>
          </w:p>
        </w:tc>
        <w:tc>
          <w:tcPr>
            <w:tcW w:w="1647" w:type="dxa"/>
            <w:tcBorders>
              <w:top w:val="nil"/>
              <w:left w:val="nil"/>
              <w:bottom w:val="nil"/>
              <w:right w:val="nil"/>
            </w:tcBorders>
            <w:vAlign w:val="bottom"/>
          </w:tcPr>
          <w:p w14:paraId="4DBC91B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108</w:t>
            </w:r>
          </w:p>
        </w:tc>
        <w:tc>
          <w:tcPr>
            <w:tcW w:w="943" w:type="dxa"/>
            <w:gridSpan w:val="2"/>
            <w:tcBorders>
              <w:top w:val="nil"/>
              <w:left w:val="nil"/>
              <w:bottom w:val="nil"/>
              <w:right w:val="nil"/>
            </w:tcBorders>
            <w:vAlign w:val="bottom"/>
          </w:tcPr>
          <w:p w14:paraId="562EA04C"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187</w:t>
            </w:r>
          </w:p>
        </w:tc>
        <w:tc>
          <w:tcPr>
            <w:tcW w:w="801" w:type="dxa"/>
            <w:gridSpan w:val="2"/>
            <w:tcBorders>
              <w:top w:val="nil"/>
              <w:left w:val="nil"/>
              <w:bottom w:val="nil"/>
              <w:right w:val="nil"/>
            </w:tcBorders>
          </w:tcPr>
          <w:p w14:paraId="55C871C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34</w:t>
            </w:r>
          </w:p>
        </w:tc>
      </w:tr>
      <w:tr w:rsidR="0010523F" w:rsidRPr="0010523F" w14:paraId="04965DDB" w14:textId="77777777" w:rsidTr="00774E7E">
        <w:trPr>
          <w:trHeight w:val="227"/>
        </w:trPr>
        <w:tc>
          <w:tcPr>
            <w:tcW w:w="6260" w:type="dxa"/>
            <w:tcBorders>
              <w:top w:val="nil"/>
              <w:left w:val="nil"/>
              <w:bottom w:val="nil"/>
              <w:right w:val="nil"/>
            </w:tcBorders>
            <w:noWrap/>
            <w:vAlign w:val="bottom"/>
          </w:tcPr>
          <w:p w14:paraId="517AEB89" w14:textId="77777777" w:rsidR="0010523F" w:rsidRPr="0010523F" w:rsidRDefault="0010523F" w:rsidP="0010523F">
            <w:pPr>
              <w:spacing w:line="200" w:lineRule="exact"/>
              <w:rPr>
                <w:sz w:val="22"/>
                <w:szCs w:val="22"/>
                <w:lang w:val="es-AR" w:eastAsia="en-US"/>
              </w:rPr>
            </w:pPr>
            <w:r w:rsidRPr="0010523F">
              <w:rPr>
                <w:sz w:val="22"/>
                <w:szCs w:val="22"/>
                <w:lang w:val="es-AR" w:eastAsia="en-US"/>
              </w:rPr>
              <w:t>Comisiones</w:t>
            </w:r>
          </w:p>
        </w:tc>
        <w:tc>
          <w:tcPr>
            <w:tcW w:w="1328" w:type="dxa"/>
            <w:tcBorders>
              <w:top w:val="nil"/>
              <w:left w:val="nil"/>
              <w:bottom w:val="nil"/>
              <w:right w:val="nil"/>
            </w:tcBorders>
            <w:vAlign w:val="bottom"/>
          </w:tcPr>
          <w:p w14:paraId="73AACDC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365" w:type="dxa"/>
            <w:tcBorders>
              <w:top w:val="nil"/>
              <w:left w:val="nil"/>
              <w:bottom w:val="nil"/>
              <w:right w:val="nil"/>
            </w:tcBorders>
          </w:tcPr>
          <w:p w14:paraId="7AA5DB94"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47E5C04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540DC22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55</w:t>
            </w:r>
          </w:p>
        </w:tc>
        <w:tc>
          <w:tcPr>
            <w:tcW w:w="1647" w:type="dxa"/>
            <w:tcBorders>
              <w:top w:val="nil"/>
              <w:left w:val="nil"/>
              <w:bottom w:val="nil"/>
              <w:right w:val="nil"/>
            </w:tcBorders>
            <w:vAlign w:val="bottom"/>
          </w:tcPr>
          <w:p w14:paraId="2EDE16A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217</w:t>
            </w:r>
          </w:p>
        </w:tc>
        <w:tc>
          <w:tcPr>
            <w:tcW w:w="943" w:type="dxa"/>
            <w:gridSpan w:val="2"/>
            <w:tcBorders>
              <w:top w:val="nil"/>
              <w:left w:val="nil"/>
              <w:bottom w:val="nil"/>
              <w:right w:val="nil"/>
            </w:tcBorders>
            <w:vAlign w:val="bottom"/>
          </w:tcPr>
          <w:p w14:paraId="1917DF42"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272</w:t>
            </w:r>
          </w:p>
        </w:tc>
        <w:tc>
          <w:tcPr>
            <w:tcW w:w="801" w:type="dxa"/>
            <w:gridSpan w:val="2"/>
            <w:tcBorders>
              <w:top w:val="nil"/>
              <w:left w:val="nil"/>
              <w:bottom w:val="nil"/>
              <w:right w:val="nil"/>
            </w:tcBorders>
          </w:tcPr>
          <w:p w14:paraId="43DCB19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142</w:t>
            </w:r>
          </w:p>
        </w:tc>
      </w:tr>
      <w:tr w:rsidR="0010523F" w:rsidRPr="0010523F" w14:paraId="0A952F51" w14:textId="77777777" w:rsidTr="00774E7E">
        <w:trPr>
          <w:trHeight w:val="227"/>
        </w:trPr>
        <w:tc>
          <w:tcPr>
            <w:tcW w:w="6260" w:type="dxa"/>
            <w:tcBorders>
              <w:top w:val="nil"/>
              <w:left w:val="nil"/>
              <w:bottom w:val="nil"/>
              <w:right w:val="nil"/>
            </w:tcBorders>
            <w:noWrap/>
            <w:vAlign w:val="bottom"/>
          </w:tcPr>
          <w:p w14:paraId="179B462B" w14:textId="77777777" w:rsidR="0010523F" w:rsidRPr="0010523F" w:rsidRDefault="0010523F" w:rsidP="0010523F">
            <w:pPr>
              <w:spacing w:line="200" w:lineRule="exact"/>
              <w:rPr>
                <w:sz w:val="22"/>
                <w:szCs w:val="22"/>
                <w:lang w:val="es-AR" w:eastAsia="en-US"/>
              </w:rPr>
            </w:pPr>
            <w:r w:rsidRPr="0010523F">
              <w:rPr>
                <w:sz w:val="22"/>
                <w:szCs w:val="22"/>
                <w:lang w:val="es-AR" w:eastAsia="en-US"/>
              </w:rPr>
              <w:t>Gastos de geología y geofísica y pozos exploratorios secos (3)</w:t>
            </w:r>
          </w:p>
        </w:tc>
        <w:tc>
          <w:tcPr>
            <w:tcW w:w="1328" w:type="dxa"/>
            <w:tcBorders>
              <w:top w:val="nil"/>
              <w:left w:val="nil"/>
              <w:bottom w:val="nil"/>
              <w:right w:val="nil"/>
            </w:tcBorders>
            <w:vAlign w:val="bottom"/>
          </w:tcPr>
          <w:p w14:paraId="3ADFAE8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 xml:space="preserve">      -</w:t>
            </w:r>
          </w:p>
        </w:tc>
        <w:tc>
          <w:tcPr>
            <w:tcW w:w="365" w:type="dxa"/>
            <w:tcBorders>
              <w:top w:val="nil"/>
              <w:left w:val="nil"/>
              <w:bottom w:val="nil"/>
              <w:right w:val="nil"/>
            </w:tcBorders>
          </w:tcPr>
          <w:p w14:paraId="3237086C"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044AE47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 xml:space="preserve">  -</w:t>
            </w:r>
          </w:p>
        </w:tc>
        <w:tc>
          <w:tcPr>
            <w:tcW w:w="1440" w:type="dxa"/>
            <w:tcBorders>
              <w:top w:val="nil"/>
              <w:left w:val="nil"/>
              <w:bottom w:val="nil"/>
              <w:right w:val="nil"/>
            </w:tcBorders>
            <w:vAlign w:val="bottom"/>
          </w:tcPr>
          <w:p w14:paraId="482C4D4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 xml:space="preserve">    -</w:t>
            </w:r>
          </w:p>
        </w:tc>
        <w:tc>
          <w:tcPr>
            <w:tcW w:w="1647" w:type="dxa"/>
            <w:tcBorders>
              <w:top w:val="nil"/>
              <w:left w:val="nil"/>
              <w:bottom w:val="nil"/>
              <w:right w:val="nil"/>
            </w:tcBorders>
            <w:vAlign w:val="bottom"/>
          </w:tcPr>
          <w:p w14:paraId="669E5E2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 xml:space="preserve">    -</w:t>
            </w:r>
          </w:p>
        </w:tc>
        <w:tc>
          <w:tcPr>
            <w:tcW w:w="943" w:type="dxa"/>
            <w:gridSpan w:val="2"/>
            <w:tcBorders>
              <w:top w:val="nil"/>
              <w:left w:val="nil"/>
              <w:bottom w:val="nil"/>
              <w:right w:val="nil"/>
            </w:tcBorders>
            <w:vAlign w:val="bottom"/>
          </w:tcPr>
          <w:p w14:paraId="648F26E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801" w:type="dxa"/>
            <w:gridSpan w:val="2"/>
            <w:tcBorders>
              <w:top w:val="nil"/>
              <w:left w:val="nil"/>
              <w:bottom w:val="nil"/>
              <w:right w:val="nil"/>
            </w:tcBorders>
            <w:vAlign w:val="center"/>
          </w:tcPr>
          <w:p w14:paraId="62D46E3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26</w:t>
            </w:r>
          </w:p>
        </w:tc>
      </w:tr>
      <w:tr w:rsidR="0010523F" w:rsidRPr="0010523F" w14:paraId="3AAC7B76" w14:textId="77777777" w:rsidTr="00774E7E">
        <w:trPr>
          <w:trHeight w:val="227"/>
        </w:trPr>
        <w:tc>
          <w:tcPr>
            <w:tcW w:w="6260" w:type="dxa"/>
            <w:tcBorders>
              <w:top w:val="nil"/>
              <w:left w:val="nil"/>
              <w:bottom w:val="nil"/>
              <w:right w:val="nil"/>
            </w:tcBorders>
            <w:noWrap/>
            <w:vAlign w:val="bottom"/>
          </w:tcPr>
          <w:p w14:paraId="1844E928" w14:textId="77777777" w:rsidR="0010523F" w:rsidRPr="0010523F" w:rsidRDefault="0010523F" w:rsidP="0010523F">
            <w:pPr>
              <w:spacing w:line="200" w:lineRule="exact"/>
              <w:rPr>
                <w:sz w:val="22"/>
                <w:szCs w:val="22"/>
                <w:lang w:val="es-AR" w:eastAsia="en-US"/>
              </w:rPr>
            </w:pPr>
            <w:r w:rsidRPr="0010523F">
              <w:rPr>
                <w:sz w:val="22"/>
                <w:szCs w:val="22"/>
                <w:lang w:val="es-AR" w:eastAsia="en-US"/>
              </w:rPr>
              <w:t>Regalías por uso de marca</w:t>
            </w:r>
          </w:p>
        </w:tc>
        <w:tc>
          <w:tcPr>
            <w:tcW w:w="1328" w:type="dxa"/>
            <w:tcBorders>
              <w:top w:val="nil"/>
              <w:left w:val="nil"/>
              <w:bottom w:val="nil"/>
              <w:right w:val="nil"/>
            </w:tcBorders>
            <w:vAlign w:val="bottom"/>
          </w:tcPr>
          <w:p w14:paraId="26B155E3"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365" w:type="dxa"/>
            <w:tcBorders>
              <w:top w:val="nil"/>
              <w:left w:val="nil"/>
              <w:bottom w:val="nil"/>
              <w:right w:val="nil"/>
            </w:tcBorders>
          </w:tcPr>
          <w:p w14:paraId="7C389B56" w14:textId="77777777" w:rsidR="0010523F" w:rsidRPr="0010523F" w:rsidRDefault="0010523F" w:rsidP="0010523F">
            <w:pPr>
              <w:spacing w:line="200" w:lineRule="exact"/>
              <w:ind w:left="-115"/>
              <w:jc w:val="right"/>
              <w:rPr>
                <w:sz w:val="22"/>
                <w:szCs w:val="22"/>
                <w:lang w:val="es-AR" w:eastAsia="en-US"/>
              </w:rPr>
            </w:pPr>
          </w:p>
        </w:tc>
        <w:tc>
          <w:tcPr>
            <w:tcW w:w="1459" w:type="dxa"/>
            <w:tcBorders>
              <w:top w:val="nil"/>
              <w:left w:val="nil"/>
              <w:bottom w:val="nil"/>
              <w:right w:val="nil"/>
            </w:tcBorders>
            <w:vAlign w:val="bottom"/>
          </w:tcPr>
          <w:p w14:paraId="22AC231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Borders>
              <w:top w:val="nil"/>
              <w:left w:val="nil"/>
              <w:bottom w:val="nil"/>
              <w:right w:val="nil"/>
            </w:tcBorders>
            <w:vAlign w:val="bottom"/>
          </w:tcPr>
          <w:p w14:paraId="40CACBBF"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647" w:type="dxa"/>
            <w:tcBorders>
              <w:top w:val="nil"/>
              <w:left w:val="nil"/>
              <w:bottom w:val="nil"/>
              <w:right w:val="nil"/>
            </w:tcBorders>
            <w:vAlign w:val="bottom"/>
          </w:tcPr>
          <w:p w14:paraId="3EF7468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222</w:t>
            </w:r>
          </w:p>
        </w:tc>
        <w:tc>
          <w:tcPr>
            <w:tcW w:w="943" w:type="dxa"/>
            <w:gridSpan w:val="2"/>
            <w:tcBorders>
              <w:top w:val="nil"/>
              <w:left w:val="nil"/>
              <w:bottom w:val="nil"/>
              <w:right w:val="nil"/>
            </w:tcBorders>
            <w:vAlign w:val="bottom"/>
          </w:tcPr>
          <w:p w14:paraId="2F59E20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222</w:t>
            </w:r>
          </w:p>
        </w:tc>
        <w:tc>
          <w:tcPr>
            <w:tcW w:w="801" w:type="dxa"/>
            <w:gridSpan w:val="2"/>
            <w:tcBorders>
              <w:top w:val="nil"/>
              <w:left w:val="nil"/>
              <w:bottom w:val="nil"/>
              <w:right w:val="nil"/>
            </w:tcBorders>
            <w:vAlign w:val="bottom"/>
          </w:tcPr>
          <w:p w14:paraId="26418588" w14:textId="77777777" w:rsidR="0010523F" w:rsidRPr="0010523F" w:rsidRDefault="0010523F" w:rsidP="0010523F">
            <w:pPr>
              <w:spacing w:line="200" w:lineRule="exact"/>
              <w:jc w:val="right"/>
              <w:rPr>
                <w:sz w:val="22"/>
                <w:szCs w:val="22"/>
                <w:u w:val="single"/>
                <w:lang w:val="en-US" w:eastAsia="en-US"/>
              </w:rPr>
            </w:pPr>
            <w:r w:rsidRPr="0010523F">
              <w:rPr>
                <w:sz w:val="22"/>
                <w:szCs w:val="22"/>
                <w:lang w:val="es-AR" w:eastAsia="en-US"/>
              </w:rPr>
              <w:t>-</w:t>
            </w:r>
          </w:p>
        </w:tc>
      </w:tr>
      <w:tr w:rsidR="0010523F" w:rsidRPr="0010523F" w14:paraId="2AEA0430" w14:textId="77777777" w:rsidTr="00774E7E">
        <w:trPr>
          <w:trHeight w:val="227"/>
        </w:trPr>
        <w:tc>
          <w:tcPr>
            <w:tcW w:w="6260" w:type="dxa"/>
            <w:tcBorders>
              <w:top w:val="nil"/>
              <w:left w:val="nil"/>
              <w:bottom w:val="nil"/>
              <w:right w:val="nil"/>
            </w:tcBorders>
            <w:noWrap/>
            <w:vAlign w:val="bottom"/>
          </w:tcPr>
          <w:p w14:paraId="06093B88" w14:textId="77777777" w:rsidR="0010523F" w:rsidRPr="0010523F" w:rsidRDefault="0010523F" w:rsidP="0010523F">
            <w:pPr>
              <w:spacing w:line="200" w:lineRule="exact"/>
              <w:rPr>
                <w:sz w:val="22"/>
                <w:szCs w:val="22"/>
                <w:lang w:val="es-AR" w:eastAsia="en-US"/>
              </w:rPr>
            </w:pPr>
            <w:r w:rsidRPr="0010523F">
              <w:rPr>
                <w:sz w:val="22"/>
                <w:szCs w:val="22"/>
                <w:lang w:val="es-AR" w:eastAsia="en-US"/>
              </w:rPr>
              <w:t>Diversos</w:t>
            </w:r>
          </w:p>
        </w:tc>
        <w:tc>
          <w:tcPr>
            <w:tcW w:w="1328" w:type="dxa"/>
            <w:tcBorders>
              <w:top w:val="nil"/>
              <w:left w:val="nil"/>
              <w:bottom w:val="nil"/>
              <w:right w:val="nil"/>
            </w:tcBorders>
            <w:vAlign w:val="bottom"/>
          </w:tcPr>
          <w:p w14:paraId="2B3D85D5"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498</w:t>
            </w:r>
          </w:p>
        </w:tc>
        <w:tc>
          <w:tcPr>
            <w:tcW w:w="365" w:type="dxa"/>
            <w:tcBorders>
              <w:top w:val="nil"/>
              <w:left w:val="nil"/>
              <w:bottom w:val="nil"/>
              <w:right w:val="nil"/>
            </w:tcBorders>
          </w:tcPr>
          <w:p w14:paraId="72440368" w14:textId="77777777" w:rsidR="0010523F" w:rsidRPr="0010523F" w:rsidRDefault="0010523F" w:rsidP="0010523F">
            <w:pPr>
              <w:spacing w:line="200" w:lineRule="exact"/>
              <w:ind w:left="-115"/>
              <w:jc w:val="right"/>
              <w:rPr>
                <w:sz w:val="22"/>
                <w:szCs w:val="22"/>
                <w:u w:val="single"/>
                <w:lang w:val="es-AR" w:eastAsia="en-US"/>
              </w:rPr>
            </w:pPr>
          </w:p>
        </w:tc>
        <w:tc>
          <w:tcPr>
            <w:tcW w:w="1459" w:type="dxa"/>
            <w:tcBorders>
              <w:top w:val="nil"/>
              <w:left w:val="nil"/>
              <w:bottom w:val="nil"/>
              <w:right w:val="nil"/>
            </w:tcBorders>
            <w:vAlign w:val="bottom"/>
          </w:tcPr>
          <w:p w14:paraId="3643B47A"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w:t>
            </w:r>
          </w:p>
        </w:tc>
        <w:tc>
          <w:tcPr>
            <w:tcW w:w="1440" w:type="dxa"/>
            <w:tcBorders>
              <w:top w:val="nil"/>
              <w:left w:val="nil"/>
              <w:bottom w:val="nil"/>
              <w:right w:val="nil"/>
            </w:tcBorders>
            <w:vAlign w:val="bottom"/>
          </w:tcPr>
          <w:p w14:paraId="5E6F845C"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128</w:t>
            </w:r>
          </w:p>
        </w:tc>
        <w:tc>
          <w:tcPr>
            <w:tcW w:w="1647" w:type="dxa"/>
            <w:tcBorders>
              <w:top w:val="nil"/>
              <w:left w:val="nil"/>
              <w:bottom w:val="nil"/>
              <w:right w:val="nil"/>
            </w:tcBorders>
            <w:vAlign w:val="bottom"/>
          </w:tcPr>
          <w:p w14:paraId="7735A7AB"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192</w:t>
            </w:r>
          </w:p>
        </w:tc>
        <w:tc>
          <w:tcPr>
            <w:tcW w:w="943" w:type="dxa"/>
            <w:gridSpan w:val="2"/>
            <w:tcBorders>
              <w:top w:val="nil"/>
              <w:left w:val="nil"/>
              <w:bottom w:val="nil"/>
              <w:right w:val="nil"/>
            </w:tcBorders>
            <w:vAlign w:val="bottom"/>
          </w:tcPr>
          <w:p w14:paraId="606E3AB0"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818</w:t>
            </w:r>
          </w:p>
        </w:tc>
        <w:tc>
          <w:tcPr>
            <w:tcW w:w="801" w:type="dxa"/>
            <w:gridSpan w:val="2"/>
            <w:tcBorders>
              <w:top w:val="nil"/>
              <w:left w:val="nil"/>
              <w:bottom w:val="nil"/>
              <w:right w:val="nil"/>
            </w:tcBorders>
            <w:vAlign w:val="bottom"/>
          </w:tcPr>
          <w:p w14:paraId="7FCE5D9B" w14:textId="77777777" w:rsidR="0010523F" w:rsidRPr="0010523F" w:rsidRDefault="0010523F" w:rsidP="0010523F">
            <w:pPr>
              <w:spacing w:line="200" w:lineRule="exact"/>
              <w:jc w:val="right"/>
              <w:rPr>
                <w:sz w:val="22"/>
                <w:szCs w:val="22"/>
                <w:u w:val="single"/>
                <w:lang w:val="es-AR" w:eastAsia="en-US"/>
              </w:rPr>
            </w:pPr>
            <w:r w:rsidRPr="0010523F">
              <w:rPr>
                <w:sz w:val="22"/>
                <w:szCs w:val="22"/>
                <w:u w:val="single"/>
                <w:lang w:val="en-US" w:eastAsia="en-US"/>
              </w:rPr>
              <w:t xml:space="preserve">    868</w:t>
            </w:r>
          </w:p>
        </w:tc>
      </w:tr>
      <w:tr w:rsidR="0010523F" w:rsidRPr="0010523F" w14:paraId="42F5C060" w14:textId="77777777" w:rsidTr="00774E7E">
        <w:tc>
          <w:tcPr>
            <w:tcW w:w="6260" w:type="dxa"/>
            <w:tcBorders>
              <w:top w:val="nil"/>
              <w:left w:val="nil"/>
              <w:bottom w:val="nil"/>
              <w:right w:val="nil"/>
            </w:tcBorders>
            <w:noWrap/>
            <w:vAlign w:val="bottom"/>
          </w:tcPr>
          <w:p w14:paraId="6EAF6918" w14:textId="77777777" w:rsidR="0010523F" w:rsidRPr="0010523F" w:rsidRDefault="0010523F" w:rsidP="0010523F">
            <w:pPr>
              <w:spacing w:line="100" w:lineRule="exact"/>
              <w:rPr>
                <w:sz w:val="22"/>
                <w:szCs w:val="22"/>
                <w:lang w:val="es-AR" w:eastAsia="en-US"/>
              </w:rPr>
            </w:pPr>
          </w:p>
        </w:tc>
        <w:tc>
          <w:tcPr>
            <w:tcW w:w="1328" w:type="dxa"/>
            <w:tcBorders>
              <w:top w:val="nil"/>
              <w:left w:val="nil"/>
              <w:right w:val="nil"/>
            </w:tcBorders>
            <w:vAlign w:val="bottom"/>
          </w:tcPr>
          <w:p w14:paraId="5A5FBEBE" w14:textId="77777777" w:rsidR="0010523F" w:rsidRPr="0010523F" w:rsidRDefault="0010523F" w:rsidP="0010523F">
            <w:pPr>
              <w:spacing w:line="100" w:lineRule="exact"/>
              <w:ind w:left="-115"/>
              <w:jc w:val="right"/>
              <w:rPr>
                <w:sz w:val="22"/>
                <w:szCs w:val="22"/>
                <w:lang w:val="es-AR" w:eastAsia="en-US"/>
              </w:rPr>
            </w:pPr>
          </w:p>
        </w:tc>
        <w:tc>
          <w:tcPr>
            <w:tcW w:w="365" w:type="dxa"/>
            <w:tcBorders>
              <w:top w:val="nil"/>
              <w:left w:val="nil"/>
              <w:right w:val="nil"/>
            </w:tcBorders>
          </w:tcPr>
          <w:p w14:paraId="26257723" w14:textId="77777777" w:rsidR="0010523F" w:rsidRPr="0010523F" w:rsidRDefault="0010523F" w:rsidP="0010523F">
            <w:pPr>
              <w:spacing w:line="100" w:lineRule="exact"/>
              <w:ind w:left="-115"/>
              <w:jc w:val="right"/>
              <w:rPr>
                <w:sz w:val="22"/>
                <w:szCs w:val="22"/>
                <w:lang w:val="es-AR" w:eastAsia="en-US"/>
              </w:rPr>
            </w:pPr>
          </w:p>
        </w:tc>
        <w:tc>
          <w:tcPr>
            <w:tcW w:w="1459" w:type="dxa"/>
            <w:tcBorders>
              <w:top w:val="nil"/>
              <w:left w:val="nil"/>
              <w:right w:val="nil"/>
            </w:tcBorders>
            <w:vAlign w:val="bottom"/>
          </w:tcPr>
          <w:p w14:paraId="065833B7" w14:textId="77777777" w:rsidR="0010523F" w:rsidRPr="0010523F" w:rsidRDefault="0010523F" w:rsidP="0010523F">
            <w:pPr>
              <w:spacing w:line="100" w:lineRule="exact"/>
              <w:ind w:left="-115"/>
              <w:jc w:val="right"/>
              <w:rPr>
                <w:sz w:val="22"/>
                <w:szCs w:val="22"/>
                <w:lang w:val="es-AR" w:eastAsia="en-US"/>
              </w:rPr>
            </w:pPr>
          </w:p>
        </w:tc>
        <w:tc>
          <w:tcPr>
            <w:tcW w:w="1440" w:type="dxa"/>
            <w:tcBorders>
              <w:top w:val="nil"/>
              <w:left w:val="nil"/>
              <w:right w:val="nil"/>
            </w:tcBorders>
            <w:vAlign w:val="bottom"/>
          </w:tcPr>
          <w:p w14:paraId="00C4973A" w14:textId="77777777" w:rsidR="0010523F" w:rsidRPr="0010523F" w:rsidRDefault="0010523F" w:rsidP="0010523F">
            <w:pPr>
              <w:spacing w:line="100" w:lineRule="exact"/>
              <w:ind w:left="-115"/>
              <w:jc w:val="right"/>
              <w:rPr>
                <w:sz w:val="22"/>
                <w:szCs w:val="22"/>
                <w:lang w:val="es-AR" w:eastAsia="en-US"/>
              </w:rPr>
            </w:pPr>
          </w:p>
        </w:tc>
        <w:tc>
          <w:tcPr>
            <w:tcW w:w="1647" w:type="dxa"/>
            <w:tcBorders>
              <w:top w:val="nil"/>
              <w:left w:val="nil"/>
              <w:right w:val="nil"/>
            </w:tcBorders>
            <w:vAlign w:val="bottom"/>
          </w:tcPr>
          <w:p w14:paraId="10EA31D6" w14:textId="77777777" w:rsidR="0010523F" w:rsidRPr="0010523F" w:rsidRDefault="0010523F" w:rsidP="0010523F">
            <w:pPr>
              <w:spacing w:line="100" w:lineRule="exact"/>
              <w:ind w:left="-115"/>
              <w:jc w:val="right"/>
              <w:rPr>
                <w:sz w:val="22"/>
                <w:szCs w:val="22"/>
                <w:lang w:val="es-AR" w:eastAsia="en-US"/>
              </w:rPr>
            </w:pPr>
          </w:p>
        </w:tc>
        <w:tc>
          <w:tcPr>
            <w:tcW w:w="943" w:type="dxa"/>
            <w:gridSpan w:val="2"/>
            <w:tcBorders>
              <w:top w:val="nil"/>
              <w:left w:val="nil"/>
              <w:right w:val="nil"/>
            </w:tcBorders>
            <w:vAlign w:val="bottom"/>
          </w:tcPr>
          <w:p w14:paraId="0386A734" w14:textId="77777777" w:rsidR="0010523F" w:rsidRPr="0010523F" w:rsidRDefault="0010523F" w:rsidP="0010523F">
            <w:pPr>
              <w:spacing w:line="100" w:lineRule="exact"/>
              <w:ind w:left="-115"/>
              <w:jc w:val="right"/>
              <w:rPr>
                <w:sz w:val="22"/>
                <w:szCs w:val="22"/>
                <w:lang w:val="es-AR" w:eastAsia="en-US"/>
              </w:rPr>
            </w:pPr>
          </w:p>
        </w:tc>
        <w:tc>
          <w:tcPr>
            <w:tcW w:w="801" w:type="dxa"/>
            <w:gridSpan w:val="2"/>
            <w:tcBorders>
              <w:top w:val="nil"/>
              <w:left w:val="nil"/>
              <w:right w:val="nil"/>
            </w:tcBorders>
            <w:vAlign w:val="bottom"/>
          </w:tcPr>
          <w:p w14:paraId="5FC9274E" w14:textId="77777777" w:rsidR="0010523F" w:rsidRPr="0010523F" w:rsidRDefault="0010523F" w:rsidP="0010523F">
            <w:pPr>
              <w:spacing w:line="100" w:lineRule="exact"/>
              <w:ind w:left="-115"/>
              <w:jc w:val="right"/>
              <w:rPr>
                <w:sz w:val="22"/>
                <w:szCs w:val="22"/>
                <w:highlight w:val="yellow"/>
                <w:lang w:val="es-AR" w:eastAsia="en-US"/>
              </w:rPr>
            </w:pPr>
          </w:p>
        </w:tc>
      </w:tr>
      <w:tr w:rsidR="0010523F" w:rsidRPr="0010523F" w14:paraId="3704B6FE" w14:textId="77777777" w:rsidTr="00774E7E">
        <w:trPr>
          <w:trHeight w:val="227"/>
        </w:trPr>
        <w:tc>
          <w:tcPr>
            <w:tcW w:w="6260" w:type="dxa"/>
            <w:tcBorders>
              <w:top w:val="nil"/>
              <w:left w:val="nil"/>
              <w:bottom w:val="nil"/>
              <w:right w:val="nil"/>
            </w:tcBorders>
            <w:noWrap/>
            <w:vAlign w:val="bottom"/>
          </w:tcPr>
          <w:p w14:paraId="68E20DB8" w14:textId="77777777" w:rsidR="0010523F" w:rsidRPr="0010523F" w:rsidRDefault="0010523F" w:rsidP="0010523F">
            <w:pPr>
              <w:spacing w:line="200" w:lineRule="exact"/>
              <w:rPr>
                <w:sz w:val="22"/>
                <w:szCs w:val="22"/>
                <w:lang w:val="es-AR" w:eastAsia="en-US"/>
              </w:rPr>
            </w:pPr>
            <w:r w:rsidRPr="0010523F">
              <w:rPr>
                <w:sz w:val="22"/>
                <w:szCs w:val="22"/>
                <w:lang w:val="es-AR" w:eastAsia="en-US"/>
              </w:rPr>
              <w:t>Total 2019 (tercer trimestre)</w:t>
            </w:r>
          </w:p>
        </w:tc>
        <w:tc>
          <w:tcPr>
            <w:tcW w:w="1328" w:type="dxa"/>
            <w:tcBorders>
              <w:top w:val="nil"/>
              <w:left w:val="nil"/>
              <w:right w:val="nil"/>
            </w:tcBorders>
            <w:vAlign w:val="bottom"/>
          </w:tcPr>
          <w:p w14:paraId="43354CCC"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26.540</w:t>
            </w:r>
          </w:p>
        </w:tc>
        <w:tc>
          <w:tcPr>
            <w:tcW w:w="365" w:type="dxa"/>
            <w:tcBorders>
              <w:top w:val="nil"/>
              <w:left w:val="nil"/>
              <w:right w:val="nil"/>
            </w:tcBorders>
          </w:tcPr>
          <w:p w14:paraId="6ECFF8BC" w14:textId="77777777" w:rsidR="0010523F" w:rsidRPr="0010523F" w:rsidRDefault="0010523F" w:rsidP="0010523F">
            <w:pPr>
              <w:spacing w:line="200" w:lineRule="exact"/>
              <w:ind w:left="-115"/>
              <w:jc w:val="right"/>
              <w:rPr>
                <w:sz w:val="22"/>
                <w:szCs w:val="22"/>
                <w:u w:val="double"/>
                <w:lang w:val="es-AR" w:eastAsia="en-US"/>
              </w:rPr>
            </w:pPr>
          </w:p>
        </w:tc>
        <w:tc>
          <w:tcPr>
            <w:tcW w:w="1459" w:type="dxa"/>
            <w:tcBorders>
              <w:top w:val="nil"/>
              <w:left w:val="nil"/>
              <w:right w:val="nil"/>
            </w:tcBorders>
            <w:vAlign w:val="bottom"/>
          </w:tcPr>
          <w:p w14:paraId="3B864134"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 xml:space="preserve">     -</w:t>
            </w:r>
          </w:p>
        </w:tc>
        <w:tc>
          <w:tcPr>
            <w:tcW w:w="1440" w:type="dxa"/>
            <w:tcBorders>
              <w:top w:val="nil"/>
              <w:left w:val="nil"/>
              <w:right w:val="nil"/>
            </w:tcBorders>
            <w:vAlign w:val="bottom"/>
          </w:tcPr>
          <w:p w14:paraId="288039F0"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3.306</w:t>
            </w:r>
          </w:p>
        </w:tc>
        <w:tc>
          <w:tcPr>
            <w:tcW w:w="1647" w:type="dxa"/>
            <w:tcBorders>
              <w:top w:val="nil"/>
              <w:left w:val="nil"/>
              <w:right w:val="nil"/>
            </w:tcBorders>
            <w:vAlign w:val="bottom"/>
          </w:tcPr>
          <w:p w14:paraId="5A3B820E"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3.655</w:t>
            </w:r>
          </w:p>
        </w:tc>
        <w:tc>
          <w:tcPr>
            <w:tcW w:w="943" w:type="dxa"/>
            <w:gridSpan w:val="2"/>
            <w:tcBorders>
              <w:top w:val="nil"/>
              <w:left w:val="nil"/>
              <w:right w:val="nil"/>
            </w:tcBorders>
            <w:vAlign w:val="bottom"/>
          </w:tcPr>
          <w:p w14:paraId="37F93312"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33.501</w:t>
            </w:r>
          </w:p>
        </w:tc>
        <w:tc>
          <w:tcPr>
            <w:tcW w:w="801" w:type="dxa"/>
            <w:gridSpan w:val="2"/>
            <w:tcBorders>
              <w:top w:val="nil"/>
              <w:left w:val="nil"/>
              <w:right w:val="nil"/>
            </w:tcBorders>
            <w:vAlign w:val="bottom"/>
          </w:tcPr>
          <w:p w14:paraId="6E29072A" w14:textId="77777777" w:rsidR="0010523F" w:rsidRPr="0010523F" w:rsidRDefault="0010523F" w:rsidP="0010523F">
            <w:pPr>
              <w:spacing w:line="200" w:lineRule="exact"/>
              <w:ind w:left="-115"/>
              <w:jc w:val="right"/>
              <w:rPr>
                <w:sz w:val="22"/>
                <w:szCs w:val="22"/>
                <w:highlight w:val="yellow"/>
                <w:u w:val="double"/>
                <w:lang w:val="es-AR" w:eastAsia="en-US"/>
              </w:rPr>
            </w:pPr>
          </w:p>
        </w:tc>
      </w:tr>
      <w:tr w:rsidR="0010523F" w:rsidRPr="0010523F" w14:paraId="4526BC59" w14:textId="77777777" w:rsidTr="00774E7E">
        <w:tc>
          <w:tcPr>
            <w:tcW w:w="6260" w:type="dxa"/>
            <w:tcBorders>
              <w:top w:val="nil"/>
              <w:left w:val="nil"/>
              <w:bottom w:val="nil"/>
              <w:right w:val="nil"/>
            </w:tcBorders>
            <w:noWrap/>
            <w:vAlign w:val="bottom"/>
          </w:tcPr>
          <w:p w14:paraId="4AECF4EE" w14:textId="77777777" w:rsidR="0010523F" w:rsidRPr="0010523F" w:rsidRDefault="0010523F" w:rsidP="0010523F">
            <w:pPr>
              <w:spacing w:line="100" w:lineRule="exact"/>
              <w:rPr>
                <w:sz w:val="22"/>
                <w:szCs w:val="22"/>
                <w:highlight w:val="yellow"/>
                <w:lang w:val="es-AR" w:eastAsia="en-US"/>
              </w:rPr>
            </w:pPr>
          </w:p>
        </w:tc>
        <w:tc>
          <w:tcPr>
            <w:tcW w:w="1328" w:type="dxa"/>
            <w:tcBorders>
              <w:top w:val="nil"/>
              <w:left w:val="nil"/>
              <w:right w:val="nil"/>
            </w:tcBorders>
            <w:vAlign w:val="bottom"/>
          </w:tcPr>
          <w:p w14:paraId="7F7D3350" w14:textId="77777777" w:rsidR="0010523F" w:rsidRPr="0010523F" w:rsidRDefault="0010523F" w:rsidP="0010523F">
            <w:pPr>
              <w:spacing w:line="100" w:lineRule="exact"/>
              <w:ind w:left="-115"/>
              <w:jc w:val="right"/>
              <w:rPr>
                <w:sz w:val="22"/>
                <w:szCs w:val="22"/>
                <w:highlight w:val="yellow"/>
                <w:lang w:val="es-AR" w:eastAsia="en-US"/>
              </w:rPr>
            </w:pPr>
          </w:p>
        </w:tc>
        <w:tc>
          <w:tcPr>
            <w:tcW w:w="365" w:type="dxa"/>
            <w:tcBorders>
              <w:top w:val="nil"/>
              <w:left w:val="nil"/>
              <w:right w:val="nil"/>
            </w:tcBorders>
          </w:tcPr>
          <w:p w14:paraId="012670A3" w14:textId="77777777" w:rsidR="0010523F" w:rsidRPr="0010523F" w:rsidRDefault="0010523F" w:rsidP="0010523F">
            <w:pPr>
              <w:spacing w:line="100" w:lineRule="exact"/>
              <w:ind w:left="-115"/>
              <w:jc w:val="right"/>
              <w:rPr>
                <w:sz w:val="22"/>
                <w:szCs w:val="22"/>
                <w:highlight w:val="yellow"/>
                <w:lang w:val="es-AR" w:eastAsia="en-US"/>
              </w:rPr>
            </w:pPr>
          </w:p>
        </w:tc>
        <w:tc>
          <w:tcPr>
            <w:tcW w:w="1459" w:type="dxa"/>
            <w:tcBorders>
              <w:top w:val="nil"/>
              <w:left w:val="nil"/>
              <w:right w:val="nil"/>
            </w:tcBorders>
            <w:vAlign w:val="bottom"/>
          </w:tcPr>
          <w:p w14:paraId="3ABBD855" w14:textId="77777777" w:rsidR="0010523F" w:rsidRPr="0010523F" w:rsidRDefault="0010523F" w:rsidP="0010523F">
            <w:pPr>
              <w:spacing w:line="100" w:lineRule="exact"/>
              <w:ind w:left="-115"/>
              <w:jc w:val="right"/>
              <w:rPr>
                <w:sz w:val="22"/>
                <w:szCs w:val="22"/>
                <w:highlight w:val="yellow"/>
                <w:lang w:val="es-AR" w:eastAsia="en-US"/>
              </w:rPr>
            </w:pPr>
          </w:p>
        </w:tc>
        <w:tc>
          <w:tcPr>
            <w:tcW w:w="1440" w:type="dxa"/>
            <w:tcBorders>
              <w:top w:val="nil"/>
              <w:left w:val="nil"/>
              <w:right w:val="nil"/>
            </w:tcBorders>
            <w:vAlign w:val="bottom"/>
          </w:tcPr>
          <w:p w14:paraId="53671AC8" w14:textId="77777777" w:rsidR="0010523F" w:rsidRPr="0010523F" w:rsidRDefault="0010523F" w:rsidP="0010523F">
            <w:pPr>
              <w:spacing w:line="100" w:lineRule="exact"/>
              <w:ind w:left="-115"/>
              <w:jc w:val="right"/>
              <w:rPr>
                <w:sz w:val="22"/>
                <w:szCs w:val="22"/>
                <w:highlight w:val="yellow"/>
                <w:lang w:val="es-AR" w:eastAsia="en-US"/>
              </w:rPr>
            </w:pPr>
          </w:p>
        </w:tc>
        <w:tc>
          <w:tcPr>
            <w:tcW w:w="1647" w:type="dxa"/>
            <w:tcBorders>
              <w:top w:val="nil"/>
              <w:left w:val="nil"/>
              <w:right w:val="nil"/>
            </w:tcBorders>
            <w:vAlign w:val="bottom"/>
          </w:tcPr>
          <w:p w14:paraId="357B5129" w14:textId="77777777" w:rsidR="0010523F" w:rsidRPr="0010523F" w:rsidRDefault="0010523F" w:rsidP="0010523F">
            <w:pPr>
              <w:spacing w:line="100" w:lineRule="exact"/>
              <w:ind w:left="-115"/>
              <w:jc w:val="right"/>
              <w:rPr>
                <w:sz w:val="22"/>
                <w:szCs w:val="22"/>
                <w:highlight w:val="yellow"/>
                <w:lang w:val="es-AR" w:eastAsia="en-US"/>
              </w:rPr>
            </w:pPr>
          </w:p>
        </w:tc>
        <w:tc>
          <w:tcPr>
            <w:tcW w:w="943" w:type="dxa"/>
            <w:gridSpan w:val="2"/>
            <w:tcBorders>
              <w:top w:val="nil"/>
              <w:left w:val="nil"/>
              <w:right w:val="nil"/>
            </w:tcBorders>
            <w:vAlign w:val="bottom"/>
          </w:tcPr>
          <w:p w14:paraId="56E557F4" w14:textId="77777777" w:rsidR="0010523F" w:rsidRPr="0010523F" w:rsidRDefault="0010523F" w:rsidP="0010523F">
            <w:pPr>
              <w:spacing w:line="100" w:lineRule="exact"/>
              <w:ind w:left="-115"/>
              <w:jc w:val="right"/>
              <w:rPr>
                <w:sz w:val="22"/>
                <w:szCs w:val="22"/>
                <w:highlight w:val="yellow"/>
                <w:lang w:val="es-AR" w:eastAsia="en-US"/>
              </w:rPr>
            </w:pPr>
          </w:p>
        </w:tc>
        <w:tc>
          <w:tcPr>
            <w:tcW w:w="801" w:type="dxa"/>
            <w:gridSpan w:val="2"/>
            <w:tcBorders>
              <w:top w:val="nil"/>
              <w:left w:val="nil"/>
              <w:right w:val="nil"/>
            </w:tcBorders>
            <w:vAlign w:val="bottom"/>
          </w:tcPr>
          <w:p w14:paraId="376BFF1D" w14:textId="77777777" w:rsidR="0010523F" w:rsidRPr="0010523F" w:rsidRDefault="0010523F" w:rsidP="0010523F">
            <w:pPr>
              <w:spacing w:line="100" w:lineRule="exact"/>
              <w:ind w:left="-115"/>
              <w:jc w:val="right"/>
              <w:rPr>
                <w:sz w:val="22"/>
                <w:szCs w:val="22"/>
                <w:highlight w:val="yellow"/>
                <w:lang w:val="es-AR" w:eastAsia="en-US"/>
              </w:rPr>
            </w:pPr>
          </w:p>
        </w:tc>
      </w:tr>
      <w:tr w:rsidR="0010523F" w:rsidRPr="0010523F" w14:paraId="1534613C" w14:textId="77777777" w:rsidTr="00774E7E">
        <w:tc>
          <w:tcPr>
            <w:tcW w:w="6260" w:type="dxa"/>
            <w:tcBorders>
              <w:top w:val="nil"/>
              <w:left w:val="nil"/>
              <w:bottom w:val="nil"/>
              <w:right w:val="nil"/>
            </w:tcBorders>
            <w:noWrap/>
            <w:vAlign w:val="bottom"/>
          </w:tcPr>
          <w:p w14:paraId="7A1480BD" w14:textId="77777777" w:rsidR="0010523F" w:rsidRPr="0010523F" w:rsidRDefault="0010523F" w:rsidP="0010523F">
            <w:pPr>
              <w:spacing w:line="200" w:lineRule="exact"/>
              <w:rPr>
                <w:sz w:val="22"/>
                <w:szCs w:val="22"/>
                <w:lang w:val="es-AR" w:eastAsia="en-US"/>
              </w:rPr>
            </w:pPr>
            <w:r w:rsidRPr="0010523F">
              <w:rPr>
                <w:sz w:val="22"/>
                <w:szCs w:val="22"/>
                <w:lang w:val="es-AR" w:eastAsia="en-US"/>
              </w:rPr>
              <w:t>Total 2018 (tercer trimestre)</w:t>
            </w:r>
          </w:p>
        </w:tc>
        <w:tc>
          <w:tcPr>
            <w:tcW w:w="1328" w:type="dxa"/>
            <w:tcBorders>
              <w:top w:val="nil"/>
              <w:left w:val="nil"/>
              <w:bottom w:val="nil"/>
              <w:right w:val="nil"/>
            </w:tcBorders>
            <w:vAlign w:val="bottom"/>
          </w:tcPr>
          <w:p w14:paraId="7F9BCDC4"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n-US" w:eastAsia="en-US"/>
              </w:rPr>
              <w:t>15.685</w:t>
            </w:r>
          </w:p>
        </w:tc>
        <w:tc>
          <w:tcPr>
            <w:tcW w:w="365" w:type="dxa"/>
            <w:tcBorders>
              <w:top w:val="nil"/>
              <w:left w:val="nil"/>
              <w:bottom w:val="nil"/>
              <w:right w:val="nil"/>
            </w:tcBorders>
          </w:tcPr>
          <w:p w14:paraId="1731C2D4" w14:textId="77777777" w:rsidR="0010523F" w:rsidRPr="0010523F" w:rsidRDefault="0010523F" w:rsidP="0010523F">
            <w:pPr>
              <w:spacing w:line="200" w:lineRule="exact"/>
              <w:ind w:left="-115"/>
              <w:jc w:val="right"/>
              <w:rPr>
                <w:sz w:val="22"/>
                <w:szCs w:val="22"/>
                <w:u w:val="double"/>
                <w:lang w:val="en-US" w:eastAsia="en-US"/>
              </w:rPr>
            </w:pPr>
          </w:p>
        </w:tc>
        <w:tc>
          <w:tcPr>
            <w:tcW w:w="1459" w:type="dxa"/>
            <w:tcBorders>
              <w:top w:val="nil"/>
              <w:left w:val="nil"/>
              <w:bottom w:val="nil"/>
              <w:right w:val="nil"/>
            </w:tcBorders>
          </w:tcPr>
          <w:p w14:paraId="6B0C04C6"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 xml:space="preserve">  26</w:t>
            </w:r>
          </w:p>
        </w:tc>
        <w:tc>
          <w:tcPr>
            <w:tcW w:w="1440" w:type="dxa"/>
            <w:tcBorders>
              <w:top w:val="nil"/>
              <w:left w:val="nil"/>
              <w:bottom w:val="nil"/>
              <w:right w:val="nil"/>
            </w:tcBorders>
          </w:tcPr>
          <w:p w14:paraId="471FFDE4"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2.350</w:t>
            </w:r>
          </w:p>
        </w:tc>
        <w:tc>
          <w:tcPr>
            <w:tcW w:w="1647" w:type="dxa"/>
            <w:tcBorders>
              <w:top w:val="nil"/>
              <w:left w:val="nil"/>
              <w:bottom w:val="nil"/>
              <w:right w:val="nil"/>
            </w:tcBorders>
          </w:tcPr>
          <w:p w14:paraId="315BE547"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2.047</w:t>
            </w:r>
          </w:p>
        </w:tc>
        <w:tc>
          <w:tcPr>
            <w:tcW w:w="943" w:type="dxa"/>
            <w:gridSpan w:val="2"/>
            <w:tcBorders>
              <w:top w:val="nil"/>
              <w:left w:val="nil"/>
              <w:bottom w:val="nil"/>
              <w:right w:val="nil"/>
            </w:tcBorders>
            <w:vAlign w:val="bottom"/>
          </w:tcPr>
          <w:p w14:paraId="2D779947" w14:textId="77777777" w:rsidR="0010523F" w:rsidRPr="0010523F" w:rsidRDefault="0010523F" w:rsidP="0010523F">
            <w:pPr>
              <w:tabs>
                <w:tab w:val="decimal" w:pos="816"/>
              </w:tabs>
              <w:spacing w:line="200" w:lineRule="exact"/>
              <w:ind w:left="-115"/>
              <w:jc w:val="right"/>
              <w:rPr>
                <w:sz w:val="22"/>
                <w:szCs w:val="22"/>
                <w:u w:val="double"/>
                <w:lang w:val="es-AR" w:eastAsia="en-US"/>
              </w:rPr>
            </w:pPr>
          </w:p>
        </w:tc>
        <w:tc>
          <w:tcPr>
            <w:tcW w:w="801" w:type="dxa"/>
            <w:gridSpan w:val="2"/>
            <w:tcBorders>
              <w:top w:val="nil"/>
              <w:left w:val="nil"/>
              <w:bottom w:val="nil"/>
              <w:right w:val="nil"/>
            </w:tcBorders>
            <w:vAlign w:val="bottom"/>
          </w:tcPr>
          <w:p w14:paraId="60401361"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20.108</w:t>
            </w:r>
          </w:p>
        </w:tc>
      </w:tr>
    </w:tbl>
    <w:bookmarkEnd w:id="165"/>
    <w:p w14:paraId="1582EAFB" w14:textId="77777777" w:rsidR="0010523F" w:rsidRPr="0010523F" w:rsidRDefault="0010523F" w:rsidP="0010523F">
      <w:pPr>
        <w:spacing w:before="120" w:line="220" w:lineRule="exact"/>
        <w:jc w:val="both"/>
        <w:rPr>
          <w:sz w:val="20"/>
          <w:szCs w:val="20"/>
          <w:lang w:val="es-AR" w:eastAsia="en-US"/>
        </w:rPr>
      </w:pPr>
      <w:r w:rsidRPr="0010523F">
        <w:rPr>
          <w:sz w:val="20"/>
          <w:szCs w:val="20"/>
          <w:lang w:val="es-AR" w:eastAsia="en-US"/>
        </w:rPr>
        <w:t xml:space="preserve">(1), (2) y (3) Ver hoja siguiente. </w:t>
      </w:r>
    </w:p>
    <w:p w14:paraId="5A7D4ACA" w14:textId="77777777" w:rsidR="0010523F" w:rsidRPr="0010523F" w:rsidRDefault="0010523F" w:rsidP="0010523F">
      <w:pPr>
        <w:rPr>
          <w:b/>
          <w:lang w:val="es-AR" w:eastAsia="en-US"/>
        </w:rPr>
      </w:pPr>
      <w:r w:rsidRPr="0010523F">
        <w:rPr>
          <w:b/>
          <w:lang w:val="es-AR" w:eastAsia="en-US"/>
        </w:rPr>
        <w:br w:type="page"/>
      </w:r>
    </w:p>
    <w:p w14:paraId="13AB1CA6" w14:textId="77777777" w:rsidR="0010523F" w:rsidRPr="0010523F" w:rsidRDefault="0010523F" w:rsidP="0010523F">
      <w:pPr>
        <w:jc w:val="both"/>
        <w:rPr>
          <w:b/>
          <w:lang w:val="es-AR" w:eastAsia="en-US"/>
        </w:rPr>
      </w:pPr>
      <w:r w:rsidRPr="0010523F">
        <w:rPr>
          <w:b/>
          <w:lang w:val="es-AR" w:eastAsia="en-US"/>
        </w:rPr>
        <w:t>NOTA 4 -</w:t>
      </w:r>
      <w:r w:rsidRPr="0010523F">
        <w:rPr>
          <w:b/>
          <w:lang w:val="es-AR" w:eastAsia="en-US"/>
        </w:rPr>
        <w:tab/>
        <w:t>COMPOSICIÓN DE CIERTOS RUBROS DEL ESTADO DEL RESULTADO INTERMEDIO CONDENSADO (cont.)</w:t>
      </w:r>
    </w:p>
    <w:p w14:paraId="2676CA0C" w14:textId="77777777" w:rsidR="0010523F" w:rsidRPr="0010523F" w:rsidRDefault="0010523F" w:rsidP="0010523F">
      <w:pPr>
        <w:spacing w:line="100" w:lineRule="exact"/>
        <w:jc w:val="both"/>
        <w:rPr>
          <w:sz w:val="22"/>
          <w:szCs w:val="22"/>
          <w:lang w:val="es-AR" w:eastAsia="en-US"/>
        </w:rPr>
      </w:pPr>
    </w:p>
    <w:p w14:paraId="3631FB9D" w14:textId="77777777" w:rsidR="0010523F" w:rsidRPr="0010523F" w:rsidRDefault="0010523F" w:rsidP="0010523F">
      <w:pPr>
        <w:spacing w:line="220" w:lineRule="exact"/>
        <w:jc w:val="both"/>
        <w:rPr>
          <w:szCs w:val="20"/>
          <w:lang w:val="es-AR" w:eastAsia="en-US"/>
        </w:rPr>
      </w:pPr>
      <w:r w:rsidRPr="0010523F">
        <w:rPr>
          <w:szCs w:val="20"/>
          <w:lang w:val="es-AR" w:eastAsia="en-US"/>
        </w:rPr>
        <w:t>c) Información requerida por el art. 64 inc. 1 b) de la Ley N° 19.550 por los períodos de tres y nueve meses finalizados el 30 de septiembre de 2019, presentados en forma comparativa con los mismos períodos del ejercicio anterior (cont.)</w:t>
      </w:r>
    </w:p>
    <w:p w14:paraId="368E73ED" w14:textId="77777777" w:rsidR="0010523F" w:rsidRPr="0010523F" w:rsidRDefault="0010523F" w:rsidP="0010523F">
      <w:pPr>
        <w:spacing w:line="140" w:lineRule="exact"/>
        <w:jc w:val="both"/>
        <w:rPr>
          <w:szCs w:val="20"/>
          <w:lang w:val="es-AR" w:eastAsia="en-US"/>
        </w:rPr>
      </w:pPr>
    </w:p>
    <w:tbl>
      <w:tblPr>
        <w:tblW w:w="14625" w:type="dxa"/>
        <w:tblInd w:w="-56" w:type="dxa"/>
        <w:tblLayout w:type="fixed"/>
        <w:tblLook w:val="04A0" w:firstRow="1" w:lastRow="0" w:firstColumn="1" w:lastColumn="0" w:noHBand="0" w:noVBand="1"/>
      </w:tblPr>
      <w:tblGrid>
        <w:gridCol w:w="5924"/>
        <w:gridCol w:w="1529"/>
        <w:gridCol w:w="1530"/>
        <w:gridCol w:w="1440"/>
        <w:gridCol w:w="1620"/>
        <w:gridCol w:w="1303"/>
        <w:gridCol w:w="1279"/>
      </w:tblGrid>
      <w:tr w:rsidR="0010523F" w:rsidRPr="0010523F" w14:paraId="0ECC2F59" w14:textId="77777777" w:rsidTr="00774E7E">
        <w:tc>
          <w:tcPr>
            <w:tcW w:w="5924" w:type="dxa"/>
            <w:noWrap/>
            <w:vAlign w:val="bottom"/>
          </w:tcPr>
          <w:p w14:paraId="1202264A" w14:textId="77777777" w:rsidR="0010523F" w:rsidRPr="0010523F" w:rsidRDefault="0010523F" w:rsidP="0010523F">
            <w:pPr>
              <w:tabs>
                <w:tab w:val="center" w:pos="2019"/>
                <w:tab w:val="right" w:pos="3153"/>
              </w:tabs>
              <w:spacing w:line="200" w:lineRule="exact"/>
              <w:rPr>
                <w:sz w:val="22"/>
                <w:szCs w:val="22"/>
                <w:u w:val="single"/>
                <w:lang w:val="es-AR" w:eastAsia="en-US"/>
              </w:rPr>
            </w:pPr>
          </w:p>
        </w:tc>
        <w:tc>
          <w:tcPr>
            <w:tcW w:w="8701" w:type="dxa"/>
            <w:gridSpan w:val="6"/>
            <w:tcBorders>
              <w:bottom w:val="single" w:sz="4" w:space="0" w:color="auto"/>
            </w:tcBorders>
            <w:hideMark/>
          </w:tcPr>
          <w:p w14:paraId="77839A87" w14:textId="77777777" w:rsidR="0010523F" w:rsidRPr="0010523F" w:rsidRDefault="0010523F" w:rsidP="0010523F">
            <w:pPr>
              <w:tabs>
                <w:tab w:val="left" w:pos="0"/>
                <w:tab w:val="center" w:pos="2313"/>
                <w:tab w:val="right" w:pos="8442"/>
              </w:tabs>
              <w:spacing w:line="200" w:lineRule="exact"/>
              <w:ind w:right="-16"/>
              <w:jc w:val="center"/>
              <w:rPr>
                <w:sz w:val="22"/>
                <w:szCs w:val="22"/>
                <w:lang w:val="es-AR" w:eastAsia="en-US"/>
              </w:rPr>
            </w:pPr>
            <w:r w:rsidRPr="0010523F">
              <w:rPr>
                <w:sz w:val="22"/>
                <w:szCs w:val="22"/>
                <w:lang w:val="es-AR" w:eastAsia="en-US"/>
              </w:rPr>
              <w:t>Por el período de nueve meses finalizado el 30 de septiembre de</w:t>
            </w:r>
          </w:p>
        </w:tc>
      </w:tr>
      <w:tr w:rsidR="0010523F" w:rsidRPr="0010523F" w14:paraId="477D76AA" w14:textId="77777777" w:rsidTr="00774E7E">
        <w:trPr>
          <w:trHeight w:val="140"/>
        </w:trPr>
        <w:tc>
          <w:tcPr>
            <w:tcW w:w="5924" w:type="dxa"/>
            <w:noWrap/>
            <w:vAlign w:val="bottom"/>
            <w:hideMark/>
          </w:tcPr>
          <w:p w14:paraId="4A411803" w14:textId="77777777" w:rsidR="0010523F" w:rsidRPr="0010523F" w:rsidRDefault="0010523F" w:rsidP="0010523F">
            <w:pPr>
              <w:tabs>
                <w:tab w:val="center" w:pos="2019"/>
                <w:tab w:val="right" w:pos="3153"/>
              </w:tabs>
              <w:spacing w:line="200" w:lineRule="exact"/>
              <w:rPr>
                <w:sz w:val="22"/>
                <w:szCs w:val="22"/>
                <w:u w:val="single"/>
                <w:lang w:val="es-AR" w:eastAsia="en-US"/>
              </w:rPr>
            </w:pPr>
            <w:r w:rsidRPr="0010523F">
              <w:rPr>
                <w:sz w:val="22"/>
                <w:szCs w:val="22"/>
                <w:u w:val="single"/>
                <w:lang w:val="es-AR" w:eastAsia="en-US"/>
              </w:rPr>
              <w:t xml:space="preserve"> </w:t>
            </w:r>
          </w:p>
        </w:tc>
        <w:tc>
          <w:tcPr>
            <w:tcW w:w="7422" w:type="dxa"/>
            <w:gridSpan w:val="5"/>
            <w:tcBorders>
              <w:top w:val="single" w:sz="4" w:space="0" w:color="auto"/>
              <w:left w:val="nil"/>
              <w:bottom w:val="single" w:sz="4" w:space="0" w:color="auto"/>
              <w:right w:val="nil"/>
            </w:tcBorders>
            <w:hideMark/>
          </w:tcPr>
          <w:p w14:paraId="3E430B26" w14:textId="77777777" w:rsidR="0010523F" w:rsidRPr="0010523F" w:rsidRDefault="0010523F" w:rsidP="0010523F">
            <w:pPr>
              <w:tabs>
                <w:tab w:val="left" w:pos="0"/>
                <w:tab w:val="center" w:pos="2277"/>
                <w:tab w:val="right" w:pos="7092"/>
              </w:tabs>
              <w:spacing w:line="200" w:lineRule="exact"/>
              <w:ind w:left="-66" w:right="-16"/>
              <w:jc w:val="center"/>
              <w:rPr>
                <w:sz w:val="22"/>
                <w:szCs w:val="22"/>
                <w:lang w:val="es-AR" w:eastAsia="en-US"/>
              </w:rPr>
            </w:pPr>
            <w:r w:rsidRPr="0010523F">
              <w:rPr>
                <w:sz w:val="22"/>
                <w:szCs w:val="22"/>
                <w:lang w:val="es-AR" w:eastAsia="en-US"/>
              </w:rPr>
              <w:t>2019</w:t>
            </w:r>
          </w:p>
        </w:tc>
        <w:tc>
          <w:tcPr>
            <w:tcW w:w="1279" w:type="dxa"/>
            <w:tcBorders>
              <w:top w:val="single" w:sz="4" w:space="0" w:color="auto"/>
            </w:tcBorders>
            <w:vAlign w:val="bottom"/>
            <w:hideMark/>
          </w:tcPr>
          <w:p w14:paraId="2D0F8566" w14:textId="77777777" w:rsidR="0010523F" w:rsidRPr="0010523F" w:rsidRDefault="0010523F" w:rsidP="0010523F">
            <w:pPr>
              <w:spacing w:line="200" w:lineRule="exact"/>
              <w:ind w:right="-16"/>
              <w:jc w:val="center"/>
              <w:rPr>
                <w:sz w:val="22"/>
                <w:szCs w:val="22"/>
                <w:u w:val="single"/>
                <w:lang w:val="es-AR" w:eastAsia="en-US"/>
              </w:rPr>
            </w:pPr>
            <w:r w:rsidRPr="0010523F">
              <w:rPr>
                <w:sz w:val="22"/>
                <w:szCs w:val="22"/>
                <w:u w:val="single"/>
                <w:lang w:val="es-AR" w:eastAsia="en-US"/>
              </w:rPr>
              <w:t xml:space="preserve"> 2018</w:t>
            </w:r>
          </w:p>
        </w:tc>
      </w:tr>
      <w:tr w:rsidR="0010523F" w:rsidRPr="0010523F" w14:paraId="52B13D9C" w14:textId="77777777" w:rsidTr="00774E7E">
        <w:tc>
          <w:tcPr>
            <w:tcW w:w="5924" w:type="dxa"/>
            <w:noWrap/>
            <w:vAlign w:val="bottom"/>
            <w:hideMark/>
          </w:tcPr>
          <w:p w14:paraId="333E4514" w14:textId="77777777" w:rsidR="0010523F" w:rsidRPr="0010523F" w:rsidRDefault="0010523F" w:rsidP="0010523F">
            <w:pPr>
              <w:tabs>
                <w:tab w:val="center" w:pos="2608"/>
                <w:tab w:val="right" w:pos="5018"/>
              </w:tabs>
              <w:spacing w:line="200" w:lineRule="exact"/>
              <w:rPr>
                <w:sz w:val="22"/>
                <w:szCs w:val="22"/>
                <w:u w:val="single"/>
                <w:lang w:val="es-AR" w:eastAsia="en-US"/>
              </w:rPr>
            </w:pPr>
            <w:r w:rsidRPr="0010523F">
              <w:rPr>
                <w:sz w:val="22"/>
                <w:szCs w:val="22"/>
                <w:u w:val="single"/>
                <w:lang w:val="es-AR" w:eastAsia="en-US"/>
              </w:rPr>
              <w:tab/>
              <w:t>Rubros</w:t>
            </w:r>
            <w:r w:rsidRPr="0010523F">
              <w:rPr>
                <w:sz w:val="22"/>
                <w:szCs w:val="22"/>
                <w:u w:val="single"/>
                <w:lang w:val="es-AR" w:eastAsia="en-US"/>
              </w:rPr>
              <w:tab/>
            </w:r>
          </w:p>
        </w:tc>
        <w:tc>
          <w:tcPr>
            <w:tcW w:w="1529" w:type="dxa"/>
            <w:tcBorders>
              <w:top w:val="single" w:sz="4" w:space="0" w:color="auto"/>
              <w:left w:val="nil"/>
              <w:bottom w:val="nil"/>
              <w:right w:val="nil"/>
            </w:tcBorders>
            <w:vAlign w:val="bottom"/>
            <w:hideMark/>
          </w:tcPr>
          <w:p w14:paraId="76ECEAA0" w14:textId="77777777" w:rsidR="0010523F" w:rsidRPr="0010523F" w:rsidRDefault="0010523F" w:rsidP="0010523F">
            <w:pPr>
              <w:spacing w:line="200" w:lineRule="exact"/>
              <w:jc w:val="center"/>
              <w:rPr>
                <w:sz w:val="22"/>
                <w:szCs w:val="22"/>
                <w:lang w:val="es-AR" w:eastAsia="en-US"/>
              </w:rPr>
            </w:pPr>
            <w:r w:rsidRPr="0010523F">
              <w:rPr>
                <w:sz w:val="22"/>
                <w:szCs w:val="22"/>
                <w:lang w:val="es-AR" w:eastAsia="en-US"/>
              </w:rPr>
              <w:t xml:space="preserve">Costos de </w:t>
            </w:r>
            <w:r w:rsidRPr="0010523F">
              <w:rPr>
                <w:sz w:val="22"/>
                <w:szCs w:val="22"/>
                <w:u w:val="single"/>
                <w:lang w:val="es-AR" w:eastAsia="en-US"/>
              </w:rPr>
              <w:t>producción</w:t>
            </w:r>
          </w:p>
        </w:tc>
        <w:tc>
          <w:tcPr>
            <w:tcW w:w="1530" w:type="dxa"/>
            <w:tcBorders>
              <w:top w:val="single" w:sz="4" w:space="0" w:color="auto"/>
              <w:left w:val="nil"/>
              <w:bottom w:val="nil"/>
              <w:right w:val="nil"/>
            </w:tcBorders>
            <w:vAlign w:val="bottom"/>
            <w:hideMark/>
          </w:tcPr>
          <w:p w14:paraId="79F1FE92" w14:textId="77777777" w:rsidR="0010523F" w:rsidRPr="0010523F" w:rsidRDefault="0010523F" w:rsidP="0010523F">
            <w:pPr>
              <w:spacing w:line="200" w:lineRule="exact"/>
              <w:ind w:left="-118" w:right="-82"/>
              <w:jc w:val="center"/>
              <w:rPr>
                <w:sz w:val="22"/>
                <w:szCs w:val="22"/>
                <w:lang w:val="es-AR" w:eastAsia="en-US"/>
              </w:rPr>
            </w:pPr>
            <w:r w:rsidRPr="0010523F">
              <w:rPr>
                <w:sz w:val="22"/>
                <w:szCs w:val="22"/>
                <w:lang w:val="es-AR" w:eastAsia="en-US"/>
              </w:rPr>
              <w:t xml:space="preserve">Gastos de </w:t>
            </w:r>
            <w:r w:rsidRPr="0010523F">
              <w:rPr>
                <w:sz w:val="22"/>
                <w:szCs w:val="22"/>
                <w:u w:val="single"/>
                <w:lang w:val="es-AR" w:eastAsia="en-US"/>
              </w:rPr>
              <w:t xml:space="preserve">exploración </w:t>
            </w:r>
            <w:r w:rsidRPr="0010523F">
              <w:rPr>
                <w:sz w:val="22"/>
                <w:szCs w:val="22"/>
                <w:lang w:val="es-AR" w:eastAsia="en-US"/>
              </w:rPr>
              <w:t>(3)</w:t>
            </w:r>
          </w:p>
        </w:tc>
        <w:tc>
          <w:tcPr>
            <w:tcW w:w="1440" w:type="dxa"/>
            <w:tcBorders>
              <w:top w:val="single" w:sz="4" w:space="0" w:color="auto"/>
              <w:left w:val="nil"/>
              <w:bottom w:val="nil"/>
              <w:right w:val="nil"/>
            </w:tcBorders>
            <w:vAlign w:val="bottom"/>
            <w:hideMark/>
          </w:tcPr>
          <w:p w14:paraId="53C03062" w14:textId="77777777" w:rsidR="0010523F" w:rsidRPr="0010523F" w:rsidRDefault="0010523F" w:rsidP="0010523F">
            <w:pPr>
              <w:spacing w:line="200" w:lineRule="exact"/>
              <w:ind w:left="-118" w:right="-82"/>
              <w:jc w:val="center"/>
              <w:rPr>
                <w:sz w:val="22"/>
                <w:szCs w:val="22"/>
                <w:lang w:val="es-AR" w:eastAsia="en-US"/>
              </w:rPr>
            </w:pPr>
            <w:r w:rsidRPr="0010523F">
              <w:rPr>
                <w:sz w:val="22"/>
                <w:szCs w:val="22"/>
                <w:lang w:val="es-AR" w:eastAsia="en-US"/>
              </w:rPr>
              <w:t xml:space="preserve">Gastos de </w:t>
            </w:r>
            <w:r w:rsidRPr="0010523F">
              <w:rPr>
                <w:sz w:val="22"/>
                <w:szCs w:val="22"/>
                <w:u w:val="single"/>
                <w:lang w:val="es-AR" w:eastAsia="en-US"/>
              </w:rPr>
              <w:t>administración</w:t>
            </w:r>
          </w:p>
        </w:tc>
        <w:tc>
          <w:tcPr>
            <w:tcW w:w="1620" w:type="dxa"/>
            <w:tcBorders>
              <w:top w:val="single" w:sz="4" w:space="0" w:color="auto"/>
              <w:left w:val="nil"/>
              <w:bottom w:val="nil"/>
              <w:right w:val="nil"/>
            </w:tcBorders>
            <w:vAlign w:val="bottom"/>
            <w:hideMark/>
          </w:tcPr>
          <w:p w14:paraId="0F0CF77F" w14:textId="77777777" w:rsidR="0010523F" w:rsidRPr="0010523F" w:rsidRDefault="0010523F" w:rsidP="0010523F">
            <w:pPr>
              <w:spacing w:line="200" w:lineRule="exact"/>
              <w:ind w:left="-118" w:right="-82"/>
              <w:jc w:val="center"/>
              <w:rPr>
                <w:sz w:val="22"/>
                <w:szCs w:val="22"/>
                <w:lang w:val="es-AR" w:eastAsia="en-US"/>
              </w:rPr>
            </w:pPr>
            <w:r w:rsidRPr="0010523F">
              <w:rPr>
                <w:sz w:val="22"/>
                <w:szCs w:val="22"/>
                <w:lang w:val="es-AR" w:eastAsia="en-US"/>
              </w:rPr>
              <w:t xml:space="preserve">Gastos de </w:t>
            </w:r>
            <w:r w:rsidRPr="0010523F">
              <w:rPr>
                <w:sz w:val="22"/>
                <w:szCs w:val="22"/>
                <w:u w:val="single"/>
                <w:lang w:val="es-AR" w:eastAsia="en-US"/>
              </w:rPr>
              <w:t>comercialización</w:t>
            </w:r>
          </w:p>
        </w:tc>
        <w:tc>
          <w:tcPr>
            <w:tcW w:w="1303" w:type="dxa"/>
            <w:tcBorders>
              <w:top w:val="single" w:sz="4" w:space="0" w:color="auto"/>
              <w:left w:val="nil"/>
              <w:bottom w:val="nil"/>
              <w:right w:val="nil"/>
            </w:tcBorders>
            <w:vAlign w:val="bottom"/>
            <w:hideMark/>
          </w:tcPr>
          <w:p w14:paraId="7F7F7915" w14:textId="77777777" w:rsidR="0010523F" w:rsidRPr="0010523F" w:rsidRDefault="0010523F" w:rsidP="0010523F">
            <w:pPr>
              <w:spacing w:line="200" w:lineRule="exact"/>
              <w:ind w:right="-16"/>
              <w:jc w:val="center"/>
              <w:rPr>
                <w:sz w:val="22"/>
                <w:szCs w:val="22"/>
                <w:u w:val="single"/>
                <w:lang w:val="es-AR" w:eastAsia="en-US"/>
              </w:rPr>
            </w:pPr>
            <w:r w:rsidRPr="0010523F">
              <w:rPr>
                <w:sz w:val="22"/>
                <w:szCs w:val="22"/>
                <w:u w:val="single"/>
                <w:lang w:val="es-AR" w:eastAsia="en-US"/>
              </w:rPr>
              <w:t>    Total  </w:t>
            </w:r>
          </w:p>
        </w:tc>
        <w:tc>
          <w:tcPr>
            <w:tcW w:w="1279" w:type="dxa"/>
            <w:vAlign w:val="bottom"/>
            <w:hideMark/>
          </w:tcPr>
          <w:p w14:paraId="58551270" w14:textId="77777777" w:rsidR="0010523F" w:rsidRPr="0010523F" w:rsidRDefault="0010523F" w:rsidP="0010523F">
            <w:pPr>
              <w:spacing w:line="200" w:lineRule="exact"/>
              <w:ind w:right="-16"/>
              <w:jc w:val="center"/>
              <w:rPr>
                <w:sz w:val="22"/>
                <w:szCs w:val="22"/>
                <w:u w:val="single"/>
                <w:lang w:val="es-AR" w:eastAsia="en-US"/>
              </w:rPr>
            </w:pPr>
            <w:r w:rsidRPr="0010523F">
              <w:rPr>
                <w:sz w:val="22"/>
                <w:szCs w:val="22"/>
                <w:u w:val="single"/>
                <w:lang w:val="es-AR" w:eastAsia="en-US"/>
              </w:rPr>
              <w:t xml:space="preserve">    Total    </w:t>
            </w:r>
          </w:p>
        </w:tc>
      </w:tr>
      <w:tr w:rsidR="0010523F" w:rsidRPr="0010523F" w14:paraId="3C2159E1" w14:textId="77777777" w:rsidTr="00774E7E">
        <w:trPr>
          <w:trHeight w:val="80"/>
        </w:trPr>
        <w:tc>
          <w:tcPr>
            <w:tcW w:w="5924" w:type="dxa"/>
            <w:noWrap/>
            <w:vAlign w:val="bottom"/>
          </w:tcPr>
          <w:p w14:paraId="74956B3A"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529" w:type="dxa"/>
          </w:tcPr>
          <w:p w14:paraId="233F7CF1" w14:textId="77777777" w:rsidR="0010523F" w:rsidRPr="0010523F" w:rsidRDefault="0010523F" w:rsidP="0010523F">
            <w:pPr>
              <w:spacing w:line="80" w:lineRule="exact"/>
              <w:jc w:val="center"/>
              <w:rPr>
                <w:sz w:val="22"/>
                <w:szCs w:val="22"/>
                <w:lang w:val="es-AR" w:eastAsia="en-US"/>
              </w:rPr>
            </w:pPr>
          </w:p>
        </w:tc>
        <w:tc>
          <w:tcPr>
            <w:tcW w:w="1530" w:type="dxa"/>
          </w:tcPr>
          <w:p w14:paraId="55A9008B" w14:textId="77777777" w:rsidR="0010523F" w:rsidRPr="0010523F" w:rsidRDefault="0010523F" w:rsidP="0010523F">
            <w:pPr>
              <w:spacing w:line="80" w:lineRule="exact"/>
              <w:jc w:val="center"/>
              <w:rPr>
                <w:sz w:val="22"/>
                <w:szCs w:val="22"/>
                <w:lang w:val="es-AR" w:eastAsia="en-US"/>
              </w:rPr>
            </w:pPr>
          </w:p>
        </w:tc>
        <w:tc>
          <w:tcPr>
            <w:tcW w:w="1440" w:type="dxa"/>
          </w:tcPr>
          <w:p w14:paraId="4F86A9EA" w14:textId="77777777" w:rsidR="0010523F" w:rsidRPr="0010523F" w:rsidRDefault="0010523F" w:rsidP="0010523F">
            <w:pPr>
              <w:spacing w:line="80" w:lineRule="exact"/>
              <w:jc w:val="center"/>
              <w:rPr>
                <w:sz w:val="22"/>
                <w:szCs w:val="22"/>
                <w:lang w:val="es-AR" w:eastAsia="en-US"/>
              </w:rPr>
            </w:pPr>
          </w:p>
        </w:tc>
        <w:tc>
          <w:tcPr>
            <w:tcW w:w="1620" w:type="dxa"/>
          </w:tcPr>
          <w:p w14:paraId="7C31528A" w14:textId="77777777" w:rsidR="0010523F" w:rsidRPr="0010523F" w:rsidRDefault="0010523F" w:rsidP="0010523F">
            <w:pPr>
              <w:spacing w:line="80" w:lineRule="exact"/>
              <w:jc w:val="center"/>
              <w:rPr>
                <w:sz w:val="22"/>
                <w:szCs w:val="22"/>
                <w:lang w:val="es-AR" w:eastAsia="en-US"/>
              </w:rPr>
            </w:pPr>
          </w:p>
        </w:tc>
        <w:tc>
          <w:tcPr>
            <w:tcW w:w="1303" w:type="dxa"/>
          </w:tcPr>
          <w:p w14:paraId="0B3884DA" w14:textId="77777777" w:rsidR="0010523F" w:rsidRPr="0010523F" w:rsidRDefault="0010523F" w:rsidP="0010523F">
            <w:pPr>
              <w:spacing w:line="80" w:lineRule="exact"/>
              <w:jc w:val="center"/>
              <w:rPr>
                <w:sz w:val="22"/>
                <w:szCs w:val="22"/>
                <w:lang w:val="es-AR" w:eastAsia="en-US"/>
              </w:rPr>
            </w:pPr>
          </w:p>
        </w:tc>
        <w:tc>
          <w:tcPr>
            <w:tcW w:w="1279" w:type="dxa"/>
          </w:tcPr>
          <w:p w14:paraId="124D5778" w14:textId="77777777" w:rsidR="0010523F" w:rsidRPr="0010523F" w:rsidRDefault="0010523F" w:rsidP="0010523F">
            <w:pPr>
              <w:spacing w:line="80" w:lineRule="exact"/>
              <w:jc w:val="center"/>
              <w:rPr>
                <w:sz w:val="22"/>
                <w:szCs w:val="22"/>
                <w:lang w:val="es-AR" w:eastAsia="en-US"/>
              </w:rPr>
            </w:pPr>
          </w:p>
        </w:tc>
      </w:tr>
      <w:tr w:rsidR="0010523F" w:rsidRPr="0010523F" w14:paraId="584CF116" w14:textId="77777777" w:rsidTr="00774E7E">
        <w:trPr>
          <w:trHeight w:val="198"/>
        </w:trPr>
        <w:tc>
          <w:tcPr>
            <w:tcW w:w="5924" w:type="dxa"/>
            <w:noWrap/>
            <w:vAlign w:val="bottom"/>
            <w:hideMark/>
          </w:tcPr>
          <w:p w14:paraId="6681EAEC" w14:textId="77777777" w:rsidR="0010523F" w:rsidRPr="0010523F" w:rsidRDefault="0010523F" w:rsidP="0010523F">
            <w:pPr>
              <w:spacing w:line="200" w:lineRule="exact"/>
              <w:rPr>
                <w:sz w:val="22"/>
                <w:szCs w:val="22"/>
                <w:lang w:val="es-AR" w:eastAsia="en-US"/>
              </w:rPr>
            </w:pPr>
            <w:r w:rsidRPr="0010523F">
              <w:rPr>
                <w:sz w:val="22"/>
                <w:szCs w:val="22"/>
                <w:lang w:val="es-AR" w:eastAsia="en-US"/>
              </w:rPr>
              <w:t>Honorarios y retribuciones por servicios</w:t>
            </w:r>
          </w:p>
        </w:tc>
        <w:tc>
          <w:tcPr>
            <w:tcW w:w="1529" w:type="dxa"/>
            <w:hideMark/>
          </w:tcPr>
          <w:p w14:paraId="211E45F0"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331</w:t>
            </w:r>
          </w:p>
        </w:tc>
        <w:tc>
          <w:tcPr>
            <w:tcW w:w="1530" w:type="dxa"/>
            <w:hideMark/>
          </w:tcPr>
          <w:p w14:paraId="216DD8B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0E20884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1.032</w:t>
            </w:r>
          </w:p>
        </w:tc>
        <w:tc>
          <w:tcPr>
            <w:tcW w:w="1620" w:type="dxa"/>
            <w:hideMark/>
          </w:tcPr>
          <w:p w14:paraId="1117E4E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33</w:t>
            </w:r>
          </w:p>
        </w:tc>
        <w:tc>
          <w:tcPr>
            <w:tcW w:w="1303" w:type="dxa"/>
            <w:hideMark/>
          </w:tcPr>
          <w:p w14:paraId="5CB6449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1.396</w:t>
            </w:r>
          </w:p>
        </w:tc>
        <w:tc>
          <w:tcPr>
            <w:tcW w:w="1279" w:type="dxa"/>
            <w:hideMark/>
          </w:tcPr>
          <w:p w14:paraId="577255A8"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748</w:t>
            </w:r>
          </w:p>
        </w:tc>
      </w:tr>
      <w:tr w:rsidR="0010523F" w:rsidRPr="0010523F" w14:paraId="2C3628CE" w14:textId="77777777" w:rsidTr="00774E7E">
        <w:trPr>
          <w:trHeight w:val="198"/>
        </w:trPr>
        <w:tc>
          <w:tcPr>
            <w:tcW w:w="5924" w:type="dxa"/>
            <w:noWrap/>
            <w:vAlign w:val="bottom"/>
            <w:hideMark/>
          </w:tcPr>
          <w:p w14:paraId="1AC9B7C7" w14:textId="77777777" w:rsidR="0010523F" w:rsidRPr="0010523F" w:rsidRDefault="0010523F" w:rsidP="0010523F">
            <w:pPr>
              <w:spacing w:line="200" w:lineRule="exact"/>
              <w:rPr>
                <w:sz w:val="22"/>
                <w:szCs w:val="22"/>
                <w:lang w:val="es-AR" w:eastAsia="en-US"/>
              </w:rPr>
            </w:pPr>
            <w:r w:rsidRPr="0010523F">
              <w:rPr>
                <w:sz w:val="22"/>
                <w:szCs w:val="22"/>
                <w:lang w:val="es-AR" w:eastAsia="en-US"/>
              </w:rPr>
              <w:t>Remuneraciones y beneficios sociales al personal</w:t>
            </w:r>
          </w:p>
        </w:tc>
        <w:tc>
          <w:tcPr>
            <w:tcW w:w="1529" w:type="dxa"/>
            <w:vAlign w:val="bottom"/>
            <w:hideMark/>
          </w:tcPr>
          <w:p w14:paraId="479C1E84"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4.482</w:t>
            </w:r>
          </w:p>
        </w:tc>
        <w:tc>
          <w:tcPr>
            <w:tcW w:w="1530" w:type="dxa"/>
            <w:vAlign w:val="bottom"/>
            <w:hideMark/>
          </w:tcPr>
          <w:p w14:paraId="4B4B83E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vAlign w:val="bottom"/>
            <w:hideMark/>
          </w:tcPr>
          <w:p w14:paraId="2B0FCF2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3.421</w:t>
            </w:r>
          </w:p>
        </w:tc>
        <w:tc>
          <w:tcPr>
            <w:tcW w:w="1620" w:type="dxa"/>
            <w:vAlign w:val="bottom"/>
            <w:hideMark/>
          </w:tcPr>
          <w:p w14:paraId="188A87F3"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1.544</w:t>
            </w:r>
          </w:p>
        </w:tc>
        <w:tc>
          <w:tcPr>
            <w:tcW w:w="1303" w:type="dxa"/>
            <w:vAlign w:val="bottom"/>
            <w:hideMark/>
          </w:tcPr>
          <w:p w14:paraId="158E300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9.447</w:t>
            </w:r>
          </w:p>
        </w:tc>
        <w:tc>
          <w:tcPr>
            <w:tcW w:w="1279" w:type="dxa"/>
            <w:vAlign w:val="bottom"/>
            <w:hideMark/>
          </w:tcPr>
          <w:p w14:paraId="0AD5193E"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5.127</w:t>
            </w:r>
          </w:p>
        </w:tc>
      </w:tr>
      <w:tr w:rsidR="0010523F" w:rsidRPr="0010523F" w14:paraId="2F4EC5F6" w14:textId="77777777" w:rsidTr="00774E7E">
        <w:trPr>
          <w:trHeight w:val="198"/>
        </w:trPr>
        <w:tc>
          <w:tcPr>
            <w:tcW w:w="5924" w:type="dxa"/>
            <w:noWrap/>
            <w:vAlign w:val="bottom"/>
            <w:hideMark/>
          </w:tcPr>
          <w:p w14:paraId="34C8330A" w14:textId="77777777" w:rsidR="0010523F" w:rsidRPr="0010523F" w:rsidRDefault="0010523F" w:rsidP="0010523F">
            <w:pPr>
              <w:spacing w:line="200" w:lineRule="exact"/>
              <w:rPr>
                <w:sz w:val="22"/>
                <w:szCs w:val="22"/>
                <w:lang w:val="es-AR" w:eastAsia="en-US"/>
              </w:rPr>
            </w:pPr>
            <w:r w:rsidRPr="0010523F">
              <w:rPr>
                <w:sz w:val="22"/>
                <w:szCs w:val="22"/>
                <w:lang w:val="es-AR" w:eastAsia="en-US"/>
              </w:rPr>
              <w:t>Contribuciones sociales</w:t>
            </w:r>
          </w:p>
        </w:tc>
        <w:tc>
          <w:tcPr>
            <w:tcW w:w="1529" w:type="dxa"/>
            <w:hideMark/>
          </w:tcPr>
          <w:p w14:paraId="7F5AD60E"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936</w:t>
            </w:r>
          </w:p>
        </w:tc>
        <w:tc>
          <w:tcPr>
            <w:tcW w:w="1530" w:type="dxa"/>
            <w:hideMark/>
          </w:tcPr>
          <w:p w14:paraId="5AD2C59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62F3A22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800</w:t>
            </w:r>
          </w:p>
        </w:tc>
        <w:tc>
          <w:tcPr>
            <w:tcW w:w="1620" w:type="dxa"/>
            <w:hideMark/>
          </w:tcPr>
          <w:p w14:paraId="37A079A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350</w:t>
            </w:r>
          </w:p>
        </w:tc>
        <w:tc>
          <w:tcPr>
            <w:tcW w:w="1303" w:type="dxa"/>
            <w:hideMark/>
          </w:tcPr>
          <w:p w14:paraId="2267BA1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2.086</w:t>
            </w:r>
          </w:p>
        </w:tc>
        <w:tc>
          <w:tcPr>
            <w:tcW w:w="1279" w:type="dxa"/>
            <w:hideMark/>
          </w:tcPr>
          <w:p w14:paraId="005A9D3C"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1.055</w:t>
            </w:r>
          </w:p>
        </w:tc>
      </w:tr>
      <w:tr w:rsidR="0010523F" w:rsidRPr="0010523F" w14:paraId="48A16379" w14:textId="77777777" w:rsidTr="00774E7E">
        <w:trPr>
          <w:trHeight w:val="198"/>
        </w:trPr>
        <w:tc>
          <w:tcPr>
            <w:tcW w:w="5924" w:type="dxa"/>
            <w:noWrap/>
            <w:vAlign w:val="bottom"/>
            <w:hideMark/>
          </w:tcPr>
          <w:p w14:paraId="7C0D4CED" w14:textId="77777777" w:rsidR="0010523F" w:rsidRPr="0010523F" w:rsidRDefault="0010523F" w:rsidP="0010523F">
            <w:pPr>
              <w:spacing w:line="200" w:lineRule="exact"/>
              <w:rPr>
                <w:sz w:val="22"/>
                <w:szCs w:val="22"/>
                <w:lang w:val="es-AR" w:eastAsia="en-US"/>
              </w:rPr>
            </w:pPr>
            <w:r w:rsidRPr="0010523F">
              <w:rPr>
                <w:sz w:val="22"/>
                <w:szCs w:val="22"/>
                <w:lang w:val="es-AR" w:eastAsia="en-US"/>
              </w:rPr>
              <w:t>Impuestos, tasas y contribuciones</w:t>
            </w:r>
          </w:p>
        </w:tc>
        <w:tc>
          <w:tcPr>
            <w:tcW w:w="1529" w:type="dxa"/>
            <w:hideMark/>
          </w:tcPr>
          <w:p w14:paraId="254D112B"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14.059</w:t>
            </w:r>
          </w:p>
        </w:tc>
        <w:tc>
          <w:tcPr>
            <w:tcW w:w="1530" w:type="dxa"/>
            <w:hideMark/>
          </w:tcPr>
          <w:p w14:paraId="189855D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2722144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1.351</w:t>
            </w:r>
          </w:p>
        </w:tc>
        <w:tc>
          <w:tcPr>
            <w:tcW w:w="1620" w:type="dxa"/>
            <w:hideMark/>
          </w:tcPr>
          <w:p w14:paraId="6171260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2.874</w:t>
            </w:r>
          </w:p>
        </w:tc>
        <w:tc>
          <w:tcPr>
            <w:tcW w:w="1303" w:type="dxa"/>
            <w:hideMark/>
          </w:tcPr>
          <w:p w14:paraId="4CCD083A"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18.284</w:t>
            </w:r>
          </w:p>
        </w:tc>
        <w:tc>
          <w:tcPr>
            <w:tcW w:w="1279" w:type="dxa"/>
            <w:hideMark/>
          </w:tcPr>
          <w:p w14:paraId="70C1748E"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11.633</w:t>
            </w:r>
          </w:p>
        </w:tc>
      </w:tr>
      <w:tr w:rsidR="0010523F" w:rsidRPr="0010523F" w14:paraId="3E40E0B8" w14:textId="77777777" w:rsidTr="00774E7E">
        <w:trPr>
          <w:trHeight w:val="198"/>
        </w:trPr>
        <w:tc>
          <w:tcPr>
            <w:tcW w:w="5924" w:type="dxa"/>
            <w:noWrap/>
            <w:vAlign w:val="bottom"/>
            <w:hideMark/>
          </w:tcPr>
          <w:p w14:paraId="7271E468" w14:textId="77777777" w:rsidR="0010523F" w:rsidRPr="0010523F" w:rsidRDefault="0010523F" w:rsidP="0010523F">
            <w:pPr>
              <w:spacing w:line="200" w:lineRule="exact"/>
              <w:rPr>
                <w:sz w:val="22"/>
                <w:szCs w:val="22"/>
                <w:lang w:val="es-AR" w:eastAsia="en-US"/>
              </w:rPr>
            </w:pPr>
            <w:r w:rsidRPr="0010523F">
              <w:rPr>
                <w:sz w:val="22"/>
                <w:szCs w:val="22"/>
                <w:lang w:val="es-AR" w:eastAsia="en-US"/>
              </w:rPr>
              <w:t>Depreciación de propiedad, planta y equipo (Nota 3.a)</w:t>
            </w:r>
          </w:p>
        </w:tc>
        <w:tc>
          <w:tcPr>
            <w:tcW w:w="1529" w:type="dxa"/>
            <w:vAlign w:val="bottom"/>
            <w:hideMark/>
          </w:tcPr>
          <w:p w14:paraId="1654669D" w14:textId="77777777" w:rsidR="0010523F" w:rsidRPr="0010523F" w:rsidRDefault="0010523F" w:rsidP="0010523F">
            <w:pPr>
              <w:tabs>
                <w:tab w:val="decimal" w:pos="882"/>
              </w:tabs>
              <w:spacing w:line="200" w:lineRule="exact"/>
              <w:ind w:left="-115" w:right="-195"/>
              <w:jc w:val="both"/>
              <w:rPr>
                <w:sz w:val="22"/>
                <w:szCs w:val="22"/>
                <w:lang w:val="es-AR" w:eastAsia="en-US"/>
              </w:rPr>
            </w:pPr>
            <w:r w:rsidRPr="0010523F">
              <w:rPr>
                <w:sz w:val="22"/>
                <w:szCs w:val="22"/>
                <w:lang w:val="es-AR" w:eastAsia="en-US"/>
              </w:rPr>
              <w:t>26.757 (1)</w:t>
            </w:r>
          </w:p>
        </w:tc>
        <w:tc>
          <w:tcPr>
            <w:tcW w:w="1530" w:type="dxa"/>
            <w:vAlign w:val="bottom"/>
            <w:hideMark/>
          </w:tcPr>
          <w:p w14:paraId="3EF1603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vAlign w:val="bottom"/>
            <w:hideMark/>
          </w:tcPr>
          <w:p w14:paraId="4D03F26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146</w:t>
            </w:r>
          </w:p>
        </w:tc>
        <w:tc>
          <w:tcPr>
            <w:tcW w:w="1620" w:type="dxa"/>
            <w:vAlign w:val="bottom"/>
            <w:hideMark/>
          </w:tcPr>
          <w:p w14:paraId="2B76E82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356</w:t>
            </w:r>
          </w:p>
        </w:tc>
        <w:tc>
          <w:tcPr>
            <w:tcW w:w="1303" w:type="dxa"/>
            <w:vAlign w:val="bottom"/>
            <w:hideMark/>
          </w:tcPr>
          <w:p w14:paraId="0BB5FE3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27.259</w:t>
            </w:r>
          </w:p>
        </w:tc>
        <w:tc>
          <w:tcPr>
            <w:tcW w:w="1279" w:type="dxa"/>
            <w:vAlign w:val="bottom"/>
            <w:hideMark/>
          </w:tcPr>
          <w:p w14:paraId="5FE70F3F"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15.103</w:t>
            </w:r>
          </w:p>
        </w:tc>
      </w:tr>
      <w:tr w:rsidR="0010523F" w:rsidRPr="0010523F" w14:paraId="21F839FD" w14:textId="77777777" w:rsidTr="00774E7E">
        <w:trPr>
          <w:trHeight w:val="198"/>
        </w:trPr>
        <w:tc>
          <w:tcPr>
            <w:tcW w:w="5924" w:type="dxa"/>
            <w:noWrap/>
            <w:vAlign w:val="bottom"/>
            <w:hideMark/>
          </w:tcPr>
          <w:p w14:paraId="59F9BDD9" w14:textId="77777777" w:rsidR="0010523F" w:rsidRPr="0010523F" w:rsidRDefault="0010523F" w:rsidP="0010523F">
            <w:pPr>
              <w:spacing w:line="200" w:lineRule="exact"/>
              <w:rPr>
                <w:sz w:val="22"/>
                <w:szCs w:val="22"/>
                <w:lang w:val="es-AR" w:eastAsia="en-US"/>
              </w:rPr>
            </w:pPr>
            <w:r w:rsidRPr="0010523F">
              <w:rPr>
                <w:sz w:val="22"/>
                <w:szCs w:val="22"/>
                <w:lang w:val="es-AR" w:eastAsia="en-US"/>
              </w:rPr>
              <w:t>Amortización de activos intangibles (Nota 3.b)</w:t>
            </w:r>
          </w:p>
        </w:tc>
        <w:tc>
          <w:tcPr>
            <w:tcW w:w="1529" w:type="dxa"/>
            <w:vAlign w:val="bottom"/>
            <w:hideMark/>
          </w:tcPr>
          <w:p w14:paraId="5CF500DA"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 xml:space="preserve">14 </w:t>
            </w:r>
          </w:p>
        </w:tc>
        <w:tc>
          <w:tcPr>
            <w:tcW w:w="1530" w:type="dxa"/>
            <w:vAlign w:val="bottom"/>
            <w:hideMark/>
          </w:tcPr>
          <w:p w14:paraId="3E2E8EE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vAlign w:val="bottom"/>
            <w:hideMark/>
          </w:tcPr>
          <w:p w14:paraId="1B2DEADF"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406</w:t>
            </w:r>
          </w:p>
        </w:tc>
        <w:tc>
          <w:tcPr>
            <w:tcW w:w="1620" w:type="dxa"/>
            <w:vAlign w:val="bottom"/>
            <w:hideMark/>
          </w:tcPr>
          <w:p w14:paraId="4B983F82"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w:t>
            </w:r>
          </w:p>
        </w:tc>
        <w:tc>
          <w:tcPr>
            <w:tcW w:w="1303" w:type="dxa"/>
            <w:vAlign w:val="bottom"/>
            <w:hideMark/>
          </w:tcPr>
          <w:p w14:paraId="2AC9378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422</w:t>
            </w:r>
          </w:p>
        </w:tc>
        <w:tc>
          <w:tcPr>
            <w:tcW w:w="1279" w:type="dxa"/>
            <w:vAlign w:val="bottom"/>
            <w:hideMark/>
          </w:tcPr>
          <w:p w14:paraId="046496C2"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220</w:t>
            </w:r>
          </w:p>
        </w:tc>
      </w:tr>
      <w:tr w:rsidR="0010523F" w:rsidRPr="0010523F" w14:paraId="4EB4D522" w14:textId="77777777" w:rsidTr="00774E7E">
        <w:trPr>
          <w:trHeight w:val="198"/>
        </w:trPr>
        <w:tc>
          <w:tcPr>
            <w:tcW w:w="5924" w:type="dxa"/>
            <w:noWrap/>
            <w:vAlign w:val="bottom"/>
          </w:tcPr>
          <w:p w14:paraId="4AD56A83" w14:textId="77777777" w:rsidR="0010523F" w:rsidRPr="0010523F" w:rsidRDefault="0010523F" w:rsidP="0010523F">
            <w:pPr>
              <w:spacing w:line="200" w:lineRule="exact"/>
              <w:rPr>
                <w:sz w:val="22"/>
                <w:szCs w:val="22"/>
                <w:lang w:val="es-AR" w:eastAsia="en-US"/>
              </w:rPr>
            </w:pPr>
            <w:r w:rsidRPr="0010523F">
              <w:rPr>
                <w:sz w:val="22"/>
                <w:szCs w:val="22"/>
                <w:lang w:val="es-AR" w:eastAsia="en-US"/>
              </w:rPr>
              <w:t>Depreciación de activos por derecho a uso (Nota 3.c)</w:t>
            </w:r>
          </w:p>
        </w:tc>
        <w:tc>
          <w:tcPr>
            <w:tcW w:w="1529" w:type="dxa"/>
            <w:vAlign w:val="bottom"/>
          </w:tcPr>
          <w:p w14:paraId="786407FE" w14:textId="77777777" w:rsidR="0010523F" w:rsidRPr="0010523F" w:rsidDel="00CC3B9D"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708 (2)</w:t>
            </w:r>
          </w:p>
        </w:tc>
        <w:tc>
          <w:tcPr>
            <w:tcW w:w="1530" w:type="dxa"/>
            <w:vAlign w:val="bottom"/>
          </w:tcPr>
          <w:p w14:paraId="3093846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vAlign w:val="bottom"/>
          </w:tcPr>
          <w:p w14:paraId="264B10E7" w14:textId="77777777" w:rsidR="0010523F" w:rsidRPr="0010523F" w:rsidDel="00027698" w:rsidRDefault="0010523F" w:rsidP="0010523F">
            <w:pPr>
              <w:spacing w:line="200" w:lineRule="exact"/>
              <w:ind w:left="-115"/>
              <w:jc w:val="right"/>
              <w:rPr>
                <w:sz w:val="22"/>
                <w:szCs w:val="22"/>
                <w:lang w:val="es-AR" w:eastAsia="en-US"/>
              </w:rPr>
            </w:pPr>
            <w:r w:rsidRPr="0010523F">
              <w:rPr>
                <w:sz w:val="22"/>
                <w:szCs w:val="22"/>
                <w:lang w:val="es-AR" w:eastAsia="en-US"/>
              </w:rPr>
              <w:t>241</w:t>
            </w:r>
          </w:p>
        </w:tc>
        <w:tc>
          <w:tcPr>
            <w:tcW w:w="1620" w:type="dxa"/>
            <w:vAlign w:val="bottom"/>
          </w:tcPr>
          <w:p w14:paraId="28D42B36" w14:textId="77777777" w:rsidR="0010523F" w:rsidRPr="0010523F" w:rsidDel="00027698" w:rsidRDefault="0010523F" w:rsidP="0010523F">
            <w:pPr>
              <w:spacing w:line="200" w:lineRule="exact"/>
              <w:ind w:left="-115"/>
              <w:jc w:val="right"/>
              <w:rPr>
                <w:sz w:val="22"/>
                <w:szCs w:val="22"/>
                <w:lang w:val="es-AR" w:eastAsia="en-US"/>
              </w:rPr>
            </w:pPr>
            <w:r w:rsidRPr="0010523F">
              <w:rPr>
                <w:sz w:val="22"/>
                <w:szCs w:val="22"/>
                <w:lang w:val="es-AR" w:eastAsia="en-US"/>
              </w:rPr>
              <w:t>113</w:t>
            </w:r>
          </w:p>
        </w:tc>
        <w:tc>
          <w:tcPr>
            <w:tcW w:w="1303" w:type="dxa"/>
            <w:vAlign w:val="bottom"/>
          </w:tcPr>
          <w:p w14:paraId="6E8A806B" w14:textId="77777777" w:rsidR="0010523F" w:rsidRPr="0010523F" w:rsidDel="00027698" w:rsidRDefault="0010523F" w:rsidP="0010523F">
            <w:pPr>
              <w:spacing w:line="200" w:lineRule="exact"/>
              <w:ind w:left="-115"/>
              <w:jc w:val="right"/>
              <w:rPr>
                <w:sz w:val="22"/>
                <w:szCs w:val="22"/>
                <w:lang w:val="es-AR" w:eastAsia="en-US"/>
              </w:rPr>
            </w:pPr>
            <w:r w:rsidRPr="0010523F">
              <w:rPr>
                <w:sz w:val="22"/>
                <w:szCs w:val="22"/>
                <w:lang w:val="es-AR" w:eastAsia="en-US"/>
              </w:rPr>
              <w:t>1.062</w:t>
            </w:r>
          </w:p>
        </w:tc>
        <w:tc>
          <w:tcPr>
            <w:tcW w:w="1279" w:type="dxa"/>
            <w:vAlign w:val="bottom"/>
          </w:tcPr>
          <w:p w14:paraId="526D85DA"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w:t>
            </w:r>
          </w:p>
        </w:tc>
      </w:tr>
      <w:tr w:rsidR="0010523F" w:rsidRPr="0010523F" w14:paraId="3AB0064B" w14:textId="77777777" w:rsidTr="00774E7E">
        <w:trPr>
          <w:trHeight w:val="198"/>
        </w:trPr>
        <w:tc>
          <w:tcPr>
            <w:tcW w:w="5924" w:type="dxa"/>
            <w:noWrap/>
            <w:vAlign w:val="bottom"/>
            <w:hideMark/>
          </w:tcPr>
          <w:p w14:paraId="0A616A7F" w14:textId="77777777" w:rsidR="0010523F" w:rsidRPr="0010523F" w:rsidRDefault="0010523F" w:rsidP="0010523F">
            <w:pPr>
              <w:spacing w:line="200" w:lineRule="exact"/>
              <w:rPr>
                <w:sz w:val="22"/>
                <w:szCs w:val="22"/>
                <w:lang w:val="es-AR" w:eastAsia="en-US"/>
              </w:rPr>
            </w:pPr>
            <w:r w:rsidRPr="0010523F">
              <w:rPr>
                <w:sz w:val="22"/>
                <w:szCs w:val="22"/>
                <w:lang w:val="es-AR" w:eastAsia="en-US"/>
              </w:rPr>
              <w:t>Gastos de transporte, acarreo y almacenaje</w:t>
            </w:r>
          </w:p>
        </w:tc>
        <w:tc>
          <w:tcPr>
            <w:tcW w:w="1529" w:type="dxa"/>
            <w:vAlign w:val="bottom"/>
            <w:hideMark/>
          </w:tcPr>
          <w:p w14:paraId="563F4840"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1.110</w:t>
            </w:r>
          </w:p>
        </w:tc>
        <w:tc>
          <w:tcPr>
            <w:tcW w:w="1530" w:type="dxa"/>
            <w:hideMark/>
          </w:tcPr>
          <w:p w14:paraId="54C3AF5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722A929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13</w:t>
            </w:r>
          </w:p>
        </w:tc>
        <w:tc>
          <w:tcPr>
            <w:tcW w:w="1620" w:type="dxa"/>
            <w:hideMark/>
          </w:tcPr>
          <w:p w14:paraId="6647947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1.829</w:t>
            </w:r>
          </w:p>
        </w:tc>
        <w:tc>
          <w:tcPr>
            <w:tcW w:w="1303" w:type="dxa"/>
            <w:hideMark/>
          </w:tcPr>
          <w:p w14:paraId="63173D6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2.952</w:t>
            </w:r>
          </w:p>
        </w:tc>
        <w:tc>
          <w:tcPr>
            <w:tcW w:w="1279" w:type="dxa"/>
            <w:hideMark/>
          </w:tcPr>
          <w:p w14:paraId="0D9C27D0"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1.238</w:t>
            </w:r>
          </w:p>
        </w:tc>
      </w:tr>
      <w:tr w:rsidR="0010523F" w:rsidRPr="0010523F" w14:paraId="508EA2D2" w14:textId="77777777" w:rsidTr="00774E7E">
        <w:trPr>
          <w:trHeight w:val="198"/>
        </w:trPr>
        <w:tc>
          <w:tcPr>
            <w:tcW w:w="5924" w:type="dxa"/>
            <w:noWrap/>
            <w:vAlign w:val="bottom"/>
            <w:hideMark/>
          </w:tcPr>
          <w:p w14:paraId="0DEE39C6" w14:textId="77777777" w:rsidR="0010523F" w:rsidRPr="0010523F" w:rsidRDefault="0010523F" w:rsidP="0010523F">
            <w:pPr>
              <w:spacing w:line="200" w:lineRule="exact"/>
              <w:rPr>
                <w:sz w:val="22"/>
                <w:szCs w:val="22"/>
                <w:lang w:val="es-AR" w:eastAsia="en-US"/>
              </w:rPr>
            </w:pPr>
            <w:r w:rsidRPr="0010523F">
              <w:rPr>
                <w:sz w:val="22"/>
                <w:szCs w:val="22"/>
                <w:lang w:val="es-AR" w:eastAsia="en-US"/>
              </w:rPr>
              <w:t>Servicios contratados y otros</w:t>
            </w:r>
          </w:p>
        </w:tc>
        <w:tc>
          <w:tcPr>
            <w:tcW w:w="1529" w:type="dxa"/>
            <w:hideMark/>
          </w:tcPr>
          <w:p w14:paraId="072B2232"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13.468</w:t>
            </w:r>
          </w:p>
        </w:tc>
        <w:tc>
          <w:tcPr>
            <w:tcW w:w="1530" w:type="dxa"/>
            <w:hideMark/>
          </w:tcPr>
          <w:p w14:paraId="1CCB93A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48EC766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168</w:t>
            </w:r>
          </w:p>
        </w:tc>
        <w:tc>
          <w:tcPr>
            <w:tcW w:w="1620" w:type="dxa"/>
            <w:hideMark/>
          </w:tcPr>
          <w:p w14:paraId="328786F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273</w:t>
            </w:r>
          </w:p>
        </w:tc>
        <w:tc>
          <w:tcPr>
            <w:tcW w:w="1303" w:type="dxa"/>
            <w:hideMark/>
          </w:tcPr>
          <w:p w14:paraId="14509B8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13.909</w:t>
            </w:r>
          </w:p>
        </w:tc>
        <w:tc>
          <w:tcPr>
            <w:tcW w:w="1279" w:type="dxa"/>
            <w:hideMark/>
          </w:tcPr>
          <w:p w14:paraId="736A5011"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7.999</w:t>
            </w:r>
          </w:p>
        </w:tc>
      </w:tr>
      <w:tr w:rsidR="0010523F" w:rsidRPr="0010523F" w14:paraId="094E8C36" w14:textId="77777777" w:rsidTr="00774E7E">
        <w:trPr>
          <w:trHeight w:val="198"/>
        </w:trPr>
        <w:tc>
          <w:tcPr>
            <w:tcW w:w="5924" w:type="dxa"/>
            <w:noWrap/>
            <w:vAlign w:val="bottom"/>
            <w:hideMark/>
          </w:tcPr>
          <w:p w14:paraId="0B093BDE" w14:textId="77777777" w:rsidR="0010523F" w:rsidRPr="0010523F" w:rsidRDefault="0010523F" w:rsidP="0010523F">
            <w:pPr>
              <w:spacing w:line="200" w:lineRule="exact"/>
              <w:rPr>
                <w:sz w:val="22"/>
                <w:szCs w:val="22"/>
                <w:lang w:val="es-AR" w:eastAsia="en-US"/>
              </w:rPr>
            </w:pPr>
            <w:r w:rsidRPr="0010523F">
              <w:rPr>
                <w:sz w:val="22"/>
                <w:szCs w:val="22"/>
                <w:lang w:val="es-AR" w:eastAsia="en-US"/>
              </w:rPr>
              <w:t>Gastos de viaje y alojamiento</w:t>
            </w:r>
          </w:p>
        </w:tc>
        <w:tc>
          <w:tcPr>
            <w:tcW w:w="1529" w:type="dxa"/>
            <w:hideMark/>
          </w:tcPr>
          <w:p w14:paraId="7C4A6480"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100</w:t>
            </w:r>
          </w:p>
        </w:tc>
        <w:tc>
          <w:tcPr>
            <w:tcW w:w="1530" w:type="dxa"/>
            <w:hideMark/>
          </w:tcPr>
          <w:p w14:paraId="4CFE6CD3"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57A1AAE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283</w:t>
            </w:r>
          </w:p>
        </w:tc>
        <w:tc>
          <w:tcPr>
            <w:tcW w:w="1620" w:type="dxa"/>
            <w:hideMark/>
          </w:tcPr>
          <w:p w14:paraId="702627FF"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68</w:t>
            </w:r>
          </w:p>
        </w:tc>
        <w:tc>
          <w:tcPr>
            <w:tcW w:w="1303" w:type="dxa"/>
            <w:hideMark/>
          </w:tcPr>
          <w:p w14:paraId="02D957C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451</w:t>
            </w:r>
          </w:p>
        </w:tc>
        <w:tc>
          <w:tcPr>
            <w:tcW w:w="1279" w:type="dxa"/>
            <w:hideMark/>
          </w:tcPr>
          <w:p w14:paraId="670A182E" w14:textId="77777777" w:rsidR="0010523F" w:rsidRPr="0010523F" w:rsidRDefault="0010523F" w:rsidP="0010523F">
            <w:pPr>
              <w:spacing w:line="200" w:lineRule="exact"/>
              <w:ind w:left="-102" w:right="-16"/>
              <w:jc w:val="right"/>
              <w:rPr>
                <w:sz w:val="22"/>
                <w:szCs w:val="22"/>
                <w:lang w:val="es-AR" w:eastAsia="en-US"/>
              </w:rPr>
            </w:pPr>
            <w:r w:rsidRPr="0010523F">
              <w:rPr>
                <w:sz w:val="22"/>
                <w:szCs w:val="22"/>
                <w:lang w:val="es-AR" w:eastAsia="en-US"/>
              </w:rPr>
              <w:t>237</w:t>
            </w:r>
          </w:p>
        </w:tc>
      </w:tr>
      <w:tr w:rsidR="0010523F" w:rsidRPr="0010523F" w14:paraId="4B1B1611" w14:textId="77777777" w:rsidTr="00774E7E">
        <w:trPr>
          <w:trHeight w:val="198"/>
        </w:trPr>
        <w:tc>
          <w:tcPr>
            <w:tcW w:w="5924" w:type="dxa"/>
            <w:noWrap/>
            <w:vAlign w:val="bottom"/>
            <w:hideMark/>
          </w:tcPr>
          <w:p w14:paraId="2565A286" w14:textId="77777777" w:rsidR="0010523F" w:rsidRPr="0010523F" w:rsidRDefault="0010523F" w:rsidP="0010523F">
            <w:pPr>
              <w:spacing w:line="200" w:lineRule="exact"/>
              <w:rPr>
                <w:sz w:val="22"/>
                <w:szCs w:val="22"/>
                <w:lang w:val="es-AR" w:eastAsia="en-US"/>
              </w:rPr>
            </w:pPr>
            <w:r w:rsidRPr="0010523F">
              <w:rPr>
                <w:sz w:val="22"/>
                <w:szCs w:val="22"/>
                <w:lang w:val="es-AR" w:eastAsia="en-US"/>
              </w:rPr>
              <w:t>Alquileres, mantenimiento de edificios y otros</w:t>
            </w:r>
          </w:p>
        </w:tc>
        <w:tc>
          <w:tcPr>
            <w:tcW w:w="1529" w:type="dxa"/>
            <w:vAlign w:val="bottom"/>
            <w:hideMark/>
          </w:tcPr>
          <w:p w14:paraId="4718BD48"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974</w:t>
            </w:r>
          </w:p>
        </w:tc>
        <w:tc>
          <w:tcPr>
            <w:tcW w:w="1530" w:type="dxa"/>
            <w:vAlign w:val="bottom"/>
            <w:hideMark/>
          </w:tcPr>
          <w:p w14:paraId="1B223B6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vAlign w:val="bottom"/>
            <w:hideMark/>
          </w:tcPr>
          <w:p w14:paraId="0B4D22B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336</w:t>
            </w:r>
          </w:p>
        </w:tc>
        <w:tc>
          <w:tcPr>
            <w:tcW w:w="1620" w:type="dxa"/>
            <w:vAlign w:val="bottom"/>
            <w:hideMark/>
          </w:tcPr>
          <w:p w14:paraId="29390FC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w:t>
            </w:r>
          </w:p>
        </w:tc>
        <w:tc>
          <w:tcPr>
            <w:tcW w:w="1303" w:type="dxa"/>
            <w:vAlign w:val="bottom"/>
            <w:hideMark/>
          </w:tcPr>
          <w:p w14:paraId="0D1F54EF"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1.311</w:t>
            </w:r>
          </w:p>
        </w:tc>
        <w:tc>
          <w:tcPr>
            <w:tcW w:w="1279" w:type="dxa"/>
            <w:vAlign w:val="bottom"/>
            <w:hideMark/>
          </w:tcPr>
          <w:p w14:paraId="060A102C" w14:textId="77777777" w:rsidR="0010523F" w:rsidRPr="0010523F" w:rsidRDefault="0010523F" w:rsidP="0010523F">
            <w:pPr>
              <w:tabs>
                <w:tab w:val="decimal" w:pos="816"/>
              </w:tabs>
              <w:spacing w:line="200" w:lineRule="exact"/>
              <w:ind w:left="-115"/>
              <w:jc w:val="right"/>
              <w:rPr>
                <w:sz w:val="22"/>
                <w:szCs w:val="22"/>
                <w:lang w:val="es-AR" w:eastAsia="en-US"/>
              </w:rPr>
            </w:pPr>
            <w:r w:rsidRPr="0010523F">
              <w:rPr>
                <w:sz w:val="22"/>
                <w:szCs w:val="22"/>
                <w:lang w:val="es-AR" w:eastAsia="en-US"/>
              </w:rPr>
              <w:t>827</w:t>
            </w:r>
          </w:p>
        </w:tc>
      </w:tr>
      <w:tr w:rsidR="0010523F" w:rsidRPr="0010523F" w14:paraId="0527F832" w14:textId="77777777" w:rsidTr="00774E7E">
        <w:trPr>
          <w:trHeight w:val="198"/>
        </w:trPr>
        <w:tc>
          <w:tcPr>
            <w:tcW w:w="5924" w:type="dxa"/>
            <w:noWrap/>
            <w:vAlign w:val="bottom"/>
            <w:hideMark/>
          </w:tcPr>
          <w:p w14:paraId="692A58D9" w14:textId="77777777" w:rsidR="0010523F" w:rsidRPr="0010523F" w:rsidRDefault="0010523F" w:rsidP="0010523F">
            <w:pPr>
              <w:spacing w:line="200" w:lineRule="exact"/>
              <w:rPr>
                <w:sz w:val="22"/>
                <w:szCs w:val="22"/>
                <w:lang w:val="es-AR" w:eastAsia="en-US"/>
              </w:rPr>
            </w:pPr>
            <w:r w:rsidRPr="0010523F">
              <w:rPr>
                <w:sz w:val="22"/>
                <w:szCs w:val="22"/>
                <w:lang w:val="es-AR" w:eastAsia="en-US"/>
              </w:rPr>
              <w:t>Gastos de publicidad y propaganda</w:t>
            </w:r>
          </w:p>
        </w:tc>
        <w:tc>
          <w:tcPr>
            <w:tcW w:w="1529" w:type="dxa"/>
            <w:vAlign w:val="bottom"/>
            <w:hideMark/>
          </w:tcPr>
          <w:p w14:paraId="189F7266"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w:t>
            </w:r>
          </w:p>
        </w:tc>
        <w:tc>
          <w:tcPr>
            <w:tcW w:w="1530" w:type="dxa"/>
            <w:vAlign w:val="bottom"/>
            <w:hideMark/>
          </w:tcPr>
          <w:p w14:paraId="37F4664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vAlign w:val="bottom"/>
            <w:hideMark/>
          </w:tcPr>
          <w:p w14:paraId="3605A17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20</w:t>
            </w:r>
          </w:p>
        </w:tc>
        <w:tc>
          <w:tcPr>
            <w:tcW w:w="1620" w:type="dxa"/>
            <w:vAlign w:val="bottom"/>
            <w:hideMark/>
          </w:tcPr>
          <w:p w14:paraId="111037FC"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363</w:t>
            </w:r>
          </w:p>
        </w:tc>
        <w:tc>
          <w:tcPr>
            <w:tcW w:w="1303" w:type="dxa"/>
            <w:vAlign w:val="bottom"/>
            <w:hideMark/>
          </w:tcPr>
          <w:p w14:paraId="36408BA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383</w:t>
            </w:r>
          </w:p>
        </w:tc>
        <w:tc>
          <w:tcPr>
            <w:tcW w:w="1279" w:type="dxa"/>
            <w:vAlign w:val="bottom"/>
            <w:hideMark/>
          </w:tcPr>
          <w:p w14:paraId="653A359F" w14:textId="77777777" w:rsidR="0010523F" w:rsidRPr="0010523F" w:rsidRDefault="0010523F" w:rsidP="0010523F">
            <w:pPr>
              <w:tabs>
                <w:tab w:val="decimal" w:pos="816"/>
              </w:tabs>
              <w:spacing w:line="200" w:lineRule="exact"/>
              <w:ind w:left="-115"/>
              <w:jc w:val="right"/>
              <w:rPr>
                <w:sz w:val="22"/>
                <w:szCs w:val="22"/>
                <w:lang w:val="es-AR" w:eastAsia="en-US"/>
              </w:rPr>
            </w:pPr>
            <w:r w:rsidRPr="0010523F">
              <w:rPr>
                <w:sz w:val="22"/>
                <w:szCs w:val="22"/>
                <w:lang w:val="es-AR" w:eastAsia="en-US"/>
              </w:rPr>
              <w:t>151</w:t>
            </w:r>
          </w:p>
        </w:tc>
      </w:tr>
      <w:tr w:rsidR="0010523F" w:rsidRPr="0010523F" w14:paraId="25798945" w14:textId="77777777" w:rsidTr="00774E7E">
        <w:trPr>
          <w:trHeight w:val="198"/>
        </w:trPr>
        <w:tc>
          <w:tcPr>
            <w:tcW w:w="5924" w:type="dxa"/>
            <w:noWrap/>
            <w:vAlign w:val="bottom"/>
            <w:hideMark/>
          </w:tcPr>
          <w:p w14:paraId="69694B10" w14:textId="77777777" w:rsidR="0010523F" w:rsidRPr="0010523F" w:rsidRDefault="0010523F" w:rsidP="0010523F">
            <w:pPr>
              <w:spacing w:line="200" w:lineRule="exact"/>
              <w:rPr>
                <w:sz w:val="22"/>
                <w:szCs w:val="22"/>
                <w:lang w:val="es-AR" w:eastAsia="en-US"/>
              </w:rPr>
            </w:pPr>
            <w:r w:rsidRPr="0010523F">
              <w:rPr>
                <w:sz w:val="22"/>
                <w:szCs w:val="22"/>
                <w:lang w:val="es-AR" w:eastAsia="en-US"/>
              </w:rPr>
              <w:t>Remediación de medio ambiente y servidumbres</w:t>
            </w:r>
          </w:p>
        </w:tc>
        <w:tc>
          <w:tcPr>
            <w:tcW w:w="1529" w:type="dxa"/>
            <w:vAlign w:val="bottom"/>
            <w:hideMark/>
          </w:tcPr>
          <w:p w14:paraId="077187CC"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1.021</w:t>
            </w:r>
          </w:p>
        </w:tc>
        <w:tc>
          <w:tcPr>
            <w:tcW w:w="1530" w:type="dxa"/>
            <w:vAlign w:val="bottom"/>
            <w:hideMark/>
          </w:tcPr>
          <w:p w14:paraId="29734E9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vAlign w:val="bottom"/>
            <w:hideMark/>
          </w:tcPr>
          <w:p w14:paraId="4799BFA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620" w:type="dxa"/>
            <w:vAlign w:val="bottom"/>
            <w:hideMark/>
          </w:tcPr>
          <w:p w14:paraId="705A659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51</w:t>
            </w:r>
          </w:p>
        </w:tc>
        <w:tc>
          <w:tcPr>
            <w:tcW w:w="1303" w:type="dxa"/>
            <w:vAlign w:val="bottom"/>
            <w:hideMark/>
          </w:tcPr>
          <w:p w14:paraId="56F8890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1.072</w:t>
            </w:r>
          </w:p>
        </w:tc>
        <w:tc>
          <w:tcPr>
            <w:tcW w:w="1279" w:type="dxa"/>
            <w:vAlign w:val="bottom"/>
            <w:hideMark/>
          </w:tcPr>
          <w:p w14:paraId="17AEBC46" w14:textId="77777777" w:rsidR="0010523F" w:rsidRPr="0010523F" w:rsidRDefault="0010523F" w:rsidP="0010523F">
            <w:pPr>
              <w:tabs>
                <w:tab w:val="decimal" w:pos="816"/>
              </w:tabs>
              <w:spacing w:line="200" w:lineRule="exact"/>
              <w:ind w:left="-115"/>
              <w:jc w:val="right"/>
              <w:rPr>
                <w:sz w:val="22"/>
                <w:szCs w:val="22"/>
                <w:lang w:val="es-AR" w:eastAsia="en-US"/>
              </w:rPr>
            </w:pPr>
            <w:r w:rsidRPr="0010523F">
              <w:rPr>
                <w:sz w:val="22"/>
                <w:szCs w:val="22"/>
                <w:lang w:val="es-AR" w:eastAsia="en-US"/>
              </w:rPr>
              <w:t>434</w:t>
            </w:r>
          </w:p>
        </w:tc>
      </w:tr>
      <w:tr w:rsidR="0010523F" w:rsidRPr="0010523F" w14:paraId="395E2EF9" w14:textId="77777777" w:rsidTr="00774E7E">
        <w:trPr>
          <w:trHeight w:val="198"/>
        </w:trPr>
        <w:tc>
          <w:tcPr>
            <w:tcW w:w="5924" w:type="dxa"/>
            <w:noWrap/>
            <w:vAlign w:val="bottom"/>
            <w:hideMark/>
          </w:tcPr>
          <w:p w14:paraId="4293EC9D" w14:textId="77777777" w:rsidR="0010523F" w:rsidRPr="0010523F" w:rsidRDefault="0010523F" w:rsidP="0010523F">
            <w:pPr>
              <w:spacing w:line="200" w:lineRule="exact"/>
              <w:rPr>
                <w:sz w:val="22"/>
                <w:szCs w:val="22"/>
                <w:lang w:val="es-AR" w:eastAsia="en-US"/>
              </w:rPr>
            </w:pPr>
            <w:r w:rsidRPr="0010523F">
              <w:rPr>
                <w:sz w:val="22"/>
                <w:szCs w:val="22"/>
                <w:lang w:val="es-AR" w:eastAsia="en-US"/>
              </w:rPr>
              <w:t>Combustibles y energía eléctrica</w:t>
            </w:r>
          </w:p>
        </w:tc>
        <w:tc>
          <w:tcPr>
            <w:tcW w:w="1529" w:type="dxa"/>
            <w:hideMark/>
          </w:tcPr>
          <w:p w14:paraId="3FE926FD"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1.956</w:t>
            </w:r>
          </w:p>
        </w:tc>
        <w:tc>
          <w:tcPr>
            <w:tcW w:w="1530" w:type="dxa"/>
            <w:hideMark/>
          </w:tcPr>
          <w:p w14:paraId="6E899D9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306F6FF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620" w:type="dxa"/>
            <w:hideMark/>
          </w:tcPr>
          <w:p w14:paraId="3E281759"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110</w:t>
            </w:r>
          </w:p>
        </w:tc>
        <w:tc>
          <w:tcPr>
            <w:tcW w:w="1303" w:type="dxa"/>
            <w:hideMark/>
          </w:tcPr>
          <w:p w14:paraId="2314946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2.066</w:t>
            </w:r>
          </w:p>
        </w:tc>
        <w:tc>
          <w:tcPr>
            <w:tcW w:w="1279" w:type="dxa"/>
            <w:hideMark/>
          </w:tcPr>
          <w:p w14:paraId="678D78BF" w14:textId="77777777" w:rsidR="0010523F" w:rsidRPr="0010523F" w:rsidRDefault="0010523F" w:rsidP="0010523F">
            <w:pPr>
              <w:tabs>
                <w:tab w:val="decimal" w:pos="816"/>
              </w:tabs>
              <w:spacing w:line="200" w:lineRule="exact"/>
              <w:ind w:left="-115"/>
              <w:jc w:val="right"/>
              <w:rPr>
                <w:sz w:val="22"/>
                <w:szCs w:val="22"/>
                <w:lang w:val="es-AR" w:eastAsia="en-US"/>
              </w:rPr>
            </w:pPr>
            <w:r w:rsidRPr="0010523F">
              <w:rPr>
                <w:sz w:val="22"/>
                <w:szCs w:val="22"/>
                <w:lang w:val="es-AR" w:eastAsia="en-US"/>
              </w:rPr>
              <w:t>1.064</w:t>
            </w:r>
          </w:p>
        </w:tc>
      </w:tr>
      <w:tr w:rsidR="0010523F" w:rsidRPr="0010523F" w14:paraId="435C0DDB" w14:textId="77777777" w:rsidTr="00774E7E">
        <w:trPr>
          <w:trHeight w:val="198"/>
        </w:trPr>
        <w:tc>
          <w:tcPr>
            <w:tcW w:w="5924" w:type="dxa"/>
            <w:noWrap/>
            <w:vAlign w:val="bottom"/>
            <w:hideMark/>
          </w:tcPr>
          <w:p w14:paraId="6D3CDC66" w14:textId="77777777" w:rsidR="0010523F" w:rsidRPr="0010523F" w:rsidRDefault="0010523F" w:rsidP="0010523F">
            <w:pPr>
              <w:spacing w:line="200" w:lineRule="exact"/>
              <w:rPr>
                <w:sz w:val="22"/>
                <w:szCs w:val="22"/>
                <w:lang w:val="es-AR" w:eastAsia="en-US"/>
              </w:rPr>
            </w:pPr>
            <w:r w:rsidRPr="0010523F">
              <w:rPr>
                <w:sz w:val="22"/>
                <w:szCs w:val="22"/>
                <w:lang w:val="es-AR" w:eastAsia="en-US"/>
              </w:rPr>
              <w:t>Juicios (Anexo E-2)</w:t>
            </w:r>
          </w:p>
        </w:tc>
        <w:tc>
          <w:tcPr>
            <w:tcW w:w="1529" w:type="dxa"/>
            <w:hideMark/>
          </w:tcPr>
          <w:p w14:paraId="52E01C01"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150</w:t>
            </w:r>
          </w:p>
        </w:tc>
        <w:tc>
          <w:tcPr>
            <w:tcW w:w="1530" w:type="dxa"/>
            <w:hideMark/>
          </w:tcPr>
          <w:p w14:paraId="7A9F426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4AC2724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36</w:t>
            </w:r>
          </w:p>
        </w:tc>
        <w:tc>
          <w:tcPr>
            <w:tcW w:w="1620" w:type="dxa"/>
            <w:hideMark/>
          </w:tcPr>
          <w:p w14:paraId="20A7157E"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171</w:t>
            </w:r>
          </w:p>
        </w:tc>
        <w:tc>
          <w:tcPr>
            <w:tcW w:w="1303" w:type="dxa"/>
            <w:hideMark/>
          </w:tcPr>
          <w:p w14:paraId="44F03460"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357</w:t>
            </w:r>
          </w:p>
        </w:tc>
        <w:tc>
          <w:tcPr>
            <w:tcW w:w="1279" w:type="dxa"/>
            <w:hideMark/>
          </w:tcPr>
          <w:p w14:paraId="4E162A28" w14:textId="77777777" w:rsidR="0010523F" w:rsidRPr="0010523F" w:rsidRDefault="0010523F" w:rsidP="0010523F">
            <w:pPr>
              <w:tabs>
                <w:tab w:val="decimal" w:pos="816"/>
              </w:tabs>
              <w:spacing w:line="200" w:lineRule="exact"/>
              <w:ind w:left="-115"/>
              <w:jc w:val="right"/>
              <w:rPr>
                <w:sz w:val="22"/>
                <w:szCs w:val="22"/>
                <w:lang w:val="es-AR" w:eastAsia="en-US"/>
              </w:rPr>
            </w:pPr>
            <w:r w:rsidRPr="0010523F">
              <w:rPr>
                <w:sz w:val="22"/>
                <w:szCs w:val="22"/>
                <w:lang w:val="es-AR" w:eastAsia="en-US"/>
              </w:rPr>
              <w:t>93</w:t>
            </w:r>
          </w:p>
        </w:tc>
      </w:tr>
      <w:tr w:rsidR="0010523F" w:rsidRPr="0010523F" w14:paraId="48A499EF" w14:textId="77777777" w:rsidTr="00774E7E">
        <w:trPr>
          <w:trHeight w:val="198"/>
        </w:trPr>
        <w:tc>
          <w:tcPr>
            <w:tcW w:w="5924" w:type="dxa"/>
            <w:noWrap/>
            <w:vAlign w:val="bottom"/>
            <w:hideMark/>
          </w:tcPr>
          <w:p w14:paraId="3D8C75C8" w14:textId="77777777" w:rsidR="0010523F" w:rsidRPr="0010523F" w:rsidRDefault="0010523F" w:rsidP="0010523F">
            <w:pPr>
              <w:spacing w:line="200" w:lineRule="exact"/>
              <w:rPr>
                <w:sz w:val="22"/>
                <w:szCs w:val="22"/>
                <w:lang w:val="es-AR" w:eastAsia="en-US"/>
              </w:rPr>
            </w:pPr>
            <w:r w:rsidRPr="0010523F">
              <w:rPr>
                <w:sz w:val="22"/>
                <w:szCs w:val="22"/>
                <w:lang w:val="es-AR" w:eastAsia="en-US"/>
              </w:rPr>
              <w:t>Comisiones</w:t>
            </w:r>
          </w:p>
        </w:tc>
        <w:tc>
          <w:tcPr>
            <w:tcW w:w="1529" w:type="dxa"/>
            <w:hideMark/>
          </w:tcPr>
          <w:p w14:paraId="508F50B9"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w:t>
            </w:r>
          </w:p>
        </w:tc>
        <w:tc>
          <w:tcPr>
            <w:tcW w:w="1530" w:type="dxa"/>
            <w:hideMark/>
          </w:tcPr>
          <w:p w14:paraId="2518A598"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3D9590A2"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141</w:t>
            </w:r>
          </w:p>
        </w:tc>
        <w:tc>
          <w:tcPr>
            <w:tcW w:w="1620" w:type="dxa"/>
            <w:hideMark/>
          </w:tcPr>
          <w:p w14:paraId="2DDA7D94"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601</w:t>
            </w:r>
          </w:p>
        </w:tc>
        <w:tc>
          <w:tcPr>
            <w:tcW w:w="1303" w:type="dxa"/>
            <w:hideMark/>
          </w:tcPr>
          <w:p w14:paraId="321071BB"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742</w:t>
            </w:r>
          </w:p>
        </w:tc>
        <w:tc>
          <w:tcPr>
            <w:tcW w:w="1279" w:type="dxa"/>
            <w:hideMark/>
          </w:tcPr>
          <w:p w14:paraId="3BE7DA0B" w14:textId="77777777" w:rsidR="0010523F" w:rsidRPr="0010523F" w:rsidRDefault="0010523F" w:rsidP="0010523F">
            <w:pPr>
              <w:tabs>
                <w:tab w:val="decimal" w:pos="816"/>
              </w:tabs>
              <w:spacing w:line="200" w:lineRule="exact"/>
              <w:ind w:left="-115"/>
              <w:jc w:val="right"/>
              <w:rPr>
                <w:sz w:val="22"/>
                <w:szCs w:val="22"/>
                <w:lang w:val="es-AR" w:eastAsia="en-US"/>
              </w:rPr>
            </w:pPr>
            <w:r w:rsidRPr="0010523F">
              <w:rPr>
                <w:sz w:val="22"/>
                <w:szCs w:val="22"/>
                <w:lang w:val="es-AR" w:eastAsia="en-US"/>
              </w:rPr>
              <w:t>251</w:t>
            </w:r>
          </w:p>
        </w:tc>
      </w:tr>
      <w:tr w:rsidR="0010523F" w:rsidRPr="0010523F" w14:paraId="0CB9B877" w14:textId="77777777" w:rsidTr="00774E7E">
        <w:trPr>
          <w:trHeight w:val="198"/>
        </w:trPr>
        <w:tc>
          <w:tcPr>
            <w:tcW w:w="5924" w:type="dxa"/>
            <w:noWrap/>
            <w:vAlign w:val="bottom"/>
            <w:hideMark/>
          </w:tcPr>
          <w:p w14:paraId="6DB239AB" w14:textId="77777777" w:rsidR="0010523F" w:rsidRPr="0010523F" w:rsidRDefault="0010523F" w:rsidP="0010523F">
            <w:pPr>
              <w:spacing w:line="200" w:lineRule="exact"/>
              <w:rPr>
                <w:sz w:val="22"/>
                <w:szCs w:val="22"/>
                <w:lang w:val="es-AR" w:eastAsia="en-US"/>
              </w:rPr>
            </w:pPr>
            <w:r w:rsidRPr="0010523F">
              <w:rPr>
                <w:sz w:val="22"/>
                <w:szCs w:val="22"/>
                <w:lang w:val="es-AR" w:eastAsia="en-US"/>
              </w:rPr>
              <w:t>Gastos de geología y geofísica y pozos exploratorios secos (3)</w:t>
            </w:r>
          </w:p>
        </w:tc>
        <w:tc>
          <w:tcPr>
            <w:tcW w:w="1529" w:type="dxa"/>
            <w:hideMark/>
          </w:tcPr>
          <w:p w14:paraId="695B38C6"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 xml:space="preserve">      -</w:t>
            </w:r>
          </w:p>
        </w:tc>
        <w:tc>
          <w:tcPr>
            <w:tcW w:w="1530" w:type="dxa"/>
            <w:hideMark/>
          </w:tcPr>
          <w:p w14:paraId="6B9DF43F"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hideMark/>
          </w:tcPr>
          <w:p w14:paraId="25AFF971"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 xml:space="preserve">    -</w:t>
            </w:r>
          </w:p>
        </w:tc>
        <w:tc>
          <w:tcPr>
            <w:tcW w:w="1620" w:type="dxa"/>
            <w:hideMark/>
          </w:tcPr>
          <w:p w14:paraId="6B0134E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 xml:space="preserve">    -</w:t>
            </w:r>
          </w:p>
        </w:tc>
        <w:tc>
          <w:tcPr>
            <w:tcW w:w="1303" w:type="dxa"/>
            <w:hideMark/>
          </w:tcPr>
          <w:p w14:paraId="28573505"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279" w:type="dxa"/>
            <w:hideMark/>
          </w:tcPr>
          <w:p w14:paraId="3499D629" w14:textId="77777777" w:rsidR="0010523F" w:rsidRPr="0010523F" w:rsidRDefault="0010523F" w:rsidP="0010523F">
            <w:pPr>
              <w:tabs>
                <w:tab w:val="decimal" w:pos="816"/>
              </w:tabs>
              <w:spacing w:line="200" w:lineRule="exact"/>
              <w:ind w:left="-115"/>
              <w:jc w:val="right"/>
              <w:rPr>
                <w:sz w:val="22"/>
                <w:szCs w:val="22"/>
                <w:lang w:val="es-AR" w:eastAsia="en-US"/>
              </w:rPr>
            </w:pPr>
            <w:r w:rsidRPr="0010523F">
              <w:rPr>
                <w:sz w:val="22"/>
                <w:szCs w:val="22"/>
                <w:lang w:val="es-AR" w:eastAsia="en-US"/>
              </w:rPr>
              <w:t>330</w:t>
            </w:r>
          </w:p>
        </w:tc>
      </w:tr>
      <w:tr w:rsidR="0010523F" w:rsidRPr="0010523F" w14:paraId="1AC5EC2F" w14:textId="77777777" w:rsidTr="00774E7E">
        <w:trPr>
          <w:trHeight w:val="198"/>
        </w:trPr>
        <w:tc>
          <w:tcPr>
            <w:tcW w:w="5924" w:type="dxa"/>
            <w:noWrap/>
            <w:vAlign w:val="bottom"/>
          </w:tcPr>
          <w:p w14:paraId="4BE67157" w14:textId="77777777" w:rsidR="0010523F" w:rsidRPr="0010523F" w:rsidRDefault="0010523F" w:rsidP="0010523F">
            <w:pPr>
              <w:spacing w:line="200" w:lineRule="exact"/>
              <w:rPr>
                <w:sz w:val="22"/>
                <w:szCs w:val="22"/>
                <w:lang w:val="es-AR" w:eastAsia="en-US"/>
              </w:rPr>
            </w:pPr>
            <w:r w:rsidRPr="0010523F">
              <w:rPr>
                <w:sz w:val="22"/>
                <w:szCs w:val="22"/>
                <w:lang w:val="es-AR" w:eastAsia="en-US"/>
              </w:rPr>
              <w:t>Regalías por uso de marca</w:t>
            </w:r>
          </w:p>
        </w:tc>
        <w:tc>
          <w:tcPr>
            <w:tcW w:w="1529" w:type="dxa"/>
          </w:tcPr>
          <w:p w14:paraId="6296F4B7" w14:textId="77777777" w:rsidR="0010523F" w:rsidRPr="0010523F" w:rsidRDefault="0010523F" w:rsidP="0010523F">
            <w:pPr>
              <w:tabs>
                <w:tab w:val="decimal" w:pos="882"/>
              </w:tabs>
              <w:spacing w:line="200" w:lineRule="exact"/>
              <w:ind w:left="-115"/>
              <w:jc w:val="both"/>
              <w:rPr>
                <w:sz w:val="22"/>
                <w:szCs w:val="22"/>
                <w:lang w:val="es-AR" w:eastAsia="en-US"/>
              </w:rPr>
            </w:pPr>
            <w:r w:rsidRPr="0010523F">
              <w:rPr>
                <w:sz w:val="22"/>
                <w:szCs w:val="22"/>
                <w:lang w:val="es-AR" w:eastAsia="en-US"/>
              </w:rPr>
              <w:t>-</w:t>
            </w:r>
          </w:p>
        </w:tc>
        <w:tc>
          <w:tcPr>
            <w:tcW w:w="1530" w:type="dxa"/>
          </w:tcPr>
          <w:p w14:paraId="5436EFB7"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440" w:type="dxa"/>
          </w:tcPr>
          <w:p w14:paraId="5A971426"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w:t>
            </w:r>
          </w:p>
        </w:tc>
        <w:tc>
          <w:tcPr>
            <w:tcW w:w="1620" w:type="dxa"/>
          </w:tcPr>
          <w:p w14:paraId="70ECD962"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562</w:t>
            </w:r>
          </w:p>
        </w:tc>
        <w:tc>
          <w:tcPr>
            <w:tcW w:w="1303" w:type="dxa"/>
          </w:tcPr>
          <w:p w14:paraId="495C6DCD" w14:textId="77777777" w:rsidR="0010523F" w:rsidRPr="0010523F" w:rsidRDefault="0010523F" w:rsidP="0010523F">
            <w:pPr>
              <w:spacing w:line="200" w:lineRule="exact"/>
              <w:ind w:left="-115"/>
              <w:jc w:val="right"/>
              <w:rPr>
                <w:sz w:val="22"/>
                <w:szCs w:val="22"/>
                <w:lang w:val="es-AR" w:eastAsia="en-US"/>
              </w:rPr>
            </w:pPr>
            <w:r w:rsidRPr="0010523F">
              <w:rPr>
                <w:sz w:val="22"/>
                <w:szCs w:val="22"/>
                <w:lang w:val="es-AR" w:eastAsia="en-US"/>
              </w:rPr>
              <w:t>562</w:t>
            </w:r>
          </w:p>
        </w:tc>
        <w:tc>
          <w:tcPr>
            <w:tcW w:w="1279" w:type="dxa"/>
          </w:tcPr>
          <w:p w14:paraId="79ED2C35" w14:textId="77777777" w:rsidR="0010523F" w:rsidRPr="0010523F" w:rsidRDefault="0010523F" w:rsidP="0010523F">
            <w:pPr>
              <w:tabs>
                <w:tab w:val="decimal" w:pos="816"/>
              </w:tabs>
              <w:spacing w:line="200" w:lineRule="exact"/>
              <w:ind w:left="-115"/>
              <w:jc w:val="right"/>
              <w:rPr>
                <w:sz w:val="22"/>
                <w:szCs w:val="22"/>
                <w:u w:val="single"/>
                <w:lang w:val="es-AR" w:eastAsia="en-US"/>
              </w:rPr>
            </w:pPr>
            <w:r w:rsidRPr="0010523F">
              <w:rPr>
                <w:sz w:val="22"/>
                <w:szCs w:val="22"/>
                <w:lang w:val="es-AR" w:eastAsia="en-US"/>
              </w:rPr>
              <w:t>-</w:t>
            </w:r>
          </w:p>
        </w:tc>
      </w:tr>
      <w:tr w:rsidR="0010523F" w:rsidRPr="0010523F" w14:paraId="7580EA49" w14:textId="77777777" w:rsidTr="00774E7E">
        <w:trPr>
          <w:trHeight w:val="198"/>
        </w:trPr>
        <w:tc>
          <w:tcPr>
            <w:tcW w:w="5924" w:type="dxa"/>
            <w:noWrap/>
            <w:vAlign w:val="bottom"/>
            <w:hideMark/>
          </w:tcPr>
          <w:p w14:paraId="36029586" w14:textId="77777777" w:rsidR="0010523F" w:rsidRPr="0010523F" w:rsidRDefault="0010523F" w:rsidP="0010523F">
            <w:pPr>
              <w:spacing w:line="200" w:lineRule="exact"/>
              <w:rPr>
                <w:sz w:val="22"/>
                <w:szCs w:val="22"/>
                <w:lang w:val="es-AR" w:eastAsia="en-US"/>
              </w:rPr>
            </w:pPr>
            <w:r w:rsidRPr="0010523F">
              <w:rPr>
                <w:sz w:val="22"/>
                <w:szCs w:val="22"/>
                <w:lang w:val="es-AR" w:eastAsia="en-US"/>
              </w:rPr>
              <w:t>Diversos</w:t>
            </w:r>
          </w:p>
        </w:tc>
        <w:tc>
          <w:tcPr>
            <w:tcW w:w="1529" w:type="dxa"/>
            <w:hideMark/>
          </w:tcPr>
          <w:p w14:paraId="1C2F1657" w14:textId="77777777" w:rsidR="0010523F" w:rsidRPr="0010523F" w:rsidRDefault="0010523F" w:rsidP="0010523F">
            <w:pPr>
              <w:tabs>
                <w:tab w:val="decimal" w:pos="882"/>
              </w:tabs>
              <w:spacing w:line="200" w:lineRule="exact"/>
              <w:ind w:left="-115"/>
              <w:jc w:val="both"/>
              <w:rPr>
                <w:sz w:val="22"/>
                <w:szCs w:val="22"/>
                <w:u w:val="single"/>
                <w:lang w:val="es-AR" w:eastAsia="en-US"/>
              </w:rPr>
            </w:pPr>
            <w:r w:rsidRPr="0010523F">
              <w:rPr>
                <w:sz w:val="22"/>
                <w:szCs w:val="22"/>
                <w:u w:val="single"/>
                <w:lang w:val="es-AR" w:eastAsia="en-US"/>
              </w:rPr>
              <w:t xml:space="preserve">  1.184</w:t>
            </w:r>
          </w:p>
        </w:tc>
        <w:tc>
          <w:tcPr>
            <w:tcW w:w="1530" w:type="dxa"/>
            <w:hideMark/>
          </w:tcPr>
          <w:p w14:paraId="5578C738"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w:t>
            </w:r>
          </w:p>
        </w:tc>
        <w:tc>
          <w:tcPr>
            <w:tcW w:w="1440" w:type="dxa"/>
            <w:hideMark/>
          </w:tcPr>
          <w:p w14:paraId="157F915A"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275</w:t>
            </w:r>
          </w:p>
        </w:tc>
        <w:tc>
          <w:tcPr>
            <w:tcW w:w="1620" w:type="dxa"/>
            <w:hideMark/>
          </w:tcPr>
          <w:p w14:paraId="59F7F3A6"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505</w:t>
            </w:r>
          </w:p>
        </w:tc>
        <w:tc>
          <w:tcPr>
            <w:tcW w:w="1303" w:type="dxa"/>
            <w:hideMark/>
          </w:tcPr>
          <w:p w14:paraId="184B0BDC" w14:textId="77777777" w:rsidR="0010523F" w:rsidRPr="0010523F" w:rsidRDefault="0010523F" w:rsidP="0010523F">
            <w:pPr>
              <w:spacing w:line="200" w:lineRule="exact"/>
              <w:ind w:left="-115"/>
              <w:jc w:val="right"/>
              <w:rPr>
                <w:sz w:val="22"/>
                <w:szCs w:val="22"/>
                <w:u w:val="single"/>
                <w:lang w:val="es-AR" w:eastAsia="en-US"/>
              </w:rPr>
            </w:pPr>
            <w:r w:rsidRPr="0010523F">
              <w:rPr>
                <w:sz w:val="22"/>
                <w:szCs w:val="22"/>
                <w:u w:val="single"/>
                <w:lang w:val="es-AR" w:eastAsia="en-US"/>
              </w:rPr>
              <w:t xml:space="preserve">  1.964</w:t>
            </w:r>
          </w:p>
        </w:tc>
        <w:tc>
          <w:tcPr>
            <w:tcW w:w="1279" w:type="dxa"/>
            <w:hideMark/>
          </w:tcPr>
          <w:p w14:paraId="1212C79F" w14:textId="77777777" w:rsidR="0010523F" w:rsidRPr="0010523F" w:rsidRDefault="0010523F" w:rsidP="0010523F">
            <w:pPr>
              <w:tabs>
                <w:tab w:val="decimal" w:pos="816"/>
              </w:tabs>
              <w:spacing w:line="200" w:lineRule="exact"/>
              <w:ind w:left="-115"/>
              <w:jc w:val="right"/>
              <w:rPr>
                <w:sz w:val="22"/>
                <w:szCs w:val="22"/>
                <w:u w:val="single"/>
                <w:lang w:val="es-AR" w:eastAsia="en-US"/>
              </w:rPr>
            </w:pPr>
            <w:r w:rsidRPr="0010523F">
              <w:rPr>
                <w:sz w:val="22"/>
                <w:szCs w:val="22"/>
                <w:u w:val="single"/>
                <w:lang w:val="es-AR" w:eastAsia="en-US"/>
              </w:rPr>
              <w:t xml:space="preserve">  1.163</w:t>
            </w:r>
          </w:p>
        </w:tc>
      </w:tr>
      <w:tr w:rsidR="0010523F" w:rsidRPr="0010523F" w14:paraId="4F9E9CF3" w14:textId="77777777" w:rsidTr="00774E7E">
        <w:trPr>
          <w:trHeight w:val="57"/>
        </w:trPr>
        <w:tc>
          <w:tcPr>
            <w:tcW w:w="5924" w:type="dxa"/>
            <w:noWrap/>
            <w:vAlign w:val="bottom"/>
          </w:tcPr>
          <w:p w14:paraId="6DA8F651"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529" w:type="dxa"/>
          </w:tcPr>
          <w:p w14:paraId="05FE6EC0"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530" w:type="dxa"/>
          </w:tcPr>
          <w:p w14:paraId="0CEB6FD4"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440" w:type="dxa"/>
          </w:tcPr>
          <w:p w14:paraId="3F2DD4B5"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620" w:type="dxa"/>
          </w:tcPr>
          <w:p w14:paraId="5C460289"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303" w:type="dxa"/>
          </w:tcPr>
          <w:p w14:paraId="04DC395C"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279" w:type="dxa"/>
          </w:tcPr>
          <w:p w14:paraId="0F912E01" w14:textId="77777777" w:rsidR="0010523F" w:rsidRPr="0010523F" w:rsidRDefault="0010523F" w:rsidP="0010523F">
            <w:pPr>
              <w:tabs>
                <w:tab w:val="center" w:pos="2019"/>
                <w:tab w:val="right" w:pos="3720"/>
              </w:tabs>
              <w:spacing w:line="80" w:lineRule="exact"/>
              <w:rPr>
                <w:sz w:val="22"/>
                <w:szCs w:val="22"/>
                <w:u w:val="single"/>
                <w:lang w:val="es-AR" w:eastAsia="en-US"/>
              </w:rPr>
            </w:pPr>
          </w:p>
        </w:tc>
      </w:tr>
      <w:tr w:rsidR="0010523F" w:rsidRPr="0010523F" w14:paraId="7FD331B4" w14:textId="77777777" w:rsidTr="00774E7E">
        <w:trPr>
          <w:trHeight w:val="170"/>
        </w:trPr>
        <w:tc>
          <w:tcPr>
            <w:tcW w:w="5924" w:type="dxa"/>
            <w:noWrap/>
            <w:vAlign w:val="bottom"/>
            <w:hideMark/>
          </w:tcPr>
          <w:p w14:paraId="12F80626" w14:textId="77777777" w:rsidR="0010523F" w:rsidRPr="0010523F" w:rsidRDefault="0010523F" w:rsidP="0010523F">
            <w:pPr>
              <w:spacing w:line="200" w:lineRule="exact"/>
              <w:rPr>
                <w:sz w:val="22"/>
                <w:szCs w:val="22"/>
                <w:lang w:val="es-AR" w:eastAsia="en-US"/>
              </w:rPr>
            </w:pPr>
            <w:r w:rsidRPr="0010523F">
              <w:rPr>
                <w:sz w:val="22"/>
                <w:szCs w:val="22"/>
                <w:lang w:val="es-AR" w:eastAsia="en-US"/>
              </w:rPr>
              <w:t>Total 2019 (9 meses)</w:t>
            </w:r>
          </w:p>
        </w:tc>
        <w:tc>
          <w:tcPr>
            <w:tcW w:w="1529" w:type="dxa"/>
            <w:hideMark/>
          </w:tcPr>
          <w:p w14:paraId="50109A8C" w14:textId="77777777" w:rsidR="0010523F" w:rsidRPr="0010523F" w:rsidRDefault="0010523F" w:rsidP="0010523F">
            <w:pPr>
              <w:tabs>
                <w:tab w:val="decimal" w:pos="882"/>
              </w:tabs>
              <w:spacing w:line="200" w:lineRule="exact"/>
              <w:ind w:left="-115"/>
              <w:jc w:val="both"/>
              <w:rPr>
                <w:sz w:val="22"/>
                <w:szCs w:val="22"/>
                <w:u w:val="double"/>
                <w:lang w:val="es-AR" w:eastAsia="en-US"/>
              </w:rPr>
            </w:pPr>
            <w:r w:rsidRPr="0010523F">
              <w:rPr>
                <w:sz w:val="22"/>
                <w:szCs w:val="22"/>
                <w:u w:val="double"/>
                <w:lang w:val="es-AR" w:eastAsia="en-US"/>
              </w:rPr>
              <w:t>67.250</w:t>
            </w:r>
          </w:p>
        </w:tc>
        <w:tc>
          <w:tcPr>
            <w:tcW w:w="1530" w:type="dxa"/>
            <w:hideMark/>
          </w:tcPr>
          <w:p w14:paraId="2805D649"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 xml:space="preserve">     -</w:t>
            </w:r>
          </w:p>
        </w:tc>
        <w:tc>
          <w:tcPr>
            <w:tcW w:w="1440" w:type="dxa"/>
            <w:hideMark/>
          </w:tcPr>
          <w:p w14:paraId="02FA77CE"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8.669</w:t>
            </w:r>
          </w:p>
        </w:tc>
        <w:tc>
          <w:tcPr>
            <w:tcW w:w="1620" w:type="dxa"/>
            <w:hideMark/>
          </w:tcPr>
          <w:p w14:paraId="5DD2BFAC"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9.806</w:t>
            </w:r>
          </w:p>
        </w:tc>
        <w:tc>
          <w:tcPr>
            <w:tcW w:w="1303" w:type="dxa"/>
            <w:hideMark/>
          </w:tcPr>
          <w:p w14:paraId="79101F45"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85.725</w:t>
            </w:r>
          </w:p>
        </w:tc>
        <w:tc>
          <w:tcPr>
            <w:tcW w:w="1279" w:type="dxa"/>
          </w:tcPr>
          <w:p w14:paraId="7A8C9F96" w14:textId="77777777" w:rsidR="0010523F" w:rsidRPr="0010523F" w:rsidRDefault="0010523F" w:rsidP="0010523F">
            <w:pPr>
              <w:tabs>
                <w:tab w:val="decimal" w:pos="816"/>
              </w:tabs>
              <w:spacing w:line="200" w:lineRule="exact"/>
              <w:ind w:left="-115"/>
              <w:jc w:val="right"/>
              <w:rPr>
                <w:sz w:val="22"/>
                <w:szCs w:val="22"/>
                <w:u w:val="double"/>
                <w:lang w:val="es-AR" w:eastAsia="en-US"/>
              </w:rPr>
            </w:pPr>
          </w:p>
        </w:tc>
      </w:tr>
      <w:tr w:rsidR="0010523F" w:rsidRPr="0010523F" w14:paraId="1E35DF00" w14:textId="77777777" w:rsidTr="00774E7E">
        <w:trPr>
          <w:trHeight w:val="57"/>
        </w:trPr>
        <w:tc>
          <w:tcPr>
            <w:tcW w:w="5924" w:type="dxa"/>
            <w:noWrap/>
            <w:vAlign w:val="bottom"/>
          </w:tcPr>
          <w:p w14:paraId="6426BC1A"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529" w:type="dxa"/>
          </w:tcPr>
          <w:p w14:paraId="3D0B1912"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530" w:type="dxa"/>
          </w:tcPr>
          <w:p w14:paraId="6DCDA965"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440" w:type="dxa"/>
          </w:tcPr>
          <w:p w14:paraId="05E86A13"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620" w:type="dxa"/>
          </w:tcPr>
          <w:p w14:paraId="403A2169"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303" w:type="dxa"/>
          </w:tcPr>
          <w:p w14:paraId="11209011" w14:textId="77777777" w:rsidR="0010523F" w:rsidRPr="0010523F" w:rsidRDefault="0010523F" w:rsidP="0010523F">
            <w:pPr>
              <w:tabs>
                <w:tab w:val="center" w:pos="2019"/>
                <w:tab w:val="right" w:pos="3720"/>
              </w:tabs>
              <w:spacing w:line="80" w:lineRule="exact"/>
              <w:rPr>
                <w:sz w:val="22"/>
                <w:szCs w:val="22"/>
                <w:u w:val="single"/>
                <w:lang w:val="es-AR" w:eastAsia="en-US"/>
              </w:rPr>
            </w:pPr>
          </w:p>
        </w:tc>
        <w:tc>
          <w:tcPr>
            <w:tcW w:w="1279" w:type="dxa"/>
          </w:tcPr>
          <w:p w14:paraId="29438444" w14:textId="77777777" w:rsidR="0010523F" w:rsidRPr="0010523F" w:rsidRDefault="0010523F" w:rsidP="0010523F">
            <w:pPr>
              <w:tabs>
                <w:tab w:val="center" w:pos="2019"/>
                <w:tab w:val="right" w:pos="3720"/>
              </w:tabs>
              <w:spacing w:line="80" w:lineRule="exact"/>
              <w:rPr>
                <w:sz w:val="22"/>
                <w:szCs w:val="22"/>
                <w:u w:val="single"/>
                <w:lang w:val="es-AR" w:eastAsia="en-US"/>
              </w:rPr>
            </w:pPr>
          </w:p>
        </w:tc>
      </w:tr>
      <w:tr w:rsidR="0010523F" w:rsidRPr="0010523F" w14:paraId="7421A3F6" w14:textId="77777777" w:rsidTr="00774E7E">
        <w:trPr>
          <w:trHeight w:val="170"/>
        </w:trPr>
        <w:tc>
          <w:tcPr>
            <w:tcW w:w="5924" w:type="dxa"/>
            <w:noWrap/>
            <w:vAlign w:val="bottom"/>
            <w:hideMark/>
          </w:tcPr>
          <w:p w14:paraId="13B8C29E" w14:textId="77777777" w:rsidR="0010523F" w:rsidRPr="0010523F" w:rsidRDefault="0010523F" w:rsidP="0010523F">
            <w:pPr>
              <w:spacing w:line="200" w:lineRule="exact"/>
              <w:rPr>
                <w:sz w:val="22"/>
                <w:szCs w:val="22"/>
                <w:lang w:val="es-AR" w:eastAsia="en-US"/>
              </w:rPr>
            </w:pPr>
            <w:r w:rsidRPr="0010523F">
              <w:rPr>
                <w:sz w:val="22"/>
                <w:szCs w:val="22"/>
                <w:lang w:val="es-AR" w:eastAsia="en-US"/>
              </w:rPr>
              <w:t>Total 2018 (9 meses)</w:t>
            </w:r>
          </w:p>
        </w:tc>
        <w:tc>
          <w:tcPr>
            <w:tcW w:w="1529" w:type="dxa"/>
            <w:hideMark/>
          </w:tcPr>
          <w:p w14:paraId="320EE30B" w14:textId="77777777" w:rsidR="0010523F" w:rsidRPr="0010523F" w:rsidRDefault="0010523F" w:rsidP="0010523F">
            <w:pPr>
              <w:tabs>
                <w:tab w:val="decimal" w:pos="882"/>
              </w:tabs>
              <w:spacing w:line="200" w:lineRule="exact"/>
              <w:ind w:left="-115"/>
              <w:jc w:val="both"/>
              <w:rPr>
                <w:sz w:val="22"/>
                <w:szCs w:val="22"/>
                <w:u w:val="double"/>
                <w:lang w:val="es-AR" w:eastAsia="en-US"/>
              </w:rPr>
            </w:pPr>
            <w:r w:rsidRPr="0010523F">
              <w:rPr>
                <w:sz w:val="22"/>
                <w:szCs w:val="22"/>
                <w:u w:val="double"/>
                <w:lang w:val="es-AR" w:eastAsia="en-US"/>
              </w:rPr>
              <w:t>38.662</w:t>
            </w:r>
          </w:p>
        </w:tc>
        <w:tc>
          <w:tcPr>
            <w:tcW w:w="1530" w:type="dxa"/>
            <w:hideMark/>
          </w:tcPr>
          <w:p w14:paraId="0028E6F4"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330</w:t>
            </w:r>
          </w:p>
        </w:tc>
        <w:tc>
          <w:tcPr>
            <w:tcW w:w="1440" w:type="dxa"/>
            <w:hideMark/>
          </w:tcPr>
          <w:p w14:paraId="3C30DCD5"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4.979</w:t>
            </w:r>
          </w:p>
        </w:tc>
        <w:tc>
          <w:tcPr>
            <w:tcW w:w="1620" w:type="dxa"/>
            <w:hideMark/>
          </w:tcPr>
          <w:p w14:paraId="3994A814" w14:textId="77777777" w:rsidR="0010523F" w:rsidRPr="0010523F" w:rsidRDefault="0010523F" w:rsidP="0010523F">
            <w:pPr>
              <w:spacing w:line="200" w:lineRule="exact"/>
              <w:ind w:left="-115"/>
              <w:jc w:val="right"/>
              <w:rPr>
                <w:sz w:val="22"/>
                <w:szCs w:val="22"/>
                <w:u w:val="double"/>
                <w:lang w:val="es-AR" w:eastAsia="en-US"/>
              </w:rPr>
            </w:pPr>
            <w:r w:rsidRPr="0010523F">
              <w:rPr>
                <w:sz w:val="22"/>
                <w:szCs w:val="22"/>
                <w:u w:val="double"/>
                <w:lang w:val="es-AR" w:eastAsia="en-US"/>
              </w:rPr>
              <w:t>3.702</w:t>
            </w:r>
          </w:p>
        </w:tc>
        <w:tc>
          <w:tcPr>
            <w:tcW w:w="1303" w:type="dxa"/>
          </w:tcPr>
          <w:p w14:paraId="1700E12F" w14:textId="77777777" w:rsidR="0010523F" w:rsidRPr="0010523F" w:rsidRDefault="0010523F" w:rsidP="0010523F">
            <w:pPr>
              <w:tabs>
                <w:tab w:val="decimal" w:pos="816"/>
              </w:tabs>
              <w:spacing w:line="200" w:lineRule="exact"/>
              <w:ind w:left="-115"/>
              <w:jc w:val="both"/>
              <w:rPr>
                <w:sz w:val="22"/>
                <w:szCs w:val="22"/>
                <w:u w:val="double"/>
                <w:lang w:val="es-AR" w:eastAsia="en-US"/>
              </w:rPr>
            </w:pPr>
          </w:p>
        </w:tc>
        <w:tc>
          <w:tcPr>
            <w:tcW w:w="1279" w:type="dxa"/>
            <w:hideMark/>
          </w:tcPr>
          <w:p w14:paraId="17CB7A5B" w14:textId="77777777" w:rsidR="0010523F" w:rsidRPr="0010523F" w:rsidRDefault="0010523F" w:rsidP="0010523F">
            <w:pPr>
              <w:tabs>
                <w:tab w:val="decimal" w:pos="816"/>
              </w:tabs>
              <w:spacing w:line="200" w:lineRule="exact"/>
              <w:ind w:left="-115"/>
              <w:jc w:val="right"/>
              <w:rPr>
                <w:sz w:val="22"/>
                <w:szCs w:val="22"/>
                <w:u w:val="double"/>
                <w:lang w:val="es-AR" w:eastAsia="en-US"/>
              </w:rPr>
            </w:pPr>
            <w:r w:rsidRPr="0010523F">
              <w:rPr>
                <w:sz w:val="22"/>
                <w:szCs w:val="22"/>
                <w:u w:val="double"/>
                <w:lang w:val="es-AR" w:eastAsia="en-US"/>
              </w:rPr>
              <w:t>47.673</w:t>
            </w:r>
          </w:p>
        </w:tc>
      </w:tr>
    </w:tbl>
    <w:p w14:paraId="499C0954" w14:textId="77777777" w:rsidR="0010523F" w:rsidRPr="0010523F" w:rsidRDefault="0010523F" w:rsidP="0010523F">
      <w:pPr>
        <w:tabs>
          <w:tab w:val="decimal" w:pos="7797"/>
          <w:tab w:val="decimal" w:pos="8931"/>
        </w:tabs>
        <w:spacing w:before="120" w:line="140" w:lineRule="exact"/>
        <w:jc w:val="both"/>
        <w:rPr>
          <w:sz w:val="16"/>
          <w:szCs w:val="16"/>
          <w:lang w:val="es-AR" w:eastAsia="en-US"/>
        </w:rPr>
      </w:pPr>
      <w:r w:rsidRPr="0010523F">
        <w:rPr>
          <w:sz w:val="16"/>
          <w:szCs w:val="16"/>
          <w:lang w:val="es-AR" w:eastAsia="en-US"/>
        </w:rPr>
        <w:t>(1) Neto de 97 en el tercer trimestre de 2019, 100 en el tercer trimestre de 2018, 262 en los primeros nueve meses de 2019 y 229 en los primeros nueve meses de 2018, correspondientes a activaciones en el rubro propiedad, planta y equipo.</w:t>
      </w:r>
    </w:p>
    <w:p w14:paraId="021ECA30" w14:textId="77777777" w:rsidR="0010523F" w:rsidRPr="0010523F" w:rsidRDefault="0010523F" w:rsidP="0010523F">
      <w:pPr>
        <w:tabs>
          <w:tab w:val="decimal" w:pos="7797"/>
          <w:tab w:val="decimal" w:pos="8931"/>
        </w:tabs>
        <w:spacing w:before="60" w:line="140" w:lineRule="exact"/>
        <w:jc w:val="both"/>
        <w:rPr>
          <w:sz w:val="16"/>
          <w:szCs w:val="16"/>
          <w:lang w:val="es-AR" w:eastAsia="en-US"/>
        </w:rPr>
      </w:pPr>
      <w:r w:rsidRPr="0010523F">
        <w:rPr>
          <w:sz w:val="16"/>
          <w:szCs w:val="16"/>
          <w:lang w:val="es-AR" w:eastAsia="en-US"/>
        </w:rPr>
        <w:t>(2) Neto de 273 en el tercer trimestre de 2019 y 680 en los primeros 9 meses de 2019, correspondiente a activaciones en el rubro propiedad, planta y equipo.</w:t>
      </w:r>
    </w:p>
    <w:p w14:paraId="723F51C6" w14:textId="77777777" w:rsidR="0010523F" w:rsidRPr="0010523F" w:rsidRDefault="0010523F" w:rsidP="0010523F">
      <w:pPr>
        <w:spacing w:before="60" w:line="180" w:lineRule="exact"/>
        <w:jc w:val="both"/>
        <w:rPr>
          <w:sz w:val="16"/>
          <w:szCs w:val="16"/>
          <w:lang w:val="es-AR" w:eastAsia="en-US"/>
        </w:rPr>
      </w:pPr>
      <w:r w:rsidRPr="0010523F">
        <w:rPr>
          <w:sz w:val="16"/>
          <w:szCs w:val="16"/>
          <w:lang w:val="es-AR" w:eastAsia="en-US"/>
        </w:rPr>
        <w:t xml:space="preserve">(3) Cuando existen se exponen como gastos de exploración el costo de los pozos exploratorios secos y los gastos de geología y geofísica. Los otros gastos de centros de costos y/o áreas de exploración relacionados con el resto de los rubros se encuentran incluidos en los costos de explotación (0 en el tercer trimestre de 2019, 12 en el tercer trimestre de 2018, 1 en los primeros nueve meses de 2019 y 31 en los primeros nueve meses de 2018) y en los gastos de administración (53 en el tercer trimestre de 2019, 28 en el tercer trimestre de 2018, 180 en los primeros nueve meses de 2019 y 74 en los primeros nueve meses de 2018).  </w:t>
      </w:r>
    </w:p>
    <w:p w14:paraId="02311DEF" w14:textId="77777777" w:rsidR="0010523F" w:rsidRPr="0010523F" w:rsidRDefault="0010523F" w:rsidP="0010523F">
      <w:pPr>
        <w:spacing w:line="220" w:lineRule="exact"/>
        <w:jc w:val="both"/>
        <w:rPr>
          <w:szCs w:val="20"/>
          <w:lang w:val="es-AR" w:eastAsia="en-US"/>
        </w:rPr>
        <w:sectPr w:rsidR="0010523F" w:rsidRPr="0010523F" w:rsidSect="007C5274">
          <w:headerReference w:type="even" r:id="rId55"/>
          <w:headerReference w:type="default" r:id="rId56"/>
          <w:headerReference w:type="first" r:id="rId57"/>
          <w:footerReference w:type="first" r:id="rId58"/>
          <w:pgSz w:w="16840" w:h="11907" w:orient="landscape" w:code="9"/>
          <w:pgMar w:top="1138" w:right="1138" w:bottom="1138" w:left="1138" w:header="562" w:footer="461" w:gutter="0"/>
          <w:paperSrc w:first="15" w:other="15"/>
          <w:cols w:space="720"/>
          <w:docGrid w:linePitch="326"/>
        </w:sectPr>
      </w:pPr>
    </w:p>
    <w:p w14:paraId="31560DC0" w14:textId="77777777" w:rsidR="0010523F" w:rsidRPr="0010523F" w:rsidRDefault="0010523F" w:rsidP="0010523F">
      <w:pPr>
        <w:spacing w:line="220" w:lineRule="exact"/>
        <w:jc w:val="both"/>
        <w:rPr>
          <w:b/>
          <w:lang w:val="es-AR" w:eastAsia="en-US"/>
        </w:rPr>
      </w:pPr>
      <w:r w:rsidRPr="0010523F">
        <w:rPr>
          <w:b/>
          <w:lang w:val="es-AR" w:eastAsia="en-US"/>
        </w:rPr>
        <w:t xml:space="preserve">NOTA 4 - </w:t>
      </w:r>
      <w:r w:rsidRPr="0010523F">
        <w:rPr>
          <w:b/>
          <w:lang w:val="es-AR" w:eastAsia="en-US"/>
        </w:rPr>
        <w:tab/>
        <w:t>COMPOSICIÓN DE CIERTOS RUBROS DEL ESTADO DEL RESULTADO INTERMEDIO CONDENSADO (cont.)</w:t>
      </w:r>
    </w:p>
    <w:p w14:paraId="4D5A53DF" w14:textId="77777777" w:rsidR="0010523F" w:rsidRPr="0010523F" w:rsidRDefault="0010523F" w:rsidP="0010523F">
      <w:pPr>
        <w:spacing w:line="220" w:lineRule="exact"/>
        <w:ind w:left="1021" w:hanging="1021"/>
        <w:jc w:val="both"/>
        <w:rPr>
          <w:b/>
          <w:lang w:val="es-AR" w:eastAsia="en-US"/>
        </w:rPr>
      </w:pPr>
    </w:p>
    <w:p w14:paraId="1D5069AE" w14:textId="77777777" w:rsidR="0010523F" w:rsidRPr="0010523F" w:rsidRDefault="0010523F" w:rsidP="0010523F">
      <w:pPr>
        <w:keepNext/>
        <w:widowControl w:val="0"/>
        <w:tabs>
          <w:tab w:val="decimal" w:pos="4962"/>
          <w:tab w:val="decimal" w:pos="6379"/>
          <w:tab w:val="decimal" w:pos="7797"/>
          <w:tab w:val="decimal" w:pos="9214"/>
          <w:tab w:val="decimal" w:pos="10490"/>
          <w:tab w:val="decimal" w:pos="12049"/>
          <w:tab w:val="decimal" w:pos="13325"/>
          <w:tab w:val="decimal" w:pos="14601"/>
        </w:tabs>
        <w:spacing w:line="220" w:lineRule="exact"/>
        <w:ind w:right="12"/>
        <w:jc w:val="both"/>
        <w:outlineLvl w:val="3"/>
        <w:rPr>
          <w:szCs w:val="20"/>
          <w:lang w:val="es-AR" w:eastAsia="en-US"/>
        </w:rPr>
      </w:pPr>
      <w:r w:rsidRPr="0010523F">
        <w:rPr>
          <w:szCs w:val="20"/>
          <w:lang w:val="es-AR" w:eastAsia="en-US"/>
        </w:rPr>
        <w:t>d) Impuesto a las ganancias</w:t>
      </w:r>
    </w:p>
    <w:p w14:paraId="30F2FF9E" w14:textId="77777777" w:rsidR="0010523F" w:rsidRPr="0010523F" w:rsidRDefault="0010523F" w:rsidP="0010523F">
      <w:pPr>
        <w:tabs>
          <w:tab w:val="decimal" w:pos="7797"/>
          <w:tab w:val="decimal" w:pos="8931"/>
        </w:tabs>
        <w:ind w:left="170" w:hanging="170"/>
        <w:jc w:val="both"/>
        <w:rPr>
          <w:lang w:val="es-AR" w:eastAsia="en-US"/>
        </w:rPr>
      </w:pPr>
    </w:p>
    <w:p w14:paraId="75452E35" w14:textId="77777777" w:rsidR="0010523F" w:rsidRPr="0010523F" w:rsidRDefault="0010523F" w:rsidP="0010523F">
      <w:pPr>
        <w:tabs>
          <w:tab w:val="center" w:pos="4320"/>
          <w:tab w:val="right" w:pos="8640"/>
        </w:tabs>
        <w:jc w:val="both"/>
        <w:rPr>
          <w:szCs w:val="20"/>
          <w:lang w:val="es-AR" w:eastAsia="en-US"/>
        </w:rPr>
      </w:pPr>
      <w:r w:rsidRPr="0010523F">
        <w:rPr>
          <w:szCs w:val="20"/>
          <w:lang w:val="es-AR" w:eastAsia="en-US"/>
        </w:rPr>
        <w:t>La Sucursal, de acuerdo con la NIC 34, en los períodos intermedios determina el cargo por impuesto a las ganancias en base a la tasa efectiva que estima para el ejercicio anual aplicada sobre el resultado antes del impuesto a las ganancias del período intermedio. La tasa efectiva estimada por la Sucursal en los períodos intermedios puede luego diferir de la finalmente resultante al cierre del ejercicio anual.</w:t>
      </w:r>
    </w:p>
    <w:p w14:paraId="7A0A90F9" w14:textId="77777777" w:rsidR="0010523F" w:rsidRPr="0010523F" w:rsidRDefault="0010523F" w:rsidP="0010523F">
      <w:pPr>
        <w:tabs>
          <w:tab w:val="center" w:pos="4320"/>
          <w:tab w:val="right" w:pos="8640"/>
        </w:tabs>
        <w:spacing w:line="200" w:lineRule="exact"/>
        <w:ind w:left="170" w:hanging="170"/>
        <w:jc w:val="both"/>
        <w:rPr>
          <w:szCs w:val="20"/>
          <w:lang w:val="es-AR" w:eastAsia="en-US"/>
        </w:rPr>
      </w:pPr>
    </w:p>
    <w:p w14:paraId="0268AC0D" w14:textId="77777777" w:rsidR="0010523F" w:rsidRPr="0010523F" w:rsidRDefault="0010523F" w:rsidP="0010523F">
      <w:pPr>
        <w:tabs>
          <w:tab w:val="center" w:pos="4320"/>
          <w:tab w:val="right" w:pos="8640"/>
        </w:tabs>
        <w:jc w:val="both"/>
        <w:rPr>
          <w:szCs w:val="20"/>
          <w:lang w:val="es-AR" w:eastAsia="es-AR"/>
        </w:rPr>
      </w:pPr>
      <w:r w:rsidRPr="0010523F">
        <w:rPr>
          <w:szCs w:val="20"/>
          <w:lang w:val="es-AR" w:eastAsia="en-US"/>
        </w:rPr>
        <w:t xml:space="preserve">Tal como se expone en la Nota 12 a los Estados Financieros al 31 de diciembre de 2018, la Ley </w:t>
      </w:r>
      <w:r w:rsidRPr="0010523F">
        <w:rPr>
          <w:szCs w:val="20"/>
          <w:lang w:val="es-AR" w:eastAsia="en-US"/>
        </w:rPr>
        <w:br/>
        <w:t>N° 27.430 (posteriormente modificada por la Ley N° 27.468) establece la obligatoriedad para los ejercicios fiscales iniciados a partir del 1 de enero de 2018 de deducir o de incorporar al resultado impositivo, el ajuste por inflación calculado en base al procedimiento descripto en la Ley del Impuesto a las ganancias, solo en la medida en que se verifique que la variación en el índice de precios al consumidor nivel general (IPC) acumulado en los 36 meses anteriores al cierre del ejercicio que se liquida supere el 100%. Para los primeros tres ejercicios a partir de la entrada en vigencia (ejercicios iniciados el 1 de enero de 2018), el ajuste por inflación impositivo aplica en la medida que la variación del IPC para cada uno de ellos supere el 55%; 30% y 15% respectivamente. El ajuste por inflación resultante ya sea positivo o negativo, deberá ser imputado en tres partes iguales, computándose el primer tercio en el año al cual corresponde el cálculo y los dos tercios restantes en los inmediatamente posteriores. A partir del cuarto ejercicio, el monto del ajuste por inflación impositivo se imputa en el mismo ejercicio.</w:t>
      </w:r>
    </w:p>
    <w:p w14:paraId="049D317D" w14:textId="77777777" w:rsidR="0010523F" w:rsidRPr="0010523F" w:rsidRDefault="0010523F" w:rsidP="0010523F">
      <w:pPr>
        <w:tabs>
          <w:tab w:val="center" w:pos="4320"/>
          <w:tab w:val="right" w:pos="8640"/>
        </w:tabs>
        <w:spacing w:line="200" w:lineRule="exact"/>
        <w:ind w:left="170" w:hanging="170"/>
        <w:jc w:val="both"/>
        <w:rPr>
          <w:szCs w:val="20"/>
          <w:lang w:val="es-AR" w:eastAsia="en-US"/>
        </w:rPr>
      </w:pPr>
    </w:p>
    <w:p w14:paraId="1D8035D2" w14:textId="77777777" w:rsidR="0010523F" w:rsidRPr="0010523F" w:rsidRDefault="0010523F" w:rsidP="0010523F">
      <w:pPr>
        <w:tabs>
          <w:tab w:val="center" w:pos="4320"/>
          <w:tab w:val="right" w:pos="8640"/>
        </w:tabs>
        <w:jc w:val="both"/>
        <w:rPr>
          <w:szCs w:val="20"/>
          <w:lang w:val="es-AR" w:eastAsia="en-US"/>
        </w:rPr>
      </w:pPr>
      <w:r w:rsidRPr="0010523F">
        <w:rPr>
          <w:szCs w:val="20"/>
          <w:lang w:val="es-AR" w:eastAsia="en-US"/>
        </w:rPr>
        <w:t>En el ejercicio corriente la variación del IPC ya superó el 30%, y en consecuencia la Sucursal incluyó en sus cálculos el efecto del ajuste por inflación impositivo. Siguiendo la metodología de transición prevista en la norma impositiva, un tercio de dicho efecto se computa ajustando el resultado impositivo del presente período y los dos tercios restantes son computables en los próximos dos ejercicios fiscales y por ser una diferencia temporaria, su efecto se incluye como impuesto diferido.  </w:t>
      </w:r>
    </w:p>
    <w:p w14:paraId="5A9D869B" w14:textId="77777777" w:rsidR="0010523F" w:rsidRPr="0010523F" w:rsidRDefault="0010523F" w:rsidP="0010523F">
      <w:pPr>
        <w:tabs>
          <w:tab w:val="center" w:pos="4320"/>
          <w:tab w:val="right" w:pos="8640"/>
        </w:tabs>
        <w:spacing w:line="200" w:lineRule="exact"/>
        <w:ind w:left="170" w:hanging="170"/>
        <w:jc w:val="both"/>
        <w:rPr>
          <w:szCs w:val="20"/>
          <w:lang w:val="es-AR" w:eastAsia="en-US"/>
        </w:rPr>
      </w:pPr>
    </w:p>
    <w:p w14:paraId="6841C448" w14:textId="77777777" w:rsidR="0010523F" w:rsidRPr="0010523F" w:rsidRDefault="0010523F" w:rsidP="0010523F">
      <w:pPr>
        <w:tabs>
          <w:tab w:val="decimal" w:pos="7797"/>
          <w:tab w:val="decimal" w:pos="8931"/>
        </w:tabs>
        <w:jc w:val="both"/>
        <w:rPr>
          <w:lang w:val="es-AR" w:eastAsia="en-US"/>
        </w:rPr>
      </w:pPr>
      <w:r w:rsidRPr="0010523F">
        <w:rPr>
          <w:szCs w:val="20"/>
          <w:lang w:val="es-AR" w:eastAsia="en-US"/>
        </w:rPr>
        <w:t>La tasa efectiva correspondiente a los períodos de nueve meses finalizados el 30 de septiembre de 2019 y 2018 es 68,2% y 56,5%, respectivamente. La variación de la tasa efectiva se explica principalmente por la estimación del impacto del ajuste por inflación impositivo y de la devaluación del peso respecto del dólar.</w:t>
      </w:r>
      <w:r w:rsidRPr="0010523F">
        <w:rPr>
          <w:lang w:val="es-AR" w:eastAsia="en-US"/>
        </w:rPr>
        <w:t xml:space="preserve"> </w:t>
      </w:r>
    </w:p>
    <w:p w14:paraId="3E13E9C1" w14:textId="77777777" w:rsidR="0010523F" w:rsidRPr="0010523F" w:rsidRDefault="0010523F" w:rsidP="0010523F">
      <w:pPr>
        <w:spacing w:line="220" w:lineRule="exact"/>
        <w:jc w:val="both"/>
        <w:rPr>
          <w:b/>
          <w:lang w:val="es-AR" w:eastAsia="en-US"/>
        </w:rPr>
      </w:pPr>
    </w:p>
    <w:p w14:paraId="1CFB64A9"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NOTA 5 - OPERACIONES CONJUNTAS</w:t>
      </w:r>
    </w:p>
    <w:p w14:paraId="73516F2C" w14:textId="77777777" w:rsidR="0010523F" w:rsidRPr="0010523F" w:rsidRDefault="0010523F" w:rsidP="0010523F">
      <w:pPr>
        <w:tabs>
          <w:tab w:val="decimal" w:pos="7797"/>
          <w:tab w:val="decimal" w:pos="8931"/>
        </w:tabs>
        <w:spacing w:line="220" w:lineRule="exact"/>
        <w:ind w:left="170" w:hanging="170"/>
        <w:jc w:val="both"/>
        <w:rPr>
          <w:b/>
          <w:bCs/>
          <w:lang w:val="es-AR" w:eastAsia="en-US"/>
        </w:rPr>
      </w:pPr>
    </w:p>
    <w:p w14:paraId="1622EBA4" w14:textId="77777777" w:rsidR="0010523F" w:rsidRPr="0010523F" w:rsidRDefault="0010523F" w:rsidP="0010523F">
      <w:pPr>
        <w:tabs>
          <w:tab w:val="right" w:pos="2643"/>
        </w:tabs>
        <w:jc w:val="both"/>
        <w:rPr>
          <w:lang w:val="es-AR" w:eastAsia="en-US"/>
        </w:rPr>
      </w:pPr>
      <w:r w:rsidRPr="0010523F">
        <w:rPr>
          <w:lang w:val="es-AR" w:eastAsia="en-US"/>
        </w:rPr>
        <w:t xml:space="preserve">A continuación, se desglosan los importes incluidos en estos estados de situación financiera intermedios condensados relacionados con las participaciones de la Sucursal en operaciones conjuntas al 30 de septiembre de 2019 y al 31 de diciembre de 2018 y los resultados de las mismas por los períodos de tres y nueve meses finalizados el 30 de septiembre de 2019 y 2018: </w:t>
      </w:r>
    </w:p>
    <w:p w14:paraId="54B6A168" w14:textId="77777777" w:rsidR="0010523F" w:rsidRPr="0010523F" w:rsidRDefault="0010523F" w:rsidP="0010523F">
      <w:pPr>
        <w:rPr>
          <w:lang w:val="es-AR" w:eastAsia="en-US"/>
        </w:rPr>
      </w:pPr>
      <w:r w:rsidRPr="0010523F">
        <w:rPr>
          <w:lang w:val="es-AR" w:eastAsia="en-US"/>
        </w:rPr>
        <w:br w:type="page"/>
      </w:r>
    </w:p>
    <w:p w14:paraId="7D5B00C6" w14:textId="77777777" w:rsidR="0010523F" w:rsidRPr="0010523F" w:rsidRDefault="0010523F" w:rsidP="0010523F">
      <w:pPr>
        <w:spacing w:line="220" w:lineRule="exact"/>
        <w:jc w:val="both"/>
        <w:rPr>
          <w:b/>
          <w:szCs w:val="20"/>
          <w:lang w:val="es-AR" w:eastAsia="en-US"/>
        </w:rPr>
      </w:pPr>
      <w:r w:rsidRPr="0010523F">
        <w:rPr>
          <w:b/>
          <w:szCs w:val="20"/>
          <w:lang w:val="es-AR" w:eastAsia="en-US"/>
        </w:rPr>
        <w:t>NOTA 5 - OPERACIONES CONJUNTAS (cont.)</w:t>
      </w:r>
    </w:p>
    <w:p w14:paraId="27399EA6" w14:textId="77777777" w:rsidR="0010523F" w:rsidRPr="0010523F" w:rsidRDefault="0010523F" w:rsidP="0010523F">
      <w:pPr>
        <w:tabs>
          <w:tab w:val="right" w:pos="2643"/>
        </w:tabs>
        <w:spacing w:line="220" w:lineRule="exact"/>
        <w:jc w:val="both"/>
        <w:rPr>
          <w:lang w:val="es-AR" w:eastAsia="en-US"/>
        </w:rPr>
      </w:pPr>
    </w:p>
    <w:tbl>
      <w:tblPr>
        <w:tblW w:w="10116" w:type="dxa"/>
        <w:tblLayout w:type="fixed"/>
        <w:tblCellMar>
          <w:left w:w="30" w:type="dxa"/>
          <w:right w:w="30" w:type="dxa"/>
        </w:tblCellMar>
        <w:tblLook w:val="0000" w:firstRow="0" w:lastRow="0" w:firstColumn="0" w:lastColumn="0" w:noHBand="0" w:noVBand="0"/>
      </w:tblPr>
      <w:tblGrid>
        <w:gridCol w:w="6735"/>
        <w:gridCol w:w="1590"/>
        <w:gridCol w:w="80"/>
        <w:gridCol w:w="1711"/>
      </w:tblGrid>
      <w:tr w:rsidR="0010523F" w:rsidRPr="0010523F" w14:paraId="47FF14B1" w14:textId="77777777" w:rsidTr="00774E7E">
        <w:tc>
          <w:tcPr>
            <w:tcW w:w="6735" w:type="dxa"/>
            <w:vAlign w:val="bottom"/>
          </w:tcPr>
          <w:p w14:paraId="6887FD60" w14:textId="77777777" w:rsidR="0010523F" w:rsidRPr="0010523F" w:rsidRDefault="0010523F" w:rsidP="0010523F">
            <w:pPr>
              <w:jc w:val="both"/>
              <w:rPr>
                <w:snapToGrid w:val="0"/>
                <w:u w:val="single"/>
                <w:lang w:val="es-AR" w:eastAsia="en-US"/>
              </w:rPr>
            </w:pPr>
            <w:r w:rsidRPr="0010523F">
              <w:rPr>
                <w:snapToGrid w:val="0"/>
                <w:u w:val="single"/>
                <w:lang w:val="es-AR" w:eastAsia="en-US"/>
              </w:rPr>
              <w:t>Estado de situación financiera</w:t>
            </w:r>
          </w:p>
        </w:tc>
        <w:tc>
          <w:tcPr>
            <w:tcW w:w="1590" w:type="dxa"/>
            <w:tcBorders>
              <w:bottom w:val="single" w:sz="4" w:space="0" w:color="auto"/>
            </w:tcBorders>
            <w:vAlign w:val="bottom"/>
          </w:tcPr>
          <w:p w14:paraId="4410391F" w14:textId="77777777" w:rsidR="0010523F" w:rsidRPr="0010523F" w:rsidRDefault="0010523F" w:rsidP="0010523F">
            <w:pPr>
              <w:tabs>
                <w:tab w:val="center" w:pos="1020"/>
              </w:tabs>
              <w:ind w:right="-31"/>
              <w:jc w:val="center"/>
              <w:rPr>
                <w:snapToGrid w:val="0"/>
                <w:lang w:val="es-AR" w:eastAsia="en-US"/>
              </w:rPr>
            </w:pPr>
            <w:r w:rsidRPr="0010523F">
              <w:rPr>
                <w:snapToGrid w:val="0"/>
                <w:lang w:val="es-AR" w:eastAsia="en-US"/>
              </w:rPr>
              <w:t>30/09/2019</w:t>
            </w:r>
          </w:p>
        </w:tc>
        <w:tc>
          <w:tcPr>
            <w:tcW w:w="80" w:type="dxa"/>
          </w:tcPr>
          <w:p w14:paraId="3D6C2DA8" w14:textId="77777777" w:rsidR="0010523F" w:rsidRPr="0010523F" w:rsidRDefault="0010523F" w:rsidP="0010523F">
            <w:pPr>
              <w:jc w:val="center"/>
              <w:rPr>
                <w:snapToGrid w:val="0"/>
                <w:lang w:val="es-AR" w:eastAsia="en-US"/>
              </w:rPr>
            </w:pPr>
          </w:p>
        </w:tc>
        <w:tc>
          <w:tcPr>
            <w:tcW w:w="1711" w:type="dxa"/>
            <w:tcBorders>
              <w:bottom w:val="single" w:sz="4" w:space="0" w:color="auto"/>
            </w:tcBorders>
            <w:vAlign w:val="bottom"/>
          </w:tcPr>
          <w:p w14:paraId="7A20663C" w14:textId="77777777" w:rsidR="0010523F" w:rsidRPr="0010523F" w:rsidRDefault="0010523F" w:rsidP="0010523F">
            <w:pPr>
              <w:jc w:val="center"/>
              <w:rPr>
                <w:snapToGrid w:val="0"/>
                <w:lang w:val="es-AR" w:eastAsia="en-US"/>
              </w:rPr>
            </w:pPr>
            <w:r w:rsidRPr="0010523F">
              <w:rPr>
                <w:snapToGrid w:val="0"/>
                <w:lang w:val="es-AR" w:eastAsia="en-US"/>
              </w:rPr>
              <w:t>31/12/2018</w:t>
            </w:r>
          </w:p>
        </w:tc>
      </w:tr>
      <w:tr w:rsidR="0010523F" w:rsidRPr="0010523F" w14:paraId="4E413985" w14:textId="77777777" w:rsidTr="00774E7E">
        <w:tc>
          <w:tcPr>
            <w:tcW w:w="6735" w:type="dxa"/>
          </w:tcPr>
          <w:p w14:paraId="1FC99EBF" w14:textId="77777777" w:rsidR="0010523F" w:rsidRPr="0010523F" w:rsidRDefault="0010523F" w:rsidP="0010523F">
            <w:pPr>
              <w:spacing w:line="140" w:lineRule="exact"/>
              <w:jc w:val="right"/>
              <w:rPr>
                <w:snapToGrid w:val="0"/>
                <w:lang w:val="es-AR" w:eastAsia="en-US"/>
              </w:rPr>
            </w:pPr>
          </w:p>
        </w:tc>
        <w:tc>
          <w:tcPr>
            <w:tcW w:w="1590" w:type="dxa"/>
            <w:tcBorders>
              <w:top w:val="single" w:sz="4" w:space="0" w:color="auto"/>
            </w:tcBorders>
          </w:tcPr>
          <w:p w14:paraId="14DBD410" w14:textId="77777777" w:rsidR="0010523F" w:rsidRPr="0010523F" w:rsidRDefault="0010523F" w:rsidP="0010523F">
            <w:pPr>
              <w:spacing w:line="140" w:lineRule="exact"/>
              <w:jc w:val="right"/>
              <w:rPr>
                <w:snapToGrid w:val="0"/>
                <w:lang w:val="es-AR" w:eastAsia="en-US"/>
              </w:rPr>
            </w:pPr>
          </w:p>
        </w:tc>
        <w:tc>
          <w:tcPr>
            <w:tcW w:w="80" w:type="dxa"/>
          </w:tcPr>
          <w:p w14:paraId="50633903" w14:textId="77777777" w:rsidR="0010523F" w:rsidRPr="0010523F" w:rsidRDefault="0010523F" w:rsidP="0010523F">
            <w:pPr>
              <w:spacing w:line="140" w:lineRule="exact"/>
              <w:jc w:val="right"/>
              <w:rPr>
                <w:snapToGrid w:val="0"/>
                <w:lang w:val="es-AR" w:eastAsia="en-US"/>
              </w:rPr>
            </w:pPr>
          </w:p>
        </w:tc>
        <w:tc>
          <w:tcPr>
            <w:tcW w:w="1711" w:type="dxa"/>
            <w:tcBorders>
              <w:top w:val="single" w:sz="4" w:space="0" w:color="auto"/>
            </w:tcBorders>
          </w:tcPr>
          <w:p w14:paraId="098F01B5" w14:textId="77777777" w:rsidR="0010523F" w:rsidRPr="0010523F" w:rsidRDefault="0010523F" w:rsidP="0010523F">
            <w:pPr>
              <w:spacing w:line="140" w:lineRule="exact"/>
              <w:jc w:val="right"/>
              <w:rPr>
                <w:snapToGrid w:val="0"/>
                <w:lang w:val="es-AR" w:eastAsia="en-US"/>
              </w:rPr>
            </w:pPr>
          </w:p>
        </w:tc>
      </w:tr>
      <w:tr w:rsidR="0010523F" w:rsidRPr="0010523F" w14:paraId="03C35807" w14:textId="77777777" w:rsidTr="00774E7E">
        <w:tc>
          <w:tcPr>
            <w:tcW w:w="6735" w:type="dxa"/>
          </w:tcPr>
          <w:p w14:paraId="37488912" w14:textId="77777777" w:rsidR="0010523F" w:rsidRPr="0010523F" w:rsidRDefault="0010523F" w:rsidP="0010523F">
            <w:pPr>
              <w:jc w:val="both"/>
              <w:rPr>
                <w:snapToGrid w:val="0"/>
                <w:lang w:val="es-AR" w:eastAsia="en-US"/>
              </w:rPr>
            </w:pPr>
            <w:r w:rsidRPr="0010523F">
              <w:rPr>
                <w:snapToGrid w:val="0"/>
                <w:lang w:val="es-AR" w:eastAsia="en-US"/>
              </w:rPr>
              <w:t>Activo no corriente</w:t>
            </w:r>
          </w:p>
        </w:tc>
        <w:tc>
          <w:tcPr>
            <w:tcW w:w="1590" w:type="dxa"/>
          </w:tcPr>
          <w:p w14:paraId="74BF44A3" w14:textId="77777777" w:rsidR="0010523F" w:rsidRPr="0010523F" w:rsidRDefault="0010523F" w:rsidP="0010523F">
            <w:pPr>
              <w:tabs>
                <w:tab w:val="decimal" w:pos="1170"/>
              </w:tabs>
              <w:jc w:val="both"/>
              <w:rPr>
                <w:snapToGrid w:val="0"/>
                <w:lang w:val="es-AR" w:eastAsia="en-US"/>
              </w:rPr>
            </w:pPr>
            <w:r w:rsidRPr="0010523F">
              <w:rPr>
                <w:snapToGrid w:val="0"/>
                <w:lang w:val="es-AR" w:eastAsia="en-US"/>
              </w:rPr>
              <w:t>50.106</w:t>
            </w:r>
          </w:p>
        </w:tc>
        <w:tc>
          <w:tcPr>
            <w:tcW w:w="80" w:type="dxa"/>
          </w:tcPr>
          <w:p w14:paraId="68B91DE5" w14:textId="77777777" w:rsidR="0010523F" w:rsidRPr="0010523F" w:rsidRDefault="0010523F" w:rsidP="0010523F">
            <w:pPr>
              <w:tabs>
                <w:tab w:val="decimal" w:pos="1170"/>
              </w:tabs>
              <w:jc w:val="both"/>
              <w:rPr>
                <w:snapToGrid w:val="0"/>
                <w:lang w:val="es-AR" w:eastAsia="en-US"/>
              </w:rPr>
            </w:pPr>
          </w:p>
        </w:tc>
        <w:tc>
          <w:tcPr>
            <w:tcW w:w="1711" w:type="dxa"/>
          </w:tcPr>
          <w:p w14:paraId="20BCBDA0" w14:textId="77777777" w:rsidR="0010523F" w:rsidRPr="0010523F" w:rsidRDefault="0010523F" w:rsidP="0010523F">
            <w:pPr>
              <w:tabs>
                <w:tab w:val="decimal" w:pos="1170"/>
              </w:tabs>
              <w:jc w:val="both"/>
              <w:rPr>
                <w:snapToGrid w:val="0"/>
                <w:lang w:val="es-AR" w:eastAsia="en-US"/>
              </w:rPr>
            </w:pPr>
            <w:r w:rsidRPr="0010523F">
              <w:rPr>
                <w:snapToGrid w:val="0"/>
                <w:lang w:val="es-AR" w:eastAsia="en-US"/>
              </w:rPr>
              <w:t>34.129</w:t>
            </w:r>
          </w:p>
        </w:tc>
      </w:tr>
      <w:tr w:rsidR="0010523F" w:rsidRPr="0010523F" w14:paraId="230F30CD" w14:textId="77777777" w:rsidTr="00774E7E">
        <w:tc>
          <w:tcPr>
            <w:tcW w:w="6735" w:type="dxa"/>
          </w:tcPr>
          <w:p w14:paraId="7814C128" w14:textId="77777777" w:rsidR="0010523F" w:rsidRPr="0010523F" w:rsidRDefault="0010523F" w:rsidP="0010523F">
            <w:pPr>
              <w:jc w:val="both"/>
              <w:rPr>
                <w:snapToGrid w:val="0"/>
                <w:lang w:val="es-AR" w:eastAsia="en-US"/>
              </w:rPr>
            </w:pPr>
            <w:r w:rsidRPr="0010523F">
              <w:rPr>
                <w:snapToGrid w:val="0"/>
                <w:lang w:val="es-AR" w:eastAsia="en-US"/>
              </w:rPr>
              <w:t>Activo corriente</w:t>
            </w:r>
          </w:p>
        </w:tc>
        <w:tc>
          <w:tcPr>
            <w:tcW w:w="1590" w:type="dxa"/>
          </w:tcPr>
          <w:p w14:paraId="4F4319B6" w14:textId="77777777" w:rsidR="0010523F" w:rsidRPr="0010523F" w:rsidRDefault="0010523F" w:rsidP="0010523F">
            <w:pPr>
              <w:tabs>
                <w:tab w:val="decimal" w:pos="1170"/>
              </w:tabs>
              <w:jc w:val="both"/>
              <w:rPr>
                <w:snapToGrid w:val="0"/>
                <w:u w:val="single"/>
                <w:lang w:val="es-AR" w:eastAsia="en-US"/>
              </w:rPr>
            </w:pPr>
            <w:r w:rsidRPr="0010523F">
              <w:rPr>
                <w:snapToGrid w:val="0"/>
                <w:u w:val="single"/>
                <w:lang w:val="es-AR" w:eastAsia="en-US"/>
              </w:rPr>
              <w:t xml:space="preserve">  2.807</w:t>
            </w:r>
          </w:p>
        </w:tc>
        <w:tc>
          <w:tcPr>
            <w:tcW w:w="80" w:type="dxa"/>
          </w:tcPr>
          <w:p w14:paraId="5C3E3076" w14:textId="77777777" w:rsidR="0010523F" w:rsidRPr="0010523F" w:rsidRDefault="0010523F" w:rsidP="0010523F">
            <w:pPr>
              <w:tabs>
                <w:tab w:val="decimal" w:pos="1170"/>
              </w:tabs>
              <w:jc w:val="both"/>
              <w:rPr>
                <w:snapToGrid w:val="0"/>
                <w:u w:val="single"/>
                <w:lang w:val="es-AR" w:eastAsia="en-US"/>
              </w:rPr>
            </w:pPr>
          </w:p>
        </w:tc>
        <w:tc>
          <w:tcPr>
            <w:tcW w:w="1711" w:type="dxa"/>
          </w:tcPr>
          <w:p w14:paraId="58D5F46F" w14:textId="77777777" w:rsidR="0010523F" w:rsidRPr="0010523F" w:rsidRDefault="0010523F" w:rsidP="0010523F">
            <w:pPr>
              <w:tabs>
                <w:tab w:val="decimal" w:pos="1170"/>
              </w:tabs>
              <w:jc w:val="both"/>
              <w:rPr>
                <w:snapToGrid w:val="0"/>
                <w:u w:val="single"/>
                <w:lang w:val="es-AR" w:eastAsia="en-US"/>
              </w:rPr>
            </w:pPr>
            <w:r w:rsidRPr="0010523F">
              <w:rPr>
                <w:snapToGrid w:val="0"/>
                <w:u w:val="single"/>
                <w:lang w:val="es-AR" w:eastAsia="en-US"/>
              </w:rPr>
              <w:t xml:space="preserve">  1.935</w:t>
            </w:r>
          </w:p>
        </w:tc>
      </w:tr>
      <w:tr w:rsidR="0010523F" w:rsidRPr="0010523F" w14:paraId="3D3B58DC" w14:textId="77777777" w:rsidTr="00774E7E">
        <w:tc>
          <w:tcPr>
            <w:tcW w:w="6735" w:type="dxa"/>
            <w:vAlign w:val="bottom"/>
          </w:tcPr>
          <w:p w14:paraId="18CFE039" w14:textId="77777777" w:rsidR="0010523F" w:rsidRPr="0010523F" w:rsidRDefault="0010523F" w:rsidP="0010523F">
            <w:pPr>
              <w:tabs>
                <w:tab w:val="decimal" w:pos="7797"/>
                <w:tab w:val="decimal" w:pos="8931"/>
              </w:tabs>
              <w:spacing w:line="160" w:lineRule="exact"/>
              <w:ind w:left="170" w:hanging="170"/>
              <w:jc w:val="both"/>
              <w:rPr>
                <w:lang w:val="es-AR" w:eastAsia="en-US"/>
              </w:rPr>
            </w:pPr>
          </w:p>
        </w:tc>
        <w:tc>
          <w:tcPr>
            <w:tcW w:w="1590" w:type="dxa"/>
            <w:vAlign w:val="bottom"/>
          </w:tcPr>
          <w:p w14:paraId="79D9A393" w14:textId="77777777" w:rsidR="0010523F" w:rsidRPr="0010523F" w:rsidRDefault="0010523F" w:rsidP="0010523F">
            <w:pPr>
              <w:tabs>
                <w:tab w:val="decimal" w:pos="7797"/>
                <w:tab w:val="decimal" w:pos="8931"/>
              </w:tabs>
              <w:spacing w:line="160" w:lineRule="exact"/>
              <w:ind w:left="170" w:hanging="170"/>
              <w:jc w:val="both"/>
              <w:rPr>
                <w:lang w:val="es-AR" w:eastAsia="en-US"/>
              </w:rPr>
            </w:pPr>
          </w:p>
        </w:tc>
        <w:tc>
          <w:tcPr>
            <w:tcW w:w="80" w:type="dxa"/>
          </w:tcPr>
          <w:p w14:paraId="2D653970" w14:textId="77777777" w:rsidR="0010523F" w:rsidRPr="0010523F" w:rsidRDefault="0010523F" w:rsidP="0010523F">
            <w:pPr>
              <w:tabs>
                <w:tab w:val="decimal" w:pos="7797"/>
                <w:tab w:val="decimal" w:pos="8931"/>
              </w:tabs>
              <w:spacing w:line="160" w:lineRule="exact"/>
              <w:ind w:left="170" w:hanging="170"/>
              <w:jc w:val="both"/>
              <w:rPr>
                <w:lang w:val="es-AR" w:eastAsia="en-US"/>
              </w:rPr>
            </w:pPr>
          </w:p>
        </w:tc>
        <w:tc>
          <w:tcPr>
            <w:tcW w:w="1711" w:type="dxa"/>
            <w:vAlign w:val="bottom"/>
          </w:tcPr>
          <w:p w14:paraId="1F593B0E" w14:textId="77777777" w:rsidR="0010523F" w:rsidRPr="0010523F" w:rsidRDefault="0010523F" w:rsidP="0010523F">
            <w:pPr>
              <w:tabs>
                <w:tab w:val="decimal" w:pos="7797"/>
                <w:tab w:val="decimal" w:pos="8931"/>
              </w:tabs>
              <w:spacing w:line="160" w:lineRule="exact"/>
              <w:ind w:left="170" w:hanging="170"/>
              <w:jc w:val="both"/>
              <w:rPr>
                <w:lang w:val="es-AR" w:eastAsia="en-US"/>
              </w:rPr>
            </w:pPr>
          </w:p>
        </w:tc>
      </w:tr>
      <w:tr w:rsidR="0010523F" w:rsidRPr="0010523F" w14:paraId="2D0009BD" w14:textId="77777777" w:rsidTr="00774E7E">
        <w:tc>
          <w:tcPr>
            <w:tcW w:w="6735" w:type="dxa"/>
            <w:vAlign w:val="bottom"/>
          </w:tcPr>
          <w:p w14:paraId="28CCC26B" w14:textId="77777777" w:rsidR="0010523F" w:rsidRPr="0010523F" w:rsidRDefault="0010523F" w:rsidP="0010523F">
            <w:pPr>
              <w:jc w:val="both"/>
              <w:rPr>
                <w:snapToGrid w:val="0"/>
                <w:lang w:val="es-AR" w:eastAsia="en-US"/>
              </w:rPr>
            </w:pPr>
            <w:r w:rsidRPr="0010523F">
              <w:rPr>
                <w:snapToGrid w:val="0"/>
                <w:lang w:val="es-AR" w:eastAsia="en-US"/>
              </w:rPr>
              <w:t>Total activo</w:t>
            </w:r>
          </w:p>
        </w:tc>
        <w:tc>
          <w:tcPr>
            <w:tcW w:w="1590" w:type="dxa"/>
            <w:vAlign w:val="bottom"/>
          </w:tcPr>
          <w:p w14:paraId="524B5C2F" w14:textId="77777777" w:rsidR="0010523F" w:rsidRPr="0010523F" w:rsidRDefault="0010523F" w:rsidP="0010523F">
            <w:pPr>
              <w:tabs>
                <w:tab w:val="decimal" w:pos="1170"/>
              </w:tabs>
              <w:jc w:val="both"/>
              <w:rPr>
                <w:snapToGrid w:val="0"/>
                <w:u w:val="double"/>
                <w:lang w:val="es-AR" w:eastAsia="en-US"/>
              </w:rPr>
            </w:pPr>
            <w:r w:rsidRPr="0010523F">
              <w:rPr>
                <w:snapToGrid w:val="0"/>
                <w:u w:val="double"/>
                <w:lang w:val="es-AR" w:eastAsia="en-US"/>
              </w:rPr>
              <w:t>52.913</w:t>
            </w:r>
          </w:p>
        </w:tc>
        <w:tc>
          <w:tcPr>
            <w:tcW w:w="80" w:type="dxa"/>
          </w:tcPr>
          <w:p w14:paraId="301C64B2" w14:textId="77777777" w:rsidR="0010523F" w:rsidRPr="0010523F" w:rsidRDefault="0010523F" w:rsidP="0010523F">
            <w:pPr>
              <w:tabs>
                <w:tab w:val="decimal" w:pos="1170"/>
              </w:tabs>
              <w:jc w:val="both"/>
              <w:rPr>
                <w:snapToGrid w:val="0"/>
                <w:u w:val="double"/>
                <w:lang w:val="es-AR" w:eastAsia="en-US"/>
              </w:rPr>
            </w:pPr>
          </w:p>
        </w:tc>
        <w:tc>
          <w:tcPr>
            <w:tcW w:w="1711" w:type="dxa"/>
            <w:vAlign w:val="bottom"/>
          </w:tcPr>
          <w:p w14:paraId="4C4FD08A" w14:textId="77777777" w:rsidR="0010523F" w:rsidRPr="0010523F" w:rsidRDefault="0010523F" w:rsidP="0010523F">
            <w:pPr>
              <w:tabs>
                <w:tab w:val="decimal" w:pos="1170"/>
              </w:tabs>
              <w:jc w:val="both"/>
              <w:rPr>
                <w:snapToGrid w:val="0"/>
                <w:u w:val="double"/>
                <w:lang w:val="es-AR" w:eastAsia="en-US"/>
              </w:rPr>
            </w:pPr>
            <w:r w:rsidRPr="0010523F">
              <w:rPr>
                <w:snapToGrid w:val="0"/>
                <w:u w:val="double"/>
                <w:lang w:val="es-AR" w:eastAsia="en-US"/>
              </w:rPr>
              <w:t>36.064</w:t>
            </w:r>
          </w:p>
        </w:tc>
      </w:tr>
      <w:tr w:rsidR="0010523F" w:rsidRPr="0010523F" w14:paraId="4EABC431" w14:textId="77777777" w:rsidTr="00774E7E">
        <w:tc>
          <w:tcPr>
            <w:tcW w:w="6735" w:type="dxa"/>
            <w:vAlign w:val="bottom"/>
          </w:tcPr>
          <w:p w14:paraId="758255B3" w14:textId="77777777" w:rsidR="0010523F" w:rsidRPr="0010523F" w:rsidRDefault="0010523F" w:rsidP="0010523F">
            <w:pPr>
              <w:tabs>
                <w:tab w:val="decimal" w:pos="7797"/>
                <w:tab w:val="decimal" w:pos="8931"/>
              </w:tabs>
              <w:spacing w:line="220" w:lineRule="exact"/>
              <w:ind w:left="170" w:hanging="170"/>
              <w:jc w:val="both"/>
              <w:rPr>
                <w:lang w:val="es-AR" w:eastAsia="en-US"/>
              </w:rPr>
            </w:pPr>
          </w:p>
        </w:tc>
        <w:tc>
          <w:tcPr>
            <w:tcW w:w="1590" w:type="dxa"/>
            <w:vAlign w:val="bottom"/>
          </w:tcPr>
          <w:p w14:paraId="241E9D27" w14:textId="77777777" w:rsidR="0010523F" w:rsidRPr="0010523F" w:rsidRDefault="0010523F" w:rsidP="0010523F">
            <w:pPr>
              <w:tabs>
                <w:tab w:val="decimal" w:pos="7797"/>
                <w:tab w:val="decimal" w:pos="8931"/>
              </w:tabs>
              <w:spacing w:line="220" w:lineRule="exact"/>
              <w:ind w:left="170" w:hanging="170"/>
              <w:jc w:val="both"/>
              <w:rPr>
                <w:lang w:val="es-AR" w:eastAsia="en-US"/>
              </w:rPr>
            </w:pPr>
          </w:p>
        </w:tc>
        <w:tc>
          <w:tcPr>
            <w:tcW w:w="80" w:type="dxa"/>
          </w:tcPr>
          <w:p w14:paraId="457FB503" w14:textId="77777777" w:rsidR="0010523F" w:rsidRPr="0010523F" w:rsidRDefault="0010523F" w:rsidP="0010523F">
            <w:pPr>
              <w:tabs>
                <w:tab w:val="decimal" w:pos="7797"/>
                <w:tab w:val="decimal" w:pos="8931"/>
              </w:tabs>
              <w:spacing w:line="220" w:lineRule="exact"/>
              <w:ind w:left="170" w:hanging="170"/>
              <w:jc w:val="both"/>
              <w:rPr>
                <w:lang w:val="es-AR" w:eastAsia="en-US"/>
              </w:rPr>
            </w:pPr>
          </w:p>
        </w:tc>
        <w:tc>
          <w:tcPr>
            <w:tcW w:w="1711" w:type="dxa"/>
            <w:vAlign w:val="bottom"/>
          </w:tcPr>
          <w:p w14:paraId="4F5017BE" w14:textId="77777777" w:rsidR="0010523F" w:rsidRPr="0010523F" w:rsidRDefault="0010523F" w:rsidP="0010523F">
            <w:pPr>
              <w:tabs>
                <w:tab w:val="decimal" w:pos="7797"/>
                <w:tab w:val="decimal" w:pos="8931"/>
              </w:tabs>
              <w:spacing w:line="220" w:lineRule="exact"/>
              <w:ind w:left="170" w:hanging="170"/>
              <w:jc w:val="both"/>
              <w:rPr>
                <w:lang w:val="es-AR" w:eastAsia="en-US"/>
              </w:rPr>
            </w:pPr>
          </w:p>
        </w:tc>
      </w:tr>
      <w:tr w:rsidR="0010523F" w:rsidRPr="0010523F" w14:paraId="563A18CC" w14:textId="77777777" w:rsidTr="00774E7E">
        <w:tc>
          <w:tcPr>
            <w:tcW w:w="6735" w:type="dxa"/>
            <w:vAlign w:val="bottom"/>
          </w:tcPr>
          <w:p w14:paraId="2E92626B" w14:textId="77777777" w:rsidR="0010523F" w:rsidRPr="0010523F" w:rsidRDefault="0010523F" w:rsidP="0010523F">
            <w:pPr>
              <w:jc w:val="both"/>
              <w:rPr>
                <w:snapToGrid w:val="0"/>
                <w:lang w:val="es-AR" w:eastAsia="en-US"/>
              </w:rPr>
            </w:pPr>
            <w:r w:rsidRPr="0010523F">
              <w:rPr>
                <w:snapToGrid w:val="0"/>
                <w:lang w:val="es-AR" w:eastAsia="en-US"/>
              </w:rPr>
              <w:t>Pasivo no corriente</w:t>
            </w:r>
          </w:p>
        </w:tc>
        <w:tc>
          <w:tcPr>
            <w:tcW w:w="1590" w:type="dxa"/>
            <w:vAlign w:val="bottom"/>
          </w:tcPr>
          <w:p w14:paraId="40D67BD0" w14:textId="77777777" w:rsidR="0010523F" w:rsidRPr="0010523F" w:rsidRDefault="0010523F" w:rsidP="0010523F">
            <w:pPr>
              <w:tabs>
                <w:tab w:val="decimal" w:pos="1170"/>
              </w:tabs>
              <w:jc w:val="both"/>
              <w:rPr>
                <w:snapToGrid w:val="0"/>
                <w:lang w:val="es-AR" w:eastAsia="en-US"/>
              </w:rPr>
            </w:pPr>
            <w:r w:rsidRPr="0010523F">
              <w:rPr>
                <w:snapToGrid w:val="0"/>
                <w:lang w:val="es-AR" w:eastAsia="en-US"/>
              </w:rPr>
              <w:t>3.966</w:t>
            </w:r>
          </w:p>
        </w:tc>
        <w:tc>
          <w:tcPr>
            <w:tcW w:w="80" w:type="dxa"/>
          </w:tcPr>
          <w:p w14:paraId="7F58A556" w14:textId="77777777" w:rsidR="0010523F" w:rsidRPr="0010523F" w:rsidRDefault="0010523F" w:rsidP="0010523F">
            <w:pPr>
              <w:tabs>
                <w:tab w:val="decimal" w:pos="1170"/>
              </w:tabs>
              <w:jc w:val="both"/>
              <w:rPr>
                <w:snapToGrid w:val="0"/>
                <w:lang w:val="es-AR" w:eastAsia="en-US"/>
              </w:rPr>
            </w:pPr>
          </w:p>
        </w:tc>
        <w:tc>
          <w:tcPr>
            <w:tcW w:w="1711" w:type="dxa"/>
            <w:vAlign w:val="bottom"/>
          </w:tcPr>
          <w:p w14:paraId="06CBDF17" w14:textId="77777777" w:rsidR="0010523F" w:rsidRPr="0010523F" w:rsidRDefault="0010523F" w:rsidP="0010523F">
            <w:pPr>
              <w:tabs>
                <w:tab w:val="decimal" w:pos="1170"/>
              </w:tabs>
              <w:jc w:val="both"/>
              <w:rPr>
                <w:snapToGrid w:val="0"/>
                <w:lang w:val="es-AR" w:eastAsia="en-US"/>
              </w:rPr>
            </w:pPr>
            <w:r w:rsidRPr="0010523F">
              <w:rPr>
                <w:snapToGrid w:val="0"/>
                <w:lang w:val="es-AR" w:eastAsia="en-US"/>
              </w:rPr>
              <w:t>1.956</w:t>
            </w:r>
          </w:p>
        </w:tc>
      </w:tr>
      <w:tr w:rsidR="0010523F" w:rsidRPr="0010523F" w14:paraId="377A4038" w14:textId="77777777" w:rsidTr="00774E7E">
        <w:tc>
          <w:tcPr>
            <w:tcW w:w="6735" w:type="dxa"/>
            <w:vAlign w:val="bottom"/>
          </w:tcPr>
          <w:p w14:paraId="0DD620BB" w14:textId="77777777" w:rsidR="0010523F" w:rsidRPr="0010523F" w:rsidRDefault="0010523F" w:rsidP="0010523F">
            <w:pPr>
              <w:jc w:val="both"/>
              <w:rPr>
                <w:snapToGrid w:val="0"/>
                <w:lang w:val="es-AR" w:eastAsia="en-US"/>
              </w:rPr>
            </w:pPr>
            <w:r w:rsidRPr="0010523F">
              <w:rPr>
                <w:snapToGrid w:val="0"/>
                <w:lang w:val="es-AR" w:eastAsia="en-US"/>
              </w:rPr>
              <w:t>Pasivo corriente</w:t>
            </w:r>
          </w:p>
        </w:tc>
        <w:tc>
          <w:tcPr>
            <w:tcW w:w="1590" w:type="dxa"/>
            <w:vAlign w:val="bottom"/>
          </w:tcPr>
          <w:p w14:paraId="6AB25882" w14:textId="77777777" w:rsidR="0010523F" w:rsidRPr="0010523F" w:rsidRDefault="0010523F" w:rsidP="0010523F">
            <w:pPr>
              <w:tabs>
                <w:tab w:val="decimal" w:pos="1170"/>
              </w:tabs>
              <w:jc w:val="both"/>
              <w:rPr>
                <w:snapToGrid w:val="0"/>
                <w:u w:val="single"/>
                <w:lang w:val="es-AR" w:eastAsia="en-US"/>
              </w:rPr>
            </w:pPr>
            <w:r w:rsidRPr="0010523F">
              <w:rPr>
                <w:snapToGrid w:val="0"/>
                <w:u w:val="single"/>
                <w:lang w:val="es-AR" w:eastAsia="en-US"/>
              </w:rPr>
              <w:t xml:space="preserve">  5.080</w:t>
            </w:r>
          </w:p>
        </w:tc>
        <w:tc>
          <w:tcPr>
            <w:tcW w:w="80" w:type="dxa"/>
          </w:tcPr>
          <w:p w14:paraId="56FA645E" w14:textId="77777777" w:rsidR="0010523F" w:rsidRPr="0010523F" w:rsidRDefault="0010523F" w:rsidP="0010523F">
            <w:pPr>
              <w:tabs>
                <w:tab w:val="decimal" w:pos="1170"/>
              </w:tabs>
              <w:jc w:val="both"/>
              <w:rPr>
                <w:snapToGrid w:val="0"/>
                <w:u w:val="single"/>
                <w:lang w:val="es-AR" w:eastAsia="en-US"/>
              </w:rPr>
            </w:pPr>
          </w:p>
        </w:tc>
        <w:tc>
          <w:tcPr>
            <w:tcW w:w="1711" w:type="dxa"/>
            <w:vAlign w:val="bottom"/>
          </w:tcPr>
          <w:p w14:paraId="5EE94EA0" w14:textId="77777777" w:rsidR="0010523F" w:rsidRPr="0010523F" w:rsidRDefault="0010523F" w:rsidP="0010523F">
            <w:pPr>
              <w:tabs>
                <w:tab w:val="decimal" w:pos="1170"/>
              </w:tabs>
              <w:jc w:val="both"/>
              <w:rPr>
                <w:snapToGrid w:val="0"/>
                <w:u w:val="single"/>
                <w:lang w:val="es-AR" w:eastAsia="en-US"/>
              </w:rPr>
            </w:pPr>
            <w:r w:rsidRPr="0010523F">
              <w:rPr>
                <w:snapToGrid w:val="0"/>
                <w:u w:val="single"/>
                <w:lang w:val="es-AR" w:eastAsia="en-US"/>
              </w:rPr>
              <w:t xml:space="preserve">  3.206</w:t>
            </w:r>
          </w:p>
        </w:tc>
      </w:tr>
      <w:tr w:rsidR="0010523F" w:rsidRPr="0010523F" w14:paraId="2BCBD1E3" w14:textId="77777777" w:rsidTr="00774E7E">
        <w:tc>
          <w:tcPr>
            <w:tcW w:w="6735" w:type="dxa"/>
            <w:vAlign w:val="bottom"/>
          </w:tcPr>
          <w:p w14:paraId="67FE73FE" w14:textId="77777777" w:rsidR="0010523F" w:rsidRPr="0010523F" w:rsidRDefault="0010523F" w:rsidP="0010523F">
            <w:pPr>
              <w:tabs>
                <w:tab w:val="decimal" w:pos="7797"/>
                <w:tab w:val="decimal" w:pos="8931"/>
              </w:tabs>
              <w:spacing w:line="160" w:lineRule="exact"/>
              <w:ind w:left="170" w:hanging="170"/>
              <w:jc w:val="both"/>
              <w:rPr>
                <w:lang w:val="es-AR" w:eastAsia="en-US"/>
              </w:rPr>
            </w:pPr>
          </w:p>
        </w:tc>
        <w:tc>
          <w:tcPr>
            <w:tcW w:w="1590" w:type="dxa"/>
            <w:vAlign w:val="bottom"/>
          </w:tcPr>
          <w:p w14:paraId="27B4B456" w14:textId="77777777" w:rsidR="0010523F" w:rsidRPr="0010523F" w:rsidRDefault="0010523F" w:rsidP="0010523F">
            <w:pPr>
              <w:tabs>
                <w:tab w:val="decimal" w:pos="7797"/>
                <w:tab w:val="decimal" w:pos="8931"/>
              </w:tabs>
              <w:spacing w:line="160" w:lineRule="exact"/>
              <w:ind w:left="170" w:hanging="170"/>
              <w:jc w:val="both"/>
              <w:rPr>
                <w:lang w:val="es-AR" w:eastAsia="en-US"/>
              </w:rPr>
            </w:pPr>
          </w:p>
        </w:tc>
        <w:tc>
          <w:tcPr>
            <w:tcW w:w="80" w:type="dxa"/>
          </w:tcPr>
          <w:p w14:paraId="5A7711A5" w14:textId="77777777" w:rsidR="0010523F" w:rsidRPr="0010523F" w:rsidRDefault="0010523F" w:rsidP="0010523F">
            <w:pPr>
              <w:tabs>
                <w:tab w:val="decimal" w:pos="7797"/>
                <w:tab w:val="decimal" w:pos="8931"/>
              </w:tabs>
              <w:spacing w:line="160" w:lineRule="exact"/>
              <w:ind w:left="170" w:hanging="170"/>
              <w:jc w:val="both"/>
              <w:rPr>
                <w:lang w:val="es-AR" w:eastAsia="en-US"/>
              </w:rPr>
            </w:pPr>
          </w:p>
        </w:tc>
        <w:tc>
          <w:tcPr>
            <w:tcW w:w="1711" w:type="dxa"/>
            <w:vAlign w:val="bottom"/>
          </w:tcPr>
          <w:p w14:paraId="24ECCEF2" w14:textId="77777777" w:rsidR="0010523F" w:rsidRPr="0010523F" w:rsidRDefault="0010523F" w:rsidP="0010523F">
            <w:pPr>
              <w:tabs>
                <w:tab w:val="decimal" w:pos="7797"/>
                <w:tab w:val="decimal" w:pos="8931"/>
              </w:tabs>
              <w:spacing w:line="160" w:lineRule="exact"/>
              <w:ind w:left="170" w:hanging="170"/>
              <w:jc w:val="both"/>
              <w:rPr>
                <w:lang w:val="es-AR" w:eastAsia="en-US"/>
              </w:rPr>
            </w:pPr>
          </w:p>
        </w:tc>
      </w:tr>
      <w:tr w:rsidR="0010523F" w:rsidRPr="0010523F" w14:paraId="09CE38F9" w14:textId="77777777" w:rsidTr="00774E7E">
        <w:trPr>
          <w:trHeight w:val="70"/>
        </w:trPr>
        <w:tc>
          <w:tcPr>
            <w:tcW w:w="6735" w:type="dxa"/>
            <w:vAlign w:val="bottom"/>
          </w:tcPr>
          <w:p w14:paraId="453FBF3E" w14:textId="77777777" w:rsidR="0010523F" w:rsidRPr="0010523F" w:rsidRDefault="0010523F" w:rsidP="0010523F">
            <w:pPr>
              <w:jc w:val="both"/>
              <w:rPr>
                <w:snapToGrid w:val="0"/>
                <w:lang w:val="es-AR" w:eastAsia="en-US"/>
              </w:rPr>
            </w:pPr>
            <w:r w:rsidRPr="0010523F">
              <w:rPr>
                <w:snapToGrid w:val="0"/>
                <w:lang w:val="es-AR" w:eastAsia="en-US"/>
              </w:rPr>
              <w:t>Total pasivo</w:t>
            </w:r>
          </w:p>
        </w:tc>
        <w:tc>
          <w:tcPr>
            <w:tcW w:w="1590" w:type="dxa"/>
            <w:vAlign w:val="bottom"/>
          </w:tcPr>
          <w:p w14:paraId="399875D4" w14:textId="77777777" w:rsidR="0010523F" w:rsidRPr="0010523F" w:rsidRDefault="0010523F" w:rsidP="0010523F">
            <w:pPr>
              <w:tabs>
                <w:tab w:val="decimal" w:pos="1170"/>
              </w:tabs>
              <w:jc w:val="both"/>
              <w:rPr>
                <w:snapToGrid w:val="0"/>
                <w:u w:val="double"/>
                <w:lang w:val="es-AR" w:eastAsia="en-US"/>
              </w:rPr>
            </w:pPr>
            <w:r w:rsidRPr="0010523F">
              <w:rPr>
                <w:snapToGrid w:val="0"/>
                <w:u w:val="double"/>
                <w:lang w:val="es-AR" w:eastAsia="en-US"/>
              </w:rPr>
              <w:t xml:space="preserve">  9.046</w:t>
            </w:r>
          </w:p>
        </w:tc>
        <w:tc>
          <w:tcPr>
            <w:tcW w:w="80" w:type="dxa"/>
          </w:tcPr>
          <w:p w14:paraId="28ED2AB9" w14:textId="77777777" w:rsidR="0010523F" w:rsidRPr="0010523F" w:rsidRDefault="0010523F" w:rsidP="0010523F">
            <w:pPr>
              <w:tabs>
                <w:tab w:val="decimal" w:pos="1170"/>
              </w:tabs>
              <w:jc w:val="both"/>
              <w:rPr>
                <w:snapToGrid w:val="0"/>
                <w:u w:val="double"/>
                <w:lang w:val="es-AR" w:eastAsia="en-US"/>
              </w:rPr>
            </w:pPr>
          </w:p>
        </w:tc>
        <w:tc>
          <w:tcPr>
            <w:tcW w:w="1711" w:type="dxa"/>
            <w:vAlign w:val="bottom"/>
          </w:tcPr>
          <w:p w14:paraId="2D8CB37B" w14:textId="77777777" w:rsidR="0010523F" w:rsidRPr="0010523F" w:rsidRDefault="0010523F" w:rsidP="0010523F">
            <w:pPr>
              <w:tabs>
                <w:tab w:val="decimal" w:pos="1170"/>
              </w:tabs>
              <w:jc w:val="both"/>
              <w:rPr>
                <w:snapToGrid w:val="0"/>
                <w:u w:val="double"/>
                <w:lang w:val="es-AR" w:eastAsia="en-US"/>
              </w:rPr>
            </w:pPr>
            <w:r w:rsidRPr="0010523F">
              <w:rPr>
                <w:snapToGrid w:val="0"/>
                <w:u w:val="double"/>
                <w:lang w:val="es-AR" w:eastAsia="en-US"/>
              </w:rPr>
              <w:t xml:space="preserve">  5.162</w:t>
            </w:r>
          </w:p>
        </w:tc>
      </w:tr>
    </w:tbl>
    <w:p w14:paraId="476C6047" w14:textId="77777777" w:rsidR="0010523F" w:rsidRPr="0010523F" w:rsidRDefault="0010523F" w:rsidP="0010523F">
      <w:pPr>
        <w:tabs>
          <w:tab w:val="right" w:pos="2643"/>
        </w:tabs>
        <w:spacing w:line="220" w:lineRule="exact"/>
        <w:jc w:val="both"/>
        <w:rPr>
          <w:snapToGrid w:val="0"/>
          <w:color w:val="000000"/>
          <w:sz w:val="22"/>
          <w:szCs w:val="22"/>
          <w:lang w:val="es-AR" w:eastAsia="en-US"/>
        </w:rPr>
      </w:pPr>
    </w:p>
    <w:tbl>
      <w:tblPr>
        <w:tblW w:w="10125" w:type="dxa"/>
        <w:tblLayout w:type="fixed"/>
        <w:tblCellMar>
          <w:left w:w="30" w:type="dxa"/>
          <w:right w:w="30" w:type="dxa"/>
        </w:tblCellMar>
        <w:tblLook w:val="04A0" w:firstRow="1" w:lastRow="0" w:firstColumn="1" w:lastColumn="0" w:noHBand="0" w:noVBand="1"/>
      </w:tblPr>
      <w:tblGrid>
        <w:gridCol w:w="2582"/>
        <w:gridCol w:w="2126"/>
        <w:gridCol w:w="1999"/>
        <w:gridCol w:w="1709"/>
        <w:gridCol w:w="1709"/>
      </w:tblGrid>
      <w:tr w:rsidR="0010523F" w:rsidRPr="0010523F" w14:paraId="49F8BB8B" w14:textId="77777777" w:rsidTr="00774E7E">
        <w:tc>
          <w:tcPr>
            <w:tcW w:w="2582" w:type="dxa"/>
            <w:hideMark/>
          </w:tcPr>
          <w:p w14:paraId="23B669FF" w14:textId="77777777" w:rsidR="0010523F" w:rsidRPr="0010523F" w:rsidRDefault="0010523F" w:rsidP="0010523F">
            <w:pPr>
              <w:ind w:left="82"/>
              <w:jc w:val="both"/>
              <w:rPr>
                <w:snapToGrid w:val="0"/>
                <w:color w:val="000000"/>
                <w:u w:val="single"/>
                <w:lang w:val="es-AR" w:eastAsia="en-US"/>
              </w:rPr>
            </w:pPr>
            <w:r w:rsidRPr="0010523F">
              <w:rPr>
                <w:snapToGrid w:val="0"/>
                <w:color w:val="000000"/>
                <w:u w:val="single"/>
                <w:lang w:val="es-AR" w:eastAsia="en-US"/>
              </w:rPr>
              <w:t>Estado del resultado</w:t>
            </w:r>
          </w:p>
        </w:tc>
        <w:tc>
          <w:tcPr>
            <w:tcW w:w="2126" w:type="dxa"/>
            <w:vAlign w:val="bottom"/>
            <w:hideMark/>
          </w:tcPr>
          <w:p w14:paraId="280D2C30" w14:textId="77777777" w:rsidR="0010523F" w:rsidRPr="0010523F" w:rsidRDefault="0010523F" w:rsidP="0010523F">
            <w:pPr>
              <w:jc w:val="center"/>
              <w:rPr>
                <w:snapToGrid w:val="0"/>
                <w:color w:val="000000"/>
                <w:u w:val="single"/>
                <w:lang w:val="es-AR" w:eastAsia="en-US"/>
              </w:rPr>
            </w:pPr>
            <w:r w:rsidRPr="0010523F">
              <w:rPr>
                <w:snapToGrid w:val="0"/>
                <w:color w:val="000000"/>
                <w:u w:val="single"/>
                <w:lang w:val="es-AR" w:eastAsia="en-US"/>
              </w:rPr>
              <w:t xml:space="preserve">        2019       </w:t>
            </w:r>
          </w:p>
        </w:tc>
        <w:tc>
          <w:tcPr>
            <w:tcW w:w="1999" w:type="dxa"/>
            <w:vAlign w:val="bottom"/>
            <w:hideMark/>
          </w:tcPr>
          <w:p w14:paraId="1C64EB08" w14:textId="77777777" w:rsidR="0010523F" w:rsidRPr="0010523F" w:rsidRDefault="0010523F" w:rsidP="0010523F">
            <w:pPr>
              <w:jc w:val="center"/>
              <w:rPr>
                <w:snapToGrid w:val="0"/>
                <w:color w:val="000000"/>
                <w:u w:val="single"/>
                <w:lang w:val="es-AR" w:eastAsia="en-US"/>
              </w:rPr>
            </w:pPr>
            <w:r w:rsidRPr="0010523F">
              <w:rPr>
                <w:snapToGrid w:val="0"/>
                <w:color w:val="000000"/>
                <w:u w:val="single"/>
                <w:lang w:val="es-AR" w:eastAsia="en-US"/>
              </w:rPr>
              <w:t xml:space="preserve">       2018       </w:t>
            </w:r>
          </w:p>
        </w:tc>
        <w:tc>
          <w:tcPr>
            <w:tcW w:w="1709" w:type="dxa"/>
            <w:vAlign w:val="bottom"/>
            <w:hideMark/>
          </w:tcPr>
          <w:p w14:paraId="66995138" w14:textId="77777777" w:rsidR="0010523F" w:rsidRPr="0010523F" w:rsidRDefault="0010523F" w:rsidP="0010523F">
            <w:pPr>
              <w:jc w:val="center"/>
              <w:rPr>
                <w:snapToGrid w:val="0"/>
                <w:color w:val="000000"/>
                <w:u w:val="single"/>
                <w:lang w:val="es-AR" w:eastAsia="en-US"/>
              </w:rPr>
            </w:pPr>
            <w:r w:rsidRPr="0010523F">
              <w:rPr>
                <w:snapToGrid w:val="0"/>
                <w:color w:val="000000"/>
                <w:u w:val="single"/>
                <w:lang w:val="es-AR" w:eastAsia="en-US"/>
              </w:rPr>
              <w:t xml:space="preserve">    2019   </w:t>
            </w:r>
          </w:p>
        </w:tc>
        <w:tc>
          <w:tcPr>
            <w:tcW w:w="1709" w:type="dxa"/>
            <w:vAlign w:val="bottom"/>
            <w:hideMark/>
          </w:tcPr>
          <w:p w14:paraId="22CDBDD8" w14:textId="77777777" w:rsidR="0010523F" w:rsidRPr="0010523F" w:rsidRDefault="0010523F" w:rsidP="0010523F">
            <w:pPr>
              <w:jc w:val="center"/>
              <w:rPr>
                <w:snapToGrid w:val="0"/>
                <w:color w:val="000000"/>
                <w:u w:val="single"/>
                <w:lang w:val="es-AR" w:eastAsia="en-US"/>
              </w:rPr>
            </w:pPr>
            <w:r w:rsidRPr="0010523F">
              <w:rPr>
                <w:snapToGrid w:val="0"/>
                <w:color w:val="000000"/>
                <w:u w:val="single"/>
                <w:lang w:val="es-AR" w:eastAsia="en-US"/>
              </w:rPr>
              <w:t xml:space="preserve">   2018   </w:t>
            </w:r>
          </w:p>
        </w:tc>
      </w:tr>
      <w:tr w:rsidR="0010523F" w:rsidRPr="0010523F" w14:paraId="4D61EB1D" w14:textId="77777777" w:rsidTr="00774E7E">
        <w:tc>
          <w:tcPr>
            <w:tcW w:w="2582" w:type="dxa"/>
          </w:tcPr>
          <w:p w14:paraId="663FA68D" w14:textId="77777777" w:rsidR="0010523F" w:rsidRPr="0010523F" w:rsidRDefault="0010523F" w:rsidP="0010523F">
            <w:pPr>
              <w:spacing w:line="220" w:lineRule="exact"/>
              <w:ind w:left="-16"/>
              <w:jc w:val="both"/>
              <w:rPr>
                <w:snapToGrid w:val="0"/>
                <w:color w:val="000000"/>
                <w:u w:val="single"/>
                <w:lang w:val="es-AR" w:eastAsia="en-US"/>
              </w:rPr>
            </w:pPr>
          </w:p>
        </w:tc>
        <w:tc>
          <w:tcPr>
            <w:tcW w:w="2126" w:type="dxa"/>
            <w:vAlign w:val="bottom"/>
            <w:hideMark/>
          </w:tcPr>
          <w:p w14:paraId="32E54E02" w14:textId="77777777" w:rsidR="0010523F" w:rsidRPr="0010523F" w:rsidRDefault="0010523F" w:rsidP="0010523F">
            <w:pPr>
              <w:spacing w:line="220" w:lineRule="exact"/>
              <w:ind w:left="-30"/>
              <w:jc w:val="center"/>
              <w:rPr>
                <w:snapToGrid w:val="0"/>
                <w:color w:val="000000"/>
                <w:lang w:val="es-AR" w:eastAsia="en-US"/>
              </w:rPr>
            </w:pPr>
            <w:r w:rsidRPr="0010523F">
              <w:rPr>
                <w:snapToGrid w:val="0"/>
                <w:color w:val="000000"/>
                <w:lang w:val="es-AR" w:eastAsia="en-US"/>
              </w:rPr>
              <w:t>(tercer trimestre)</w:t>
            </w:r>
          </w:p>
        </w:tc>
        <w:tc>
          <w:tcPr>
            <w:tcW w:w="1999" w:type="dxa"/>
            <w:vAlign w:val="bottom"/>
            <w:hideMark/>
          </w:tcPr>
          <w:p w14:paraId="21EE73F3" w14:textId="77777777" w:rsidR="0010523F" w:rsidRPr="0010523F" w:rsidRDefault="0010523F" w:rsidP="0010523F">
            <w:pPr>
              <w:spacing w:line="220" w:lineRule="exact"/>
              <w:jc w:val="center"/>
              <w:rPr>
                <w:snapToGrid w:val="0"/>
                <w:color w:val="000000"/>
                <w:lang w:val="es-AR" w:eastAsia="en-US"/>
              </w:rPr>
            </w:pPr>
            <w:r w:rsidRPr="0010523F">
              <w:rPr>
                <w:snapToGrid w:val="0"/>
                <w:color w:val="000000"/>
                <w:lang w:val="es-AR" w:eastAsia="en-US"/>
              </w:rPr>
              <w:t>(tercer trimestre)</w:t>
            </w:r>
          </w:p>
        </w:tc>
        <w:tc>
          <w:tcPr>
            <w:tcW w:w="1709" w:type="dxa"/>
            <w:vAlign w:val="bottom"/>
            <w:hideMark/>
          </w:tcPr>
          <w:p w14:paraId="53E30738" w14:textId="77777777" w:rsidR="0010523F" w:rsidRPr="0010523F" w:rsidRDefault="0010523F" w:rsidP="0010523F">
            <w:pPr>
              <w:spacing w:line="220" w:lineRule="exact"/>
              <w:jc w:val="center"/>
              <w:rPr>
                <w:snapToGrid w:val="0"/>
                <w:color w:val="000000"/>
                <w:lang w:val="es-AR" w:eastAsia="en-US"/>
              </w:rPr>
            </w:pPr>
            <w:r w:rsidRPr="0010523F">
              <w:rPr>
                <w:snapToGrid w:val="0"/>
                <w:color w:val="000000"/>
                <w:lang w:val="es-AR" w:eastAsia="en-US"/>
              </w:rPr>
              <w:t>(9 meses)</w:t>
            </w:r>
          </w:p>
        </w:tc>
        <w:tc>
          <w:tcPr>
            <w:tcW w:w="1709" w:type="dxa"/>
            <w:vAlign w:val="bottom"/>
            <w:hideMark/>
          </w:tcPr>
          <w:p w14:paraId="4798D64C" w14:textId="77777777" w:rsidR="0010523F" w:rsidRPr="0010523F" w:rsidRDefault="0010523F" w:rsidP="0010523F">
            <w:pPr>
              <w:spacing w:line="220" w:lineRule="exact"/>
              <w:jc w:val="center"/>
              <w:rPr>
                <w:snapToGrid w:val="0"/>
                <w:color w:val="000000"/>
                <w:lang w:val="es-AR" w:eastAsia="en-US"/>
              </w:rPr>
            </w:pPr>
            <w:r w:rsidRPr="0010523F">
              <w:rPr>
                <w:snapToGrid w:val="0"/>
                <w:color w:val="000000"/>
                <w:lang w:val="es-AR" w:eastAsia="en-US"/>
              </w:rPr>
              <w:t>(9 meses)</w:t>
            </w:r>
          </w:p>
        </w:tc>
      </w:tr>
      <w:tr w:rsidR="0010523F" w:rsidRPr="0010523F" w14:paraId="4DC564CE" w14:textId="77777777" w:rsidTr="00774E7E">
        <w:tc>
          <w:tcPr>
            <w:tcW w:w="2582" w:type="dxa"/>
          </w:tcPr>
          <w:p w14:paraId="408598A4" w14:textId="77777777" w:rsidR="0010523F" w:rsidRPr="0010523F" w:rsidRDefault="0010523F" w:rsidP="0010523F">
            <w:pPr>
              <w:spacing w:line="140" w:lineRule="exact"/>
              <w:ind w:left="-16"/>
              <w:jc w:val="right"/>
              <w:rPr>
                <w:snapToGrid w:val="0"/>
                <w:color w:val="000000"/>
                <w:lang w:val="es-AR" w:eastAsia="en-US"/>
              </w:rPr>
            </w:pPr>
          </w:p>
        </w:tc>
        <w:tc>
          <w:tcPr>
            <w:tcW w:w="2126" w:type="dxa"/>
          </w:tcPr>
          <w:p w14:paraId="603DB500" w14:textId="77777777" w:rsidR="0010523F" w:rsidRPr="0010523F" w:rsidRDefault="0010523F" w:rsidP="0010523F">
            <w:pPr>
              <w:spacing w:line="140" w:lineRule="exact"/>
              <w:jc w:val="right"/>
              <w:rPr>
                <w:snapToGrid w:val="0"/>
                <w:color w:val="000000"/>
                <w:lang w:val="es-AR" w:eastAsia="en-US"/>
              </w:rPr>
            </w:pPr>
          </w:p>
        </w:tc>
        <w:tc>
          <w:tcPr>
            <w:tcW w:w="1999" w:type="dxa"/>
          </w:tcPr>
          <w:p w14:paraId="3A55B0A5" w14:textId="77777777" w:rsidR="0010523F" w:rsidRPr="0010523F" w:rsidRDefault="0010523F" w:rsidP="0010523F">
            <w:pPr>
              <w:spacing w:line="140" w:lineRule="exact"/>
              <w:jc w:val="right"/>
              <w:rPr>
                <w:snapToGrid w:val="0"/>
                <w:color w:val="000000"/>
                <w:lang w:val="es-AR" w:eastAsia="en-US"/>
              </w:rPr>
            </w:pPr>
          </w:p>
        </w:tc>
        <w:tc>
          <w:tcPr>
            <w:tcW w:w="1709" w:type="dxa"/>
          </w:tcPr>
          <w:p w14:paraId="04667626" w14:textId="77777777" w:rsidR="0010523F" w:rsidRPr="0010523F" w:rsidRDefault="0010523F" w:rsidP="0010523F">
            <w:pPr>
              <w:spacing w:line="140" w:lineRule="exact"/>
              <w:jc w:val="right"/>
              <w:rPr>
                <w:snapToGrid w:val="0"/>
                <w:color w:val="000000"/>
                <w:lang w:val="es-AR" w:eastAsia="en-US"/>
              </w:rPr>
            </w:pPr>
          </w:p>
        </w:tc>
        <w:tc>
          <w:tcPr>
            <w:tcW w:w="1709" w:type="dxa"/>
          </w:tcPr>
          <w:p w14:paraId="69CF38DD" w14:textId="77777777" w:rsidR="0010523F" w:rsidRPr="0010523F" w:rsidRDefault="0010523F" w:rsidP="0010523F">
            <w:pPr>
              <w:spacing w:line="140" w:lineRule="exact"/>
              <w:jc w:val="right"/>
              <w:rPr>
                <w:snapToGrid w:val="0"/>
                <w:color w:val="000000"/>
                <w:lang w:val="es-AR" w:eastAsia="en-US"/>
              </w:rPr>
            </w:pPr>
          </w:p>
        </w:tc>
      </w:tr>
      <w:tr w:rsidR="0010523F" w:rsidRPr="0010523F" w14:paraId="68310600" w14:textId="77777777" w:rsidTr="00774E7E">
        <w:tc>
          <w:tcPr>
            <w:tcW w:w="2582" w:type="dxa"/>
            <w:hideMark/>
          </w:tcPr>
          <w:p w14:paraId="28B9099B" w14:textId="77777777" w:rsidR="0010523F" w:rsidRPr="0010523F" w:rsidRDefault="0010523F" w:rsidP="0010523F">
            <w:pPr>
              <w:ind w:left="82"/>
              <w:jc w:val="both"/>
              <w:rPr>
                <w:snapToGrid w:val="0"/>
                <w:color w:val="000000"/>
                <w:lang w:val="es-AR" w:eastAsia="en-US"/>
              </w:rPr>
            </w:pPr>
            <w:r w:rsidRPr="0010523F">
              <w:rPr>
                <w:lang w:val="es-AR" w:eastAsia="en-US"/>
              </w:rPr>
              <w:t>Gasto operativo (*)</w:t>
            </w:r>
          </w:p>
        </w:tc>
        <w:tc>
          <w:tcPr>
            <w:tcW w:w="2126" w:type="dxa"/>
            <w:hideMark/>
          </w:tcPr>
          <w:p w14:paraId="5DB23FD2" w14:textId="77777777" w:rsidR="0010523F" w:rsidRPr="0010523F" w:rsidRDefault="0010523F" w:rsidP="0010523F">
            <w:pPr>
              <w:tabs>
                <w:tab w:val="decimal" w:pos="1176"/>
              </w:tabs>
              <w:jc w:val="both"/>
              <w:rPr>
                <w:snapToGrid w:val="0"/>
                <w:color w:val="000000"/>
                <w:lang w:val="es-AR" w:eastAsia="en-US"/>
              </w:rPr>
            </w:pPr>
            <w:r w:rsidRPr="0010523F">
              <w:rPr>
                <w:snapToGrid w:val="0"/>
                <w:color w:val="000000"/>
                <w:lang w:val="es-AR" w:eastAsia="en-US"/>
              </w:rPr>
              <w:t>3.623</w:t>
            </w:r>
          </w:p>
        </w:tc>
        <w:tc>
          <w:tcPr>
            <w:tcW w:w="1999" w:type="dxa"/>
            <w:hideMark/>
          </w:tcPr>
          <w:p w14:paraId="1A474431" w14:textId="77777777" w:rsidR="0010523F" w:rsidRPr="0010523F" w:rsidRDefault="0010523F" w:rsidP="0010523F">
            <w:pPr>
              <w:tabs>
                <w:tab w:val="decimal" w:pos="1176"/>
              </w:tabs>
              <w:jc w:val="both"/>
              <w:rPr>
                <w:snapToGrid w:val="0"/>
                <w:color w:val="000000"/>
                <w:lang w:val="es-AR" w:eastAsia="en-US"/>
              </w:rPr>
            </w:pPr>
            <w:r w:rsidRPr="0010523F">
              <w:rPr>
                <w:snapToGrid w:val="0"/>
                <w:color w:val="000000"/>
                <w:lang w:val="es-AR" w:eastAsia="en-US"/>
              </w:rPr>
              <w:t>2.181</w:t>
            </w:r>
          </w:p>
        </w:tc>
        <w:tc>
          <w:tcPr>
            <w:tcW w:w="1709" w:type="dxa"/>
            <w:hideMark/>
          </w:tcPr>
          <w:p w14:paraId="3B0FCAAB" w14:textId="77777777" w:rsidR="0010523F" w:rsidRPr="0010523F" w:rsidRDefault="0010523F" w:rsidP="0010523F">
            <w:pPr>
              <w:tabs>
                <w:tab w:val="decimal" w:pos="1176"/>
              </w:tabs>
              <w:jc w:val="both"/>
              <w:rPr>
                <w:snapToGrid w:val="0"/>
                <w:color w:val="000000"/>
                <w:lang w:val="es-AR" w:eastAsia="en-US"/>
              </w:rPr>
            </w:pPr>
            <w:r w:rsidRPr="0010523F">
              <w:rPr>
                <w:snapToGrid w:val="0"/>
                <w:color w:val="000000"/>
                <w:lang w:val="es-AR" w:eastAsia="en-US"/>
              </w:rPr>
              <w:t>9.733</w:t>
            </w:r>
          </w:p>
        </w:tc>
        <w:tc>
          <w:tcPr>
            <w:tcW w:w="1709" w:type="dxa"/>
            <w:hideMark/>
          </w:tcPr>
          <w:p w14:paraId="67DEC4CE" w14:textId="77777777" w:rsidR="0010523F" w:rsidRPr="0010523F" w:rsidRDefault="0010523F" w:rsidP="0010523F">
            <w:pPr>
              <w:tabs>
                <w:tab w:val="decimal" w:pos="1176"/>
              </w:tabs>
              <w:jc w:val="both"/>
              <w:rPr>
                <w:snapToGrid w:val="0"/>
                <w:color w:val="000000"/>
                <w:lang w:val="es-AR" w:eastAsia="en-US"/>
              </w:rPr>
            </w:pPr>
            <w:r w:rsidRPr="0010523F">
              <w:rPr>
                <w:snapToGrid w:val="0"/>
                <w:color w:val="000000"/>
                <w:lang w:val="es-AR" w:eastAsia="en-US"/>
              </w:rPr>
              <w:t>5.092</w:t>
            </w:r>
          </w:p>
        </w:tc>
      </w:tr>
    </w:tbl>
    <w:p w14:paraId="3BC00ECF" w14:textId="77777777" w:rsidR="0010523F" w:rsidRPr="0010523F" w:rsidRDefault="0010523F" w:rsidP="0010523F">
      <w:pPr>
        <w:tabs>
          <w:tab w:val="right" w:pos="2643"/>
        </w:tabs>
        <w:spacing w:line="220" w:lineRule="exact"/>
        <w:jc w:val="both"/>
        <w:rPr>
          <w:snapToGrid w:val="0"/>
          <w:color w:val="000000"/>
          <w:sz w:val="22"/>
          <w:szCs w:val="22"/>
          <w:lang w:val="es-AR" w:eastAsia="en-US"/>
        </w:rPr>
      </w:pPr>
    </w:p>
    <w:p w14:paraId="5204E8C0" w14:textId="77777777" w:rsidR="0010523F" w:rsidRPr="0010523F" w:rsidRDefault="0010523F" w:rsidP="0010523F">
      <w:pPr>
        <w:tabs>
          <w:tab w:val="right" w:pos="2643"/>
        </w:tabs>
        <w:spacing w:line="220" w:lineRule="exact"/>
        <w:jc w:val="both"/>
        <w:rPr>
          <w:sz w:val="22"/>
          <w:szCs w:val="22"/>
          <w:lang w:val="es-AR" w:eastAsia="en-US"/>
        </w:rPr>
      </w:pPr>
      <w:r w:rsidRPr="0010523F">
        <w:rPr>
          <w:sz w:val="22"/>
          <w:szCs w:val="22"/>
          <w:lang w:val="es-AR" w:eastAsia="en-US"/>
        </w:rPr>
        <w:t>(*) No se incluyen ventas en las operaciones conjuntas debido a que la producción es asignada directamente a cada uno de los participantes.</w:t>
      </w:r>
    </w:p>
    <w:p w14:paraId="2161E784" w14:textId="77777777" w:rsidR="0010523F" w:rsidRPr="0010523F" w:rsidRDefault="0010523F" w:rsidP="0010523F">
      <w:pPr>
        <w:tabs>
          <w:tab w:val="decimal" w:pos="7797"/>
          <w:tab w:val="decimal" w:pos="8931"/>
        </w:tabs>
        <w:spacing w:line="140" w:lineRule="exact"/>
        <w:ind w:left="170" w:hanging="170"/>
        <w:jc w:val="both"/>
        <w:rPr>
          <w:b/>
          <w:bCs/>
          <w:sz w:val="22"/>
          <w:szCs w:val="22"/>
          <w:lang w:val="es-AR" w:eastAsia="en-US"/>
        </w:rPr>
      </w:pPr>
    </w:p>
    <w:p w14:paraId="43FB7DA8" w14:textId="77777777" w:rsidR="0010523F" w:rsidRPr="0010523F" w:rsidRDefault="0010523F" w:rsidP="0010523F">
      <w:pPr>
        <w:tabs>
          <w:tab w:val="center" w:pos="4320"/>
          <w:tab w:val="right" w:pos="8640"/>
        </w:tabs>
        <w:spacing w:line="220" w:lineRule="exact"/>
        <w:jc w:val="both"/>
        <w:rPr>
          <w:b/>
          <w:lang w:val="es-AR" w:eastAsia="en-US"/>
        </w:rPr>
      </w:pPr>
    </w:p>
    <w:p w14:paraId="2210738B"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NOTA 6 - INSTRUMENTOS FINANCIEROS</w:t>
      </w:r>
    </w:p>
    <w:p w14:paraId="6C2D6958" w14:textId="77777777" w:rsidR="0010523F" w:rsidRPr="0010523F" w:rsidRDefault="0010523F" w:rsidP="0010523F">
      <w:pPr>
        <w:spacing w:line="220" w:lineRule="exact"/>
        <w:jc w:val="right"/>
        <w:rPr>
          <w:sz w:val="22"/>
          <w:szCs w:val="22"/>
          <w:lang w:val="es-AR" w:eastAsia="en-US"/>
        </w:rPr>
      </w:pPr>
    </w:p>
    <w:p w14:paraId="252F4A9C" w14:textId="77777777" w:rsidR="0010523F" w:rsidRPr="0010523F" w:rsidRDefault="0010523F" w:rsidP="0010523F">
      <w:pPr>
        <w:tabs>
          <w:tab w:val="right" w:pos="2643"/>
        </w:tabs>
        <w:spacing w:line="220" w:lineRule="exact"/>
        <w:jc w:val="both"/>
        <w:rPr>
          <w:lang w:val="es-AR" w:eastAsia="en-US"/>
        </w:rPr>
      </w:pPr>
      <w:r w:rsidRPr="0010523F">
        <w:rPr>
          <w:lang w:val="es-AR" w:eastAsia="en-US"/>
        </w:rPr>
        <w:t>A continuación, se exponen las categorías de los instrumentos financieros de la Sucursal y sus valores razonables:</w:t>
      </w:r>
    </w:p>
    <w:tbl>
      <w:tblPr>
        <w:tblW w:w="10426" w:type="dxa"/>
        <w:tblInd w:w="-112" w:type="dxa"/>
        <w:tblLayout w:type="fixed"/>
        <w:tblLook w:val="0000" w:firstRow="0" w:lastRow="0" w:firstColumn="0" w:lastColumn="0" w:noHBand="0" w:noVBand="0"/>
      </w:tblPr>
      <w:tblGrid>
        <w:gridCol w:w="4222"/>
        <w:gridCol w:w="236"/>
        <w:gridCol w:w="15"/>
        <w:gridCol w:w="1544"/>
        <w:gridCol w:w="15"/>
        <w:gridCol w:w="1403"/>
        <w:gridCol w:w="15"/>
        <w:gridCol w:w="1544"/>
        <w:gridCol w:w="15"/>
        <w:gridCol w:w="1402"/>
        <w:gridCol w:w="15"/>
      </w:tblGrid>
      <w:tr w:rsidR="0010523F" w:rsidRPr="0010523F" w14:paraId="42BF8CFF" w14:textId="77777777" w:rsidTr="00774E7E">
        <w:trPr>
          <w:gridBefore w:val="1"/>
          <w:gridAfter w:val="1"/>
          <w:wBefore w:w="4222" w:type="dxa"/>
          <w:wAfter w:w="15" w:type="dxa"/>
          <w:trHeight w:val="224"/>
        </w:trPr>
        <w:tc>
          <w:tcPr>
            <w:tcW w:w="236" w:type="dxa"/>
            <w:vMerge w:val="restart"/>
            <w:vAlign w:val="bottom"/>
          </w:tcPr>
          <w:p w14:paraId="224DFD0B" w14:textId="77777777" w:rsidR="0010523F" w:rsidRPr="0010523F" w:rsidRDefault="0010523F" w:rsidP="0010523F">
            <w:pPr>
              <w:autoSpaceDE w:val="0"/>
              <w:autoSpaceDN w:val="0"/>
              <w:adjustRightInd w:val="0"/>
              <w:spacing w:line="220" w:lineRule="exact"/>
              <w:jc w:val="center"/>
              <w:rPr>
                <w:b/>
                <w:u w:val="single"/>
                <w:lang w:val="es-AR"/>
              </w:rPr>
            </w:pPr>
          </w:p>
        </w:tc>
        <w:tc>
          <w:tcPr>
            <w:tcW w:w="2977" w:type="dxa"/>
            <w:gridSpan w:val="4"/>
            <w:vAlign w:val="bottom"/>
          </w:tcPr>
          <w:p w14:paraId="24F15595" w14:textId="77777777" w:rsidR="0010523F" w:rsidRPr="0010523F" w:rsidRDefault="0010523F" w:rsidP="0010523F">
            <w:pPr>
              <w:jc w:val="center"/>
              <w:rPr>
                <w:snapToGrid w:val="0"/>
                <w:u w:val="single"/>
                <w:lang w:val="es-AR" w:eastAsia="en-US"/>
              </w:rPr>
            </w:pPr>
            <w:r w:rsidRPr="0010523F">
              <w:rPr>
                <w:snapToGrid w:val="0"/>
                <w:u w:val="single"/>
                <w:lang w:val="es-AR" w:eastAsia="en-US"/>
              </w:rPr>
              <w:t>     Valores contables     </w:t>
            </w:r>
          </w:p>
        </w:tc>
        <w:tc>
          <w:tcPr>
            <w:tcW w:w="2976" w:type="dxa"/>
            <w:gridSpan w:val="4"/>
            <w:vAlign w:val="bottom"/>
          </w:tcPr>
          <w:p w14:paraId="596CECA6" w14:textId="77777777" w:rsidR="0010523F" w:rsidRPr="0010523F" w:rsidRDefault="0010523F" w:rsidP="0010523F">
            <w:pPr>
              <w:jc w:val="center"/>
              <w:rPr>
                <w:snapToGrid w:val="0"/>
                <w:u w:val="single"/>
                <w:lang w:val="es-AR" w:eastAsia="en-US"/>
              </w:rPr>
            </w:pPr>
            <w:r w:rsidRPr="0010523F">
              <w:rPr>
                <w:snapToGrid w:val="0"/>
                <w:u w:val="single"/>
                <w:lang w:val="es-AR" w:eastAsia="en-US"/>
              </w:rPr>
              <w:t>       Valores razonables      </w:t>
            </w:r>
          </w:p>
        </w:tc>
      </w:tr>
      <w:tr w:rsidR="0010523F" w:rsidRPr="0010523F" w14:paraId="417590F8" w14:textId="77777777" w:rsidTr="00774E7E">
        <w:trPr>
          <w:gridBefore w:val="1"/>
          <w:gridAfter w:val="1"/>
          <w:wBefore w:w="4222" w:type="dxa"/>
          <w:wAfter w:w="15" w:type="dxa"/>
          <w:trHeight w:val="224"/>
        </w:trPr>
        <w:tc>
          <w:tcPr>
            <w:tcW w:w="236" w:type="dxa"/>
            <w:vMerge/>
            <w:vAlign w:val="bottom"/>
          </w:tcPr>
          <w:p w14:paraId="4990F3AB" w14:textId="77777777" w:rsidR="0010523F" w:rsidRPr="0010523F" w:rsidRDefault="0010523F" w:rsidP="0010523F">
            <w:pPr>
              <w:autoSpaceDE w:val="0"/>
              <w:autoSpaceDN w:val="0"/>
              <w:adjustRightInd w:val="0"/>
              <w:spacing w:line="220" w:lineRule="exact"/>
              <w:jc w:val="center"/>
              <w:rPr>
                <w:b/>
                <w:u w:val="single"/>
                <w:lang w:val="es-AR"/>
              </w:rPr>
            </w:pPr>
          </w:p>
        </w:tc>
        <w:tc>
          <w:tcPr>
            <w:tcW w:w="1559" w:type="dxa"/>
            <w:gridSpan w:val="2"/>
            <w:vAlign w:val="bottom"/>
          </w:tcPr>
          <w:p w14:paraId="58E0C993" w14:textId="77777777" w:rsidR="0010523F" w:rsidRPr="0010523F" w:rsidRDefault="0010523F" w:rsidP="0010523F">
            <w:pPr>
              <w:tabs>
                <w:tab w:val="center" w:pos="1020"/>
              </w:tabs>
              <w:ind w:right="-31"/>
              <w:jc w:val="center"/>
              <w:rPr>
                <w:snapToGrid w:val="0"/>
                <w:u w:val="single"/>
                <w:lang w:val="es-AR" w:eastAsia="en-US"/>
              </w:rPr>
            </w:pPr>
            <w:r w:rsidRPr="0010523F">
              <w:rPr>
                <w:snapToGrid w:val="0"/>
                <w:u w:val="single"/>
                <w:lang w:val="es-AR" w:eastAsia="en-US"/>
              </w:rPr>
              <w:t>30/09/2019</w:t>
            </w:r>
          </w:p>
        </w:tc>
        <w:tc>
          <w:tcPr>
            <w:tcW w:w="1418" w:type="dxa"/>
            <w:gridSpan w:val="2"/>
            <w:vAlign w:val="bottom"/>
          </w:tcPr>
          <w:p w14:paraId="42A2002B" w14:textId="77777777" w:rsidR="0010523F" w:rsidRPr="0010523F" w:rsidRDefault="0010523F" w:rsidP="0010523F">
            <w:pPr>
              <w:tabs>
                <w:tab w:val="center" w:pos="1020"/>
              </w:tabs>
              <w:ind w:right="-31"/>
              <w:jc w:val="center"/>
              <w:rPr>
                <w:snapToGrid w:val="0"/>
                <w:u w:val="single"/>
                <w:lang w:val="es-AR" w:eastAsia="en-US"/>
              </w:rPr>
            </w:pPr>
            <w:r w:rsidRPr="0010523F">
              <w:rPr>
                <w:snapToGrid w:val="0"/>
                <w:u w:val="single"/>
                <w:lang w:val="es-AR" w:eastAsia="en-US"/>
              </w:rPr>
              <w:t>31/12/2018</w:t>
            </w:r>
          </w:p>
        </w:tc>
        <w:tc>
          <w:tcPr>
            <w:tcW w:w="1559" w:type="dxa"/>
            <w:gridSpan w:val="2"/>
            <w:vAlign w:val="bottom"/>
          </w:tcPr>
          <w:p w14:paraId="5BED3D72" w14:textId="77777777" w:rsidR="0010523F" w:rsidRPr="0010523F" w:rsidRDefault="0010523F" w:rsidP="0010523F">
            <w:pPr>
              <w:jc w:val="center"/>
              <w:rPr>
                <w:snapToGrid w:val="0"/>
                <w:u w:val="single"/>
                <w:lang w:val="es-AR" w:eastAsia="en-US"/>
              </w:rPr>
            </w:pPr>
            <w:r w:rsidRPr="0010523F">
              <w:rPr>
                <w:snapToGrid w:val="0"/>
                <w:u w:val="single"/>
                <w:lang w:val="es-AR" w:eastAsia="en-US"/>
              </w:rPr>
              <w:t>30/09/2019</w:t>
            </w:r>
          </w:p>
        </w:tc>
        <w:tc>
          <w:tcPr>
            <w:tcW w:w="1417" w:type="dxa"/>
            <w:gridSpan w:val="2"/>
            <w:vAlign w:val="bottom"/>
          </w:tcPr>
          <w:p w14:paraId="375B37B9" w14:textId="77777777" w:rsidR="0010523F" w:rsidRPr="0010523F" w:rsidRDefault="0010523F" w:rsidP="0010523F">
            <w:pPr>
              <w:jc w:val="center"/>
              <w:rPr>
                <w:snapToGrid w:val="0"/>
                <w:u w:val="single"/>
                <w:lang w:val="es-AR" w:eastAsia="en-US"/>
              </w:rPr>
            </w:pPr>
            <w:r w:rsidRPr="0010523F">
              <w:rPr>
                <w:snapToGrid w:val="0"/>
                <w:u w:val="single"/>
                <w:lang w:val="es-AR" w:eastAsia="en-US"/>
              </w:rPr>
              <w:t>31/12/2018</w:t>
            </w:r>
          </w:p>
        </w:tc>
      </w:tr>
      <w:tr w:rsidR="0010523F" w:rsidRPr="0010523F" w14:paraId="301CED71" w14:textId="77777777" w:rsidTr="00774E7E">
        <w:trPr>
          <w:trHeight w:val="84"/>
        </w:trPr>
        <w:tc>
          <w:tcPr>
            <w:tcW w:w="4473" w:type="dxa"/>
            <w:gridSpan w:val="3"/>
            <w:vAlign w:val="bottom"/>
          </w:tcPr>
          <w:p w14:paraId="56474EFD" w14:textId="77777777" w:rsidR="0010523F" w:rsidRPr="0010523F" w:rsidRDefault="0010523F" w:rsidP="0010523F">
            <w:pPr>
              <w:autoSpaceDE w:val="0"/>
              <w:autoSpaceDN w:val="0"/>
              <w:adjustRightInd w:val="0"/>
              <w:spacing w:line="220" w:lineRule="exact"/>
              <w:ind w:left="-66"/>
              <w:jc w:val="both"/>
              <w:rPr>
                <w:lang w:val="es-AR"/>
              </w:rPr>
            </w:pPr>
            <w:r w:rsidRPr="0010523F">
              <w:rPr>
                <w:b/>
                <w:bCs/>
                <w:lang w:val="es-AR"/>
              </w:rPr>
              <w:t xml:space="preserve">Activos financieros </w:t>
            </w:r>
          </w:p>
        </w:tc>
        <w:tc>
          <w:tcPr>
            <w:tcW w:w="1559" w:type="dxa"/>
            <w:gridSpan w:val="2"/>
            <w:vAlign w:val="bottom"/>
          </w:tcPr>
          <w:p w14:paraId="08AE1209" w14:textId="77777777" w:rsidR="0010523F" w:rsidRPr="0010523F" w:rsidRDefault="0010523F" w:rsidP="0010523F">
            <w:pPr>
              <w:autoSpaceDE w:val="0"/>
              <w:autoSpaceDN w:val="0"/>
              <w:adjustRightInd w:val="0"/>
              <w:spacing w:line="220" w:lineRule="exact"/>
              <w:jc w:val="both"/>
              <w:rPr>
                <w:lang w:val="es-AR"/>
              </w:rPr>
            </w:pPr>
          </w:p>
        </w:tc>
        <w:tc>
          <w:tcPr>
            <w:tcW w:w="1418" w:type="dxa"/>
            <w:gridSpan w:val="2"/>
            <w:vAlign w:val="bottom"/>
          </w:tcPr>
          <w:p w14:paraId="18F699BF" w14:textId="77777777" w:rsidR="0010523F" w:rsidRPr="0010523F" w:rsidRDefault="0010523F" w:rsidP="0010523F">
            <w:pPr>
              <w:autoSpaceDE w:val="0"/>
              <w:autoSpaceDN w:val="0"/>
              <w:adjustRightInd w:val="0"/>
              <w:spacing w:line="220" w:lineRule="exact"/>
              <w:jc w:val="both"/>
              <w:rPr>
                <w:lang w:val="es-AR"/>
              </w:rPr>
            </w:pPr>
          </w:p>
        </w:tc>
        <w:tc>
          <w:tcPr>
            <w:tcW w:w="1559" w:type="dxa"/>
            <w:gridSpan w:val="2"/>
            <w:vAlign w:val="bottom"/>
          </w:tcPr>
          <w:p w14:paraId="4774E9E3" w14:textId="77777777" w:rsidR="0010523F" w:rsidRPr="0010523F" w:rsidRDefault="0010523F" w:rsidP="0010523F">
            <w:pPr>
              <w:autoSpaceDE w:val="0"/>
              <w:autoSpaceDN w:val="0"/>
              <w:adjustRightInd w:val="0"/>
              <w:spacing w:line="220" w:lineRule="exact"/>
              <w:jc w:val="both"/>
              <w:rPr>
                <w:lang w:val="es-AR"/>
              </w:rPr>
            </w:pPr>
          </w:p>
        </w:tc>
        <w:tc>
          <w:tcPr>
            <w:tcW w:w="1417" w:type="dxa"/>
            <w:gridSpan w:val="2"/>
            <w:vAlign w:val="bottom"/>
          </w:tcPr>
          <w:p w14:paraId="6B3D7776" w14:textId="77777777" w:rsidR="0010523F" w:rsidRPr="0010523F" w:rsidRDefault="0010523F" w:rsidP="0010523F">
            <w:pPr>
              <w:autoSpaceDE w:val="0"/>
              <w:autoSpaceDN w:val="0"/>
              <w:adjustRightInd w:val="0"/>
              <w:spacing w:line="220" w:lineRule="exact"/>
              <w:jc w:val="both"/>
              <w:rPr>
                <w:lang w:val="es-AR"/>
              </w:rPr>
            </w:pPr>
          </w:p>
        </w:tc>
      </w:tr>
      <w:tr w:rsidR="0010523F" w:rsidRPr="0010523F" w14:paraId="72D44AF3" w14:textId="77777777" w:rsidTr="00774E7E">
        <w:trPr>
          <w:trHeight w:val="84"/>
        </w:trPr>
        <w:tc>
          <w:tcPr>
            <w:tcW w:w="4473" w:type="dxa"/>
            <w:gridSpan w:val="3"/>
            <w:vAlign w:val="bottom"/>
          </w:tcPr>
          <w:p w14:paraId="60CDE064" w14:textId="77777777" w:rsidR="0010523F" w:rsidRPr="0010523F" w:rsidRDefault="0010523F" w:rsidP="0010523F">
            <w:pPr>
              <w:autoSpaceDE w:val="0"/>
              <w:autoSpaceDN w:val="0"/>
              <w:adjustRightInd w:val="0"/>
              <w:ind w:left="-66"/>
              <w:jc w:val="both"/>
              <w:rPr>
                <w:lang w:val="es-AR"/>
              </w:rPr>
            </w:pPr>
            <w:r w:rsidRPr="0010523F">
              <w:rPr>
                <w:bCs/>
                <w:iCs/>
                <w:lang w:val="es-AR"/>
              </w:rPr>
              <w:t xml:space="preserve">   Al costo amortizado </w:t>
            </w:r>
          </w:p>
        </w:tc>
        <w:tc>
          <w:tcPr>
            <w:tcW w:w="1559" w:type="dxa"/>
            <w:gridSpan w:val="2"/>
            <w:vAlign w:val="bottom"/>
          </w:tcPr>
          <w:p w14:paraId="55263C16" w14:textId="77777777" w:rsidR="0010523F" w:rsidRPr="0010523F" w:rsidRDefault="0010523F" w:rsidP="0010523F">
            <w:pPr>
              <w:autoSpaceDE w:val="0"/>
              <w:autoSpaceDN w:val="0"/>
              <w:adjustRightInd w:val="0"/>
              <w:jc w:val="both"/>
              <w:rPr>
                <w:lang w:val="es-AR"/>
              </w:rPr>
            </w:pPr>
          </w:p>
        </w:tc>
        <w:tc>
          <w:tcPr>
            <w:tcW w:w="1418" w:type="dxa"/>
            <w:gridSpan w:val="2"/>
            <w:vAlign w:val="bottom"/>
          </w:tcPr>
          <w:p w14:paraId="36DBF714" w14:textId="77777777" w:rsidR="0010523F" w:rsidRPr="0010523F" w:rsidRDefault="0010523F" w:rsidP="0010523F">
            <w:pPr>
              <w:autoSpaceDE w:val="0"/>
              <w:autoSpaceDN w:val="0"/>
              <w:adjustRightInd w:val="0"/>
              <w:jc w:val="both"/>
              <w:rPr>
                <w:lang w:val="es-AR"/>
              </w:rPr>
            </w:pPr>
          </w:p>
        </w:tc>
        <w:tc>
          <w:tcPr>
            <w:tcW w:w="1559" w:type="dxa"/>
            <w:gridSpan w:val="2"/>
            <w:vAlign w:val="bottom"/>
          </w:tcPr>
          <w:p w14:paraId="2FA28100" w14:textId="77777777" w:rsidR="0010523F" w:rsidRPr="0010523F" w:rsidRDefault="0010523F" w:rsidP="0010523F">
            <w:pPr>
              <w:autoSpaceDE w:val="0"/>
              <w:autoSpaceDN w:val="0"/>
              <w:adjustRightInd w:val="0"/>
              <w:jc w:val="both"/>
              <w:rPr>
                <w:lang w:val="es-AR"/>
              </w:rPr>
            </w:pPr>
          </w:p>
        </w:tc>
        <w:tc>
          <w:tcPr>
            <w:tcW w:w="1417" w:type="dxa"/>
            <w:gridSpan w:val="2"/>
            <w:vAlign w:val="bottom"/>
          </w:tcPr>
          <w:p w14:paraId="083BA276" w14:textId="77777777" w:rsidR="0010523F" w:rsidRPr="0010523F" w:rsidRDefault="0010523F" w:rsidP="0010523F">
            <w:pPr>
              <w:autoSpaceDE w:val="0"/>
              <w:autoSpaceDN w:val="0"/>
              <w:adjustRightInd w:val="0"/>
              <w:jc w:val="both"/>
              <w:rPr>
                <w:lang w:val="es-AR"/>
              </w:rPr>
            </w:pPr>
          </w:p>
        </w:tc>
      </w:tr>
      <w:tr w:rsidR="0010523F" w:rsidRPr="0010523F" w14:paraId="14BBA255" w14:textId="77777777" w:rsidTr="00774E7E">
        <w:trPr>
          <w:trHeight w:val="108"/>
        </w:trPr>
        <w:tc>
          <w:tcPr>
            <w:tcW w:w="4473" w:type="dxa"/>
            <w:gridSpan w:val="3"/>
            <w:vAlign w:val="bottom"/>
          </w:tcPr>
          <w:p w14:paraId="554C546C" w14:textId="77777777" w:rsidR="0010523F" w:rsidRPr="0010523F" w:rsidRDefault="0010523F" w:rsidP="0010523F">
            <w:pPr>
              <w:tabs>
                <w:tab w:val="decimal" w:pos="1579"/>
              </w:tabs>
              <w:autoSpaceDE w:val="0"/>
              <w:autoSpaceDN w:val="0"/>
              <w:adjustRightInd w:val="0"/>
              <w:ind w:left="186"/>
              <w:jc w:val="both"/>
              <w:rPr>
                <w:lang w:val="es-AR"/>
              </w:rPr>
            </w:pPr>
            <w:r w:rsidRPr="0010523F">
              <w:rPr>
                <w:lang w:val="es-AR"/>
              </w:rPr>
              <w:t>Efectivo y equivalentes de efectivo</w:t>
            </w:r>
          </w:p>
        </w:tc>
        <w:tc>
          <w:tcPr>
            <w:tcW w:w="1559" w:type="dxa"/>
            <w:gridSpan w:val="2"/>
            <w:vAlign w:val="bottom"/>
          </w:tcPr>
          <w:p w14:paraId="6C4F8EB8" w14:textId="77777777" w:rsidR="0010523F" w:rsidRPr="0010523F" w:rsidRDefault="0010523F" w:rsidP="0010523F">
            <w:pPr>
              <w:autoSpaceDE w:val="0"/>
              <w:autoSpaceDN w:val="0"/>
              <w:adjustRightInd w:val="0"/>
              <w:ind w:right="175"/>
              <w:jc w:val="right"/>
              <w:rPr>
                <w:lang w:val="es-AR"/>
              </w:rPr>
            </w:pPr>
            <w:r w:rsidRPr="0010523F">
              <w:rPr>
                <w:lang w:val="es-AR"/>
              </w:rPr>
              <w:t>13.327</w:t>
            </w:r>
          </w:p>
        </w:tc>
        <w:tc>
          <w:tcPr>
            <w:tcW w:w="1418" w:type="dxa"/>
            <w:gridSpan w:val="2"/>
            <w:vAlign w:val="bottom"/>
          </w:tcPr>
          <w:p w14:paraId="432320BB" w14:textId="77777777" w:rsidR="0010523F" w:rsidRPr="0010523F" w:rsidRDefault="0010523F" w:rsidP="0010523F">
            <w:pPr>
              <w:tabs>
                <w:tab w:val="decimal" w:pos="862"/>
              </w:tabs>
              <w:autoSpaceDE w:val="0"/>
              <w:autoSpaceDN w:val="0"/>
              <w:adjustRightInd w:val="0"/>
              <w:jc w:val="right"/>
              <w:rPr>
                <w:lang w:val="es-AR"/>
              </w:rPr>
            </w:pPr>
            <w:r w:rsidRPr="0010523F">
              <w:rPr>
                <w:lang w:val="es-AR"/>
              </w:rPr>
              <w:t>17.274</w:t>
            </w:r>
          </w:p>
        </w:tc>
        <w:tc>
          <w:tcPr>
            <w:tcW w:w="1559" w:type="dxa"/>
            <w:gridSpan w:val="2"/>
            <w:vAlign w:val="bottom"/>
          </w:tcPr>
          <w:p w14:paraId="35AB7163" w14:textId="77777777" w:rsidR="0010523F" w:rsidRPr="0010523F" w:rsidRDefault="0010523F" w:rsidP="0010523F">
            <w:pPr>
              <w:autoSpaceDE w:val="0"/>
              <w:autoSpaceDN w:val="0"/>
              <w:adjustRightInd w:val="0"/>
              <w:ind w:right="176"/>
              <w:jc w:val="right"/>
              <w:rPr>
                <w:lang w:val="es-AR"/>
              </w:rPr>
            </w:pPr>
            <w:r w:rsidRPr="0010523F">
              <w:rPr>
                <w:lang w:val="es-AR"/>
              </w:rPr>
              <w:t>13.327</w:t>
            </w:r>
          </w:p>
        </w:tc>
        <w:tc>
          <w:tcPr>
            <w:tcW w:w="1417" w:type="dxa"/>
            <w:gridSpan w:val="2"/>
            <w:vAlign w:val="bottom"/>
          </w:tcPr>
          <w:p w14:paraId="0D29B96F" w14:textId="77777777" w:rsidR="0010523F" w:rsidRPr="0010523F" w:rsidRDefault="0010523F" w:rsidP="0010523F">
            <w:pPr>
              <w:autoSpaceDE w:val="0"/>
              <w:autoSpaceDN w:val="0"/>
              <w:adjustRightInd w:val="0"/>
              <w:ind w:right="175"/>
              <w:jc w:val="right"/>
              <w:rPr>
                <w:lang w:val="es-AR"/>
              </w:rPr>
            </w:pPr>
            <w:r w:rsidRPr="0010523F">
              <w:rPr>
                <w:lang w:val="es-AR"/>
              </w:rPr>
              <w:t>17.274</w:t>
            </w:r>
          </w:p>
        </w:tc>
      </w:tr>
      <w:tr w:rsidR="0010523F" w:rsidRPr="0010523F" w14:paraId="062B26F9" w14:textId="77777777" w:rsidTr="00774E7E">
        <w:trPr>
          <w:trHeight w:val="108"/>
        </w:trPr>
        <w:tc>
          <w:tcPr>
            <w:tcW w:w="4473" w:type="dxa"/>
            <w:gridSpan w:val="3"/>
            <w:vAlign w:val="bottom"/>
          </w:tcPr>
          <w:p w14:paraId="7D4F4388" w14:textId="77777777" w:rsidR="0010523F" w:rsidRPr="0010523F" w:rsidRDefault="0010523F" w:rsidP="0010523F">
            <w:pPr>
              <w:autoSpaceDE w:val="0"/>
              <w:autoSpaceDN w:val="0"/>
              <w:adjustRightInd w:val="0"/>
              <w:ind w:left="186"/>
              <w:jc w:val="both"/>
              <w:rPr>
                <w:lang w:val="es-AR"/>
              </w:rPr>
            </w:pPr>
            <w:r w:rsidRPr="0010523F">
              <w:rPr>
                <w:lang w:val="es-AR"/>
              </w:rPr>
              <w:t>Inversiones</w:t>
            </w:r>
          </w:p>
        </w:tc>
        <w:tc>
          <w:tcPr>
            <w:tcW w:w="1559" w:type="dxa"/>
            <w:gridSpan w:val="2"/>
            <w:vAlign w:val="bottom"/>
          </w:tcPr>
          <w:p w14:paraId="64DEC27F" w14:textId="77777777" w:rsidR="0010523F" w:rsidRPr="0010523F" w:rsidRDefault="0010523F" w:rsidP="0010523F">
            <w:pPr>
              <w:autoSpaceDE w:val="0"/>
              <w:autoSpaceDN w:val="0"/>
              <w:adjustRightInd w:val="0"/>
              <w:ind w:right="175"/>
              <w:jc w:val="right"/>
              <w:rPr>
                <w:lang w:val="es-AR"/>
              </w:rPr>
            </w:pPr>
            <w:r w:rsidRPr="0010523F">
              <w:rPr>
                <w:lang w:val="es-AR"/>
              </w:rPr>
              <w:t>-</w:t>
            </w:r>
          </w:p>
        </w:tc>
        <w:tc>
          <w:tcPr>
            <w:tcW w:w="1418" w:type="dxa"/>
            <w:gridSpan w:val="2"/>
            <w:vAlign w:val="bottom"/>
          </w:tcPr>
          <w:p w14:paraId="50D87959" w14:textId="77777777" w:rsidR="0010523F" w:rsidRPr="0010523F" w:rsidRDefault="0010523F" w:rsidP="0010523F">
            <w:pPr>
              <w:tabs>
                <w:tab w:val="decimal" w:pos="862"/>
              </w:tabs>
              <w:autoSpaceDE w:val="0"/>
              <w:autoSpaceDN w:val="0"/>
              <w:adjustRightInd w:val="0"/>
              <w:jc w:val="right"/>
              <w:rPr>
                <w:lang w:val="es-AR"/>
              </w:rPr>
            </w:pPr>
            <w:r w:rsidRPr="0010523F">
              <w:rPr>
                <w:lang w:val="es-AR"/>
              </w:rPr>
              <w:t>6</w:t>
            </w:r>
          </w:p>
        </w:tc>
        <w:tc>
          <w:tcPr>
            <w:tcW w:w="1559" w:type="dxa"/>
            <w:gridSpan w:val="2"/>
            <w:vAlign w:val="bottom"/>
          </w:tcPr>
          <w:p w14:paraId="1BB424CD" w14:textId="77777777" w:rsidR="0010523F" w:rsidRPr="0010523F" w:rsidRDefault="0010523F" w:rsidP="0010523F">
            <w:pPr>
              <w:autoSpaceDE w:val="0"/>
              <w:autoSpaceDN w:val="0"/>
              <w:adjustRightInd w:val="0"/>
              <w:ind w:right="176"/>
              <w:jc w:val="right"/>
              <w:rPr>
                <w:lang w:val="es-AR"/>
              </w:rPr>
            </w:pPr>
            <w:r w:rsidRPr="0010523F">
              <w:rPr>
                <w:lang w:val="es-AR"/>
              </w:rPr>
              <w:t>-</w:t>
            </w:r>
          </w:p>
        </w:tc>
        <w:tc>
          <w:tcPr>
            <w:tcW w:w="1417" w:type="dxa"/>
            <w:gridSpan w:val="2"/>
            <w:vAlign w:val="bottom"/>
          </w:tcPr>
          <w:p w14:paraId="68F47B4D" w14:textId="77777777" w:rsidR="0010523F" w:rsidRPr="0010523F" w:rsidRDefault="0010523F" w:rsidP="0010523F">
            <w:pPr>
              <w:autoSpaceDE w:val="0"/>
              <w:autoSpaceDN w:val="0"/>
              <w:adjustRightInd w:val="0"/>
              <w:ind w:right="175"/>
              <w:jc w:val="right"/>
              <w:rPr>
                <w:lang w:val="es-AR"/>
              </w:rPr>
            </w:pPr>
            <w:r w:rsidRPr="0010523F">
              <w:rPr>
                <w:lang w:val="es-AR"/>
              </w:rPr>
              <w:t>6</w:t>
            </w:r>
          </w:p>
        </w:tc>
      </w:tr>
      <w:tr w:rsidR="0010523F" w:rsidRPr="0010523F" w14:paraId="0E753200" w14:textId="77777777" w:rsidTr="00774E7E">
        <w:trPr>
          <w:trHeight w:val="108"/>
        </w:trPr>
        <w:tc>
          <w:tcPr>
            <w:tcW w:w="4473" w:type="dxa"/>
            <w:gridSpan w:val="3"/>
            <w:vAlign w:val="bottom"/>
          </w:tcPr>
          <w:p w14:paraId="4082C472" w14:textId="77777777" w:rsidR="0010523F" w:rsidRPr="0010523F" w:rsidRDefault="0010523F" w:rsidP="0010523F">
            <w:pPr>
              <w:autoSpaceDE w:val="0"/>
              <w:autoSpaceDN w:val="0"/>
              <w:adjustRightInd w:val="0"/>
              <w:ind w:left="186"/>
              <w:jc w:val="both"/>
              <w:rPr>
                <w:lang w:val="es-AR"/>
              </w:rPr>
            </w:pPr>
            <w:r w:rsidRPr="0010523F">
              <w:rPr>
                <w:lang w:val="es-AR"/>
              </w:rPr>
              <w:t>Otros créditos</w:t>
            </w:r>
          </w:p>
        </w:tc>
        <w:tc>
          <w:tcPr>
            <w:tcW w:w="1559" w:type="dxa"/>
            <w:gridSpan w:val="2"/>
            <w:vAlign w:val="bottom"/>
          </w:tcPr>
          <w:p w14:paraId="73B726C6" w14:textId="77777777" w:rsidR="0010523F" w:rsidRPr="0010523F" w:rsidRDefault="0010523F" w:rsidP="0010523F">
            <w:pPr>
              <w:autoSpaceDE w:val="0"/>
              <w:autoSpaceDN w:val="0"/>
              <w:adjustRightInd w:val="0"/>
              <w:ind w:right="175"/>
              <w:jc w:val="right"/>
              <w:rPr>
                <w:lang w:val="es-AR"/>
              </w:rPr>
            </w:pPr>
            <w:r w:rsidRPr="0010523F">
              <w:rPr>
                <w:lang w:val="es-AR"/>
              </w:rPr>
              <w:t>3.441</w:t>
            </w:r>
          </w:p>
        </w:tc>
        <w:tc>
          <w:tcPr>
            <w:tcW w:w="1418" w:type="dxa"/>
            <w:gridSpan w:val="2"/>
            <w:vAlign w:val="bottom"/>
          </w:tcPr>
          <w:p w14:paraId="54576035" w14:textId="77777777" w:rsidR="0010523F" w:rsidRPr="0010523F" w:rsidRDefault="0010523F" w:rsidP="0010523F">
            <w:pPr>
              <w:tabs>
                <w:tab w:val="decimal" w:pos="862"/>
              </w:tabs>
              <w:autoSpaceDE w:val="0"/>
              <w:autoSpaceDN w:val="0"/>
              <w:adjustRightInd w:val="0"/>
              <w:jc w:val="right"/>
              <w:rPr>
                <w:lang w:val="es-AR"/>
              </w:rPr>
            </w:pPr>
            <w:r w:rsidRPr="0010523F">
              <w:rPr>
                <w:lang w:val="es-AR"/>
              </w:rPr>
              <w:t>2.589</w:t>
            </w:r>
          </w:p>
        </w:tc>
        <w:tc>
          <w:tcPr>
            <w:tcW w:w="1559" w:type="dxa"/>
            <w:gridSpan w:val="2"/>
            <w:vAlign w:val="bottom"/>
          </w:tcPr>
          <w:p w14:paraId="3712A8D9" w14:textId="77777777" w:rsidR="0010523F" w:rsidRPr="0010523F" w:rsidRDefault="0010523F" w:rsidP="0010523F">
            <w:pPr>
              <w:autoSpaceDE w:val="0"/>
              <w:autoSpaceDN w:val="0"/>
              <w:adjustRightInd w:val="0"/>
              <w:ind w:right="176"/>
              <w:jc w:val="right"/>
              <w:rPr>
                <w:lang w:val="es-AR"/>
              </w:rPr>
            </w:pPr>
            <w:r w:rsidRPr="0010523F">
              <w:rPr>
                <w:lang w:val="es-AR"/>
              </w:rPr>
              <w:t>3.441</w:t>
            </w:r>
          </w:p>
        </w:tc>
        <w:tc>
          <w:tcPr>
            <w:tcW w:w="1417" w:type="dxa"/>
            <w:gridSpan w:val="2"/>
            <w:vAlign w:val="bottom"/>
          </w:tcPr>
          <w:p w14:paraId="61E44D45" w14:textId="77777777" w:rsidR="0010523F" w:rsidRPr="0010523F" w:rsidRDefault="0010523F" w:rsidP="0010523F">
            <w:pPr>
              <w:autoSpaceDE w:val="0"/>
              <w:autoSpaceDN w:val="0"/>
              <w:adjustRightInd w:val="0"/>
              <w:ind w:right="175"/>
              <w:jc w:val="right"/>
              <w:rPr>
                <w:lang w:val="es-AR"/>
              </w:rPr>
            </w:pPr>
            <w:r w:rsidRPr="0010523F">
              <w:rPr>
                <w:lang w:val="es-AR"/>
              </w:rPr>
              <w:t>2.589</w:t>
            </w:r>
          </w:p>
        </w:tc>
      </w:tr>
      <w:tr w:rsidR="0010523F" w:rsidRPr="0010523F" w14:paraId="5B573C89" w14:textId="77777777" w:rsidTr="00774E7E">
        <w:trPr>
          <w:trHeight w:val="108"/>
        </w:trPr>
        <w:tc>
          <w:tcPr>
            <w:tcW w:w="4473" w:type="dxa"/>
            <w:gridSpan w:val="3"/>
            <w:vAlign w:val="bottom"/>
          </w:tcPr>
          <w:p w14:paraId="410BECFC" w14:textId="77777777" w:rsidR="0010523F" w:rsidRPr="0010523F" w:rsidRDefault="0010523F" w:rsidP="0010523F">
            <w:pPr>
              <w:autoSpaceDE w:val="0"/>
              <w:autoSpaceDN w:val="0"/>
              <w:adjustRightInd w:val="0"/>
              <w:ind w:left="186"/>
              <w:jc w:val="both"/>
              <w:rPr>
                <w:lang w:val="es-AR"/>
              </w:rPr>
            </w:pPr>
            <w:r w:rsidRPr="0010523F">
              <w:rPr>
                <w:lang w:val="es-AR"/>
              </w:rPr>
              <w:t>Créditos por ventas</w:t>
            </w:r>
          </w:p>
        </w:tc>
        <w:tc>
          <w:tcPr>
            <w:tcW w:w="1559" w:type="dxa"/>
            <w:gridSpan w:val="2"/>
            <w:vAlign w:val="bottom"/>
          </w:tcPr>
          <w:p w14:paraId="018F683A" w14:textId="77777777" w:rsidR="0010523F" w:rsidRPr="0010523F" w:rsidRDefault="0010523F" w:rsidP="0010523F">
            <w:pPr>
              <w:autoSpaceDE w:val="0"/>
              <w:autoSpaceDN w:val="0"/>
              <w:adjustRightInd w:val="0"/>
              <w:ind w:right="175"/>
              <w:jc w:val="right"/>
              <w:rPr>
                <w:lang w:val="es-AR"/>
              </w:rPr>
            </w:pPr>
            <w:r w:rsidRPr="0010523F">
              <w:rPr>
                <w:lang w:val="es-AR"/>
              </w:rPr>
              <w:t>19.463</w:t>
            </w:r>
          </w:p>
        </w:tc>
        <w:tc>
          <w:tcPr>
            <w:tcW w:w="1418" w:type="dxa"/>
            <w:gridSpan w:val="2"/>
            <w:vAlign w:val="bottom"/>
          </w:tcPr>
          <w:p w14:paraId="759E2307" w14:textId="77777777" w:rsidR="0010523F" w:rsidRPr="0010523F" w:rsidRDefault="0010523F" w:rsidP="0010523F">
            <w:pPr>
              <w:tabs>
                <w:tab w:val="decimal" w:pos="862"/>
              </w:tabs>
              <w:autoSpaceDE w:val="0"/>
              <w:autoSpaceDN w:val="0"/>
              <w:adjustRightInd w:val="0"/>
              <w:jc w:val="right"/>
              <w:rPr>
                <w:lang w:val="es-AR"/>
              </w:rPr>
            </w:pPr>
            <w:r w:rsidRPr="0010523F">
              <w:rPr>
                <w:lang w:val="es-AR"/>
              </w:rPr>
              <w:t>13.756</w:t>
            </w:r>
          </w:p>
        </w:tc>
        <w:tc>
          <w:tcPr>
            <w:tcW w:w="1559" w:type="dxa"/>
            <w:gridSpan w:val="2"/>
            <w:vAlign w:val="bottom"/>
          </w:tcPr>
          <w:p w14:paraId="4EB2B8F5" w14:textId="77777777" w:rsidR="0010523F" w:rsidRPr="0010523F" w:rsidRDefault="0010523F" w:rsidP="0010523F">
            <w:pPr>
              <w:autoSpaceDE w:val="0"/>
              <w:autoSpaceDN w:val="0"/>
              <w:adjustRightInd w:val="0"/>
              <w:ind w:right="176"/>
              <w:jc w:val="right"/>
              <w:rPr>
                <w:lang w:val="es-AR"/>
              </w:rPr>
            </w:pPr>
            <w:r w:rsidRPr="0010523F">
              <w:rPr>
                <w:lang w:val="es-AR"/>
              </w:rPr>
              <w:t>19.463</w:t>
            </w:r>
          </w:p>
        </w:tc>
        <w:tc>
          <w:tcPr>
            <w:tcW w:w="1417" w:type="dxa"/>
            <w:gridSpan w:val="2"/>
            <w:vAlign w:val="bottom"/>
          </w:tcPr>
          <w:p w14:paraId="396E664C" w14:textId="77777777" w:rsidR="0010523F" w:rsidRPr="0010523F" w:rsidRDefault="0010523F" w:rsidP="0010523F">
            <w:pPr>
              <w:autoSpaceDE w:val="0"/>
              <w:autoSpaceDN w:val="0"/>
              <w:adjustRightInd w:val="0"/>
              <w:ind w:right="175"/>
              <w:jc w:val="right"/>
              <w:rPr>
                <w:lang w:val="es-AR"/>
              </w:rPr>
            </w:pPr>
            <w:r w:rsidRPr="0010523F">
              <w:rPr>
                <w:lang w:val="es-AR"/>
              </w:rPr>
              <w:t>13.756</w:t>
            </w:r>
          </w:p>
        </w:tc>
      </w:tr>
      <w:tr w:rsidR="0010523F" w:rsidRPr="0010523F" w14:paraId="2E4477BE" w14:textId="77777777" w:rsidTr="00774E7E">
        <w:trPr>
          <w:trHeight w:val="108"/>
        </w:trPr>
        <w:tc>
          <w:tcPr>
            <w:tcW w:w="4473" w:type="dxa"/>
            <w:gridSpan w:val="3"/>
            <w:vAlign w:val="bottom"/>
          </w:tcPr>
          <w:p w14:paraId="3CBA4630" w14:textId="77777777" w:rsidR="0010523F" w:rsidRPr="0010523F" w:rsidRDefault="0010523F" w:rsidP="0010523F">
            <w:pPr>
              <w:autoSpaceDE w:val="0"/>
              <w:autoSpaceDN w:val="0"/>
              <w:adjustRightInd w:val="0"/>
              <w:spacing w:line="180" w:lineRule="exact"/>
              <w:ind w:left="186"/>
              <w:jc w:val="both"/>
              <w:rPr>
                <w:lang w:val="es-AR"/>
              </w:rPr>
            </w:pPr>
          </w:p>
        </w:tc>
        <w:tc>
          <w:tcPr>
            <w:tcW w:w="1559" w:type="dxa"/>
            <w:gridSpan w:val="2"/>
            <w:vAlign w:val="bottom"/>
          </w:tcPr>
          <w:p w14:paraId="512360ED" w14:textId="77777777" w:rsidR="0010523F" w:rsidRPr="0010523F" w:rsidRDefault="0010523F" w:rsidP="0010523F">
            <w:pPr>
              <w:autoSpaceDE w:val="0"/>
              <w:autoSpaceDN w:val="0"/>
              <w:adjustRightInd w:val="0"/>
              <w:spacing w:line="180" w:lineRule="exact"/>
              <w:ind w:left="186"/>
              <w:jc w:val="both"/>
              <w:rPr>
                <w:lang w:val="es-AR"/>
              </w:rPr>
            </w:pPr>
          </w:p>
        </w:tc>
        <w:tc>
          <w:tcPr>
            <w:tcW w:w="1418" w:type="dxa"/>
            <w:gridSpan w:val="2"/>
            <w:vAlign w:val="bottom"/>
          </w:tcPr>
          <w:p w14:paraId="554A347F" w14:textId="77777777" w:rsidR="0010523F" w:rsidRPr="0010523F" w:rsidRDefault="0010523F" w:rsidP="0010523F">
            <w:pPr>
              <w:autoSpaceDE w:val="0"/>
              <w:autoSpaceDN w:val="0"/>
              <w:adjustRightInd w:val="0"/>
              <w:spacing w:line="180" w:lineRule="exact"/>
              <w:ind w:left="186"/>
              <w:jc w:val="both"/>
              <w:rPr>
                <w:lang w:val="es-AR"/>
              </w:rPr>
            </w:pPr>
          </w:p>
        </w:tc>
        <w:tc>
          <w:tcPr>
            <w:tcW w:w="1559" w:type="dxa"/>
            <w:gridSpan w:val="2"/>
            <w:vAlign w:val="bottom"/>
          </w:tcPr>
          <w:p w14:paraId="1ACCC228" w14:textId="77777777" w:rsidR="0010523F" w:rsidRPr="0010523F" w:rsidRDefault="0010523F" w:rsidP="0010523F">
            <w:pPr>
              <w:autoSpaceDE w:val="0"/>
              <w:autoSpaceDN w:val="0"/>
              <w:adjustRightInd w:val="0"/>
              <w:spacing w:line="180" w:lineRule="exact"/>
              <w:ind w:left="186"/>
              <w:jc w:val="both"/>
              <w:rPr>
                <w:lang w:val="es-AR"/>
              </w:rPr>
            </w:pPr>
          </w:p>
        </w:tc>
        <w:tc>
          <w:tcPr>
            <w:tcW w:w="1417" w:type="dxa"/>
            <w:gridSpan w:val="2"/>
            <w:vAlign w:val="bottom"/>
          </w:tcPr>
          <w:p w14:paraId="3C414017" w14:textId="77777777" w:rsidR="0010523F" w:rsidRPr="0010523F" w:rsidRDefault="0010523F" w:rsidP="0010523F">
            <w:pPr>
              <w:autoSpaceDE w:val="0"/>
              <w:autoSpaceDN w:val="0"/>
              <w:adjustRightInd w:val="0"/>
              <w:spacing w:line="180" w:lineRule="exact"/>
              <w:ind w:left="186"/>
              <w:jc w:val="both"/>
              <w:rPr>
                <w:lang w:val="es-AR"/>
              </w:rPr>
            </w:pPr>
          </w:p>
        </w:tc>
      </w:tr>
      <w:tr w:rsidR="0010523F" w:rsidRPr="0010523F" w14:paraId="4F466EF6" w14:textId="77777777" w:rsidTr="00774E7E">
        <w:trPr>
          <w:trHeight w:val="108"/>
        </w:trPr>
        <w:tc>
          <w:tcPr>
            <w:tcW w:w="4473" w:type="dxa"/>
            <w:gridSpan w:val="3"/>
            <w:vAlign w:val="bottom"/>
          </w:tcPr>
          <w:p w14:paraId="13B26F25" w14:textId="77777777" w:rsidR="0010523F" w:rsidRPr="0010523F" w:rsidRDefault="0010523F" w:rsidP="0010523F">
            <w:pPr>
              <w:autoSpaceDE w:val="0"/>
              <w:autoSpaceDN w:val="0"/>
              <w:adjustRightInd w:val="0"/>
              <w:spacing w:line="220" w:lineRule="exact"/>
              <w:ind w:left="112"/>
              <w:jc w:val="both"/>
              <w:rPr>
                <w:bCs/>
                <w:iCs/>
                <w:lang w:val="es-AR"/>
              </w:rPr>
            </w:pPr>
            <w:r w:rsidRPr="0010523F">
              <w:rPr>
                <w:bCs/>
                <w:iCs/>
                <w:lang w:val="es-AR"/>
              </w:rPr>
              <w:t xml:space="preserve">Al valor razonable con cambios en resultados </w:t>
            </w:r>
          </w:p>
        </w:tc>
        <w:tc>
          <w:tcPr>
            <w:tcW w:w="1559" w:type="dxa"/>
            <w:gridSpan w:val="2"/>
            <w:vAlign w:val="bottom"/>
          </w:tcPr>
          <w:p w14:paraId="3F5E9DFB" w14:textId="77777777" w:rsidR="0010523F" w:rsidRPr="0010523F" w:rsidRDefault="0010523F" w:rsidP="0010523F">
            <w:pPr>
              <w:autoSpaceDE w:val="0"/>
              <w:autoSpaceDN w:val="0"/>
              <w:adjustRightInd w:val="0"/>
              <w:spacing w:line="220" w:lineRule="exact"/>
              <w:ind w:right="175"/>
              <w:jc w:val="right"/>
              <w:rPr>
                <w:lang w:val="es-AR"/>
              </w:rPr>
            </w:pPr>
          </w:p>
        </w:tc>
        <w:tc>
          <w:tcPr>
            <w:tcW w:w="1418" w:type="dxa"/>
            <w:gridSpan w:val="2"/>
            <w:vAlign w:val="bottom"/>
          </w:tcPr>
          <w:p w14:paraId="2BDF8139" w14:textId="77777777" w:rsidR="0010523F" w:rsidRPr="0010523F" w:rsidRDefault="0010523F" w:rsidP="0010523F">
            <w:pPr>
              <w:tabs>
                <w:tab w:val="decimal" w:pos="862"/>
              </w:tabs>
              <w:autoSpaceDE w:val="0"/>
              <w:autoSpaceDN w:val="0"/>
              <w:adjustRightInd w:val="0"/>
              <w:spacing w:line="220" w:lineRule="exact"/>
              <w:jc w:val="both"/>
              <w:rPr>
                <w:lang w:val="es-AR"/>
              </w:rPr>
            </w:pPr>
          </w:p>
        </w:tc>
        <w:tc>
          <w:tcPr>
            <w:tcW w:w="1559" w:type="dxa"/>
            <w:gridSpan w:val="2"/>
            <w:vAlign w:val="bottom"/>
          </w:tcPr>
          <w:p w14:paraId="386D35C8" w14:textId="77777777" w:rsidR="0010523F" w:rsidRPr="0010523F" w:rsidRDefault="0010523F" w:rsidP="0010523F">
            <w:pPr>
              <w:autoSpaceDE w:val="0"/>
              <w:autoSpaceDN w:val="0"/>
              <w:adjustRightInd w:val="0"/>
              <w:spacing w:line="220" w:lineRule="exact"/>
              <w:ind w:right="176"/>
              <w:jc w:val="right"/>
              <w:rPr>
                <w:lang w:val="es-AR"/>
              </w:rPr>
            </w:pPr>
          </w:p>
        </w:tc>
        <w:tc>
          <w:tcPr>
            <w:tcW w:w="1417" w:type="dxa"/>
            <w:gridSpan w:val="2"/>
            <w:vAlign w:val="bottom"/>
          </w:tcPr>
          <w:p w14:paraId="50B51DD6" w14:textId="77777777" w:rsidR="0010523F" w:rsidRPr="0010523F" w:rsidRDefault="0010523F" w:rsidP="0010523F">
            <w:pPr>
              <w:autoSpaceDE w:val="0"/>
              <w:autoSpaceDN w:val="0"/>
              <w:adjustRightInd w:val="0"/>
              <w:spacing w:line="220" w:lineRule="exact"/>
              <w:ind w:right="175"/>
              <w:jc w:val="right"/>
              <w:rPr>
                <w:lang w:val="es-AR"/>
              </w:rPr>
            </w:pPr>
          </w:p>
        </w:tc>
      </w:tr>
      <w:tr w:rsidR="0010523F" w:rsidRPr="0010523F" w14:paraId="66C22F36" w14:textId="77777777" w:rsidTr="00774E7E">
        <w:trPr>
          <w:trHeight w:val="87"/>
        </w:trPr>
        <w:tc>
          <w:tcPr>
            <w:tcW w:w="4473" w:type="dxa"/>
            <w:gridSpan w:val="3"/>
            <w:vAlign w:val="bottom"/>
          </w:tcPr>
          <w:p w14:paraId="5C1BB380" w14:textId="77777777" w:rsidR="0010523F" w:rsidRPr="0010523F" w:rsidRDefault="0010523F" w:rsidP="0010523F">
            <w:pPr>
              <w:autoSpaceDE w:val="0"/>
              <w:autoSpaceDN w:val="0"/>
              <w:adjustRightInd w:val="0"/>
              <w:ind w:left="186"/>
              <w:jc w:val="both"/>
              <w:rPr>
                <w:lang w:val="es-AR"/>
              </w:rPr>
            </w:pPr>
            <w:r w:rsidRPr="0010523F">
              <w:rPr>
                <w:lang w:val="es-AR"/>
              </w:rPr>
              <w:t xml:space="preserve">Efectivo y equivalentes de efectivo </w:t>
            </w:r>
            <w:r w:rsidRPr="0010523F">
              <w:rPr>
                <w:bCs/>
                <w:iCs/>
                <w:sz w:val="18"/>
                <w:szCs w:val="18"/>
                <w:lang w:val="es-AR"/>
              </w:rPr>
              <w:t>(1)</w:t>
            </w:r>
            <w:r w:rsidRPr="0010523F">
              <w:rPr>
                <w:lang w:val="es-AR"/>
              </w:rPr>
              <w:t xml:space="preserve"> </w:t>
            </w:r>
          </w:p>
        </w:tc>
        <w:tc>
          <w:tcPr>
            <w:tcW w:w="1559" w:type="dxa"/>
            <w:gridSpan w:val="2"/>
            <w:vAlign w:val="bottom"/>
          </w:tcPr>
          <w:p w14:paraId="2DC21110" w14:textId="77777777" w:rsidR="0010523F" w:rsidRPr="0010523F" w:rsidRDefault="0010523F" w:rsidP="0010523F">
            <w:pPr>
              <w:autoSpaceDE w:val="0"/>
              <w:autoSpaceDN w:val="0"/>
              <w:adjustRightInd w:val="0"/>
              <w:ind w:right="175"/>
              <w:jc w:val="right"/>
              <w:rPr>
                <w:lang w:val="es-AR"/>
              </w:rPr>
            </w:pPr>
            <w:r w:rsidRPr="0010523F">
              <w:rPr>
                <w:lang w:val="es-AR"/>
              </w:rPr>
              <w:t>-</w:t>
            </w:r>
          </w:p>
        </w:tc>
        <w:tc>
          <w:tcPr>
            <w:tcW w:w="1418" w:type="dxa"/>
            <w:gridSpan w:val="2"/>
            <w:vAlign w:val="bottom"/>
          </w:tcPr>
          <w:p w14:paraId="09156B4E" w14:textId="77777777" w:rsidR="0010523F" w:rsidRPr="0010523F" w:rsidRDefault="0010523F" w:rsidP="0010523F">
            <w:pPr>
              <w:tabs>
                <w:tab w:val="decimal" w:pos="862"/>
              </w:tabs>
              <w:autoSpaceDE w:val="0"/>
              <w:autoSpaceDN w:val="0"/>
              <w:adjustRightInd w:val="0"/>
              <w:jc w:val="right"/>
              <w:rPr>
                <w:lang w:val="es-AR"/>
              </w:rPr>
            </w:pPr>
            <w:r w:rsidRPr="0010523F">
              <w:rPr>
                <w:lang w:val="es-AR"/>
              </w:rPr>
              <w:t>224</w:t>
            </w:r>
          </w:p>
        </w:tc>
        <w:tc>
          <w:tcPr>
            <w:tcW w:w="1559" w:type="dxa"/>
            <w:gridSpan w:val="2"/>
            <w:vAlign w:val="bottom"/>
          </w:tcPr>
          <w:p w14:paraId="15C256AC" w14:textId="77777777" w:rsidR="0010523F" w:rsidRPr="0010523F" w:rsidRDefault="0010523F" w:rsidP="0010523F">
            <w:pPr>
              <w:autoSpaceDE w:val="0"/>
              <w:autoSpaceDN w:val="0"/>
              <w:adjustRightInd w:val="0"/>
              <w:ind w:right="176"/>
              <w:jc w:val="right"/>
              <w:rPr>
                <w:lang w:val="es-AR"/>
              </w:rPr>
            </w:pPr>
            <w:r w:rsidRPr="0010523F">
              <w:rPr>
                <w:lang w:val="es-AR"/>
              </w:rPr>
              <w:t>-</w:t>
            </w:r>
          </w:p>
        </w:tc>
        <w:tc>
          <w:tcPr>
            <w:tcW w:w="1417" w:type="dxa"/>
            <w:gridSpan w:val="2"/>
            <w:vAlign w:val="bottom"/>
          </w:tcPr>
          <w:p w14:paraId="5B83B4F6" w14:textId="77777777" w:rsidR="0010523F" w:rsidRPr="0010523F" w:rsidRDefault="0010523F" w:rsidP="0010523F">
            <w:pPr>
              <w:autoSpaceDE w:val="0"/>
              <w:autoSpaceDN w:val="0"/>
              <w:adjustRightInd w:val="0"/>
              <w:ind w:right="175"/>
              <w:jc w:val="right"/>
              <w:rPr>
                <w:lang w:val="es-AR"/>
              </w:rPr>
            </w:pPr>
            <w:r w:rsidRPr="0010523F">
              <w:rPr>
                <w:lang w:val="es-AR"/>
              </w:rPr>
              <w:t>224</w:t>
            </w:r>
          </w:p>
        </w:tc>
      </w:tr>
      <w:tr w:rsidR="0010523F" w:rsidRPr="0010523F" w14:paraId="281029AA" w14:textId="77777777" w:rsidTr="00774E7E">
        <w:trPr>
          <w:trHeight w:val="87"/>
        </w:trPr>
        <w:tc>
          <w:tcPr>
            <w:tcW w:w="4473" w:type="dxa"/>
            <w:gridSpan w:val="3"/>
            <w:vAlign w:val="bottom"/>
          </w:tcPr>
          <w:p w14:paraId="429A0F65" w14:textId="77777777" w:rsidR="0010523F" w:rsidRPr="0010523F" w:rsidRDefault="0010523F" w:rsidP="0010523F">
            <w:pPr>
              <w:autoSpaceDE w:val="0"/>
              <w:autoSpaceDN w:val="0"/>
              <w:adjustRightInd w:val="0"/>
              <w:spacing w:line="180" w:lineRule="exact"/>
              <w:ind w:left="186"/>
              <w:jc w:val="both"/>
              <w:rPr>
                <w:lang w:val="es-AR"/>
              </w:rPr>
            </w:pPr>
          </w:p>
        </w:tc>
        <w:tc>
          <w:tcPr>
            <w:tcW w:w="1559" w:type="dxa"/>
            <w:gridSpan w:val="2"/>
            <w:vAlign w:val="bottom"/>
          </w:tcPr>
          <w:p w14:paraId="2B4D7B4C" w14:textId="77777777" w:rsidR="0010523F" w:rsidRPr="0010523F" w:rsidRDefault="0010523F" w:rsidP="0010523F">
            <w:pPr>
              <w:autoSpaceDE w:val="0"/>
              <w:autoSpaceDN w:val="0"/>
              <w:adjustRightInd w:val="0"/>
              <w:spacing w:line="180" w:lineRule="exact"/>
              <w:ind w:right="175"/>
              <w:jc w:val="right"/>
              <w:rPr>
                <w:lang w:val="es-AR"/>
              </w:rPr>
            </w:pPr>
          </w:p>
        </w:tc>
        <w:tc>
          <w:tcPr>
            <w:tcW w:w="1418" w:type="dxa"/>
            <w:gridSpan w:val="2"/>
            <w:vAlign w:val="bottom"/>
          </w:tcPr>
          <w:p w14:paraId="567FD1C6" w14:textId="77777777" w:rsidR="0010523F" w:rsidRPr="0010523F" w:rsidRDefault="0010523F" w:rsidP="0010523F">
            <w:pPr>
              <w:tabs>
                <w:tab w:val="decimal" w:pos="862"/>
              </w:tabs>
              <w:autoSpaceDE w:val="0"/>
              <w:autoSpaceDN w:val="0"/>
              <w:adjustRightInd w:val="0"/>
              <w:spacing w:line="180" w:lineRule="exact"/>
              <w:jc w:val="right"/>
              <w:rPr>
                <w:lang w:val="es-AR"/>
              </w:rPr>
            </w:pPr>
          </w:p>
        </w:tc>
        <w:tc>
          <w:tcPr>
            <w:tcW w:w="1559" w:type="dxa"/>
            <w:gridSpan w:val="2"/>
            <w:vAlign w:val="bottom"/>
          </w:tcPr>
          <w:p w14:paraId="009F777E" w14:textId="77777777" w:rsidR="0010523F" w:rsidRPr="0010523F" w:rsidRDefault="0010523F" w:rsidP="0010523F">
            <w:pPr>
              <w:autoSpaceDE w:val="0"/>
              <w:autoSpaceDN w:val="0"/>
              <w:adjustRightInd w:val="0"/>
              <w:spacing w:line="180" w:lineRule="exact"/>
              <w:ind w:right="176"/>
              <w:jc w:val="right"/>
              <w:rPr>
                <w:lang w:val="es-AR"/>
              </w:rPr>
            </w:pPr>
          </w:p>
        </w:tc>
        <w:tc>
          <w:tcPr>
            <w:tcW w:w="1417" w:type="dxa"/>
            <w:gridSpan w:val="2"/>
            <w:vAlign w:val="bottom"/>
          </w:tcPr>
          <w:p w14:paraId="00B7D918" w14:textId="77777777" w:rsidR="0010523F" w:rsidRPr="0010523F" w:rsidRDefault="0010523F" w:rsidP="0010523F">
            <w:pPr>
              <w:autoSpaceDE w:val="0"/>
              <w:autoSpaceDN w:val="0"/>
              <w:adjustRightInd w:val="0"/>
              <w:spacing w:line="180" w:lineRule="exact"/>
              <w:ind w:right="175"/>
              <w:jc w:val="right"/>
              <w:rPr>
                <w:lang w:val="es-AR"/>
              </w:rPr>
            </w:pPr>
          </w:p>
        </w:tc>
      </w:tr>
      <w:tr w:rsidR="0010523F" w:rsidRPr="0010523F" w14:paraId="11F4DF40" w14:textId="77777777" w:rsidTr="00774E7E">
        <w:trPr>
          <w:trHeight w:val="87"/>
        </w:trPr>
        <w:tc>
          <w:tcPr>
            <w:tcW w:w="4473" w:type="dxa"/>
            <w:gridSpan w:val="3"/>
            <w:vAlign w:val="bottom"/>
          </w:tcPr>
          <w:p w14:paraId="0F1B29B9" w14:textId="77777777" w:rsidR="0010523F" w:rsidRPr="0010523F" w:rsidRDefault="0010523F" w:rsidP="0010523F">
            <w:pPr>
              <w:autoSpaceDE w:val="0"/>
              <w:autoSpaceDN w:val="0"/>
              <w:adjustRightInd w:val="0"/>
              <w:ind w:left="112"/>
              <w:jc w:val="both"/>
              <w:rPr>
                <w:lang w:val="es-AR"/>
              </w:rPr>
            </w:pPr>
            <w:r w:rsidRPr="0010523F">
              <w:rPr>
                <w:lang w:val="es-AR"/>
              </w:rPr>
              <w:t xml:space="preserve">Al valor razonable con cambios en otro resultado integral </w:t>
            </w:r>
          </w:p>
        </w:tc>
        <w:tc>
          <w:tcPr>
            <w:tcW w:w="1559" w:type="dxa"/>
            <w:gridSpan w:val="2"/>
            <w:vAlign w:val="bottom"/>
          </w:tcPr>
          <w:p w14:paraId="201C69ED" w14:textId="77777777" w:rsidR="0010523F" w:rsidRPr="0010523F" w:rsidRDefault="0010523F" w:rsidP="0010523F">
            <w:pPr>
              <w:autoSpaceDE w:val="0"/>
              <w:autoSpaceDN w:val="0"/>
              <w:adjustRightInd w:val="0"/>
              <w:ind w:right="175"/>
              <w:jc w:val="right"/>
              <w:rPr>
                <w:lang w:val="es-AR"/>
              </w:rPr>
            </w:pPr>
          </w:p>
        </w:tc>
        <w:tc>
          <w:tcPr>
            <w:tcW w:w="1418" w:type="dxa"/>
            <w:gridSpan w:val="2"/>
            <w:vAlign w:val="bottom"/>
          </w:tcPr>
          <w:p w14:paraId="7D185E68" w14:textId="77777777" w:rsidR="0010523F" w:rsidRPr="0010523F" w:rsidRDefault="0010523F" w:rsidP="0010523F">
            <w:pPr>
              <w:tabs>
                <w:tab w:val="decimal" w:pos="862"/>
              </w:tabs>
              <w:autoSpaceDE w:val="0"/>
              <w:autoSpaceDN w:val="0"/>
              <w:adjustRightInd w:val="0"/>
              <w:jc w:val="right"/>
              <w:rPr>
                <w:lang w:val="es-AR"/>
              </w:rPr>
            </w:pPr>
          </w:p>
        </w:tc>
        <w:tc>
          <w:tcPr>
            <w:tcW w:w="1559" w:type="dxa"/>
            <w:gridSpan w:val="2"/>
            <w:vAlign w:val="bottom"/>
          </w:tcPr>
          <w:p w14:paraId="2AEAB1E8" w14:textId="77777777" w:rsidR="0010523F" w:rsidRPr="0010523F" w:rsidRDefault="0010523F" w:rsidP="0010523F">
            <w:pPr>
              <w:autoSpaceDE w:val="0"/>
              <w:autoSpaceDN w:val="0"/>
              <w:adjustRightInd w:val="0"/>
              <w:ind w:right="176"/>
              <w:jc w:val="right"/>
              <w:rPr>
                <w:lang w:val="es-AR"/>
              </w:rPr>
            </w:pPr>
          </w:p>
        </w:tc>
        <w:tc>
          <w:tcPr>
            <w:tcW w:w="1417" w:type="dxa"/>
            <w:gridSpan w:val="2"/>
            <w:vAlign w:val="bottom"/>
          </w:tcPr>
          <w:p w14:paraId="08B7E5BB" w14:textId="77777777" w:rsidR="0010523F" w:rsidRPr="0010523F" w:rsidRDefault="0010523F" w:rsidP="0010523F">
            <w:pPr>
              <w:autoSpaceDE w:val="0"/>
              <w:autoSpaceDN w:val="0"/>
              <w:adjustRightInd w:val="0"/>
              <w:ind w:right="175"/>
              <w:jc w:val="right"/>
              <w:rPr>
                <w:lang w:val="es-AR"/>
              </w:rPr>
            </w:pPr>
          </w:p>
        </w:tc>
      </w:tr>
      <w:tr w:rsidR="0010523F" w:rsidRPr="0010523F" w14:paraId="401EDDC8" w14:textId="77777777" w:rsidTr="00774E7E">
        <w:trPr>
          <w:trHeight w:val="87"/>
        </w:trPr>
        <w:tc>
          <w:tcPr>
            <w:tcW w:w="4473" w:type="dxa"/>
            <w:gridSpan w:val="3"/>
            <w:vAlign w:val="bottom"/>
          </w:tcPr>
          <w:p w14:paraId="7A254315" w14:textId="77777777" w:rsidR="0010523F" w:rsidRPr="0010523F" w:rsidRDefault="0010523F" w:rsidP="0010523F">
            <w:pPr>
              <w:autoSpaceDE w:val="0"/>
              <w:autoSpaceDN w:val="0"/>
              <w:adjustRightInd w:val="0"/>
              <w:ind w:left="186"/>
              <w:jc w:val="both"/>
              <w:rPr>
                <w:lang w:val="es-AR"/>
              </w:rPr>
            </w:pPr>
            <w:r w:rsidRPr="0010523F">
              <w:rPr>
                <w:lang w:val="es-AR"/>
              </w:rPr>
              <w:t xml:space="preserve">Inversiones </w:t>
            </w:r>
            <w:r w:rsidRPr="0010523F">
              <w:rPr>
                <w:sz w:val="18"/>
                <w:szCs w:val="18"/>
                <w:lang w:val="es-AR"/>
              </w:rPr>
              <w:t>(1)</w:t>
            </w:r>
          </w:p>
        </w:tc>
        <w:tc>
          <w:tcPr>
            <w:tcW w:w="1559" w:type="dxa"/>
            <w:gridSpan w:val="2"/>
            <w:vAlign w:val="bottom"/>
          </w:tcPr>
          <w:p w14:paraId="028B7C9C" w14:textId="77777777" w:rsidR="0010523F" w:rsidRPr="0010523F" w:rsidRDefault="0010523F" w:rsidP="0010523F">
            <w:pPr>
              <w:autoSpaceDE w:val="0"/>
              <w:autoSpaceDN w:val="0"/>
              <w:adjustRightInd w:val="0"/>
              <w:ind w:right="175"/>
              <w:jc w:val="right"/>
              <w:rPr>
                <w:lang w:val="es-AR"/>
              </w:rPr>
            </w:pPr>
            <w:r w:rsidRPr="0010523F">
              <w:rPr>
                <w:lang w:val="es-AR"/>
              </w:rPr>
              <w:t>23</w:t>
            </w:r>
          </w:p>
        </w:tc>
        <w:tc>
          <w:tcPr>
            <w:tcW w:w="1418" w:type="dxa"/>
            <w:gridSpan w:val="2"/>
            <w:vAlign w:val="bottom"/>
          </w:tcPr>
          <w:p w14:paraId="3C382970" w14:textId="77777777" w:rsidR="0010523F" w:rsidRPr="0010523F" w:rsidRDefault="0010523F" w:rsidP="0010523F">
            <w:pPr>
              <w:tabs>
                <w:tab w:val="decimal" w:pos="862"/>
              </w:tabs>
              <w:autoSpaceDE w:val="0"/>
              <w:autoSpaceDN w:val="0"/>
              <w:adjustRightInd w:val="0"/>
              <w:jc w:val="right"/>
              <w:rPr>
                <w:lang w:val="es-AR"/>
              </w:rPr>
            </w:pPr>
            <w:r w:rsidRPr="0010523F">
              <w:rPr>
                <w:lang w:val="es-AR"/>
              </w:rPr>
              <w:t>1.023</w:t>
            </w:r>
          </w:p>
        </w:tc>
        <w:tc>
          <w:tcPr>
            <w:tcW w:w="1559" w:type="dxa"/>
            <w:gridSpan w:val="2"/>
            <w:vAlign w:val="bottom"/>
          </w:tcPr>
          <w:p w14:paraId="519A9371" w14:textId="77777777" w:rsidR="0010523F" w:rsidRPr="0010523F" w:rsidRDefault="0010523F" w:rsidP="0010523F">
            <w:pPr>
              <w:autoSpaceDE w:val="0"/>
              <w:autoSpaceDN w:val="0"/>
              <w:adjustRightInd w:val="0"/>
              <w:ind w:right="176"/>
              <w:jc w:val="right"/>
              <w:rPr>
                <w:lang w:val="es-AR"/>
              </w:rPr>
            </w:pPr>
            <w:r w:rsidRPr="0010523F">
              <w:rPr>
                <w:lang w:val="es-AR"/>
              </w:rPr>
              <w:t>23</w:t>
            </w:r>
          </w:p>
        </w:tc>
        <w:tc>
          <w:tcPr>
            <w:tcW w:w="1417" w:type="dxa"/>
            <w:gridSpan w:val="2"/>
            <w:vAlign w:val="bottom"/>
          </w:tcPr>
          <w:p w14:paraId="32173A28" w14:textId="77777777" w:rsidR="0010523F" w:rsidRPr="0010523F" w:rsidRDefault="0010523F" w:rsidP="0010523F">
            <w:pPr>
              <w:autoSpaceDE w:val="0"/>
              <w:autoSpaceDN w:val="0"/>
              <w:adjustRightInd w:val="0"/>
              <w:ind w:right="175"/>
              <w:jc w:val="right"/>
              <w:rPr>
                <w:lang w:val="es-AR"/>
              </w:rPr>
            </w:pPr>
            <w:r w:rsidRPr="0010523F">
              <w:rPr>
                <w:lang w:val="es-AR"/>
              </w:rPr>
              <w:t>1.023</w:t>
            </w:r>
          </w:p>
        </w:tc>
      </w:tr>
    </w:tbl>
    <w:p w14:paraId="7B2F25E8" w14:textId="77777777" w:rsidR="0010523F" w:rsidRPr="0010523F" w:rsidRDefault="0010523F" w:rsidP="0010523F">
      <w:pPr>
        <w:tabs>
          <w:tab w:val="right" w:pos="2643"/>
        </w:tabs>
        <w:spacing w:line="220" w:lineRule="exact"/>
        <w:ind w:left="284" w:hanging="284"/>
        <w:jc w:val="both"/>
        <w:rPr>
          <w:lang w:val="es-AR" w:eastAsia="en-US"/>
        </w:rPr>
      </w:pPr>
    </w:p>
    <w:p w14:paraId="5ACE36D5" w14:textId="77777777" w:rsidR="0010523F" w:rsidRPr="0010523F" w:rsidRDefault="0010523F" w:rsidP="0010523F">
      <w:pPr>
        <w:tabs>
          <w:tab w:val="right" w:pos="2643"/>
        </w:tabs>
        <w:spacing w:line="220" w:lineRule="exact"/>
        <w:ind w:left="284" w:hanging="284"/>
        <w:jc w:val="both"/>
        <w:rPr>
          <w:sz w:val="20"/>
          <w:szCs w:val="20"/>
          <w:lang w:val="es-AR" w:eastAsia="en-US"/>
        </w:rPr>
      </w:pPr>
      <w:r w:rsidRPr="0010523F">
        <w:rPr>
          <w:sz w:val="20"/>
          <w:szCs w:val="20"/>
          <w:lang w:val="es-AR" w:eastAsia="en-US"/>
        </w:rPr>
        <w:t>(1)</w:t>
      </w:r>
      <w:r w:rsidRPr="0010523F">
        <w:rPr>
          <w:sz w:val="20"/>
          <w:szCs w:val="20"/>
          <w:lang w:val="es-AR" w:eastAsia="en-US"/>
        </w:rPr>
        <w:tab/>
        <w:t xml:space="preserve">Comprende inversiones en fondos comunes de inversión y títulos públicos con cotización (Nivel 1). Los resultados por los períodos de tres y nueve meses finalizados el 30 de septiembre de 2019 y 2018 por estos instrumentos se exponen en las líneas “Intereses generados por activos” y “Otros resultados financieros” del estado del resultado intermedio condensado. </w:t>
      </w:r>
    </w:p>
    <w:p w14:paraId="341A6578" w14:textId="77777777" w:rsidR="0010523F" w:rsidRPr="0010523F" w:rsidRDefault="0010523F" w:rsidP="0010523F">
      <w:pPr>
        <w:rPr>
          <w:lang w:val="es-AR" w:eastAsia="en-US"/>
        </w:rPr>
      </w:pPr>
      <w:r w:rsidRPr="0010523F">
        <w:rPr>
          <w:lang w:val="es-AR" w:eastAsia="en-US"/>
        </w:rPr>
        <w:br w:type="page"/>
      </w:r>
    </w:p>
    <w:p w14:paraId="73B36922" w14:textId="77777777" w:rsidR="0010523F" w:rsidRPr="0010523F" w:rsidRDefault="0010523F" w:rsidP="0010523F">
      <w:pPr>
        <w:rPr>
          <w:b/>
          <w:lang w:val="es-AR" w:eastAsia="en-US"/>
        </w:rPr>
      </w:pPr>
      <w:r w:rsidRPr="0010523F">
        <w:rPr>
          <w:b/>
          <w:lang w:val="es-AR" w:eastAsia="en-US"/>
        </w:rPr>
        <w:t>NOTA 6 - INSTRUMENTOS FINANCIEROS (cont.)</w:t>
      </w:r>
    </w:p>
    <w:p w14:paraId="44D53490" w14:textId="77777777" w:rsidR="0010523F" w:rsidRPr="0010523F" w:rsidRDefault="0010523F" w:rsidP="0010523F">
      <w:pPr>
        <w:tabs>
          <w:tab w:val="right" w:pos="2643"/>
        </w:tabs>
        <w:spacing w:line="220" w:lineRule="exact"/>
        <w:ind w:left="284" w:hanging="284"/>
        <w:jc w:val="both"/>
        <w:rPr>
          <w:lang w:val="es-AR" w:eastAsia="en-US"/>
        </w:rPr>
      </w:pPr>
    </w:p>
    <w:tbl>
      <w:tblPr>
        <w:tblW w:w="10156" w:type="dxa"/>
        <w:tblInd w:w="-56" w:type="dxa"/>
        <w:tblLayout w:type="fixed"/>
        <w:tblLook w:val="0000" w:firstRow="0" w:lastRow="0" w:firstColumn="0" w:lastColumn="0" w:noHBand="0" w:noVBand="0"/>
      </w:tblPr>
      <w:tblGrid>
        <w:gridCol w:w="4166"/>
        <w:gridCol w:w="285"/>
        <w:gridCol w:w="1417"/>
        <w:gridCol w:w="1418"/>
        <w:gridCol w:w="1451"/>
        <w:gridCol w:w="1419"/>
      </w:tblGrid>
      <w:tr w:rsidR="0010523F" w:rsidRPr="0010523F" w14:paraId="4ED70D8D" w14:textId="77777777" w:rsidTr="00774E7E">
        <w:trPr>
          <w:gridBefore w:val="1"/>
          <w:wBefore w:w="4166" w:type="dxa"/>
          <w:trHeight w:val="113"/>
        </w:trPr>
        <w:tc>
          <w:tcPr>
            <w:tcW w:w="285" w:type="dxa"/>
            <w:vMerge w:val="restart"/>
            <w:vAlign w:val="bottom"/>
          </w:tcPr>
          <w:p w14:paraId="424E51DA" w14:textId="77777777" w:rsidR="0010523F" w:rsidRPr="0010523F" w:rsidRDefault="0010523F" w:rsidP="0010523F">
            <w:pPr>
              <w:autoSpaceDE w:val="0"/>
              <w:autoSpaceDN w:val="0"/>
              <w:adjustRightInd w:val="0"/>
              <w:spacing w:line="220" w:lineRule="exact"/>
              <w:jc w:val="center"/>
              <w:rPr>
                <w:b/>
                <w:u w:val="single"/>
                <w:lang w:val="es-AR"/>
              </w:rPr>
            </w:pPr>
          </w:p>
        </w:tc>
        <w:tc>
          <w:tcPr>
            <w:tcW w:w="2834" w:type="dxa"/>
            <w:gridSpan w:val="2"/>
            <w:vAlign w:val="bottom"/>
          </w:tcPr>
          <w:p w14:paraId="51A6F45B" w14:textId="77777777" w:rsidR="0010523F" w:rsidRPr="0010523F" w:rsidRDefault="0010523F" w:rsidP="0010523F">
            <w:pPr>
              <w:jc w:val="center"/>
              <w:rPr>
                <w:snapToGrid w:val="0"/>
                <w:u w:val="single"/>
                <w:lang w:val="es-AR" w:eastAsia="en-US"/>
              </w:rPr>
            </w:pPr>
            <w:r w:rsidRPr="0010523F">
              <w:rPr>
                <w:snapToGrid w:val="0"/>
                <w:u w:val="single"/>
                <w:lang w:val="es-AR" w:eastAsia="en-US"/>
              </w:rPr>
              <w:t>     Valores contables      </w:t>
            </w:r>
          </w:p>
        </w:tc>
        <w:tc>
          <w:tcPr>
            <w:tcW w:w="2870" w:type="dxa"/>
            <w:gridSpan w:val="2"/>
            <w:vAlign w:val="bottom"/>
          </w:tcPr>
          <w:p w14:paraId="0CF930F0" w14:textId="77777777" w:rsidR="0010523F" w:rsidRPr="0010523F" w:rsidRDefault="0010523F" w:rsidP="0010523F">
            <w:pPr>
              <w:ind w:right="42"/>
              <w:jc w:val="center"/>
              <w:rPr>
                <w:snapToGrid w:val="0"/>
                <w:u w:val="single"/>
                <w:lang w:val="es-AR" w:eastAsia="en-US"/>
              </w:rPr>
            </w:pPr>
            <w:r w:rsidRPr="0010523F">
              <w:rPr>
                <w:snapToGrid w:val="0"/>
                <w:u w:val="single"/>
                <w:lang w:val="es-AR" w:eastAsia="en-US"/>
              </w:rPr>
              <w:t>       Valores razonables     </w:t>
            </w:r>
          </w:p>
        </w:tc>
      </w:tr>
      <w:tr w:rsidR="0010523F" w:rsidRPr="0010523F" w14:paraId="53A167D1" w14:textId="77777777" w:rsidTr="00774E7E">
        <w:trPr>
          <w:gridBefore w:val="1"/>
          <w:wBefore w:w="4166" w:type="dxa"/>
          <w:trHeight w:val="113"/>
        </w:trPr>
        <w:tc>
          <w:tcPr>
            <w:tcW w:w="285" w:type="dxa"/>
            <w:vMerge/>
            <w:vAlign w:val="bottom"/>
          </w:tcPr>
          <w:p w14:paraId="2B2FB410" w14:textId="77777777" w:rsidR="0010523F" w:rsidRPr="0010523F" w:rsidRDefault="0010523F" w:rsidP="0010523F">
            <w:pPr>
              <w:autoSpaceDE w:val="0"/>
              <w:autoSpaceDN w:val="0"/>
              <w:adjustRightInd w:val="0"/>
              <w:spacing w:line="220" w:lineRule="exact"/>
              <w:jc w:val="center"/>
              <w:rPr>
                <w:b/>
                <w:u w:val="single"/>
                <w:lang w:val="es-AR"/>
              </w:rPr>
            </w:pPr>
          </w:p>
        </w:tc>
        <w:tc>
          <w:tcPr>
            <w:tcW w:w="1417" w:type="dxa"/>
            <w:vAlign w:val="bottom"/>
          </w:tcPr>
          <w:p w14:paraId="601B9B7C" w14:textId="77777777" w:rsidR="0010523F" w:rsidRPr="0010523F" w:rsidRDefault="0010523F" w:rsidP="0010523F">
            <w:pPr>
              <w:tabs>
                <w:tab w:val="center" w:pos="1020"/>
              </w:tabs>
              <w:ind w:right="-31"/>
              <w:jc w:val="center"/>
              <w:rPr>
                <w:snapToGrid w:val="0"/>
                <w:u w:val="single"/>
                <w:lang w:val="es-AR" w:eastAsia="en-US"/>
              </w:rPr>
            </w:pPr>
            <w:r w:rsidRPr="0010523F">
              <w:rPr>
                <w:snapToGrid w:val="0"/>
                <w:u w:val="single"/>
                <w:lang w:val="es-AR" w:eastAsia="en-US"/>
              </w:rPr>
              <w:t>30/09/2019</w:t>
            </w:r>
          </w:p>
        </w:tc>
        <w:tc>
          <w:tcPr>
            <w:tcW w:w="1418" w:type="dxa"/>
            <w:vAlign w:val="bottom"/>
          </w:tcPr>
          <w:p w14:paraId="1E28BD70" w14:textId="77777777" w:rsidR="0010523F" w:rsidRPr="0010523F" w:rsidRDefault="0010523F" w:rsidP="0010523F">
            <w:pPr>
              <w:tabs>
                <w:tab w:val="center" w:pos="1020"/>
              </w:tabs>
              <w:ind w:right="-31"/>
              <w:jc w:val="center"/>
              <w:rPr>
                <w:snapToGrid w:val="0"/>
                <w:u w:val="single"/>
                <w:lang w:val="es-AR" w:eastAsia="en-US"/>
              </w:rPr>
            </w:pPr>
            <w:r w:rsidRPr="0010523F">
              <w:rPr>
                <w:snapToGrid w:val="0"/>
                <w:u w:val="single"/>
                <w:lang w:val="es-AR" w:eastAsia="en-US"/>
              </w:rPr>
              <w:t>31/12/2018</w:t>
            </w:r>
          </w:p>
        </w:tc>
        <w:tc>
          <w:tcPr>
            <w:tcW w:w="1451" w:type="dxa"/>
            <w:vAlign w:val="bottom"/>
          </w:tcPr>
          <w:p w14:paraId="1BF83FEA" w14:textId="77777777" w:rsidR="0010523F" w:rsidRPr="0010523F" w:rsidRDefault="0010523F" w:rsidP="0010523F">
            <w:pPr>
              <w:jc w:val="center"/>
              <w:rPr>
                <w:snapToGrid w:val="0"/>
                <w:u w:val="single"/>
                <w:lang w:val="es-AR" w:eastAsia="en-US"/>
              </w:rPr>
            </w:pPr>
            <w:r w:rsidRPr="0010523F">
              <w:rPr>
                <w:snapToGrid w:val="0"/>
                <w:u w:val="single"/>
                <w:lang w:val="es-AR" w:eastAsia="en-US"/>
              </w:rPr>
              <w:t>30/09/2019</w:t>
            </w:r>
          </w:p>
        </w:tc>
        <w:tc>
          <w:tcPr>
            <w:tcW w:w="1419" w:type="dxa"/>
            <w:vAlign w:val="bottom"/>
          </w:tcPr>
          <w:p w14:paraId="1DB8BFC3" w14:textId="77777777" w:rsidR="0010523F" w:rsidRPr="0010523F" w:rsidRDefault="0010523F" w:rsidP="0010523F">
            <w:pPr>
              <w:jc w:val="center"/>
              <w:rPr>
                <w:snapToGrid w:val="0"/>
                <w:u w:val="single"/>
                <w:lang w:val="es-AR" w:eastAsia="en-US"/>
              </w:rPr>
            </w:pPr>
            <w:r w:rsidRPr="0010523F">
              <w:rPr>
                <w:snapToGrid w:val="0"/>
                <w:u w:val="single"/>
                <w:lang w:val="es-AR" w:eastAsia="en-US"/>
              </w:rPr>
              <w:t>31/12/2018</w:t>
            </w:r>
          </w:p>
        </w:tc>
      </w:tr>
      <w:tr w:rsidR="0010523F" w:rsidRPr="0010523F" w14:paraId="5F9C09BD" w14:textId="77777777" w:rsidTr="00774E7E">
        <w:trPr>
          <w:trHeight w:val="113"/>
        </w:trPr>
        <w:tc>
          <w:tcPr>
            <w:tcW w:w="4451" w:type="dxa"/>
            <w:gridSpan w:val="2"/>
            <w:vAlign w:val="bottom"/>
          </w:tcPr>
          <w:p w14:paraId="72189DCE" w14:textId="77777777" w:rsidR="0010523F" w:rsidRPr="0010523F" w:rsidRDefault="0010523F" w:rsidP="0010523F">
            <w:pPr>
              <w:autoSpaceDE w:val="0"/>
              <w:autoSpaceDN w:val="0"/>
              <w:adjustRightInd w:val="0"/>
              <w:spacing w:line="220" w:lineRule="exact"/>
              <w:ind w:left="-66"/>
              <w:jc w:val="both"/>
              <w:rPr>
                <w:lang w:val="es-AR"/>
              </w:rPr>
            </w:pPr>
            <w:r w:rsidRPr="0010523F">
              <w:rPr>
                <w:b/>
                <w:bCs/>
                <w:lang w:val="es-AR"/>
              </w:rPr>
              <w:t>Pasivos financieros</w:t>
            </w:r>
          </w:p>
        </w:tc>
        <w:tc>
          <w:tcPr>
            <w:tcW w:w="1417" w:type="dxa"/>
            <w:vAlign w:val="bottom"/>
          </w:tcPr>
          <w:p w14:paraId="356AE2B8" w14:textId="77777777" w:rsidR="0010523F" w:rsidRPr="0010523F" w:rsidRDefault="0010523F" w:rsidP="0010523F">
            <w:pPr>
              <w:autoSpaceDE w:val="0"/>
              <w:autoSpaceDN w:val="0"/>
              <w:adjustRightInd w:val="0"/>
              <w:spacing w:line="220" w:lineRule="exact"/>
              <w:jc w:val="both"/>
              <w:rPr>
                <w:lang w:val="es-AR"/>
              </w:rPr>
            </w:pPr>
          </w:p>
        </w:tc>
        <w:tc>
          <w:tcPr>
            <w:tcW w:w="1418" w:type="dxa"/>
            <w:vAlign w:val="bottom"/>
          </w:tcPr>
          <w:p w14:paraId="6088827C" w14:textId="77777777" w:rsidR="0010523F" w:rsidRPr="0010523F" w:rsidRDefault="0010523F" w:rsidP="0010523F">
            <w:pPr>
              <w:autoSpaceDE w:val="0"/>
              <w:autoSpaceDN w:val="0"/>
              <w:adjustRightInd w:val="0"/>
              <w:spacing w:line="220" w:lineRule="exact"/>
              <w:jc w:val="both"/>
              <w:rPr>
                <w:lang w:val="es-AR"/>
              </w:rPr>
            </w:pPr>
          </w:p>
        </w:tc>
        <w:tc>
          <w:tcPr>
            <w:tcW w:w="1451" w:type="dxa"/>
            <w:vAlign w:val="bottom"/>
          </w:tcPr>
          <w:p w14:paraId="7002C07C" w14:textId="77777777" w:rsidR="0010523F" w:rsidRPr="0010523F" w:rsidRDefault="0010523F" w:rsidP="0010523F">
            <w:pPr>
              <w:autoSpaceDE w:val="0"/>
              <w:autoSpaceDN w:val="0"/>
              <w:adjustRightInd w:val="0"/>
              <w:spacing w:line="220" w:lineRule="exact"/>
              <w:jc w:val="both"/>
              <w:rPr>
                <w:lang w:val="es-AR"/>
              </w:rPr>
            </w:pPr>
          </w:p>
        </w:tc>
        <w:tc>
          <w:tcPr>
            <w:tcW w:w="1419" w:type="dxa"/>
            <w:vAlign w:val="bottom"/>
          </w:tcPr>
          <w:p w14:paraId="349F5566" w14:textId="77777777" w:rsidR="0010523F" w:rsidRPr="0010523F" w:rsidRDefault="0010523F" w:rsidP="0010523F">
            <w:pPr>
              <w:autoSpaceDE w:val="0"/>
              <w:autoSpaceDN w:val="0"/>
              <w:adjustRightInd w:val="0"/>
              <w:spacing w:line="220" w:lineRule="exact"/>
              <w:jc w:val="both"/>
              <w:rPr>
                <w:lang w:val="es-AR"/>
              </w:rPr>
            </w:pPr>
          </w:p>
        </w:tc>
      </w:tr>
      <w:tr w:rsidR="0010523F" w:rsidRPr="0010523F" w14:paraId="60C2D635" w14:textId="77777777" w:rsidTr="00774E7E">
        <w:trPr>
          <w:trHeight w:val="113"/>
        </w:trPr>
        <w:tc>
          <w:tcPr>
            <w:tcW w:w="4451" w:type="dxa"/>
            <w:gridSpan w:val="2"/>
            <w:vAlign w:val="bottom"/>
          </w:tcPr>
          <w:p w14:paraId="002E6FC8" w14:textId="77777777" w:rsidR="0010523F" w:rsidRPr="0010523F" w:rsidRDefault="0010523F" w:rsidP="0010523F">
            <w:pPr>
              <w:autoSpaceDE w:val="0"/>
              <w:autoSpaceDN w:val="0"/>
              <w:adjustRightInd w:val="0"/>
              <w:ind w:left="-66"/>
              <w:jc w:val="both"/>
              <w:rPr>
                <w:lang w:val="es-AR"/>
              </w:rPr>
            </w:pPr>
            <w:r w:rsidRPr="0010523F">
              <w:rPr>
                <w:bCs/>
                <w:iCs/>
                <w:lang w:val="es-AR"/>
              </w:rPr>
              <w:t xml:space="preserve">   Al costo amortizado</w:t>
            </w:r>
          </w:p>
        </w:tc>
        <w:tc>
          <w:tcPr>
            <w:tcW w:w="1417" w:type="dxa"/>
            <w:vAlign w:val="bottom"/>
          </w:tcPr>
          <w:p w14:paraId="1082F026" w14:textId="77777777" w:rsidR="0010523F" w:rsidRPr="0010523F" w:rsidRDefault="0010523F" w:rsidP="0010523F">
            <w:pPr>
              <w:tabs>
                <w:tab w:val="decimal" w:pos="862"/>
              </w:tabs>
              <w:autoSpaceDE w:val="0"/>
              <w:autoSpaceDN w:val="0"/>
              <w:adjustRightInd w:val="0"/>
              <w:jc w:val="both"/>
              <w:rPr>
                <w:lang w:val="es-AR"/>
              </w:rPr>
            </w:pPr>
          </w:p>
        </w:tc>
        <w:tc>
          <w:tcPr>
            <w:tcW w:w="1418" w:type="dxa"/>
            <w:vAlign w:val="bottom"/>
          </w:tcPr>
          <w:p w14:paraId="0A43A6E5" w14:textId="77777777" w:rsidR="0010523F" w:rsidRPr="0010523F" w:rsidRDefault="0010523F" w:rsidP="0010523F">
            <w:pPr>
              <w:tabs>
                <w:tab w:val="decimal" w:pos="862"/>
              </w:tabs>
              <w:autoSpaceDE w:val="0"/>
              <w:autoSpaceDN w:val="0"/>
              <w:adjustRightInd w:val="0"/>
              <w:jc w:val="both"/>
              <w:rPr>
                <w:lang w:val="es-AR"/>
              </w:rPr>
            </w:pPr>
          </w:p>
        </w:tc>
        <w:tc>
          <w:tcPr>
            <w:tcW w:w="1451" w:type="dxa"/>
            <w:vAlign w:val="bottom"/>
          </w:tcPr>
          <w:p w14:paraId="60664CCD" w14:textId="77777777" w:rsidR="0010523F" w:rsidRPr="0010523F" w:rsidRDefault="0010523F" w:rsidP="0010523F">
            <w:pPr>
              <w:tabs>
                <w:tab w:val="decimal" w:pos="882"/>
              </w:tabs>
              <w:autoSpaceDE w:val="0"/>
              <w:autoSpaceDN w:val="0"/>
              <w:adjustRightInd w:val="0"/>
              <w:jc w:val="both"/>
              <w:rPr>
                <w:lang w:val="es-AR"/>
              </w:rPr>
            </w:pPr>
          </w:p>
        </w:tc>
        <w:tc>
          <w:tcPr>
            <w:tcW w:w="1419" w:type="dxa"/>
            <w:vAlign w:val="bottom"/>
          </w:tcPr>
          <w:p w14:paraId="4F9D4DE9" w14:textId="77777777" w:rsidR="0010523F" w:rsidRPr="0010523F" w:rsidRDefault="0010523F" w:rsidP="0010523F">
            <w:pPr>
              <w:tabs>
                <w:tab w:val="decimal" w:pos="970"/>
              </w:tabs>
              <w:autoSpaceDE w:val="0"/>
              <w:autoSpaceDN w:val="0"/>
              <w:adjustRightInd w:val="0"/>
              <w:jc w:val="both"/>
              <w:rPr>
                <w:lang w:val="es-AR"/>
              </w:rPr>
            </w:pPr>
          </w:p>
        </w:tc>
      </w:tr>
      <w:tr w:rsidR="0010523F" w:rsidRPr="0010523F" w14:paraId="42F7FC53" w14:textId="77777777" w:rsidTr="00774E7E">
        <w:trPr>
          <w:trHeight w:val="113"/>
        </w:trPr>
        <w:tc>
          <w:tcPr>
            <w:tcW w:w="4451" w:type="dxa"/>
            <w:gridSpan w:val="2"/>
            <w:vAlign w:val="bottom"/>
          </w:tcPr>
          <w:p w14:paraId="2DA0A50B" w14:textId="77777777" w:rsidR="0010523F" w:rsidRPr="0010523F" w:rsidRDefault="0010523F" w:rsidP="0010523F">
            <w:pPr>
              <w:autoSpaceDE w:val="0"/>
              <w:autoSpaceDN w:val="0"/>
              <w:adjustRightInd w:val="0"/>
              <w:ind w:left="186"/>
              <w:jc w:val="both"/>
              <w:rPr>
                <w:lang w:val="es-AR"/>
              </w:rPr>
            </w:pPr>
            <w:r w:rsidRPr="0010523F">
              <w:rPr>
                <w:lang w:val="es-AR"/>
              </w:rPr>
              <w:t>Cuentas por pagar</w:t>
            </w:r>
          </w:p>
        </w:tc>
        <w:tc>
          <w:tcPr>
            <w:tcW w:w="1417" w:type="dxa"/>
            <w:vAlign w:val="bottom"/>
          </w:tcPr>
          <w:p w14:paraId="06E85F28" w14:textId="77777777" w:rsidR="0010523F" w:rsidRPr="0010523F" w:rsidRDefault="0010523F" w:rsidP="0010523F">
            <w:pPr>
              <w:autoSpaceDE w:val="0"/>
              <w:autoSpaceDN w:val="0"/>
              <w:adjustRightInd w:val="0"/>
              <w:ind w:right="175"/>
              <w:jc w:val="right"/>
              <w:rPr>
                <w:lang w:val="es-AR"/>
              </w:rPr>
            </w:pPr>
            <w:r w:rsidRPr="0010523F">
              <w:rPr>
                <w:lang w:val="es-AR"/>
              </w:rPr>
              <w:t>30.365</w:t>
            </w:r>
          </w:p>
        </w:tc>
        <w:tc>
          <w:tcPr>
            <w:tcW w:w="1418" w:type="dxa"/>
            <w:vAlign w:val="bottom"/>
          </w:tcPr>
          <w:p w14:paraId="1B9731F0" w14:textId="77777777" w:rsidR="0010523F" w:rsidRPr="0010523F" w:rsidRDefault="0010523F" w:rsidP="0010523F">
            <w:pPr>
              <w:tabs>
                <w:tab w:val="decimal" w:pos="862"/>
              </w:tabs>
              <w:autoSpaceDE w:val="0"/>
              <w:autoSpaceDN w:val="0"/>
              <w:adjustRightInd w:val="0"/>
              <w:jc w:val="right"/>
              <w:rPr>
                <w:lang w:val="es-AR"/>
              </w:rPr>
            </w:pPr>
            <w:r w:rsidRPr="0010523F">
              <w:rPr>
                <w:lang w:val="es-AR"/>
              </w:rPr>
              <w:t>22.628</w:t>
            </w:r>
          </w:p>
        </w:tc>
        <w:tc>
          <w:tcPr>
            <w:tcW w:w="1451" w:type="dxa"/>
            <w:vAlign w:val="bottom"/>
          </w:tcPr>
          <w:p w14:paraId="126384B4" w14:textId="77777777" w:rsidR="0010523F" w:rsidRPr="0010523F" w:rsidRDefault="0010523F" w:rsidP="0010523F">
            <w:pPr>
              <w:tabs>
                <w:tab w:val="decimal" w:pos="862"/>
              </w:tabs>
              <w:autoSpaceDE w:val="0"/>
              <w:autoSpaceDN w:val="0"/>
              <w:adjustRightInd w:val="0"/>
              <w:ind w:right="176"/>
              <w:jc w:val="right"/>
              <w:rPr>
                <w:highlight w:val="yellow"/>
                <w:lang w:val="es-AR"/>
              </w:rPr>
            </w:pPr>
            <w:r w:rsidRPr="0010523F">
              <w:rPr>
                <w:lang w:val="es-AR"/>
              </w:rPr>
              <w:t>30.365</w:t>
            </w:r>
          </w:p>
        </w:tc>
        <w:tc>
          <w:tcPr>
            <w:tcW w:w="1419" w:type="dxa"/>
            <w:vAlign w:val="bottom"/>
          </w:tcPr>
          <w:p w14:paraId="0EE6AFEE" w14:textId="77777777" w:rsidR="0010523F" w:rsidRPr="0010523F" w:rsidRDefault="0010523F" w:rsidP="0010523F">
            <w:pPr>
              <w:autoSpaceDE w:val="0"/>
              <w:autoSpaceDN w:val="0"/>
              <w:adjustRightInd w:val="0"/>
              <w:ind w:right="175"/>
              <w:jc w:val="right"/>
              <w:rPr>
                <w:lang w:val="es-AR"/>
              </w:rPr>
            </w:pPr>
            <w:r w:rsidRPr="0010523F">
              <w:rPr>
                <w:lang w:val="es-AR"/>
              </w:rPr>
              <w:t>22.628</w:t>
            </w:r>
          </w:p>
        </w:tc>
      </w:tr>
      <w:tr w:rsidR="0010523F" w:rsidRPr="0010523F" w14:paraId="2ACEA72A" w14:textId="77777777" w:rsidTr="00774E7E">
        <w:trPr>
          <w:trHeight w:val="113"/>
        </w:trPr>
        <w:tc>
          <w:tcPr>
            <w:tcW w:w="4451" w:type="dxa"/>
            <w:gridSpan w:val="2"/>
            <w:vAlign w:val="bottom"/>
          </w:tcPr>
          <w:p w14:paraId="3E97E534" w14:textId="77777777" w:rsidR="0010523F" w:rsidRPr="0010523F" w:rsidRDefault="0010523F" w:rsidP="0010523F">
            <w:pPr>
              <w:autoSpaceDE w:val="0"/>
              <w:autoSpaceDN w:val="0"/>
              <w:adjustRightInd w:val="0"/>
              <w:ind w:left="186"/>
              <w:rPr>
                <w:lang w:val="es-AR"/>
              </w:rPr>
            </w:pPr>
            <w:r w:rsidRPr="0010523F">
              <w:rPr>
                <w:lang w:val="es-AR"/>
              </w:rPr>
              <w:t xml:space="preserve">Obligaciones negociables, préstamos y otras deudas financieras </w:t>
            </w:r>
            <w:r w:rsidRPr="0010523F">
              <w:rPr>
                <w:bCs/>
                <w:iCs/>
                <w:sz w:val="18"/>
                <w:szCs w:val="18"/>
                <w:lang w:val="es-AR"/>
              </w:rPr>
              <w:t>(2)</w:t>
            </w:r>
          </w:p>
        </w:tc>
        <w:tc>
          <w:tcPr>
            <w:tcW w:w="1417" w:type="dxa"/>
            <w:vAlign w:val="bottom"/>
          </w:tcPr>
          <w:p w14:paraId="6440C8B1" w14:textId="77777777" w:rsidR="0010523F" w:rsidRPr="0010523F" w:rsidRDefault="0010523F" w:rsidP="0010523F">
            <w:pPr>
              <w:autoSpaceDE w:val="0"/>
              <w:autoSpaceDN w:val="0"/>
              <w:adjustRightInd w:val="0"/>
              <w:ind w:right="175"/>
              <w:jc w:val="right"/>
              <w:rPr>
                <w:lang w:val="es-AR"/>
              </w:rPr>
            </w:pPr>
            <w:r w:rsidRPr="0010523F">
              <w:rPr>
                <w:lang w:val="es-AR"/>
              </w:rPr>
              <w:t>129.671</w:t>
            </w:r>
          </w:p>
        </w:tc>
        <w:tc>
          <w:tcPr>
            <w:tcW w:w="1418" w:type="dxa"/>
            <w:vAlign w:val="bottom"/>
          </w:tcPr>
          <w:p w14:paraId="24600F1C" w14:textId="77777777" w:rsidR="0010523F" w:rsidRPr="0010523F" w:rsidRDefault="0010523F" w:rsidP="0010523F">
            <w:pPr>
              <w:tabs>
                <w:tab w:val="decimal" w:pos="862"/>
              </w:tabs>
              <w:autoSpaceDE w:val="0"/>
              <w:autoSpaceDN w:val="0"/>
              <w:adjustRightInd w:val="0"/>
              <w:jc w:val="right"/>
              <w:rPr>
                <w:lang w:val="es-AR"/>
              </w:rPr>
            </w:pPr>
            <w:r w:rsidRPr="0010523F">
              <w:rPr>
                <w:lang w:val="es-AR"/>
              </w:rPr>
              <w:t>89.781</w:t>
            </w:r>
          </w:p>
        </w:tc>
        <w:tc>
          <w:tcPr>
            <w:tcW w:w="1451" w:type="dxa"/>
            <w:vAlign w:val="bottom"/>
          </w:tcPr>
          <w:p w14:paraId="143072BA" w14:textId="77777777" w:rsidR="0010523F" w:rsidRPr="0010523F" w:rsidRDefault="0010523F" w:rsidP="0010523F">
            <w:pPr>
              <w:tabs>
                <w:tab w:val="decimal" w:pos="862"/>
              </w:tabs>
              <w:autoSpaceDE w:val="0"/>
              <w:autoSpaceDN w:val="0"/>
              <w:adjustRightInd w:val="0"/>
              <w:ind w:right="176"/>
              <w:jc w:val="right"/>
              <w:rPr>
                <w:highlight w:val="yellow"/>
                <w:lang w:val="es-AR"/>
              </w:rPr>
            </w:pPr>
            <w:r w:rsidRPr="0010523F">
              <w:rPr>
                <w:lang w:val="es-AR"/>
              </w:rPr>
              <w:t>124.543</w:t>
            </w:r>
          </w:p>
        </w:tc>
        <w:tc>
          <w:tcPr>
            <w:tcW w:w="1419" w:type="dxa"/>
            <w:vAlign w:val="bottom"/>
          </w:tcPr>
          <w:p w14:paraId="21ADFCF9" w14:textId="77777777" w:rsidR="0010523F" w:rsidRPr="0010523F" w:rsidRDefault="0010523F" w:rsidP="0010523F">
            <w:pPr>
              <w:autoSpaceDE w:val="0"/>
              <w:autoSpaceDN w:val="0"/>
              <w:adjustRightInd w:val="0"/>
              <w:ind w:right="175"/>
              <w:jc w:val="right"/>
              <w:rPr>
                <w:lang w:val="es-AR"/>
              </w:rPr>
            </w:pPr>
            <w:r w:rsidRPr="0010523F">
              <w:rPr>
                <w:lang w:val="es-AR"/>
              </w:rPr>
              <w:t>87.410</w:t>
            </w:r>
          </w:p>
        </w:tc>
      </w:tr>
    </w:tbl>
    <w:p w14:paraId="54EFAD67" w14:textId="77777777" w:rsidR="0010523F" w:rsidRPr="0010523F" w:rsidRDefault="0010523F" w:rsidP="0010523F">
      <w:pPr>
        <w:spacing w:line="220" w:lineRule="exact"/>
        <w:jc w:val="center"/>
        <w:rPr>
          <w:lang w:val="es-AR" w:eastAsia="en-US"/>
        </w:rPr>
      </w:pPr>
    </w:p>
    <w:p w14:paraId="09DC3CA3" w14:textId="77777777" w:rsidR="0010523F" w:rsidRPr="0010523F" w:rsidRDefault="0010523F" w:rsidP="0010523F">
      <w:pPr>
        <w:tabs>
          <w:tab w:val="right" w:pos="2643"/>
        </w:tabs>
        <w:spacing w:line="220" w:lineRule="exact"/>
        <w:ind w:left="284" w:hanging="284"/>
        <w:jc w:val="both"/>
        <w:rPr>
          <w:sz w:val="20"/>
          <w:szCs w:val="20"/>
          <w:lang w:val="es-AR" w:eastAsia="en-US"/>
        </w:rPr>
      </w:pPr>
      <w:r w:rsidRPr="0010523F">
        <w:rPr>
          <w:sz w:val="20"/>
          <w:szCs w:val="20"/>
          <w:lang w:val="es-AR" w:eastAsia="en-US"/>
        </w:rPr>
        <w:t>(2)</w:t>
      </w:r>
      <w:r w:rsidRPr="0010523F">
        <w:rPr>
          <w:sz w:val="20"/>
          <w:szCs w:val="20"/>
          <w:lang w:val="es-AR" w:eastAsia="en-US"/>
        </w:rPr>
        <w:tab/>
        <w:t>Su valor razonable fue estimado considerando precios de cotización para ciertas Obligaciones negociables y flujos futuros de fondos descontados a tasas de interés estimadas por la Sucursal a partir de datos del mercado.</w:t>
      </w:r>
    </w:p>
    <w:p w14:paraId="610EE220" w14:textId="77777777" w:rsidR="0010523F" w:rsidRPr="0010523F" w:rsidRDefault="0010523F" w:rsidP="0010523F">
      <w:pPr>
        <w:tabs>
          <w:tab w:val="right" w:pos="2643"/>
        </w:tabs>
        <w:spacing w:line="220" w:lineRule="exact"/>
        <w:ind w:left="284" w:hanging="284"/>
        <w:jc w:val="both"/>
        <w:rPr>
          <w:sz w:val="20"/>
          <w:szCs w:val="20"/>
          <w:lang w:val="es-AR" w:eastAsia="en-US"/>
        </w:rPr>
      </w:pPr>
    </w:p>
    <w:p w14:paraId="1305C636" w14:textId="77777777" w:rsidR="0010523F" w:rsidRPr="0010523F" w:rsidRDefault="0010523F" w:rsidP="0010523F">
      <w:pPr>
        <w:jc w:val="both"/>
        <w:textAlignment w:val="baseline"/>
        <w:rPr>
          <w:lang w:val="es-AR" w:eastAsia="es-AR"/>
        </w:rPr>
      </w:pPr>
      <w:r w:rsidRPr="0010523F">
        <w:rPr>
          <w:lang w:val="es-AR" w:eastAsia="es-AR"/>
        </w:rPr>
        <w:t>C</w:t>
      </w:r>
      <w:r w:rsidRPr="0010523F">
        <w:rPr>
          <w:lang w:val="es-AR" w:eastAsia="en-US"/>
        </w:rPr>
        <w:t xml:space="preserve">on el objeto de mitigar el riesgo de fluctuación en la tasa de interés variable del préstamo bancario de largo plazo otorgado por la Corporación Financiera Internacional (International Finance Corporation) </w:t>
      </w:r>
      <w:r w:rsidRPr="0010523F">
        <w:rPr>
          <w:lang w:val="es-AR" w:eastAsia="es-AR"/>
        </w:rPr>
        <w:t>(“IFC”)</w:t>
      </w:r>
      <w:r w:rsidRPr="0010523F">
        <w:rPr>
          <w:lang w:val="es-AR" w:eastAsia="en-US"/>
        </w:rPr>
        <w:t>, oportunamente se celebraron 13 contratos con cuatro entidades bancarias del exterior (Citibank N.A., J.P. Morgan Chase N.A., Goldman Sachs Bank USA y Banco Santander S.A. - Madrid) que le pone un techo a la tasa variable acordada. Dichos contratos de instrumentos derivados asumidos por la Sucursal (al igual que el préstamo con IFC), como consecuencia de la TFC mencionada en la Nota 1, han sido clasificados para aplicar contabilidad de cobertura. Los contratos expiran escalonadamente a partir del 15 de octubre de 2018 hasta el 15 de octubre de 2021, con el esquema de amortización del mencionado préstamo</w:t>
      </w:r>
      <w:r w:rsidRPr="0010523F">
        <w:rPr>
          <w:lang w:val="es-AR" w:eastAsia="es-AR"/>
        </w:rPr>
        <w:t>.</w:t>
      </w:r>
    </w:p>
    <w:p w14:paraId="5F91BE43" w14:textId="77777777" w:rsidR="0010523F" w:rsidRPr="0010523F" w:rsidRDefault="0010523F" w:rsidP="0010523F">
      <w:pPr>
        <w:tabs>
          <w:tab w:val="center" w:pos="7293"/>
          <w:tab w:val="center" w:pos="8973"/>
        </w:tabs>
        <w:spacing w:line="160" w:lineRule="exact"/>
        <w:jc w:val="both"/>
        <w:rPr>
          <w:szCs w:val="20"/>
          <w:lang w:val="es-AR" w:eastAsia="en-US"/>
        </w:rPr>
      </w:pPr>
    </w:p>
    <w:p w14:paraId="753CF677" w14:textId="77777777" w:rsidR="0010523F" w:rsidRPr="0010523F" w:rsidRDefault="0010523F" w:rsidP="0010523F">
      <w:pPr>
        <w:tabs>
          <w:tab w:val="center" w:pos="7293"/>
          <w:tab w:val="center" w:pos="8973"/>
        </w:tabs>
        <w:jc w:val="both"/>
        <w:rPr>
          <w:lang w:val="es-AR" w:eastAsia="en-US"/>
        </w:rPr>
      </w:pPr>
      <w:r w:rsidRPr="0010523F">
        <w:rPr>
          <w:lang w:val="es-AR" w:eastAsia="en-US"/>
        </w:rPr>
        <w:t>Los contratos celebrados, denominados</w:t>
      </w:r>
      <w:r w:rsidRPr="0010523F">
        <w:rPr>
          <w:b/>
          <w:lang w:val="es-AR" w:eastAsia="en-US"/>
        </w:rPr>
        <w:t xml:space="preserve"> </w:t>
      </w:r>
      <w:r w:rsidRPr="0010523F">
        <w:rPr>
          <w:lang w:val="es-AR" w:eastAsia="en-US"/>
        </w:rPr>
        <w:t>Cap (techo) de Tasa de Interés, son un tipo de opción donde la Sucursal recibirá intereses equivalentes al exceso sobre el valor de la tasa LIBOR</w:t>
      </w:r>
      <w:r w:rsidRPr="0010523F">
        <w:rPr>
          <w:rFonts w:eastAsia="Calibri"/>
          <w:lang w:val="es-AR" w:eastAsia="en-US"/>
        </w:rPr>
        <w:t> si la tasa LIBOR de 6 meses es superior a</w:t>
      </w:r>
      <w:r w:rsidRPr="0010523F">
        <w:rPr>
          <w:lang w:val="es-AR" w:eastAsia="en-US"/>
        </w:rPr>
        <w:t xml:space="preserve"> 2,50%. A la fecha de vencimiento la Sucursal no intercambiará nocionales.</w:t>
      </w:r>
    </w:p>
    <w:p w14:paraId="3EC8232C" w14:textId="77777777" w:rsidR="0010523F" w:rsidRPr="0010523F" w:rsidRDefault="0010523F" w:rsidP="0010523F">
      <w:pPr>
        <w:tabs>
          <w:tab w:val="center" w:pos="7293"/>
          <w:tab w:val="center" w:pos="8973"/>
        </w:tabs>
        <w:spacing w:line="160" w:lineRule="exact"/>
        <w:jc w:val="both"/>
        <w:rPr>
          <w:lang w:val="es-AR" w:eastAsia="en-US"/>
        </w:rPr>
      </w:pPr>
    </w:p>
    <w:tbl>
      <w:tblPr>
        <w:tblW w:w="9656" w:type="dxa"/>
        <w:tblInd w:w="55" w:type="dxa"/>
        <w:tblCellMar>
          <w:left w:w="70" w:type="dxa"/>
          <w:right w:w="70" w:type="dxa"/>
        </w:tblCellMar>
        <w:tblLook w:val="04A0" w:firstRow="1" w:lastRow="0" w:firstColumn="1" w:lastColumn="0" w:noHBand="0" w:noVBand="1"/>
      </w:tblPr>
      <w:tblGrid>
        <w:gridCol w:w="2355"/>
        <w:gridCol w:w="1276"/>
        <w:gridCol w:w="1417"/>
        <w:gridCol w:w="2368"/>
        <w:gridCol w:w="2240"/>
      </w:tblGrid>
      <w:tr w:rsidR="0010523F" w:rsidRPr="0010523F" w14:paraId="6232C98C" w14:textId="77777777" w:rsidTr="00774E7E">
        <w:trPr>
          <w:trHeight w:val="645"/>
        </w:trPr>
        <w:tc>
          <w:tcPr>
            <w:tcW w:w="2355" w:type="dxa"/>
            <w:tcBorders>
              <w:top w:val="single" w:sz="8" w:space="0" w:color="000000"/>
              <w:left w:val="nil"/>
              <w:bottom w:val="single" w:sz="8" w:space="0" w:color="auto"/>
              <w:right w:val="nil"/>
            </w:tcBorders>
            <w:shd w:val="clear" w:color="auto" w:fill="auto"/>
            <w:vAlign w:val="center"/>
            <w:hideMark/>
          </w:tcPr>
          <w:p w14:paraId="1EFA3736" w14:textId="77777777" w:rsidR="0010523F" w:rsidRPr="0010523F" w:rsidRDefault="0010523F" w:rsidP="0010523F">
            <w:pPr>
              <w:jc w:val="center"/>
              <w:rPr>
                <w:b/>
                <w:bCs/>
                <w:color w:val="000000"/>
                <w:lang w:val="es-AR" w:eastAsia="es-AR"/>
              </w:rPr>
            </w:pPr>
            <w:bookmarkStart w:id="166" w:name="_Hlk23519585"/>
            <w:r w:rsidRPr="0010523F">
              <w:rPr>
                <w:b/>
                <w:bCs/>
                <w:color w:val="000000"/>
                <w:lang w:val="es-AR" w:eastAsia="es-AR"/>
              </w:rPr>
              <w:t>Monto nocional (en millones de US$)</w:t>
            </w:r>
          </w:p>
        </w:tc>
        <w:tc>
          <w:tcPr>
            <w:tcW w:w="1276" w:type="dxa"/>
            <w:tcBorders>
              <w:top w:val="single" w:sz="8" w:space="0" w:color="000000"/>
              <w:left w:val="nil"/>
              <w:bottom w:val="single" w:sz="8" w:space="0" w:color="auto"/>
              <w:right w:val="nil"/>
            </w:tcBorders>
            <w:shd w:val="clear" w:color="auto" w:fill="auto"/>
            <w:vAlign w:val="center"/>
            <w:hideMark/>
          </w:tcPr>
          <w:p w14:paraId="0024DF7F" w14:textId="77777777" w:rsidR="0010523F" w:rsidRPr="0010523F" w:rsidRDefault="0010523F" w:rsidP="0010523F">
            <w:pPr>
              <w:jc w:val="center"/>
              <w:rPr>
                <w:b/>
                <w:bCs/>
                <w:color w:val="000000"/>
                <w:lang w:val="es-AR" w:eastAsia="es-AR"/>
              </w:rPr>
            </w:pPr>
            <w:r w:rsidRPr="0010523F">
              <w:rPr>
                <w:b/>
                <w:bCs/>
                <w:color w:val="000000"/>
                <w:lang w:val="es-AR" w:eastAsia="es-AR"/>
              </w:rPr>
              <w:t>Fecha de inicio</w:t>
            </w:r>
          </w:p>
        </w:tc>
        <w:tc>
          <w:tcPr>
            <w:tcW w:w="1417" w:type="dxa"/>
            <w:tcBorders>
              <w:top w:val="single" w:sz="8" w:space="0" w:color="000000"/>
              <w:left w:val="nil"/>
              <w:bottom w:val="single" w:sz="8" w:space="0" w:color="auto"/>
              <w:right w:val="nil"/>
            </w:tcBorders>
            <w:shd w:val="clear" w:color="auto" w:fill="auto"/>
            <w:vAlign w:val="center"/>
            <w:hideMark/>
          </w:tcPr>
          <w:p w14:paraId="219ECC8D" w14:textId="77777777" w:rsidR="0010523F" w:rsidRPr="0010523F" w:rsidRDefault="0010523F" w:rsidP="0010523F">
            <w:pPr>
              <w:jc w:val="center"/>
              <w:rPr>
                <w:b/>
                <w:bCs/>
                <w:color w:val="000000"/>
                <w:lang w:val="es-AR" w:eastAsia="es-AR"/>
              </w:rPr>
            </w:pPr>
            <w:r w:rsidRPr="0010523F">
              <w:rPr>
                <w:b/>
                <w:bCs/>
                <w:color w:val="000000"/>
                <w:lang w:val="es-AR" w:eastAsia="es-AR"/>
              </w:rPr>
              <w:t>Fecha de vencimiento</w:t>
            </w:r>
          </w:p>
        </w:tc>
        <w:tc>
          <w:tcPr>
            <w:tcW w:w="2368" w:type="dxa"/>
            <w:tcBorders>
              <w:top w:val="single" w:sz="8" w:space="0" w:color="000000"/>
              <w:left w:val="nil"/>
              <w:bottom w:val="single" w:sz="8" w:space="0" w:color="auto"/>
              <w:right w:val="nil"/>
            </w:tcBorders>
            <w:shd w:val="clear" w:color="auto" w:fill="auto"/>
            <w:vAlign w:val="center"/>
            <w:hideMark/>
          </w:tcPr>
          <w:p w14:paraId="641A06A7" w14:textId="77777777" w:rsidR="0010523F" w:rsidRPr="0010523F" w:rsidRDefault="0010523F" w:rsidP="0010523F">
            <w:pPr>
              <w:jc w:val="center"/>
              <w:rPr>
                <w:b/>
                <w:bCs/>
                <w:color w:val="000000"/>
                <w:lang w:val="es-AR" w:eastAsia="es-AR"/>
              </w:rPr>
            </w:pPr>
            <w:r w:rsidRPr="0010523F">
              <w:rPr>
                <w:b/>
                <w:bCs/>
                <w:color w:val="000000"/>
                <w:lang w:val="es-AR" w:eastAsia="es-AR"/>
              </w:rPr>
              <w:t>Tasa de interés</w:t>
            </w:r>
          </w:p>
        </w:tc>
        <w:tc>
          <w:tcPr>
            <w:tcW w:w="2240" w:type="dxa"/>
            <w:tcBorders>
              <w:top w:val="single" w:sz="8" w:space="0" w:color="000000"/>
              <w:left w:val="nil"/>
              <w:bottom w:val="single" w:sz="8" w:space="0" w:color="auto"/>
              <w:right w:val="nil"/>
            </w:tcBorders>
            <w:shd w:val="clear" w:color="auto" w:fill="auto"/>
            <w:vAlign w:val="center"/>
            <w:hideMark/>
          </w:tcPr>
          <w:p w14:paraId="557E1D31" w14:textId="77777777" w:rsidR="0010523F" w:rsidRPr="0010523F" w:rsidRDefault="0010523F" w:rsidP="0010523F">
            <w:pPr>
              <w:jc w:val="center"/>
              <w:rPr>
                <w:b/>
                <w:bCs/>
                <w:color w:val="000000"/>
                <w:lang w:val="es-AR" w:eastAsia="es-AR"/>
              </w:rPr>
            </w:pPr>
            <w:r w:rsidRPr="0010523F">
              <w:rPr>
                <w:b/>
                <w:bCs/>
                <w:color w:val="000000"/>
                <w:lang w:val="es-AR" w:eastAsia="es-AR"/>
              </w:rPr>
              <w:t>Valor razonable (en millones de US$)</w:t>
            </w:r>
          </w:p>
        </w:tc>
      </w:tr>
      <w:tr w:rsidR="0010523F" w:rsidRPr="0010523F" w14:paraId="4EC7A0BD" w14:textId="77777777" w:rsidTr="00774E7E">
        <w:trPr>
          <w:trHeight w:val="315"/>
        </w:trPr>
        <w:tc>
          <w:tcPr>
            <w:tcW w:w="2355" w:type="dxa"/>
            <w:tcBorders>
              <w:top w:val="nil"/>
              <w:left w:val="nil"/>
              <w:bottom w:val="nil"/>
              <w:right w:val="nil"/>
            </w:tcBorders>
            <w:shd w:val="clear" w:color="auto" w:fill="auto"/>
            <w:noWrap/>
            <w:vAlign w:val="bottom"/>
            <w:hideMark/>
          </w:tcPr>
          <w:p w14:paraId="516AFD83" w14:textId="77777777" w:rsidR="0010523F" w:rsidRPr="0010523F" w:rsidRDefault="0010523F" w:rsidP="0010523F">
            <w:pPr>
              <w:jc w:val="center"/>
              <w:rPr>
                <w:color w:val="000000"/>
                <w:lang w:val="es-AR" w:eastAsia="es-AR"/>
              </w:rPr>
            </w:pPr>
            <w:r w:rsidRPr="0010523F">
              <w:rPr>
                <w:color w:val="000000"/>
                <w:lang w:val="es-AR" w:eastAsia="es-AR"/>
              </w:rPr>
              <w:t>311</w:t>
            </w:r>
          </w:p>
        </w:tc>
        <w:tc>
          <w:tcPr>
            <w:tcW w:w="1276" w:type="dxa"/>
            <w:tcBorders>
              <w:top w:val="nil"/>
              <w:left w:val="nil"/>
              <w:bottom w:val="nil"/>
              <w:right w:val="nil"/>
            </w:tcBorders>
            <w:shd w:val="clear" w:color="auto" w:fill="auto"/>
            <w:noWrap/>
            <w:vAlign w:val="bottom"/>
            <w:hideMark/>
          </w:tcPr>
          <w:p w14:paraId="108C7BE2" w14:textId="77777777" w:rsidR="0010523F" w:rsidRPr="0010523F" w:rsidRDefault="0010523F" w:rsidP="0010523F">
            <w:pPr>
              <w:jc w:val="center"/>
              <w:rPr>
                <w:color w:val="000000"/>
                <w:lang w:val="es-AR" w:eastAsia="es-AR"/>
              </w:rPr>
            </w:pPr>
            <w:r w:rsidRPr="0010523F">
              <w:rPr>
                <w:color w:val="000000"/>
                <w:lang w:val="es-AR" w:eastAsia="es-AR"/>
              </w:rPr>
              <w:t>15/04/2019</w:t>
            </w:r>
          </w:p>
        </w:tc>
        <w:tc>
          <w:tcPr>
            <w:tcW w:w="1417" w:type="dxa"/>
            <w:tcBorders>
              <w:top w:val="nil"/>
              <w:left w:val="nil"/>
              <w:bottom w:val="nil"/>
              <w:right w:val="nil"/>
            </w:tcBorders>
            <w:shd w:val="clear" w:color="auto" w:fill="auto"/>
            <w:noWrap/>
            <w:vAlign w:val="bottom"/>
            <w:hideMark/>
          </w:tcPr>
          <w:p w14:paraId="78795927" w14:textId="77777777" w:rsidR="0010523F" w:rsidRPr="0010523F" w:rsidRDefault="0010523F" w:rsidP="0010523F">
            <w:pPr>
              <w:jc w:val="center"/>
              <w:rPr>
                <w:color w:val="000000"/>
                <w:lang w:val="es-AR" w:eastAsia="es-AR"/>
              </w:rPr>
            </w:pPr>
            <w:r w:rsidRPr="0010523F">
              <w:rPr>
                <w:color w:val="000000"/>
                <w:lang w:val="es-AR" w:eastAsia="es-AR"/>
              </w:rPr>
              <w:t>15/10/2021</w:t>
            </w:r>
          </w:p>
        </w:tc>
        <w:tc>
          <w:tcPr>
            <w:tcW w:w="2368" w:type="dxa"/>
            <w:tcBorders>
              <w:top w:val="nil"/>
              <w:left w:val="nil"/>
              <w:bottom w:val="nil"/>
              <w:right w:val="nil"/>
            </w:tcBorders>
            <w:shd w:val="clear" w:color="auto" w:fill="auto"/>
            <w:noWrap/>
            <w:vAlign w:val="bottom"/>
            <w:hideMark/>
          </w:tcPr>
          <w:p w14:paraId="625E1504" w14:textId="77777777" w:rsidR="0010523F" w:rsidRPr="0010523F" w:rsidRDefault="0010523F" w:rsidP="0010523F">
            <w:pPr>
              <w:jc w:val="center"/>
              <w:rPr>
                <w:color w:val="000000"/>
                <w:highlight w:val="yellow"/>
                <w:lang w:val="es-AR" w:eastAsia="es-AR"/>
              </w:rPr>
            </w:pPr>
            <w:r w:rsidRPr="0010523F">
              <w:rPr>
                <w:color w:val="000000"/>
                <w:lang w:val="es-AR" w:eastAsia="es-AR"/>
              </w:rPr>
              <w:t>Libor 6 meses &gt; 2,5%</w:t>
            </w:r>
          </w:p>
        </w:tc>
        <w:tc>
          <w:tcPr>
            <w:tcW w:w="2240" w:type="dxa"/>
            <w:tcBorders>
              <w:top w:val="nil"/>
              <w:left w:val="nil"/>
              <w:bottom w:val="nil"/>
              <w:right w:val="nil"/>
            </w:tcBorders>
            <w:shd w:val="clear" w:color="auto" w:fill="auto"/>
            <w:noWrap/>
            <w:vAlign w:val="bottom"/>
            <w:hideMark/>
          </w:tcPr>
          <w:p w14:paraId="4E59315D" w14:textId="77777777" w:rsidR="0010523F" w:rsidRPr="0010523F" w:rsidRDefault="0010523F" w:rsidP="0010523F">
            <w:pPr>
              <w:jc w:val="center"/>
              <w:rPr>
                <w:color w:val="000000"/>
                <w:highlight w:val="yellow"/>
                <w:lang w:val="es-AR" w:eastAsia="es-AR"/>
              </w:rPr>
            </w:pPr>
            <w:r w:rsidRPr="0010523F">
              <w:rPr>
                <w:color w:val="000000"/>
                <w:lang w:val="es-AR" w:eastAsia="es-AR"/>
              </w:rPr>
              <w:t>0,28</w:t>
            </w:r>
          </w:p>
        </w:tc>
      </w:tr>
    </w:tbl>
    <w:p w14:paraId="5B6E5856" w14:textId="77777777" w:rsidR="0010523F" w:rsidRPr="0010523F" w:rsidRDefault="0010523F" w:rsidP="0010523F">
      <w:pPr>
        <w:spacing w:line="180" w:lineRule="exact"/>
        <w:jc w:val="both"/>
        <w:textAlignment w:val="baseline"/>
        <w:rPr>
          <w:lang w:val="es-AR" w:eastAsia="es-AR"/>
        </w:rPr>
      </w:pPr>
    </w:p>
    <w:p w14:paraId="333FC7BD" w14:textId="77777777" w:rsidR="0010523F" w:rsidRPr="0010523F" w:rsidRDefault="0010523F" w:rsidP="0010523F">
      <w:pPr>
        <w:jc w:val="both"/>
        <w:rPr>
          <w:lang w:val="es-AR" w:eastAsia="en-US"/>
        </w:rPr>
      </w:pPr>
      <w:r w:rsidRPr="0010523F">
        <w:rPr>
          <w:lang w:val="es-AR" w:eastAsia="en-US"/>
        </w:rPr>
        <w:t>El valor razonable de dichos contratos al 30 de septiembre de 2019 asciende a US$ 0,28 millones equivalentes a 16 (ver</w:t>
      </w:r>
      <w:r w:rsidRPr="0010523F">
        <w:rPr>
          <w:rFonts w:eastAsia="Calibri"/>
          <w:lang w:val="es-AR" w:eastAsia="en-US"/>
        </w:rPr>
        <w:t> </w:t>
      </w:r>
      <w:r w:rsidRPr="0010523F">
        <w:rPr>
          <w:bdr w:val="none" w:sz="0" w:space="0" w:color="auto" w:frame="1"/>
          <w:lang w:val="es-AR" w:eastAsia="en-US"/>
        </w:rPr>
        <w:t>Nota 3.e) Otros créditos no corrientes y corrientes</w:t>
      </w:r>
      <w:r w:rsidRPr="0010523F">
        <w:rPr>
          <w:lang w:val="es-AR" w:eastAsia="en-US"/>
        </w:rPr>
        <w:t xml:space="preserve">). La variación en el valor razonable de los instrumentos financieros durante el período se ha reconocido dentro de Otro resultado integral dado que la Sucursal ha contabilizado esta transacción bajo contabilidad de cobertura de flujo de efectivo, habiendo evaluado la eficacia de la cobertura como altamente efectiva. </w:t>
      </w:r>
    </w:p>
    <w:bookmarkEnd w:id="166"/>
    <w:p w14:paraId="30DE781A" w14:textId="77777777" w:rsidR="0010523F" w:rsidRPr="0010523F" w:rsidRDefault="0010523F" w:rsidP="0010523F">
      <w:pPr>
        <w:tabs>
          <w:tab w:val="center" w:pos="7293"/>
          <w:tab w:val="center" w:pos="8973"/>
        </w:tabs>
        <w:spacing w:line="160" w:lineRule="exact"/>
        <w:jc w:val="both"/>
        <w:rPr>
          <w:szCs w:val="20"/>
          <w:lang w:val="es-AR" w:eastAsia="en-US"/>
        </w:rPr>
      </w:pPr>
    </w:p>
    <w:p w14:paraId="61B23A23" w14:textId="77777777" w:rsidR="0010523F" w:rsidRPr="0010523F" w:rsidRDefault="0010523F" w:rsidP="0010523F">
      <w:pPr>
        <w:jc w:val="both"/>
        <w:textAlignment w:val="baseline"/>
        <w:rPr>
          <w:lang w:val="es-AR" w:eastAsia="es-AR"/>
        </w:rPr>
      </w:pPr>
    </w:p>
    <w:p w14:paraId="0D6D2F81" w14:textId="77777777" w:rsidR="0010523F" w:rsidRPr="0010523F" w:rsidRDefault="0010523F" w:rsidP="0010523F">
      <w:pPr>
        <w:rPr>
          <w:b/>
          <w:lang w:val="es-AR" w:eastAsia="en-US"/>
        </w:rPr>
      </w:pPr>
      <w:r w:rsidRPr="0010523F">
        <w:rPr>
          <w:b/>
          <w:lang w:val="es-AR" w:eastAsia="en-US"/>
        </w:rPr>
        <w:br w:type="page"/>
      </w:r>
    </w:p>
    <w:p w14:paraId="30C412B9" w14:textId="77777777" w:rsidR="0010523F" w:rsidRPr="0010523F" w:rsidRDefault="0010523F" w:rsidP="0010523F">
      <w:pPr>
        <w:rPr>
          <w:b/>
          <w:lang w:val="es-AR" w:eastAsia="en-US"/>
        </w:rPr>
      </w:pPr>
      <w:r w:rsidRPr="0010523F">
        <w:rPr>
          <w:b/>
          <w:lang w:val="es-AR" w:eastAsia="en-US"/>
        </w:rPr>
        <w:t>NOTA 6 - INSTRUMENTOS FINANCIEROS (cont.)</w:t>
      </w:r>
    </w:p>
    <w:p w14:paraId="6D0F1926" w14:textId="77777777" w:rsidR="0010523F" w:rsidRPr="0010523F" w:rsidRDefault="0010523F" w:rsidP="0010523F">
      <w:pPr>
        <w:jc w:val="both"/>
        <w:textAlignment w:val="baseline"/>
        <w:rPr>
          <w:sz w:val="16"/>
          <w:lang w:val="es-AR" w:eastAsia="es-AR"/>
        </w:rPr>
      </w:pPr>
    </w:p>
    <w:p w14:paraId="7744ADC1" w14:textId="77777777" w:rsidR="0010523F" w:rsidRPr="0010523F" w:rsidRDefault="0010523F" w:rsidP="0010523F">
      <w:pPr>
        <w:jc w:val="both"/>
        <w:textAlignment w:val="baseline"/>
        <w:rPr>
          <w:lang w:val="es-AR" w:eastAsia="es-AR"/>
        </w:rPr>
      </w:pPr>
      <w:r w:rsidRPr="0010523F">
        <w:rPr>
          <w:lang w:val="es-AR" w:eastAsia="es-AR"/>
        </w:rPr>
        <w:t>Para la evaluación de la efectividad de la cobertura, se consideraron los montos nocionales, fechas de pago y de determinación de tasas, los calendarios de amortización y las tasas de referencias tanto del préstamo como de los contratos de cobertura firmados, entendiendo la misma como altamente efectiva.</w:t>
      </w:r>
    </w:p>
    <w:p w14:paraId="20CAB522" w14:textId="77777777" w:rsidR="0010523F" w:rsidRPr="0010523F" w:rsidRDefault="0010523F" w:rsidP="0010523F">
      <w:pPr>
        <w:tabs>
          <w:tab w:val="center" w:pos="7293"/>
          <w:tab w:val="center" w:pos="8973"/>
        </w:tabs>
        <w:spacing w:line="160" w:lineRule="exact"/>
        <w:jc w:val="both"/>
        <w:rPr>
          <w:szCs w:val="20"/>
          <w:lang w:val="es-AR" w:eastAsia="en-US"/>
        </w:rPr>
      </w:pPr>
    </w:p>
    <w:p w14:paraId="1B93A21C" w14:textId="77777777" w:rsidR="0010523F" w:rsidRPr="0010523F" w:rsidRDefault="0010523F" w:rsidP="0010523F">
      <w:pPr>
        <w:jc w:val="both"/>
        <w:textAlignment w:val="baseline"/>
        <w:rPr>
          <w:lang w:val="es-AR" w:eastAsia="es-AR"/>
        </w:rPr>
      </w:pPr>
      <w:r w:rsidRPr="0010523F">
        <w:rPr>
          <w:lang w:val="es-AR" w:eastAsia="es-AR"/>
        </w:rPr>
        <w:t>Para calcular el valor razonable de los contratos mencionados, se ha utilizado el método o ecuación de Black &amp; Scholes, cuyos parámetros consisten principalmente en: (i) estructura de tasas de interés al momento de la celebración del contrato; (ii) precio de ejercicio del contrato en cuestión; (iii) tiempo de expiración del contrato; (iv) volatilidad de la tasa de interés. Este método se encuentra estandarizado en diversas aplicaciones financieras de amplio uso por parte de instituciones financieras y empresas.</w:t>
      </w:r>
    </w:p>
    <w:p w14:paraId="09BECDF6" w14:textId="77777777" w:rsidR="0010523F" w:rsidRPr="0010523F" w:rsidDel="00927BFB" w:rsidRDefault="0010523F" w:rsidP="0010523F">
      <w:pPr>
        <w:tabs>
          <w:tab w:val="center" w:pos="7293"/>
          <w:tab w:val="center" w:pos="8973"/>
        </w:tabs>
        <w:spacing w:line="160" w:lineRule="exact"/>
        <w:jc w:val="both"/>
        <w:rPr>
          <w:szCs w:val="20"/>
          <w:lang w:val="es-AR" w:eastAsia="en-US"/>
        </w:rPr>
      </w:pPr>
    </w:p>
    <w:p w14:paraId="77F01C46" w14:textId="77777777" w:rsidR="0010523F" w:rsidRPr="0010523F" w:rsidRDefault="0010523F" w:rsidP="0010523F">
      <w:pPr>
        <w:jc w:val="both"/>
        <w:textAlignment w:val="baseline"/>
        <w:rPr>
          <w:lang w:val="es-AR" w:eastAsia="es-AR"/>
        </w:rPr>
      </w:pPr>
      <w:r w:rsidRPr="0010523F">
        <w:rPr>
          <w:lang w:val="es-AR" w:eastAsia="es-AR"/>
        </w:rPr>
        <w:t>Esta medida de valor razonable ha sido identificada de nivel 3.</w:t>
      </w:r>
    </w:p>
    <w:p w14:paraId="51799553" w14:textId="77777777" w:rsidR="0010523F" w:rsidRPr="0010523F" w:rsidRDefault="0010523F" w:rsidP="0010523F">
      <w:pPr>
        <w:tabs>
          <w:tab w:val="center" w:pos="7293"/>
          <w:tab w:val="center" w:pos="8973"/>
        </w:tabs>
        <w:spacing w:line="160" w:lineRule="exact"/>
        <w:jc w:val="both"/>
        <w:rPr>
          <w:lang w:val="es-AR" w:eastAsia="en-US"/>
        </w:rPr>
      </w:pPr>
    </w:p>
    <w:p w14:paraId="40628092"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NOTA 7 - DEUDA FINANCIERA</w:t>
      </w:r>
    </w:p>
    <w:p w14:paraId="1DEB3EB4" w14:textId="77777777" w:rsidR="0010523F" w:rsidRPr="0010523F" w:rsidRDefault="0010523F" w:rsidP="0010523F">
      <w:pPr>
        <w:spacing w:line="180" w:lineRule="exact"/>
        <w:rPr>
          <w:lang w:val="es-AR" w:eastAsia="en-US"/>
        </w:rPr>
      </w:pPr>
    </w:p>
    <w:p w14:paraId="64D134D0" w14:textId="77777777" w:rsidR="0010523F" w:rsidRPr="0010523F" w:rsidRDefault="0010523F" w:rsidP="0010523F">
      <w:pPr>
        <w:keepNext/>
        <w:spacing w:line="220" w:lineRule="exact"/>
        <w:jc w:val="both"/>
        <w:outlineLvl w:val="1"/>
        <w:rPr>
          <w:szCs w:val="20"/>
          <w:u w:val="single"/>
          <w:lang w:val="es-AR" w:eastAsia="en-US"/>
        </w:rPr>
      </w:pPr>
      <w:r w:rsidRPr="0010523F">
        <w:rPr>
          <w:szCs w:val="20"/>
          <w:u w:val="single"/>
          <w:lang w:val="es-AR" w:eastAsia="en-US"/>
        </w:rPr>
        <w:t xml:space="preserve">7.1 Préstamos </w:t>
      </w:r>
    </w:p>
    <w:p w14:paraId="48E3FCF5" w14:textId="77777777" w:rsidR="0010523F" w:rsidRPr="0010523F" w:rsidRDefault="0010523F" w:rsidP="0010523F">
      <w:pPr>
        <w:spacing w:line="200" w:lineRule="exact"/>
        <w:jc w:val="both"/>
        <w:rPr>
          <w:lang w:val="es-AR" w:eastAsia="en-US"/>
        </w:rPr>
      </w:pPr>
    </w:p>
    <w:p w14:paraId="6D6C2455" w14:textId="77777777" w:rsidR="0010523F" w:rsidRPr="0010523F" w:rsidRDefault="0010523F" w:rsidP="0010523F">
      <w:pPr>
        <w:tabs>
          <w:tab w:val="right" w:pos="2643"/>
        </w:tabs>
        <w:jc w:val="both"/>
        <w:rPr>
          <w:lang w:val="es-AR" w:eastAsia="en-US"/>
        </w:rPr>
      </w:pPr>
      <w:r w:rsidRPr="0010523F">
        <w:rPr>
          <w:lang w:val="es-AR" w:eastAsia="en-US"/>
        </w:rPr>
        <w:t>En relación a los préstamos de largo plazo en el período de nueve meses finalizado el 30 de septiembre de 2019, la Sucursal pagó cuotas de capital a su vencimiento por 11.988 y tomó nueva deuda por 12.684.</w:t>
      </w:r>
      <w:r w:rsidRPr="0010523F" w:rsidDel="00340946">
        <w:rPr>
          <w:lang w:val="es-AR" w:eastAsia="en-US"/>
        </w:rPr>
        <w:t xml:space="preserve"> </w:t>
      </w:r>
    </w:p>
    <w:p w14:paraId="68BACF35" w14:textId="77777777" w:rsidR="0010523F" w:rsidRPr="0010523F" w:rsidRDefault="0010523F" w:rsidP="0010523F">
      <w:pPr>
        <w:tabs>
          <w:tab w:val="right" w:pos="2643"/>
        </w:tabs>
        <w:spacing w:line="180" w:lineRule="exact"/>
        <w:jc w:val="both"/>
        <w:rPr>
          <w:sz w:val="16"/>
          <w:lang w:val="es-AR" w:eastAsia="en-US"/>
        </w:rPr>
      </w:pPr>
    </w:p>
    <w:p w14:paraId="61AC07AF" w14:textId="77777777" w:rsidR="0010523F" w:rsidRPr="0010523F" w:rsidRDefault="0010523F" w:rsidP="0010523F">
      <w:pPr>
        <w:tabs>
          <w:tab w:val="right" w:pos="2643"/>
        </w:tabs>
        <w:jc w:val="both"/>
        <w:rPr>
          <w:lang w:val="es-AR" w:eastAsia="en-US"/>
        </w:rPr>
      </w:pPr>
      <w:bookmarkStart w:id="167" w:name="_Hlk15556165"/>
      <w:bookmarkStart w:id="168" w:name="_Hlk15558207"/>
      <w:r w:rsidRPr="0010523F">
        <w:rPr>
          <w:lang w:val="es-AR" w:eastAsia="en-US"/>
        </w:rPr>
        <w:t>Con fecha 15 de enero de 2019, la Sucursal firmó un contrato de préstamo de largo plazo a tasa variable con Natixis, New York Branch por US$ 100 millones, con vencimiento final en 2024.</w:t>
      </w:r>
    </w:p>
    <w:p w14:paraId="1FAF9FD7" w14:textId="77777777" w:rsidR="0010523F" w:rsidRPr="0010523F" w:rsidRDefault="0010523F" w:rsidP="0010523F">
      <w:pPr>
        <w:tabs>
          <w:tab w:val="right" w:pos="2643"/>
        </w:tabs>
        <w:spacing w:line="180" w:lineRule="exact"/>
        <w:jc w:val="both"/>
        <w:rPr>
          <w:sz w:val="16"/>
          <w:lang w:val="es-AR" w:eastAsia="en-US"/>
        </w:rPr>
      </w:pPr>
    </w:p>
    <w:p w14:paraId="2F93B7B9" w14:textId="77777777" w:rsidR="0010523F" w:rsidRPr="0010523F" w:rsidRDefault="0010523F" w:rsidP="0010523F">
      <w:pPr>
        <w:tabs>
          <w:tab w:val="left" w:pos="8222"/>
          <w:tab w:val="decimal" w:pos="8931"/>
        </w:tabs>
        <w:jc w:val="both"/>
        <w:rPr>
          <w:lang w:val="es-AR" w:eastAsia="en-US"/>
        </w:rPr>
      </w:pPr>
      <w:bookmarkStart w:id="169" w:name="_Hlk15654000"/>
      <w:bookmarkEnd w:id="167"/>
      <w:r w:rsidRPr="0010523F">
        <w:rPr>
          <w:lang w:val="es-AR" w:eastAsia="en-US"/>
        </w:rPr>
        <w:t xml:space="preserve">Con fecha 25 de junio de 2019, la Sucursal firmó un contrato de préstamo de largo plazo por </w:t>
      </w:r>
      <w:r w:rsidRPr="0010523F">
        <w:rPr>
          <w:lang w:val="es-AR" w:eastAsia="en-US"/>
        </w:rPr>
        <w:br/>
        <w:t xml:space="preserve">US$ 500 millones, con IFC, con vencimiento final en 2027. Este préstamo, que está garantizado por la Casa Matriz, se destinará a financiar parcialmente el proyecto de ampliación de la Refinería Campana, optimizar la calidad de sus productos y/o realizar inversiones en la red de distribución. </w:t>
      </w:r>
    </w:p>
    <w:p w14:paraId="50FC0C06" w14:textId="77777777" w:rsidR="0010523F" w:rsidRPr="0010523F" w:rsidRDefault="0010523F" w:rsidP="0010523F">
      <w:pPr>
        <w:tabs>
          <w:tab w:val="right" w:pos="2643"/>
        </w:tabs>
        <w:jc w:val="both"/>
        <w:rPr>
          <w:sz w:val="16"/>
          <w:lang w:val="es-AR" w:eastAsia="en-US"/>
        </w:rPr>
      </w:pPr>
    </w:p>
    <w:p w14:paraId="70661785" w14:textId="77777777" w:rsidR="0010523F" w:rsidRPr="0010523F" w:rsidRDefault="0010523F" w:rsidP="0010523F">
      <w:pPr>
        <w:tabs>
          <w:tab w:val="right" w:pos="2643"/>
        </w:tabs>
        <w:jc w:val="both"/>
        <w:rPr>
          <w:highlight w:val="yellow"/>
          <w:lang w:val="es-AR" w:eastAsia="en-US"/>
        </w:rPr>
      </w:pPr>
      <w:r w:rsidRPr="0010523F">
        <w:rPr>
          <w:lang w:val="es-AR" w:eastAsia="en-US"/>
        </w:rPr>
        <w:t>El préstamo está estructurado en: (i) un Tramo “A” por un importe de US$ 135 millones y un tramo denominado “Trust” por un importe de US$ 50 millones con vencimiento final en junio 2027; (ii) un Tramo “B1-A” por un importe de US$ 160 millones con vencimiento final en junio 2024; (iii) un Tramo “B1-B” por un importe de US$ 155 millones con vencimiento final en junio 2025. El préstamo fue acordado en dólares, a tasa variable, es pagadero en cuotas semestrales, y con un período de gracia, en función de cada tramo, no menor a 24 meses calculado a partir de la fecha de firma del contrato de préstamo. Al 30 de septiembre de 2019 se han desembolsado US$ 100 millones</w:t>
      </w:r>
      <w:bookmarkEnd w:id="169"/>
      <w:r w:rsidRPr="0010523F">
        <w:rPr>
          <w:lang w:val="es-AR" w:eastAsia="en-US"/>
        </w:rPr>
        <w:t>.</w:t>
      </w:r>
    </w:p>
    <w:bookmarkEnd w:id="168"/>
    <w:p w14:paraId="17A14540" w14:textId="77777777" w:rsidR="0010523F" w:rsidRPr="0010523F" w:rsidRDefault="0010523F" w:rsidP="0010523F">
      <w:pPr>
        <w:tabs>
          <w:tab w:val="right" w:pos="2643"/>
        </w:tabs>
        <w:spacing w:line="180" w:lineRule="exact"/>
        <w:jc w:val="both"/>
        <w:rPr>
          <w:sz w:val="16"/>
          <w:lang w:val="es-AR" w:eastAsia="en-US"/>
        </w:rPr>
      </w:pPr>
    </w:p>
    <w:p w14:paraId="20EA6C83" w14:textId="77777777" w:rsidR="0010523F" w:rsidRPr="0010523F" w:rsidRDefault="0010523F" w:rsidP="0010523F">
      <w:pPr>
        <w:jc w:val="both"/>
        <w:rPr>
          <w:lang w:val="es-AR" w:eastAsia="en-US"/>
        </w:rPr>
      </w:pPr>
      <w:r w:rsidRPr="0010523F">
        <w:rPr>
          <w:lang w:val="es-AR" w:eastAsia="en-US"/>
        </w:rPr>
        <w:t>Con fecha 6 de septiembre de 2019, la Sucursal firmó un contrato de préstamos a largo plazo a una tasa fija del 35% con el Banco de Galicia y Buenos Aires por 4.591, con vencimiento final 2021.</w:t>
      </w:r>
    </w:p>
    <w:p w14:paraId="5C51A346" w14:textId="77777777" w:rsidR="0010523F" w:rsidRPr="0010523F" w:rsidRDefault="0010523F" w:rsidP="0010523F">
      <w:pPr>
        <w:tabs>
          <w:tab w:val="right" w:pos="2643"/>
        </w:tabs>
        <w:spacing w:line="180" w:lineRule="exact"/>
        <w:jc w:val="both"/>
        <w:rPr>
          <w:sz w:val="16"/>
          <w:lang w:val="es-AR" w:eastAsia="en-US"/>
        </w:rPr>
      </w:pPr>
    </w:p>
    <w:p w14:paraId="42F18B6C" w14:textId="77777777" w:rsidR="0010523F" w:rsidRPr="0010523F" w:rsidRDefault="0010523F" w:rsidP="0010523F">
      <w:pPr>
        <w:jc w:val="both"/>
        <w:rPr>
          <w:lang w:val="es-AR" w:eastAsia="en-US"/>
        </w:rPr>
      </w:pPr>
      <w:r w:rsidRPr="0010523F">
        <w:rPr>
          <w:lang w:val="es-AR" w:eastAsia="en-US"/>
        </w:rPr>
        <w:t>En relación a los préstamos de corto plazo en el período de nueve meses finalizado el 30 de septiembre de 2019, la Sucursal efectuó cancelaciones netas de tomas por 990.</w:t>
      </w:r>
    </w:p>
    <w:p w14:paraId="477E83A7" w14:textId="77777777" w:rsidR="0010523F" w:rsidRPr="0010523F" w:rsidRDefault="0010523F" w:rsidP="0010523F">
      <w:pPr>
        <w:tabs>
          <w:tab w:val="right" w:pos="2643"/>
        </w:tabs>
        <w:spacing w:line="180" w:lineRule="exact"/>
        <w:jc w:val="both"/>
        <w:rPr>
          <w:sz w:val="16"/>
          <w:lang w:val="es-AR" w:eastAsia="en-US"/>
        </w:rPr>
      </w:pPr>
    </w:p>
    <w:p w14:paraId="5B8D7A34" w14:textId="77777777" w:rsidR="0010523F" w:rsidRPr="0010523F" w:rsidRDefault="0010523F" w:rsidP="0010523F">
      <w:pPr>
        <w:rPr>
          <w:b/>
          <w:szCs w:val="20"/>
          <w:lang w:val="es-AR" w:eastAsia="en-US"/>
        </w:rPr>
      </w:pPr>
      <w:r w:rsidRPr="0010523F">
        <w:rPr>
          <w:b/>
          <w:szCs w:val="20"/>
          <w:lang w:val="es-AR" w:eastAsia="en-US"/>
        </w:rPr>
        <w:t>NOTA 7 - DEUDA FINANCIERA (cont.)</w:t>
      </w:r>
    </w:p>
    <w:p w14:paraId="5D96033E" w14:textId="77777777" w:rsidR="0010523F" w:rsidRPr="0010523F" w:rsidRDefault="0010523F" w:rsidP="0010523F">
      <w:pPr>
        <w:spacing w:line="160" w:lineRule="exact"/>
        <w:jc w:val="both"/>
        <w:rPr>
          <w:b/>
          <w:szCs w:val="20"/>
          <w:lang w:val="es-AR" w:eastAsia="en-US"/>
        </w:rPr>
      </w:pPr>
    </w:p>
    <w:p w14:paraId="5F074002" w14:textId="77777777" w:rsidR="0010523F" w:rsidRPr="0010523F" w:rsidRDefault="0010523F" w:rsidP="0010523F">
      <w:pPr>
        <w:spacing w:line="220" w:lineRule="exact"/>
        <w:jc w:val="both"/>
        <w:rPr>
          <w:szCs w:val="20"/>
          <w:lang w:val="es-AR" w:eastAsia="en-US"/>
        </w:rPr>
      </w:pPr>
      <w:r w:rsidRPr="0010523F">
        <w:rPr>
          <w:szCs w:val="20"/>
          <w:u w:val="single"/>
          <w:lang w:val="es-AR" w:eastAsia="en-US"/>
        </w:rPr>
        <w:t>7.1 Préstamos</w:t>
      </w:r>
      <w:r w:rsidRPr="0010523F">
        <w:rPr>
          <w:szCs w:val="20"/>
          <w:lang w:val="es-AR" w:eastAsia="en-US"/>
        </w:rPr>
        <w:t xml:space="preserve"> (cont.)</w:t>
      </w:r>
    </w:p>
    <w:p w14:paraId="342F6871" w14:textId="77777777" w:rsidR="0010523F" w:rsidRPr="0010523F" w:rsidRDefault="0010523F" w:rsidP="0010523F">
      <w:pPr>
        <w:spacing w:line="160" w:lineRule="exact"/>
        <w:jc w:val="both"/>
        <w:rPr>
          <w:szCs w:val="20"/>
          <w:lang w:val="es-AR" w:eastAsia="en-US"/>
        </w:rPr>
      </w:pPr>
    </w:p>
    <w:p w14:paraId="19C6771E" w14:textId="77777777" w:rsidR="0010523F" w:rsidRPr="0010523F" w:rsidRDefault="0010523F" w:rsidP="0010523F">
      <w:pPr>
        <w:jc w:val="both"/>
        <w:rPr>
          <w:lang w:val="es-AR" w:eastAsia="en-US"/>
        </w:rPr>
      </w:pPr>
      <w:r w:rsidRPr="0010523F">
        <w:rPr>
          <w:lang w:val="es-AR" w:eastAsia="en-US"/>
        </w:rPr>
        <w:t>A continuación, se detallan los préstamos bancarios por clase con su respectiva tasa y fecha de vencimiento, comparativo con el ejercicio anterior:</w:t>
      </w:r>
    </w:p>
    <w:p w14:paraId="6DD478FC" w14:textId="77777777" w:rsidR="0010523F" w:rsidRPr="0010523F" w:rsidRDefault="0010523F" w:rsidP="0010523F">
      <w:pPr>
        <w:spacing w:line="180" w:lineRule="exact"/>
        <w:rPr>
          <w:u w:val="single"/>
          <w:lang w:val="es-AR" w:eastAsia="en-US"/>
        </w:rPr>
      </w:pPr>
    </w:p>
    <w:tbl>
      <w:tblPr>
        <w:tblW w:w="9690" w:type="dxa"/>
        <w:tblInd w:w="55" w:type="dxa"/>
        <w:tblLayout w:type="fixed"/>
        <w:tblCellMar>
          <w:left w:w="70" w:type="dxa"/>
          <w:right w:w="70" w:type="dxa"/>
        </w:tblCellMar>
        <w:tblLook w:val="04A0" w:firstRow="1" w:lastRow="0" w:firstColumn="1" w:lastColumn="0" w:noHBand="0" w:noVBand="1"/>
      </w:tblPr>
      <w:tblGrid>
        <w:gridCol w:w="1505"/>
        <w:gridCol w:w="4322"/>
        <w:gridCol w:w="1328"/>
        <w:gridCol w:w="1295"/>
        <w:gridCol w:w="1240"/>
      </w:tblGrid>
      <w:tr w:rsidR="0010523F" w:rsidRPr="0010523F" w14:paraId="5D80E5EE" w14:textId="77777777" w:rsidTr="00774E7E">
        <w:trPr>
          <w:trHeight w:val="20"/>
        </w:trPr>
        <w:tc>
          <w:tcPr>
            <w:tcW w:w="1505" w:type="dxa"/>
            <w:tcBorders>
              <w:top w:val="single" w:sz="4" w:space="0" w:color="auto"/>
              <w:left w:val="nil"/>
              <w:right w:val="nil"/>
            </w:tcBorders>
            <w:shd w:val="clear" w:color="auto" w:fill="auto"/>
            <w:vAlign w:val="center"/>
            <w:hideMark/>
          </w:tcPr>
          <w:p w14:paraId="0B325981" w14:textId="77777777" w:rsidR="0010523F" w:rsidRPr="0010523F" w:rsidRDefault="0010523F" w:rsidP="0010523F">
            <w:pPr>
              <w:spacing w:line="200" w:lineRule="atLeast"/>
              <w:jc w:val="center"/>
              <w:rPr>
                <w:color w:val="000000"/>
                <w:sz w:val="20"/>
                <w:szCs w:val="20"/>
                <w:lang w:val="es-AR" w:eastAsia="es-AR"/>
              </w:rPr>
            </w:pPr>
            <w:r w:rsidRPr="0010523F">
              <w:rPr>
                <w:color w:val="000000"/>
                <w:sz w:val="20"/>
                <w:szCs w:val="20"/>
                <w:lang w:val="es-AR" w:eastAsia="es-AR"/>
              </w:rPr>
              <w:t>Moneda</w:t>
            </w:r>
          </w:p>
        </w:tc>
        <w:tc>
          <w:tcPr>
            <w:tcW w:w="4322" w:type="dxa"/>
            <w:tcBorders>
              <w:top w:val="single" w:sz="4" w:space="0" w:color="auto"/>
              <w:left w:val="nil"/>
              <w:right w:val="nil"/>
            </w:tcBorders>
            <w:shd w:val="clear" w:color="auto" w:fill="auto"/>
            <w:vAlign w:val="center"/>
            <w:hideMark/>
          </w:tcPr>
          <w:p w14:paraId="25A06A61" w14:textId="77777777" w:rsidR="0010523F" w:rsidRPr="0010523F" w:rsidRDefault="0010523F" w:rsidP="0010523F">
            <w:pPr>
              <w:spacing w:line="200" w:lineRule="atLeast"/>
              <w:jc w:val="center"/>
              <w:rPr>
                <w:color w:val="000000"/>
                <w:sz w:val="20"/>
                <w:szCs w:val="20"/>
                <w:lang w:val="es-AR" w:eastAsia="es-AR"/>
              </w:rPr>
            </w:pPr>
            <w:r w:rsidRPr="0010523F">
              <w:rPr>
                <w:color w:val="000000"/>
                <w:sz w:val="20"/>
                <w:szCs w:val="20"/>
                <w:lang w:val="es-AR" w:eastAsia="es-AR"/>
              </w:rPr>
              <w:t>Tasa de interés nominal (%)</w:t>
            </w:r>
          </w:p>
        </w:tc>
        <w:tc>
          <w:tcPr>
            <w:tcW w:w="1328" w:type="dxa"/>
            <w:tcBorders>
              <w:top w:val="single" w:sz="4" w:space="0" w:color="auto"/>
              <w:left w:val="nil"/>
              <w:right w:val="nil"/>
            </w:tcBorders>
            <w:shd w:val="clear" w:color="auto" w:fill="auto"/>
            <w:vAlign w:val="center"/>
            <w:hideMark/>
          </w:tcPr>
          <w:p w14:paraId="161DCDC7" w14:textId="77777777" w:rsidR="0010523F" w:rsidRPr="0010523F" w:rsidRDefault="0010523F" w:rsidP="0010523F">
            <w:pPr>
              <w:spacing w:line="200" w:lineRule="atLeast"/>
              <w:jc w:val="center"/>
              <w:rPr>
                <w:color w:val="000000"/>
                <w:sz w:val="20"/>
                <w:szCs w:val="20"/>
                <w:lang w:val="es-AR" w:eastAsia="es-AR"/>
              </w:rPr>
            </w:pPr>
            <w:r w:rsidRPr="0010523F">
              <w:rPr>
                <w:color w:val="000000"/>
                <w:sz w:val="20"/>
                <w:szCs w:val="20"/>
                <w:lang w:val="es-AR" w:eastAsia="es-AR"/>
              </w:rPr>
              <w:t>Vencimiento final</w:t>
            </w:r>
          </w:p>
        </w:tc>
        <w:tc>
          <w:tcPr>
            <w:tcW w:w="1295" w:type="dxa"/>
            <w:tcBorders>
              <w:top w:val="single" w:sz="4" w:space="0" w:color="auto"/>
              <w:left w:val="nil"/>
              <w:right w:val="nil"/>
            </w:tcBorders>
            <w:shd w:val="clear" w:color="auto" w:fill="auto"/>
            <w:vAlign w:val="center"/>
            <w:hideMark/>
          </w:tcPr>
          <w:p w14:paraId="106C0A29"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s-AR"/>
              </w:rPr>
              <w:t>30/09/2019</w:t>
            </w:r>
          </w:p>
        </w:tc>
        <w:tc>
          <w:tcPr>
            <w:tcW w:w="1240" w:type="dxa"/>
            <w:tcBorders>
              <w:top w:val="single" w:sz="4" w:space="0" w:color="auto"/>
              <w:left w:val="nil"/>
              <w:right w:val="nil"/>
            </w:tcBorders>
            <w:shd w:val="clear" w:color="auto" w:fill="auto"/>
            <w:vAlign w:val="center"/>
            <w:hideMark/>
          </w:tcPr>
          <w:p w14:paraId="1BCE8995"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s-AR"/>
              </w:rPr>
              <w:t>31/12/2018</w:t>
            </w:r>
          </w:p>
        </w:tc>
      </w:tr>
      <w:tr w:rsidR="0010523F" w:rsidRPr="0010523F" w14:paraId="4591A797" w14:textId="77777777" w:rsidTr="00774E7E">
        <w:trPr>
          <w:trHeight w:val="20"/>
        </w:trPr>
        <w:tc>
          <w:tcPr>
            <w:tcW w:w="1505" w:type="dxa"/>
            <w:tcBorders>
              <w:top w:val="single" w:sz="4" w:space="0" w:color="auto"/>
              <w:left w:val="nil"/>
              <w:bottom w:val="nil"/>
              <w:right w:val="nil"/>
            </w:tcBorders>
            <w:shd w:val="clear" w:color="auto" w:fill="auto"/>
            <w:vAlign w:val="center"/>
          </w:tcPr>
          <w:p w14:paraId="3501BC45"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single" w:sz="4" w:space="0" w:color="auto"/>
              <w:left w:val="nil"/>
              <w:bottom w:val="nil"/>
              <w:right w:val="nil"/>
            </w:tcBorders>
            <w:shd w:val="clear" w:color="auto" w:fill="auto"/>
            <w:vAlign w:val="center"/>
          </w:tcPr>
          <w:p w14:paraId="1EA0709F"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4,50 a 6,60</w:t>
            </w:r>
          </w:p>
        </w:tc>
        <w:tc>
          <w:tcPr>
            <w:tcW w:w="1328" w:type="dxa"/>
            <w:tcBorders>
              <w:top w:val="single" w:sz="4" w:space="0" w:color="auto"/>
              <w:left w:val="nil"/>
              <w:bottom w:val="nil"/>
              <w:right w:val="nil"/>
            </w:tcBorders>
            <w:shd w:val="clear" w:color="auto" w:fill="auto"/>
            <w:vAlign w:val="center"/>
          </w:tcPr>
          <w:p w14:paraId="0C0D372B"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2019</w:t>
            </w:r>
          </w:p>
        </w:tc>
        <w:tc>
          <w:tcPr>
            <w:tcW w:w="1295" w:type="dxa"/>
            <w:tcBorders>
              <w:top w:val="single" w:sz="4" w:space="0" w:color="auto"/>
              <w:left w:val="nil"/>
              <w:bottom w:val="nil"/>
              <w:right w:val="nil"/>
            </w:tcBorders>
            <w:shd w:val="clear" w:color="auto" w:fill="auto"/>
            <w:vAlign w:val="bottom"/>
          </w:tcPr>
          <w:p w14:paraId="720A10F5"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 xml:space="preserve">2.006 </w:t>
            </w:r>
          </w:p>
        </w:tc>
        <w:tc>
          <w:tcPr>
            <w:tcW w:w="1240" w:type="dxa"/>
            <w:tcBorders>
              <w:top w:val="single" w:sz="4" w:space="0" w:color="auto"/>
              <w:left w:val="nil"/>
              <w:bottom w:val="nil"/>
              <w:right w:val="nil"/>
            </w:tcBorders>
            <w:shd w:val="clear" w:color="auto" w:fill="auto"/>
            <w:vAlign w:val="bottom"/>
          </w:tcPr>
          <w:p w14:paraId="07398AE2"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 xml:space="preserve">          8.141 </w:t>
            </w:r>
          </w:p>
        </w:tc>
      </w:tr>
      <w:tr w:rsidR="0010523F" w:rsidRPr="0010523F" w14:paraId="19747315" w14:textId="77777777" w:rsidTr="00774E7E">
        <w:trPr>
          <w:trHeight w:val="20"/>
        </w:trPr>
        <w:tc>
          <w:tcPr>
            <w:tcW w:w="1505" w:type="dxa"/>
            <w:tcBorders>
              <w:top w:val="nil"/>
              <w:left w:val="nil"/>
              <w:bottom w:val="nil"/>
              <w:right w:val="nil"/>
            </w:tcBorders>
            <w:shd w:val="clear" w:color="auto" w:fill="auto"/>
            <w:vAlign w:val="center"/>
          </w:tcPr>
          <w:p w14:paraId="7FD71B20"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7A38A191"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LIBOR + 1,35 a LIBOR + 2,25</w:t>
            </w:r>
          </w:p>
        </w:tc>
        <w:tc>
          <w:tcPr>
            <w:tcW w:w="1328" w:type="dxa"/>
            <w:tcBorders>
              <w:top w:val="nil"/>
              <w:left w:val="nil"/>
              <w:bottom w:val="nil"/>
              <w:right w:val="nil"/>
            </w:tcBorders>
            <w:shd w:val="clear" w:color="auto" w:fill="auto"/>
            <w:vAlign w:val="center"/>
          </w:tcPr>
          <w:p w14:paraId="699B3D1F"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2019</w:t>
            </w:r>
          </w:p>
        </w:tc>
        <w:tc>
          <w:tcPr>
            <w:tcW w:w="1295" w:type="dxa"/>
            <w:tcBorders>
              <w:top w:val="nil"/>
              <w:left w:val="nil"/>
              <w:bottom w:val="nil"/>
              <w:right w:val="nil"/>
            </w:tcBorders>
            <w:shd w:val="clear" w:color="auto" w:fill="auto"/>
            <w:vAlign w:val="bottom"/>
          </w:tcPr>
          <w:p w14:paraId="0384BB70"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 xml:space="preserve">      3.779 </w:t>
            </w:r>
          </w:p>
        </w:tc>
        <w:tc>
          <w:tcPr>
            <w:tcW w:w="1240" w:type="dxa"/>
            <w:tcBorders>
              <w:top w:val="nil"/>
              <w:left w:val="nil"/>
              <w:bottom w:val="nil"/>
              <w:right w:val="nil"/>
            </w:tcBorders>
            <w:shd w:val="clear" w:color="auto" w:fill="auto"/>
            <w:vAlign w:val="bottom"/>
          </w:tcPr>
          <w:p w14:paraId="16175DC1"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 xml:space="preserve">          6.669 </w:t>
            </w:r>
          </w:p>
        </w:tc>
      </w:tr>
      <w:tr w:rsidR="0010523F" w:rsidRPr="0010523F" w14:paraId="36F8049E" w14:textId="77777777" w:rsidTr="00774E7E">
        <w:trPr>
          <w:trHeight w:val="20"/>
        </w:trPr>
        <w:tc>
          <w:tcPr>
            <w:tcW w:w="1505" w:type="dxa"/>
            <w:tcBorders>
              <w:top w:val="nil"/>
              <w:left w:val="nil"/>
              <w:bottom w:val="nil"/>
              <w:right w:val="nil"/>
            </w:tcBorders>
            <w:shd w:val="clear" w:color="auto" w:fill="auto"/>
            <w:vAlign w:val="center"/>
          </w:tcPr>
          <w:p w14:paraId="236FA86C"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Peso</w:t>
            </w:r>
          </w:p>
        </w:tc>
        <w:tc>
          <w:tcPr>
            <w:tcW w:w="4322" w:type="dxa"/>
            <w:tcBorders>
              <w:top w:val="nil"/>
              <w:left w:val="nil"/>
              <w:bottom w:val="nil"/>
              <w:right w:val="nil"/>
            </w:tcBorders>
            <w:shd w:val="clear" w:color="auto" w:fill="auto"/>
            <w:vAlign w:val="center"/>
          </w:tcPr>
          <w:p w14:paraId="0D9D0F21"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21,85 a 22,00</w:t>
            </w:r>
          </w:p>
        </w:tc>
        <w:tc>
          <w:tcPr>
            <w:tcW w:w="1328" w:type="dxa"/>
            <w:tcBorders>
              <w:top w:val="nil"/>
              <w:left w:val="nil"/>
              <w:bottom w:val="nil"/>
              <w:right w:val="nil"/>
            </w:tcBorders>
            <w:shd w:val="clear" w:color="auto" w:fill="auto"/>
            <w:vAlign w:val="center"/>
          </w:tcPr>
          <w:p w14:paraId="5D5A1AEF"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2019</w:t>
            </w:r>
          </w:p>
        </w:tc>
        <w:tc>
          <w:tcPr>
            <w:tcW w:w="1295" w:type="dxa"/>
            <w:tcBorders>
              <w:top w:val="nil"/>
              <w:left w:val="nil"/>
              <w:bottom w:val="nil"/>
              <w:right w:val="nil"/>
            </w:tcBorders>
            <w:shd w:val="clear" w:color="auto" w:fill="auto"/>
            <w:vAlign w:val="bottom"/>
          </w:tcPr>
          <w:p w14:paraId="64C83AA2"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s-AR"/>
              </w:rPr>
              <w:t>-</w:t>
            </w:r>
          </w:p>
        </w:tc>
        <w:tc>
          <w:tcPr>
            <w:tcW w:w="1240" w:type="dxa"/>
            <w:tcBorders>
              <w:top w:val="nil"/>
              <w:left w:val="nil"/>
              <w:bottom w:val="nil"/>
              <w:right w:val="nil"/>
            </w:tcBorders>
            <w:shd w:val="clear" w:color="auto" w:fill="auto"/>
            <w:vAlign w:val="bottom"/>
          </w:tcPr>
          <w:p w14:paraId="707E43B2"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600</w:t>
            </w:r>
          </w:p>
        </w:tc>
      </w:tr>
      <w:tr w:rsidR="0010523F" w:rsidRPr="0010523F" w14:paraId="0EBB8D61" w14:textId="77777777" w:rsidTr="00774E7E">
        <w:trPr>
          <w:trHeight w:val="20"/>
        </w:trPr>
        <w:tc>
          <w:tcPr>
            <w:tcW w:w="1505" w:type="dxa"/>
            <w:tcBorders>
              <w:top w:val="nil"/>
              <w:left w:val="nil"/>
              <w:bottom w:val="nil"/>
              <w:right w:val="nil"/>
            </w:tcBorders>
            <w:shd w:val="clear" w:color="auto" w:fill="auto"/>
            <w:vAlign w:val="center"/>
          </w:tcPr>
          <w:p w14:paraId="63D5EC1A"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Peso (*)</w:t>
            </w:r>
          </w:p>
        </w:tc>
        <w:tc>
          <w:tcPr>
            <w:tcW w:w="4322" w:type="dxa"/>
            <w:tcBorders>
              <w:top w:val="nil"/>
              <w:left w:val="nil"/>
              <w:bottom w:val="nil"/>
              <w:right w:val="nil"/>
            </w:tcBorders>
            <w:shd w:val="clear" w:color="auto" w:fill="auto"/>
            <w:vAlign w:val="center"/>
          </w:tcPr>
          <w:p w14:paraId="20CF7EF5"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65,00</w:t>
            </w:r>
          </w:p>
        </w:tc>
        <w:tc>
          <w:tcPr>
            <w:tcW w:w="1328" w:type="dxa"/>
            <w:tcBorders>
              <w:top w:val="nil"/>
              <w:left w:val="nil"/>
              <w:bottom w:val="nil"/>
              <w:right w:val="nil"/>
            </w:tcBorders>
            <w:shd w:val="clear" w:color="auto" w:fill="auto"/>
            <w:vAlign w:val="center"/>
          </w:tcPr>
          <w:p w14:paraId="53464ADB"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2019</w:t>
            </w:r>
          </w:p>
        </w:tc>
        <w:tc>
          <w:tcPr>
            <w:tcW w:w="1295" w:type="dxa"/>
            <w:tcBorders>
              <w:top w:val="nil"/>
              <w:left w:val="nil"/>
              <w:bottom w:val="nil"/>
              <w:right w:val="nil"/>
            </w:tcBorders>
            <w:shd w:val="clear" w:color="auto" w:fill="auto"/>
            <w:vAlign w:val="bottom"/>
          </w:tcPr>
          <w:p w14:paraId="4AB282D5" w14:textId="77777777" w:rsidR="0010523F" w:rsidRPr="0010523F" w:rsidRDefault="0010523F" w:rsidP="0010523F">
            <w:pPr>
              <w:spacing w:line="200" w:lineRule="atLeast"/>
              <w:jc w:val="right"/>
              <w:rPr>
                <w:color w:val="000000"/>
                <w:sz w:val="20"/>
                <w:szCs w:val="20"/>
                <w:lang w:val="es-AR" w:eastAsia="es-AR"/>
              </w:rPr>
            </w:pPr>
            <w:r w:rsidRPr="0010523F">
              <w:rPr>
                <w:rFonts w:ascii="Calibri" w:hAnsi="Calibri"/>
                <w:color w:val="000000"/>
                <w:sz w:val="20"/>
                <w:szCs w:val="20"/>
                <w:lang w:val="es-AR" w:eastAsia="en-US"/>
              </w:rPr>
              <w:t>-</w:t>
            </w:r>
          </w:p>
        </w:tc>
        <w:tc>
          <w:tcPr>
            <w:tcW w:w="1240" w:type="dxa"/>
            <w:tcBorders>
              <w:top w:val="nil"/>
              <w:left w:val="nil"/>
              <w:bottom w:val="nil"/>
              <w:right w:val="nil"/>
            </w:tcBorders>
            <w:shd w:val="clear" w:color="auto" w:fill="auto"/>
            <w:vAlign w:val="bottom"/>
          </w:tcPr>
          <w:p w14:paraId="3D5205F6"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68</w:t>
            </w:r>
          </w:p>
        </w:tc>
      </w:tr>
      <w:tr w:rsidR="0010523F" w:rsidRPr="0010523F" w14:paraId="26EF3028" w14:textId="77777777" w:rsidTr="00774E7E">
        <w:trPr>
          <w:trHeight w:val="20"/>
        </w:trPr>
        <w:tc>
          <w:tcPr>
            <w:tcW w:w="1505" w:type="dxa"/>
            <w:tcBorders>
              <w:top w:val="nil"/>
              <w:left w:val="nil"/>
              <w:bottom w:val="nil"/>
              <w:right w:val="nil"/>
            </w:tcBorders>
            <w:shd w:val="clear" w:color="auto" w:fill="auto"/>
            <w:vAlign w:val="center"/>
          </w:tcPr>
          <w:p w14:paraId="4C2B8200"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Peso (*)</w:t>
            </w:r>
          </w:p>
        </w:tc>
        <w:tc>
          <w:tcPr>
            <w:tcW w:w="4322" w:type="dxa"/>
            <w:tcBorders>
              <w:top w:val="nil"/>
              <w:left w:val="nil"/>
              <w:bottom w:val="nil"/>
              <w:right w:val="nil"/>
            </w:tcBorders>
            <w:shd w:val="clear" w:color="auto" w:fill="auto"/>
            <w:vAlign w:val="center"/>
          </w:tcPr>
          <w:p w14:paraId="3C2729F2"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78</w:t>
            </w:r>
          </w:p>
        </w:tc>
        <w:tc>
          <w:tcPr>
            <w:tcW w:w="1328" w:type="dxa"/>
            <w:tcBorders>
              <w:top w:val="nil"/>
              <w:left w:val="nil"/>
              <w:bottom w:val="nil"/>
              <w:right w:val="nil"/>
            </w:tcBorders>
            <w:shd w:val="clear" w:color="auto" w:fill="auto"/>
            <w:vAlign w:val="center"/>
          </w:tcPr>
          <w:p w14:paraId="4580EAA0"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2019</w:t>
            </w:r>
          </w:p>
        </w:tc>
        <w:tc>
          <w:tcPr>
            <w:tcW w:w="1295" w:type="dxa"/>
            <w:tcBorders>
              <w:top w:val="nil"/>
              <w:left w:val="nil"/>
              <w:bottom w:val="nil"/>
              <w:right w:val="nil"/>
            </w:tcBorders>
            <w:shd w:val="clear" w:color="auto" w:fill="auto"/>
            <w:vAlign w:val="bottom"/>
          </w:tcPr>
          <w:p w14:paraId="7DB5E16D" w14:textId="77777777" w:rsidR="0010523F" w:rsidRPr="0010523F"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300</w:t>
            </w:r>
          </w:p>
        </w:tc>
        <w:tc>
          <w:tcPr>
            <w:tcW w:w="1240" w:type="dxa"/>
            <w:tcBorders>
              <w:top w:val="nil"/>
              <w:left w:val="nil"/>
              <w:bottom w:val="nil"/>
              <w:right w:val="nil"/>
            </w:tcBorders>
            <w:shd w:val="clear" w:color="auto" w:fill="auto"/>
            <w:vAlign w:val="bottom"/>
          </w:tcPr>
          <w:p w14:paraId="4596029E" w14:textId="77777777" w:rsidR="0010523F" w:rsidRPr="0010523F"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w:t>
            </w:r>
          </w:p>
        </w:tc>
      </w:tr>
      <w:tr w:rsidR="0010523F" w:rsidRPr="0010523F" w14:paraId="4067D3FD" w14:textId="77777777" w:rsidTr="00774E7E">
        <w:trPr>
          <w:trHeight w:val="20"/>
        </w:trPr>
        <w:tc>
          <w:tcPr>
            <w:tcW w:w="1505" w:type="dxa"/>
            <w:tcBorders>
              <w:top w:val="nil"/>
              <w:left w:val="nil"/>
              <w:bottom w:val="nil"/>
              <w:right w:val="nil"/>
            </w:tcBorders>
            <w:shd w:val="clear" w:color="auto" w:fill="auto"/>
            <w:vAlign w:val="center"/>
          </w:tcPr>
          <w:p w14:paraId="41173052"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Peso (*)</w:t>
            </w:r>
          </w:p>
        </w:tc>
        <w:tc>
          <w:tcPr>
            <w:tcW w:w="4322" w:type="dxa"/>
            <w:tcBorders>
              <w:top w:val="nil"/>
              <w:left w:val="nil"/>
              <w:bottom w:val="nil"/>
              <w:right w:val="nil"/>
            </w:tcBorders>
            <w:shd w:val="clear" w:color="auto" w:fill="auto"/>
            <w:vAlign w:val="center"/>
          </w:tcPr>
          <w:p w14:paraId="31A57FB3"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80,00 a 90,00</w:t>
            </w:r>
          </w:p>
        </w:tc>
        <w:tc>
          <w:tcPr>
            <w:tcW w:w="1328" w:type="dxa"/>
            <w:tcBorders>
              <w:top w:val="nil"/>
              <w:left w:val="nil"/>
              <w:bottom w:val="nil"/>
              <w:right w:val="nil"/>
            </w:tcBorders>
            <w:shd w:val="clear" w:color="auto" w:fill="auto"/>
            <w:vAlign w:val="center"/>
          </w:tcPr>
          <w:p w14:paraId="3520BB90"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2019</w:t>
            </w:r>
          </w:p>
        </w:tc>
        <w:tc>
          <w:tcPr>
            <w:tcW w:w="1295" w:type="dxa"/>
            <w:tcBorders>
              <w:top w:val="nil"/>
              <w:left w:val="nil"/>
              <w:bottom w:val="nil"/>
              <w:right w:val="nil"/>
            </w:tcBorders>
            <w:shd w:val="clear" w:color="auto" w:fill="auto"/>
            <w:vAlign w:val="bottom"/>
          </w:tcPr>
          <w:p w14:paraId="43C84C5E"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3.175</w:t>
            </w:r>
          </w:p>
        </w:tc>
        <w:tc>
          <w:tcPr>
            <w:tcW w:w="1240" w:type="dxa"/>
            <w:tcBorders>
              <w:top w:val="nil"/>
              <w:left w:val="nil"/>
              <w:bottom w:val="nil"/>
              <w:right w:val="nil"/>
            </w:tcBorders>
            <w:shd w:val="clear" w:color="auto" w:fill="auto"/>
            <w:vAlign w:val="bottom"/>
          </w:tcPr>
          <w:p w14:paraId="76268FCE"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s-AR"/>
              </w:rPr>
              <w:t>-</w:t>
            </w:r>
          </w:p>
        </w:tc>
      </w:tr>
      <w:tr w:rsidR="0010523F" w:rsidRPr="0010523F" w14:paraId="30527225" w14:textId="77777777" w:rsidTr="00774E7E">
        <w:trPr>
          <w:trHeight w:val="20"/>
        </w:trPr>
        <w:tc>
          <w:tcPr>
            <w:tcW w:w="1505" w:type="dxa"/>
            <w:tcBorders>
              <w:top w:val="nil"/>
              <w:left w:val="nil"/>
              <w:bottom w:val="nil"/>
              <w:right w:val="nil"/>
            </w:tcBorders>
            <w:shd w:val="clear" w:color="auto" w:fill="auto"/>
            <w:vAlign w:val="center"/>
          </w:tcPr>
          <w:p w14:paraId="6A3C5804"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280979C1"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3,25 a 6,75</w:t>
            </w:r>
          </w:p>
        </w:tc>
        <w:tc>
          <w:tcPr>
            <w:tcW w:w="1328" w:type="dxa"/>
            <w:tcBorders>
              <w:top w:val="nil"/>
              <w:left w:val="nil"/>
              <w:bottom w:val="nil"/>
              <w:right w:val="nil"/>
            </w:tcBorders>
            <w:shd w:val="clear" w:color="auto" w:fill="auto"/>
            <w:vAlign w:val="center"/>
          </w:tcPr>
          <w:p w14:paraId="0E90B4F6"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2020</w:t>
            </w:r>
          </w:p>
        </w:tc>
        <w:tc>
          <w:tcPr>
            <w:tcW w:w="1295" w:type="dxa"/>
            <w:tcBorders>
              <w:top w:val="nil"/>
              <w:left w:val="nil"/>
              <w:bottom w:val="nil"/>
              <w:right w:val="nil"/>
            </w:tcBorders>
            <w:shd w:val="clear" w:color="auto" w:fill="auto"/>
            <w:vAlign w:val="bottom"/>
          </w:tcPr>
          <w:p w14:paraId="607AFEA8"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8.770</w:t>
            </w:r>
          </w:p>
        </w:tc>
        <w:tc>
          <w:tcPr>
            <w:tcW w:w="1240" w:type="dxa"/>
            <w:tcBorders>
              <w:top w:val="nil"/>
              <w:left w:val="nil"/>
              <w:bottom w:val="nil"/>
              <w:right w:val="nil"/>
            </w:tcBorders>
            <w:shd w:val="clear" w:color="auto" w:fill="auto"/>
            <w:vAlign w:val="bottom"/>
          </w:tcPr>
          <w:p w14:paraId="69886332"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1.999</w:t>
            </w:r>
          </w:p>
        </w:tc>
      </w:tr>
      <w:tr w:rsidR="0010523F" w:rsidRPr="0010523F" w14:paraId="189697C9" w14:textId="77777777" w:rsidTr="00774E7E">
        <w:trPr>
          <w:trHeight w:val="20"/>
        </w:trPr>
        <w:tc>
          <w:tcPr>
            <w:tcW w:w="1505" w:type="dxa"/>
            <w:tcBorders>
              <w:top w:val="nil"/>
              <w:left w:val="nil"/>
              <w:bottom w:val="nil"/>
              <w:right w:val="nil"/>
            </w:tcBorders>
            <w:shd w:val="clear" w:color="auto" w:fill="auto"/>
            <w:vAlign w:val="center"/>
          </w:tcPr>
          <w:p w14:paraId="65F1CE61"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08875062"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LIBOR + 2,45 a LIBOR + 5,40</w:t>
            </w:r>
          </w:p>
        </w:tc>
        <w:tc>
          <w:tcPr>
            <w:tcW w:w="1328" w:type="dxa"/>
            <w:tcBorders>
              <w:top w:val="nil"/>
              <w:left w:val="nil"/>
              <w:bottom w:val="nil"/>
              <w:right w:val="nil"/>
            </w:tcBorders>
            <w:shd w:val="clear" w:color="auto" w:fill="auto"/>
            <w:vAlign w:val="center"/>
          </w:tcPr>
          <w:p w14:paraId="4A237DB8"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2020</w:t>
            </w:r>
          </w:p>
        </w:tc>
        <w:tc>
          <w:tcPr>
            <w:tcW w:w="1295" w:type="dxa"/>
            <w:tcBorders>
              <w:top w:val="nil"/>
              <w:left w:val="nil"/>
              <w:bottom w:val="nil"/>
              <w:right w:val="nil"/>
            </w:tcBorders>
            <w:shd w:val="clear" w:color="auto" w:fill="auto"/>
            <w:vAlign w:val="bottom"/>
          </w:tcPr>
          <w:p w14:paraId="4E9AC593"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18.435</w:t>
            </w:r>
          </w:p>
        </w:tc>
        <w:tc>
          <w:tcPr>
            <w:tcW w:w="1240" w:type="dxa"/>
            <w:tcBorders>
              <w:top w:val="nil"/>
              <w:left w:val="nil"/>
              <w:bottom w:val="nil"/>
              <w:right w:val="nil"/>
            </w:tcBorders>
            <w:shd w:val="clear" w:color="auto" w:fill="auto"/>
            <w:vAlign w:val="bottom"/>
          </w:tcPr>
          <w:p w14:paraId="229A680E"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11.606</w:t>
            </w:r>
          </w:p>
        </w:tc>
      </w:tr>
      <w:tr w:rsidR="0010523F" w:rsidRPr="0010523F" w14:paraId="74CF3AD6" w14:textId="77777777" w:rsidTr="00774E7E">
        <w:trPr>
          <w:trHeight w:val="20"/>
        </w:trPr>
        <w:tc>
          <w:tcPr>
            <w:tcW w:w="1505" w:type="dxa"/>
            <w:tcBorders>
              <w:top w:val="nil"/>
              <w:left w:val="nil"/>
              <w:bottom w:val="nil"/>
              <w:right w:val="nil"/>
            </w:tcBorders>
            <w:shd w:val="clear" w:color="auto" w:fill="auto"/>
            <w:vAlign w:val="center"/>
          </w:tcPr>
          <w:p w14:paraId="6449C46C"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Peso</w:t>
            </w:r>
          </w:p>
        </w:tc>
        <w:tc>
          <w:tcPr>
            <w:tcW w:w="4322" w:type="dxa"/>
            <w:tcBorders>
              <w:top w:val="nil"/>
              <w:left w:val="nil"/>
              <w:bottom w:val="nil"/>
              <w:right w:val="nil"/>
            </w:tcBorders>
            <w:shd w:val="clear" w:color="auto" w:fill="auto"/>
            <w:vAlign w:val="center"/>
          </w:tcPr>
          <w:p w14:paraId="7D014B3B"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22,50</w:t>
            </w:r>
          </w:p>
        </w:tc>
        <w:tc>
          <w:tcPr>
            <w:tcW w:w="1328" w:type="dxa"/>
            <w:tcBorders>
              <w:top w:val="nil"/>
              <w:left w:val="nil"/>
              <w:bottom w:val="nil"/>
              <w:right w:val="nil"/>
            </w:tcBorders>
            <w:shd w:val="clear" w:color="auto" w:fill="auto"/>
            <w:vAlign w:val="center"/>
          </w:tcPr>
          <w:p w14:paraId="35B01B22"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2020</w:t>
            </w:r>
          </w:p>
        </w:tc>
        <w:tc>
          <w:tcPr>
            <w:tcW w:w="1295" w:type="dxa"/>
            <w:tcBorders>
              <w:top w:val="nil"/>
              <w:left w:val="nil"/>
              <w:bottom w:val="nil"/>
              <w:right w:val="nil"/>
            </w:tcBorders>
            <w:shd w:val="clear" w:color="auto" w:fill="auto"/>
            <w:vAlign w:val="bottom"/>
          </w:tcPr>
          <w:p w14:paraId="400DB534"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200</w:t>
            </w:r>
          </w:p>
        </w:tc>
        <w:tc>
          <w:tcPr>
            <w:tcW w:w="1240" w:type="dxa"/>
            <w:tcBorders>
              <w:top w:val="nil"/>
              <w:left w:val="nil"/>
              <w:bottom w:val="nil"/>
              <w:right w:val="nil"/>
            </w:tcBorders>
            <w:shd w:val="clear" w:color="auto" w:fill="auto"/>
            <w:vAlign w:val="bottom"/>
          </w:tcPr>
          <w:p w14:paraId="68ED5B2A"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200</w:t>
            </w:r>
          </w:p>
        </w:tc>
      </w:tr>
      <w:tr w:rsidR="0010523F" w:rsidRPr="0010523F" w14:paraId="30ABFC97" w14:textId="77777777" w:rsidTr="00774E7E">
        <w:trPr>
          <w:trHeight w:val="20"/>
        </w:trPr>
        <w:tc>
          <w:tcPr>
            <w:tcW w:w="1505" w:type="dxa"/>
            <w:tcBorders>
              <w:top w:val="nil"/>
              <w:left w:val="nil"/>
              <w:bottom w:val="nil"/>
              <w:right w:val="nil"/>
            </w:tcBorders>
            <w:shd w:val="clear" w:color="auto" w:fill="auto"/>
            <w:vAlign w:val="center"/>
          </w:tcPr>
          <w:p w14:paraId="4D11291D"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266323AA"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4,00 a 4,25</w:t>
            </w:r>
          </w:p>
        </w:tc>
        <w:tc>
          <w:tcPr>
            <w:tcW w:w="1328" w:type="dxa"/>
            <w:tcBorders>
              <w:top w:val="nil"/>
              <w:left w:val="nil"/>
              <w:bottom w:val="nil"/>
              <w:right w:val="nil"/>
            </w:tcBorders>
            <w:shd w:val="clear" w:color="auto" w:fill="auto"/>
            <w:vAlign w:val="center"/>
          </w:tcPr>
          <w:p w14:paraId="445BFA56"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2021</w:t>
            </w:r>
          </w:p>
        </w:tc>
        <w:tc>
          <w:tcPr>
            <w:tcW w:w="1295" w:type="dxa"/>
            <w:tcBorders>
              <w:top w:val="nil"/>
              <w:left w:val="nil"/>
              <w:bottom w:val="nil"/>
              <w:right w:val="nil"/>
            </w:tcBorders>
            <w:shd w:val="clear" w:color="auto" w:fill="auto"/>
            <w:vAlign w:val="bottom"/>
          </w:tcPr>
          <w:p w14:paraId="179F9D52"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287</w:t>
            </w:r>
          </w:p>
        </w:tc>
        <w:tc>
          <w:tcPr>
            <w:tcW w:w="1240" w:type="dxa"/>
            <w:tcBorders>
              <w:top w:val="nil"/>
              <w:left w:val="nil"/>
              <w:bottom w:val="nil"/>
              <w:right w:val="nil"/>
            </w:tcBorders>
            <w:shd w:val="clear" w:color="auto" w:fill="auto"/>
            <w:vAlign w:val="bottom"/>
          </w:tcPr>
          <w:p w14:paraId="616311BA"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3.204</w:t>
            </w:r>
          </w:p>
        </w:tc>
      </w:tr>
      <w:tr w:rsidR="0010523F" w:rsidRPr="0010523F" w14:paraId="485D0638" w14:textId="77777777" w:rsidTr="00774E7E">
        <w:trPr>
          <w:trHeight w:val="20"/>
        </w:trPr>
        <w:tc>
          <w:tcPr>
            <w:tcW w:w="1505" w:type="dxa"/>
            <w:tcBorders>
              <w:top w:val="nil"/>
              <w:left w:val="nil"/>
              <w:bottom w:val="nil"/>
              <w:right w:val="nil"/>
            </w:tcBorders>
            <w:shd w:val="clear" w:color="auto" w:fill="auto"/>
            <w:vAlign w:val="center"/>
          </w:tcPr>
          <w:p w14:paraId="5105F589"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6CA969F3"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LIBOR + 2,75 a LIBOR + 4,50</w:t>
            </w:r>
          </w:p>
        </w:tc>
        <w:tc>
          <w:tcPr>
            <w:tcW w:w="1328" w:type="dxa"/>
            <w:tcBorders>
              <w:top w:val="nil"/>
              <w:left w:val="nil"/>
              <w:bottom w:val="nil"/>
              <w:right w:val="nil"/>
            </w:tcBorders>
            <w:shd w:val="clear" w:color="auto" w:fill="auto"/>
            <w:vAlign w:val="center"/>
          </w:tcPr>
          <w:p w14:paraId="3A527FAC"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2021</w:t>
            </w:r>
          </w:p>
        </w:tc>
        <w:tc>
          <w:tcPr>
            <w:tcW w:w="1295" w:type="dxa"/>
            <w:tcBorders>
              <w:top w:val="nil"/>
              <w:left w:val="nil"/>
              <w:bottom w:val="nil"/>
              <w:right w:val="nil"/>
            </w:tcBorders>
            <w:shd w:val="clear" w:color="auto" w:fill="auto"/>
            <w:vAlign w:val="bottom"/>
          </w:tcPr>
          <w:p w14:paraId="09F8AEA6"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12.571</w:t>
            </w:r>
          </w:p>
        </w:tc>
        <w:tc>
          <w:tcPr>
            <w:tcW w:w="1240" w:type="dxa"/>
            <w:tcBorders>
              <w:top w:val="nil"/>
              <w:left w:val="nil"/>
              <w:bottom w:val="nil"/>
              <w:right w:val="nil"/>
            </w:tcBorders>
            <w:shd w:val="clear" w:color="auto" w:fill="auto"/>
            <w:vAlign w:val="bottom"/>
          </w:tcPr>
          <w:p w14:paraId="2450BC85"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9.111</w:t>
            </w:r>
          </w:p>
        </w:tc>
      </w:tr>
      <w:tr w:rsidR="0010523F" w:rsidRPr="0010523F" w14:paraId="48FEE36C" w14:textId="77777777" w:rsidTr="00774E7E">
        <w:trPr>
          <w:trHeight w:val="20"/>
        </w:trPr>
        <w:tc>
          <w:tcPr>
            <w:tcW w:w="1505" w:type="dxa"/>
            <w:tcBorders>
              <w:top w:val="nil"/>
              <w:left w:val="nil"/>
              <w:bottom w:val="nil"/>
              <w:right w:val="nil"/>
            </w:tcBorders>
            <w:shd w:val="clear" w:color="auto" w:fill="auto"/>
            <w:vAlign w:val="center"/>
          </w:tcPr>
          <w:p w14:paraId="33C46C42"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Peso</w:t>
            </w:r>
          </w:p>
        </w:tc>
        <w:tc>
          <w:tcPr>
            <w:tcW w:w="4322" w:type="dxa"/>
            <w:tcBorders>
              <w:top w:val="nil"/>
              <w:left w:val="nil"/>
              <w:bottom w:val="nil"/>
              <w:right w:val="nil"/>
            </w:tcBorders>
            <w:shd w:val="clear" w:color="auto" w:fill="auto"/>
            <w:vAlign w:val="center"/>
          </w:tcPr>
          <w:p w14:paraId="1179F89F"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35</w:t>
            </w:r>
          </w:p>
        </w:tc>
        <w:tc>
          <w:tcPr>
            <w:tcW w:w="1328" w:type="dxa"/>
            <w:tcBorders>
              <w:top w:val="nil"/>
              <w:left w:val="nil"/>
              <w:bottom w:val="nil"/>
              <w:right w:val="nil"/>
            </w:tcBorders>
            <w:shd w:val="clear" w:color="auto" w:fill="auto"/>
            <w:vAlign w:val="center"/>
          </w:tcPr>
          <w:p w14:paraId="0F439AAC"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2021</w:t>
            </w:r>
          </w:p>
        </w:tc>
        <w:tc>
          <w:tcPr>
            <w:tcW w:w="1295" w:type="dxa"/>
            <w:tcBorders>
              <w:top w:val="nil"/>
              <w:left w:val="nil"/>
              <w:bottom w:val="nil"/>
              <w:right w:val="nil"/>
            </w:tcBorders>
            <w:shd w:val="clear" w:color="auto" w:fill="auto"/>
            <w:vAlign w:val="bottom"/>
          </w:tcPr>
          <w:p w14:paraId="2F9160B9" w14:textId="77777777" w:rsidR="0010523F" w:rsidRPr="0010523F" w:rsidDel="00C403D5"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4.591</w:t>
            </w:r>
          </w:p>
        </w:tc>
        <w:tc>
          <w:tcPr>
            <w:tcW w:w="1240" w:type="dxa"/>
            <w:tcBorders>
              <w:top w:val="nil"/>
              <w:left w:val="nil"/>
              <w:bottom w:val="nil"/>
              <w:right w:val="nil"/>
            </w:tcBorders>
            <w:shd w:val="clear" w:color="auto" w:fill="auto"/>
            <w:vAlign w:val="bottom"/>
          </w:tcPr>
          <w:p w14:paraId="7738616F" w14:textId="77777777" w:rsidR="0010523F" w:rsidRPr="0010523F"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w:t>
            </w:r>
          </w:p>
        </w:tc>
      </w:tr>
      <w:tr w:rsidR="0010523F" w:rsidRPr="0010523F" w14:paraId="66AD77D9" w14:textId="77777777" w:rsidTr="00774E7E">
        <w:trPr>
          <w:trHeight w:val="20"/>
        </w:trPr>
        <w:tc>
          <w:tcPr>
            <w:tcW w:w="1505" w:type="dxa"/>
            <w:tcBorders>
              <w:top w:val="nil"/>
              <w:left w:val="nil"/>
              <w:bottom w:val="nil"/>
              <w:right w:val="nil"/>
            </w:tcBorders>
            <w:shd w:val="clear" w:color="auto" w:fill="auto"/>
            <w:vAlign w:val="center"/>
          </w:tcPr>
          <w:p w14:paraId="75678910"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20021B0F"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4,20 a 5,00</w:t>
            </w:r>
          </w:p>
        </w:tc>
        <w:tc>
          <w:tcPr>
            <w:tcW w:w="1328" w:type="dxa"/>
            <w:tcBorders>
              <w:top w:val="nil"/>
              <w:left w:val="nil"/>
              <w:bottom w:val="nil"/>
              <w:right w:val="nil"/>
            </w:tcBorders>
            <w:shd w:val="clear" w:color="auto" w:fill="auto"/>
            <w:vAlign w:val="center"/>
          </w:tcPr>
          <w:p w14:paraId="0BD4C5D3"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2022</w:t>
            </w:r>
          </w:p>
        </w:tc>
        <w:tc>
          <w:tcPr>
            <w:tcW w:w="1295" w:type="dxa"/>
            <w:tcBorders>
              <w:top w:val="nil"/>
              <w:left w:val="nil"/>
              <w:bottom w:val="nil"/>
              <w:right w:val="nil"/>
            </w:tcBorders>
            <w:shd w:val="clear" w:color="auto" w:fill="auto"/>
            <w:vAlign w:val="bottom"/>
          </w:tcPr>
          <w:p w14:paraId="7CB5EC0B"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16.285</w:t>
            </w:r>
          </w:p>
        </w:tc>
        <w:tc>
          <w:tcPr>
            <w:tcW w:w="1240" w:type="dxa"/>
            <w:tcBorders>
              <w:top w:val="nil"/>
              <w:left w:val="nil"/>
              <w:bottom w:val="nil"/>
              <w:right w:val="nil"/>
            </w:tcBorders>
            <w:shd w:val="clear" w:color="auto" w:fill="auto"/>
            <w:vAlign w:val="bottom"/>
          </w:tcPr>
          <w:p w14:paraId="6A2D4B45"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11.083</w:t>
            </w:r>
          </w:p>
        </w:tc>
      </w:tr>
      <w:tr w:rsidR="0010523F" w:rsidRPr="0010523F" w14:paraId="17CF0647" w14:textId="77777777" w:rsidTr="00774E7E">
        <w:trPr>
          <w:trHeight w:val="20"/>
        </w:trPr>
        <w:tc>
          <w:tcPr>
            <w:tcW w:w="1505" w:type="dxa"/>
            <w:tcBorders>
              <w:top w:val="nil"/>
              <w:left w:val="nil"/>
              <w:bottom w:val="nil"/>
              <w:right w:val="nil"/>
            </w:tcBorders>
            <w:shd w:val="clear" w:color="auto" w:fill="auto"/>
            <w:vAlign w:val="center"/>
          </w:tcPr>
          <w:p w14:paraId="27DB9B3F"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2EDF8A71"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LIBOR + 4,75 a LIBOR + 5,25</w:t>
            </w:r>
          </w:p>
        </w:tc>
        <w:tc>
          <w:tcPr>
            <w:tcW w:w="1328" w:type="dxa"/>
            <w:tcBorders>
              <w:top w:val="nil"/>
              <w:left w:val="nil"/>
              <w:bottom w:val="nil"/>
              <w:right w:val="nil"/>
            </w:tcBorders>
            <w:shd w:val="clear" w:color="auto" w:fill="auto"/>
            <w:vAlign w:val="center"/>
          </w:tcPr>
          <w:p w14:paraId="50CEE0A0"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2022</w:t>
            </w:r>
          </w:p>
        </w:tc>
        <w:tc>
          <w:tcPr>
            <w:tcW w:w="1295" w:type="dxa"/>
            <w:tcBorders>
              <w:top w:val="nil"/>
              <w:left w:val="nil"/>
              <w:bottom w:val="nil"/>
              <w:right w:val="nil"/>
            </w:tcBorders>
            <w:shd w:val="clear" w:color="auto" w:fill="auto"/>
            <w:vAlign w:val="bottom"/>
          </w:tcPr>
          <w:p w14:paraId="2B8C3038"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12.350</w:t>
            </w:r>
          </w:p>
        </w:tc>
        <w:tc>
          <w:tcPr>
            <w:tcW w:w="1240" w:type="dxa"/>
            <w:tcBorders>
              <w:top w:val="nil"/>
              <w:left w:val="nil"/>
              <w:bottom w:val="nil"/>
              <w:right w:val="nil"/>
            </w:tcBorders>
            <w:shd w:val="clear" w:color="auto" w:fill="auto"/>
            <w:vAlign w:val="bottom"/>
          </w:tcPr>
          <w:p w14:paraId="3C22A2DF"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9.477</w:t>
            </w:r>
          </w:p>
        </w:tc>
      </w:tr>
      <w:tr w:rsidR="0010523F" w:rsidRPr="0010523F" w14:paraId="465CB2F7" w14:textId="77777777" w:rsidTr="00774E7E">
        <w:trPr>
          <w:trHeight w:val="20"/>
        </w:trPr>
        <w:tc>
          <w:tcPr>
            <w:tcW w:w="1505" w:type="dxa"/>
            <w:tcBorders>
              <w:top w:val="nil"/>
              <w:left w:val="nil"/>
              <w:bottom w:val="nil"/>
              <w:right w:val="nil"/>
            </w:tcBorders>
            <w:shd w:val="clear" w:color="auto" w:fill="auto"/>
            <w:vAlign w:val="center"/>
          </w:tcPr>
          <w:p w14:paraId="7C308D48"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6DA90BE6"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4,00</w:t>
            </w:r>
          </w:p>
        </w:tc>
        <w:tc>
          <w:tcPr>
            <w:tcW w:w="1328" w:type="dxa"/>
            <w:tcBorders>
              <w:top w:val="nil"/>
              <w:left w:val="nil"/>
              <w:bottom w:val="nil"/>
              <w:right w:val="nil"/>
            </w:tcBorders>
            <w:shd w:val="clear" w:color="auto" w:fill="auto"/>
            <w:vAlign w:val="center"/>
          </w:tcPr>
          <w:p w14:paraId="093A636E"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2023</w:t>
            </w:r>
          </w:p>
        </w:tc>
        <w:tc>
          <w:tcPr>
            <w:tcW w:w="1295" w:type="dxa"/>
            <w:tcBorders>
              <w:top w:val="nil"/>
              <w:left w:val="nil"/>
              <w:bottom w:val="nil"/>
              <w:right w:val="nil"/>
            </w:tcBorders>
            <w:shd w:val="clear" w:color="auto" w:fill="auto"/>
            <w:vAlign w:val="bottom"/>
          </w:tcPr>
          <w:p w14:paraId="20052397"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2.254</w:t>
            </w:r>
          </w:p>
        </w:tc>
        <w:tc>
          <w:tcPr>
            <w:tcW w:w="1240" w:type="dxa"/>
            <w:tcBorders>
              <w:top w:val="nil"/>
              <w:left w:val="nil"/>
              <w:bottom w:val="nil"/>
              <w:right w:val="nil"/>
            </w:tcBorders>
            <w:shd w:val="clear" w:color="auto" w:fill="auto"/>
            <w:vAlign w:val="bottom"/>
          </w:tcPr>
          <w:p w14:paraId="00332D47"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1.853</w:t>
            </w:r>
          </w:p>
        </w:tc>
      </w:tr>
      <w:tr w:rsidR="0010523F" w:rsidRPr="0010523F" w14:paraId="34CA2B98" w14:textId="77777777" w:rsidTr="00774E7E">
        <w:trPr>
          <w:trHeight w:val="20"/>
        </w:trPr>
        <w:tc>
          <w:tcPr>
            <w:tcW w:w="1505" w:type="dxa"/>
            <w:tcBorders>
              <w:top w:val="nil"/>
              <w:left w:val="nil"/>
              <w:bottom w:val="nil"/>
              <w:right w:val="nil"/>
            </w:tcBorders>
            <w:shd w:val="clear" w:color="auto" w:fill="auto"/>
            <w:vAlign w:val="center"/>
          </w:tcPr>
          <w:p w14:paraId="6D4A9415"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611FD67F"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LIBOR + 2,75 a LIBOR + 5,25</w:t>
            </w:r>
          </w:p>
        </w:tc>
        <w:tc>
          <w:tcPr>
            <w:tcW w:w="1328" w:type="dxa"/>
            <w:tcBorders>
              <w:top w:val="nil"/>
              <w:left w:val="nil"/>
              <w:bottom w:val="nil"/>
              <w:right w:val="nil"/>
            </w:tcBorders>
            <w:shd w:val="clear" w:color="auto" w:fill="auto"/>
            <w:vAlign w:val="center"/>
          </w:tcPr>
          <w:p w14:paraId="1D74C37F" w14:textId="77777777" w:rsidR="0010523F" w:rsidRPr="0010523F" w:rsidRDefault="0010523F" w:rsidP="0010523F">
            <w:pPr>
              <w:spacing w:line="200" w:lineRule="atLeast"/>
              <w:jc w:val="center"/>
              <w:rPr>
                <w:color w:val="000000"/>
                <w:sz w:val="20"/>
                <w:szCs w:val="20"/>
                <w:highlight w:val="yellow"/>
                <w:lang w:val="es-AR" w:eastAsia="es-AR"/>
              </w:rPr>
            </w:pPr>
            <w:r w:rsidRPr="0010523F">
              <w:rPr>
                <w:color w:val="000000"/>
                <w:sz w:val="20"/>
                <w:szCs w:val="20"/>
                <w:lang w:val="es-AR" w:eastAsia="en-US"/>
              </w:rPr>
              <w:t>2024</w:t>
            </w:r>
          </w:p>
        </w:tc>
        <w:tc>
          <w:tcPr>
            <w:tcW w:w="1295" w:type="dxa"/>
            <w:tcBorders>
              <w:top w:val="nil"/>
              <w:left w:val="nil"/>
              <w:bottom w:val="nil"/>
              <w:right w:val="nil"/>
            </w:tcBorders>
            <w:shd w:val="clear" w:color="auto" w:fill="auto"/>
            <w:vAlign w:val="bottom"/>
          </w:tcPr>
          <w:p w14:paraId="237C8E32" w14:textId="77777777" w:rsidR="0010523F" w:rsidRPr="0010523F" w:rsidRDefault="0010523F" w:rsidP="0010523F">
            <w:pPr>
              <w:spacing w:line="200" w:lineRule="atLeast"/>
              <w:jc w:val="right"/>
              <w:rPr>
                <w:color w:val="000000"/>
                <w:sz w:val="20"/>
                <w:szCs w:val="20"/>
                <w:lang w:val="es-AR" w:eastAsia="es-AR"/>
              </w:rPr>
            </w:pPr>
            <w:r w:rsidRPr="0010523F">
              <w:rPr>
                <w:color w:val="000000"/>
                <w:sz w:val="20"/>
                <w:szCs w:val="20"/>
                <w:lang w:val="es-AR" w:eastAsia="en-US"/>
              </w:rPr>
              <w:t>11.674</w:t>
            </w:r>
          </w:p>
        </w:tc>
        <w:tc>
          <w:tcPr>
            <w:tcW w:w="1240" w:type="dxa"/>
            <w:tcBorders>
              <w:top w:val="nil"/>
              <w:left w:val="nil"/>
              <w:bottom w:val="nil"/>
              <w:right w:val="nil"/>
            </w:tcBorders>
            <w:shd w:val="clear" w:color="auto" w:fill="auto"/>
            <w:vAlign w:val="bottom"/>
          </w:tcPr>
          <w:p w14:paraId="7C67CA55" w14:textId="77777777" w:rsidR="0010523F" w:rsidRPr="0010523F" w:rsidRDefault="0010523F" w:rsidP="0010523F">
            <w:pPr>
              <w:spacing w:line="200" w:lineRule="atLeast"/>
              <w:jc w:val="right"/>
              <w:rPr>
                <w:color w:val="000000"/>
                <w:sz w:val="20"/>
                <w:szCs w:val="20"/>
                <w:highlight w:val="yellow"/>
                <w:lang w:val="es-AR" w:eastAsia="es-AR"/>
              </w:rPr>
            </w:pPr>
            <w:r w:rsidRPr="0010523F">
              <w:rPr>
                <w:color w:val="000000"/>
                <w:sz w:val="20"/>
                <w:szCs w:val="20"/>
                <w:lang w:val="es-AR" w:eastAsia="en-US"/>
              </w:rPr>
              <w:t>2.972</w:t>
            </w:r>
          </w:p>
        </w:tc>
      </w:tr>
      <w:tr w:rsidR="0010523F" w:rsidRPr="0010523F" w14:paraId="4A1000E7" w14:textId="77777777" w:rsidTr="00774E7E">
        <w:trPr>
          <w:trHeight w:val="20"/>
        </w:trPr>
        <w:tc>
          <w:tcPr>
            <w:tcW w:w="1505" w:type="dxa"/>
            <w:tcBorders>
              <w:top w:val="nil"/>
              <w:left w:val="nil"/>
              <w:bottom w:val="nil"/>
              <w:right w:val="nil"/>
            </w:tcBorders>
            <w:shd w:val="clear" w:color="auto" w:fill="auto"/>
            <w:vAlign w:val="center"/>
          </w:tcPr>
          <w:p w14:paraId="4AF744DA"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0B1948D9"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LIBOR + 4,50</w:t>
            </w:r>
          </w:p>
        </w:tc>
        <w:tc>
          <w:tcPr>
            <w:tcW w:w="1328" w:type="dxa"/>
            <w:tcBorders>
              <w:top w:val="nil"/>
              <w:left w:val="nil"/>
              <w:bottom w:val="nil"/>
              <w:right w:val="nil"/>
            </w:tcBorders>
            <w:shd w:val="clear" w:color="auto" w:fill="auto"/>
            <w:vAlign w:val="center"/>
          </w:tcPr>
          <w:p w14:paraId="640C64A7"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2025</w:t>
            </w:r>
          </w:p>
        </w:tc>
        <w:tc>
          <w:tcPr>
            <w:tcW w:w="1295" w:type="dxa"/>
            <w:tcBorders>
              <w:top w:val="nil"/>
              <w:left w:val="nil"/>
              <w:bottom w:val="nil"/>
              <w:right w:val="nil"/>
            </w:tcBorders>
            <w:shd w:val="clear" w:color="auto" w:fill="auto"/>
            <w:vAlign w:val="bottom"/>
          </w:tcPr>
          <w:p w14:paraId="4A7E40DF" w14:textId="77777777" w:rsidR="0010523F" w:rsidRPr="0010523F" w:rsidDel="00C403D5"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1.777</w:t>
            </w:r>
          </w:p>
        </w:tc>
        <w:tc>
          <w:tcPr>
            <w:tcW w:w="1240" w:type="dxa"/>
            <w:tcBorders>
              <w:top w:val="nil"/>
              <w:left w:val="nil"/>
              <w:bottom w:val="nil"/>
              <w:right w:val="nil"/>
            </w:tcBorders>
            <w:shd w:val="clear" w:color="auto" w:fill="auto"/>
            <w:vAlign w:val="bottom"/>
          </w:tcPr>
          <w:p w14:paraId="688B7B8F" w14:textId="77777777" w:rsidR="0010523F" w:rsidRPr="0010523F"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w:t>
            </w:r>
          </w:p>
        </w:tc>
      </w:tr>
      <w:tr w:rsidR="0010523F" w:rsidRPr="0010523F" w14:paraId="651000B6" w14:textId="77777777" w:rsidTr="00774E7E">
        <w:trPr>
          <w:trHeight w:val="20"/>
        </w:trPr>
        <w:tc>
          <w:tcPr>
            <w:tcW w:w="1505" w:type="dxa"/>
            <w:tcBorders>
              <w:top w:val="nil"/>
              <w:left w:val="nil"/>
              <w:bottom w:val="nil"/>
              <w:right w:val="nil"/>
            </w:tcBorders>
            <w:shd w:val="clear" w:color="auto" w:fill="auto"/>
            <w:vAlign w:val="center"/>
          </w:tcPr>
          <w:p w14:paraId="62FF8398"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Dólar</w:t>
            </w:r>
          </w:p>
        </w:tc>
        <w:tc>
          <w:tcPr>
            <w:tcW w:w="4322" w:type="dxa"/>
            <w:tcBorders>
              <w:top w:val="nil"/>
              <w:left w:val="nil"/>
              <w:bottom w:val="nil"/>
              <w:right w:val="nil"/>
            </w:tcBorders>
            <w:shd w:val="clear" w:color="auto" w:fill="auto"/>
            <w:vAlign w:val="center"/>
          </w:tcPr>
          <w:p w14:paraId="7F684AB6"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LIBOR + 5,00</w:t>
            </w:r>
          </w:p>
        </w:tc>
        <w:tc>
          <w:tcPr>
            <w:tcW w:w="1328" w:type="dxa"/>
            <w:tcBorders>
              <w:top w:val="nil"/>
              <w:left w:val="nil"/>
              <w:bottom w:val="nil"/>
              <w:right w:val="nil"/>
            </w:tcBorders>
            <w:shd w:val="clear" w:color="auto" w:fill="auto"/>
            <w:vAlign w:val="center"/>
          </w:tcPr>
          <w:p w14:paraId="5F0728EB"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2027</w:t>
            </w:r>
          </w:p>
        </w:tc>
        <w:tc>
          <w:tcPr>
            <w:tcW w:w="1295" w:type="dxa"/>
            <w:tcBorders>
              <w:top w:val="nil"/>
              <w:left w:val="nil"/>
              <w:bottom w:val="nil"/>
              <w:right w:val="nil"/>
            </w:tcBorders>
            <w:shd w:val="clear" w:color="auto" w:fill="auto"/>
            <w:vAlign w:val="bottom"/>
          </w:tcPr>
          <w:p w14:paraId="30B9A281" w14:textId="77777777" w:rsidR="0010523F" w:rsidRPr="0010523F" w:rsidDel="00C403D5"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2.121</w:t>
            </w:r>
          </w:p>
        </w:tc>
        <w:tc>
          <w:tcPr>
            <w:tcW w:w="1240" w:type="dxa"/>
            <w:tcBorders>
              <w:top w:val="nil"/>
              <w:left w:val="nil"/>
              <w:bottom w:val="nil"/>
              <w:right w:val="nil"/>
            </w:tcBorders>
            <w:shd w:val="clear" w:color="auto" w:fill="auto"/>
            <w:vAlign w:val="bottom"/>
          </w:tcPr>
          <w:p w14:paraId="5C9BEE40" w14:textId="77777777" w:rsidR="0010523F" w:rsidRPr="0010523F"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w:t>
            </w:r>
          </w:p>
        </w:tc>
      </w:tr>
      <w:tr w:rsidR="0010523F" w:rsidRPr="0010523F" w14:paraId="3C092B4D" w14:textId="77777777" w:rsidTr="00774E7E">
        <w:trPr>
          <w:trHeight w:val="20"/>
        </w:trPr>
        <w:tc>
          <w:tcPr>
            <w:tcW w:w="1505" w:type="dxa"/>
            <w:tcBorders>
              <w:top w:val="single" w:sz="4" w:space="0" w:color="auto"/>
              <w:left w:val="nil"/>
              <w:right w:val="nil"/>
            </w:tcBorders>
            <w:shd w:val="clear" w:color="auto" w:fill="auto"/>
            <w:vAlign w:val="center"/>
          </w:tcPr>
          <w:p w14:paraId="31F842CD" w14:textId="77777777" w:rsidR="0010523F" w:rsidRPr="0010523F" w:rsidRDefault="0010523F" w:rsidP="0010523F">
            <w:pPr>
              <w:spacing w:line="200" w:lineRule="atLeast"/>
              <w:rPr>
                <w:color w:val="000000"/>
                <w:sz w:val="20"/>
                <w:szCs w:val="20"/>
                <w:lang w:val="es-AR" w:eastAsia="en-US"/>
              </w:rPr>
            </w:pPr>
          </w:p>
        </w:tc>
        <w:tc>
          <w:tcPr>
            <w:tcW w:w="5650" w:type="dxa"/>
            <w:gridSpan w:val="2"/>
            <w:tcBorders>
              <w:top w:val="single" w:sz="4" w:space="0" w:color="auto"/>
              <w:left w:val="nil"/>
              <w:right w:val="nil"/>
            </w:tcBorders>
            <w:shd w:val="clear" w:color="auto" w:fill="auto"/>
            <w:vAlign w:val="center"/>
          </w:tcPr>
          <w:p w14:paraId="1C276F8B" w14:textId="77777777" w:rsidR="0010523F" w:rsidRPr="0010523F" w:rsidRDefault="0010523F" w:rsidP="0010523F">
            <w:pPr>
              <w:spacing w:line="200" w:lineRule="atLeast"/>
              <w:rPr>
                <w:color w:val="000000"/>
                <w:sz w:val="20"/>
                <w:szCs w:val="20"/>
                <w:lang w:val="es-AR" w:eastAsia="en-US"/>
              </w:rPr>
            </w:pPr>
            <w:r w:rsidRPr="0010523F">
              <w:rPr>
                <w:color w:val="000000"/>
                <w:sz w:val="20"/>
                <w:szCs w:val="20"/>
                <w:lang w:val="es-AR" w:eastAsia="en-US"/>
              </w:rPr>
              <w:t>Total préstamos bancarios</w:t>
            </w:r>
          </w:p>
        </w:tc>
        <w:tc>
          <w:tcPr>
            <w:tcW w:w="1295" w:type="dxa"/>
            <w:tcBorders>
              <w:top w:val="single" w:sz="4" w:space="0" w:color="auto"/>
              <w:left w:val="nil"/>
              <w:bottom w:val="single" w:sz="4" w:space="0" w:color="auto"/>
              <w:right w:val="nil"/>
            </w:tcBorders>
            <w:shd w:val="clear" w:color="auto" w:fill="auto"/>
            <w:vAlign w:val="bottom"/>
          </w:tcPr>
          <w:p w14:paraId="2FEEDC66" w14:textId="77777777" w:rsidR="0010523F" w:rsidRPr="0010523F"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100.575</w:t>
            </w:r>
          </w:p>
        </w:tc>
        <w:tc>
          <w:tcPr>
            <w:tcW w:w="1240" w:type="dxa"/>
            <w:tcBorders>
              <w:top w:val="single" w:sz="4" w:space="0" w:color="auto"/>
              <w:left w:val="nil"/>
              <w:bottom w:val="single" w:sz="4" w:space="0" w:color="auto"/>
              <w:right w:val="nil"/>
            </w:tcBorders>
            <w:shd w:val="clear" w:color="auto" w:fill="auto"/>
            <w:vAlign w:val="bottom"/>
          </w:tcPr>
          <w:p w14:paraId="7989F1AB" w14:textId="77777777" w:rsidR="0010523F" w:rsidRPr="0010523F" w:rsidRDefault="0010523F" w:rsidP="0010523F">
            <w:pPr>
              <w:spacing w:line="200" w:lineRule="atLeast"/>
              <w:jc w:val="right"/>
              <w:rPr>
                <w:color w:val="000000"/>
                <w:sz w:val="20"/>
                <w:szCs w:val="20"/>
                <w:lang w:val="es-AR" w:eastAsia="en-US"/>
              </w:rPr>
            </w:pPr>
            <w:r w:rsidRPr="0010523F">
              <w:rPr>
                <w:color w:val="000000"/>
                <w:sz w:val="20"/>
                <w:szCs w:val="20"/>
                <w:lang w:val="es-AR" w:eastAsia="en-US"/>
              </w:rPr>
              <w:t>66.983</w:t>
            </w:r>
          </w:p>
        </w:tc>
      </w:tr>
      <w:tr w:rsidR="0010523F" w:rsidRPr="0010523F" w14:paraId="3DF7FD7F" w14:textId="77777777" w:rsidTr="00774E7E">
        <w:trPr>
          <w:trHeight w:val="20"/>
        </w:trPr>
        <w:tc>
          <w:tcPr>
            <w:tcW w:w="1505" w:type="dxa"/>
            <w:tcBorders>
              <w:top w:val="single" w:sz="4" w:space="0" w:color="auto"/>
              <w:left w:val="nil"/>
              <w:bottom w:val="nil"/>
              <w:right w:val="nil"/>
            </w:tcBorders>
            <w:shd w:val="clear" w:color="auto" w:fill="auto"/>
            <w:vAlign w:val="center"/>
          </w:tcPr>
          <w:p w14:paraId="46CEFE51" w14:textId="77777777" w:rsidR="0010523F" w:rsidRPr="0010523F" w:rsidRDefault="0010523F" w:rsidP="0010523F">
            <w:pPr>
              <w:spacing w:line="200" w:lineRule="atLeast"/>
              <w:jc w:val="center"/>
              <w:rPr>
                <w:color w:val="000000"/>
                <w:sz w:val="20"/>
                <w:szCs w:val="20"/>
                <w:lang w:val="es-AR" w:eastAsia="en-US"/>
              </w:rPr>
            </w:pPr>
            <w:r w:rsidRPr="0010523F">
              <w:rPr>
                <w:color w:val="000000"/>
                <w:sz w:val="20"/>
                <w:szCs w:val="20"/>
                <w:lang w:val="es-AR" w:eastAsia="en-US"/>
              </w:rPr>
              <w:t>(*)</w:t>
            </w:r>
          </w:p>
        </w:tc>
        <w:tc>
          <w:tcPr>
            <w:tcW w:w="6945" w:type="dxa"/>
            <w:gridSpan w:val="3"/>
            <w:tcBorders>
              <w:top w:val="single" w:sz="4" w:space="0" w:color="auto"/>
              <w:left w:val="nil"/>
              <w:bottom w:val="nil"/>
              <w:right w:val="nil"/>
            </w:tcBorders>
            <w:shd w:val="clear" w:color="auto" w:fill="auto"/>
            <w:vAlign w:val="center"/>
          </w:tcPr>
          <w:p w14:paraId="0DFF3EFF" w14:textId="77777777" w:rsidR="0010523F" w:rsidRPr="0010523F" w:rsidRDefault="0010523F" w:rsidP="0010523F">
            <w:pPr>
              <w:spacing w:line="200" w:lineRule="atLeast"/>
              <w:rPr>
                <w:color w:val="000000"/>
                <w:sz w:val="22"/>
                <w:szCs w:val="22"/>
                <w:lang w:val="es-AR" w:eastAsia="en-US"/>
              </w:rPr>
            </w:pPr>
            <w:r w:rsidRPr="0010523F">
              <w:rPr>
                <w:color w:val="000000"/>
                <w:sz w:val="20"/>
                <w:szCs w:val="20"/>
                <w:lang w:val="es-AR" w:eastAsia="en-US"/>
              </w:rPr>
              <w:t>Sobregiro autorizado en cuentas corrientes bancarias.</w:t>
            </w:r>
          </w:p>
        </w:tc>
        <w:tc>
          <w:tcPr>
            <w:tcW w:w="1240" w:type="dxa"/>
            <w:tcBorders>
              <w:top w:val="single" w:sz="4" w:space="0" w:color="auto"/>
              <w:left w:val="nil"/>
              <w:bottom w:val="nil"/>
              <w:right w:val="nil"/>
            </w:tcBorders>
            <w:shd w:val="clear" w:color="auto" w:fill="auto"/>
            <w:vAlign w:val="bottom"/>
          </w:tcPr>
          <w:p w14:paraId="142080C0" w14:textId="77777777" w:rsidR="0010523F" w:rsidRPr="0010523F" w:rsidRDefault="0010523F" w:rsidP="0010523F">
            <w:pPr>
              <w:spacing w:line="200" w:lineRule="atLeast"/>
              <w:jc w:val="right"/>
              <w:rPr>
                <w:color w:val="000000"/>
                <w:sz w:val="22"/>
                <w:szCs w:val="22"/>
                <w:lang w:val="es-AR" w:eastAsia="en-US"/>
              </w:rPr>
            </w:pPr>
          </w:p>
        </w:tc>
      </w:tr>
    </w:tbl>
    <w:p w14:paraId="6DC4D05E" w14:textId="77777777" w:rsidR="0010523F" w:rsidRPr="0010523F" w:rsidRDefault="0010523F" w:rsidP="0010523F">
      <w:pPr>
        <w:spacing w:line="180" w:lineRule="exact"/>
        <w:rPr>
          <w:b/>
          <w:lang w:val="es-AR" w:eastAsia="en-US"/>
        </w:rPr>
      </w:pPr>
    </w:p>
    <w:p w14:paraId="327AA12F" w14:textId="77777777" w:rsidR="0010523F" w:rsidRPr="0010523F" w:rsidRDefault="0010523F" w:rsidP="0010523F">
      <w:pPr>
        <w:keepNext/>
        <w:spacing w:line="220" w:lineRule="exact"/>
        <w:jc w:val="both"/>
        <w:outlineLvl w:val="1"/>
        <w:rPr>
          <w:szCs w:val="20"/>
          <w:u w:val="single"/>
          <w:lang w:val="es-AR" w:eastAsia="en-US"/>
        </w:rPr>
      </w:pPr>
      <w:r w:rsidRPr="0010523F">
        <w:rPr>
          <w:szCs w:val="20"/>
          <w:u w:val="single"/>
          <w:lang w:val="es-AR" w:eastAsia="en-US"/>
        </w:rPr>
        <w:t>7.2 Obligaciones negociables</w:t>
      </w:r>
      <w:r w:rsidRPr="0010523F">
        <w:rPr>
          <w:szCs w:val="20"/>
          <w:lang w:val="es-AR" w:eastAsia="en-US"/>
        </w:rPr>
        <w:t xml:space="preserve"> </w:t>
      </w:r>
    </w:p>
    <w:p w14:paraId="25864571" w14:textId="77777777" w:rsidR="0010523F" w:rsidRPr="0010523F" w:rsidRDefault="0010523F" w:rsidP="0010523F">
      <w:pPr>
        <w:tabs>
          <w:tab w:val="center" w:pos="7293"/>
          <w:tab w:val="center" w:pos="8973"/>
        </w:tabs>
        <w:spacing w:line="160" w:lineRule="exact"/>
        <w:jc w:val="both"/>
        <w:rPr>
          <w:lang w:val="es-AR" w:eastAsia="en-US"/>
        </w:rPr>
      </w:pPr>
    </w:p>
    <w:p w14:paraId="2B22D0D3" w14:textId="77777777" w:rsidR="0010523F" w:rsidRPr="0010523F" w:rsidRDefault="0010523F" w:rsidP="0010523F">
      <w:pPr>
        <w:jc w:val="both"/>
        <w:rPr>
          <w:lang w:val="es-AR" w:eastAsia="en-US"/>
        </w:rPr>
      </w:pPr>
      <w:r w:rsidRPr="0010523F">
        <w:rPr>
          <w:lang w:val="es-AR" w:eastAsia="en-US"/>
        </w:rPr>
        <w:t>A continuación, se detallan las obligaciones negociables por clase con su respectiva tasa y fecha de vencimiento, comparativo con el ejercicio anterior:</w:t>
      </w:r>
    </w:p>
    <w:p w14:paraId="71B20125" w14:textId="77777777" w:rsidR="0010523F" w:rsidRPr="0010523F" w:rsidRDefault="0010523F" w:rsidP="0010523F">
      <w:pPr>
        <w:spacing w:line="200" w:lineRule="exact"/>
        <w:jc w:val="both"/>
        <w:rPr>
          <w:lang w:val="es-AR" w:eastAsia="en-US"/>
        </w:rPr>
      </w:pPr>
    </w:p>
    <w:tbl>
      <w:tblPr>
        <w:tblW w:w="9778" w:type="dxa"/>
        <w:tblInd w:w="70" w:type="dxa"/>
        <w:tblLayout w:type="fixed"/>
        <w:tblCellMar>
          <w:left w:w="70" w:type="dxa"/>
          <w:right w:w="70" w:type="dxa"/>
        </w:tblCellMar>
        <w:tblLook w:val="04A0" w:firstRow="1" w:lastRow="0" w:firstColumn="1" w:lastColumn="0" w:noHBand="0" w:noVBand="1"/>
      </w:tblPr>
      <w:tblGrid>
        <w:gridCol w:w="947"/>
        <w:gridCol w:w="1180"/>
        <w:gridCol w:w="992"/>
        <w:gridCol w:w="1418"/>
        <w:gridCol w:w="1460"/>
        <w:gridCol w:w="1327"/>
        <w:gridCol w:w="1181"/>
        <w:gridCol w:w="1273"/>
      </w:tblGrid>
      <w:tr w:rsidR="0010523F" w:rsidRPr="0010523F" w14:paraId="76DD039B" w14:textId="77777777" w:rsidTr="00774E7E">
        <w:trPr>
          <w:trHeight w:val="20"/>
        </w:trPr>
        <w:tc>
          <w:tcPr>
            <w:tcW w:w="947" w:type="dxa"/>
            <w:tcBorders>
              <w:top w:val="single" w:sz="4" w:space="0" w:color="auto"/>
              <w:left w:val="nil"/>
              <w:bottom w:val="single" w:sz="4" w:space="0" w:color="auto"/>
              <w:right w:val="nil"/>
            </w:tcBorders>
            <w:vAlign w:val="center"/>
          </w:tcPr>
          <w:p w14:paraId="54E2E81E"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Tomador original</w:t>
            </w:r>
          </w:p>
        </w:tc>
        <w:tc>
          <w:tcPr>
            <w:tcW w:w="1180" w:type="dxa"/>
            <w:tcBorders>
              <w:top w:val="single" w:sz="4" w:space="0" w:color="auto"/>
              <w:left w:val="nil"/>
              <w:bottom w:val="single" w:sz="4" w:space="0" w:color="auto"/>
              <w:right w:val="nil"/>
            </w:tcBorders>
            <w:shd w:val="clear" w:color="auto" w:fill="auto"/>
            <w:vAlign w:val="center"/>
            <w:hideMark/>
          </w:tcPr>
          <w:p w14:paraId="1FEFB485"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Clase</w:t>
            </w:r>
          </w:p>
        </w:tc>
        <w:tc>
          <w:tcPr>
            <w:tcW w:w="992" w:type="dxa"/>
            <w:tcBorders>
              <w:top w:val="single" w:sz="4" w:space="0" w:color="auto"/>
              <w:left w:val="nil"/>
              <w:bottom w:val="single" w:sz="4" w:space="0" w:color="auto"/>
              <w:right w:val="nil"/>
            </w:tcBorders>
            <w:shd w:val="clear" w:color="auto" w:fill="auto"/>
            <w:vAlign w:val="center"/>
            <w:hideMark/>
          </w:tcPr>
          <w:p w14:paraId="49ED2231"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Moneda</w:t>
            </w:r>
          </w:p>
        </w:tc>
        <w:tc>
          <w:tcPr>
            <w:tcW w:w="1418" w:type="dxa"/>
            <w:tcBorders>
              <w:top w:val="single" w:sz="4" w:space="0" w:color="auto"/>
              <w:left w:val="nil"/>
              <w:bottom w:val="single" w:sz="4" w:space="0" w:color="auto"/>
              <w:right w:val="nil"/>
            </w:tcBorders>
            <w:shd w:val="clear" w:color="auto" w:fill="auto"/>
            <w:vAlign w:val="center"/>
            <w:hideMark/>
          </w:tcPr>
          <w:p w14:paraId="29457D68"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Tasa de interés nominal (%)</w:t>
            </w:r>
          </w:p>
        </w:tc>
        <w:tc>
          <w:tcPr>
            <w:tcW w:w="1460" w:type="dxa"/>
            <w:tcBorders>
              <w:top w:val="single" w:sz="4" w:space="0" w:color="auto"/>
              <w:left w:val="nil"/>
              <w:bottom w:val="single" w:sz="4" w:space="0" w:color="auto"/>
              <w:right w:val="nil"/>
            </w:tcBorders>
            <w:shd w:val="clear" w:color="auto" w:fill="auto"/>
            <w:vAlign w:val="center"/>
            <w:hideMark/>
          </w:tcPr>
          <w:p w14:paraId="69E8BCD2"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Amortización de capital</w:t>
            </w:r>
          </w:p>
        </w:tc>
        <w:tc>
          <w:tcPr>
            <w:tcW w:w="1327" w:type="dxa"/>
            <w:tcBorders>
              <w:top w:val="single" w:sz="4" w:space="0" w:color="auto"/>
              <w:left w:val="nil"/>
              <w:bottom w:val="single" w:sz="4" w:space="0" w:color="auto"/>
              <w:right w:val="nil"/>
            </w:tcBorders>
            <w:shd w:val="clear" w:color="auto" w:fill="auto"/>
            <w:vAlign w:val="center"/>
            <w:hideMark/>
          </w:tcPr>
          <w:p w14:paraId="20A0AD6A"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Año de vencimiento</w:t>
            </w:r>
          </w:p>
        </w:tc>
        <w:tc>
          <w:tcPr>
            <w:tcW w:w="1181" w:type="dxa"/>
            <w:tcBorders>
              <w:top w:val="single" w:sz="4" w:space="0" w:color="auto"/>
              <w:left w:val="nil"/>
              <w:bottom w:val="single" w:sz="4" w:space="0" w:color="auto"/>
              <w:right w:val="nil"/>
            </w:tcBorders>
            <w:shd w:val="clear" w:color="auto" w:fill="auto"/>
            <w:vAlign w:val="center"/>
            <w:hideMark/>
          </w:tcPr>
          <w:p w14:paraId="4F298F47" w14:textId="77777777" w:rsidR="0010523F" w:rsidRPr="0010523F" w:rsidRDefault="0010523F" w:rsidP="0010523F">
            <w:pPr>
              <w:spacing w:line="220" w:lineRule="exact"/>
              <w:jc w:val="center"/>
              <w:rPr>
                <w:bCs/>
                <w:sz w:val="20"/>
                <w:szCs w:val="20"/>
                <w:lang w:val="es-AR" w:eastAsia="es-AR"/>
              </w:rPr>
            </w:pPr>
            <w:r w:rsidRPr="0010523F">
              <w:rPr>
                <w:bCs/>
                <w:sz w:val="20"/>
                <w:szCs w:val="20"/>
                <w:lang w:val="es-AR" w:eastAsia="es-AR"/>
              </w:rPr>
              <w:t>30/09/2019</w:t>
            </w:r>
          </w:p>
        </w:tc>
        <w:tc>
          <w:tcPr>
            <w:tcW w:w="1273" w:type="dxa"/>
            <w:tcBorders>
              <w:top w:val="single" w:sz="4" w:space="0" w:color="auto"/>
              <w:left w:val="nil"/>
              <w:bottom w:val="single" w:sz="4" w:space="0" w:color="auto"/>
              <w:right w:val="nil"/>
            </w:tcBorders>
            <w:shd w:val="clear" w:color="auto" w:fill="auto"/>
            <w:vAlign w:val="center"/>
            <w:hideMark/>
          </w:tcPr>
          <w:p w14:paraId="086A737C" w14:textId="77777777" w:rsidR="0010523F" w:rsidRPr="0010523F" w:rsidRDefault="0010523F" w:rsidP="0010523F">
            <w:pPr>
              <w:spacing w:line="220" w:lineRule="exact"/>
              <w:jc w:val="center"/>
              <w:rPr>
                <w:bCs/>
                <w:sz w:val="20"/>
                <w:szCs w:val="20"/>
                <w:lang w:val="es-AR" w:eastAsia="es-AR"/>
              </w:rPr>
            </w:pPr>
            <w:r w:rsidRPr="0010523F">
              <w:rPr>
                <w:bCs/>
                <w:sz w:val="20"/>
                <w:szCs w:val="20"/>
                <w:lang w:val="es-AR" w:eastAsia="es-AR"/>
              </w:rPr>
              <w:t>31/12/2018</w:t>
            </w:r>
          </w:p>
        </w:tc>
      </w:tr>
      <w:tr w:rsidR="0010523F" w:rsidRPr="0010523F" w14:paraId="24142671" w14:textId="77777777" w:rsidTr="00774E7E">
        <w:trPr>
          <w:trHeight w:val="57"/>
        </w:trPr>
        <w:tc>
          <w:tcPr>
            <w:tcW w:w="947" w:type="dxa"/>
            <w:tcBorders>
              <w:top w:val="nil"/>
              <w:left w:val="nil"/>
              <w:bottom w:val="nil"/>
              <w:right w:val="nil"/>
            </w:tcBorders>
          </w:tcPr>
          <w:p w14:paraId="17E04DEB"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PAE</w:t>
            </w:r>
          </w:p>
        </w:tc>
        <w:tc>
          <w:tcPr>
            <w:tcW w:w="1180" w:type="dxa"/>
            <w:tcBorders>
              <w:top w:val="nil"/>
              <w:left w:val="nil"/>
              <w:bottom w:val="nil"/>
              <w:right w:val="nil"/>
            </w:tcBorders>
            <w:shd w:val="clear" w:color="auto" w:fill="auto"/>
            <w:vAlign w:val="center"/>
            <w:hideMark/>
          </w:tcPr>
          <w:p w14:paraId="1319E68C"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Clase VII</w:t>
            </w:r>
          </w:p>
        </w:tc>
        <w:tc>
          <w:tcPr>
            <w:tcW w:w="992" w:type="dxa"/>
            <w:tcBorders>
              <w:top w:val="nil"/>
              <w:left w:val="nil"/>
              <w:bottom w:val="nil"/>
              <w:right w:val="nil"/>
            </w:tcBorders>
            <w:shd w:val="clear" w:color="auto" w:fill="auto"/>
            <w:vAlign w:val="center"/>
            <w:hideMark/>
          </w:tcPr>
          <w:p w14:paraId="63AE48D9"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Peso</w:t>
            </w:r>
          </w:p>
        </w:tc>
        <w:tc>
          <w:tcPr>
            <w:tcW w:w="1418" w:type="dxa"/>
            <w:tcBorders>
              <w:top w:val="nil"/>
              <w:left w:val="nil"/>
              <w:bottom w:val="nil"/>
              <w:right w:val="nil"/>
            </w:tcBorders>
            <w:shd w:val="clear" w:color="auto" w:fill="auto"/>
            <w:vAlign w:val="center"/>
            <w:hideMark/>
          </w:tcPr>
          <w:p w14:paraId="302D8B51"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(1)</w:t>
            </w:r>
          </w:p>
        </w:tc>
        <w:tc>
          <w:tcPr>
            <w:tcW w:w="1460" w:type="dxa"/>
            <w:tcBorders>
              <w:top w:val="nil"/>
              <w:left w:val="nil"/>
              <w:bottom w:val="nil"/>
              <w:right w:val="nil"/>
            </w:tcBorders>
            <w:shd w:val="clear" w:color="auto" w:fill="auto"/>
            <w:vAlign w:val="center"/>
            <w:hideMark/>
          </w:tcPr>
          <w:p w14:paraId="5E467E23"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(5)</w:t>
            </w:r>
          </w:p>
        </w:tc>
        <w:tc>
          <w:tcPr>
            <w:tcW w:w="1327" w:type="dxa"/>
            <w:tcBorders>
              <w:top w:val="nil"/>
              <w:left w:val="nil"/>
              <w:bottom w:val="nil"/>
              <w:right w:val="nil"/>
            </w:tcBorders>
            <w:shd w:val="clear" w:color="auto" w:fill="auto"/>
            <w:vAlign w:val="center"/>
            <w:hideMark/>
          </w:tcPr>
          <w:p w14:paraId="5161EB24"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2020</w:t>
            </w:r>
          </w:p>
        </w:tc>
        <w:tc>
          <w:tcPr>
            <w:tcW w:w="1181" w:type="dxa"/>
            <w:tcBorders>
              <w:top w:val="nil"/>
              <w:left w:val="nil"/>
              <w:bottom w:val="nil"/>
              <w:right w:val="nil"/>
            </w:tcBorders>
            <w:shd w:val="clear" w:color="auto" w:fill="auto"/>
            <w:vAlign w:val="center"/>
            <w:hideMark/>
          </w:tcPr>
          <w:p w14:paraId="3486A988"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400 </w:t>
            </w:r>
          </w:p>
        </w:tc>
        <w:tc>
          <w:tcPr>
            <w:tcW w:w="1273" w:type="dxa"/>
            <w:tcBorders>
              <w:top w:val="nil"/>
              <w:left w:val="nil"/>
              <w:bottom w:val="nil"/>
              <w:right w:val="nil"/>
            </w:tcBorders>
            <w:shd w:val="clear" w:color="auto" w:fill="auto"/>
            <w:vAlign w:val="center"/>
            <w:hideMark/>
          </w:tcPr>
          <w:p w14:paraId="2D229E00"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400 </w:t>
            </w:r>
          </w:p>
        </w:tc>
      </w:tr>
      <w:tr w:rsidR="0010523F" w:rsidRPr="0010523F" w14:paraId="12C75FEE" w14:textId="77777777" w:rsidTr="00774E7E">
        <w:trPr>
          <w:trHeight w:val="57"/>
        </w:trPr>
        <w:tc>
          <w:tcPr>
            <w:tcW w:w="947" w:type="dxa"/>
            <w:tcBorders>
              <w:top w:val="nil"/>
              <w:left w:val="nil"/>
              <w:bottom w:val="nil"/>
              <w:right w:val="nil"/>
            </w:tcBorders>
          </w:tcPr>
          <w:p w14:paraId="3413789F"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PAE</w:t>
            </w:r>
          </w:p>
        </w:tc>
        <w:tc>
          <w:tcPr>
            <w:tcW w:w="1180" w:type="dxa"/>
            <w:tcBorders>
              <w:top w:val="nil"/>
              <w:left w:val="nil"/>
              <w:bottom w:val="nil"/>
              <w:right w:val="nil"/>
            </w:tcBorders>
            <w:shd w:val="clear" w:color="auto" w:fill="auto"/>
            <w:vAlign w:val="center"/>
            <w:hideMark/>
          </w:tcPr>
          <w:p w14:paraId="6A072EBF"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Clase VIII</w:t>
            </w:r>
          </w:p>
        </w:tc>
        <w:tc>
          <w:tcPr>
            <w:tcW w:w="992" w:type="dxa"/>
            <w:tcBorders>
              <w:top w:val="nil"/>
              <w:left w:val="nil"/>
              <w:bottom w:val="nil"/>
              <w:right w:val="nil"/>
            </w:tcBorders>
            <w:shd w:val="clear" w:color="auto" w:fill="auto"/>
            <w:vAlign w:val="center"/>
            <w:hideMark/>
          </w:tcPr>
          <w:p w14:paraId="30993E10"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Peso</w:t>
            </w:r>
          </w:p>
        </w:tc>
        <w:tc>
          <w:tcPr>
            <w:tcW w:w="1418" w:type="dxa"/>
            <w:tcBorders>
              <w:top w:val="nil"/>
              <w:left w:val="nil"/>
              <w:bottom w:val="nil"/>
              <w:right w:val="nil"/>
            </w:tcBorders>
            <w:shd w:val="clear" w:color="auto" w:fill="auto"/>
            <w:vAlign w:val="center"/>
            <w:hideMark/>
          </w:tcPr>
          <w:p w14:paraId="01EEBC24"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(1)</w:t>
            </w:r>
          </w:p>
        </w:tc>
        <w:tc>
          <w:tcPr>
            <w:tcW w:w="1460" w:type="dxa"/>
            <w:tcBorders>
              <w:top w:val="nil"/>
              <w:left w:val="nil"/>
              <w:bottom w:val="nil"/>
              <w:right w:val="nil"/>
            </w:tcBorders>
            <w:shd w:val="clear" w:color="auto" w:fill="auto"/>
            <w:vAlign w:val="center"/>
            <w:hideMark/>
          </w:tcPr>
          <w:p w14:paraId="3EB459C4"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(5)</w:t>
            </w:r>
          </w:p>
        </w:tc>
        <w:tc>
          <w:tcPr>
            <w:tcW w:w="1327" w:type="dxa"/>
            <w:tcBorders>
              <w:top w:val="nil"/>
              <w:left w:val="nil"/>
              <w:bottom w:val="nil"/>
              <w:right w:val="nil"/>
            </w:tcBorders>
            <w:shd w:val="clear" w:color="auto" w:fill="auto"/>
            <w:vAlign w:val="center"/>
            <w:hideMark/>
          </w:tcPr>
          <w:p w14:paraId="27E47FE3"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2020</w:t>
            </w:r>
          </w:p>
        </w:tc>
        <w:tc>
          <w:tcPr>
            <w:tcW w:w="1181" w:type="dxa"/>
            <w:tcBorders>
              <w:top w:val="nil"/>
              <w:left w:val="nil"/>
              <w:bottom w:val="nil"/>
              <w:right w:val="nil"/>
            </w:tcBorders>
            <w:shd w:val="clear" w:color="auto" w:fill="auto"/>
            <w:vAlign w:val="center"/>
            <w:hideMark/>
          </w:tcPr>
          <w:p w14:paraId="040ADD1E"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1.000 </w:t>
            </w:r>
          </w:p>
        </w:tc>
        <w:tc>
          <w:tcPr>
            <w:tcW w:w="1273" w:type="dxa"/>
            <w:tcBorders>
              <w:top w:val="nil"/>
              <w:left w:val="nil"/>
              <w:bottom w:val="nil"/>
              <w:right w:val="nil"/>
            </w:tcBorders>
            <w:shd w:val="clear" w:color="auto" w:fill="auto"/>
            <w:vAlign w:val="center"/>
            <w:hideMark/>
          </w:tcPr>
          <w:p w14:paraId="2FD17D79"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1.000 </w:t>
            </w:r>
          </w:p>
        </w:tc>
      </w:tr>
      <w:tr w:rsidR="0010523F" w:rsidRPr="0010523F" w14:paraId="44AF045D" w14:textId="77777777" w:rsidTr="00774E7E">
        <w:trPr>
          <w:trHeight w:val="57"/>
        </w:trPr>
        <w:tc>
          <w:tcPr>
            <w:tcW w:w="947" w:type="dxa"/>
            <w:tcBorders>
              <w:top w:val="nil"/>
              <w:left w:val="nil"/>
              <w:bottom w:val="nil"/>
              <w:right w:val="nil"/>
            </w:tcBorders>
          </w:tcPr>
          <w:p w14:paraId="05B7E031"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Axion</w:t>
            </w:r>
          </w:p>
        </w:tc>
        <w:tc>
          <w:tcPr>
            <w:tcW w:w="1180" w:type="dxa"/>
            <w:tcBorders>
              <w:top w:val="nil"/>
              <w:left w:val="nil"/>
              <w:bottom w:val="nil"/>
              <w:right w:val="nil"/>
            </w:tcBorders>
            <w:shd w:val="clear" w:color="auto" w:fill="auto"/>
            <w:vAlign w:val="center"/>
            <w:hideMark/>
          </w:tcPr>
          <w:p w14:paraId="7A206A26"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Clase III</w:t>
            </w:r>
          </w:p>
        </w:tc>
        <w:tc>
          <w:tcPr>
            <w:tcW w:w="992" w:type="dxa"/>
            <w:tcBorders>
              <w:top w:val="nil"/>
              <w:left w:val="nil"/>
              <w:bottom w:val="nil"/>
              <w:right w:val="nil"/>
            </w:tcBorders>
            <w:shd w:val="clear" w:color="auto" w:fill="auto"/>
            <w:vAlign w:val="center"/>
            <w:hideMark/>
          </w:tcPr>
          <w:p w14:paraId="48953668"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Peso</w:t>
            </w:r>
          </w:p>
        </w:tc>
        <w:tc>
          <w:tcPr>
            <w:tcW w:w="1418" w:type="dxa"/>
            <w:tcBorders>
              <w:top w:val="nil"/>
              <w:left w:val="nil"/>
              <w:bottom w:val="nil"/>
              <w:right w:val="nil"/>
            </w:tcBorders>
            <w:shd w:val="clear" w:color="auto" w:fill="auto"/>
            <w:vAlign w:val="center"/>
            <w:hideMark/>
          </w:tcPr>
          <w:p w14:paraId="1F54FE56"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(2)</w:t>
            </w:r>
          </w:p>
        </w:tc>
        <w:tc>
          <w:tcPr>
            <w:tcW w:w="1460" w:type="dxa"/>
            <w:tcBorders>
              <w:top w:val="nil"/>
              <w:left w:val="nil"/>
              <w:bottom w:val="nil"/>
              <w:right w:val="nil"/>
            </w:tcBorders>
            <w:shd w:val="clear" w:color="auto" w:fill="auto"/>
            <w:vAlign w:val="center"/>
            <w:hideMark/>
          </w:tcPr>
          <w:p w14:paraId="1AADF8D2"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(5)</w:t>
            </w:r>
          </w:p>
        </w:tc>
        <w:tc>
          <w:tcPr>
            <w:tcW w:w="1327" w:type="dxa"/>
            <w:tcBorders>
              <w:top w:val="nil"/>
              <w:left w:val="nil"/>
              <w:bottom w:val="nil"/>
              <w:right w:val="nil"/>
            </w:tcBorders>
            <w:shd w:val="clear" w:color="auto" w:fill="auto"/>
            <w:vAlign w:val="center"/>
            <w:hideMark/>
          </w:tcPr>
          <w:p w14:paraId="1F2F4005"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2020</w:t>
            </w:r>
          </w:p>
        </w:tc>
        <w:tc>
          <w:tcPr>
            <w:tcW w:w="1181" w:type="dxa"/>
            <w:tcBorders>
              <w:top w:val="nil"/>
              <w:left w:val="nil"/>
              <w:bottom w:val="nil"/>
              <w:right w:val="nil"/>
            </w:tcBorders>
            <w:shd w:val="clear" w:color="auto" w:fill="auto"/>
            <w:vAlign w:val="center"/>
            <w:hideMark/>
          </w:tcPr>
          <w:p w14:paraId="72B7CE57"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300 </w:t>
            </w:r>
          </w:p>
        </w:tc>
        <w:tc>
          <w:tcPr>
            <w:tcW w:w="1273" w:type="dxa"/>
            <w:tcBorders>
              <w:top w:val="nil"/>
              <w:left w:val="nil"/>
              <w:bottom w:val="nil"/>
              <w:right w:val="nil"/>
            </w:tcBorders>
            <w:shd w:val="clear" w:color="auto" w:fill="auto"/>
            <w:vAlign w:val="center"/>
            <w:hideMark/>
          </w:tcPr>
          <w:p w14:paraId="1073C73C" w14:textId="77777777" w:rsidR="0010523F" w:rsidRPr="0010523F" w:rsidRDefault="0010523F" w:rsidP="0010523F">
            <w:pPr>
              <w:spacing w:line="220" w:lineRule="exact"/>
              <w:jc w:val="right"/>
              <w:rPr>
                <w:sz w:val="20"/>
                <w:szCs w:val="20"/>
                <w:highlight w:val="yellow"/>
                <w:lang w:val="es-AR" w:eastAsia="es-AR"/>
              </w:rPr>
            </w:pPr>
            <w:r w:rsidRPr="0010523F">
              <w:rPr>
                <w:sz w:val="20"/>
                <w:szCs w:val="20"/>
                <w:lang w:val="es-AR" w:eastAsia="es-AR"/>
              </w:rPr>
              <w:t xml:space="preserve">300 </w:t>
            </w:r>
          </w:p>
        </w:tc>
      </w:tr>
      <w:tr w:rsidR="0010523F" w:rsidRPr="0010523F" w14:paraId="66362D91" w14:textId="77777777" w:rsidTr="00774E7E">
        <w:trPr>
          <w:trHeight w:val="57"/>
        </w:trPr>
        <w:tc>
          <w:tcPr>
            <w:tcW w:w="947" w:type="dxa"/>
            <w:tcBorders>
              <w:top w:val="nil"/>
              <w:left w:val="nil"/>
              <w:bottom w:val="nil"/>
              <w:right w:val="nil"/>
            </w:tcBorders>
          </w:tcPr>
          <w:p w14:paraId="09474D23"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Axion</w:t>
            </w:r>
          </w:p>
        </w:tc>
        <w:tc>
          <w:tcPr>
            <w:tcW w:w="1180" w:type="dxa"/>
            <w:tcBorders>
              <w:top w:val="nil"/>
              <w:left w:val="nil"/>
              <w:bottom w:val="nil"/>
              <w:right w:val="nil"/>
            </w:tcBorders>
            <w:shd w:val="clear" w:color="auto" w:fill="auto"/>
            <w:vAlign w:val="center"/>
            <w:hideMark/>
          </w:tcPr>
          <w:p w14:paraId="0F66FA08"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Clase IV</w:t>
            </w:r>
          </w:p>
        </w:tc>
        <w:tc>
          <w:tcPr>
            <w:tcW w:w="992" w:type="dxa"/>
            <w:tcBorders>
              <w:top w:val="nil"/>
              <w:left w:val="nil"/>
              <w:bottom w:val="nil"/>
              <w:right w:val="nil"/>
            </w:tcBorders>
            <w:shd w:val="clear" w:color="auto" w:fill="auto"/>
            <w:vAlign w:val="center"/>
            <w:hideMark/>
          </w:tcPr>
          <w:p w14:paraId="7C92AEDD"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Peso</w:t>
            </w:r>
          </w:p>
        </w:tc>
        <w:tc>
          <w:tcPr>
            <w:tcW w:w="1418" w:type="dxa"/>
            <w:tcBorders>
              <w:top w:val="nil"/>
              <w:left w:val="nil"/>
              <w:bottom w:val="nil"/>
              <w:right w:val="nil"/>
            </w:tcBorders>
            <w:shd w:val="clear" w:color="auto" w:fill="auto"/>
            <w:vAlign w:val="center"/>
            <w:hideMark/>
          </w:tcPr>
          <w:p w14:paraId="224B49B3"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(3)</w:t>
            </w:r>
          </w:p>
        </w:tc>
        <w:tc>
          <w:tcPr>
            <w:tcW w:w="1460" w:type="dxa"/>
            <w:tcBorders>
              <w:top w:val="nil"/>
              <w:left w:val="nil"/>
              <w:bottom w:val="nil"/>
              <w:right w:val="nil"/>
            </w:tcBorders>
            <w:shd w:val="clear" w:color="auto" w:fill="auto"/>
            <w:vAlign w:val="center"/>
            <w:hideMark/>
          </w:tcPr>
          <w:p w14:paraId="3D5723C8"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(5)</w:t>
            </w:r>
          </w:p>
        </w:tc>
        <w:tc>
          <w:tcPr>
            <w:tcW w:w="1327" w:type="dxa"/>
            <w:tcBorders>
              <w:top w:val="nil"/>
              <w:left w:val="nil"/>
              <w:bottom w:val="nil"/>
              <w:right w:val="nil"/>
            </w:tcBorders>
            <w:shd w:val="clear" w:color="auto" w:fill="auto"/>
            <w:vAlign w:val="center"/>
            <w:hideMark/>
          </w:tcPr>
          <w:p w14:paraId="53047BA2"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2020</w:t>
            </w:r>
          </w:p>
        </w:tc>
        <w:tc>
          <w:tcPr>
            <w:tcW w:w="1181" w:type="dxa"/>
            <w:tcBorders>
              <w:top w:val="nil"/>
              <w:left w:val="nil"/>
              <w:bottom w:val="nil"/>
              <w:right w:val="nil"/>
            </w:tcBorders>
            <w:shd w:val="clear" w:color="auto" w:fill="auto"/>
            <w:vAlign w:val="center"/>
            <w:hideMark/>
          </w:tcPr>
          <w:p w14:paraId="6E07D6BB"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150 </w:t>
            </w:r>
          </w:p>
        </w:tc>
        <w:tc>
          <w:tcPr>
            <w:tcW w:w="1273" w:type="dxa"/>
            <w:tcBorders>
              <w:top w:val="nil"/>
              <w:left w:val="nil"/>
              <w:bottom w:val="nil"/>
              <w:right w:val="nil"/>
            </w:tcBorders>
            <w:shd w:val="clear" w:color="auto" w:fill="auto"/>
            <w:vAlign w:val="center"/>
            <w:hideMark/>
          </w:tcPr>
          <w:p w14:paraId="3DC5BED1"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150 </w:t>
            </w:r>
          </w:p>
        </w:tc>
      </w:tr>
      <w:tr w:rsidR="0010523F" w:rsidRPr="0010523F" w14:paraId="067846C3" w14:textId="77777777" w:rsidTr="00774E7E">
        <w:trPr>
          <w:trHeight w:val="57"/>
        </w:trPr>
        <w:tc>
          <w:tcPr>
            <w:tcW w:w="947" w:type="dxa"/>
            <w:tcBorders>
              <w:top w:val="nil"/>
              <w:left w:val="nil"/>
              <w:bottom w:val="nil"/>
              <w:right w:val="nil"/>
            </w:tcBorders>
          </w:tcPr>
          <w:p w14:paraId="477F051E"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Axion</w:t>
            </w:r>
          </w:p>
        </w:tc>
        <w:tc>
          <w:tcPr>
            <w:tcW w:w="1180" w:type="dxa"/>
            <w:tcBorders>
              <w:top w:val="nil"/>
              <w:left w:val="nil"/>
              <w:bottom w:val="nil"/>
              <w:right w:val="nil"/>
            </w:tcBorders>
            <w:shd w:val="clear" w:color="auto" w:fill="auto"/>
            <w:vAlign w:val="center"/>
            <w:hideMark/>
          </w:tcPr>
          <w:p w14:paraId="6EF429E3"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Clase VI</w:t>
            </w:r>
          </w:p>
        </w:tc>
        <w:tc>
          <w:tcPr>
            <w:tcW w:w="992" w:type="dxa"/>
            <w:tcBorders>
              <w:top w:val="nil"/>
              <w:left w:val="nil"/>
              <w:bottom w:val="nil"/>
              <w:right w:val="nil"/>
            </w:tcBorders>
            <w:shd w:val="clear" w:color="auto" w:fill="auto"/>
            <w:vAlign w:val="center"/>
            <w:hideMark/>
          </w:tcPr>
          <w:p w14:paraId="27F7C913"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Peso</w:t>
            </w:r>
          </w:p>
        </w:tc>
        <w:tc>
          <w:tcPr>
            <w:tcW w:w="1418" w:type="dxa"/>
            <w:tcBorders>
              <w:top w:val="nil"/>
              <w:left w:val="nil"/>
              <w:bottom w:val="nil"/>
              <w:right w:val="nil"/>
            </w:tcBorders>
            <w:shd w:val="clear" w:color="auto" w:fill="auto"/>
            <w:vAlign w:val="center"/>
            <w:hideMark/>
          </w:tcPr>
          <w:p w14:paraId="67E9AF0C"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(1)</w:t>
            </w:r>
          </w:p>
        </w:tc>
        <w:tc>
          <w:tcPr>
            <w:tcW w:w="1460" w:type="dxa"/>
            <w:tcBorders>
              <w:top w:val="nil"/>
              <w:left w:val="nil"/>
              <w:bottom w:val="nil"/>
              <w:right w:val="nil"/>
            </w:tcBorders>
            <w:shd w:val="clear" w:color="auto" w:fill="auto"/>
            <w:vAlign w:val="center"/>
            <w:hideMark/>
          </w:tcPr>
          <w:p w14:paraId="0AED54B3"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(5)</w:t>
            </w:r>
          </w:p>
        </w:tc>
        <w:tc>
          <w:tcPr>
            <w:tcW w:w="1327" w:type="dxa"/>
            <w:tcBorders>
              <w:top w:val="nil"/>
              <w:left w:val="nil"/>
              <w:bottom w:val="nil"/>
              <w:right w:val="nil"/>
            </w:tcBorders>
            <w:shd w:val="clear" w:color="auto" w:fill="auto"/>
            <w:vAlign w:val="center"/>
            <w:hideMark/>
          </w:tcPr>
          <w:p w14:paraId="4DD71BBC"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2020</w:t>
            </w:r>
          </w:p>
        </w:tc>
        <w:tc>
          <w:tcPr>
            <w:tcW w:w="1181" w:type="dxa"/>
            <w:tcBorders>
              <w:top w:val="nil"/>
              <w:left w:val="nil"/>
              <w:bottom w:val="nil"/>
              <w:right w:val="nil"/>
            </w:tcBorders>
            <w:shd w:val="clear" w:color="auto" w:fill="auto"/>
            <w:vAlign w:val="center"/>
            <w:hideMark/>
          </w:tcPr>
          <w:p w14:paraId="504FEACA"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450 </w:t>
            </w:r>
          </w:p>
        </w:tc>
        <w:tc>
          <w:tcPr>
            <w:tcW w:w="1273" w:type="dxa"/>
            <w:tcBorders>
              <w:top w:val="nil"/>
              <w:left w:val="nil"/>
              <w:bottom w:val="nil"/>
              <w:right w:val="nil"/>
            </w:tcBorders>
            <w:shd w:val="clear" w:color="auto" w:fill="auto"/>
            <w:vAlign w:val="center"/>
            <w:hideMark/>
          </w:tcPr>
          <w:p w14:paraId="24EF2C03"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450 </w:t>
            </w:r>
          </w:p>
        </w:tc>
      </w:tr>
      <w:tr w:rsidR="0010523F" w:rsidRPr="0010523F" w14:paraId="768DD131" w14:textId="77777777" w:rsidTr="00774E7E">
        <w:trPr>
          <w:trHeight w:val="57"/>
        </w:trPr>
        <w:tc>
          <w:tcPr>
            <w:tcW w:w="947" w:type="dxa"/>
            <w:tcBorders>
              <w:top w:val="nil"/>
              <w:left w:val="nil"/>
              <w:bottom w:val="single" w:sz="4" w:space="0" w:color="auto"/>
              <w:right w:val="nil"/>
            </w:tcBorders>
          </w:tcPr>
          <w:p w14:paraId="4F3F47E2"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PAE</w:t>
            </w:r>
          </w:p>
        </w:tc>
        <w:tc>
          <w:tcPr>
            <w:tcW w:w="1180" w:type="dxa"/>
            <w:tcBorders>
              <w:top w:val="nil"/>
              <w:left w:val="nil"/>
              <w:bottom w:val="single" w:sz="4" w:space="0" w:color="auto"/>
              <w:right w:val="nil"/>
            </w:tcBorders>
            <w:shd w:val="clear" w:color="auto" w:fill="auto"/>
            <w:vAlign w:val="center"/>
          </w:tcPr>
          <w:p w14:paraId="49B586E9"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Clase 1</w:t>
            </w:r>
          </w:p>
        </w:tc>
        <w:tc>
          <w:tcPr>
            <w:tcW w:w="992" w:type="dxa"/>
            <w:tcBorders>
              <w:top w:val="nil"/>
              <w:left w:val="nil"/>
              <w:bottom w:val="single" w:sz="4" w:space="0" w:color="auto"/>
              <w:right w:val="nil"/>
            </w:tcBorders>
            <w:shd w:val="clear" w:color="auto" w:fill="auto"/>
            <w:vAlign w:val="center"/>
          </w:tcPr>
          <w:p w14:paraId="5405825E" w14:textId="77777777" w:rsidR="0010523F" w:rsidRPr="0010523F" w:rsidRDefault="0010523F" w:rsidP="0010523F">
            <w:pPr>
              <w:spacing w:line="220" w:lineRule="exact"/>
              <w:jc w:val="both"/>
              <w:rPr>
                <w:sz w:val="20"/>
                <w:szCs w:val="20"/>
                <w:lang w:val="es-AR" w:eastAsia="es-AR"/>
              </w:rPr>
            </w:pPr>
            <w:r w:rsidRPr="0010523F">
              <w:rPr>
                <w:sz w:val="20"/>
                <w:szCs w:val="20"/>
                <w:lang w:val="es-AR" w:eastAsia="es-AR"/>
              </w:rPr>
              <w:t>Dólar</w:t>
            </w:r>
          </w:p>
        </w:tc>
        <w:tc>
          <w:tcPr>
            <w:tcW w:w="1418" w:type="dxa"/>
            <w:tcBorders>
              <w:top w:val="nil"/>
              <w:left w:val="nil"/>
              <w:bottom w:val="single" w:sz="4" w:space="0" w:color="auto"/>
              <w:right w:val="nil"/>
            </w:tcBorders>
            <w:shd w:val="clear" w:color="auto" w:fill="auto"/>
            <w:vAlign w:val="center"/>
          </w:tcPr>
          <w:p w14:paraId="7267354D"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7,88 (4)</w:t>
            </w:r>
          </w:p>
        </w:tc>
        <w:tc>
          <w:tcPr>
            <w:tcW w:w="1460" w:type="dxa"/>
            <w:tcBorders>
              <w:top w:val="nil"/>
              <w:left w:val="nil"/>
              <w:bottom w:val="single" w:sz="4" w:space="0" w:color="auto"/>
              <w:right w:val="nil"/>
            </w:tcBorders>
            <w:shd w:val="clear" w:color="auto" w:fill="auto"/>
            <w:vAlign w:val="center"/>
          </w:tcPr>
          <w:p w14:paraId="7C74AD0D"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(6)</w:t>
            </w:r>
          </w:p>
        </w:tc>
        <w:tc>
          <w:tcPr>
            <w:tcW w:w="1327" w:type="dxa"/>
            <w:tcBorders>
              <w:top w:val="nil"/>
              <w:left w:val="nil"/>
              <w:bottom w:val="single" w:sz="4" w:space="0" w:color="auto"/>
              <w:right w:val="nil"/>
            </w:tcBorders>
            <w:shd w:val="clear" w:color="auto" w:fill="auto"/>
            <w:vAlign w:val="center"/>
          </w:tcPr>
          <w:p w14:paraId="231FC316" w14:textId="77777777" w:rsidR="0010523F" w:rsidRPr="0010523F" w:rsidRDefault="0010523F" w:rsidP="0010523F">
            <w:pPr>
              <w:spacing w:line="220" w:lineRule="exact"/>
              <w:jc w:val="center"/>
              <w:rPr>
                <w:sz w:val="20"/>
                <w:szCs w:val="20"/>
                <w:lang w:val="es-AR" w:eastAsia="es-AR"/>
              </w:rPr>
            </w:pPr>
            <w:r w:rsidRPr="0010523F">
              <w:rPr>
                <w:sz w:val="20"/>
                <w:szCs w:val="20"/>
                <w:lang w:val="es-AR" w:eastAsia="es-AR"/>
              </w:rPr>
              <w:t>2021</w:t>
            </w:r>
          </w:p>
        </w:tc>
        <w:tc>
          <w:tcPr>
            <w:tcW w:w="1181" w:type="dxa"/>
            <w:tcBorders>
              <w:top w:val="nil"/>
              <w:left w:val="nil"/>
              <w:bottom w:val="single" w:sz="4" w:space="0" w:color="auto"/>
              <w:right w:val="nil"/>
            </w:tcBorders>
            <w:shd w:val="clear" w:color="auto" w:fill="auto"/>
            <w:vAlign w:val="center"/>
          </w:tcPr>
          <w:p w14:paraId="148BE41C" w14:textId="77777777" w:rsidR="0010523F" w:rsidRPr="0010523F" w:rsidRDefault="0010523F" w:rsidP="0010523F">
            <w:pPr>
              <w:spacing w:line="220" w:lineRule="exact"/>
              <w:jc w:val="right"/>
              <w:rPr>
                <w:sz w:val="20"/>
                <w:szCs w:val="20"/>
                <w:lang w:val="es-AR" w:eastAsia="es-AR"/>
              </w:rPr>
            </w:pPr>
            <w:r w:rsidRPr="0010523F">
              <w:rPr>
                <w:sz w:val="20"/>
                <w:szCs w:val="20"/>
                <w:lang w:val="es-AR" w:eastAsia="es-AR"/>
              </w:rPr>
              <w:t xml:space="preserve">19.086 </w:t>
            </w:r>
          </w:p>
        </w:tc>
        <w:tc>
          <w:tcPr>
            <w:tcW w:w="1273" w:type="dxa"/>
            <w:tcBorders>
              <w:top w:val="nil"/>
              <w:left w:val="nil"/>
              <w:bottom w:val="single" w:sz="4" w:space="0" w:color="auto"/>
              <w:right w:val="nil"/>
            </w:tcBorders>
            <w:shd w:val="clear" w:color="auto" w:fill="auto"/>
            <w:vAlign w:val="center"/>
          </w:tcPr>
          <w:p w14:paraId="55BAB3BA" w14:textId="77777777" w:rsidR="0010523F" w:rsidRPr="0010523F" w:rsidRDefault="0010523F" w:rsidP="0010523F">
            <w:pPr>
              <w:spacing w:line="220" w:lineRule="exact"/>
              <w:jc w:val="right"/>
              <w:rPr>
                <w:sz w:val="20"/>
                <w:szCs w:val="20"/>
                <w:highlight w:val="yellow"/>
                <w:lang w:val="es-AR" w:eastAsia="es-AR"/>
              </w:rPr>
            </w:pPr>
            <w:r w:rsidRPr="0010523F">
              <w:rPr>
                <w:sz w:val="20"/>
                <w:szCs w:val="20"/>
                <w:lang w:val="es-AR" w:eastAsia="es-AR"/>
              </w:rPr>
              <w:t xml:space="preserve">18.829 </w:t>
            </w:r>
          </w:p>
        </w:tc>
      </w:tr>
      <w:tr w:rsidR="0010523F" w:rsidRPr="0010523F" w14:paraId="08555DAA" w14:textId="77777777" w:rsidTr="00774E7E">
        <w:trPr>
          <w:trHeight w:val="57"/>
        </w:trPr>
        <w:tc>
          <w:tcPr>
            <w:tcW w:w="947" w:type="dxa"/>
            <w:tcBorders>
              <w:top w:val="single" w:sz="4" w:space="0" w:color="auto"/>
              <w:left w:val="nil"/>
              <w:bottom w:val="single" w:sz="4" w:space="0" w:color="auto"/>
              <w:right w:val="nil"/>
            </w:tcBorders>
          </w:tcPr>
          <w:p w14:paraId="399F30D9" w14:textId="77777777" w:rsidR="0010523F" w:rsidRPr="0010523F" w:rsidRDefault="0010523F" w:rsidP="0010523F">
            <w:pPr>
              <w:spacing w:line="220" w:lineRule="exact"/>
              <w:rPr>
                <w:bCs/>
                <w:sz w:val="20"/>
                <w:szCs w:val="20"/>
                <w:lang w:val="es-AR" w:eastAsia="es-AR"/>
              </w:rPr>
            </w:pPr>
          </w:p>
        </w:tc>
        <w:tc>
          <w:tcPr>
            <w:tcW w:w="6377" w:type="dxa"/>
            <w:gridSpan w:val="5"/>
            <w:tcBorders>
              <w:top w:val="single" w:sz="4" w:space="0" w:color="auto"/>
              <w:left w:val="nil"/>
              <w:bottom w:val="single" w:sz="4" w:space="0" w:color="auto"/>
              <w:right w:val="nil"/>
            </w:tcBorders>
            <w:shd w:val="clear" w:color="auto" w:fill="auto"/>
            <w:noWrap/>
            <w:vAlign w:val="center"/>
            <w:hideMark/>
          </w:tcPr>
          <w:p w14:paraId="2B21CBFA" w14:textId="77777777" w:rsidR="0010523F" w:rsidRPr="0010523F" w:rsidRDefault="0010523F" w:rsidP="0010523F">
            <w:pPr>
              <w:spacing w:line="220" w:lineRule="exact"/>
              <w:rPr>
                <w:bCs/>
                <w:sz w:val="20"/>
                <w:szCs w:val="20"/>
                <w:lang w:val="es-AR" w:eastAsia="es-AR"/>
              </w:rPr>
            </w:pPr>
            <w:r w:rsidRPr="0010523F">
              <w:rPr>
                <w:bCs/>
                <w:sz w:val="20"/>
                <w:szCs w:val="20"/>
                <w:lang w:val="es-AR" w:eastAsia="es-AR"/>
              </w:rPr>
              <w:t>Total adeudado por obligaciones negociables</w:t>
            </w:r>
          </w:p>
        </w:tc>
        <w:tc>
          <w:tcPr>
            <w:tcW w:w="1181" w:type="dxa"/>
            <w:tcBorders>
              <w:top w:val="single" w:sz="4" w:space="0" w:color="auto"/>
              <w:left w:val="nil"/>
              <w:bottom w:val="single" w:sz="4" w:space="0" w:color="auto"/>
              <w:right w:val="nil"/>
            </w:tcBorders>
            <w:shd w:val="clear" w:color="auto" w:fill="auto"/>
            <w:vAlign w:val="center"/>
            <w:hideMark/>
          </w:tcPr>
          <w:p w14:paraId="4A9AF2D0" w14:textId="77777777" w:rsidR="0010523F" w:rsidRPr="0010523F" w:rsidRDefault="0010523F" w:rsidP="0010523F">
            <w:pPr>
              <w:spacing w:line="220" w:lineRule="exact"/>
              <w:jc w:val="right"/>
              <w:rPr>
                <w:bCs/>
                <w:sz w:val="20"/>
                <w:szCs w:val="20"/>
                <w:lang w:val="es-AR" w:eastAsia="es-AR"/>
              </w:rPr>
            </w:pPr>
            <w:r w:rsidRPr="0010523F">
              <w:rPr>
                <w:bCs/>
                <w:sz w:val="20"/>
                <w:szCs w:val="20"/>
                <w:lang w:val="es-AR" w:eastAsia="es-AR"/>
              </w:rPr>
              <w:t xml:space="preserve">21.386 </w:t>
            </w:r>
          </w:p>
        </w:tc>
        <w:tc>
          <w:tcPr>
            <w:tcW w:w="1273" w:type="dxa"/>
            <w:tcBorders>
              <w:top w:val="single" w:sz="4" w:space="0" w:color="auto"/>
              <w:left w:val="nil"/>
              <w:bottom w:val="single" w:sz="4" w:space="0" w:color="auto"/>
              <w:right w:val="nil"/>
            </w:tcBorders>
            <w:shd w:val="clear" w:color="auto" w:fill="auto"/>
            <w:vAlign w:val="center"/>
            <w:hideMark/>
          </w:tcPr>
          <w:p w14:paraId="3561E9DC" w14:textId="77777777" w:rsidR="0010523F" w:rsidRPr="0010523F" w:rsidRDefault="0010523F" w:rsidP="0010523F">
            <w:pPr>
              <w:spacing w:line="220" w:lineRule="exact"/>
              <w:jc w:val="right"/>
              <w:rPr>
                <w:bCs/>
                <w:sz w:val="20"/>
                <w:szCs w:val="20"/>
                <w:lang w:val="es-AR" w:eastAsia="es-AR"/>
              </w:rPr>
            </w:pPr>
            <w:r w:rsidRPr="0010523F">
              <w:rPr>
                <w:bCs/>
                <w:sz w:val="20"/>
                <w:szCs w:val="20"/>
                <w:lang w:val="es-AR" w:eastAsia="es-AR"/>
              </w:rPr>
              <w:t>21.129</w:t>
            </w:r>
          </w:p>
        </w:tc>
      </w:tr>
    </w:tbl>
    <w:p w14:paraId="4DF6F3D6" w14:textId="77777777" w:rsidR="0010523F" w:rsidRPr="0010523F" w:rsidRDefault="0010523F" w:rsidP="0010523F">
      <w:pPr>
        <w:spacing w:line="120" w:lineRule="exact"/>
        <w:jc w:val="both"/>
        <w:rPr>
          <w:lang w:val="es-AR" w:eastAsia="en-US"/>
        </w:rPr>
      </w:pPr>
    </w:p>
    <w:p w14:paraId="15F5319C" w14:textId="77777777" w:rsidR="0010523F" w:rsidRPr="0010523F" w:rsidRDefault="0010523F" w:rsidP="00E2318E">
      <w:pPr>
        <w:numPr>
          <w:ilvl w:val="0"/>
          <w:numId w:val="60"/>
        </w:numPr>
        <w:spacing w:line="276" w:lineRule="auto"/>
        <w:ind w:left="426"/>
        <w:contextualSpacing/>
        <w:jc w:val="both"/>
        <w:rPr>
          <w:sz w:val="18"/>
          <w:szCs w:val="18"/>
          <w:lang w:val="es-AR" w:eastAsia="en-US"/>
        </w:rPr>
      </w:pPr>
      <w:r w:rsidRPr="0010523F">
        <w:rPr>
          <w:sz w:val="18"/>
          <w:szCs w:val="18"/>
          <w:lang w:val="es-AR" w:eastAsia="en-US"/>
        </w:rPr>
        <w:t>BADLAR privada. Intereses pagaderos trimestralmente.</w:t>
      </w:r>
    </w:p>
    <w:p w14:paraId="7A7CF17B" w14:textId="77777777" w:rsidR="0010523F" w:rsidRPr="0010523F" w:rsidRDefault="0010523F" w:rsidP="00E2318E">
      <w:pPr>
        <w:numPr>
          <w:ilvl w:val="0"/>
          <w:numId w:val="60"/>
        </w:numPr>
        <w:spacing w:line="276" w:lineRule="auto"/>
        <w:ind w:left="426"/>
        <w:contextualSpacing/>
        <w:jc w:val="both"/>
        <w:rPr>
          <w:sz w:val="18"/>
          <w:szCs w:val="18"/>
          <w:lang w:val="es-AR" w:eastAsia="en-US"/>
        </w:rPr>
      </w:pPr>
      <w:r w:rsidRPr="0010523F">
        <w:rPr>
          <w:sz w:val="18"/>
          <w:szCs w:val="18"/>
          <w:lang w:val="es-AR" w:eastAsia="en-US"/>
        </w:rPr>
        <w:t>BADLAR privada + 3,10. Intereses pagaderos trimestralmente.</w:t>
      </w:r>
    </w:p>
    <w:p w14:paraId="2648E449" w14:textId="77777777" w:rsidR="0010523F" w:rsidRPr="0010523F" w:rsidRDefault="0010523F" w:rsidP="00E2318E">
      <w:pPr>
        <w:numPr>
          <w:ilvl w:val="0"/>
          <w:numId w:val="60"/>
        </w:numPr>
        <w:spacing w:line="276" w:lineRule="auto"/>
        <w:ind w:left="426"/>
        <w:contextualSpacing/>
        <w:jc w:val="both"/>
        <w:rPr>
          <w:sz w:val="18"/>
          <w:szCs w:val="18"/>
          <w:lang w:val="es-AR" w:eastAsia="en-US"/>
        </w:rPr>
      </w:pPr>
      <w:r w:rsidRPr="0010523F">
        <w:rPr>
          <w:sz w:val="18"/>
          <w:szCs w:val="18"/>
          <w:lang w:val="es-AR" w:eastAsia="en-US"/>
        </w:rPr>
        <w:t>BADLAR privada + 0,50. Intereses pagaderos trimestralmente.</w:t>
      </w:r>
    </w:p>
    <w:p w14:paraId="556A8DE0" w14:textId="77777777" w:rsidR="0010523F" w:rsidRPr="0010523F" w:rsidRDefault="0010523F" w:rsidP="00E2318E">
      <w:pPr>
        <w:numPr>
          <w:ilvl w:val="0"/>
          <w:numId w:val="60"/>
        </w:numPr>
        <w:spacing w:line="276" w:lineRule="auto"/>
        <w:ind w:left="426"/>
        <w:contextualSpacing/>
        <w:jc w:val="both"/>
        <w:rPr>
          <w:sz w:val="18"/>
          <w:szCs w:val="18"/>
          <w:lang w:val="es-AR" w:eastAsia="en-US"/>
        </w:rPr>
      </w:pPr>
      <w:r w:rsidRPr="0010523F">
        <w:rPr>
          <w:sz w:val="18"/>
          <w:szCs w:val="18"/>
          <w:lang w:val="es-AR" w:eastAsia="en-US"/>
        </w:rPr>
        <w:t>Intereses pagaderos semestralmente.</w:t>
      </w:r>
    </w:p>
    <w:p w14:paraId="73D19D8B" w14:textId="77777777" w:rsidR="0010523F" w:rsidRPr="0010523F" w:rsidRDefault="0010523F" w:rsidP="00E2318E">
      <w:pPr>
        <w:numPr>
          <w:ilvl w:val="0"/>
          <w:numId w:val="60"/>
        </w:numPr>
        <w:spacing w:line="276" w:lineRule="auto"/>
        <w:ind w:left="426"/>
        <w:contextualSpacing/>
        <w:jc w:val="both"/>
        <w:rPr>
          <w:sz w:val="18"/>
          <w:szCs w:val="18"/>
          <w:lang w:val="es-AR" w:eastAsia="en-US"/>
        </w:rPr>
      </w:pPr>
      <w:r w:rsidRPr="0010523F">
        <w:rPr>
          <w:sz w:val="18"/>
          <w:szCs w:val="18"/>
          <w:lang w:val="es-AR" w:eastAsia="en-US"/>
        </w:rPr>
        <w:t>Capital pagadero a la fecha de vencimiento.</w:t>
      </w:r>
    </w:p>
    <w:p w14:paraId="4B95CF29" w14:textId="77777777" w:rsidR="0010523F" w:rsidRPr="0010523F" w:rsidRDefault="0010523F" w:rsidP="00E2318E">
      <w:pPr>
        <w:numPr>
          <w:ilvl w:val="0"/>
          <w:numId w:val="60"/>
        </w:numPr>
        <w:spacing w:line="276" w:lineRule="auto"/>
        <w:ind w:left="426"/>
        <w:contextualSpacing/>
        <w:jc w:val="both"/>
        <w:rPr>
          <w:sz w:val="18"/>
          <w:szCs w:val="18"/>
          <w:lang w:val="es-AR" w:eastAsia="en-US"/>
        </w:rPr>
      </w:pPr>
      <w:r w:rsidRPr="0010523F">
        <w:rPr>
          <w:sz w:val="18"/>
          <w:szCs w:val="18"/>
          <w:lang w:val="es-AR" w:eastAsia="en-US"/>
        </w:rPr>
        <w:t>Pagadero en 3 cuotas iguales en 2019, 2020 y 2021 (la primera cuota ha sido cancelada).</w:t>
      </w:r>
    </w:p>
    <w:p w14:paraId="4D3946DD" w14:textId="77777777" w:rsidR="0010523F" w:rsidRPr="0010523F" w:rsidRDefault="0010523F" w:rsidP="0010523F">
      <w:pPr>
        <w:spacing w:line="220" w:lineRule="exact"/>
        <w:jc w:val="both"/>
        <w:rPr>
          <w:b/>
          <w:szCs w:val="20"/>
          <w:lang w:val="es-AR" w:eastAsia="en-US"/>
        </w:rPr>
      </w:pPr>
      <w:r w:rsidRPr="0010523F">
        <w:rPr>
          <w:b/>
          <w:szCs w:val="20"/>
          <w:lang w:val="es-AR" w:eastAsia="en-US"/>
        </w:rPr>
        <w:t>NOTA 7 - DEUDA FINANCIERA (cont.)</w:t>
      </w:r>
    </w:p>
    <w:p w14:paraId="29606680" w14:textId="77777777" w:rsidR="0010523F" w:rsidRPr="0010523F" w:rsidRDefault="0010523F" w:rsidP="0010523F">
      <w:pPr>
        <w:spacing w:before="120"/>
        <w:jc w:val="both"/>
        <w:rPr>
          <w:lang w:val="es-AR" w:eastAsia="en-US"/>
        </w:rPr>
      </w:pPr>
      <w:r w:rsidRPr="0010523F">
        <w:rPr>
          <w:lang w:val="es-AR" w:eastAsia="en-US"/>
        </w:rPr>
        <w:t>En el Anexo I de los presentes estados financieros intermedios condensados se encuentra información adicional de los plazos y montos de pasivos.</w:t>
      </w:r>
    </w:p>
    <w:p w14:paraId="72490AA6" w14:textId="77777777" w:rsidR="0010523F" w:rsidRPr="0010523F" w:rsidRDefault="0010523F" w:rsidP="0010523F">
      <w:pPr>
        <w:spacing w:line="200" w:lineRule="exact"/>
        <w:jc w:val="both"/>
        <w:rPr>
          <w:lang w:val="es-AR" w:eastAsia="en-US"/>
        </w:rPr>
      </w:pPr>
    </w:p>
    <w:p w14:paraId="772A6D73"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 xml:space="preserve">NOTA 8 - OPERACIONES Y SALDOS CON PARTES RELACIONADAS </w:t>
      </w:r>
    </w:p>
    <w:p w14:paraId="31B5CB64" w14:textId="77777777" w:rsidR="0010523F" w:rsidRPr="0010523F" w:rsidRDefault="0010523F" w:rsidP="0010523F">
      <w:pPr>
        <w:spacing w:line="120" w:lineRule="exact"/>
        <w:jc w:val="both"/>
        <w:rPr>
          <w:lang w:val="es-AR" w:eastAsia="en-US"/>
        </w:rPr>
      </w:pPr>
    </w:p>
    <w:p w14:paraId="2648837C" w14:textId="77777777" w:rsidR="0010523F" w:rsidRPr="0010523F" w:rsidRDefault="0010523F" w:rsidP="0010523F">
      <w:pPr>
        <w:jc w:val="both"/>
        <w:rPr>
          <w:lang w:val="es-AR" w:eastAsia="en-US"/>
        </w:rPr>
      </w:pPr>
      <w:r w:rsidRPr="0010523F">
        <w:rPr>
          <w:lang w:val="es-AR" w:eastAsia="en-US"/>
        </w:rPr>
        <w:t>La Casa Matriz, Pan American Energy, S.L., es una sociedad originalmente constituida en Delaware, Estados Unidos de América, que trasladó su domicilio a Madrid, España, con fecha 15 de diciembre de 2018. Sus accionistas indirectos son BP y BC que tienen el 50% de la participación cada uno (ver Nota 1).</w:t>
      </w:r>
    </w:p>
    <w:p w14:paraId="46E902D0" w14:textId="77777777" w:rsidR="0010523F" w:rsidRPr="0010523F" w:rsidRDefault="0010523F" w:rsidP="0010523F">
      <w:pPr>
        <w:spacing w:line="120" w:lineRule="exact"/>
        <w:jc w:val="both"/>
        <w:rPr>
          <w:lang w:val="es-AR" w:eastAsia="en-US"/>
        </w:rPr>
      </w:pPr>
    </w:p>
    <w:p w14:paraId="741DCC70" w14:textId="77777777" w:rsidR="0010523F" w:rsidRPr="0010523F" w:rsidRDefault="0010523F" w:rsidP="0010523F">
      <w:pPr>
        <w:tabs>
          <w:tab w:val="center" w:pos="6946"/>
          <w:tab w:val="center" w:pos="8789"/>
        </w:tabs>
        <w:jc w:val="both"/>
        <w:rPr>
          <w:lang w:val="es-AR" w:eastAsia="en-US"/>
        </w:rPr>
      </w:pPr>
      <w:r w:rsidRPr="0010523F">
        <w:rPr>
          <w:lang w:val="es-AR" w:eastAsia="en-US"/>
        </w:rPr>
        <w:t>El movimiento neto de las operaciones y el saldo con la Casa Matriz se exponen en el estado de cambios en el patrimonio intermedio condensado.</w:t>
      </w:r>
    </w:p>
    <w:p w14:paraId="3638CD97" w14:textId="77777777" w:rsidR="0010523F" w:rsidRPr="0010523F" w:rsidRDefault="0010523F" w:rsidP="0010523F">
      <w:pPr>
        <w:tabs>
          <w:tab w:val="center" w:pos="6946"/>
          <w:tab w:val="center" w:pos="8789"/>
        </w:tabs>
        <w:spacing w:line="160" w:lineRule="exact"/>
        <w:jc w:val="both"/>
        <w:rPr>
          <w:lang w:val="es-AR" w:eastAsia="en-US"/>
        </w:rPr>
      </w:pPr>
    </w:p>
    <w:p w14:paraId="3C33D8B9" w14:textId="77777777" w:rsidR="0010523F" w:rsidRPr="0010523F" w:rsidRDefault="0010523F" w:rsidP="0010523F">
      <w:pPr>
        <w:tabs>
          <w:tab w:val="center" w:pos="6946"/>
          <w:tab w:val="center" w:pos="8789"/>
        </w:tabs>
        <w:jc w:val="both"/>
        <w:rPr>
          <w:lang w:val="es-AR" w:eastAsia="en-US"/>
        </w:rPr>
      </w:pPr>
      <w:r w:rsidRPr="0010523F">
        <w:rPr>
          <w:lang w:val="es-AR" w:eastAsia="en-US"/>
        </w:rPr>
        <w:t xml:space="preserve">Se detallan a continuación las operaciones y los saldos con partes relacionadas. </w:t>
      </w:r>
    </w:p>
    <w:p w14:paraId="2C0DF3E5" w14:textId="77777777" w:rsidR="0010523F" w:rsidRPr="0010523F" w:rsidRDefault="0010523F" w:rsidP="0010523F">
      <w:pPr>
        <w:tabs>
          <w:tab w:val="center" w:pos="6946"/>
          <w:tab w:val="center" w:pos="8789"/>
        </w:tabs>
        <w:spacing w:line="160" w:lineRule="exact"/>
        <w:jc w:val="both"/>
        <w:rPr>
          <w:lang w:val="es-AR" w:eastAsia="en-US"/>
        </w:rPr>
      </w:pPr>
    </w:p>
    <w:p w14:paraId="2E5264FF" w14:textId="77777777" w:rsidR="0010523F" w:rsidRPr="0010523F" w:rsidRDefault="0010523F" w:rsidP="0010523F">
      <w:pPr>
        <w:spacing w:before="120" w:line="220" w:lineRule="exact"/>
        <w:jc w:val="both"/>
        <w:rPr>
          <w:szCs w:val="20"/>
          <w:lang w:val="es-AR" w:eastAsia="en-US"/>
        </w:rPr>
      </w:pPr>
      <w:r w:rsidRPr="0010523F">
        <w:rPr>
          <w:szCs w:val="20"/>
          <w:u w:val="single"/>
          <w:lang w:val="es-AR" w:eastAsia="en-US"/>
        </w:rPr>
        <w:t>OPERACIONES</w:t>
      </w:r>
    </w:p>
    <w:tbl>
      <w:tblPr>
        <w:tblW w:w="9765" w:type="dxa"/>
        <w:tblInd w:w="93" w:type="dxa"/>
        <w:tblLayout w:type="fixed"/>
        <w:tblCellMar>
          <w:left w:w="70" w:type="dxa"/>
          <w:right w:w="70" w:type="dxa"/>
        </w:tblCellMar>
        <w:tblLook w:val="04A0" w:firstRow="1" w:lastRow="0" w:firstColumn="1" w:lastColumn="0" w:noHBand="0" w:noVBand="1"/>
      </w:tblPr>
      <w:tblGrid>
        <w:gridCol w:w="3559"/>
        <w:gridCol w:w="1026"/>
        <w:gridCol w:w="993"/>
        <w:gridCol w:w="425"/>
        <w:gridCol w:w="1843"/>
        <w:gridCol w:w="425"/>
        <w:gridCol w:w="1106"/>
        <w:gridCol w:w="388"/>
      </w:tblGrid>
      <w:tr w:rsidR="0010523F" w:rsidRPr="0010523F" w14:paraId="4599327A" w14:textId="77777777" w:rsidTr="00774E7E">
        <w:trPr>
          <w:trHeight w:val="315"/>
        </w:trPr>
        <w:tc>
          <w:tcPr>
            <w:tcW w:w="3559" w:type="dxa"/>
            <w:tcBorders>
              <w:top w:val="nil"/>
              <w:left w:val="nil"/>
              <w:bottom w:val="nil"/>
              <w:right w:val="nil"/>
            </w:tcBorders>
            <w:shd w:val="clear" w:color="auto" w:fill="auto"/>
            <w:noWrap/>
            <w:vAlign w:val="center"/>
            <w:hideMark/>
          </w:tcPr>
          <w:p w14:paraId="29F94515" w14:textId="77777777" w:rsidR="0010523F" w:rsidRPr="0010523F" w:rsidRDefault="0010523F" w:rsidP="0010523F">
            <w:pPr>
              <w:rPr>
                <w:color w:val="000000"/>
                <w:sz w:val="22"/>
                <w:szCs w:val="22"/>
                <w:lang w:val="es-AR" w:eastAsia="es-AR"/>
              </w:rPr>
            </w:pPr>
          </w:p>
        </w:tc>
        <w:tc>
          <w:tcPr>
            <w:tcW w:w="6206" w:type="dxa"/>
            <w:gridSpan w:val="7"/>
            <w:tcBorders>
              <w:top w:val="nil"/>
              <w:left w:val="nil"/>
              <w:bottom w:val="single" w:sz="8" w:space="0" w:color="auto"/>
              <w:right w:val="nil"/>
            </w:tcBorders>
          </w:tcPr>
          <w:p w14:paraId="5ADC042E" w14:textId="77777777" w:rsidR="0010523F" w:rsidRPr="0010523F" w:rsidRDefault="0010523F" w:rsidP="0010523F">
            <w:pPr>
              <w:jc w:val="center"/>
              <w:rPr>
                <w:color w:val="000000"/>
                <w:sz w:val="22"/>
                <w:szCs w:val="22"/>
                <w:lang w:val="es-AR" w:eastAsia="es-AR"/>
              </w:rPr>
            </w:pPr>
            <w:r w:rsidRPr="0010523F">
              <w:rPr>
                <w:color w:val="000000"/>
                <w:sz w:val="22"/>
                <w:szCs w:val="22"/>
                <w:lang w:val="es-AR"/>
              </w:rPr>
              <w:t>Por el período de tres meses finalizado el 30/09/2019</w:t>
            </w:r>
          </w:p>
        </w:tc>
      </w:tr>
      <w:tr w:rsidR="0010523F" w:rsidRPr="0010523F" w14:paraId="1507C7DD" w14:textId="77777777" w:rsidTr="00774E7E">
        <w:trPr>
          <w:trHeight w:val="567"/>
        </w:trPr>
        <w:tc>
          <w:tcPr>
            <w:tcW w:w="3559" w:type="dxa"/>
            <w:tcBorders>
              <w:top w:val="nil"/>
              <w:left w:val="nil"/>
              <w:bottom w:val="nil"/>
              <w:right w:val="nil"/>
            </w:tcBorders>
            <w:shd w:val="clear" w:color="auto" w:fill="auto"/>
            <w:noWrap/>
            <w:vAlign w:val="center"/>
            <w:hideMark/>
          </w:tcPr>
          <w:p w14:paraId="21323D07" w14:textId="77777777" w:rsidR="0010523F" w:rsidRPr="0010523F" w:rsidRDefault="0010523F" w:rsidP="0010523F">
            <w:pPr>
              <w:rPr>
                <w:color w:val="000000"/>
                <w:sz w:val="20"/>
                <w:szCs w:val="20"/>
                <w:lang w:val="es-AR" w:eastAsia="es-AR"/>
              </w:rPr>
            </w:pPr>
          </w:p>
        </w:tc>
        <w:tc>
          <w:tcPr>
            <w:tcW w:w="1026" w:type="dxa"/>
            <w:tcBorders>
              <w:top w:val="nil"/>
              <w:left w:val="nil"/>
              <w:bottom w:val="single" w:sz="8" w:space="0" w:color="auto"/>
              <w:right w:val="nil"/>
            </w:tcBorders>
            <w:shd w:val="clear" w:color="auto" w:fill="auto"/>
            <w:vAlign w:val="center"/>
            <w:hideMark/>
          </w:tcPr>
          <w:p w14:paraId="1F5BECB1" w14:textId="77777777" w:rsidR="0010523F" w:rsidRPr="0010523F" w:rsidRDefault="0010523F" w:rsidP="0010523F">
            <w:pPr>
              <w:jc w:val="center"/>
              <w:rPr>
                <w:color w:val="000000"/>
                <w:sz w:val="22"/>
                <w:szCs w:val="22"/>
                <w:lang w:val="es-AR" w:eastAsia="es-AR"/>
              </w:rPr>
            </w:pPr>
            <w:r w:rsidRPr="0010523F">
              <w:rPr>
                <w:color w:val="000000"/>
                <w:sz w:val="22"/>
                <w:szCs w:val="22"/>
                <w:lang w:val="es-AR"/>
              </w:rPr>
              <w:t>Ventas</w:t>
            </w:r>
          </w:p>
        </w:tc>
        <w:tc>
          <w:tcPr>
            <w:tcW w:w="1418" w:type="dxa"/>
            <w:gridSpan w:val="2"/>
            <w:tcBorders>
              <w:top w:val="single" w:sz="8" w:space="0" w:color="auto"/>
              <w:left w:val="nil"/>
              <w:bottom w:val="single" w:sz="8" w:space="0" w:color="auto"/>
              <w:right w:val="nil"/>
            </w:tcBorders>
            <w:shd w:val="clear" w:color="auto" w:fill="auto"/>
            <w:vAlign w:val="center"/>
            <w:hideMark/>
          </w:tcPr>
          <w:p w14:paraId="24941027" w14:textId="77777777" w:rsidR="0010523F" w:rsidRPr="0010523F" w:rsidRDefault="0010523F" w:rsidP="0010523F">
            <w:pPr>
              <w:jc w:val="center"/>
              <w:rPr>
                <w:color w:val="000000"/>
                <w:sz w:val="22"/>
                <w:szCs w:val="22"/>
                <w:lang w:val="es-AR" w:eastAsia="es-AR"/>
              </w:rPr>
            </w:pPr>
            <w:r w:rsidRPr="0010523F">
              <w:rPr>
                <w:color w:val="000000"/>
                <w:sz w:val="22"/>
                <w:szCs w:val="22"/>
                <w:lang w:val="es-AR"/>
              </w:rPr>
              <w:t>Servicios prestados</w:t>
            </w:r>
          </w:p>
        </w:tc>
        <w:tc>
          <w:tcPr>
            <w:tcW w:w="2268" w:type="dxa"/>
            <w:gridSpan w:val="2"/>
            <w:tcBorders>
              <w:top w:val="nil"/>
              <w:left w:val="nil"/>
              <w:bottom w:val="single" w:sz="8" w:space="0" w:color="auto"/>
              <w:right w:val="nil"/>
            </w:tcBorders>
            <w:shd w:val="clear" w:color="auto" w:fill="auto"/>
            <w:vAlign w:val="center"/>
            <w:hideMark/>
          </w:tcPr>
          <w:p w14:paraId="5F3C7771" w14:textId="77777777" w:rsidR="0010523F" w:rsidRPr="0010523F" w:rsidRDefault="0010523F" w:rsidP="0010523F">
            <w:pPr>
              <w:jc w:val="center"/>
              <w:rPr>
                <w:color w:val="000000"/>
                <w:sz w:val="22"/>
                <w:szCs w:val="22"/>
                <w:lang w:val="es-AR"/>
              </w:rPr>
            </w:pPr>
            <w:r w:rsidRPr="0010523F">
              <w:rPr>
                <w:color w:val="000000"/>
                <w:sz w:val="22"/>
                <w:szCs w:val="22"/>
                <w:lang w:val="es-AR"/>
              </w:rPr>
              <w:t>Compras y servicios recibidos</w:t>
            </w:r>
          </w:p>
        </w:tc>
        <w:tc>
          <w:tcPr>
            <w:tcW w:w="1494" w:type="dxa"/>
            <w:gridSpan w:val="2"/>
            <w:tcBorders>
              <w:top w:val="single" w:sz="8" w:space="0" w:color="auto"/>
              <w:left w:val="nil"/>
              <w:bottom w:val="single" w:sz="8" w:space="0" w:color="auto"/>
              <w:right w:val="nil"/>
            </w:tcBorders>
            <w:shd w:val="clear" w:color="auto" w:fill="auto"/>
            <w:vAlign w:val="center"/>
            <w:hideMark/>
          </w:tcPr>
          <w:p w14:paraId="2DBF0AA3" w14:textId="77777777" w:rsidR="0010523F" w:rsidRPr="0010523F" w:rsidRDefault="0010523F" w:rsidP="0010523F">
            <w:pPr>
              <w:jc w:val="center"/>
              <w:rPr>
                <w:color w:val="000000"/>
                <w:sz w:val="22"/>
                <w:szCs w:val="22"/>
                <w:lang w:val="es-AR" w:eastAsia="es-AR"/>
              </w:rPr>
            </w:pPr>
            <w:r w:rsidRPr="0010523F">
              <w:rPr>
                <w:color w:val="000000"/>
                <w:sz w:val="22"/>
                <w:szCs w:val="22"/>
                <w:lang w:val="es-AR"/>
              </w:rPr>
              <w:t>Intereses perdidos</w:t>
            </w:r>
          </w:p>
        </w:tc>
      </w:tr>
      <w:tr w:rsidR="0010523F" w:rsidRPr="0010523F" w14:paraId="0766EA1D" w14:textId="77777777" w:rsidTr="00774E7E">
        <w:trPr>
          <w:trHeight w:val="235"/>
        </w:trPr>
        <w:tc>
          <w:tcPr>
            <w:tcW w:w="3559" w:type="dxa"/>
            <w:tcBorders>
              <w:top w:val="nil"/>
              <w:left w:val="nil"/>
              <w:bottom w:val="nil"/>
              <w:right w:val="nil"/>
            </w:tcBorders>
            <w:shd w:val="clear" w:color="auto" w:fill="auto"/>
            <w:noWrap/>
            <w:vAlign w:val="center"/>
            <w:hideMark/>
          </w:tcPr>
          <w:p w14:paraId="668B290C" w14:textId="77777777" w:rsidR="0010523F" w:rsidRPr="0010523F" w:rsidRDefault="0010523F" w:rsidP="0010523F">
            <w:pPr>
              <w:spacing w:line="180" w:lineRule="exact"/>
              <w:rPr>
                <w:color w:val="000000"/>
                <w:sz w:val="20"/>
                <w:szCs w:val="20"/>
                <w:lang w:val="es-AR" w:eastAsia="es-AR"/>
              </w:rPr>
            </w:pPr>
          </w:p>
        </w:tc>
        <w:tc>
          <w:tcPr>
            <w:tcW w:w="1026" w:type="dxa"/>
            <w:tcBorders>
              <w:top w:val="nil"/>
              <w:left w:val="nil"/>
              <w:bottom w:val="nil"/>
              <w:right w:val="nil"/>
            </w:tcBorders>
            <w:shd w:val="clear" w:color="auto" w:fill="auto"/>
            <w:noWrap/>
            <w:vAlign w:val="center"/>
            <w:hideMark/>
          </w:tcPr>
          <w:p w14:paraId="03B2A14E" w14:textId="77777777" w:rsidR="0010523F" w:rsidRPr="0010523F" w:rsidRDefault="0010523F" w:rsidP="0010523F">
            <w:pPr>
              <w:spacing w:line="180" w:lineRule="exact"/>
              <w:rPr>
                <w:color w:val="000000"/>
                <w:sz w:val="20"/>
                <w:szCs w:val="20"/>
                <w:lang w:val="es-AR" w:eastAsia="es-AR"/>
              </w:rPr>
            </w:pPr>
          </w:p>
        </w:tc>
        <w:tc>
          <w:tcPr>
            <w:tcW w:w="993" w:type="dxa"/>
            <w:tcBorders>
              <w:top w:val="nil"/>
              <w:left w:val="nil"/>
              <w:bottom w:val="nil"/>
              <w:right w:val="nil"/>
            </w:tcBorders>
            <w:shd w:val="clear" w:color="auto" w:fill="auto"/>
            <w:noWrap/>
            <w:vAlign w:val="center"/>
            <w:hideMark/>
          </w:tcPr>
          <w:p w14:paraId="76E2EF0C" w14:textId="77777777" w:rsidR="0010523F" w:rsidRPr="0010523F" w:rsidRDefault="0010523F" w:rsidP="0010523F">
            <w:pPr>
              <w:spacing w:line="180" w:lineRule="exact"/>
              <w:rPr>
                <w:color w:val="000000"/>
                <w:sz w:val="20"/>
                <w:szCs w:val="20"/>
                <w:lang w:val="es-AR" w:eastAsia="es-AR"/>
              </w:rPr>
            </w:pPr>
          </w:p>
        </w:tc>
        <w:tc>
          <w:tcPr>
            <w:tcW w:w="425" w:type="dxa"/>
            <w:tcBorders>
              <w:top w:val="nil"/>
              <w:left w:val="nil"/>
              <w:bottom w:val="nil"/>
              <w:right w:val="nil"/>
            </w:tcBorders>
            <w:shd w:val="clear" w:color="auto" w:fill="auto"/>
            <w:vAlign w:val="center"/>
            <w:hideMark/>
          </w:tcPr>
          <w:p w14:paraId="7AF984A9" w14:textId="77777777" w:rsidR="0010523F" w:rsidRPr="0010523F" w:rsidRDefault="0010523F" w:rsidP="0010523F">
            <w:pPr>
              <w:spacing w:line="180" w:lineRule="exact"/>
              <w:rPr>
                <w:color w:val="000000"/>
                <w:sz w:val="22"/>
                <w:szCs w:val="22"/>
                <w:lang w:val="es-AR" w:eastAsia="es-AR"/>
              </w:rPr>
            </w:pPr>
          </w:p>
        </w:tc>
        <w:tc>
          <w:tcPr>
            <w:tcW w:w="1843" w:type="dxa"/>
            <w:tcBorders>
              <w:top w:val="nil"/>
              <w:left w:val="nil"/>
              <w:bottom w:val="nil"/>
              <w:right w:val="nil"/>
            </w:tcBorders>
            <w:shd w:val="clear" w:color="auto" w:fill="auto"/>
            <w:noWrap/>
            <w:vAlign w:val="center"/>
            <w:hideMark/>
          </w:tcPr>
          <w:p w14:paraId="51633769" w14:textId="77777777" w:rsidR="0010523F" w:rsidRPr="0010523F" w:rsidRDefault="0010523F" w:rsidP="0010523F">
            <w:pPr>
              <w:spacing w:line="180" w:lineRule="exact"/>
              <w:rPr>
                <w:color w:val="000000"/>
                <w:sz w:val="20"/>
                <w:szCs w:val="20"/>
                <w:lang w:val="es-AR" w:eastAsia="es-AR"/>
              </w:rPr>
            </w:pPr>
            <w:r w:rsidRPr="0010523F">
              <w:rPr>
                <w:color w:val="000000"/>
                <w:sz w:val="20"/>
                <w:szCs w:val="20"/>
                <w:lang w:val="es-AR" w:eastAsia="es-AR"/>
              </w:rPr>
              <w:t> </w:t>
            </w:r>
          </w:p>
        </w:tc>
        <w:tc>
          <w:tcPr>
            <w:tcW w:w="425" w:type="dxa"/>
            <w:tcBorders>
              <w:top w:val="nil"/>
              <w:left w:val="nil"/>
              <w:bottom w:val="nil"/>
              <w:right w:val="nil"/>
            </w:tcBorders>
          </w:tcPr>
          <w:p w14:paraId="6651A643" w14:textId="77777777" w:rsidR="0010523F" w:rsidRPr="0010523F" w:rsidRDefault="0010523F" w:rsidP="0010523F">
            <w:pPr>
              <w:spacing w:line="180" w:lineRule="exact"/>
              <w:rPr>
                <w:color w:val="000000"/>
                <w:sz w:val="20"/>
                <w:szCs w:val="20"/>
                <w:lang w:val="es-AR" w:eastAsia="es-AR"/>
              </w:rPr>
            </w:pPr>
          </w:p>
        </w:tc>
        <w:tc>
          <w:tcPr>
            <w:tcW w:w="1106" w:type="dxa"/>
            <w:tcBorders>
              <w:top w:val="nil"/>
              <w:left w:val="nil"/>
              <w:bottom w:val="nil"/>
              <w:right w:val="nil"/>
            </w:tcBorders>
            <w:shd w:val="clear" w:color="auto" w:fill="auto"/>
            <w:noWrap/>
            <w:vAlign w:val="center"/>
            <w:hideMark/>
          </w:tcPr>
          <w:p w14:paraId="6564407D" w14:textId="77777777" w:rsidR="0010523F" w:rsidRPr="0010523F" w:rsidRDefault="0010523F" w:rsidP="0010523F">
            <w:pPr>
              <w:spacing w:line="180" w:lineRule="exact"/>
              <w:rPr>
                <w:color w:val="000000"/>
                <w:sz w:val="20"/>
                <w:szCs w:val="20"/>
                <w:lang w:val="es-AR" w:eastAsia="es-AR"/>
              </w:rPr>
            </w:pPr>
            <w:r w:rsidRPr="0010523F">
              <w:rPr>
                <w:color w:val="000000"/>
                <w:sz w:val="20"/>
                <w:szCs w:val="20"/>
                <w:lang w:val="es-AR" w:eastAsia="es-AR"/>
              </w:rPr>
              <w:t> </w:t>
            </w:r>
          </w:p>
        </w:tc>
        <w:tc>
          <w:tcPr>
            <w:tcW w:w="388" w:type="dxa"/>
            <w:tcBorders>
              <w:top w:val="nil"/>
              <w:left w:val="nil"/>
              <w:bottom w:val="nil"/>
              <w:right w:val="nil"/>
            </w:tcBorders>
            <w:shd w:val="clear" w:color="auto" w:fill="auto"/>
            <w:vAlign w:val="center"/>
            <w:hideMark/>
          </w:tcPr>
          <w:p w14:paraId="520AE7AE" w14:textId="77777777" w:rsidR="0010523F" w:rsidRPr="0010523F" w:rsidRDefault="0010523F" w:rsidP="0010523F">
            <w:pPr>
              <w:spacing w:line="180" w:lineRule="exact"/>
              <w:rPr>
                <w:color w:val="000000"/>
                <w:sz w:val="22"/>
                <w:szCs w:val="22"/>
                <w:lang w:val="es-AR" w:eastAsia="es-AR"/>
              </w:rPr>
            </w:pPr>
          </w:p>
        </w:tc>
      </w:tr>
      <w:tr w:rsidR="0010523F" w:rsidRPr="0010523F" w14:paraId="54DAE98B" w14:textId="77777777" w:rsidTr="00774E7E">
        <w:trPr>
          <w:trHeight w:val="300"/>
        </w:trPr>
        <w:tc>
          <w:tcPr>
            <w:tcW w:w="3559" w:type="dxa"/>
            <w:tcBorders>
              <w:top w:val="nil"/>
              <w:left w:val="nil"/>
              <w:bottom w:val="nil"/>
              <w:right w:val="nil"/>
            </w:tcBorders>
            <w:shd w:val="clear" w:color="auto" w:fill="auto"/>
            <w:noWrap/>
            <w:vAlign w:val="center"/>
            <w:hideMark/>
          </w:tcPr>
          <w:p w14:paraId="122FFD3B" w14:textId="77777777" w:rsidR="0010523F" w:rsidRPr="0010523F" w:rsidRDefault="0010523F" w:rsidP="0010523F">
            <w:pPr>
              <w:rPr>
                <w:color w:val="000000"/>
                <w:sz w:val="22"/>
                <w:szCs w:val="22"/>
                <w:lang w:val="es-AR" w:eastAsia="es-AR"/>
              </w:rPr>
            </w:pPr>
            <w:r w:rsidRPr="0010523F">
              <w:rPr>
                <w:color w:val="000000"/>
                <w:sz w:val="22"/>
                <w:szCs w:val="22"/>
                <w:lang w:val="es-AR"/>
              </w:rPr>
              <w:t>- Controladas por la Casa Matriz</w:t>
            </w:r>
          </w:p>
        </w:tc>
        <w:tc>
          <w:tcPr>
            <w:tcW w:w="1026" w:type="dxa"/>
            <w:tcBorders>
              <w:top w:val="nil"/>
              <w:left w:val="nil"/>
              <w:bottom w:val="nil"/>
              <w:right w:val="nil"/>
            </w:tcBorders>
            <w:shd w:val="clear" w:color="auto" w:fill="auto"/>
            <w:noWrap/>
            <w:vAlign w:val="bottom"/>
            <w:hideMark/>
          </w:tcPr>
          <w:p w14:paraId="561277BB" w14:textId="77777777" w:rsidR="0010523F" w:rsidRPr="0010523F" w:rsidRDefault="0010523F" w:rsidP="0010523F">
            <w:pPr>
              <w:jc w:val="right"/>
              <w:rPr>
                <w:color w:val="000000"/>
                <w:sz w:val="22"/>
                <w:szCs w:val="22"/>
                <w:lang w:val="es-AR" w:eastAsia="es-AR"/>
              </w:rPr>
            </w:pPr>
            <w:r w:rsidRPr="0010523F">
              <w:rPr>
                <w:color w:val="000000"/>
                <w:sz w:val="22"/>
                <w:szCs w:val="22"/>
                <w:lang w:val="en-US"/>
              </w:rPr>
              <w:t>-</w:t>
            </w:r>
          </w:p>
        </w:tc>
        <w:tc>
          <w:tcPr>
            <w:tcW w:w="993" w:type="dxa"/>
            <w:tcBorders>
              <w:top w:val="nil"/>
              <w:left w:val="nil"/>
              <w:bottom w:val="nil"/>
              <w:right w:val="nil"/>
            </w:tcBorders>
            <w:shd w:val="clear" w:color="auto" w:fill="auto"/>
            <w:noWrap/>
            <w:vAlign w:val="bottom"/>
            <w:hideMark/>
          </w:tcPr>
          <w:p w14:paraId="1D881CB9" w14:textId="77777777" w:rsidR="0010523F" w:rsidRPr="0010523F" w:rsidRDefault="0010523F" w:rsidP="0010523F">
            <w:pPr>
              <w:jc w:val="right"/>
              <w:rPr>
                <w:color w:val="000000"/>
                <w:sz w:val="22"/>
                <w:szCs w:val="22"/>
                <w:lang w:val="es-AR" w:eastAsia="es-AR"/>
              </w:rPr>
            </w:pPr>
            <w:r w:rsidRPr="0010523F">
              <w:rPr>
                <w:color w:val="000000"/>
                <w:sz w:val="22"/>
                <w:szCs w:val="22"/>
                <w:lang w:val="en-US"/>
              </w:rPr>
              <w:t>201</w:t>
            </w:r>
          </w:p>
        </w:tc>
        <w:tc>
          <w:tcPr>
            <w:tcW w:w="425" w:type="dxa"/>
            <w:tcBorders>
              <w:top w:val="nil"/>
              <w:left w:val="nil"/>
              <w:bottom w:val="nil"/>
              <w:right w:val="nil"/>
            </w:tcBorders>
            <w:shd w:val="clear" w:color="auto" w:fill="auto"/>
            <w:vAlign w:val="bottom"/>
            <w:hideMark/>
          </w:tcPr>
          <w:p w14:paraId="09C2AC3E" w14:textId="77777777" w:rsidR="0010523F" w:rsidRPr="0010523F" w:rsidRDefault="0010523F" w:rsidP="0010523F">
            <w:pPr>
              <w:jc w:val="right"/>
              <w:rPr>
                <w:color w:val="000000"/>
                <w:sz w:val="18"/>
                <w:szCs w:val="18"/>
                <w:lang w:val="es-AR" w:eastAsia="es-AR"/>
              </w:rPr>
            </w:pPr>
            <w:r w:rsidRPr="0010523F">
              <w:rPr>
                <w:color w:val="000000"/>
                <w:sz w:val="18"/>
                <w:szCs w:val="18"/>
                <w:lang w:val="es-AR"/>
              </w:rPr>
              <w:t>(1)</w:t>
            </w:r>
          </w:p>
        </w:tc>
        <w:tc>
          <w:tcPr>
            <w:tcW w:w="1843" w:type="dxa"/>
            <w:tcBorders>
              <w:top w:val="nil"/>
              <w:left w:val="nil"/>
              <w:bottom w:val="nil"/>
              <w:right w:val="nil"/>
            </w:tcBorders>
            <w:shd w:val="clear" w:color="auto" w:fill="auto"/>
            <w:noWrap/>
            <w:vAlign w:val="bottom"/>
            <w:hideMark/>
          </w:tcPr>
          <w:p w14:paraId="0C56817F" w14:textId="77777777" w:rsidR="0010523F" w:rsidRPr="0010523F" w:rsidRDefault="0010523F" w:rsidP="0010523F">
            <w:pPr>
              <w:ind w:right="99"/>
              <w:jc w:val="right"/>
              <w:rPr>
                <w:color w:val="000000"/>
                <w:sz w:val="22"/>
                <w:szCs w:val="22"/>
                <w:lang w:val="es-AR" w:eastAsia="es-AR"/>
              </w:rPr>
            </w:pPr>
            <w:r w:rsidRPr="0010523F">
              <w:rPr>
                <w:color w:val="000000"/>
                <w:sz w:val="22"/>
                <w:szCs w:val="22"/>
                <w:lang w:val="en-US"/>
              </w:rPr>
              <w:t>791</w:t>
            </w:r>
          </w:p>
        </w:tc>
        <w:tc>
          <w:tcPr>
            <w:tcW w:w="425" w:type="dxa"/>
            <w:tcBorders>
              <w:top w:val="nil"/>
              <w:left w:val="nil"/>
              <w:bottom w:val="nil"/>
              <w:right w:val="nil"/>
            </w:tcBorders>
            <w:vAlign w:val="bottom"/>
          </w:tcPr>
          <w:p w14:paraId="6DB296BD" w14:textId="77777777" w:rsidR="0010523F" w:rsidRPr="0010523F" w:rsidRDefault="0010523F" w:rsidP="0010523F">
            <w:pPr>
              <w:jc w:val="right"/>
              <w:rPr>
                <w:color w:val="000000"/>
                <w:sz w:val="22"/>
                <w:szCs w:val="22"/>
                <w:lang w:val="es-AR"/>
              </w:rPr>
            </w:pPr>
          </w:p>
        </w:tc>
        <w:tc>
          <w:tcPr>
            <w:tcW w:w="1106" w:type="dxa"/>
            <w:tcBorders>
              <w:top w:val="nil"/>
              <w:left w:val="nil"/>
              <w:bottom w:val="nil"/>
              <w:right w:val="nil"/>
            </w:tcBorders>
            <w:shd w:val="clear" w:color="auto" w:fill="auto"/>
            <w:noWrap/>
            <w:vAlign w:val="bottom"/>
            <w:hideMark/>
          </w:tcPr>
          <w:p w14:paraId="774DB3F0" w14:textId="77777777" w:rsidR="0010523F" w:rsidRPr="0010523F" w:rsidRDefault="0010523F" w:rsidP="0010523F">
            <w:pPr>
              <w:jc w:val="right"/>
              <w:rPr>
                <w:color w:val="000000"/>
                <w:sz w:val="22"/>
                <w:szCs w:val="22"/>
                <w:lang w:val="es-AR" w:eastAsia="es-AR"/>
              </w:rPr>
            </w:pPr>
            <w:r w:rsidRPr="0010523F">
              <w:rPr>
                <w:color w:val="000000"/>
                <w:sz w:val="22"/>
                <w:szCs w:val="22"/>
                <w:lang w:val="en-US"/>
              </w:rPr>
              <w:t>(27)</w:t>
            </w:r>
          </w:p>
        </w:tc>
        <w:tc>
          <w:tcPr>
            <w:tcW w:w="388" w:type="dxa"/>
            <w:tcBorders>
              <w:top w:val="nil"/>
              <w:left w:val="nil"/>
              <w:bottom w:val="nil"/>
              <w:right w:val="nil"/>
            </w:tcBorders>
            <w:shd w:val="clear" w:color="auto" w:fill="auto"/>
            <w:vAlign w:val="bottom"/>
            <w:hideMark/>
          </w:tcPr>
          <w:p w14:paraId="7AFCF1F3" w14:textId="77777777" w:rsidR="0010523F" w:rsidRPr="0010523F" w:rsidRDefault="0010523F" w:rsidP="0010523F">
            <w:pPr>
              <w:jc w:val="right"/>
              <w:rPr>
                <w:color w:val="000000"/>
                <w:sz w:val="18"/>
                <w:szCs w:val="18"/>
                <w:lang w:val="es-AR" w:eastAsia="es-AR"/>
              </w:rPr>
            </w:pPr>
          </w:p>
        </w:tc>
      </w:tr>
      <w:tr w:rsidR="0010523F" w:rsidRPr="0010523F" w14:paraId="4C2D891B" w14:textId="77777777" w:rsidTr="00774E7E">
        <w:trPr>
          <w:trHeight w:val="300"/>
        </w:trPr>
        <w:tc>
          <w:tcPr>
            <w:tcW w:w="3559" w:type="dxa"/>
            <w:tcBorders>
              <w:top w:val="nil"/>
              <w:left w:val="nil"/>
              <w:bottom w:val="nil"/>
              <w:right w:val="nil"/>
            </w:tcBorders>
            <w:shd w:val="clear" w:color="auto" w:fill="auto"/>
            <w:noWrap/>
            <w:vAlign w:val="center"/>
            <w:hideMark/>
          </w:tcPr>
          <w:p w14:paraId="6D3E537C" w14:textId="77777777" w:rsidR="0010523F" w:rsidRPr="0010523F" w:rsidRDefault="0010523F" w:rsidP="0010523F">
            <w:pPr>
              <w:rPr>
                <w:color w:val="000000"/>
                <w:sz w:val="22"/>
                <w:szCs w:val="22"/>
                <w:lang w:val="es-AR" w:eastAsia="es-AR"/>
              </w:rPr>
            </w:pPr>
            <w:r w:rsidRPr="0010523F">
              <w:rPr>
                <w:color w:val="000000"/>
                <w:sz w:val="22"/>
                <w:szCs w:val="22"/>
                <w:lang w:val="es-AR"/>
              </w:rPr>
              <w:t>- Otras</w:t>
            </w:r>
          </w:p>
        </w:tc>
        <w:tc>
          <w:tcPr>
            <w:tcW w:w="1026" w:type="dxa"/>
            <w:tcBorders>
              <w:top w:val="nil"/>
              <w:left w:val="nil"/>
              <w:bottom w:val="nil"/>
              <w:right w:val="nil"/>
            </w:tcBorders>
            <w:shd w:val="clear" w:color="auto" w:fill="auto"/>
            <w:noWrap/>
            <w:vAlign w:val="bottom"/>
            <w:hideMark/>
          </w:tcPr>
          <w:p w14:paraId="0B159BA9" w14:textId="77777777" w:rsidR="0010523F" w:rsidRPr="0010523F" w:rsidRDefault="0010523F" w:rsidP="0010523F">
            <w:pPr>
              <w:jc w:val="right"/>
              <w:rPr>
                <w:color w:val="000000"/>
                <w:sz w:val="22"/>
                <w:szCs w:val="22"/>
                <w:u w:val="single"/>
                <w:lang w:val="es-AR" w:eastAsia="es-AR"/>
              </w:rPr>
            </w:pPr>
            <w:r w:rsidRPr="0010523F">
              <w:rPr>
                <w:color w:val="000000"/>
                <w:sz w:val="22"/>
                <w:szCs w:val="22"/>
                <w:u w:val="single"/>
                <w:lang w:val="en-US"/>
              </w:rPr>
              <w:t>2.690</w:t>
            </w:r>
          </w:p>
        </w:tc>
        <w:tc>
          <w:tcPr>
            <w:tcW w:w="993" w:type="dxa"/>
            <w:tcBorders>
              <w:top w:val="nil"/>
              <w:left w:val="nil"/>
              <w:bottom w:val="nil"/>
              <w:right w:val="nil"/>
            </w:tcBorders>
            <w:shd w:val="clear" w:color="auto" w:fill="auto"/>
            <w:noWrap/>
            <w:vAlign w:val="bottom"/>
            <w:hideMark/>
          </w:tcPr>
          <w:p w14:paraId="57014D2D" w14:textId="77777777" w:rsidR="0010523F" w:rsidRPr="0010523F" w:rsidRDefault="0010523F" w:rsidP="0010523F">
            <w:pPr>
              <w:jc w:val="right"/>
              <w:rPr>
                <w:color w:val="000000"/>
                <w:sz w:val="22"/>
                <w:szCs w:val="22"/>
                <w:u w:val="single"/>
                <w:lang w:val="es-AR" w:eastAsia="es-AR"/>
              </w:rPr>
            </w:pPr>
            <w:r w:rsidRPr="0010523F">
              <w:rPr>
                <w:color w:val="000000"/>
                <w:sz w:val="22"/>
                <w:szCs w:val="22"/>
                <w:u w:val="single"/>
                <w:lang w:val="en-US"/>
              </w:rPr>
              <w:t xml:space="preserve">    8</w:t>
            </w:r>
          </w:p>
        </w:tc>
        <w:tc>
          <w:tcPr>
            <w:tcW w:w="425" w:type="dxa"/>
            <w:tcBorders>
              <w:top w:val="nil"/>
              <w:left w:val="nil"/>
              <w:bottom w:val="nil"/>
              <w:right w:val="nil"/>
            </w:tcBorders>
            <w:shd w:val="clear" w:color="auto" w:fill="auto"/>
            <w:vAlign w:val="bottom"/>
            <w:hideMark/>
          </w:tcPr>
          <w:p w14:paraId="67FAACAF" w14:textId="77777777" w:rsidR="0010523F" w:rsidRPr="0010523F" w:rsidRDefault="0010523F" w:rsidP="0010523F">
            <w:pPr>
              <w:jc w:val="right"/>
              <w:rPr>
                <w:color w:val="000000"/>
                <w:sz w:val="22"/>
                <w:szCs w:val="22"/>
                <w:lang w:val="es-AR" w:eastAsia="es-AR"/>
              </w:rPr>
            </w:pPr>
          </w:p>
        </w:tc>
        <w:tc>
          <w:tcPr>
            <w:tcW w:w="1843" w:type="dxa"/>
            <w:tcBorders>
              <w:top w:val="nil"/>
              <w:left w:val="nil"/>
              <w:bottom w:val="nil"/>
              <w:right w:val="nil"/>
            </w:tcBorders>
            <w:shd w:val="clear" w:color="auto" w:fill="auto"/>
            <w:noWrap/>
            <w:vAlign w:val="bottom"/>
            <w:hideMark/>
          </w:tcPr>
          <w:p w14:paraId="16BFA0A6" w14:textId="77777777" w:rsidR="0010523F" w:rsidRPr="0010523F" w:rsidRDefault="0010523F" w:rsidP="0010523F">
            <w:pPr>
              <w:ind w:right="99"/>
              <w:jc w:val="right"/>
              <w:rPr>
                <w:color w:val="000000"/>
                <w:sz w:val="22"/>
                <w:szCs w:val="22"/>
                <w:u w:val="single"/>
                <w:lang w:val="es-AR" w:eastAsia="es-AR"/>
              </w:rPr>
            </w:pPr>
            <w:r w:rsidRPr="0010523F">
              <w:rPr>
                <w:color w:val="000000"/>
                <w:sz w:val="22"/>
                <w:szCs w:val="22"/>
                <w:u w:val="single"/>
                <w:lang w:val="en-US"/>
              </w:rPr>
              <w:t xml:space="preserve">   549</w:t>
            </w:r>
          </w:p>
        </w:tc>
        <w:tc>
          <w:tcPr>
            <w:tcW w:w="425" w:type="dxa"/>
            <w:tcBorders>
              <w:top w:val="nil"/>
              <w:left w:val="nil"/>
              <w:bottom w:val="nil"/>
              <w:right w:val="nil"/>
            </w:tcBorders>
            <w:vAlign w:val="bottom"/>
          </w:tcPr>
          <w:p w14:paraId="5082C96F" w14:textId="77777777" w:rsidR="0010523F" w:rsidRPr="0010523F" w:rsidRDefault="0010523F" w:rsidP="0010523F">
            <w:pPr>
              <w:jc w:val="right"/>
              <w:rPr>
                <w:color w:val="000000"/>
                <w:sz w:val="18"/>
                <w:szCs w:val="18"/>
                <w:lang w:val="es-AR"/>
              </w:rPr>
            </w:pPr>
            <w:r w:rsidRPr="0010523F">
              <w:rPr>
                <w:color w:val="000000"/>
                <w:sz w:val="18"/>
                <w:szCs w:val="18"/>
                <w:lang w:val="es-AR"/>
              </w:rPr>
              <w:t>(2)</w:t>
            </w:r>
          </w:p>
        </w:tc>
        <w:tc>
          <w:tcPr>
            <w:tcW w:w="1106" w:type="dxa"/>
            <w:tcBorders>
              <w:top w:val="nil"/>
              <w:left w:val="nil"/>
              <w:bottom w:val="nil"/>
              <w:right w:val="nil"/>
            </w:tcBorders>
            <w:shd w:val="clear" w:color="auto" w:fill="auto"/>
            <w:noWrap/>
            <w:vAlign w:val="bottom"/>
            <w:hideMark/>
          </w:tcPr>
          <w:p w14:paraId="44768BF4" w14:textId="77777777" w:rsidR="0010523F" w:rsidRPr="0010523F" w:rsidRDefault="0010523F" w:rsidP="0010523F">
            <w:pPr>
              <w:jc w:val="right"/>
              <w:rPr>
                <w:color w:val="000000"/>
                <w:sz w:val="22"/>
                <w:szCs w:val="22"/>
                <w:u w:val="single"/>
                <w:lang w:val="es-AR" w:eastAsia="es-AR"/>
              </w:rPr>
            </w:pPr>
            <w:r w:rsidRPr="0010523F">
              <w:rPr>
                <w:color w:val="000000"/>
                <w:sz w:val="22"/>
                <w:szCs w:val="22"/>
                <w:u w:val="single"/>
                <w:lang w:val="en-US"/>
              </w:rPr>
              <w:t xml:space="preserve">   -</w:t>
            </w:r>
          </w:p>
        </w:tc>
        <w:tc>
          <w:tcPr>
            <w:tcW w:w="388" w:type="dxa"/>
            <w:tcBorders>
              <w:top w:val="nil"/>
              <w:left w:val="nil"/>
              <w:bottom w:val="nil"/>
              <w:right w:val="nil"/>
            </w:tcBorders>
            <w:shd w:val="clear" w:color="auto" w:fill="auto"/>
            <w:vAlign w:val="bottom"/>
            <w:hideMark/>
          </w:tcPr>
          <w:p w14:paraId="12E3E74F" w14:textId="77777777" w:rsidR="0010523F" w:rsidRPr="0010523F" w:rsidRDefault="0010523F" w:rsidP="0010523F">
            <w:pPr>
              <w:jc w:val="right"/>
              <w:rPr>
                <w:color w:val="000000"/>
                <w:sz w:val="22"/>
                <w:szCs w:val="22"/>
                <w:lang w:val="es-AR" w:eastAsia="es-AR"/>
              </w:rPr>
            </w:pPr>
          </w:p>
        </w:tc>
      </w:tr>
      <w:tr w:rsidR="0010523F" w:rsidRPr="0010523F" w14:paraId="19E1E1AF" w14:textId="77777777" w:rsidTr="00774E7E">
        <w:trPr>
          <w:trHeight w:val="300"/>
        </w:trPr>
        <w:tc>
          <w:tcPr>
            <w:tcW w:w="3559" w:type="dxa"/>
            <w:tcBorders>
              <w:top w:val="nil"/>
              <w:left w:val="nil"/>
              <w:bottom w:val="nil"/>
              <w:right w:val="nil"/>
            </w:tcBorders>
            <w:shd w:val="clear" w:color="auto" w:fill="auto"/>
            <w:noWrap/>
            <w:vAlign w:val="center"/>
            <w:hideMark/>
          </w:tcPr>
          <w:p w14:paraId="09F1AE9F" w14:textId="77777777" w:rsidR="0010523F" w:rsidRPr="0010523F" w:rsidRDefault="0010523F" w:rsidP="0010523F">
            <w:pPr>
              <w:rPr>
                <w:color w:val="000000"/>
                <w:sz w:val="22"/>
                <w:szCs w:val="22"/>
                <w:lang w:val="es-AR" w:eastAsia="es-AR"/>
              </w:rPr>
            </w:pPr>
            <w:r w:rsidRPr="0010523F">
              <w:rPr>
                <w:color w:val="000000"/>
                <w:sz w:val="22"/>
                <w:szCs w:val="22"/>
                <w:lang w:val="es-AR"/>
              </w:rPr>
              <w:t xml:space="preserve">Total </w:t>
            </w:r>
          </w:p>
        </w:tc>
        <w:tc>
          <w:tcPr>
            <w:tcW w:w="1026" w:type="dxa"/>
            <w:tcBorders>
              <w:top w:val="nil"/>
              <w:left w:val="nil"/>
              <w:bottom w:val="nil"/>
              <w:right w:val="nil"/>
            </w:tcBorders>
            <w:shd w:val="clear" w:color="auto" w:fill="auto"/>
            <w:noWrap/>
            <w:vAlign w:val="bottom"/>
            <w:hideMark/>
          </w:tcPr>
          <w:p w14:paraId="17C4CD20" w14:textId="77777777" w:rsidR="0010523F" w:rsidRPr="0010523F" w:rsidRDefault="0010523F" w:rsidP="0010523F">
            <w:pPr>
              <w:jc w:val="right"/>
              <w:rPr>
                <w:color w:val="000000"/>
                <w:sz w:val="22"/>
                <w:szCs w:val="22"/>
                <w:u w:val="double"/>
                <w:lang w:val="es-AR" w:eastAsia="es-AR"/>
              </w:rPr>
            </w:pPr>
            <w:r w:rsidRPr="0010523F">
              <w:rPr>
                <w:color w:val="000000"/>
                <w:sz w:val="22"/>
                <w:szCs w:val="22"/>
                <w:u w:val="double"/>
                <w:lang w:val="en-US"/>
              </w:rPr>
              <w:t>2.690</w:t>
            </w:r>
          </w:p>
        </w:tc>
        <w:tc>
          <w:tcPr>
            <w:tcW w:w="993" w:type="dxa"/>
            <w:tcBorders>
              <w:top w:val="nil"/>
              <w:left w:val="nil"/>
              <w:bottom w:val="nil"/>
              <w:right w:val="nil"/>
            </w:tcBorders>
            <w:shd w:val="clear" w:color="auto" w:fill="auto"/>
            <w:noWrap/>
            <w:vAlign w:val="bottom"/>
            <w:hideMark/>
          </w:tcPr>
          <w:p w14:paraId="73FE0369" w14:textId="77777777" w:rsidR="0010523F" w:rsidRPr="0010523F" w:rsidRDefault="0010523F" w:rsidP="0010523F">
            <w:pPr>
              <w:jc w:val="right"/>
              <w:rPr>
                <w:color w:val="000000"/>
                <w:sz w:val="22"/>
                <w:szCs w:val="22"/>
                <w:u w:val="double"/>
                <w:lang w:val="es-AR" w:eastAsia="es-AR"/>
              </w:rPr>
            </w:pPr>
            <w:r w:rsidRPr="0010523F">
              <w:rPr>
                <w:color w:val="000000"/>
                <w:sz w:val="22"/>
                <w:szCs w:val="22"/>
                <w:u w:val="double"/>
                <w:lang w:val="en-US"/>
              </w:rPr>
              <w:t>209</w:t>
            </w:r>
          </w:p>
        </w:tc>
        <w:tc>
          <w:tcPr>
            <w:tcW w:w="425" w:type="dxa"/>
            <w:tcBorders>
              <w:top w:val="nil"/>
              <w:left w:val="nil"/>
              <w:bottom w:val="nil"/>
              <w:right w:val="nil"/>
            </w:tcBorders>
            <w:shd w:val="clear" w:color="auto" w:fill="auto"/>
            <w:vAlign w:val="bottom"/>
            <w:hideMark/>
          </w:tcPr>
          <w:p w14:paraId="72D5DB96" w14:textId="77777777" w:rsidR="0010523F" w:rsidRPr="0010523F" w:rsidRDefault="0010523F" w:rsidP="0010523F">
            <w:pPr>
              <w:jc w:val="right"/>
              <w:rPr>
                <w:color w:val="000000"/>
                <w:sz w:val="22"/>
                <w:szCs w:val="22"/>
                <w:lang w:val="es-AR" w:eastAsia="es-AR"/>
              </w:rPr>
            </w:pPr>
          </w:p>
        </w:tc>
        <w:tc>
          <w:tcPr>
            <w:tcW w:w="1843" w:type="dxa"/>
            <w:tcBorders>
              <w:top w:val="nil"/>
              <w:left w:val="nil"/>
              <w:bottom w:val="nil"/>
              <w:right w:val="nil"/>
            </w:tcBorders>
            <w:shd w:val="clear" w:color="auto" w:fill="auto"/>
            <w:noWrap/>
            <w:vAlign w:val="bottom"/>
            <w:hideMark/>
          </w:tcPr>
          <w:p w14:paraId="115600DB" w14:textId="77777777" w:rsidR="0010523F" w:rsidRPr="0010523F" w:rsidRDefault="0010523F" w:rsidP="0010523F">
            <w:pPr>
              <w:ind w:right="99"/>
              <w:jc w:val="right"/>
              <w:rPr>
                <w:color w:val="000000"/>
                <w:sz w:val="22"/>
                <w:szCs w:val="22"/>
                <w:u w:val="double"/>
                <w:lang w:val="es-AR" w:eastAsia="es-AR"/>
              </w:rPr>
            </w:pPr>
            <w:r w:rsidRPr="0010523F">
              <w:rPr>
                <w:color w:val="000000"/>
                <w:sz w:val="22"/>
                <w:szCs w:val="22"/>
                <w:u w:val="double"/>
                <w:lang w:val="en-US"/>
              </w:rPr>
              <w:t>1.340</w:t>
            </w:r>
          </w:p>
        </w:tc>
        <w:tc>
          <w:tcPr>
            <w:tcW w:w="425" w:type="dxa"/>
            <w:tcBorders>
              <w:top w:val="nil"/>
              <w:left w:val="nil"/>
              <w:bottom w:val="nil"/>
              <w:right w:val="nil"/>
            </w:tcBorders>
            <w:vAlign w:val="bottom"/>
          </w:tcPr>
          <w:p w14:paraId="2B6B92AC" w14:textId="77777777" w:rsidR="0010523F" w:rsidRPr="0010523F" w:rsidRDefault="0010523F" w:rsidP="0010523F">
            <w:pPr>
              <w:jc w:val="right"/>
              <w:rPr>
                <w:color w:val="000000"/>
                <w:sz w:val="18"/>
                <w:szCs w:val="18"/>
                <w:lang w:val="es-AR"/>
              </w:rPr>
            </w:pPr>
          </w:p>
        </w:tc>
        <w:tc>
          <w:tcPr>
            <w:tcW w:w="1106" w:type="dxa"/>
            <w:tcBorders>
              <w:top w:val="nil"/>
              <w:left w:val="nil"/>
              <w:bottom w:val="nil"/>
              <w:right w:val="nil"/>
            </w:tcBorders>
            <w:shd w:val="clear" w:color="auto" w:fill="auto"/>
            <w:noWrap/>
            <w:vAlign w:val="bottom"/>
            <w:hideMark/>
          </w:tcPr>
          <w:p w14:paraId="58E6A467" w14:textId="77777777" w:rsidR="0010523F" w:rsidRPr="0010523F" w:rsidRDefault="0010523F" w:rsidP="0010523F">
            <w:pPr>
              <w:jc w:val="right"/>
              <w:rPr>
                <w:color w:val="000000"/>
                <w:sz w:val="22"/>
                <w:szCs w:val="22"/>
                <w:lang w:val="es-AR" w:eastAsia="es-AR"/>
              </w:rPr>
            </w:pPr>
            <w:r w:rsidRPr="0010523F">
              <w:rPr>
                <w:color w:val="000000"/>
                <w:sz w:val="22"/>
                <w:szCs w:val="22"/>
                <w:lang w:val="en-US"/>
              </w:rPr>
              <w:t>(</w:t>
            </w:r>
            <w:r w:rsidRPr="0010523F">
              <w:rPr>
                <w:color w:val="000000"/>
                <w:sz w:val="22"/>
                <w:szCs w:val="22"/>
                <w:u w:val="double"/>
                <w:lang w:val="en-US"/>
              </w:rPr>
              <w:t>27</w:t>
            </w:r>
            <w:r w:rsidRPr="0010523F">
              <w:rPr>
                <w:color w:val="000000"/>
                <w:sz w:val="22"/>
                <w:szCs w:val="22"/>
                <w:lang w:val="en-US"/>
              </w:rPr>
              <w:t>)</w:t>
            </w:r>
          </w:p>
        </w:tc>
        <w:tc>
          <w:tcPr>
            <w:tcW w:w="388" w:type="dxa"/>
            <w:tcBorders>
              <w:top w:val="nil"/>
              <w:left w:val="nil"/>
              <w:bottom w:val="nil"/>
              <w:right w:val="nil"/>
            </w:tcBorders>
            <w:shd w:val="clear" w:color="auto" w:fill="auto"/>
            <w:vAlign w:val="bottom"/>
            <w:hideMark/>
          </w:tcPr>
          <w:p w14:paraId="233DEE0B" w14:textId="77777777" w:rsidR="0010523F" w:rsidRPr="0010523F" w:rsidRDefault="0010523F" w:rsidP="0010523F">
            <w:pPr>
              <w:jc w:val="right"/>
              <w:rPr>
                <w:color w:val="000000"/>
                <w:sz w:val="22"/>
                <w:szCs w:val="22"/>
                <w:lang w:val="es-AR" w:eastAsia="es-AR"/>
              </w:rPr>
            </w:pPr>
          </w:p>
        </w:tc>
      </w:tr>
      <w:tr w:rsidR="0010523F" w:rsidRPr="0010523F" w14:paraId="64269248" w14:textId="77777777" w:rsidTr="00774E7E">
        <w:trPr>
          <w:trHeight w:val="170"/>
        </w:trPr>
        <w:tc>
          <w:tcPr>
            <w:tcW w:w="3559" w:type="dxa"/>
            <w:tcBorders>
              <w:top w:val="nil"/>
              <w:left w:val="nil"/>
              <w:bottom w:val="nil"/>
              <w:right w:val="nil"/>
            </w:tcBorders>
            <w:shd w:val="clear" w:color="auto" w:fill="auto"/>
            <w:noWrap/>
            <w:vAlign w:val="center"/>
            <w:hideMark/>
          </w:tcPr>
          <w:p w14:paraId="099BA735" w14:textId="77777777" w:rsidR="0010523F" w:rsidRPr="0010523F" w:rsidRDefault="0010523F" w:rsidP="0010523F">
            <w:pPr>
              <w:spacing w:line="180" w:lineRule="exact"/>
              <w:rPr>
                <w:color w:val="000000"/>
                <w:sz w:val="20"/>
                <w:szCs w:val="20"/>
                <w:highlight w:val="yellow"/>
                <w:lang w:val="es-AR" w:eastAsia="es-AR"/>
              </w:rPr>
            </w:pPr>
          </w:p>
        </w:tc>
        <w:tc>
          <w:tcPr>
            <w:tcW w:w="1026" w:type="dxa"/>
            <w:tcBorders>
              <w:top w:val="nil"/>
              <w:left w:val="nil"/>
              <w:bottom w:val="nil"/>
              <w:right w:val="nil"/>
            </w:tcBorders>
            <w:shd w:val="clear" w:color="auto" w:fill="auto"/>
            <w:noWrap/>
            <w:vAlign w:val="bottom"/>
            <w:hideMark/>
          </w:tcPr>
          <w:p w14:paraId="336A4B4F" w14:textId="77777777" w:rsidR="0010523F" w:rsidRPr="0010523F" w:rsidRDefault="0010523F" w:rsidP="0010523F">
            <w:pPr>
              <w:spacing w:line="180" w:lineRule="exact"/>
              <w:jc w:val="right"/>
              <w:rPr>
                <w:color w:val="000000"/>
                <w:sz w:val="20"/>
                <w:szCs w:val="20"/>
                <w:highlight w:val="yellow"/>
                <w:lang w:val="es-AR" w:eastAsia="es-AR"/>
              </w:rPr>
            </w:pPr>
          </w:p>
        </w:tc>
        <w:tc>
          <w:tcPr>
            <w:tcW w:w="993" w:type="dxa"/>
            <w:tcBorders>
              <w:top w:val="nil"/>
              <w:left w:val="nil"/>
              <w:bottom w:val="nil"/>
              <w:right w:val="nil"/>
            </w:tcBorders>
            <w:shd w:val="clear" w:color="auto" w:fill="auto"/>
            <w:noWrap/>
            <w:vAlign w:val="bottom"/>
            <w:hideMark/>
          </w:tcPr>
          <w:p w14:paraId="0FD7F23D" w14:textId="77777777" w:rsidR="0010523F" w:rsidRPr="0010523F" w:rsidRDefault="0010523F" w:rsidP="0010523F">
            <w:pPr>
              <w:spacing w:line="180" w:lineRule="exact"/>
              <w:jc w:val="right"/>
              <w:rPr>
                <w:color w:val="000000"/>
                <w:sz w:val="20"/>
                <w:szCs w:val="20"/>
                <w:highlight w:val="yellow"/>
                <w:lang w:val="es-AR" w:eastAsia="es-AR"/>
              </w:rPr>
            </w:pPr>
          </w:p>
        </w:tc>
        <w:tc>
          <w:tcPr>
            <w:tcW w:w="425" w:type="dxa"/>
            <w:tcBorders>
              <w:top w:val="nil"/>
              <w:left w:val="nil"/>
              <w:bottom w:val="nil"/>
              <w:right w:val="nil"/>
            </w:tcBorders>
            <w:shd w:val="clear" w:color="auto" w:fill="auto"/>
            <w:vAlign w:val="center"/>
            <w:hideMark/>
          </w:tcPr>
          <w:p w14:paraId="6A74CE26" w14:textId="77777777" w:rsidR="0010523F" w:rsidRPr="0010523F" w:rsidRDefault="0010523F" w:rsidP="0010523F">
            <w:pPr>
              <w:spacing w:line="180" w:lineRule="exact"/>
              <w:jc w:val="right"/>
              <w:rPr>
                <w:rFonts w:ascii="Calibri" w:hAnsi="Calibri"/>
                <w:color w:val="000000"/>
                <w:sz w:val="22"/>
                <w:szCs w:val="22"/>
                <w:highlight w:val="yellow"/>
                <w:lang w:val="es-AR" w:eastAsia="es-AR"/>
              </w:rPr>
            </w:pPr>
          </w:p>
        </w:tc>
        <w:tc>
          <w:tcPr>
            <w:tcW w:w="1843" w:type="dxa"/>
            <w:tcBorders>
              <w:top w:val="nil"/>
              <w:left w:val="nil"/>
              <w:bottom w:val="nil"/>
              <w:right w:val="nil"/>
            </w:tcBorders>
            <w:shd w:val="clear" w:color="auto" w:fill="auto"/>
            <w:noWrap/>
            <w:vAlign w:val="bottom"/>
            <w:hideMark/>
          </w:tcPr>
          <w:p w14:paraId="1E15664B" w14:textId="77777777" w:rsidR="0010523F" w:rsidRPr="0010523F" w:rsidRDefault="0010523F" w:rsidP="0010523F">
            <w:pPr>
              <w:spacing w:line="180" w:lineRule="exact"/>
              <w:jc w:val="right"/>
              <w:rPr>
                <w:color w:val="000000"/>
                <w:sz w:val="20"/>
                <w:szCs w:val="20"/>
                <w:highlight w:val="yellow"/>
                <w:lang w:val="es-AR" w:eastAsia="es-AR"/>
              </w:rPr>
            </w:pPr>
          </w:p>
        </w:tc>
        <w:tc>
          <w:tcPr>
            <w:tcW w:w="425" w:type="dxa"/>
            <w:tcBorders>
              <w:top w:val="nil"/>
              <w:left w:val="nil"/>
              <w:bottom w:val="nil"/>
              <w:right w:val="nil"/>
            </w:tcBorders>
          </w:tcPr>
          <w:p w14:paraId="36020099" w14:textId="77777777" w:rsidR="0010523F" w:rsidRPr="0010523F" w:rsidRDefault="0010523F" w:rsidP="0010523F">
            <w:pPr>
              <w:spacing w:line="180" w:lineRule="exact"/>
              <w:jc w:val="right"/>
              <w:rPr>
                <w:color w:val="000000"/>
                <w:sz w:val="20"/>
                <w:szCs w:val="20"/>
                <w:lang w:val="es-AR" w:eastAsia="es-AR"/>
              </w:rPr>
            </w:pPr>
          </w:p>
        </w:tc>
        <w:tc>
          <w:tcPr>
            <w:tcW w:w="1106" w:type="dxa"/>
            <w:tcBorders>
              <w:top w:val="nil"/>
              <w:left w:val="nil"/>
              <w:bottom w:val="nil"/>
              <w:right w:val="nil"/>
            </w:tcBorders>
            <w:shd w:val="clear" w:color="auto" w:fill="auto"/>
            <w:noWrap/>
            <w:vAlign w:val="bottom"/>
            <w:hideMark/>
          </w:tcPr>
          <w:p w14:paraId="05DDADA6" w14:textId="77777777" w:rsidR="0010523F" w:rsidRPr="0010523F" w:rsidRDefault="0010523F" w:rsidP="0010523F">
            <w:pPr>
              <w:spacing w:line="180" w:lineRule="exact"/>
              <w:jc w:val="right"/>
              <w:rPr>
                <w:color w:val="000000"/>
                <w:sz w:val="20"/>
                <w:szCs w:val="20"/>
                <w:lang w:val="es-AR" w:eastAsia="es-AR"/>
              </w:rPr>
            </w:pPr>
          </w:p>
        </w:tc>
        <w:tc>
          <w:tcPr>
            <w:tcW w:w="388" w:type="dxa"/>
            <w:tcBorders>
              <w:top w:val="nil"/>
              <w:left w:val="nil"/>
              <w:bottom w:val="nil"/>
              <w:right w:val="nil"/>
            </w:tcBorders>
            <w:shd w:val="clear" w:color="auto" w:fill="auto"/>
            <w:vAlign w:val="center"/>
            <w:hideMark/>
          </w:tcPr>
          <w:p w14:paraId="245B7865" w14:textId="77777777" w:rsidR="0010523F" w:rsidRPr="0010523F" w:rsidRDefault="0010523F" w:rsidP="0010523F">
            <w:pPr>
              <w:spacing w:line="180" w:lineRule="exact"/>
              <w:jc w:val="right"/>
              <w:rPr>
                <w:rFonts w:ascii="Calibri" w:hAnsi="Calibri"/>
                <w:color w:val="000000"/>
                <w:sz w:val="22"/>
                <w:szCs w:val="22"/>
                <w:lang w:val="es-AR" w:eastAsia="es-AR"/>
              </w:rPr>
            </w:pPr>
          </w:p>
        </w:tc>
      </w:tr>
      <w:tr w:rsidR="0010523F" w:rsidRPr="0010523F" w14:paraId="581EFC2C" w14:textId="77777777" w:rsidTr="00774E7E">
        <w:trPr>
          <w:trHeight w:val="315"/>
        </w:trPr>
        <w:tc>
          <w:tcPr>
            <w:tcW w:w="3559" w:type="dxa"/>
            <w:tcBorders>
              <w:top w:val="nil"/>
              <w:left w:val="nil"/>
              <w:bottom w:val="nil"/>
              <w:right w:val="nil"/>
            </w:tcBorders>
            <w:shd w:val="clear" w:color="auto" w:fill="auto"/>
            <w:noWrap/>
            <w:vAlign w:val="center"/>
            <w:hideMark/>
          </w:tcPr>
          <w:p w14:paraId="36C6BAF5" w14:textId="77777777" w:rsidR="0010523F" w:rsidRPr="0010523F" w:rsidRDefault="0010523F" w:rsidP="0010523F">
            <w:pPr>
              <w:rPr>
                <w:color w:val="000000"/>
                <w:sz w:val="22"/>
                <w:szCs w:val="22"/>
                <w:highlight w:val="yellow"/>
                <w:lang w:val="es-AR" w:eastAsia="es-AR"/>
              </w:rPr>
            </w:pPr>
          </w:p>
        </w:tc>
        <w:tc>
          <w:tcPr>
            <w:tcW w:w="6206" w:type="dxa"/>
            <w:gridSpan w:val="7"/>
            <w:tcBorders>
              <w:top w:val="nil"/>
              <w:left w:val="nil"/>
              <w:bottom w:val="single" w:sz="8" w:space="0" w:color="auto"/>
              <w:right w:val="nil"/>
            </w:tcBorders>
          </w:tcPr>
          <w:p w14:paraId="00FF2AF0" w14:textId="77777777" w:rsidR="0010523F" w:rsidRPr="0010523F" w:rsidRDefault="0010523F" w:rsidP="0010523F">
            <w:pPr>
              <w:jc w:val="center"/>
              <w:rPr>
                <w:color w:val="000000"/>
                <w:sz w:val="22"/>
                <w:szCs w:val="22"/>
                <w:highlight w:val="yellow"/>
                <w:lang w:val="es-AR" w:eastAsia="es-AR"/>
              </w:rPr>
            </w:pPr>
            <w:r w:rsidRPr="0010523F">
              <w:rPr>
                <w:color w:val="000000"/>
                <w:sz w:val="22"/>
                <w:szCs w:val="22"/>
                <w:lang w:val="es-AR"/>
              </w:rPr>
              <w:t>Por el período de tres meses finalizado el 30/09/2018</w:t>
            </w:r>
          </w:p>
        </w:tc>
      </w:tr>
      <w:tr w:rsidR="0010523F" w:rsidRPr="0010523F" w14:paraId="4F5F3C25" w14:textId="77777777" w:rsidTr="00774E7E">
        <w:trPr>
          <w:trHeight w:val="567"/>
        </w:trPr>
        <w:tc>
          <w:tcPr>
            <w:tcW w:w="3559" w:type="dxa"/>
            <w:tcBorders>
              <w:top w:val="nil"/>
              <w:left w:val="nil"/>
              <w:bottom w:val="nil"/>
              <w:right w:val="nil"/>
            </w:tcBorders>
            <w:shd w:val="clear" w:color="auto" w:fill="auto"/>
            <w:noWrap/>
            <w:vAlign w:val="center"/>
            <w:hideMark/>
          </w:tcPr>
          <w:p w14:paraId="37BD0CA9" w14:textId="77777777" w:rsidR="0010523F" w:rsidRPr="0010523F" w:rsidRDefault="0010523F" w:rsidP="0010523F">
            <w:pPr>
              <w:rPr>
                <w:color w:val="000000"/>
                <w:sz w:val="20"/>
                <w:szCs w:val="20"/>
                <w:lang w:val="es-AR" w:eastAsia="es-AR"/>
              </w:rPr>
            </w:pPr>
          </w:p>
        </w:tc>
        <w:tc>
          <w:tcPr>
            <w:tcW w:w="1026" w:type="dxa"/>
            <w:tcBorders>
              <w:top w:val="nil"/>
              <w:left w:val="nil"/>
              <w:bottom w:val="single" w:sz="8" w:space="0" w:color="auto"/>
              <w:right w:val="nil"/>
            </w:tcBorders>
            <w:shd w:val="clear" w:color="auto" w:fill="auto"/>
            <w:vAlign w:val="center"/>
            <w:hideMark/>
          </w:tcPr>
          <w:p w14:paraId="6A9B8B2E" w14:textId="77777777" w:rsidR="0010523F" w:rsidRPr="0010523F" w:rsidRDefault="0010523F" w:rsidP="0010523F">
            <w:pPr>
              <w:jc w:val="center"/>
              <w:rPr>
                <w:color w:val="000000"/>
                <w:sz w:val="22"/>
                <w:szCs w:val="22"/>
                <w:lang w:val="es-AR" w:eastAsia="es-AR"/>
              </w:rPr>
            </w:pPr>
            <w:r w:rsidRPr="0010523F">
              <w:rPr>
                <w:color w:val="000000"/>
                <w:sz w:val="22"/>
                <w:szCs w:val="22"/>
                <w:lang w:val="es-AR"/>
              </w:rPr>
              <w:t>Ventas</w:t>
            </w:r>
          </w:p>
        </w:tc>
        <w:tc>
          <w:tcPr>
            <w:tcW w:w="1418" w:type="dxa"/>
            <w:gridSpan w:val="2"/>
            <w:tcBorders>
              <w:top w:val="single" w:sz="8" w:space="0" w:color="auto"/>
              <w:left w:val="nil"/>
              <w:bottom w:val="single" w:sz="8" w:space="0" w:color="auto"/>
              <w:right w:val="nil"/>
            </w:tcBorders>
            <w:shd w:val="clear" w:color="auto" w:fill="auto"/>
            <w:vAlign w:val="center"/>
            <w:hideMark/>
          </w:tcPr>
          <w:p w14:paraId="6C37511B" w14:textId="77777777" w:rsidR="0010523F" w:rsidRPr="0010523F" w:rsidRDefault="0010523F" w:rsidP="0010523F">
            <w:pPr>
              <w:jc w:val="center"/>
              <w:rPr>
                <w:color w:val="000000"/>
                <w:sz w:val="22"/>
                <w:szCs w:val="22"/>
                <w:lang w:val="es-AR" w:eastAsia="es-AR"/>
              </w:rPr>
            </w:pPr>
            <w:r w:rsidRPr="0010523F">
              <w:rPr>
                <w:color w:val="000000"/>
                <w:sz w:val="22"/>
                <w:szCs w:val="22"/>
                <w:lang w:val="es-AR"/>
              </w:rPr>
              <w:t>Servicios prestados</w:t>
            </w:r>
          </w:p>
        </w:tc>
        <w:tc>
          <w:tcPr>
            <w:tcW w:w="2268" w:type="dxa"/>
            <w:gridSpan w:val="2"/>
            <w:tcBorders>
              <w:top w:val="nil"/>
              <w:left w:val="nil"/>
              <w:bottom w:val="single" w:sz="8" w:space="0" w:color="auto"/>
              <w:right w:val="nil"/>
            </w:tcBorders>
            <w:shd w:val="clear" w:color="auto" w:fill="auto"/>
            <w:vAlign w:val="center"/>
            <w:hideMark/>
          </w:tcPr>
          <w:p w14:paraId="212F5A25" w14:textId="77777777" w:rsidR="0010523F" w:rsidRPr="0010523F" w:rsidRDefault="0010523F" w:rsidP="0010523F">
            <w:pPr>
              <w:jc w:val="center"/>
              <w:rPr>
                <w:color w:val="000000"/>
                <w:sz w:val="22"/>
                <w:szCs w:val="22"/>
                <w:lang w:val="es-AR"/>
              </w:rPr>
            </w:pPr>
            <w:r w:rsidRPr="0010523F">
              <w:rPr>
                <w:color w:val="000000"/>
                <w:sz w:val="22"/>
                <w:szCs w:val="22"/>
                <w:lang w:val="es-AR"/>
              </w:rPr>
              <w:t>Compras y servicios recibidos</w:t>
            </w:r>
          </w:p>
        </w:tc>
        <w:tc>
          <w:tcPr>
            <w:tcW w:w="1494" w:type="dxa"/>
            <w:gridSpan w:val="2"/>
            <w:tcBorders>
              <w:top w:val="single" w:sz="8" w:space="0" w:color="auto"/>
              <w:left w:val="nil"/>
              <w:bottom w:val="single" w:sz="8" w:space="0" w:color="auto"/>
              <w:right w:val="nil"/>
            </w:tcBorders>
            <w:shd w:val="clear" w:color="auto" w:fill="auto"/>
            <w:vAlign w:val="center"/>
            <w:hideMark/>
          </w:tcPr>
          <w:p w14:paraId="30A1EF1F" w14:textId="77777777" w:rsidR="0010523F" w:rsidRPr="0010523F" w:rsidRDefault="0010523F" w:rsidP="0010523F">
            <w:pPr>
              <w:jc w:val="center"/>
              <w:rPr>
                <w:color w:val="000000"/>
                <w:sz w:val="22"/>
                <w:szCs w:val="22"/>
                <w:lang w:val="es-AR" w:eastAsia="es-AR"/>
              </w:rPr>
            </w:pPr>
            <w:r w:rsidRPr="0010523F">
              <w:rPr>
                <w:color w:val="000000"/>
                <w:sz w:val="22"/>
                <w:szCs w:val="22"/>
                <w:lang w:val="es-AR"/>
              </w:rPr>
              <w:t>Intereses perdidos, neto</w:t>
            </w:r>
          </w:p>
        </w:tc>
      </w:tr>
      <w:tr w:rsidR="0010523F" w:rsidRPr="0010523F" w14:paraId="7303D317" w14:textId="77777777" w:rsidTr="00774E7E">
        <w:trPr>
          <w:trHeight w:val="170"/>
        </w:trPr>
        <w:tc>
          <w:tcPr>
            <w:tcW w:w="3559" w:type="dxa"/>
            <w:tcBorders>
              <w:top w:val="nil"/>
              <w:left w:val="nil"/>
              <w:bottom w:val="nil"/>
              <w:right w:val="nil"/>
            </w:tcBorders>
            <w:shd w:val="clear" w:color="auto" w:fill="auto"/>
            <w:noWrap/>
            <w:vAlign w:val="center"/>
            <w:hideMark/>
          </w:tcPr>
          <w:p w14:paraId="13934703" w14:textId="77777777" w:rsidR="0010523F" w:rsidRPr="0010523F" w:rsidRDefault="0010523F" w:rsidP="0010523F">
            <w:pPr>
              <w:spacing w:line="180" w:lineRule="exact"/>
              <w:rPr>
                <w:color w:val="000000"/>
                <w:sz w:val="20"/>
                <w:szCs w:val="20"/>
                <w:lang w:val="es-AR" w:eastAsia="es-AR"/>
              </w:rPr>
            </w:pPr>
          </w:p>
        </w:tc>
        <w:tc>
          <w:tcPr>
            <w:tcW w:w="1026" w:type="dxa"/>
            <w:tcBorders>
              <w:top w:val="nil"/>
              <w:left w:val="nil"/>
              <w:bottom w:val="nil"/>
              <w:right w:val="nil"/>
            </w:tcBorders>
            <w:shd w:val="clear" w:color="auto" w:fill="auto"/>
            <w:noWrap/>
            <w:vAlign w:val="bottom"/>
            <w:hideMark/>
          </w:tcPr>
          <w:p w14:paraId="14180354" w14:textId="77777777" w:rsidR="0010523F" w:rsidRPr="0010523F" w:rsidRDefault="0010523F" w:rsidP="0010523F">
            <w:pPr>
              <w:spacing w:line="180" w:lineRule="exact"/>
              <w:rPr>
                <w:color w:val="000000"/>
                <w:sz w:val="20"/>
                <w:szCs w:val="20"/>
                <w:lang w:val="es-AR" w:eastAsia="es-AR"/>
              </w:rPr>
            </w:pPr>
          </w:p>
        </w:tc>
        <w:tc>
          <w:tcPr>
            <w:tcW w:w="993" w:type="dxa"/>
            <w:tcBorders>
              <w:top w:val="nil"/>
              <w:left w:val="nil"/>
              <w:bottom w:val="nil"/>
              <w:right w:val="nil"/>
            </w:tcBorders>
            <w:shd w:val="clear" w:color="auto" w:fill="auto"/>
            <w:noWrap/>
            <w:vAlign w:val="bottom"/>
            <w:hideMark/>
          </w:tcPr>
          <w:p w14:paraId="78445AB2" w14:textId="77777777" w:rsidR="0010523F" w:rsidRPr="0010523F" w:rsidRDefault="0010523F" w:rsidP="0010523F">
            <w:pPr>
              <w:spacing w:line="180" w:lineRule="exact"/>
              <w:rPr>
                <w:color w:val="000000"/>
                <w:sz w:val="20"/>
                <w:szCs w:val="20"/>
                <w:lang w:val="es-AR" w:eastAsia="es-AR"/>
              </w:rPr>
            </w:pPr>
          </w:p>
        </w:tc>
        <w:tc>
          <w:tcPr>
            <w:tcW w:w="425" w:type="dxa"/>
            <w:tcBorders>
              <w:top w:val="nil"/>
              <w:left w:val="nil"/>
              <w:bottom w:val="nil"/>
              <w:right w:val="nil"/>
            </w:tcBorders>
            <w:shd w:val="clear" w:color="auto" w:fill="auto"/>
            <w:vAlign w:val="center"/>
            <w:hideMark/>
          </w:tcPr>
          <w:p w14:paraId="71584CCE" w14:textId="77777777" w:rsidR="0010523F" w:rsidRPr="0010523F" w:rsidRDefault="0010523F" w:rsidP="0010523F">
            <w:pPr>
              <w:spacing w:line="180" w:lineRule="exact"/>
              <w:rPr>
                <w:color w:val="000000"/>
                <w:sz w:val="22"/>
                <w:szCs w:val="22"/>
                <w:lang w:val="es-AR" w:eastAsia="es-AR"/>
              </w:rPr>
            </w:pPr>
            <w:r w:rsidRPr="0010523F">
              <w:rPr>
                <w:color w:val="000000"/>
                <w:sz w:val="22"/>
                <w:szCs w:val="22"/>
                <w:lang w:val="es-AR" w:eastAsia="es-AR"/>
              </w:rPr>
              <w:t> </w:t>
            </w:r>
          </w:p>
        </w:tc>
        <w:tc>
          <w:tcPr>
            <w:tcW w:w="1843" w:type="dxa"/>
            <w:tcBorders>
              <w:top w:val="nil"/>
              <w:left w:val="nil"/>
              <w:bottom w:val="nil"/>
              <w:right w:val="nil"/>
            </w:tcBorders>
            <w:shd w:val="clear" w:color="auto" w:fill="auto"/>
            <w:vAlign w:val="center"/>
            <w:hideMark/>
          </w:tcPr>
          <w:p w14:paraId="63877BA3" w14:textId="77777777" w:rsidR="0010523F" w:rsidRPr="0010523F" w:rsidRDefault="0010523F" w:rsidP="0010523F">
            <w:pPr>
              <w:spacing w:line="180" w:lineRule="exact"/>
              <w:rPr>
                <w:color w:val="000000"/>
                <w:sz w:val="22"/>
                <w:szCs w:val="22"/>
                <w:lang w:val="es-AR" w:eastAsia="es-AR"/>
              </w:rPr>
            </w:pPr>
            <w:r w:rsidRPr="0010523F">
              <w:rPr>
                <w:color w:val="000000"/>
                <w:sz w:val="22"/>
                <w:szCs w:val="22"/>
                <w:lang w:val="es-AR" w:eastAsia="es-AR"/>
              </w:rPr>
              <w:t> </w:t>
            </w:r>
          </w:p>
        </w:tc>
        <w:tc>
          <w:tcPr>
            <w:tcW w:w="425" w:type="dxa"/>
            <w:tcBorders>
              <w:top w:val="nil"/>
              <w:left w:val="nil"/>
              <w:bottom w:val="nil"/>
              <w:right w:val="nil"/>
            </w:tcBorders>
          </w:tcPr>
          <w:p w14:paraId="5F9EFF58" w14:textId="77777777" w:rsidR="0010523F" w:rsidRPr="0010523F" w:rsidRDefault="0010523F" w:rsidP="0010523F">
            <w:pPr>
              <w:spacing w:line="180" w:lineRule="exact"/>
              <w:rPr>
                <w:color w:val="000000"/>
                <w:sz w:val="20"/>
                <w:szCs w:val="20"/>
                <w:lang w:val="es-AR" w:eastAsia="es-AR"/>
              </w:rPr>
            </w:pPr>
          </w:p>
        </w:tc>
        <w:tc>
          <w:tcPr>
            <w:tcW w:w="1106" w:type="dxa"/>
            <w:tcBorders>
              <w:top w:val="nil"/>
              <w:left w:val="nil"/>
              <w:bottom w:val="nil"/>
              <w:right w:val="nil"/>
            </w:tcBorders>
            <w:shd w:val="clear" w:color="auto" w:fill="auto"/>
            <w:noWrap/>
            <w:vAlign w:val="bottom"/>
            <w:hideMark/>
          </w:tcPr>
          <w:p w14:paraId="71B6B8B8" w14:textId="77777777" w:rsidR="0010523F" w:rsidRPr="0010523F" w:rsidRDefault="0010523F" w:rsidP="0010523F">
            <w:pPr>
              <w:spacing w:line="180" w:lineRule="exact"/>
              <w:rPr>
                <w:color w:val="000000"/>
                <w:sz w:val="20"/>
                <w:szCs w:val="20"/>
                <w:lang w:val="es-AR" w:eastAsia="es-AR"/>
              </w:rPr>
            </w:pPr>
            <w:r w:rsidRPr="0010523F">
              <w:rPr>
                <w:color w:val="000000"/>
                <w:sz w:val="20"/>
                <w:szCs w:val="20"/>
                <w:lang w:val="es-AR" w:eastAsia="es-AR"/>
              </w:rPr>
              <w:t> </w:t>
            </w:r>
          </w:p>
        </w:tc>
        <w:tc>
          <w:tcPr>
            <w:tcW w:w="388" w:type="dxa"/>
            <w:tcBorders>
              <w:top w:val="nil"/>
              <w:left w:val="nil"/>
              <w:bottom w:val="nil"/>
              <w:right w:val="nil"/>
            </w:tcBorders>
            <w:shd w:val="clear" w:color="auto" w:fill="auto"/>
            <w:noWrap/>
            <w:vAlign w:val="bottom"/>
            <w:hideMark/>
          </w:tcPr>
          <w:p w14:paraId="09D95E50" w14:textId="77777777" w:rsidR="0010523F" w:rsidRPr="0010523F" w:rsidRDefault="0010523F" w:rsidP="0010523F">
            <w:pPr>
              <w:spacing w:line="180" w:lineRule="exact"/>
              <w:rPr>
                <w:color w:val="000000"/>
                <w:sz w:val="20"/>
                <w:szCs w:val="20"/>
                <w:lang w:val="es-AR" w:eastAsia="es-AR"/>
              </w:rPr>
            </w:pPr>
            <w:r w:rsidRPr="0010523F">
              <w:rPr>
                <w:color w:val="000000"/>
                <w:sz w:val="20"/>
                <w:szCs w:val="20"/>
                <w:lang w:val="es-AR" w:eastAsia="es-AR"/>
              </w:rPr>
              <w:t> </w:t>
            </w:r>
          </w:p>
        </w:tc>
      </w:tr>
      <w:tr w:rsidR="0010523F" w:rsidRPr="0010523F" w14:paraId="3810B524" w14:textId="77777777" w:rsidTr="00774E7E">
        <w:trPr>
          <w:trHeight w:val="300"/>
        </w:trPr>
        <w:tc>
          <w:tcPr>
            <w:tcW w:w="3559" w:type="dxa"/>
            <w:tcBorders>
              <w:top w:val="nil"/>
              <w:left w:val="nil"/>
              <w:bottom w:val="nil"/>
              <w:right w:val="nil"/>
            </w:tcBorders>
            <w:shd w:val="clear" w:color="auto" w:fill="auto"/>
            <w:noWrap/>
            <w:vAlign w:val="center"/>
            <w:hideMark/>
          </w:tcPr>
          <w:p w14:paraId="74C603C0" w14:textId="77777777" w:rsidR="0010523F" w:rsidRPr="0010523F" w:rsidRDefault="0010523F" w:rsidP="0010523F">
            <w:pPr>
              <w:rPr>
                <w:color w:val="000000"/>
                <w:sz w:val="22"/>
                <w:szCs w:val="22"/>
                <w:lang w:val="es-AR" w:eastAsia="es-AR"/>
              </w:rPr>
            </w:pPr>
            <w:r w:rsidRPr="0010523F">
              <w:rPr>
                <w:color w:val="000000"/>
                <w:sz w:val="22"/>
                <w:szCs w:val="22"/>
                <w:lang w:val="es-AR"/>
              </w:rPr>
              <w:t>- Controladas por la Casa Matriz</w:t>
            </w:r>
          </w:p>
        </w:tc>
        <w:tc>
          <w:tcPr>
            <w:tcW w:w="1026" w:type="dxa"/>
            <w:tcBorders>
              <w:top w:val="nil"/>
              <w:left w:val="nil"/>
              <w:bottom w:val="nil"/>
              <w:right w:val="nil"/>
            </w:tcBorders>
            <w:shd w:val="clear" w:color="auto" w:fill="auto"/>
            <w:noWrap/>
            <w:vAlign w:val="bottom"/>
            <w:hideMark/>
          </w:tcPr>
          <w:p w14:paraId="6B8ADA41" w14:textId="77777777" w:rsidR="0010523F" w:rsidRPr="0010523F" w:rsidRDefault="0010523F" w:rsidP="0010523F">
            <w:pPr>
              <w:jc w:val="right"/>
              <w:rPr>
                <w:color w:val="000000"/>
                <w:sz w:val="22"/>
                <w:szCs w:val="22"/>
                <w:lang w:val="es-AR" w:eastAsia="es-AR"/>
              </w:rPr>
            </w:pPr>
            <w:r w:rsidRPr="0010523F">
              <w:rPr>
                <w:color w:val="000000"/>
                <w:sz w:val="22"/>
                <w:szCs w:val="22"/>
                <w:lang w:val="en-US"/>
              </w:rPr>
              <w:t>-</w:t>
            </w:r>
          </w:p>
        </w:tc>
        <w:tc>
          <w:tcPr>
            <w:tcW w:w="993" w:type="dxa"/>
            <w:tcBorders>
              <w:top w:val="nil"/>
              <w:left w:val="nil"/>
              <w:bottom w:val="nil"/>
              <w:right w:val="nil"/>
            </w:tcBorders>
            <w:shd w:val="clear" w:color="auto" w:fill="auto"/>
            <w:noWrap/>
            <w:vAlign w:val="bottom"/>
            <w:hideMark/>
          </w:tcPr>
          <w:p w14:paraId="48E3D30B" w14:textId="77777777" w:rsidR="0010523F" w:rsidRPr="0010523F" w:rsidRDefault="0010523F" w:rsidP="0010523F">
            <w:pPr>
              <w:jc w:val="right"/>
              <w:rPr>
                <w:color w:val="000000"/>
                <w:sz w:val="22"/>
                <w:szCs w:val="22"/>
                <w:lang w:val="es-AR" w:eastAsia="es-AR"/>
              </w:rPr>
            </w:pPr>
            <w:r w:rsidRPr="0010523F">
              <w:rPr>
                <w:color w:val="000000"/>
                <w:sz w:val="22"/>
                <w:szCs w:val="22"/>
                <w:lang w:val="en-US"/>
              </w:rPr>
              <w:t>166</w:t>
            </w:r>
          </w:p>
        </w:tc>
        <w:tc>
          <w:tcPr>
            <w:tcW w:w="425" w:type="dxa"/>
            <w:tcBorders>
              <w:top w:val="nil"/>
              <w:left w:val="nil"/>
              <w:bottom w:val="nil"/>
              <w:right w:val="nil"/>
            </w:tcBorders>
            <w:shd w:val="clear" w:color="auto" w:fill="auto"/>
            <w:vAlign w:val="bottom"/>
            <w:hideMark/>
          </w:tcPr>
          <w:p w14:paraId="67242855" w14:textId="77777777" w:rsidR="0010523F" w:rsidRPr="0010523F" w:rsidRDefault="0010523F" w:rsidP="0010523F">
            <w:pPr>
              <w:jc w:val="right"/>
              <w:rPr>
                <w:color w:val="000000"/>
                <w:sz w:val="18"/>
                <w:szCs w:val="18"/>
                <w:lang w:val="es-AR" w:eastAsia="es-AR"/>
              </w:rPr>
            </w:pPr>
            <w:r w:rsidRPr="0010523F">
              <w:rPr>
                <w:color w:val="000000"/>
                <w:sz w:val="18"/>
                <w:szCs w:val="18"/>
                <w:lang w:val="en-US"/>
              </w:rPr>
              <w:t>(1)</w:t>
            </w:r>
          </w:p>
        </w:tc>
        <w:tc>
          <w:tcPr>
            <w:tcW w:w="1843" w:type="dxa"/>
            <w:tcBorders>
              <w:top w:val="nil"/>
              <w:left w:val="nil"/>
              <w:bottom w:val="nil"/>
              <w:right w:val="nil"/>
            </w:tcBorders>
            <w:shd w:val="clear" w:color="auto" w:fill="auto"/>
            <w:noWrap/>
            <w:vAlign w:val="bottom"/>
            <w:hideMark/>
          </w:tcPr>
          <w:p w14:paraId="712C2ED3" w14:textId="77777777" w:rsidR="0010523F" w:rsidRPr="0010523F" w:rsidRDefault="0010523F" w:rsidP="0010523F">
            <w:pPr>
              <w:ind w:right="99"/>
              <w:jc w:val="right"/>
              <w:rPr>
                <w:color w:val="000000"/>
                <w:sz w:val="22"/>
                <w:szCs w:val="22"/>
                <w:lang w:val="es-AR" w:eastAsia="es-AR"/>
              </w:rPr>
            </w:pPr>
            <w:r w:rsidRPr="0010523F">
              <w:rPr>
                <w:color w:val="000000"/>
                <w:sz w:val="22"/>
                <w:szCs w:val="22"/>
                <w:lang w:val="en-US"/>
              </w:rPr>
              <w:t>640</w:t>
            </w:r>
          </w:p>
        </w:tc>
        <w:tc>
          <w:tcPr>
            <w:tcW w:w="425" w:type="dxa"/>
            <w:tcBorders>
              <w:top w:val="nil"/>
              <w:left w:val="nil"/>
              <w:bottom w:val="nil"/>
              <w:right w:val="nil"/>
            </w:tcBorders>
            <w:vAlign w:val="bottom"/>
          </w:tcPr>
          <w:p w14:paraId="470D4EB6" w14:textId="77777777" w:rsidR="0010523F" w:rsidRPr="0010523F" w:rsidRDefault="0010523F" w:rsidP="0010523F">
            <w:pPr>
              <w:jc w:val="right"/>
              <w:rPr>
                <w:color w:val="000000"/>
                <w:sz w:val="22"/>
                <w:szCs w:val="22"/>
                <w:lang w:val="en-US"/>
              </w:rPr>
            </w:pPr>
          </w:p>
        </w:tc>
        <w:tc>
          <w:tcPr>
            <w:tcW w:w="1106" w:type="dxa"/>
            <w:tcBorders>
              <w:top w:val="nil"/>
              <w:left w:val="nil"/>
              <w:bottom w:val="nil"/>
              <w:right w:val="nil"/>
            </w:tcBorders>
            <w:shd w:val="clear" w:color="auto" w:fill="auto"/>
            <w:noWrap/>
            <w:vAlign w:val="bottom"/>
            <w:hideMark/>
          </w:tcPr>
          <w:p w14:paraId="649171E8" w14:textId="77777777" w:rsidR="0010523F" w:rsidRPr="0010523F" w:rsidRDefault="0010523F" w:rsidP="0010523F">
            <w:pPr>
              <w:jc w:val="right"/>
              <w:rPr>
                <w:color w:val="000000"/>
                <w:sz w:val="22"/>
                <w:szCs w:val="22"/>
                <w:lang w:val="es-AR" w:eastAsia="es-AR"/>
              </w:rPr>
            </w:pPr>
            <w:r w:rsidRPr="0010523F">
              <w:rPr>
                <w:color w:val="000000"/>
                <w:sz w:val="22"/>
                <w:szCs w:val="22"/>
                <w:lang w:val="en-US"/>
              </w:rPr>
              <w:t>(4)</w:t>
            </w:r>
          </w:p>
        </w:tc>
        <w:tc>
          <w:tcPr>
            <w:tcW w:w="388" w:type="dxa"/>
            <w:tcBorders>
              <w:top w:val="nil"/>
              <w:left w:val="nil"/>
              <w:bottom w:val="nil"/>
              <w:right w:val="nil"/>
            </w:tcBorders>
            <w:shd w:val="clear" w:color="auto" w:fill="auto"/>
            <w:vAlign w:val="bottom"/>
            <w:hideMark/>
          </w:tcPr>
          <w:p w14:paraId="3ACBD0A9" w14:textId="77777777" w:rsidR="0010523F" w:rsidRPr="0010523F" w:rsidRDefault="0010523F" w:rsidP="0010523F">
            <w:pPr>
              <w:jc w:val="right"/>
              <w:rPr>
                <w:color w:val="000000"/>
                <w:sz w:val="18"/>
                <w:szCs w:val="18"/>
                <w:lang w:val="es-AR" w:eastAsia="es-AR"/>
              </w:rPr>
            </w:pPr>
            <w:r w:rsidRPr="0010523F">
              <w:rPr>
                <w:color w:val="000000"/>
                <w:sz w:val="18"/>
                <w:szCs w:val="18"/>
                <w:lang w:val="en-US"/>
              </w:rPr>
              <w:t>(3)</w:t>
            </w:r>
          </w:p>
        </w:tc>
      </w:tr>
      <w:tr w:rsidR="0010523F" w:rsidRPr="0010523F" w14:paraId="4397B7A7" w14:textId="77777777" w:rsidTr="00774E7E">
        <w:trPr>
          <w:trHeight w:val="300"/>
        </w:trPr>
        <w:tc>
          <w:tcPr>
            <w:tcW w:w="3559" w:type="dxa"/>
            <w:tcBorders>
              <w:top w:val="nil"/>
              <w:left w:val="nil"/>
              <w:bottom w:val="nil"/>
              <w:right w:val="nil"/>
            </w:tcBorders>
            <w:shd w:val="clear" w:color="auto" w:fill="auto"/>
            <w:noWrap/>
            <w:vAlign w:val="center"/>
            <w:hideMark/>
          </w:tcPr>
          <w:p w14:paraId="7402066F" w14:textId="77777777" w:rsidR="0010523F" w:rsidRPr="0010523F" w:rsidRDefault="0010523F" w:rsidP="0010523F">
            <w:pPr>
              <w:rPr>
                <w:color w:val="000000"/>
                <w:sz w:val="22"/>
                <w:szCs w:val="22"/>
                <w:lang w:val="es-AR" w:eastAsia="es-AR"/>
              </w:rPr>
            </w:pPr>
            <w:r w:rsidRPr="0010523F">
              <w:rPr>
                <w:color w:val="000000"/>
                <w:sz w:val="22"/>
                <w:szCs w:val="22"/>
                <w:lang w:val="es-AR"/>
              </w:rPr>
              <w:t>- Otras</w:t>
            </w:r>
          </w:p>
        </w:tc>
        <w:tc>
          <w:tcPr>
            <w:tcW w:w="1026" w:type="dxa"/>
            <w:tcBorders>
              <w:top w:val="nil"/>
              <w:left w:val="nil"/>
              <w:bottom w:val="nil"/>
              <w:right w:val="nil"/>
            </w:tcBorders>
            <w:shd w:val="clear" w:color="auto" w:fill="auto"/>
            <w:noWrap/>
            <w:vAlign w:val="bottom"/>
            <w:hideMark/>
          </w:tcPr>
          <w:p w14:paraId="0CBDC0CC" w14:textId="77777777" w:rsidR="0010523F" w:rsidRPr="0010523F" w:rsidRDefault="0010523F" w:rsidP="0010523F">
            <w:pPr>
              <w:jc w:val="right"/>
              <w:rPr>
                <w:color w:val="000000"/>
                <w:sz w:val="22"/>
                <w:szCs w:val="22"/>
                <w:highlight w:val="yellow"/>
                <w:u w:val="single"/>
                <w:lang w:val="es-AR" w:eastAsia="es-AR"/>
              </w:rPr>
            </w:pPr>
            <w:r w:rsidRPr="0010523F">
              <w:rPr>
                <w:color w:val="000000"/>
                <w:sz w:val="22"/>
                <w:szCs w:val="22"/>
                <w:u w:val="single"/>
                <w:lang w:val="en-US"/>
              </w:rPr>
              <w:t>2.982</w:t>
            </w:r>
          </w:p>
        </w:tc>
        <w:tc>
          <w:tcPr>
            <w:tcW w:w="993" w:type="dxa"/>
            <w:tcBorders>
              <w:top w:val="nil"/>
              <w:left w:val="nil"/>
              <w:bottom w:val="nil"/>
              <w:right w:val="nil"/>
            </w:tcBorders>
            <w:shd w:val="clear" w:color="auto" w:fill="auto"/>
            <w:noWrap/>
            <w:vAlign w:val="bottom"/>
            <w:hideMark/>
          </w:tcPr>
          <w:p w14:paraId="6699F7F2" w14:textId="77777777" w:rsidR="0010523F" w:rsidRPr="0010523F" w:rsidRDefault="0010523F" w:rsidP="0010523F">
            <w:pPr>
              <w:jc w:val="right"/>
              <w:rPr>
                <w:color w:val="000000"/>
                <w:sz w:val="22"/>
                <w:szCs w:val="22"/>
                <w:highlight w:val="yellow"/>
                <w:u w:val="single"/>
                <w:lang w:val="es-AR" w:eastAsia="es-AR"/>
              </w:rPr>
            </w:pPr>
            <w:r w:rsidRPr="0010523F">
              <w:rPr>
                <w:color w:val="000000"/>
                <w:sz w:val="22"/>
                <w:szCs w:val="22"/>
                <w:u w:val="single"/>
                <w:lang w:val="en-US"/>
              </w:rPr>
              <w:t xml:space="preserve">  10</w:t>
            </w:r>
          </w:p>
        </w:tc>
        <w:tc>
          <w:tcPr>
            <w:tcW w:w="425" w:type="dxa"/>
            <w:tcBorders>
              <w:top w:val="nil"/>
              <w:left w:val="nil"/>
              <w:bottom w:val="nil"/>
              <w:right w:val="nil"/>
            </w:tcBorders>
            <w:shd w:val="clear" w:color="auto" w:fill="auto"/>
            <w:vAlign w:val="bottom"/>
            <w:hideMark/>
          </w:tcPr>
          <w:p w14:paraId="3BC9F4B4" w14:textId="77777777" w:rsidR="0010523F" w:rsidRPr="0010523F" w:rsidRDefault="0010523F" w:rsidP="0010523F">
            <w:pPr>
              <w:jc w:val="right"/>
              <w:rPr>
                <w:color w:val="000000"/>
                <w:sz w:val="22"/>
                <w:szCs w:val="22"/>
                <w:highlight w:val="yellow"/>
                <w:lang w:val="es-AR" w:eastAsia="es-AR"/>
              </w:rPr>
            </w:pPr>
          </w:p>
        </w:tc>
        <w:tc>
          <w:tcPr>
            <w:tcW w:w="1843" w:type="dxa"/>
            <w:tcBorders>
              <w:top w:val="nil"/>
              <w:left w:val="nil"/>
              <w:bottom w:val="nil"/>
              <w:right w:val="nil"/>
            </w:tcBorders>
            <w:shd w:val="clear" w:color="auto" w:fill="auto"/>
            <w:noWrap/>
            <w:vAlign w:val="bottom"/>
            <w:hideMark/>
          </w:tcPr>
          <w:p w14:paraId="4DBD658C" w14:textId="77777777" w:rsidR="0010523F" w:rsidRPr="0010523F" w:rsidRDefault="0010523F" w:rsidP="0010523F">
            <w:pPr>
              <w:ind w:right="99"/>
              <w:jc w:val="right"/>
              <w:rPr>
                <w:color w:val="000000"/>
                <w:sz w:val="22"/>
                <w:szCs w:val="22"/>
                <w:highlight w:val="yellow"/>
                <w:u w:val="single"/>
                <w:lang w:val="es-AR" w:eastAsia="es-AR"/>
              </w:rPr>
            </w:pPr>
            <w:r w:rsidRPr="0010523F">
              <w:rPr>
                <w:color w:val="000000"/>
                <w:sz w:val="22"/>
                <w:szCs w:val="22"/>
                <w:u w:val="single"/>
                <w:lang w:val="en-US"/>
              </w:rPr>
              <w:t xml:space="preserve">  295</w:t>
            </w:r>
          </w:p>
        </w:tc>
        <w:tc>
          <w:tcPr>
            <w:tcW w:w="425" w:type="dxa"/>
            <w:tcBorders>
              <w:top w:val="nil"/>
              <w:left w:val="nil"/>
              <w:bottom w:val="nil"/>
              <w:right w:val="nil"/>
            </w:tcBorders>
            <w:vAlign w:val="bottom"/>
          </w:tcPr>
          <w:p w14:paraId="75ED82A0" w14:textId="77777777" w:rsidR="0010523F" w:rsidRPr="0010523F" w:rsidRDefault="0010523F" w:rsidP="0010523F">
            <w:pPr>
              <w:jc w:val="right"/>
              <w:rPr>
                <w:color w:val="000000"/>
                <w:sz w:val="22"/>
                <w:szCs w:val="22"/>
                <w:u w:val="single"/>
                <w:lang w:val="en-US"/>
              </w:rPr>
            </w:pPr>
          </w:p>
        </w:tc>
        <w:tc>
          <w:tcPr>
            <w:tcW w:w="1106" w:type="dxa"/>
            <w:tcBorders>
              <w:top w:val="nil"/>
              <w:left w:val="nil"/>
              <w:bottom w:val="nil"/>
              <w:right w:val="nil"/>
            </w:tcBorders>
            <w:shd w:val="clear" w:color="auto" w:fill="auto"/>
            <w:noWrap/>
            <w:vAlign w:val="bottom"/>
            <w:hideMark/>
          </w:tcPr>
          <w:p w14:paraId="33B91B01" w14:textId="77777777" w:rsidR="0010523F" w:rsidRPr="0010523F" w:rsidRDefault="0010523F" w:rsidP="0010523F">
            <w:pPr>
              <w:jc w:val="right"/>
              <w:rPr>
                <w:color w:val="000000"/>
                <w:sz w:val="22"/>
                <w:szCs w:val="22"/>
                <w:highlight w:val="yellow"/>
                <w:u w:val="single"/>
                <w:lang w:val="es-AR" w:eastAsia="es-AR"/>
              </w:rPr>
            </w:pPr>
            <w:r w:rsidRPr="0010523F">
              <w:rPr>
                <w:color w:val="000000"/>
                <w:sz w:val="22"/>
                <w:szCs w:val="22"/>
                <w:u w:val="single"/>
                <w:lang w:val="en-US"/>
              </w:rPr>
              <w:t xml:space="preserve">  -</w:t>
            </w:r>
          </w:p>
        </w:tc>
        <w:tc>
          <w:tcPr>
            <w:tcW w:w="388" w:type="dxa"/>
            <w:tcBorders>
              <w:top w:val="nil"/>
              <w:left w:val="nil"/>
              <w:bottom w:val="nil"/>
              <w:right w:val="nil"/>
            </w:tcBorders>
            <w:shd w:val="clear" w:color="auto" w:fill="auto"/>
            <w:vAlign w:val="bottom"/>
            <w:hideMark/>
          </w:tcPr>
          <w:p w14:paraId="5F4DB7F9" w14:textId="77777777" w:rsidR="0010523F" w:rsidRPr="0010523F" w:rsidRDefault="0010523F" w:rsidP="0010523F">
            <w:pPr>
              <w:jc w:val="right"/>
              <w:rPr>
                <w:color w:val="000000"/>
                <w:sz w:val="22"/>
                <w:szCs w:val="22"/>
                <w:highlight w:val="yellow"/>
                <w:lang w:val="es-AR" w:eastAsia="es-AR"/>
              </w:rPr>
            </w:pPr>
          </w:p>
        </w:tc>
      </w:tr>
      <w:tr w:rsidR="0010523F" w:rsidRPr="0010523F" w14:paraId="09EDDB44" w14:textId="77777777" w:rsidTr="00774E7E">
        <w:trPr>
          <w:trHeight w:val="300"/>
        </w:trPr>
        <w:tc>
          <w:tcPr>
            <w:tcW w:w="3559" w:type="dxa"/>
            <w:tcBorders>
              <w:top w:val="nil"/>
              <w:left w:val="nil"/>
              <w:bottom w:val="nil"/>
              <w:right w:val="nil"/>
            </w:tcBorders>
            <w:shd w:val="clear" w:color="auto" w:fill="auto"/>
            <w:noWrap/>
            <w:vAlign w:val="center"/>
            <w:hideMark/>
          </w:tcPr>
          <w:p w14:paraId="2E6D6699" w14:textId="77777777" w:rsidR="0010523F" w:rsidRPr="0010523F" w:rsidRDefault="0010523F" w:rsidP="0010523F">
            <w:pPr>
              <w:rPr>
                <w:color w:val="000000"/>
                <w:sz w:val="22"/>
                <w:szCs w:val="22"/>
                <w:lang w:val="es-AR" w:eastAsia="es-AR"/>
              </w:rPr>
            </w:pPr>
            <w:r w:rsidRPr="0010523F">
              <w:rPr>
                <w:color w:val="000000"/>
                <w:sz w:val="22"/>
                <w:szCs w:val="22"/>
                <w:lang w:val="es-AR"/>
              </w:rPr>
              <w:t xml:space="preserve">Total </w:t>
            </w:r>
          </w:p>
        </w:tc>
        <w:tc>
          <w:tcPr>
            <w:tcW w:w="1026" w:type="dxa"/>
            <w:tcBorders>
              <w:top w:val="nil"/>
              <w:left w:val="nil"/>
              <w:bottom w:val="nil"/>
              <w:right w:val="nil"/>
            </w:tcBorders>
            <w:shd w:val="clear" w:color="auto" w:fill="auto"/>
            <w:noWrap/>
            <w:vAlign w:val="bottom"/>
            <w:hideMark/>
          </w:tcPr>
          <w:p w14:paraId="3605C8C2" w14:textId="77777777" w:rsidR="0010523F" w:rsidRPr="0010523F" w:rsidRDefault="0010523F" w:rsidP="0010523F">
            <w:pPr>
              <w:jc w:val="right"/>
              <w:rPr>
                <w:color w:val="000000"/>
                <w:sz w:val="22"/>
                <w:szCs w:val="22"/>
                <w:highlight w:val="yellow"/>
                <w:u w:val="double"/>
                <w:lang w:val="es-AR" w:eastAsia="es-AR"/>
              </w:rPr>
            </w:pPr>
            <w:r w:rsidRPr="0010523F">
              <w:rPr>
                <w:color w:val="000000"/>
                <w:sz w:val="22"/>
                <w:szCs w:val="22"/>
                <w:u w:val="double"/>
                <w:lang w:val="en-US"/>
              </w:rPr>
              <w:t>2.982</w:t>
            </w:r>
          </w:p>
        </w:tc>
        <w:tc>
          <w:tcPr>
            <w:tcW w:w="993" w:type="dxa"/>
            <w:tcBorders>
              <w:top w:val="nil"/>
              <w:left w:val="nil"/>
              <w:bottom w:val="nil"/>
              <w:right w:val="nil"/>
            </w:tcBorders>
            <w:shd w:val="clear" w:color="auto" w:fill="auto"/>
            <w:noWrap/>
            <w:vAlign w:val="bottom"/>
            <w:hideMark/>
          </w:tcPr>
          <w:p w14:paraId="16F397C4" w14:textId="77777777" w:rsidR="0010523F" w:rsidRPr="0010523F" w:rsidRDefault="0010523F" w:rsidP="0010523F">
            <w:pPr>
              <w:jc w:val="right"/>
              <w:rPr>
                <w:color w:val="000000"/>
                <w:sz w:val="22"/>
                <w:szCs w:val="22"/>
                <w:highlight w:val="yellow"/>
                <w:u w:val="double"/>
                <w:lang w:val="es-AR" w:eastAsia="es-AR"/>
              </w:rPr>
            </w:pPr>
            <w:r w:rsidRPr="0010523F">
              <w:rPr>
                <w:color w:val="000000"/>
                <w:sz w:val="22"/>
                <w:szCs w:val="22"/>
                <w:u w:val="double"/>
                <w:lang w:val="en-US"/>
              </w:rPr>
              <w:t>176</w:t>
            </w:r>
          </w:p>
        </w:tc>
        <w:tc>
          <w:tcPr>
            <w:tcW w:w="425" w:type="dxa"/>
            <w:tcBorders>
              <w:top w:val="nil"/>
              <w:left w:val="nil"/>
              <w:bottom w:val="nil"/>
              <w:right w:val="nil"/>
            </w:tcBorders>
            <w:shd w:val="clear" w:color="auto" w:fill="auto"/>
            <w:vAlign w:val="bottom"/>
            <w:hideMark/>
          </w:tcPr>
          <w:p w14:paraId="1A11F327" w14:textId="77777777" w:rsidR="0010523F" w:rsidRPr="0010523F" w:rsidRDefault="0010523F" w:rsidP="0010523F">
            <w:pPr>
              <w:jc w:val="right"/>
              <w:rPr>
                <w:color w:val="000000"/>
                <w:sz w:val="22"/>
                <w:szCs w:val="22"/>
                <w:highlight w:val="yellow"/>
                <w:lang w:val="es-AR" w:eastAsia="es-AR"/>
              </w:rPr>
            </w:pPr>
          </w:p>
        </w:tc>
        <w:tc>
          <w:tcPr>
            <w:tcW w:w="1843" w:type="dxa"/>
            <w:tcBorders>
              <w:top w:val="nil"/>
              <w:left w:val="nil"/>
              <w:bottom w:val="nil"/>
              <w:right w:val="nil"/>
            </w:tcBorders>
            <w:shd w:val="clear" w:color="auto" w:fill="auto"/>
            <w:noWrap/>
            <w:vAlign w:val="bottom"/>
            <w:hideMark/>
          </w:tcPr>
          <w:p w14:paraId="3DA9D471" w14:textId="77777777" w:rsidR="0010523F" w:rsidRPr="0010523F" w:rsidRDefault="0010523F" w:rsidP="0010523F">
            <w:pPr>
              <w:ind w:right="99"/>
              <w:jc w:val="right"/>
              <w:rPr>
                <w:color w:val="000000"/>
                <w:sz w:val="22"/>
                <w:szCs w:val="22"/>
                <w:highlight w:val="yellow"/>
                <w:u w:val="double"/>
                <w:lang w:val="es-AR" w:eastAsia="es-AR"/>
              </w:rPr>
            </w:pPr>
            <w:r w:rsidRPr="0010523F">
              <w:rPr>
                <w:color w:val="000000"/>
                <w:sz w:val="22"/>
                <w:szCs w:val="22"/>
                <w:u w:val="double"/>
                <w:lang w:val="en-US"/>
              </w:rPr>
              <w:t xml:space="preserve">  935</w:t>
            </w:r>
          </w:p>
        </w:tc>
        <w:tc>
          <w:tcPr>
            <w:tcW w:w="425" w:type="dxa"/>
            <w:tcBorders>
              <w:top w:val="nil"/>
              <w:left w:val="nil"/>
              <w:bottom w:val="nil"/>
              <w:right w:val="nil"/>
            </w:tcBorders>
            <w:vAlign w:val="bottom"/>
          </w:tcPr>
          <w:p w14:paraId="3747D283" w14:textId="77777777" w:rsidR="0010523F" w:rsidRPr="0010523F" w:rsidRDefault="0010523F" w:rsidP="0010523F">
            <w:pPr>
              <w:jc w:val="right"/>
              <w:rPr>
                <w:color w:val="000000"/>
                <w:sz w:val="22"/>
                <w:szCs w:val="22"/>
                <w:lang w:val="en-US"/>
              </w:rPr>
            </w:pPr>
          </w:p>
        </w:tc>
        <w:tc>
          <w:tcPr>
            <w:tcW w:w="1106" w:type="dxa"/>
            <w:tcBorders>
              <w:top w:val="nil"/>
              <w:left w:val="nil"/>
              <w:bottom w:val="nil"/>
              <w:right w:val="nil"/>
            </w:tcBorders>
            <w:shd w:val="clear" w:color="auto" w:fill="auto"/>
            <w:noWrap/>
            <w:vAlign w:val="bottom"/>
            <w:hideMark/>
          </w:tcPr>
          <w:p w14:paraId="5963AECD" w14:textId="77777777" w:rsidR="0010523F" w:rsidRPr="0010523F" w:rsidRDefault="0010523F" w:rsidP="0010523F">
            <w:pPr>
              <w:jc w:val="right"/>
              <w:rPr>
                <w:color w:val="000000"/>
                <w:sz w:val="22"/>
                <w:szCs w:val="22"/>
                <w:u w:val="double"/>
                <w:lang w:val="es-AR" w:eastAsia="es-AR"/>
              </w:rPr>
            </w:pPr>
            <w:r w:rsidRPr="0010523F">
              <w:rPr>
                <w:color w:val="000000"/>
                <w:sz w:val="22"/>
                <w:szCs w:val="22"/>
                <w:lang w:val="en-US"/>
              </w:rPr>
              <w:t>(</w:t>
            </w:r>
            <w:r w:rsidRPr="0010523F">
              <w:rPr>
                <w:color w:val="000000"/>
                <w:sz w:val="22"/>
                <w:szCs w:val="22"/>
                <w:u w:val="double"/>
                <w:lang w:val="en-US"/>
              </w:rPr>
              <w:t>4</w:t>
            </w:r>
            <w:r w:rsidRPr="0010523F">
              <w:rPr>
                <w:color w:val="000000"/>
                <w:sz w:val="22"/>
                <w:szCs w:val="22"/>
                <w:lang w:val="en-US"/>
              </w:rPr>
              <w:t>)</w:t>
            </w:r>
          </w:p>
        </w:tc>
        <w:tc>
          <w:tcPr>
            <w:tcW w:w="388" w:type="dxa"/>
            <w:tcBorders>
              <w:top w:val="nil"/>
              <w:left w:val="nil"/>
              <w:bottom w:val="nil"/>
              <w:right w:val="nil"/>
            </w:tcBorders>
            <w:shd w:val="clear" w:color="auto" w:fill="auto"/>
            <w:vAlign w:val="bottom"/>
            <w:hideMark/>
          </w:tcPr>
          <w:p w14:paraId="6035C5B0" w14:textId="77777777" w:rsidR="0010523F" w:rsidRPr="0010523F" w:rsidRDefault="0010523F" w:rsidP="0010523F">
            <w:pPr>
              <w:jc w:val="right"/>
              <w:rPr>
                <w:color w:val="000000"/>
                <w:sz w:val="22"/>
                <w:szCs w:val="22"/>
                <w:lang w:val="es-AR" w:eastAsia="es-AR"/>
              </w:rPr>
            </w:pPr>
          </w:p>
        </w:tc>
      </w:tr>
      <w:tr w:rsidR="0010523F" w:rsidRPr="0010523F" w14:paraId="29E9D8D7" w14:textId="77777777" w:rsidTr="00774E7E">
        <w:trPr>
          <w:trHeight w:val="170"/>
        </w:trPr>
        <w:tc>
          <w:tcPr>
            <w:tcW w:w="3559" w:type="dxa"/>
            <w:tcBorders>
              <w:top w:val="nil"/>
              <w:left w:val="nil"/>
              <w:bottom w:val="nil"/>
              <w:right w:val="nil"/>
            </w:tcBorders>
            <w:shd w:val="clear" w:color="auto" w:fill="auto"/>
            <w:noWrap/>
            <w:vAlign w:val="center"/>
            <w:hideMark/>
          </w:tcPr>
          <w:p w14:paraId="05016984" w14:textId="77777777" w:rsidR="0010523F" w:rsidRPr="0010523F" w:rsidRDefault="0010523F" w:rsidP="0010523F">
            <w:pPr>
              <w:spacing w:line="180" w:lineRule="exact"/>
              <w:rPr>
                <w:color w:val="000000"/>
                <w:sz w:val="20"/>
                <w:szCs w:val="20"/>
                <w:lang w:val="es-AR" w:eastAsia="es-AR"/>
              </w:rPr>
            </w:pPr>
          </w:p>
        </w:tc>
        <w:tc>
          <w:tcPr>
            <w:tcW w:w="1026" w:type="dxa"/>
            <w:tcBorders>
              <w:top w:val="nil"/>
              <w:left w:val="nil"/>
              <w:bottom w:val="nil"/>
              <w:right w:val="nil"/>
            </w:tcBorders>
            <w:shd w:val="clear" w:color="auto" w:fill="auto"/>
            <w:noWrap/>
            <w:vAlign w:val="bottom"/>
            <w:hideMark/>
          </w:tcPr>
          <w:p w14:paraId="2239AE11" w14:textId="77777777" w:rsidR="0010523F" w:rsidRPr="0010523F" w:rsidRDefault="0010523F" w:rsidP="0010523F">
            <w:pPr>
              <w:rPr>
                <w:color w:val="000000"/>
                <w:sz w:val="20"/>
                <w:szCs w:val="20"/>
                <w:lang w:val="es-AR" w:eastAsia="es-AR"/>
              </w:rPr>
            </w:pPr>
          </w:p>
        </w:tc>
        <w:tc>
          <w:tcPr>
            <w:tcW w:w="993" w:type="dxa"/>
            <w:tcBorders>
              <w:top w:val="nil"/>
              <w:left w:val="nil"/>
              <w:bottom w:val="nil"/>
              <w:right w:val="nil"/>
            </w:tcBorders>
            <w:shd w:val="clear" w:color="auto" w:fill="auto"/>
            <w:noWrap/>
            <w:vAlign w:val="bottom"/>
            <w:hideMark/>
          </w:tcPr>
          <w:p w14:paraId="19D79619" w14:textId="77777777" w:rsidR="0010523F" w:rsidRPr="0010523F" w:rsidRDefault="0010523F" w:rsidP="0010523F">
            <w:pPr>
              <w:spacing w:line="180" w:lineRule="exact"/>
              <w:rPr>
                <w:color w:val="000000"/>
                <w:sz w:val="20"/>
                <w:szCs w:val="20"/>
                <w:lang w:val="es-AR" w:eastAsia="es-AR"/>
              </w:rPr>
            </w:pPr>
          </w:p>
        </w:tc>
        <w:tc>
          <w:tcPr>
            <w:tcW w:w="425" w:type="dxa"/>
            <w:tcBorders>
              <w:top w:val="nil"/>
              <w:left w:val="nil"/>
              <w:bottom w:val="nil"/>
              <w:right w:val="nil"/>
            </w:tcBorders>
            <w:shd w:val="clear" w:color="auto" w:fill="auto"/>
            <w:vAlign w:val="center"/>
            <w:hideMark/>
          </w:tcPr>
          <w:p w14:paraId="7EA60157" w14:textId="77777777" w:rsidR="0010523F" w:rsidRPr="0010523F" w:rsidRDefault="0010523F" w:rsidP="0010523F">
            <w:pPr>
              <w:spacing w:line="180" w:lineRule="exact"/>
              <w:jc w:val="right"/>
              <w:rPr>
                <w:rFonts w:ascii="Calibri" w:hAnsi="Calibri"/>
                <w:color w:val="000000"/>
                <w:sz w:val="22"/>
                <w:szCs w:val="22"/>
                <w:lang w:val="es-AR" w:eastAsia="es-AR"/>
              </w:rPr>
            </w:pPr>
          </w:p>
        </w:tc>
        <w:tc>
          <w:tcPr>
            <w:tcW w:w="1843" w:type="dxa"/>
            <w:tcBorders>
              <w:top w:val="nil"/>
              <w:left w:val="nil"/>
              <w:bottom w:val="nil"/>
              <w:right w:val="nil"/>
            </w:tcBorders>
            <w:shd w:val="clear" w:color="auto" w:fill="auto"/>
            <w:noWrap/>
            <w:vAlign w:val="bottom"/>
            <w:hideMark/>
          </w:tcPr>
          <w:p w14:paraId="418E52A7" w14:textId="77777777" w:rsidR="0010523F" w:rsidRPr="0010523F" w:rsidRDefault="0010523F" w:rsidP="0010523F">
            <w:pPr>
              <w:spacing w:line="180" w:lineRule="exact"/>
              <w:rPr>
                <w:color w:val="000000"/>
                <w:sz w:val="20"/>
                <w:szCs w:val="20"/>
                <w:lang w:val="es-AR" w:eastAsia="es-AR"/>
              </w:rPr>
            </w:pPr>
          </w:p>
        </w:tc>
        <w:tc>
          <w:tcPr>
            <w:tcW w:w="425" w:type="dxa"/>
            <w:tcBorders>
              <w:top w:val="nil"/>
              <w:left w:val="nil"/>
              <w:bottom w:val="nil"/>
              <w:right w:val="nil"/>
            </w:tcBorders>
          </w:tcPr>
          <w:p w14:paraId="0C05A7D0" w14:textId="77777777" w:rsidR="0010523F" w:rsidRPr="0010523F" w:rsidRDefault="0010523F" w:rsidP="0010523F">
            <w:pPr>
              <w:spacing w:line="180" w:lineRule="exact"/>
              <w:rPr>
                <w:color w:val="000000"/>
                <w:sz w:val="20"/>
                <w:szCs w:val="20"/>
                <w:lang w:val="es-AR" w:eastAsia="es-AR"/>
              </w:rPr>
            </w:pPr>
          </w:p>
        </w:tc>
        <w:tc>
          <w:tcPr>
            <w:tcW w:w="1106" w:type="dxa"/>
            <w:tcBorders>
              <w:top w:val="nil"/>
              <w:left w:val="nil"/>
              <w:bottom w:val="nil"/>
              <w:right w:val="nil"/>
            </w:tcBorders>
            <w:shd w:val="clear" w:color="auto" w:fill="auto"/>
            <w:noWrap/>
            <w:vAlign w:val="bottom"/>
            <w:hideMark/>
          </w:tcPr>
          <w:p w14:paraId="5003938E" w14:textId="77777777" w:rsidR="0010523F" w:rsidRPr="0010523F" w:rsidRDefault="0010523F" w:rsidP="0010523F">
            <w:pPr>
              <w:spacing w:line="180" w:lineRule="exact"/>
              <w:rPr>
                <w:color w:val="000000"/>
                <w:sz w:val="20"/>
                <w:szCs w:val="20"/>
                <w:lang w:val="es-AR" w:eastAsia="es-AR"/>
              </w:rPr>
            </w:pPr>
          </w:p>
        </w:tc>
        <w:tc>
          <w:tcPr>
            <w:tcW w:w="388" w:type="dxa"/>
            <w:tcBorders>
              <w:top w:val="nil"/>
              <w:left w:val="nil"/>
              <w:bottom w:val="nil"/>
              <w:right w:val="nil"/>
            </w:tcBorders>
            <w:shd w:val="clear" w:color="auto" w:fill="auto"/>
            <w:vAlign w:val="center"/>
            <w:hideMark/>
          </w:tcPr>
          <w:p w14:paraId="344082E2" w14:textId="77777777" w:rsidR="0010523F" w:rsidRPr="0010523F" w:rsidRDefault="0010523F" w:rsidP="0010523F">
            <w:pPr>
              <w:spacing w:line="180" w:lineRule="exact"/>
              <w:jc w:val="right"/>
              <w:rPr>
                <w:rFonts w:ascii="Calibri" w:hAnsi="Calibri"/>
                <w:color w:val="000000"/>
                <w:sz w:val="22"/>
                <w:szCs w:val="22"/>
                <w:lang w:val="es-AR" w:eastAsia="es-AR"/>
              </w:rPr>
            </w:pPr>
          </w:p>
        </w:tc>
      </w:tr>
      <w:tr w:rsidR="0010523F" w:rsidRPr="0010523F" w14:paraId="237AFC17" w14:textId="77777777" w:rsidTr="00774E7E">
        <w:trPr>
          <w:trHeight w:val="300"/>
        </w:trPr>
        <w:tc>
          <w:tcPr>
            <w:tcW w:w="3559" w:type="dxa"/>
            <w:tcBorders>
              <w:top w:val="nil"/>
              <w:left w:val="nil"/>
              <w:bottom w:val="nil"/>
              <w:right w:val="nil"/>
            </w:tcBorders>
            <w:shd w:val="clear" w:color="auto" w:fill="auto"/>
            <w:noWrap/>
            <w:vAlign w:val="center"/>
          </w:tcPr>
          <w:p w14:paraId="0B30878D" w14:textId="77777777" w:rsidR="0010523F" w:rsidRPr="0010523F" w:rsidRDefault="0010523F" w:rsidP="0010523F">
            <w:pPr>
              <w:rPr>
                <w:color w:val="000000"/>
                <w:sz w:val="22"/>
                <w:szCs w:val="22"/>
                <w:lang w:val="es-AR"/>
              </w:rPr>
            </w:pPr>
          </w:p>
        </w:tc>
        <w:tc>
          <w:tcPr>
            <w:tcW w:w="1026" w:type="dxa"/>
            <w:tcBorders>
              <w:top w:val="nil"/>
              <w:left w:val="nil"/>
              <w:bottom w:val="nil"/>
              <w:right w:val="nil"/>
            </w:tcBorders>
            <w:shd w:val="clear" w:color="auto" w:fill="auto"/>
            <w:noWrap/>
            <w:vAlign w:val="center"/>
          </w:tcPr>
          <w:p w14:paraId="5FCCDEB9" w14:textId="77777777" w:rsidR="0010523F" w:rsidRPr="0010523F" w:rsidRDefault="0010523F" w:rsidP="0010523F">
            <w:pPr>
              <w:jc w:val="right"/>
              <w:rPr>
                <w:color w:val="000000"/>
                <w:sz w:val="22"/>
                <w:szCs w:val="22"/>
                <w:u w:val="double"/>
                <w:lang w:val="es-AR"/>
              </w:rPr>
            </w:pPr>
          </w:p>
        </w:tc>
        <w:tc>
          <w:tcPr>
            <w:tcW w:w="993" w:type="dxa"/>
            <w:tcBorders>
              <w:top w:val="nil"/>
              <w:left w:val="nil"/>
              <w:bottom w:val="nil"/>
              <w:right w:val="nil"/>
            </w:tcBorders>
            <w:shd w:val="clear" w:color="auto" w:fill="auto"/>
            <w:noWrap/>
            <w:vAlign w:val="center"/>
          </w:tcPr>
          <w:p w14:paraId="51894961" w14:textId="77777777" w:rsidR="0010523F" w:rsidRPr="0010523F" w:rsidRDefault="0010523F" w:rsidP="0010523F">
            <w:pPr>
              <w:jc w:val="right"/>
              <w:rPr>
                <w:color w:val="000000"/>
                <w:sz w:val="22"/>
                <w:szCs w:val="22"/>
                <w:u w:val="double"/>
                <w:lang w:val="es-AR"/>
              </w:rPr>
            </w:pPr>
          </w:p>
        </w:tc>
        <w:tc>
          <w:tcPr>
            <w:tcW w:w="425" w:type="dxa"/>
            <w:tcBorders>
              <w:top w:val="nil"/>
              <w:left w:val="nil"/>
              <w:bottom w:val="nil"/>
              <w:right w:val="nil"/>
            </w:tcBorders>
            <w:shd w:val="clear" w:color="auto" w:fill="auto"/>
            <w:vAlign w:val="center"/>
          </w:tcPr>
          <w:p w14:paraId="1AD0F6D7" w14:textId="77777777" w:rsidR="0010523F" w:rsidRPr="0010523F" w:rsidRDefault="0010523F" w:rsidP="0010523F">
            <w:pPr>
              <w:jc w:val="right"/>
              <w:rPr>
                <w:color w:val="000000"/>
                <w:sz w:val="22"/>
                <w:szCs w:val="22"/>
                <w:lang w:val="es-AR" w:eastAsia="es-AR"/>
              </w:rPr>
            </w:pPr>
          </w:p>
        </w:tc>
        <w:tc>
          <w:tcPr>
            <w:tcW w:w="1843" w:type="dxa"/>
            <w:tcBorders>
              <w:top w:val="nil"/>
              <w:left w:val="nil"/>
              <w:bottom w:val="nil"/>
              <w:right w:val="nil"/>
            </w:tcBorders>
            <w:shd w:val="clear" w:color="auto" w:fill="auto"/>
            <w:noWrap/>
            <w:vAlign w:val="center"/>
          </w:tcPr>
          <w:p w14:paraId="5D9A5F75" w14:textId="77777777" w:rsidR="0010523F" w:rsidRPr="0010523F" w:rsidRDefault="0010523F" w:rsidP="0010523F">
            <w:pPr>
              <w:ind w:right="99"/>
              <w:jc w:val="right"/>
              <w:rPr>
                <w:color w:val="000000"/>
                <w:sz w:val="22"/>
                <w:szCs w:val="22"/>
                <w:u w:val="double"/>
                <w:lang w:val="es-AR"/>
              </w:rPr>
            </w:pPr>
          </w:p>
        </w:tc>
        <w:tc>
          <w:tcPr>
            <w:tcW w:w="425" w:type="dxa"/>
            <w:tcBorders>
              <w:top w:val="nil"/>
              <w:left w:val="nil"/>
              <w:bottom w:val="nil"/>
              <w:right w:val="nil"/>
            </w:tcBorders>
          </w:tcPr>
          <w:p w14:paraId="064D050B" w14:textId="77777777" w:rsidR="0010523F" w:rsidRPr="0010523F" w:rsidRDefault="0010523F" w:rsidP="0010523F">
            <w:pPr>
              <w:jc w:val="right"/>
              <w:rPr>
                <w:color w:val="000000"/>
                <w:sz w:val="22"/>
                <w:szCs w:val="22"/>
                <w:u w:val="double"/>
                <w:lang w:val="es-AR"/>
              </w:rPr>
            </w:pPr>
          </w:p>
        </w:tc>
        <w:tc>
          <w:tcPr>
            <w:tcW w:w="1106" w:type="dxa"/>
            <w:tcBorders>
              <w:top w:val="nil"/>
              <w:left w:val="nil"/>
              <w:bottom w:val="nil"/>
              <w:right w:val="nil"/>
            </w:tcBorders>
            <w:shd w:val="clear" w:color="auto" w:fill="auto"/>
            <w:noWrap/>
            <w:vAlign w:val="center"/>
          </w:tcPr>
          <w:p w14:paraId="53C71BEF" w14:textId="77777777" w:rsidR="0010523F" w:rsidRPr="0010523F" w:rsidRDefault="0010523F" w:rsidP="0010523F">
            <w:pPr>
              <w:jc w:val="right"/>
              <w:rPr>
                <w:color w:val="000000"/>
                <w:sz w:val="22"/>
                <w:szCs w:val="22"/>
                <w:u w:val="double"/>
                <w:lang w:val="es-AR"/>
              </w:rPr>
            </w:pPr>
          </w:p>
        </w:tc>
        <w:tc>
          <w:tcPr>
            <w:tcW w:w="388" w:type="dxa"/>
            <w:tcBorders>
              <w:top w:val="nil"/>
              <w:left w:val="nil"/>
              <w:bottom w:val="nil"/>
              <w:right w:val="nil"/>
            </w:tcBorders>
            <w:shd w:val="clear" w:color="auto" w:fill="auto"/>
            <w:vAlign w:val="center"/>
          </w:tcPr>
          <w:p w14:paraId="18878EB9" w14:textId="77777777" w:rsidR="0010523F" w:rsidRPr="0010523F" w:rsidRDefault="0010523F" w:rsidP="0010523F">
            <w:pPr>
              <w:jc w:val="right"/>
              <w:rPr>
                <w:color w:val="000000"/>
                <w:sz w:val="22"/>
                <w:szCs w:val="22"/>
                <w:lang w:val="es-AR" w:eastAsia="es-AR"/>
              </w:rPr>
            </w:pPr>
          </w:p>
        </w:tc>
      </w:tr>
    </w:tbl>
    <w:p w14:paraId="4025D0A1" w14:textId="77777777" w:rsidR="0010523F" w:rsidRPr="0010523F" w:rsidRDefault="0010523F" w:rsidP="0010523F">
      <w:pPr>
        <w:spacing w:line="220" w:lineRule="exact"/>
        <w:jc w:val="both"/>
        <w:rPr>
          <w:b/>
          <w:szCs w:val="20"/>
          <w:lang w:val="es-AR" w:eastAsia="en-US"/>
        </w:rPr>
      </w:pPr>
    </w:p>
    <w:tbl>
      <w:tblPr>
        <w:tblW w:w="9762" w:type="dxa"/>
        <w:tblInd w:w="93" w:type="dxa"/>
        <w:tblLayout w:type="fixed"/>
        <w:tblCellMar>
          <w:left w:w="70" w:type="dxa"/>
          <w:right w:w="70" w:type="dxa"/>
        </w:tblCellMar>
        <w:tblLook w:val="04A0" w:firstRow="1" w:lastRow="0" w:firstColumn="1" w:lastColumn="0" w:noHBand="0" w:noVBand="1"/>
      </w:tblPr>
      <w:tblGrid>
        <w:gridCol w:w="3557"/>
        <w:gridCol w:w="1028"/>
        <w:gridCol w:w="993"/>
        <w:gridCol w:w="425"/>
        <w:gridCol w:w="1842"/>
        <w:gridCol w:w="426"/>
        <w:gridCol w:w="1106"/>
        <w:gridCol w:w="379"/>
        <w:gridCol w:w="6"/>
      </w:tblGrid>
      <w:tr w:rsidR="0010523F" w:rsidRPr="0010523F" w14:paraId="63EBE018" w14:textId="77777777" w:rsidTr="00774E7E">
        <w:trPr>
          <w:trHeight w:val="315"/>
        </w:trPr>
        <w:tc>
          <w:tcPr>
            <w:tcW w:w="3557" w:type="dxa"/>
            <w:noWrap/>
            <w:vAlign w:val="center"/>
            <w:hideMark/>
          </w:tcPr>
          <w:p w14:paraId="05C174E7" w14:textId="77777777" w:rsidR="0010523F" w:rsidRPr="0010523F" w:rsidRDefault="0010523F" w:rsidP="0010523F">
            <w:pPr>
              <w:rPr>
                <w:sz w:val="20"/>
                <w:szCs w:val="20"/>
                <w:lang w:val="es-AR" w:eastAsia="en-US"/>
              </w:rPr>
            </w:pPr>
          </w:p>
        </w:tc>
        <w:tc>
          <w:tcPr>
            <w:tcW w:w="6205" w:type="dxa"/>
            <w:gridSpan w:val="8"/>
            <w:tcBorders>
              <w:bottom w:val="single" w:sz="8" w:space="0" w:color="auto"/>
            </w:tcBorders>
          </w:tcPr>
          <w:p w14:paraId="69AE6F2C" w14:textId="77777777" w:rsidR="0010523F" w:rsidRPr="0010523F" w:rsidRDefault="0010523F" w:rsidP="0010523F">
            <w:pPr>
              <w:jc w:val="center"/>
              <w:rPr>
                <w:color w:val="000000"/>
                <w:sz w:val="22"/>
                <w:szCs w:val="22"/>
                <w:lang w:val="es-AR" w:eastAsia="es-AR"/>
              </w:rPr>
            </w:pPr>
            <w:r w:rsidRPr="0010523F">
              <w:rPr>
                <w:bCs/>
                <w:color w:val="000000"/>
                <w:sz w:val="22"/>
                <w:szCs w:val="22"/>
                <w:lang w:val="es-AR"/>
              </w:rPr>
              <w:t>Por el período de nueve meses finalizado el 30/09/2019</w:t>
            </w:r>
          </w:p>
        </w:tc>
      </w:tr>
      <w:tr w:rsidR="0010523F" w:rsidRPr="0010523F" w14:paraId="68313946" w14:textId="77777777" w:rsidTr="00774E7E">
        <w:trPr>
          <w:gridAfter w:val="1"/>
          <w:wAfter w:w="6" w:type="dxa"/>
          <w:trHeight w:val="624"/>
        </w:trPr>
        <w:tc>
          <w:tcPr>
            <w:tcW w:w="3557" w:type="dxa"/>
            <w:noWrap/>
            <w:vAlign w:val="center"/>
            <w:hideMark/>
          </w:tcPr>
          <w:p w14:paraId="6B00F53F" w14:textId="77777777" w:rsidR="0010523F" w:rsidRPr="0010523F" w:rsidRDefault="0010523F" w:rsidP="0010523F">
            <w:pPr>
              <w:spacing w:line="220" w:lineRule="exact"/>
              <w:jc w:val="both"/>
              <w:rPr>
                <w:color w:val="000000"/>
                <w:sz w:val="22"/>
                <w:szCs w:val="22"/>
                <w:lang w:val="es-AR" w:eastAsia="es-AR"/>
              </w:rPr>
            </w:pPr>
          </w:p>
        </w:tc>
        <w:tc>
          <w:tcPr>
            <w:tcW w:w="1028" w:type="dxa"/>
            <w:tcBorders>
              <w:bottom w:val="single" w:sz="8" w:space="0" w:color="auto"/>
            </w:tcBorders>
            <w:vAlign w:val="center"/>
            <w:hideMark/>
          </w:tcPr>
          <w:p w14:paraId="1ECD6DBF" w14:textId="77777777" w:rsidR="0010523F" w:rsidRPr="0010523F" w:rsidRDefault="0010523F" w:rsidP="0010523F">
            <w:pPr>
              <w:jc w:val="center"/>
              <w:rPr>
                <w:color w:val="000000"/>
                <w:sz w:val="22"/>
                <w:szCs w:val="22"/>
                <w:lang w:val="en-US" w:eastAsia="es-AR"/>
              </w:rPr>
            </w:pPr>
            <w:r w:rsidRPr="0010523F">
              <w:rPr>
                <w:color w:val="000000"/>
                <w:sz w:val="22"/>
                <w:szCs w:val="22"/>
                <w:lang w:val="en-US"/>
              </w:rPr>
              <w:t>Ventas</w:t>
            </w:r>
          </w:p>
        </w:tc>
        <w:tc>
          <w:tcPr>
            <w:tcW w:w="1418" w:type="dxa"/>
            <w:gridSpan w:val="2"/>
            <w:tcBorders>
              <w:bottom w:val="single" w:sz="8" w:space="0" w:color="auto"/>
            </w:tcBorders>
            <w:vAlign w:val="center"/>
            <w:hideMark/>
          </w:tcPr>
          <w:p w14:paraId="49F7F59A" w14:textId="77777777" w:rsidR="0010523F" w:rsidRPr="0010523F" w:rsidRDefault="0010523F" w:rsidP="0010523F">
            <w:pPr>
              <w:jc w:val="center"/>
              <w:rPr>
                <w:color w:val="000000"/>
                <w:sz w:val="22"/>
                <w:szCs w:val="22"/>
                <w:lang w:val="en-US" w:eastAsia="es-AR"/>
              </w:rPr>
            </w:pPr>
            <w:r w:rsidRPr="0010523F">
              <w:rPr>
                <w:color w:val="000000"/>
                <w:sz w:val="22"/>
                <w:szCs w:val="22"/>
                <w:lang w:val="en-US"/>
              </w:rPr>
              <w:t>Servicios prestados</w:t>
            </w:r>
          </w:p>
        </w:tc>
        <w:tc>
          <w:tcPr>
            <w:tcW w:w="2268" w:type="dxa"/>
            <w:gridSpan w:val="2"/>
            <w:tcBorders>
              <w:bottom w:val="single" w:sz="8" w:space="0" w:color="auto"/>
            </w:tcBorders>
            <w:vAlign w:val="center"/>
            <w:hideMark/>
          </w:tcPr>
          <w:p w14:paraId="4895FE25" w14:textId="77777777" w:rsidR="0010523F" w:rsidRPr="0010523F" w:rsidRDefault="0010523F" w:rsidP="0010523F">
            <w:pPr>
              <w:jc w:val="center"/>
              <w:rPr>
                <w:color w:val="000000"/>
                <w:sz w:val="22"/>
                <w:szCs w:val="22"/>
                <w:lang w:val="en-US"/>
              </w:rPr>
            </w:pPr>
            <w:r w:rsidRPr="0010523F">
              <w:rPr>
                <w:color w:val="000000"/>
                <w:sz w:val="22"/>
                <w:szCs w:val="22"/>
                <w:lang w:val="en-US"/>
              </w:rPr>
              <w:t>Compras y servicios recibidos</w:t>
            </w:r>
          </w:p>
        </w:tc>
        <w:tc>
          <w:tcPr>
            <w:tcW w:w="1485" w:type="dxa"/>
            <w:gridSpan w:val="2"/>
            <w:tcBorders>
              <w:bottom w:val="single" w:sz="8" w:space="0" w:color="auto"/>
            </w:tcBorders>
            <w:vAlign w:val="center"/>
            <w:hideMark/>
          </w:tcPr>
          <w:p w14:paraId="3D43AC2E" w14:textId="77777777" w:rsidR="0010523F" w:rsidRPr="0010523F" w:rsidRDefault="0010523F" w:rsidP="0010523F">
            <w:pPr>
              <w:jc w:val="center"/>
              <w:rPr>
                <w:color w:val="000000"/>
                <w:sz w:val="22"/>
                <w:szCs w:val="22"/>
                <w:lang w:val="en-US" w:eastAsia="es-AR"/>
              </w:rPr>
            </w:pPr>
            <w:r w:rsidRPr="0010523F">
              <w:rPr>
                <w:color w:val="000000"/>
                <w:sz w:val="22"/>
                <w:szCs w:val="22"/>
                <w:lang w:val="en-US"/>
              </w:rPr>
              <w:t>Intereses perdidos, neto</w:t>
            </w:r>
          </w:p>
        </w:tc>
      </w:tr>
      <w:tr w:rsidR="0010523F" w:rsidRPr="0010523F" w14:paraId="47669E0D" w14:textId="77777777" w:rsidTr="00774E7E">
        <w:trPr>
          <w:gridAfter w:val="1"/>
          <w:wAfter w:w="6" w:type="dxa"/>
          <w:trHeight w:val="170"/>
        </w:trPr>
        <w:tc>
          <w:tcPr>
            <w:tcW w:w="3557" w:type="dxa"/>
            <w:noWrap/>
            <w:vAlign w:val="center"/>
            <w:hideMark/>
          </w:tcPr>
          <w:p w14:paraId="436F2718" w14:textId="77777777" w:rsidR="0010523F" w:rsidRPr="0010523F" w:rsidRDefault="0010523F" w:rsidP="0010523F">
            <w:pPr>
              <w:spacing w:line="220" w:lineRule="exact"/>
              <w:jc w:val="both"/>
              <w:rPr>
                <w:color w:val="000000"/>
                <w:sz w:val="22"/>
                <w:szCs w:val="22"/>
                <w:lang w:val="en-US" w:eastAsia="es-AR"/>
              </w:rPr>
            </w:pPr>
          </w:p>
        </w:tc>
        <w:tc>
          <w:tcPr>
            <w:tcW w:w="1028" w:type="dxa"/>
            <w:tcBorders>
              <w:top w:val="single" w:sz="8" w:space="0" w:color="auto"/>
            </w:tcBorders>
            <w:noWrap/>
            <w:vAlign w:val="bottom"/>
            <w:hideMark/>
          </w:tcPr>
          <w:p w14:paraId="1A3B9671" w14:textId="77777777" w:rsidR="0010523F" w:rsidRPr="0010523F" w:rsidRDefault="0010523F" w:rsidP="0010523F">
            <w:pPr>
              <w:rPr>
                <w:sz w:val="20"/>
                <w:szCs w:val="20"/>
                <w:lang w:val="es-AR" w:eastAsia="es-AR"/>
              </w:rPr>
            </w:pPr>
          </w:p>
        </w:tc>
        <w:tc>
          <w:tcPr>
            <w:tcW w:w="993" w:type="dxa"/>
            <w:tcBorders>
              <w:top w:val="single" w:sz="8" w:space="0" w:color="auto"/>
            </w:tcBorders>
            <w:noWrap/>
            <w:vAlign w:val="bottom"/>
            <w:hideMark/>
          </w:tcPr>
          <w:p w14:paraId="7B0734E7" w14:textId="77777777" w:rsidR="0010523F" w:rsidRPr="0010523F" w:rsidRDefault="0010523F" w:rsidP="0010523F">
            <w:pPr>
              <w:rPr>
                <w:sz w:val="20"/>
                <w:szCs w:val="20"/>
                <w:lang w:val="es-AR" w:eastAsia="es-AR"/>
              </w:rPr>
            </w:pPr>
          </w:p>
        </w:tc>
        <w:tc>
          <w:tcPr>
            <w:tcW w:w="425" w:type="dxa"/>
            <w:tcBorders>
              <w:top w:val="single" w:sz="8" w:space="0" w:color="auto"/>
            </w:tcBorders>
            <w:vAlign w:val="center"/>
            <w:hideMark/>
          </w:tcPr>
          <w:p w14:paraId="5E858989" w14:textId="77777777" w:rsidR="0010523F" w:rsidRPr="0010523F" w:rsidRDefault="0010523F" w:rsidP="0010523F">
            <w:pPr>
              <w:spacing w:line="180" w:lineRule="exact"/>
              <w:rPr>
                <w:color w:val="000000"/>
                <w:sz w:val="22"/>
                <w:szCs w:val="22"/>
                <w:lang w:val="en-US" w:eastAsia="es-AR"/>
              </w:rPr>
            </w:pPr>
            <w:r w:rsidRPr="0010523F">
              <w:rPr>
                <w:color w:val="000000"/>
                <w:sz w:val="22"/>
                <w:szCs w:val="22"/>
                <w:lang w:val="en-US" w:eastAsia="es-AR"/>
              </w:rPr>
              <w:t> </w:t>
            </w:r>
          </w:p>
        </w:tc>
        <w:tc>
          <w:tcPr>
            <w:tcW w:w="1842" w:type="dxa"/>
            <w:tcBorders>
              <w:top w:val="single" w:sz="8" w:space="0" w:color="auto"/>
            </w:tcBorders>
            <w:noWrap/>
            <w:vAlign w:val="bottom"/>
            <w:hideMark/>
          </w:tcPr>
          <w:p w14:paraId="43FA4448" w14:textId="77777777" w:rsidR="0010523F" w:rsidRPr="0010523F" w:rsidRDefault="0010523F" w:rsidP="0010523F">
            <w:pPr>
              <w:spacing w:line="220" w:lineRule="exact"/>
              <w:jc w:val="both"/>
              <w:rPr>
                <w:color w:val="000000"/>
                <w:sz w:val="22"/>
                <w:szCs w:val="22"/>
                <w:lang w:val="en-US" w:eastAsia="es-AR"/>
              </w:rPr>
            </w:pPr>
          </w:p>
        </w:tc>
        <w:tc>
          <w:tcPr>
            <w:tcW w:w="426" w:type="dxa"/>
            <w:tcBorders>
              <w:top w:val="single" w:sz="8" w:space="0" w:color="auto"/>
            </w:tcBorders>
          </w:tcPr>
          <w:p w14:paraId="731A4D21" w14:textId="77777777" w:rsidR="0010523F" w:rsidRPr="0010523F" w:rsidRDefault="0010523F" w:rsidP="0010523F">
            <w:pPr>
              <w:spacing w:line="180" w:lineRule="exact"/>
              <w:rPr>
                <w:color w:val="000000"/>
                <w:sz w:val="20"/>
                <w:szCs w:val="20"/>
                <w:lang w:val="en-US" w:eastAsia="es-AR"/>
              </w:rPr>
            </w:pPr>
          </w:p>
        </w:tc>
        <w:tc>
          <w:tcPr>
            <w:tcW w:w="1106" w:type="dxa"/>
            <w:tcBorders>
              <w:top w:val="single" w:sz="8" w:space="0" w:color="auto"/>
            </w:tcBorders>
            <w:noWrap/>
            <w:vAlign w:val="bottom"/>
            <w:hideMark/>
          </w:tcPr>
          <w:p w14:paraId="530DD60F" w14:textId="77777777" w:rsidR="0010523F" w:rsidRPr="0010523F" w:rsidRDefault="0010523F" w:rsidP="0010523F">
            <w:pPr>
              <w:spacing w:line="180" w:lineRule="exact"/>
              <w:rPr>
                <w:color w:val="000000"/>
                <w:sz w:val="20"/>
                <w:szCs w:val="20"/>
                <w:lang w:val="en-US" w:eastAsia="es-AR"/>
              </w:rPr>
            </w:pPr>
            <w:r w:rsidRPr="0010523F">
              <w:rPr>
                <w:color w:val="000000"/>
                <w:sz w:val="20"/>
                <w:szCs w:val="20"/>
                <w:lang w:val="en-US" w:eastAsia="es-AR"/>
              </w:rPr>
              <w:t> </w:t>
            </w:r>
          </w:p>
        </w:tc>
        <w:tc>
          <w:tcPr>
            <w:tcW w:w="379" w:type="dxa"/>
            <w:tcBorders>
              <w:top w:val="single" w:sz="8" w:space="0" w:color="auto"/>
            </w:tcBorders>
            <w:vAlign w:val="center"/>
            <w:hideMark/>
          </w:tcPr>
          <w:p w14:paraId="54D9ED04" w14:textId="77777777" w:rsidR="0010523F" w:rsidRPr="0010523F" w:rsidRDefault="0010523F" w:rsidP="0010523F">
            <w:pPr>
              <w:spacing w:line="220" w:lineRule="exact"/>
              <w:jc w:val="both"/>
              <w:rPr>
                <w:color w:val="000000"/>
                <w:sz w:val="20"/>
                <w:szCs w:val="20"/>
                <w:lang w:val="en-US" w:eastAsia="es-AR"/>
              </w:rPr>
            </w:pPr>
          </w:p>
        </w:tc>
      </w:tr>
      <w:tr w:rsidR="0010523F" w:rsidRPr="0010523F" w14:paraId="1372A9F9" w14:textId="77777777" w:rsidTr="00774E7E">
        <w:trPr>
          <w:gridAfter w:val="1"/>
          <w:wAfter w:w="6" w:type="dxa"/>
          <w:trHeight w:val="300"/>
        </w:trPr>
        <w:tc>
          <w:tcPr>
            <w:tcW w:w="3557" w:type="dxa"/>
            <w:noWrap/>
            <w:vAlign w:val="center"/>
            <w:hideMark/>
          </w:tcPr>
          <w:p w14:paraId="46CA2C45" w14:textId="77777777" w:rsidR="0010523F" w:rsidRPr="0010523F" w:rsidRDefault="0010523F" w:rsidP="0010523F">
            <w:pPr>
              <w:rPr>
                <w:color w:val="000000"/>
                <w:sz w:val="22"/>
                <w:szCs w:val="22"/>
                <w:lang w:val="es-AR" w:eastAsia="es-AR"/>
              </w:rPr>
            </w:pPr>
            <w:r w:rsidRPr="0010523F">
              <w:rPr>
                <w:color w:val="000000"/>
                <w:sz w:val="22"/>
                <w:szCs w:val="22"/>
                <w:lang w:val="es-AR"/>
              </w:rPr>
              <w:t>- Controladas por la Casa Matriz</w:t>
            </w:r>
          </w:p>
        </w:tc>
        <w:tc>
          <w:tcPr>
            <w:tcW w:w="1028" w:type="dxa"/>
            <w:noWrap/>
            <w:vAlign w:val="bottom"/>
            <w:hideMark/>
          </w:tcPr>
          <w:p w14:paraId="55111AD9" w14:textId="77777777" w:rsidR="0010523F" w:rsidRPr="0010523F" w:rsidRDefault="0010523F" w:rsidP="0010523F">
            <w:pPr>
              <w:jc w:val="right"/>
              <w:rPr>
                <w:color w:val="000000"/>
                <w:sz w:val="22"/>
                <w:szCs w:val="22"/>
                <w:lang w:val="en-US" w:eastAsia="es-AR"/>
              </w:rPr>
            </w:pPr>
            <w:r w:rsidRPr="0010523F">
              <w:rPr>
                <w:color w:val="000000"/>
                <w:sz w:val="22"/>
                <w:szCs w:val="22"/>
                <w:lang w:val="en-US"/>
              </w:rPr>
              <w:t>-</w:t>
            </w:r>
          </w:p>
        </w:tc>
        <w:tc>
          <w:tcPr>
            <w:tcW w:w="993" w:type="dxa"/>
            <w:noWrap/>
            <w:vAlign w:val="bottom"/>
            <w:hideMark/>
          </w:tcPr>
          <w:p w14:paraId="0C3FD120" w14:textId="77777777" w:rsidR="0010523F" w:rsidRPr="0010523F" w:rsidRDefault="0010523F" w:rsidP="0010523F">
            <w:pPr>
              <w:jc w:val="right"/>
              <w:rPr>
                <w:color w:val="000000"/>
                <w:sz w:val="22"/>
                <w:szCs w:val="22"/>
                <w:lang w:val="en-US" w:eastAsia="es-AR"/>
              </w:rPr>
            </w:pPr>
            <w:r w:rsidRPr="0010523F">
              <w:rPr>
                <w:color w:val="000000"/>
                <w:sz w:val="22"/>
                <w:szCs w:val="22"/>
                <w:lang w:val="en-US"/>
              </w:rPr>
              <w:t>493</w:t>
            </w:r>
          </w:p>
        </w:tc>
        <w:tc>
          <w:tcPr>
            <w:tcW w:w="425" w:type="dxa"/>
            <w:vAlign w:val="bottom"/>
            <w:hideMark/>
          </w:tcPr>
          <w:p w14:paraId="07466762" w14:textId="77777777" w:rsidR="0010523F" w:rsidRPr="0010523F" w:rsidRDefault="0010523F" w:rsidP="0010523F">
            <w:pPr>
              <w:jc w:val="right"/>
              <w:rPr>
                <w:color w:val="000000"/>
                <w:sz w:val="18"/>
                <w:szCs w:val="18"/>
                <w:lang w:val="en-US" w:eastAsia="es-AR"/>
              </w:rPr>
            </w:pPr>
            <w:r w:rsidRPr="0010523F">
              <w:rPr>
                <w:color w:val="000000"/>
                <w:sz w:val="18"/>
                <w:szCs w:val="18"/>
                <w:lang w:val="en-US"/>
              </w:rPr>
              <w:t>(1)</w:t>
            </w:r>
          </w:p>
        </w:tc>
        <w:tc>
          <w:tcPr>
            <w:tcW w:w="1842" w:type="dxa"/>
            <w:noWrap/>
            <w:vAlign w:val="bottom"/>
            <w:hideMark/>
          </w:tcPr>
          <w:p w14:paraId="32F8DB44" w14:textId="77777777" w:rsidR="0010523F" w:rsidRPr="0010523F" w:rsidRDefault="0010523F" w:rsidP="0010523F">
            <w:pPr>
              <w:ind w:right="99"/>
              <w:jc w:val="right"/>
              <w:rPr>
                <w:color w:val="000000"/>
                <w:sz w:val="22"/>
                <w:szCs w:val="22"/>
                <w:lang w:val="en-US" w:eastAsia="es-AR"/>
              </w:rPr>
            </w:pPr>
            <w:r w:rsidRPr="0010523F">
              <w:rPr>
                <w:color w:val="000000"/>
                <w:sz w:val="22"/>
                <w:szCs w:val="22"/>
                <w:lang w:val="en-US"/>
              </w:rPr>
              <w:t>2.131</w:t>
            </w:r>
          </w:p>
        </w:tc>
        <w:tc>
          <w:tcPr>
            <w:tcW w:w="426" w:type="dxa"/>
            <w:vAlign w:val="bottom"/>
          </w:tcPr>
          <w:p w14:paraId="1000902E" w14:textId="77777777" w:rsidR="0010523F" w:rsidRPr="0010523F" w:rsidRDefault="0010523F" w:rsidP="0010523F">
            <w:pPr>
              <w:jc w:val="right"/>
              <w:rPr>
                <w:color w:val="000000"/>
                <w:sz w:val="22"/>
                <w:szCs w:val="22"/>
                <w:lang w:val="en-US"/>
              </w:rPr>
            </w:pPr>
          </w:p>
        </w:tc>
        <w:tc>
          <w:tcPr>
            <w:tcW w:w="1106" w:type="dxa"/>
            <w:noWrap/>
            <w:vAlign w:val="bottom"/>
            <w:hideMark/>
          </w:tcPr>
          <w:p w14:paraId="00A7EB56" w14:textId="77777777" w:rsidR="0010523F" w:rsidRPr="0010523F" w:rsidRDefault="0010523F" w:rsidP="0010523F">
            <w:pPr>
              <w:jc w:val="right"/>
              <w:rPr>
                <w:color w:val="000000"/>
                <w:sz w:val="22"/>
                <w:szCs w:val="22"/>
                <w:lang w:val="en-US" w:eastAsia="es-AR"/>
              </w:rPr>
            </w:pPr>
            <w:r w:rsidRPr="0010523F">
              <w:rPr>
                <w:color w:val="000000"/>
                <w:sz w:val="22"/>
                <w:szCs w:val="22"/>
                <w:lang w:val="en-US"/>
              </w:rPr>
              <w:t>(117)</w:t>
            </w:r>
          </w:p>
        </w:tc>
        <w:tc>
          <w:tcPr>
            <w:tcW w:w="379" w:type="dxa"/>
            <w:vAlign w:val="bottom"/>
            <w:hideMark/>
          </w:tcPr>
          <w:p w14:paraId="44FC05AD" w14:textId="77777777" w:rsidR="0010523F" w:rsidRPr="0010523F" w:rsidRDefault="0010523F" w:rsidP="0010523F">
            <w:pPr>
              <w:jc w:val="right"/>
              <w:rPr>
                <w:color w:val="000000"/>
                <w:sz w:val="18"/>
                <w:szCs w:val="18"/>
                <w:lang w:val="en-US" w:eastAsia="es-AR"/>
              </w:rPr>
            </w:pPr>
            <w:r w:rsidRPr="0010523F">
              <w:rPr>
                <w:color w:val="000000"/>
                <w:sz w:val="18"/>
                <w:szCs w:val="18"/>
                <w:lang w:val="en-US"/>
              </w:rPr>
              <w:t>(4)</w:t>
            </w:r>
          </w:p>
        </w:tc>
      </w:tr>
      <w:tr w:rsidR="0010523F" w:rsidRPr="0010523F" w14:paraId="351D63AA" w14:textId="77777777" w:rsidTr="00774E7E">
        <w:trPr>
          <w:gridAfter w:val="1"/>
          <w:wAfter w:w="6" w:type="dxa"/>
          <w:trHeight w:val="300"/>
        </w:trPr>
        <w:tc>
          <w:tcPr>
            <w:tcW w:w="3557" w:type="dxa"/>
            <w:noWrap/>
            <w:vAlign w:val="center"/>
            <w:hideMark/>
          </w:tcPr>
          <w:p w14:paraId="30EF7885" w14:textId="77777777" w:rsidR="0010523F" w:rsidRPr="0010523F" w:rsidRDefault="0010523F" w:rsidP="0010523F">
            <w:pPr>
              <w:rPr>
                <w:color w:val="000000"/>
                <w:sz w:val="22"/>
                <w:szCs w:val="22"/>
                <w:lang w:val="en-US" w:eastAsia="es-AR"/>
              </w:rPr>
            </w:pPr>
            <w:r w:rsidRPr="0010523F">
              <w:rPr>
                <w:color w:val="000000"/>
                <w:sz w:val="22"/>
                <w:szCs w:val="22"/>
                <w:lang w:val="en-US"/>
              </w:rPr>
              <w:t>- Otros</w:t>
            </w:r>
          </w:p>
        </w:tc>
        <w:tc>
          <w:tcPr>
            <w:tcW w:w="1028" w:type="dxa"/>
            <w:noWrap/>
            <w:vAlign w:val="bottom"/>
            <w:hideMark/>
          </w:tcPr>
          <w:p w14:paraId="6DEF4F98" w14:textId="77777777" w:rsidR="0010523F" w:rsidRPr="0010523F" w:rsidRDefault="0010523F" w:rsidP="0010523F">
            <w:pPr>
              <w:jc w:val="right"/>
              <w:rPr>
                <w:color w:val="000000"/>
                <w:sz w:val="22"/>
                <w:szCs w:val="22"/>
                <w:u w:val="single"/>
                <w:lang w:val="en-US" w:eastAsia="es-AR"/>
              </w:rPr>
            </w:pPr>
            <w:r w:rsidRPr="0010523F">
              <w:rPr>
                <w:color w:val="000000"/>
                <w:sz w:val="22"/>
                <w:szCs w:val="22"/>
                <w:u w:val="single"/>
                <w:lang w:val="en-US"/>
              </w:rPr>
              <w:t>5.314</w:t>
            </w:r>
          </w:p>
        </w:tc>
        <w:tc>
          <w:tcPr>
            <w:tcW w:w="993" w:type="dxa"/>
            <w:noWrap/>
            <w:vAlign w:val="bottom"/>
            <w:hideMark/>
          </w:tcPr>
          <w:p w14:paraId="10CD6CCA" w14:textId="77777777" w:rsidR="0010523F" w:rsidRPr="0010523F" w:rsidRDefault="0010523F" w:rsidP="0010523F">
            <w:pPr>
              <w:jc w:val="right"/>
              <w:rPr>
                <w:color w:val="000000"/>
                <w:sz w:val="22"/>
                <w:szCs w:val="22"/>
                <w:u w:val="single"/>
                <w:lang w:val="en-US" w:eastAsia="es-AR"/>
              </w:rPr>
            </w:pPr>
            <w:r w:rsidRPr="0010523F">
              <w:rPr>
                <w:color w:val="000000"/>
                <w:sz w:val="22"/>
                <w:szCs w:val="22"/>
                <w:u w:val="single"/>
                <w:lang w:val="en-US"/>
              </w:rPr>
              <w:t xml:space="preserve"> 26</w:t>
            </w:r>
          </w:p>
        </w:tc>
        <w:tc>
          <w:tcPr>
            <w:tcW w:w="425" w:type="dxa"/>
            <w:vAlign w:val="bottom"/>
            <w:hideMark/>
          </w:tcPr>
          <w:p w14:paraId="33D32A85" w14:textId="77777777" w:rsidR="0010523F" w:rsidRPr="0010523F" w:rsidRDefault="0010523F" w:rsidP="0010523F">
            <w:pPr>
              <w:spacing w:line="220" w:lineRule="exact"/>
              <w:jc w:val="right"/>
              <w:rPr>
                <w:color w:val="000000"/>
                <w:sz w:val="22"/>
                <w:szCs w:val="22"/>
                <w:u w:val="single"/>
                <w:lang w:val="en-US" w:eastAsia="es-AR"/>
              </w:rPr>
            </w:pPr>
          </w:p>
        </w:tc>
        <w:tc>
          <w:tcPr>
            <w:tcW w:w="1842" w:type="dxa"/>
            <w:noWrap/>
            <w:vAlign w:val="bottom"/>
            <w:hideMark/>
          </w:tcPr>
          <w:p w14:paraId="4712FF71" w14:textId="77777777" w:rsidR="0010523F" w:rsidRPr="0010523F" w:rsidRDefault="0010523F" w:rsidP="0010523F">
            <w:pPr>
              <w:ind w:right="99"/>
              <w:jc w:val="right"/>
              <w:rPr>
                <w:color w:val="000000"/>
                <w:sz w:val="22"/>
                <w:szCs w:val="22"/>
                <w:u w:val="single"/>
                <w:lang w:val="en-US" w:eastAsia="es-AR"/>
              </w:rPr>
            </w:pPr>
            <w:r w:rsidRPr="0010523F">
              <w:rPr>
                <w:color w:val="000000"/>
                <w:sz w:val="22"/>
                <w:szCs w:val="22"/>
                <w:u w:val="single"/>
                <w:lang w:val="en-US"/>
              </w:rPr>
              <w:t>1.587</w:t>
            </w:r>
          </w:p>
        </w:tc>
        <w:tc>
          <w:tcPr>
            <w:tcW w:w="426" w:type="dxa"/>
            <w:vAlign w:val="bottom"/>
          </w:tcPr>
          <w:p w14:paraId="3EDE64B2" w14:textId="77777777" w:rsidR="0010523F" w:rsidRPr="0010523F" w:rsidRDefault="0010523F" w:rsidP="0010523F">
            <w:pPr>
              <w:jc w:val="right"/>
              <w:rPr>
                <w:color w:val="000000"/>
                <w:sz w:val="18"/>
                <w:szCs w:val="18"/>
                <w:lang w:val="en-US"/>
              </w:rPr>
            </w:pPr>
            <w:r w:rsidRPr="0010523F">
              <w:rPr>
                <w:color w:val="000000"/>
                <w:sz w:val="18"/>
                <w:szCs w:val="18"/>
                <w:lang w:val="es-AR"/>
              </w:rPr>
              <w:t>(2)</w:t>
            </w:r>
          </w:p>
        </w:tc>
        <w:tc>
          <w:tcPr>
            <w:tcW w:w="1106" w:type="dxa"/>
            <w:noWrap/>
            <w:vAlign w:val="bottom"/>
            <w:hideMark/>
          </w:tcPr>
          <w:p w14:paraId="74C9E7EA" w14:textId="77777777" w:rsidR="0010523F" w:rsidRPr="0010523F" w:rsidRDefault="0010523F" w:rsidP="0010523F">
            <w:pPr>
              <w:jc w:val="right"/>
              <w:rPr>
                <w:color w:val="000000"/>
                <w:sz w:val="22"/>
                <w:szCs w:val="22"/>
                <w:u w:val="single"/>
                <w:lang w:val="en-US" w:eastAsia="es-AR"/>
              </w:rPr>
            </w:pPr>
            <w:r w:rsidRPr="0010523F">
              <w:rPr>
                <w:color w:val="000000"/>
                <w:sz w:val="22"/>
                <w:szCs w:val="22"/>
                <w:u w:val="single"/>
                <w:lang w:val="en-US"/>
              </w:rPr>
              <w:t xml:space="preserve">      -</w:t>
            </w:r>
          </w:p>
        </w:tc>
        <w:tc>
          <w:tcPr>
            <w:tcW w:w="379" w:type="dxa"/>
            <w:vAlign w:val="bottom"/>
            <w:hideMark/>
          </w:tcPr>
          <w:p w14:paraId="00D2E164" w14:textId="77777777" w:rsidR="0010523F" w:rsidRPr="0010523F" w:rsidRDefault="0010523F" w:rsidP="0010523F">
            <w:pPr>
              <w:spacing w:line="220" w:lineRule="exact"/>
              <w:jc w:val="right"/>
              <w:rPr>
                <w:color w:val="000000"/>
                <w:sz w:val="22"/>
                <w:szCs w:val="22"/>
                <w:u w:val="single"/>
                <w:lang w:val="en-US" w:eastAsia="es-AR"/>
              </w:rPr>
            </w:pPr>
          </w:p>
        </w:tc>
      </w:tr>
      <w:tr w:rsidR="0010523F" w:rsidRPr="0010523F" w14:paraId="2421E30A" w14:textId="77777777" w:rsidTr="00774E7E">
        <w:trPr>
          <w:gridAfter w:val="1"/>
          <w:wAfter w:w="6" w:type="dxa"/>
          <w:trHeight w:val="300"/>
        </w:trPr>
        <w:tc>
          <w:tcPr>
            <w:tcW w:w="3557" w:type="dxa"/>
            <w:noWrap/>
            <w:vAlign w:val="center"/>
            <w:hideMark/>
          </w:tcPr>
          <w:p w14:paraId="43853C49" w14:textId="77777777" w:rsidR="0010523F" w:rsidRPr="0010523F" w:rsidRDefault="0010523F" w:rsidP="0010523F">
            <w:pPr>
              <w:rPr>
                <w:color w:val="000000"/>
                <w:sz w:val="22"/>
                <w:szCs w:val="22"/>
                <w:lang w:val="en-US" w:eastAsia="es-AR"/>
              </w:rPr>
            </w:pPr>
            <w:r w:rsidRPr="0010523F">
              <w:rPr>
                <w:color w:val="000000"/>
                <w:sz w:val="22"/>
                <w:szCs w:val="22"/>
                <w:lang w:val="en-US"/>
              </w:rPr>
              <w:t xml:space="preserve">Total </w:t>
            </w:r>
          </w:p>
        </w:tc>
        <w:tc>
          <w:tcPr>
            <w:tcW w:w="1028" w:type="dxa"/>
            <w:noWrap/>
            <w:vAlign w:val="bottom"/>
            <w:hideMark/>
          </w:tcPr>
          <w:p w14:paraId="6966A574" w14:textId="77777777" w:rsidR="0010523F" w:rsidRPr="0010523F" w:rsidRDefault="0010523F" w:rsidP="0010523F">
            <w:pPr>
              <w:jc w:val="right"/>
              <w:rPr>
                <w:color w:val="000000"/>
                <w:sz w:val="22"/>
                <w:szCs w:val="22"/>
                <w:u w:val="double"/>
                <w:lang w:val="en-US" w:eastAsia="es-AR"/>
              </w:rPr>
            </w:pPr>
            <w:r w:rsidRPr="0010523F">
              <w:rPr>
                <w:color w:val="000000"/>
                <w:sz w:val="22"/>
                <w:szCs w:val="22"/>
                <w:u w:val="double"/>
                <w:lang w:val="en-US"/>
              </w:rPr>
              <w:t>5.314</w:t>
            </w:r>
          </w:p>
        </w:tc>
        <w:tc>
          <w:tcPr>
            <w:tcW w:w="993" w:type="dxa"/>
            <w:noWrap/>
            <w:vAlign w:val="bottom"/>
            <w:hideMark/>
          </w:tcPr>
          <w:p w14:paraId="21E64F13" w14:textId="77777777" w:rsidR="0010523F" w:rsidRPr="0010523F" w:rsidRDefault="0010523F" w:rsidP="0010523F">
            <w:pPr>
              <w:jc w:val="right"/>
              <w:rPr>
                <w:color w:val="000000"/>
                <w:sz w:val="22"/>
                <w:szCs w:val="22"/>
                <w:u w:val="double"/>
                <w:lang w:val="en-US" w:eastAsia="es-AR"/>
              </w:rPr>
            </w:pPr>
            <w:r w:rsidRPr="0010523F">
              <w:rPr>
                <w:color w:val="000000"/>
                <w:sz w:val="22"/>
                <w:szCs w:val="22"/>
                <w:u w:val="double"/>
                <w:lang w:val="en-US"/>
              </w:rPr>
              <w:t>519</w:t>
            </w:r>
          </w:p>
        </w:tc>
        <w:tc>
          <w:tcPr>
            <w:tcW w:w="425" w:type="dxa"/>
            <w:vAlign w:val="bottom"/>
            <w:hideMark/>
          </w:tcPr>
          <w:p w14:paraId="1B745004" w14:textId="77777777" w:rsidR="0010523F" w:rsidRPr="0010523F" w:rsidRDefault="0010523F" w:rsidP="0010523F">
            <w:pPr>
              <w:spacing w:line="220" w:lineRule="exact"/>
              <w:jc w:val="right"/>
              <w:rPr>
                <w:color w:val="000000"/>
                <w:sz w:val="22"/>
                <w:szCs w:val="22"/>
                <w:u w:val="double"/>
                <w:lang w:val="en-US" w:eastAsia="es-AR"/>
              </w:rPr>
            </w:pPr>
          </w:p>
        </w:tc>
        <w:tc>
          <w:tcPr>
            <w:tcW w:w="1842" w:type="dxa"/>
            <w:noWrap/>
            <w:vAlign w:val="bottom"/>
            <w:hideMark/>
          </w:tcPr>
          <w:p w14:paraId="582E6133" w14:textId="77777777" w:rsidR="0010523F" w:rsidRPr="0010523F" w:rsidRDefault="0010523F" w:rsidP="0010523F">
            <w:pPr>
              <w:ind w:right="99"/>
              <w:jc w:val="right"/>
              <w:rPr>
                <w:color w:val="000000"/>
                <w:sz w:val="22"/>
                <w:szCs w:val="22"/>
                <w:u w:val="double"/>
                <w:lang w:val="en-US" w:eastAsia="es-AR"/>
              </w:rPr>
            </w:pPr>
            <w:r w:rsidRPr="0010523F">
              <w:rPr>
                <w:color w:val="000000"/>
                <w:sz w:val="22"/>
                <w:szCs w:val="22"/>
                <w:u w:val="double"/>
                <w:lang w:val="en-US"/>
              </w:rPr>
              <w:t>3.718</w:t>
            </w:r>
          </w:p>
        </w:tc>
        <w:tc>
          <w:tcPr>
            <w:tcW w:w="426" w:type="dxa"/>
            <w:vAlign w:val="bottom"/>
          </w:tcPr>
          <w:p w14:paraId="0653C0C4" w14:textId="77777777" w:rsidR="0010523F" w:rsidRPr="0010523F" w:rsidRDefault="0010523F" w:rsidP="0010523F">
            <w:pPr>
              <w:jc w:val="right"/>
              <w:rPr>
                <w:color w:val="000000"/>
                <w:sz w:val="18"/>
                <w:szCs w:val="18"/>
                <w:lang w:val="en-US"/>
              </w:rPr>
            </w:pPr>
          </w:p>
        </w:tc>
        <w:tc>
          <w:tcPr>
            <w:tcW w:w="1106" w:type="dxa"/>
            <w:noWrap/>
            <w:vAlign w:val="bottom"/>
            <w:hideMark/>
          </w:tcPr>
          <w:p w14:paraId="5616CD82" w14:textId="77777777" w:rsidR="0010523F" w:rsidRPr="0010523F" w:rsidRDefault="0010523F" w:rsidP="0010523F">
            <w:pPr>
              <w:jc w:val="right"/>
              <w:rPr>
                <w:color w:val="000000"/>
                <w:sz w:val="22"/>
                <w:szCs w:val="22"/>
                <w:u w:val="double"/>
                <w:lang w:val="en-US" w:eastAsia="es-AR"/>
              </w:rPr>
            </w:pPr>
            <w:r w:rsidRPr="0010523F">
              <w:rPr>
                <w:color w:val="000000"/>
                <w:sz w:val="22"/>
                <w:szCs w:val="22"/>
                <w:lang w:val="en-US"/>
              </w:rPr>
              <w:t>(</w:t>
            </w:r>
            <w:r w:rsidRPr="0010523F">
              <w:rPr>
                <w:color w:val="000000"/>
                <w:sz w:val="22"/>
                <w:szCs w:val="22"/>
                <w:u w:val="double"/>
                <w:lang w:val="en-US"/>
              </w:rPr>
              <w:t>117</w:t>
            </w:r>
            <w:r w:rsidRPr="0010523F">
              <w:rPr>
                <w:color w:val="000000"/>
                <w:sz w:val="22"/>
                <w:szCs w:val="22"/>
                <w:lang w:val="en-US"/>
              </w:rPr>
              <w:t>)</w:t>
            </w:r>
          </w:p>
        </w:tc>
        <w:tc>
          <w:tcPr>
            <w:tcW w:w="379" w:type="dxa"/>
            <w:vAlign w:val="bottom"/>
            <w:hideMark/>
          </w:tcPr>
          <w:p w14:paraId="43D6D7CE" w14:textId="77777777" w:rsidR="0010523F" w:rsidRPr="0010523F" w:rsidRDefault="0010523F" w:rsidP="0010523F">
            <w:pPr>
              <w:spacing w:line="220" w:lineRule="exact"/>
              <w:jc w:val="right"/>
              <w:rPr>
                <w:color w:val="000000"/>
                <w:sz w:val="22"/>
                <w:szCs w:val="22"/>
                <w:u w:val="double"/>
                <w:lang w:val="en-US" w:eastAsia="es-AR"/>
              </w:rPr>
            </w:pPr>
          </w:p>
        </w:tc>
      </w:tr>
      <w:tr w:rsidR="0010523F" w:rsidRPr="0010523F" w14:paraId="5B0FF963" w14:textId="77777777" w:rsidTr="00774E7E">
        <w:trPr>
          <w:gridAfter w:val="1"/>
          <w:wAfter w:w="6" w:type="dxa"/>
          <w:trHeight w:val="170"/>
        </w:trPr>
        <w:tc>
          <w:tcPr>
            <w:tcW w:w="3557" w:type="dxa"/>
            <w:noWrap/>
            <w:vAlign w:val="center"/>
            <w:hideMark/>
          </w:tcPr>
          <w:p w14:paraId="430FAB02" w14:textId="77777777" w:rsidR="0010523F" w:rsidRPr="0010523F" w:rsidRDefault="0010523F" w:rsidP="0010523F">
            <w:pPr>
              <w:rPr>
                <w:sz w:val="20"/>
                <w:szCs w:val="20"/>
                <w:lang w:val="es-AR" w:eastAsia="es-AR"/>
              </w:rPr>
            </w:pPr>
          </w:p>
        </w:tc>
        <w:tc>
          <w:tcPr>
            <w:tcW w:w="1028" w:type="dxa"/>
            <w:noWrap/>
            <w:vAlign w:val="bottom"/>
            <w:hideMark/>
          </w:tcPr>
          <w:p w14:paraId="4B20444B" w14:textId="77777777" w:rsidR="0010523F" w:rsidRPr="0010523F" w:rsidRDefault="0010523F" w:rsidP="0010523F">
            <w:pPr>
              <w:rPr>
                <w:sz w:val="20"/>
                <w:szCs w:val="20"/>
                <w:highlight w:val="yellow"/>
                <w:lang w:val="es-AR" w:eastAsia="es-AR"/>
              </w:rPr>
            </w:pPr>
          </w:p>
        </w:tc>
        <w:tc>
          <w:tcPr>
            <w:tcW w:w="993" w:type="dxa"/>
            <w:noWrap/>
            <w:vAlign w:val="bottom"/>
            <w:hideMark/>
          </w:tcPr>
          <w:p w14:paraId="2FE8BF8C" w14:textId="77777777" w:rsidR="0010523F" w:rsidRPr="0010523F" w:rsidRDefault="0010523F" w:rsidP="0010523F">
            <w:pPr>
              <w:rPr>
                <w:sz w:val="20"/>
                <w:szCs w:val="20"/>
                <w:highlight w:val="yellow"/>
                <w:lang w:val="es-AR" w:eastAsia="es-AR"/>
              </w:rPr>
            </w:pPr>
          </w:p>
        </w:tc>
        <w:tc>
          <w:tcPr>
            <w:tcW w:w="425" w:type="dxa"/>
            <w:vAlign w:val="center"/>
            <w:hideMark/>
          </w:tcPr>
          <w:p w14:paraId="0F093095" w14:textId="77777777" w:rsidR="0010523F" w:rsidRPr="0010523F" w:rsidRDefault="0010523F" w:rsidP="0010523F">
            <w:pPr>
              <w:rPr>
                <w:sz w:val="20"/>
                <w:szCs w:val="20"/>
                <w:highlight w:val="yellow"/>
                <w:lang w:val="es-AR" w:eastAsia="es-AR"/>
              </w:rPr>
            </w:pPr>
          </w:p>
        </w:tc>
        <w:tc>
          <w:tcPr>
            <w:tcW w:w="1842" w:type="dxa"/>
            <w:noWrap/>
            <w:vAlign w:val="bottom"/>
            <w:hideMark/>
          </w:tcPr>
          <w:p w14:paraId="6E998BFC" w14:textId="77777777" w:rsidR="0010523F" w:rsidRPr="0010523F" w:rsidRDefault="0010523F" w:rsidP="0010523F">
            <w:pPr>
              <w:rPr>
                <w:sz w:val="20"/>
                <w:szCs w:val="20"/>
                <w:highlight w:val="yellow"/>
                <w:lang w:val="es-AR" w:eastAsia="es-AR"/>
              </w:rPr>
            </w:pPr>
          </w:p>
        </w:tc>
        <w:tc>
          <w:tcPr>
            <w:tcW w:w="426" w:type="dxa"/>
          </w:tcPr>
          <w:p w14:paraId="139C23CF" w14:textId="77777777" w:rsidR="0010523F" w:rsidRPr="0010523F" w:rsidRDefault="0010523F" w:rsidP="0010523F">
            <w:pPr>
              <w:rPr>
                <w:sz w:val="20"/>
                <w:szCs w:val="20"/>
                <w:highlight w:val="yellow"/>
                <w:lang w:val="es-AR" w:eastAsia="es-AR"/>
              </w:rPr>
            </w:pPr>
          </w:p>
        </w:tc>
        <w:tc>
          <w:tcPr>
            <w:tcW w:w="1106" w:type="dxa"/>
            <w:noWrap/>
            <w:vAlign w:val="bottom"/>
            <w:hideMark/>
          </w:tcPr>
          <w:p w14:paraId="681666FB" w14:textId="77777777" w:rsidR="0010523F" w:rsidRPr="0010523F" w:rsidRDefault="0010523F" w:rsidP="0010523F">
            <w:pPr>
              <w:rPr>
                <w:sz w:val="20"/>
                <w:szCs w:val="20"/>
                <w:highlight w:val="yellow"/>
                <w:lang w:val="es-AR" w:eastAsia="es-AR"/>
              </w:rPr>
            </w:pPr>
          </w:p>
        </w:tc>
        <w:tc>
          <w:tcPr>
            <w:tcW w:w="379" w:type="dxa"/>
            <w:vAlign w:val="center"/>
            <w:hideMark/>
          </w:tcPr>
          <w:p w14:paraId="3E79A086" w14:textId="77777777" w:rsidR="0010523F" w:rsidRPr="0010523F" w:rsidRDefault="0010523F" w:rsidP="0010523F">
            <w:pPr>
              <w:rPr>
                <w:sz w:val="20"/>
                <w:szCs w:val="20"/>
                <w:highlight w:val="yellow"/>
                <w:lang w:val="es-AR" w:eastAsia="es-AR"/>
              </w:rPr>
            </w:pPr>
          </w:p>
        </w:tc>
      </w:tr>
    </w:tbl>
    <w:p w14:paraId="0EDF3A76" w14:textId="77777777" w:rsidR="0010523F" w:rsidRPr="0010523F" w:rsidRDefault="0010523F" w:rsidP="0010523F">
      <w:pPr>
        <w:spacing w:line="220" w:lineRule="exact"/>
        <w:jc w:val="both"/>
        <w:rPr>
          <w:szCs w:val="20"/>
          <w:lang w:val="es-AR" w:eastAsia="en-US"/>
        </w:rPr>
      </w:pPr>
    </w:p>
    <w:p w14:paraId="24D27F22" w14:textId="77777777" w:rsidR="0010523F" w:rsidRPr="0010523F" w:rsidRDefault="0010523F" w:rsidP="0010523F">
      <w:pPr>
        <w:rPr>
          <w:b/>
          <w:szCs w:val="20"/>
          <w:lang w:val="es-AR" w:eastAsia="en-US"/>
        </w:rPr>
      </w:pPr>
      <w:r w:rsidRPr="0010523F">
        <w:rPr>
          <w:b/>
          <w:szCs w:val="20"/>
          <w:lang w:val="es-AR" w:eastAsia="en-US"/>
        </w:rPr>
        <w:t>NOTA 8 - OPERACIONES Y SALDOS CON PARTES RELACIONADAS (cont.)</w:t>
      </w:r>
    </w:p>
    <w:p w14:paraId="3A641305" w14:textId="77777777" w:rsidR="0010523F" w:rsidRPr="0010523F" w:rsidRDefault="0010523F" w:rsidP="0010523F">
      <w:pPr>
        <w:spacing w:line="220" w:lineRule="exact"/>
        <w:jc w:val="both"/>
        <w:rPr>
          <w:b/>
          <w:szCs w:val="20"/>
          <w:lang w:val="es-AR" w:eastAsia="en-US"/>
        </w:rPr>
      </w:pPr>
    </w:p>
    <w:p w14:paraId="2C3A6E39" w14:textId="77777777" w:rsidR="0010523F" w:rsidRPr="0010523F" w:rsidRDefault="0010523F" w:rsidP="0010523F">
      <w:pPr>
        <w:spacing w:before="120" w:line="220" w:lineRule="exact"/>
        <w:jc w:val="both"/>
        <w:rPr>
          <w:szCs w:val="20"/>
          <w:lang w:val="es-AR" w:eastAsia="en-US"/>
        </w:rPr>
      </w:pPr>
      <w:r w:rsidRPr="0010523F">
        <w:rPr>
          <w:szCs w:val="20"/>
          <w:u w:val="single"/>
          <w:lang w:val="es-AR" w:eastAsia="en-US"/>
        </w:rPr>
        <w:t>OPERACIONES</w:t>
      </w:r>
      <w:r w:rsidRPr="0010523F">
        <w:rPr>
          <w:szCs w:val="20"/>
          <w:lang w:val="es-AR" w:eastAsia="en-US"/>
        </w:rPr>
        <w:t xml:space="preserve"> (cont.)</w:t>
      </w:r>
    </w:p>
    <w:p w14:paraId="58A35E84" w14:textId="77777777" w:rsidR="0010523F" w:rsidRPr="0010523F" w:rsidRDefault="0010523F" w:rsidP="0010523F">
      <w:pPr>
        <w:spacing w:line="220" w:lineRule="exact"/>
        <w:ind w:left="561" w:hanging="561"/>
        <w:jc w:val="both"/>
        <w:rPr>
          <w:b/>
          <w:szCs w:val="20"/>
          <w:lang w:val="es-AR" w:eastAsia="en-US"/>
        </w:rPr>
      </w:pPr>
    </w:p>
    <w:tbl>
      <w:tblPr>
        <w:tblW w:w="9762" w:type="dxa"/>
        <w:tblInd w:w="93" w:type="dxa"/>
        <w:tblLayout w:type="fixed"/>
        <w:tblCellMar>
          <w:left w:w="70" w:type="dxa"/>
          <w:right w:w="70" w:type="dxa"/>
        </w:tblCellMar>
        <w:tblLook w:val="04A0" w:firstRow="1" w:lastRow="0" w:firstColumn="1" w:lastColumn="0" w:noHBand="0" w:noVBand="1"/>
      </w:tblPr>
      <w:tblGrid>
        <w:gridCol w:w="3557"/>
        <w:gridCol w:w="1028"/>
        <w:gridCol w:w="993"/>
        <w:gridCol w:w="425"/>
        <w:gridCol w:w="1842"/>
        <w:gridCol w:w="426"/>
        <w:gridCol w:w="1106"/>
        <w:gridCol w:w="379"/>
        <w:gridCol w:w="6"/>
      </w:tblGrid>
      <w:tr w:rsidR="0010523F" w:rsidRPr="0010523F" w14:paraId="104BFB16" w14:textId="77777777" w:rsidTr="00774E7E">
        <w:trPr>
          <w:trHeight w:val="315"/>
        </w:trPr>
        <w:tc>
          <w:tcPr>
            <w:tcW w:w="3557" w:type="dxa"/>
            <w:noWrap/>
            <w:vAlign w:val="center"/>
            <w:hideMark/>
          </w:tcPr>
          <w:p w14:paraId="0E6DD7AE" w14:textId="77777777" w:rsidR="0010523F" w:rsidRPr="0010523F" w:rsidRDefault="0010523F" w:rsidP="0010523F">
            <w:pPr>
              <w:rPr>
                <w:sz w:val="20"/>
                <w:szCs w:val="20"/>
                <w:lang w:val="es-AR" w:eastAsia="es-AR"/>
              </w:rPr>
            </w:pPr>
          </w:p>
        </w:tc>
        <w:tc>
          <w:tcPr>
            <w:tcW w:w="6205" w:type="dxa"/>
            <w:gridSpan w:val="8"/>
            <w:tcBorders>
              <w:bottom w:val="single" w:sz="8" w:space="0" w:color="auto"/>
            </w:tcBorders>
          </w:tcPr>
          <w:p w14:paraId="26F7ED01" w14:textId="77777777" w:rsidR="0010523F" w:rsidRPr="0010523F" w:rsidRDefault="0010523F" w:rsidP="0010523F">
            <w:pPr>
              <w:jc w:val="center"/>
              <w:rPr>
                <w:color w:val="000000"/>
                <w:sz w:val="22"/>
                <w:szCs w:val="22"/>
                <w:lang w:val="es-AR" w:eastAsia="es-AR"/>
              </w:rPr>
            </w:pPr>
            <w:r w:rsidRPr="0010523F">
              <w:rPr>
                <w:bCs/>
                <w:color w:val="000000"/>
                <w:sz w:val="22"/>
                <w:szCs w:val="22"/>
                <w:lang w:val="es-AR"/>
              </w:rPr>
              <w:t>Por el período de nueve meses finalizado el 30/09/2018</w:t>
            </w:r>
          </w:p>
        </w:tc>
      </w:tr>
      <w:tr w:rsidR="0010523F" w:rsidRPr="0010523F" w14:paraId="35B6D404" w14:textId="77777777" w:rsidTr="00774E7E">
        <w:trPr>
          <w:gridAfter w:val="1"/>
          <w:wAfter w:w="6" w:type="dxa"/>
          <w:trHeight w:val="567"/>
        </w:trPr>
        <w:tc>
          <w:tcPr>
            <w:tcW w:w="3557" w:type="dxa"/>
            <w:noWrap/>
            <w:vAlign w:val="center"/>
            <w:hideMark/>
          </w:tcPr>
          <w:p w14:paraId="4DEC258D" w14:textId="77777777" w:rsidR="0010523F" w:rsidRPr="0010523F" w:rsidRDefault="0010523F" w:rsidP="0010523F">
            <w:pPr>
              <w:spacing w:line="220" w:lineRule="exact"/>
              <w:jc w:val="both"/>
              <w:rPr>
                <w:color w:val="000000"/>
                <w:sz w:val="22"/>
                <w:szCs w:val="22"/>
                <w:lang w:val="es-AR" w:eastAsia="es-AR"/>
              </w:rPr>
            </w:pPr>
          </w:p>
        </w:tc>
        <w:tc>
          <w:tcPr>
            <w:tcW w:w="1028" w:type="dxa"/>
            <w:tcBorders>
              <w:top w:val="single" w:sz="8" w:space="0" w:color="auto"/>
              <w:left w:val="nil"/>
              <w:bottom w:val="single" w:sz="8" w:space="0" w:color="auto"/>
              <w:right w:val="nil"/>
            </w:tcBorders>
            <w:vAlign w:val="center"/>
            <w:hideMark/>
          </w:tcPr>
          <w:p w14:paraId="776972A7" w14:textId="77777777" w:rsidR="0010523F" w:rsidRPr="0010523F" w:rsidRDefault="0010523F" w:rsidP="0010523F">
            <w:pPr>
              <w:jc w:val="center"/>
              <w:rPr>
                <w:color w:val="000000"/>
                <w:sz w:val="22"/>
                <w:szCs w:val="22"/>
                <w:lang w:val="en-US" w:eastAsia="es-AR"/>
              </w:rPr>
            </w:pPr>
            <w:r w:rsidRPr="0010523F">
              <w:rPr>
                <w:color w:val="000000"/>
                <w:sz w:val="22"/>
                <w:szCs w:val="22"/>
                <w:lang w:val="en-US"/>
              </w:rPr>
              <w:t>Ventas</w:t>
            </w:r>
          </w:p>
        </w:tc>
        <w:tc>
          <w:tcPr>
            <w:tcW w:w="1418" w:type="dxa"/>
            <w:gridSpan w:val="2"/>
            <w:tcBorders>
              <w:top w:val="single" w:sz="8" w:space="0" w:color="auto"/>
              <w:left w:val="nil"/>
              <w:bottom w:val="single" w:sz="8" w:space="0" w:color="auto"/>
              <w:right w:val="nil"/>
            </w:tcBorders>
            <w:vAlign w:val="center"/>
            <w:hideMark/>
          </w:tcPr>
          <w:p w14:paraId="2360681B" w14:textId="77777777" w:rsidR="0010523F" w:rsidRPr="0010523F" w:rsidRDefault="0010523F" w:rsidP="0010523F">
            <w:pPr>
              <w:jc w:val="center"/>
              <w:rPr>
                <w:color w:val="000000"/>
                <w:sz w:val="22"/>
                <w:szCs w:val="22"/>
                <w:lang w:val="en-US" w:eastAsia="es-AR"/>
              </w:rPr>
            </w:pPr>
            <w:r w:rsidRPr="0010523F">
              <w:rPr>
                <w:color w:val="000000"/>
                <w:sz w:val="22"/>
                <w:szCs w:val="22"/>
                <w:lang w:val="en-US"/>
              </w:rPr>
              <w:t>Servicios prestados</w:t>
            </w:r>
          </w:p>
        </w:tc>
        <w:tc>
          <w:tcPr>
            <w:tcW w:w="2268" w:type="dxa"/>
            <w:gridSpan w:val="2"/>
            <w:tcBorders>
              <w:top w:val="nil"/>
              <w:left w:val="nil"/>
              <w:bottom w:val="single" w:sz="8" w:space="0" w:color="auto"/>
              <w:right w:val="nil"/>
            </w:tcBorders>
            <w:vAlign w:val="center"/>
            <w:hideMark/>
          </w:tcPr>
          <w:p w14:paraId="44869BF7" w14:textId="77777777" w:rsidR="0010523F" w:rsidRPr="0010523F" w:rsidRDefault="0010523F" w:rsidP="0010523F">
            <w:pPr>
              <w:jc w:val="center"/>
              <w:rPr>
                <w:color w:val="000000"/>
                <w:sz w:val="22"/>
                <w:szCs w:val="22"/>
                <w:lang w:val="en-US"/>
              </w:rPr>
            </w:pPr>
            <w:r w:rsidRPr="0010523F">
              <w:rPr>
                <w:color w:val="000000"/>
                <w:sz w:val="22"/>
                <w:szCs w:val="22"/>
                <w:lang w:val="en-US"/>
              </w:rPr>
              <w:t>Compras y servicios recibidos</w:t>
            </w:r>
          </w:p>
        </w:tc>
        <w:tc>
          <w:tcPr>
            <w:tcW w:w="1485" w:type="dxa"/>
            <w:gridSpan w:val="2"/>
            <w:tcBorders>
              <w:top w:val="single" w:sz="8" w:space="0" w:color="auto"/>
              <w:left w:val="nil"/>
              <w:bottom w:val="single" w:sz="8" w:space="0" w:color="auto"/>
              <w:right w:val="nil"/>
            </w:tcBorders>
            <w:vAlign w:val="center"/>
            <w:hideMark/>
          </w:tcPr>
          <w:p w14:paraId="7B1A297F" w14:textId="77777777" w:rsidR="0010523F" w:rsidRPr="0010523F" w:rsidRDefault="0010523F" w:rsidP="0010523F">
            <w:pPr>
              <w:jc w:val="center"/>
              <w:rPr>
                <w:color w:val="000000"/>
                <w:sz w:val="22"/>
                <w:szCs w:val="22"/>
                <w:lang w:val="en-US" w:eastAsia="es-AR"/>
              </w:rPr>
            </w:pPr>
            <w:r w:rsidRPr="0010523F">
              <w:rPr>
                <w:color w:val="000000"/>
                <w:sz w:val="22"/>
                <w:szCs w:val="22"/>
                <w:lang w:val="en-US"/>
              </w:rPr>
              <w:t>Intereses perdidos, neto</w:t>
            </w:r>
          </w:p>
        </w:tc>
      </w:tr>
      <w:tr w:rsidR="0010523F" w:rsidRPr="0010523F" w14:paraId="5884AD23" w14:textId="77777777" w:rsidTr="00774E7E">
        <w:trPr>
          <w:gridAfter w:val="1"/>
          <w:wAfter w:w="6" w:type="dxa"/>
          <w:trHeight w:val="170"/>
        </w:trPr>
        <w:tc>
          <w:tcPr>
            <w:tcW w:w="3557" w:type="dxa"/>
            <w:noWrap/>
            <w:vAlign w:val="center"/>
            <w:hideMark/>
          </w:tcPr>
          <w:p w14:paraId="41F06011" w14:textId="77777777" w:rsidR="0010523F" w:rsidRPr="0010523F" w:rsidRDefault="0010523F" w:rsidP="0010523F">
            <w:pPr>
              <w:spacing w:line="220" w:lineRule="exact"/>
              <w:jc w:val="both"/>
              <w:rPr>
                <w:color w:val="000000"/>
                <w:sz w:val="22"/>
                <w:szCs w:val="22"/>
                <w:lang w:val="en-US" w:eastAsia="es-AR"/>
              </w:rPr>
            </w:pPr>
          </w:p>
        </w:tc>
        <w:tc>
          <w:tcPr>
            <w:tcW w:w="1028" w:type="dxa"/>
            <w:noWrap/>
            <w:vAlign w:val="bottom"/>
            <w:hideMark/>
          </w:tcPr>
          <w:p w14:paraId="3DA23202" w14:textId="77777777" w:rsidR="0010523F" w:rsidRPr="0010523F" w:rsidRDefault="0010523F" w:rsidP="0010523F">
            <w:pPr>
              <w:rPr>
                <w:sz w:val="20"/>
                <w:szCs w:val="20"/>
                <w:lang w:val="es-AR" w:eastAsia="es-AR"/>
              </w:rPr>
            </w:pPr>
          </w:p>
        </w:tc>
        <w:tc>
          <w:tcPr>
            <w:tcW w:w="993" w:type="dxa"/>
            <w:noWrap/>
            <w:vAlign w:val="bottom"/>
            <w:hideMark/>
          </w:tcPr>
          <w:p w14:paraId="12655BA8" w14:textId="77777777" w:rsidR="0010523F" w:rsidRPr="0010523F" w:rsidRDefault="0010523F" w:rsidP="0010523F">
            <w:pPr>
              <w:rPr>
                <w:sz w:val="20"/>
                <w:szCs w:val="20"/>
                <w:lang w:val="es-AR" w:eastAsia="es-AR"/>
              </w:rPr>
            </w:pPr>
          </w:p>
        </w:tc>
        <w:tc>
          <w:tcPr>
            <w:tcW w:w="425" w:type="dxa"/>
            <w:vAlign w:val="center"/>
            <w:hideMark/>
          </w:tcPr>
          <w:p w14:paraId="557A0935" w14:textId="77777777" w:rsidR="0010523F" w:rsidRPr="0010523F" w:rsidRDefault="0010523F" w:rsidP="0010523F">
            <w:pPr>
              <w:spacing w:line="180" w:lineRule="exact"/>
              <w:rPr>
                <w:color w:val="000000"/>
                <w:sz w:val="22"/>
                <w:szCs w:val="22"/>
                <w:lang w:val="en-US" w:eastAsia="es-AR"/>
              </w:rPr>
            </w:pPr>
            <w:r w:rsidRPr="0010523F">
              <w:rPr>
                <w:color w:val="000000"/>
                <w:sz w:val="22"/>
                <w:szCs w:val="22"/>
                <w:lang w:val="en-US" w:eastAsia="es-AR"/>
              </w:rPr>
              <w:t> </w:t>
            </w:r>
          </w:p>
        </w:tc>
        <w:tc>
          <w:tcPr>
            <w:tcW w:w="1842" w:type="dxa"/>
            <w:noWrap/>
            <w:vAlign w:val="bottom"/>
            <w:hideMark/>
          </w:tcPr>
          <w:p w14:paraId="45C0138A" w14:textId="77777777" w:rsidR="0010523F" w:rsidRPr="0010523F" w:rsidRDefault="0010523F" w:rsidP="0010523F">
            <w:pPr>
              <w:spacing w:line="220" w:lineRule="exact"/>
              <w:jc w:val="both"/>
              <w:rPr>
                <w:color w:val="000000"/>
                <w:sz w:val="22"/>
                <w:szCs w:val="22"/>
                <w:lang w:val="en-US" w:eastAsia="es-AR"/>
              </w:rPr>
            </w:pPr>
          </w:p>
        </w:tc>
        <w:tc>
          <w:tcPr>
            <w:tcW w:w="426" w:type="dxa"/>
          </w:tcPr>
          <w:p w14:paraId="74BA7470" w14:textId="77777777" w:rsidR="0010523F" w:rsidRPr="0010523F" w:rsidRDefault="0010523F" w:rsidP="0010523F">
            <w:pPr>
              <w:spacing w:line="180" w:lineRule="exact"/>
              <w:rPr>
                <w:color w:val="000000"/>
                <w:sz w:val="20"/>
                <w:szCs w:val="20"/>
                <w:lang w:val="en-US" w:eastAsia="es-AR"/>
              </w:rPr>
            </w:pPr>
          </w:p>
        </w:tc>
        <w:tc>
          <w:tcPr>
            <w:tcW w:w="1106" w:type="dxa"/>
            <w:noWrap/>
            <w:vAlign w:val="bottom"/>
            <w:hideMark/>
          </w:tcPr>
          <w:p w14:paraId="3011EEB0" w14:textId="77777777" w:rsidR="0010523F" w:rsidRPr="0010523F" w:rsidRDefault="0010523F" w:rsidP="0010523F">
            <w:pPr>
              <w:spacing w:line="180" w:lineRule="exact"/>
              <w:rPr>
                <w:color w:val="000000"/>
                <w:sz w:val="20"/>
                <w:szCs w:val="20"/>
                <w:lang w:val="en-US" w:eastAsia="es-AR"/>
              </w:rPr>
            </w:pPr>
            <w:r w:rsidRPr="0010523F">
              <w:rPr>
                <w:color w:val="000000"/>
                <w:sz w:val="20"/>
                <w:szCs w:val="20"/>
                <w:lang w:val="en-US" w:eastAsia="es-AR"/>
              </w:rPr>
              <w:t> </w:t>
            </w:r>
          </w:p>
        </w:tc>
        <w:tc>
          <w:tcPr>
            <w:tcW w:w="379" w:type="dxa"/>
            <w:vAlign w:val="center"/>
            <w:hideMark/>
          </w:tcPr>
          <w:p w14:paraId="3AFEB579" w14:textId="77777777" w:rsidR="0010523F" w:rsidRPr="0010523F" w:rsidRDefault="0010523F" w:rsidP="0010523F">
            <w:pPr>
              <w:spacing w:line="220" w:lineRule="exact"/>
              <w:jc w:val="both"/>
              <w:rPr>
                <w:color w:val="000000"/>
                <w:sz w:val="20"/>
                <w:szCs w:val="20"/>
                <w:lang w:val="en-US" w:eastAsia="es-AR"/>
              </w:rPr>
            </w:pPr>
          </w:p>
        </w:tc>
      </w:tr>
      <w:tr w:rsidR="0010523F" w:rsidRPr="0010523F" w14:paraId="50CAB15B" w14:textId="77777777" w:rsidTr="00774E7E">
        <w:trPr>
          <w:gridAfter w:val="1"/>
          <w:wAfter w:w="6" w:type="dxa"/>
          <w:trHeight w:val="300"/>
        </w:trPr>
        <w:tc>
          <w:tcPr>
            <w:tcW w:w="3557" w:type="dxa"/>
            <w:noWrap/>
            <w:vAlign w:val="center"/>
            <w:hideMark/>
          </w:tcPr>
          <w:p w14:paraId="74F2EACF" w14:textId="77777777" w:rsidR="0010523F" w:rsidRPr="0010523F" w:rsidRDefault="0010523F" w:rsidP="0010523F">
            <w:pPr>
              <w:rPr>
                <w:color w:val="000000"/>
                <w:sz w:val="22"/>
                <w:szCs w:val="22"/>
                <w:lang w:val="es-AR" w:eastAsia="es-AR"/>
              </w:rPr>
            </w:pPr>
            <w:r w:rsidRPr="0010523F">
              <w:rPr>
                <w:color w:val="000000"/>
                <w:sz w:val="22"/>
                <w:szCs w:val="22"/>
                <w:lang w:val="es-AR"/>
              </w:rPr>
              <w:t>- Controladas por la Casa Matriz</w:t>
            </w:r>
          </w:p>
        </w:tc>
        <w:tc>
          <w:tcPr>
            <w:tcW w:w="1028" w:type="dxa"/>
            <w:noWrap/>
            <w:vAlign w:val="bottom"/>
            <w:hideMark/>
          </w:tcPr>
          <w:p w14:paraId="2626F1E6" w14:textId="77777777" w:rsidR="0010523F" w:rsidRPr="0010523F" w:rsidRDefault="0010523F" w:rsidP="0010523F">
            <w:pPr>
              <w:jc w:val="right"/>
              <w:rPr>
                <w:color w:val="000000"/>
                <w:sz w:val="22"/>
                <w:szCs w:val="22"/>
                <w:lang w:val="en-US" w:eastAsia="es-AR"/>
              </w:rPr>
            </w:pPr>
            <w:r w:rsidRPr="0010523F">
              <w:rPr>
                <w:color w:val="000000"/>
                <w:sz w:val="22"/>
                <w:szCs w:val="22"/>
                <w:lang w:val="en-US"/>
              </w:rPr>
              <w:t>-</w:t>
            </w:r>
          </w:p>
        </w:tc>
        <w:tc>
          <w:tcPr>
            <w:tcW w:w="993" w:type="dxa"/>
            <w:noWrap/>
            <w:vAlign w:val="bottom"/>
            <w:hideMark/>
          </w:tcPr>
          <w:p w14:paraId="3F1AD135" w14:textId="77777777" w:rsidR="0010523F" w:rsidRPr="0010523F" w:rsidRDefault="0010523F" w:rsidP="0010523F">
            <w:pPr>
              <w:jc w:val="right"/>
              <w:rPr>
                <w:color w:val="000000"/>
                <w:sz w:val="22"/>
                <w:szCs w:val="22"/>
                <w:lang w:val="en-US" w:eastAsia="es-AR"/>
              </w:rPr>
            </w:pPr>
            <w:r w:rsidRPr="0010523F">
              <w:rPr>
                <w:color w:val="000000"/>
                <w:sz w:val="22"/>
                <w:szCs w:val="22"/>
                <w:lang w:val="en-US"/>
              </w:rPr>
              <w:t>299</w:t>
            </w:r>
          </w:p>
        </w:tc>
        <w:tc>
          <w:tcPr>
            <w:tcW w:w="425" w:type="dxa"/>
            <w:vAlign w:val="bottom"/>
            <w:hideMark/>
          </w:tcPr>
          <w:p w14:paraId="02D8B121" w14:textId="77777777" w:rsidR="0010523F" w:rsidRPr="0010523F" w:rsidRDefault="0010523F" w:rsidP="0010523F">
            <w:pPr>
              <w:jc w:val="right"/>
              <w:rPr>
                <w:color w:val="000000"/>
                <w:sz w:val="18"/>
                <w:szCs w:val="18"/>
                <w:lang w:val="en-US" w:eastAsia="es-AR"/>
              </w:rPr>
            </w:pPr>
            <w:r w:rsidRPr="0010523F">
              <w:rPr>
                <w:color w:val="000000"/>
                <w:sz w:val="18"/>
                <w:szCs w:val="18"/>
                <w:lang w:val="en-US"/>
              </w:rPr>
              <w:t>(1)</w:t>
            </w:r>
          </w:p>
        </w:tc>
        <w:tc>
          <w:tcPr>
            <w:tcW w:w="1842" w:type="dxa"/>
            <w:noWrap/>
            <w:vAlign w:val="bottom"/>
            <w:hideMark/>
          </w:tcPr>
          <w:p w14:paraId="4E0FEE6B" w14:textId="77777777" w:rsidR="0010523F" w:rsidRPr="0010523F" w:rsidRDefault="0010523F" w:rsidP="0010523F">
            <w:pPr>
              <w:ind w:right="99"/>
              <w:jc w:val="right"/>
              <w:rPr>
                <w:color w:val="000000"/>
                <w:sz w:val="22"/>
                <w:szCs w:val="22"/>
                <w:lang w:val="en-US" w:eastAsia="es-AR"/>
              </w:rPr>
            </w:pPr>
            <w:r w:rsidRPr="0010523F">
              <w:rPr>
                <w:color w:val="000000"/>
                <w:sz w:val="22"/>
                <w:szCs w:val="22"/>
                <w:lang w:val="en-US"/>
              </w:rPr>
              <w:t>1.576</w:t>
            </w:r>
          </w:p>
        </w:tc>
        <w:tc>
          <w:tcPr>
            <w:tcW w:w="426" w:type="dxa"/>
            <w:vAlign w:val="bottom"/>
          </w:tcPr>
          <w:p w14:paraId="543A57E3" w14:textId="77777777" w:rsidR="0010523F" w:rsidRPr="0010523F" w:rsidRDefault="0010523F" w:rsidP="0010523F">
            <w:pPr>
              <w:jc w:val="right"/>
              <w:rPr>
                <w:color w:val="000000"/>
                <w:sz w:val="22"/>
                <w:szCs w:val="22"/>
                <w:lang w:val="en-US"/>
              </w:rPr>
            </w:pPr>
          </w:p>
        </w:tc>
        <w:tc>
          <w:tcPr>
            <w:tcW w:w="1106" w:type="dxa"/>
            <w:noWrap/>
            <w:vAlign w:val="bottom"/>
            <w:hideMark/>
          </w:tcPr>
          <w:p w14:paraId="5D4A8837" w14:textId="77777777" w:rsidR="0010523F" w:rsidRPr="0010523F" w:rsidRDefault="0010523F" w:rsidP="0010523F">
            <w:pPr>
              <w:jc w:val="right"/>
              <w:rPr>
                <w:color w:val="000000"/>
                <w:sz w:val="22"/>
                <w:szCs w:val="22"/>
                <w:lang w:val="en-US" w:eastAsia="es-AR"/>
              </w:rPr>
            </w:pPr>
            <w:r w:rsidRPr="0010523F">
              <w:rPr>
                <w:color w:val="000000"/>
                <w:sz w:val="22"/>
                <w:szCs w:val="22"/>
                <w:lang w:val="en-US"/>
              </w:rPr>
              <w:t>(60)</w:t>
            </w:r>
          </w:p>
        </w:tc>
        <w:tc>
          <w:tcPr>
            <w:tcW w:w="379" w:type="dxa"/>
            <w:vAlign w:val="bottom"/>
            <w:hideMark/>
          </w:tcPr>
          <w:p w14:paraId="0F587D46" w14:textId="77777777" w:rsidR="0010523F" w:rsidRPr="0010523F" w:rsidRDefault="0010523F" w:rsidP="0010523F">
            <w:pPr>
              <w:jc w:val="right"/>
              <w:rPr>
                <w:color w:val="000000"/>
                <w:sz w:val="18"/>
                <w:szCs w:val="18"/>
                <w:lang w:val="en-US" w:eastAsia="es-AR"/>
              </w:rPr>
            </w:pPr>
            <w:r w:rsidRPr="0010523F">
              <w:rPr>
                <w:color w:val="000000"/>
                <w:sz w:val="18"/>
                <w:szCs w:val="18"/>
                <w:lang w:val="en-US"/>
              </w:rPr>
              <w:t>(5)</w:t>
            </w:r>
          </w:p>
        </w:tc>
      </w:tr>
      <w:tr w:rsidR="0010523F" w:rsidRPr="0010523F" w14:paraId="53B1EF69" w14:textId="77777777" w:rsidTr="00774E7E">
        <w:trPr>
          <w:gridAfter w:val="1"/>
          <w:wAfter w:w="6" w:type="dxa"/>
          <w:trHeight w:val="300"/>
        </w:trPr>
        <w:tc>
          <w:tcPr>
            <w:tcW w:w="3557" w:type="dxa"/>
            <w:noWrap/>
            <w:vAlign w:val="center"/>
            <w:hideMark/>
          </w:tcPr>
          <w:p w14:paraId="0B02E27A" w14:textId="77777777" w:rsidR="0010523F" w:rsidRPr="0010523F" w:rsidRDefault="0010523F" w:rsidP="0010523F">
            <w:pPr>
              <w:rPr>
                <w:color w:val="000000"/>
                <w:sz w:val="22"/>
                <w:szCs w:val="22"/>
                <w:lang w:val="en-US" w:eastAsia="es-AR"/>
              </w:rPr>
            </w:pPr>
            <w:r w:rsidRPr="0010523F">
              <w:rPr>
                <w:color w:val="000000"/>
                <w:sz w:val="22"/>
                <w:szCs w:val="22"/>
                <w:lang w:val="en-US"/>
              </w:rPr>
              <w:t>- Otros</w:t>
            </w:r>
          </w:p>
        </w:tc>
        <w:tc>
          <w:tcPr>
            <w:tcW w:w="1028" w:type="dxa"/>
            <w:noWrap/>
            <w:vAlign w:val="bottom"/>
            <w:hideMark/>
          </w:tcPr>
          <w:p w14:paraId="08B723D0" w14:textId="77777777" w:rsidR="0010523F" w:rsidRPr="0010523F" w:rsidRDefault="0010523F" w:rsidP="0010523F">
            <w:pPr>
              <w:jc w:val="right"/>
              <w:rPr>
                <w:color w:val="000000"/>
                <w:sz w:val="22"/>
                <w:szCs w:val="22"/>
                <w:u w:val="single"/>
                <w:lang w:val="en-US" w:eastAsia="es-AR"/>
              </w:rPr>
            </w:pPr>
            <w:r w:rsidRPr="0010523F">
              <w:rPr>
                <w:color w:val="000000"/>
                <w:sz w:val="22"/>
                <w:szCs w:val="22"/>
                <w:u w:val="single"/>
                <w:lang w:val="en-US"/>
              </w:rPr>
              <w:t>11.624</w:t>
            </w:r>
          </w:p>
        </w:tc>
        <w:tc>
          <w:tcPr>
            <w:tcW w:w="993" w:type="dxa"/>
            <w:noWrap/>
            <w:vAlign w:val="bottom"/>
            <w:hideMark/>
          </w:tcPr>
          <w:p w14:paraId="74E58C98" w14:textId="77777777" w:rsidR="0010523F" w:rsidRPr="0010523F" w:rsidRDefault="0010523F" w:rsidP="0010523F">
            <w:pPr>
              <w:jc w:val="right"/>
              <w:rPr>
                <w:color w:val="000000"/>
                <w:sz w:val="22"/>
                <w:szCs w:val="22"/>
                <w:u w:val="single"/>
                <w:lang w:val="en-US" w:eastAsia="es-AR"/>
              </w:rPr>
            </w:pPr>
            <w:r w:rsidRPr="0010523F">
              <w:rPr>
                <w:color w:val="000000"/>
                <w:sz w:val="22"/>
                <w:szCs w:val="22"/>
                <w:u w:val="single"/>
                <w:lang w:val="en-US"/>
              </w:rPr>
              <w:t xml:space="preserve">  13</w:t>
            </w:r>
          </w:p>
        </w:tc>
        <w:tc>
          <w:tcPr>
            <w:tcW w:w="425" w:type="dxa"/>
            <w:vAlign w:val="bottom"/>
            <w:hideMark/>
          </w:tcPr>
          <w:p w14:paraId="254F9F9A" w14:textId="77777777" w:rsidR="0010523F" w:rsidRPr="0010523F" w:rsidRDefault="0010523F" w:rsidP="0010523F">
            <w:pPr>
              <w:spacing w:line="220" w:lineRule="exact"/>
              <w:jc w:val="right"/>
              <w:rPr>
                <w:color w:val="000000"/>
                <w:sz w:val="22"/>
                <w:szCs w:val="22"/>
                <w:u w:val="single"/>
                <w:lang w:val="en-US" w:eastAsia="es-AR"/>
              </w:rPr>
            </w:pPr>
          </w:p>
        </w:tc>
        <w:tc>
          <w:tcPr>
            <w:tcW w:w="1842" w:type="dxa"/>
            <w:noWrap/>
            <w:vAlign w:val="bottom"/>
            <w:hideMark/>
          </w:tcPr>
          <w:p w14:paraId="7AAA9E80" w14:textId="77777777" w:rsidR="0010523F" w:rsidRPr="0010523F" w:rsidRDefault="0010523F" w:rsidP="0010523F">
            <w:pPr>
              <w:ind w:right="99"/>
              <w:jc w:val="right"/>
              <w:rPr>
                <w:color w:val="000000"/>
                <w:sz w:val="22"/>
                <w:szCs w:val="22"/>
                <w:u w:val="single"/>
                <w:lang w:val="en-US" w:eastAsia="es-AR"/>
              </w:rPr>
            </w:pPr>
            <w:r w:rsidRPr="0010523F">
              <w:rPr>
                <w:color w:val="000000"/>
                <w:sz w:val="22"/>
                <w:szCs w:val="22"/>
                <w:u w:val="single"/>
                <w:lang w:val="en-US"/>
              </w:rPr>
              <w:t xml:space="preserve">   692</w:t>
            </w:r>
          </w:p>
        </w:tc>
        <w:tc>
          <w:tcPr>
            <w:tcW w:w="426" w:type="dxa"/>
            <w:vAlign w:val="bottom"/>
          </w:tcPr>
          <w:p w14:paraId="7E8F803E" w14:textId="77777777" w:rsidR="0010523F" w:rsidRPr="0010523F" w:rsidRDefault="0010523F" w:rsidP="0010523F">
            <w:pPr>
              <w:jc w:val="right"/>
              <w:rPr>
                <w:color w:val="000000"/>
                <w:sz w:val="22"/>
                <w:szCs w:val="22"/>
                <w:u w:val="single"/>
                <w:lang w:val="en-US"/>
              </w:rPr>
            </w:pPr>
          </w:p>
        </w:tc>
        <w:tc>
          <w:tcPr>
            <w:tcW w:w="1106" w:type="dxa"/>
            <w:noWrap/>
            <w:vAlign w:val="bottom"/>
            <w:hideMark/>
          </w:tcPr>
          <w:p w14:paraId="6237D284" w14:textId="77777777" w:rsidR="0010523F" w:rsidRPr="0010523F" w:rsidRDefault="0010523F" w:rsidP="0010523F">
            <w:pPr>
              <w:jc w:val="right"/>
              <w:rPr>
                <w:color w:val="000000"/>
                <w:sz w:val="22"/>
                <w:szCs w:val="22"/>
                <w:u w:val="single"/>
                <w:lang w:val="en-US" w:eastAsia="es-AR"/>
              </w:rPr>
            </w:pPr>
            <w:r w:rsidRPr="0010523F">
              <w:rPr>
                <w:color w:val="000000"/>
                <w:sz w:val="22"/>
                <w:szCs w:val="22"/>
                <w:u w:val="single"/>
                <w:lang w:val="en-US"/>
              </w:rPr>
              <w:t xml:space="preserve">   -</w:t>
            </w:r>
          </w:p>
        </w:tc>
        <w:tc>
          <w:tcPr>
            <w:tcW w:w="379" w:type="dxa"/>
            <w:vAlign w:val="bottom"/>
            <w:hideMark/>
          </w:tcPr>
          <w:p w14:paraId="129405DF" w14:textId="77777777" w:rsidR="0010523F" w:rsidRPr="0010523F" w:rsidRDefault="0010523F" w:rsidP="0010523F">
            <w:pPr>
              <w:spacing w:line="220" w:lineRule="exact"/>
              <w:jc w:val="right"/>
              <w:rPr>
                <w:color w:val="000000"/>
                <w:sz w:val="22"/>
                <w:szCs w:val="22"/>
                <w:u w:val="single"/>
                <w:lang w:val="en-US" w:eastAsia="es-AR"/>
              </w:rPr>
            </w:pPr>
          </w:p>
        </w:tc>
      </w:tr>
      <w:tr w:rsidR="0010523F" w:rsidRPr="0010523F" w14:paraId="4EC20070" w14:textId="77777777" w:rsidTr="00774E7E">
        <w:trPr>
          <w:gridAfter w:val="1"/>
          <w:wAfter w:w="6" w:type="dxa"/>
          <w:trHeight w:val="300"/>
        </w:trPr>
        <w:tc>
          <w:tcPr>
            <w:tcW w:w="3557" w:type="dxa"/>
            <w:noWrap/>
            <w:vAlign w:val="center"/>
            <w:hideMark/>
          </w:tcPr>
          <w:p w14:paraId="6C3A8035" w14:textId="77777777" w:rsidR="0010523F" w:rsidRPr="0010523F" w:rsidRDefault="0010523F" w:rsidP="0010523F">
            <w:pPr>
              <w:rPr>
                <w:color w:val="000000"/>
                <w:sz w:val="22"/>
                <w:szCs w:val="22"/>
                <w:lang w:val="en-US" w:eastAsia="es-AR"/>
              </w:rPr>
            </w:pPr>
            <w:r w:rsidRPr="0010523F">
              <w:rPr>
                <w:color w:val="000000"/>
                <w:sz w:val="22"/>
                <w:szCs w:val="22"/>
                <w:lang w:val="en-US"/>
              </w:rPr>
              <w:t xml:space="preserve">Total </w:t>
            </w:r>
          </w:p>
        </w:tc>
        <w:tc>
          <w:tcPr>
            <w:tcW w:w="1028" w:type="dxa"/>
            <w:noWrap/>
            <w:vAlign w:val="bottom"/>
            <w:hideMark/>
          </w:tcPr>
          <w:p w14:paraId="1B557521" w14:textId="77777777" w:rsidR="0010523F" w:rsidRPr="0010523F" w:rsidRDefault="0010523F" w:rsidP="0010523F">
            <w:pPr>
              <w:jc w:val="right"/>
              <w:rPr>
                <w:color w:val="000000"/>
                <w:sz w:val="22"/>
                <w:szCs w:val="22"/>
                <w:u w:val="double"/>
                <w:lang w:val="en-US" w:eastAsia="es-AR"/>
              </w:rPr>
            </w:pPr>
            <w:r w:rsidRPr="0010523F">
              <w:rPr>
                <w:color w:val="000000"/>
                <w:sz w:val="22"/>
                <w:szCs w:val="22"/>
                <w:u w:val="double"/>
                <w:lang w:val="en-US"/>
              </w:rPr>
              <w:t>11.624</w:t>
            </w:r>
          </w:p>
        </w:tc>
        <w:tc>
          <w:tcPr>
            <w:tcW w:w="993" w:type="dxa"/>
            <w:noWrap/>
            <w:vAlign w:val="bottom"/>
            <w:hideMark/>
          </w:tcPr>
          <w:p w14:paraId="387B40D7" w14:textId="77777777" w:rsidR="0010523F" w:rsidRPr="0010523F" w:rsidRDefault="0010523F" w:rsidP="0010523F">
            <w:pPr>
              <w:jc w:val="right"/>
              <w:rPr>
                <w:color w:val="000000"/>
                <w:sz w:val="22"/>
                <w:szCs w:val="22"/>
                <w:u w:val="double"/>
                <w:lang w:val="en-US" w:eastAsia="es-AR"/>
              </w:rPr>
            </w:pPr>
            <w:r w:rsidRPr="0010523F">
              <w:rPr>
                <w:color w:val="000000"/>
                <w:sz w:val="22"/>
                <w:szCs w:val="22"/>
                <w:u w:val="double"/>
                <w:lang w:val="en-US"/>
              </w:rPr>
              <w:t>312</w:t>
            </w:r>
          </w:p>
        </w:tc>
        <w:tc>
          <w:tcPr>
            <w:tcW w:w="425" w:type="dxa"/>
            <w:vAlign w:val="bottom"/>
            <w:hideMark/>
          </w:tcPr>
          <w:p w14:paraId="6B734761" w14:textId="77777777" w:rsidR="0010523F" w:rsidRPr="0010523F" w:rsidRDefault="0010523F" w:rsidP="0010523F">
            <w:pPr>
              <w:spacing w:line="220" w:lineRule="exact"/>
              <w:jc w:val="right"/>
              <w:rPr>
                <w:color w:val="000000"/>
                <w:sz w:val="22"/>
                <w:szCs w:val="22"/>
                <w:u w:val="double"/>
                <w:lang w:val="en-US" w:eastAsia="es-AR"/>
              </w:rPr>
            </w:pPr>
          </w:p>
        </w:tc>
        <w:tc>
          <w:tcPr>
            <w:tcW w:w="1842" w:type="dxa"/>
            <w:noWrap/>
            <w:vAlign w:val="bottom"/>
            <w:hideMark/>
          </w:tcPr>
          <w:p w14:paraId="408634D2" w14:textId="77777777" w:rsidR="0010523F" w:rsidRPr="0010523F" w:rsidRDefault="0010523F" w:rsidP="0010523F">
            <w:pPr>
              <w:ind w:right="99"/>
              <w:jc w:val="right"/>
              <w:rPr>
                <w:color w:val="000000"/>
                <w:sz w:val="22"/>
                <w:szCs w:val="22"/>
                <w:u w:val="double"/>
                <w:lang w:val="en-US" w:eastAsia="es-AR"/>
              </w:rPr>
            </w:pPr>
            <w:r w:rsidRPr="0010523F">
              <w:rPr>
                <w:color w:val="000000"/>
                <w:sz w:val="22"/>
                <w:szCs w:val="22"/>
                <w:u w:val="double"/>
                <w:lang w:val="en-US"/>
              </w:rPr>
              <w:t>2.268</w:t>
            </w:r>
          </w:p>
        </w:tc>
        <w:tc>
          <w:tcPr>
            <w:tcW w:w="426" w:type="dxa"/>
            <w:vAlign w:val="bottom"/>
          </w:tcPr>
          <w:p w14:paraId="77A53B5F" w14:textId="77777777" w:rsidR="0010523F" w:rsidRPr="0010523F" w:rsidRDefault="0010523F" w:rsidP="0010523F">
            <w:pPr>
              <w:jc w:val="right"/>
              <w:rPr>
                <w:color w:val="000000"/>
                <w:sz w:val="22"/>
                <w:szCs w:val="22"/>
                <w:lang w:val="en-US"/>
              </w:rPr>
            </w:pPr>
          </w:p>
        </w:tc>
        <w:tc>
          <w:tcPr>
            <w:tcW w:w="1106" w:type="dxa"/>
            <w:noWrap/>
            <w:vAlign w:val="bottom"/>
            <w:hideMark/>
          </w:tcPr>
          <w:p w14:paraId="18E3989C" w14:textId="77777777" w:rsidR="0010523F" w:rsidRPr="0010523F" w:rsidRDefault="0010523F" w:rsidP="0010523F">
            <w:pPr>
              <w:jc w:val="right"/>
              <w:rPr>
                <w:color w:val="000000"/>
                <w:sz w:val="22"/>
                <w:szCs w:val="22"/>
                <w:u w:val="double"/>
                <w:lang w:val="en-US" w:eastAsia="es-AR"/>
              </w:rPr>
            </w:pPr>
            <w:r w:rsidRPr="0010523F">
              <w:rPr>
                <w:color w:val="000000"/>
                <w:sz w:val="22"/>
                <w:szCs w:val="22"/>
                <w:lang w:val="en-US"/>
              </w:rPr>
              <w:t>(</w:t>
            </w:r>
            <w:r w:rsidRPr="0010523F">
              <w:rPr>
                <w:color w:val="000000"/>
                <w:sz w:val="22"/>
                <w:szCs w:val="22"/>
                <w:u w:val="double"/>
                <w:lang w:val="en-US"/>
              </w:rPr>
              <w:t>60</w:t>
            </w:r>
            <w:r w:rsidRPr="0010523F">
              <w:rPr>
                <w:color w:val="000000"/>
                <w:sz w:val="22"/>
                <w:szCs w:val="22"/>
                <w:lang w:val="en-US"/>
              </w:rPr>
              <w:t>)</w:t>
            </w:r>
          </w:p>
        </w:tc>
        <w:tc>
          <w:tcPr>
            <w:tcW w:w="379" w:type="dxa"/>
            <w:vAlign w:val="bottom"/>
            <w:hideMark/>
          </w:tcPr>
          <w:p w14:paraId="6E625E21" w14:textId="77777777" w:rsidR="0010523F" w:rsidRPr="0010523F" w:rsidRDefault="0010523F" w:rsidP="0010523F">
            <w:pPr>
              <w:spacing w:line="220" w:lineRule="exact"/>
              <w:jc w:val="right"/>
              <w:rPr>
                <w:color w:val="000000"/>
                <w:sz w:val="22"/>
                <w:szCs w:val="22"/>
                <w:u w:val="double"/>
                <w:lang w:val="en-US" w:eastAsia="es-AR"/>
              </w:rPr>
            </w:pPr>
          </w:p>
        </w:tc>
      </w:tr>
    </w:tbl>
    <w:p w14:paraId="0397AA9F" w14:textId="77777777" w:rsidR="0010523F" w:rsidRPr="0010523F" w:rsidRDefault="0010523F" w:rsidP="0010523F">
      <w:pPr>
        <w:spacing w:line="220" w:lineRule="exact"/>
        <w:jc w:val="both"/>
        <w:rPr>
          <w:b/>
          <w:szCs w:val="20"/>
          <w:lang w:val="es-AR" w:eastAsia="en-US"/>
        </w:rPr>
      </w:pPr>
    </w:p>
    <w:p w14:paraId="6C7958BF" w14:textId="77777777" w:rsidR="0010523F" w:rsidRPr="0010523F" w:rsidRDefault="0010523F" w:rsidP="0010523F">
      <w:pPr>
        <w:spacing w:line="220" w:lineRule="exact"/>
        <w:rPr>
          <w:sz w:val="18"/>
          <w:szCs w:val="18"/>
          <w:lang w:val="es-AR" w:eastAsia="en-US"/>
        </w:rPr>
      </w:pPr>
      <w:r w:rsidRPr="0010523F">
        <w:rPr>
          <w:sz w:val="18"/>
          <w:szCs w:val="18"/>
          <w:lang w:val="es-AR" w:eastAsia="en-US"/>
        </w:rPr>
        <w:t>(1) Incluye recupero de gastos por servicios técnicos y administrativos.</w:t>
      </w:r>
    </w:p>
    <w:p w14:paraId="064E8011" w14:textId="77777777" w:rsidR="0010523F" w:rsidRPr="0010523F" w:rsidRDefault="0010523F" w:rsidP="0010523F">
      <w:pPr>
        <w:spacing w:line="220" w:lineRule="exact"/>
        <w:rPr>
          <w:sz w:val="18"/>
          <w:szCs w:val="18"/>
          <w:lang w:val="es-AR" w:eastAsia="en-US"/>
        </w:rPr>
      </w:pPr>
      <w:r w:rsidRPr="0010523F">
        <w:rPr>
          <w:sz w:val="18"/>
          <w:szCs w:val="18"/>
          <w:lang w:val="es-AR" w:eastAsia="en-US"/>
        </w:rPr>
        <w:t>(2) Incluye regalías por el derecho uso de marca 222 (tercer trimestre 2019) y 562 (9 meses 2019).</w:t>
      </w:r>
    </w:p>
    <w:p w14:paraId="0C93B637" w14:textId="77777777" w:rsidR="0010523F" w:rsidRPr="0010523F" w:rsidRDefault="0010523F" w:rsidP="0010523F">
      <w:pPr>
        <w:spacing w:line="220" w:lineRule="exact"/>
        <w:rPr>
          <w:sz w:val="18"/>
          <w:szCs w:val="18"/>
          <w:lang w:val="es-AR" w:eastAsia="en-US"/>
        </w:rPr>
      </w:pPr>
      <w:r w:rsidRPr="0010523F">
        <w:rPr>
          <w:sz w:val="18"/>
          <w:szCs w:val="18"/>
          <w:lang w:val="es-AR" w:eastAsia="en-US"/>
        </w:rPr>
        <w:t>(3) Está compuesto por intereses perdidos por 17 neto de intereses ganados por 13.</w:t>
      </w:r>
    </w:p>
    <w:p w14:paraId="19C20BA3" w14:textId="77777777" w:rsidR="0010523F" w:rsidRPr="0010523F" w:rsidRDefault="0010523F" w:rsidP="0010523F">
      <w:pPr>
        <w:spacing w:line="220" w:lineRule="exact"/>
        <w:rPr>
          <w:sz w:val="18"/>
          <w:szCs w:val="18"/>
          <w:lang w:val="es-AR" w:eastAsia="en-US"/>
        </w:rPr>
      </w:pPr>
      <w:r w:rsidRPr="0010523F">
        <w:rPr>
          <w:sz w:val="18"/>
          <w:szCs w:val="18"/>
          <w:lang w:val="es-AR" w:eastAsia="en-US"/>
        </w:rPr>
        <w:t xml:space="preserve">(4) Está compuesto por intereses perdidos por 137 neto de intereses ganados por 20. </w:t>
      </w:r>
    </w:p>
    <w:p w14:paraId="444533C5" w14:textId="77777777" w:rsidR="0010523F" w:rsidRPr="0010523F" w:rsidRDefault="0010523F" w:rsidP="0010523F">
      <w:pPr>
        <w:spacing w:line="220" w:lineRule="exact"/>
        <w:rPr>
          <w:sz w:val="18"/>
          <w:szCs w:val="18"/>
          <w:lang w:val="es-AR" w:eastAsia="en-US"/>
        </w:rPr>
      </w:pPr>
      <w:r w:rsidRPr="0010523F">
        <w:rPr>
          <w:sz w:val="18"/>
          <w:szCs w:val="18"/>
          <w:lang w:val="es-AR" w:eastAsia="en-US"/>
        </w:rPr>
        <w:t xml:space="preserve">(5) Está compuesto por intereses perdidos por 88 neto de intereses ganados por 28. </w:t>
      </w:r>
    </w:p>
    <w:p w14:paraId="2DDFF851" w14:textId="77777777" w:rsidR="0010523F" w:rsidRPr="0010523F" w:rsidRDefault="0010523F" w:rsidP="0010523F">
      <w:pPr>
        <w:spacing w:line="220" w:lineRule="exact"/>
        <w:rPr>
          <w:sz w:val="18"/>
          <w:szCs w:val="18"/>
          <w:lang w:val="es-AR" w:eastAsia="en-US"/>
        </w:rPr>
      </w:pPr>
    </w:p>
    <w:p w14:paraId="0445F68C" w14:textId="77777777" w:rsidR="0010523F" w:rsidRPr="0010523F" w:rsidRDefault="0010523F" w:rsidP="0010523F">
      <w:pPr>
        <w:spacing w:before="120" w:line="220" w:lineRule="exact"/>
        <w:jc w:val="both"/>
        <w:rPr>
          <w:szCs w:val="20"/>
          <w:lang w:val="es-AR" w:eastAsia="en-US"/>
        </w:rPr>
      </w:pPr>
      <w:r w:rsidRPr="0010523F">
        <w:rPr>
          <w:szCs w:val="20"/>
          <w:u w:val="single"/>
          <w:lang w:val="es-AR" w:eastAsia="en-US"/>
        </w:rPr>
        <w:t>SALDOS</w:t>
      </w:r>
    </w:p>
    <w:tbl>
      <w:tblPr>
        <w:tblW w:w="9180" w:type="dxa"/>
        <w:tblBorders>
          <w:top w:val="nil"/>
          <w:left w:val="nil"/>
          <w:bottom w:val="nil"/>
          <w:right w:val="nil"/>
        </w:tblBorders>
        <w:tblLayout w:type="fixed"/>
        <w:tblLook w:val="0000" w:firstRow="0" w:lastRow="0" w:firstColumn="0" w:lastColumn="0" w:noHBand="0" w:noVBand="0"/>
      </w:tblPr>
      <w:tblGrid>
        <w:gridCol w:w="2518"/>
        <w:gridCol w:w="1267"/>
        <w:gridCol w:w="1426"/>
        <w:gridCol w:w="1276"/>
        <w:gridCol w:w="1417"/>
        <w:gridCol w:w="1276"/>
      </w:tblGrid>
      <w:tr w:rsidR="0010523F" w:rsidRPr="0010523F" w14:paraId="0384DC19" w14:textId="77777777" w:rsidTr="00774E7E">
        <w:trPr>
          <w:gridBefore w:val="1"/>
          <w:wBefore w:w="2518" w:type="dxa"/>
          <w:trHeight w:val="113"/>
        </w:trPr>
        <w:tc>
          <w:tcPr>
            <w:tcW w:w="6662" w:type="dxa"/>
            <w:gridSpan w:val="5"/>
            <w:tcBorders>
              <w:bottom w:val="single" w:sz="4" w:space="0" w:color="auto"/>
            </w:tcBorders>
          </w:tcPr>
          <w:p w14:paraId="0B101867" w14:textId="77777777" w:rsidR="0010523F" w:rsidRPr="0010523F" w:rsidRDefault="0010523F" w:rsidP="0010523F">
            <w:pPr>
              <w:autoSpaceDE w:val="0"/>
              <w:autoSpaceDN w:val="0"/>
              <w:adjustRightInd w:val="0"/>
              <w:spacing w:line="220" w:lineRule="exact"/>
              <w:jc w:val="center"/>
              <w:rPr>
                <w:color w:val="000000"/>
                <w:sz w:val="22"/>
                <w:szCs w:val="22"/>
                <w:lang w:val="es-AR"/>
              </w:rPr>
            </w:pPr>
            <w:r w:rsidRPr="0010523F">
              <w:rPr>
                <w:bCs/>
                <w:color w:val="000000"/>
                <w:sz w:val="22"/>
                <w:szCs w:val="22"/>
                <w:lang w:val="es-AR"/>
              </w:rPr>
              <w:t>Al 30 de septiembre de 2019</w:t>
            </w:r>
          </w:p>
        </w:tc>
      </w:tr>
      <w:tr w:rsidR="0010523F" w:rsidRPr="0010523F" w14:paraId="73DD9BF5" w14:textId="77777777" w:rsidTr="00774E7E">
        <w:trPr>
          <w:trHeight w:val="113"/>
        </w:trPr>
        <w:tc>
          <w:tcPr>
            <w:tcW w:w="2518" w:type="dxa"/>
            <w:vAlign w:val="bottom"/>
          </w:tcPr>
          <w:p w14:paraId="1AFC52CC" w14:textId="77777777" w:rsidR="0010523F" w:rsidRPr="0010523F" w:rsidRDefault="0010523F" w:rsidP="0010523F">
            <w:pPr>
              <w:autoSpaceDE w:val="0"/>
              <w:autoSpaceDN w:val="0"/>
              <w:adjustRightInd w:val="0"/>
              <w:spacing w:line="220" w:lineRule="exact"/>
              <w:jc w:val="center"/>
              <w:rPr>
                <w:bCs/>
                <w:color w:val="000000"/>
                <w:sz w:val="22"/>
                <w:szCs w:val="22"/>
                <w:lang w:val="es-AR"/>
              </w:rPr>
            </w:pPr>
          </w:p>
        </w:tc>
        <w:tc>
          <w:tcPr>
            <w:tcW w:w="2693" w:type="dxa"/>
            <w:gridSpan w:val="2"/>
            <w:vAlign w:val="bottom"/>
          </w:tcPr>
          <w:p w14:paraId="5D0119EC" w14:textId="77777777" w:rsidR="0010523F" w:rsidRPr="0010523F" w:rsidRDefault="0010523F" w:rsidP="0010523F">
            <w:pPr>
              <w:autoSpaceDE w:val="0"/>
              <w:autoSpaceDN w:val="0"/>
              <w:adjustRightInd w:val="0"/>
              <w:spacing w:line="220" w:lineRule="exact"/>
              <w:jc w:val="center"/>
              <w:rPr>
                <w:bCs/>
                <w:color w:val="000000"/>
                <w:sz w:val="22"/>
                <w:szCs w:val="22"/>
                <w:lang w:val="es-AR"/>
              </w:rPr>
            </w:pPr>
            <w:r w:rsidRPr="0010523F">
              <w:rPr>
                <w:bCs/>
                <w:color w:val="000000"/>
                <w:sz w:val="22"/>
                <w:szCs w:val="22"/>
                <w:u w:val="single"/>
                <w:lang w:val="es-AR"/>
              </w:rPr>
              <w:t>Otros créditos</w:t>
            </w:r>
          </w:p>
        </w:tc>
        <w:tc>
          <w:tcPr>
            <w:tcW w:w="1276" w:type="dxa"/>
            <w:tcBorders>
              <w:top w:val="nil"/>
              <w:bottom w:val="nil"/>
            </w:tcBorders>
            <w:vAlign w:val="bottom"/>
          </w:tcPr>
          <w:p w14:paraId="0E4C6D52" w14:textId="77777777" w:rsidR="0010523F" w:rsidRPr="0010523F" w:rsidRDefault="0010523F" w:rsidP="0010523F">
            <w:pPr>
              <w:autoSpaceDE w:val="0"/>
              <w:autoSpaceDN w:val="0"/>
              <w:adjustRightInd w:val="0"/>
              <w:spacing w:line="220" w:lineRule="exact"/>
              <w:jc w:val="center"/>
              <w:rPr>
                <w:color w:val="000000"/>
                <w:sz w:val="22"/>
                <w:szCs w:val="22"/>
                <w:lang w:val="es-AR"/>
              </w:rPr>
            </w:pPr>
            <w:r w:rsidRPr="0010523F">
              <w:rPr>
                <w:bCs/>
                <w:color w:val="000000"/>
                <w:sz w:val="22"/>
                <w:szCs w:val="22"/>
                <w:lang w:val="es-AR"/>
              </w:rPr>
              <w:t>Créditos</w:t>
            </w:r>
          </w:p>
          <w:p w14:paraId="250A9C90"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bCs/>
                <w:color w:val="000000"/>
                <w:sz w:val="22"/>
                <w:szCs w:val="22"/>
                <w:u w:val="single"/>
                <w:lang w:val="es-AR"/>
              </w:rPr>
              <w:t> por ventas </w:t>
            </w:r>
          </w:p>
        </w:tc>
        <w:tc>
          <w:tcPr>
            <w:tcW w:w="1417" w:type="dxa"/>
            <w:tcBorders>
              <w:top w:val="nil"/>
              <w:bottom w:val="nil"/>
            </w:tcBorders>
            <w:vAlign w:val="bottom"/>
          </w:tcPr>
          <w:p w14:paraId="2324F584"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  Préstamos  </w:t>
            </w:r>
          </w:p>
        </w:tc>
        <w:tc>
          <w:tcPr>
            <w:tcW w:w="1276" w:type="dxa"/>
            <w:tcBorders>
              <w:top w:val="nil"/>
              <w:bottom w:val="nil"/>
            </w:tcBorders>
            <w:vAlign w:val="bottom"/>
          </w:tcPr>
          <w:p w14:paraId="5BEB7B14"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lang w:val="es-AR"/>
              </w:rPr>
              <w:t>Cuentas por</w:t>
            </w:r>
            <w:r w:rsidRPr="0010523F">
              <w:rPr>
                <w:color w:val="000000"/>
                <w:sz w:val="22"/>
                <w:szCs w:val="22"/>
                <w:u w:val="single"/>
                <w:lang w:val="es-AR"/>
              </w:rPr>
              <w:t xml:space="preserve"> pagar</w:t>
            </w:r>
          </w:p>
        </w:tc>
      </w:tr>
      <w:tr w:rsidR="0010523F" w:rsidRPr="0010523F" w14:paraId="143CF027" w14:textId="77777777" w:rsidTr="00774E7E">
        <w:trPr>
          <w:trHeight w:val="113"/>
        </w:trPr>
        <w:tc>
          <w:tcPr>
            <w:tcW w:w="2518" w:type="dxa"/>
            <w:tcBorders>
              <w:top w:val="nil"/>
            </w:tcBorders>
            <w:vAlign w:val="bottom"/>
          </w:tcPr>
          <w:p w14:paraId="17B50336" w14:textId="77777777" w:rsidR="0010523F" w:rsidRPr="0010523F" w:rsidRDefault="0010523F" w:rsidP="0010523F">
            <w:pPr>
              <w:autoSpaceDE w:val="0"/>
              <w:autoSpaceDN w:val="0"/>
              <w:adjustRightInd w:val="0"/>
              <w:spacing w:line="220" w:lineRule="exact"/>
              <w:jc w:val="center"/>
              <w:rPr>
                <w:color w:val="000000"/>
                <w:sz w:val="22"/>
                <w:szCs w:val="22"/>
                <w:lang w:val="es-AR"/>
              </w:rPr>
            </w:pPr>
          </w:p>
        </w:tc>
        <w:tc>
          <w:tcPr>
            <w:tcW w:w="1267" w:type="dxa"/>
            <w:tcBorders>
              <w:top w:val="nil"/>
            </w:tcBorders>
            <w:vAlign w:val="bottom"/>
          </w:tcPr>
          <w:p w14:paraId="1648F62D"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  Corriente  </w:t>
            </w:r>
          </w:p>
        </w:tc>
        <w:tc>
          <w:tcPr>
            <w:tcW w:w="1426" w:type="dxa"/>
            <w:tcBorders>
              <w:top w:val="nil"/>
            </w:tcBorders>
            <w:vAlign w:val="bottom"/>
          </w:tcPr>
          <w:p w14:paraId="0818E1BC"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No corriente</w:t>
            </w:r>
          </w:p>
        </w:tc>
        <w:tc>
          <w:tcPr>
            <w:tcW w:w="1276" w:type="dxa"/>
            <w:tcBorders>
              <w:top w:val="nil"/>
            </w:tcBorders>
            <w:vAlign w:val="bottom"/>
          </w:tcPr>
          <w:p w14:paraId="3D98A46A"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  Corriente  </w:t>
            </w:r>
          </w:p>
        </w:tc>
        <w:tc>
          <w:tcPr>
            <w:tcW w:w="1417" w:type="dxa"/>
            <w:tcBorders>
              <w:top w:val="nil"/>
            </w:tcBorders>
            <w:vAlign w:val="bottom"/>
          </w:tcPr>
          <w:p w14:paraId="23E85C6A"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Corriente</w:t>
            </w:r>
          </w:p>
        </w:tc>
        <w:tc>
          <w:tcPr>
            <w:tcW w:w="1276" w:type="dxa"/>
            <w:tcBorders>
              <w:top w:val="nil"/>
            </w:tcBorders>
            <w:vAlign w:val="bottom"/>
          </w:tcPr>
          <w:p w14:paraId="242E032F"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 Corriente</w:t>
            </w:r>
          </w:p>
        </w:tc>
      </w:tr>
      <w:tr w:rsidR="0010523F" w:rsidRPr="0010523F" w14:paraId="2C76583F" w14:textId="77777777" w:rsidTr="00774E7E">
        <w:trPr>
          <w:trHeight w:val="113"/>
        </w:trPr>
        <w:tc>
          <w:tcPr>
            <w:tcW w:w="2518" w:type="dxa"/>
            <w:vAlign w:val="bottom"/>
          </w:tcPr>
          <w:p w14:paraId="00D5C5FD" w14:textId="77777777" w:rsidR="0010523F" w:rsidRPr="0010523F" w:rsidRDefault="0010523F" w:rsidP="0010523F">
            <w:pPr>
              <w:autoSpaceDE w:val="0"/>
              <w:autoSpaceDN w:val="0"/>
              <w:adjustRightInd w:val="0"/>
              <w:spacing w:line="220" w:lineRule="exact"/>
              <w:jc w:val="both"/>
              <w:rPr>
                <w:sz w:val="22"/>
                <w:szCs w:val="22"/>
                <w:lang w:val="es-AR" w:eastAsia="en-US"/>
              </w:rPr>
            </w:pPr>
          </w:p>
        </w:tc>
        <w:tc>
          <w:tcPr>
            <w:tcW w:w="1267" w:type="dxa"/>
            <w:vAlign w:val="bottom"/>
          </w:tcPr>
          <w:p w14:paraId="241928C5" w14:textId="77777777" w:rsidR="0010523F" w:rsidRPr="0010523F" w:rsidRDefault="0010523F" w:rsidP="0010523F">
            <w:pPr>
              <w:autoSpaceDE w:val="0"/>
              <w:autoSpaceDN w:val="0"/>
              <w:adjustRightInd w:val="0"/>
              <w:spacing w:line="220" w:lineRule="exact"/>
              <w:jc w:val="both"/>
              <w:rPr>
                <w:sz w:val="22"/>
                <w:szCs w:val="22"/>
                <w:lang w:val="es-AR" w:eastAsia="en-US"/>
              </w:rPr>
            </w:pPr>
          </w:p>
        </w:tc>
        <w:tc>
          <w:tcPr>
            <w:tcW w:w="1426" w:type="dxa"/>
          </w:tcPr>
          <w:p w14:paraId="743DC756" w14:textId="77777777" w:rsidR="0010523F" w:rsidRPr="0010523F" w:rsidRDefault="0010523F" w:rsidP="0010523F">
            <w:pPr>
              <w:autoSpaceDE w:val="0"/>
              <w:autoSpaceDN w:val="0"/>
              <w:adjustRightInd w:val="0"/>
              <w:spacing w:line="220" w:lineRule="exact"/>
              <w:jc w:val="both"/>
              <w:rPr>
                <w:sz w:val="22"/>
                <w:szCs w:val="22"/>
                <w:lang w:val="es-AR" w:eastAsia="en-US"/>
              </w:rPr>
            </w:pPr>
          </w:p>
        </w:tc>
        <w:tc>
          <w:tcPr>
            <w:tcW w:w="1276" w:type="dxa"/>
            <w:vAlign w:val="bottom"/>
          </w:tcPr>
          <w:p w14:paraId="0115154F" w14:textId="77777777" w:rsidR="0010523F" w:rsidRPr="0010523F" w:rsidRDefault="0010523F" w:rsidP="0010523F">
            <w:pPr>
              <w:autoSpaceDE w:val="0"/>
              <w:autoSpaceDN w:val="0"/>
              <w:adjustRightInd w:val="0"/>
              <w:spacing w:line="220" w:lineRule="exact"/>
              <w:jc w:val="both"/>
              <w:rPr>
                <w:sz w:val="22"/>
                <w:szCs w:val="22"/>
                <w:lang w:val="es-AR" w:eastAsia="en-US"/>
              </w:rPr>
            </w:pPr>
          </w:p>
        </w:tc>
        <w:tc>
          <w:tcPr>
            <w:tcW w:w="1417" w:type="dxa"/>
            <w:vAlign w:val="bottom"/>
          </w:tcPr>
          <w:p w14:paraId="20DF3884" w14:textId="77777777" w:rsidR="0010523F" w:rsidRPr="0010523F" w:rsidRDefault="0010523F" w:rsidP="0010523F">
            <w:pPr>
              <w:autoSpaceDE w:val="0"/>
              <w:autoSpaceDN w:val="0"/>
              <w:adjustRightInd w:val="0"/>
              <w:spacing w:line="220" w:lineRule="exact"/>
              <w:jc w:val="both"/>
              <w:rPr>
                <w:sz w:val="22"/>
                <w:szCs w:val="22"/>
                <w:lang w:val="es-AR" w:eastAsia="en-US"/>
              </w:rPr>
            </w:pPr>
          </w:p>
        </w:tc>
        <w:tc>
          <w:tcPr>
            <w:tcW w:w="1276" w:type="dxa"/>
            <w:vAlign w:val="bottom"/>
          </w:tcPr>
          <w:p w14:paraId="2E87D801" w14:textId="77777777" w:rsidR="0010523F" w:rsidRPr="0010523F" w:rsidRDefault="0010523F" w:rsidP="0010523F">
            <w:pPr>
              <w:autoSpaceDE w:val="0"/>
              <w:autoSpaceDN w:val="0"/>
              <w:adjustRightInd w:val="0"/>
              <w:spacing w:line="220" w:lineRule="exact"/>
              <w:jc w:val="both"/>
              <w:rPr>
                <w:sz w:val="22"/>
                <w:szCs w:val="22"/>
                <w:lang w:val="es-AR" w:eastAsia="en-US"/>
              </w:rPr>
            </w:pPr>
          </w:p>
        </w:tc>
      </w:tr>
      <w:tr w:rsidR="0010523F" w:rsidRPr="0010523F" w14:paraId="5BA70B8C" w14:textId="77777777" w:rsidTr="00774E7E">
        <w:trPr>
          <w:trHeight w:val="113"/>
        </w:trPr>
        <w:tc>
          <w:tcPr>
            <w:tcW w:w="3785" w:type="dxa"/>
            <w:gridSpan w:val="2"/>
            <w:vAlign w:val="bottom"/>
          </w:tcPr>
          <w:p w14:paraId="53243BB8"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lang w:val="es-AR"/>
              </w:rPr>
            </w:pPr>
            <w:r w:rsidRPr="0010523F">
              <w:rPr>
                <w:color w:val="000000"/>
                <w:sz w:val="22"/>
                <w:szCs w:val="22"/>
                <w:lang w:val="es-AR"/>
              </w:rPr>
              <w:t>- Controladas por la Casa Matriz</w:t>
            </w:r>
          </w:p>
        </w:tc>
        <w:tc>
          <w:tcPr>
            <w:tcW w:w="1426" w:type="dxa"/>
          </w:tcPr>
          <w:p w14:paraId="3013E756"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highlight w:val="yellow"/>
                <w:lang w:val="es-AR"/>
              </w:rPr>
            </w:pPr>
          </w:p>
        </w:tc>
        <w:tc>
          <w:tcPr>
            <w:tcW w:w="1276" w:type="dxa"/>
            <w:vAlign w:val="bottom"/>
          </w:tcPr>
          <w:p w14:paraId="069E962D"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highlight w:val="yellow"/>
                <w:lang w:val="es-AR"/>
              </w:rPr>
            </w:pPr>
          </w:p>
        </w:tc>
        <w:tc>
          <w:tcPr>
            <w:tcW w:w="1417" w:type="dxa"/>
            <w:vAlign w:val="bottom"/>
          </w:tcPr>
          <w:p w14:paraId="0CF3FE37"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highlight w:val="yellow"/>
                <w:lang w:val="es-AR"/>
              </w:rPr>
            </w:pPr>
          </w:p>
        </w:tc>
        <w:tc>
          <w:tcPr>
            <w:tcW w:w="1276" w:type="dxa"/>
            <w:vAlign w:val="bottom"/>
          </w:tcPr>
          <w:p w14:paraId="076C2A7F"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highlight w:val="yellow"/>
                <w:lang w:val="es-AR"/>
              </w:rPr>
            </w:pPr>
          </w:p>
        </w:tc>
      </w:tr>
      <w:tr w:rsidR="0010523F" w:rsidRPr="0010523F" w14:paraId="6A62B263" w14:textId="77777777" w:rsidTr="00774E7E">
        <w:trPr>
          <w:trHeight w:val="113"/>
        </w:trPr>
        <w:tc>
          <w:tcPr>
            <w:tcW w:w="2518" w:type="dxa"/>
            <w:vAlign w:val="bottom"/>
          </w:tcPr>
          <w:p w14:paraId="3272E9A7"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 xml:space="preserve">   En pesos</w:t>
            </w:r>
          </w:p>
        </w:tc>
        <w:tc>
          <w:tcPr>
            <w:tcW w:w="1267" w:type="dxa"/>
            <w:vAlign w:val="bottom"/>
          </w:tcPr>
          <w:p w14:paraId="7D7A85CE"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lang w:val="es-AR"/>
              </w:rPr>
            </w:pPr>
            <w:r w:rsidRPr="0010523F">
              <w:rPr>
                <w:color w:val="000000"/>
                <w:sz w:val="22"/>
                <w:szCs w:val="22"/>
                <w:lang w:val="es-AR"/>
              </w:rPr>
              <w:t>26</w:t>
            </w:r>
          </w:p>
        </w:tc>
        <w:tc>
          <w:tcPr>
            <w:tcW w:w="1426" w:type="dxa"/>
            <w:vAlign w:val="bottom"/>
          </w:tcPr>
          <w:p w14:paraId="606C1D61" w14:textId="77777777" w:rsidR="0010523F" w:rsidRPr="0010523F" w:rsidDel="0034114B" w:rsidRDefault="0010523F" w:rsidP="0010523F">
            <w:pPr>
              <w:autoSpaceDE w:val="0"/>
              <w:autoSpaceDN w:val="0"/>
              <w:adjustRightInd w:val="0"/>
              <w:spacing w:line="220" w:lineRule="exact"/>
              <w:jc w:val="right"/>
              <w:rPr>
                <w:color w:val="000000"/>
                <w:sz w:val="22"/>
                <w:szCs w:val="22"/>
                <w:lang w:val="es-AR"/>
              </w:rPr>
            </w:pPr>
            <w:r w:rsidRPr="0010523F">
              <w:rPr>
                <w:color w:val="000000"/>
                <w:sz w:val="22"/>
                <w:szCs w:val="22"/>
                <w:lang w:val="es-AR"/>
              </w:rPr>
              <w:t>-</w:t>
            </w:r>
          </w:p>
        </w:tc>
        <w:tc>
          <w:tcPr>
            <w:tcW w:w="1276" w:type="dxa"/>
            <w:vAlign w:val="bottom"/>
          </w:tcPr>
          <w:p w14:paraId="2EB001A8"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lang w:val="es-AR"/>
              </w:rPr>
            </w:pPr>
            <w:r w:rsidRPr="0010523F">
              <w:rPr>
                <w:color w:val="000000"/>
                <w:sz w:val="22"/>
                <w:szCs w:val="22"/>
                <w:lang w:val="es-AR"/>
              </w:rPr>
              <w:t>-</w:t>
            </w:r>
          </w:p>
        </w:tc>
        <w:tc>
          <w:tcPr>
            <w:tcW w:w="1417" w:type="dxa"/>
            <w:vAlign w:val="bottom"/>
          </w:tcPr>
          <w:p w14:paraId="313C67B1"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lang w:val="es-AR"/>
              </w:rPr>
            </w:pPr>
            <w:r w:rsidRPr="0010523F">
              <w:rPr>
                <w:color w:val="000000"/>
                <w:sz w:val="22"/>
                <w:szCs w:val="22"/>
                <w:lang w:val="es-AR"/>
              </w:rPr>
              <w:t>223</w:t>
            </w:r>
          </w:p>
        </w:tc>
        <w:tc>
          <w:tcPr>
            <w:tcW w:w="1276" w:type="dxa"/>
            <w:vAlign w:val="bottom"/>
          </w:tcPr>
          <w:p w14:paraId="7562CD16"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lang w:val="es-AR"/>
              </w:rPr>
            </w:pPr>
            <w:r w:rsidRPr="0010523F">
              <w:rPr>
                <w:color w:val="000000"/>
                <w:sz w:val="22"/>
                <w:szCs w:val="22"/>
                <w:lang w:val="es-AR"/>
              </w:rPr>
              <w:t>192</w:t>
            </w:r>
          </w:p>
        </w:tc>
      </w:tr>
      <w:tr w:rsidR="0010523F" w:rsidRPr="0010523F" w14:paraId="11863CD0" w14:textId="77777777" w:rsidTr="00774E7E">
        <w:trPr>
          <w:trHeight w:val="113"/>
        </w:trPr>
        <w:tc>
          <w:tcPr>
            <w:tcW w:w="2518" w:type="dxa"/>
            <w:vAlign w:val="bottom"/>
          </w:tcPr>
          <w:p w14:paraId="6762614B" w14:textId="77777777" w:rsidR="0010523F" w:rsidRPr="0010523F" w:rsidRDefault="0010523F" w:rsidP="0010523F">
            <w:pPr>
              <w:autoSpaceDE w:val="0"/>
              <w:autoSpaceDN w:val="0"/>
              <w:adjustRightInd w:val="0"/>
              <w:spacing w:line="220" w:lineRule="exact"/>
              <w:ind w:left="142" w:hanging="142"/>
              <w:rPr>
                <w:color w:val="000000"/>
                <w:sz w:val="22"/>
                <w:szCs w:val="22"/>
                <w:lang w:val="es-AR"/>
              </w:rPr>
            </w:pPr>
            <w:r w:rsidRPr="0010523F">
              <w:rPr>
                <w:color w:val="000000"/>
                <w:sz w:val="22"/>
                <w:szCs w:val="22"/>
                <w:lang w:val="es-AR"/>
              </w:rPr>
              <w:t xml:space="preserve">   En dólares</w:t>
            </w:r>
          </w:p>
        </w:tc>
        <w:tc>
          <w:tcPr>
            <w:tcW w:w="1267" w:type="dxa"/>
            <w:vAlign w:val="bottom"/>
          </w:tcPr>
          <w:p w14:paraId="443B7893"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u w:val="single"/>
                <w:lang w:val="es-AR"/>
              </w:rPr>
            </w:pPr>
            <w:r w:rsidRPr="0010523F">
              <w:rPr>
                <w:color w:val="000000"/>
                <w:sz w:val="22"/>
                <w:szCs w:val="22"/>
                <w:u w:val="single"/>
                <w:lang w:val="es-AR"/>
              </w:rPr>
              <w:t>446</w:t>
            </w:r>
            <w:r w:rsidRPr="0010523F">
              <w:rPr>
                <w:color w:val="000000"/>
                <w:sz w:val="22"/>
                <w:szCs w:val="22"/>
                <w:lang w:val="es-AR"/>
              </w:rPr>
              <w:t xml:space="preserve"> </w:t>
            </w:r>
          </w:p>
        </w:tc>
        <w:tc>
          <w:tcPr>
            <w:tcW w:w="1426" w:type="dxa"/>
            <w:vAlign w:val="bottom"/>
          </w:tcPr>
          <w:p w14:paraId="388D82AF"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 xml:space="preserve">  -</w:t>
            </w:r>
          </w:p>
        </w:tc>
        <w:tc>
          <w:tcPr>
            <w:tcW w:w="1276" w:type="dxa"/>
            <w:vAlign w:val="bottom"/>
          </w:tcPr>
          <w:p w14:paraId="27DB40E7"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 xml:space="preserve">   -</w:t>
            </w:r>
          </w:p>
        </w:tc>
        <w:tc>
          <w:tcPr>
            <w:tcW w:w="1417" w:type="dxa"/>
            <w:vAlign w:val="bottom"/>
          </w:tcPr>
          <w:p w14:paraId="2155A2C7"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655</w:t>
            </w:r>
          </w:p>
        </w:tc>
        <w:tc>
          <w:tcPr>
            <w:tcW w:w="1276" w:type="dxa"/>
            <w:vAlign w:val="bottom"/>
          </w:tcPr>
          <w:p w14:paraId="6D52835B"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 xml:space="preserve">  81</w:t>
            </w:r>
          </w:p>
        </w:tc>
      </w:tr>
      <w:tr w:rsidR="0010523F" w:rsidRPr="0010523F" w14:paraId="05975972" w14:textId="77777777" w:rsidTr="00774E7E">
        <w:trPr>
          <w:trHeight w:val="113"/>
        </w:trPr>
        <w:tc>
          <w:tcPr>
            <w:tcW w:w="2518" w:type="dxa"/>
            <w:vAlign w:val="bottom"/>
          </w:tcPr>
          <w:p w14:paraId="65D7A9B0"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1D95B2A3" w14:textId="77777777" w:rsidR="0010523F" w:rsidRPr="0010523F" w:rsidRDefault="0010523F" w:rsidP="0010523F">
            <w:pPr>
              <w:tabs>
                <w:tab w:val="decimal" w:pos="830"/>
                <w:tab w:val="decimal" w:pos="858"/>
              </w:tabs>
              <w:autoSpaceDE w:val="0"/>
              <w:autoSpaceDN w:val="0"/>
              <w:adjustRightInd w:val="0"/>
              <w:spacing w:line="140" w:lineRule="exact"/>
              <w:jc w:val="right"/>
              <w:rPr>
                <w:sz w:val="22"/>
                <w:szCs w:val="22"/>
                <w:lang w:val="es-AR" w:eastAsia="en-US"/>
              </w:rPr>
            </w:pPr>
          </w:p>
        </w:tc>
        <w:tc>
          <w:tcPr>
            <w:tcW w:w="1426" w:type="dxa"/>
            <w:vAlign w:val="bottom"/>
          </w:tcPr>
          <w:p w14:paraId="12F2C7B2" w14:textId="77777777" w:rsidR="0010523F" w:rsidRPr="0010523F" w:rsidRDefault="0010523F" w:rsidP="0010523F">
            <w:pPr>
              <w:tabs>
                <w:tab w:val="decimal" w:pos="843"/>
              </w:tabs>
              <w:autoSpaceDE w:val="0"/>
              <w:autoSpaceDN w:val="0"/>
              <w:adjustRightInd w:val="0"/>
              <w:spacing w:line="140" w:lineRule="exact"/>
              <w:jc w:val="right"/>
              <w:rPr>
                <w:sz w:val="22"/>
                <w:szCs w:val="22"/>
                <w:lang w:val="es-AR" w:eastAsia="en-US"/>
              </w:rPr>
            </w:pPr>
            <w:r w:rsidRPr="0010523F">
              <w:rPr>
                <w:sz w:val="22"/>
                <w:szCs w:val="22"/>
                <w:lang w:val="es-AR" w:eastAsia="en-US"/>
              </w:rPr>
              <w:t xml:space="preserve"> </w:t>
            </w:r>
          </w:p>
        </w:tc>
        <w:tc>
          <w:tcPr>
            <w:tcW w:w="1276" w:type="dxa"/>
            <w:vAlign w:val="bottom"/>
          </w:tcPr>
          <w:p w14:paraId="06E3BF26" w14:textId="77777777" w:rsidR="0010523F" w:rsidRPr="0010523F" w:rsidRDefault="0010523F" w:rsidP="0010523F">
            <w:pPr>
              <w:tabs>
                <w:tab w:val="decimal" w:pos="843"/>
              </w:tabs>
              <w:autoSpaceDE w:val="0"/>
              <w:autoSpaceDN w:val="0"/>
              <w:adjustRightInd w:val="0"/>
              <w:spacing w:line="140" w:lineRule="exact"/>
              <w:jc w:val="right"/>
              <w:rPr>
                <w:sz w:val="22"/>
                <w:szCs w:val="22"/>
                <w:lang w:val="es-AR" w:eastAsia="en-US"/>
              </w:rPr>
            </w:pPr>
          </w:p>
        </w:tc>
        <w:tc>
          <w:tcPr>
            <w:tcW w:w="1417" w:type="dxa"/>
            <w:vAlign w:val="bottom"/>
          </w:tcPr>
          <w:p w14:paraId="6A28D338" w14:textId="77777777" w:rsidR="0010523F" w:rsidRPr="0010523F" w:rsidRDefault="0010523F" w:rsidP="0010523F">
            <w:pPr>
              <w:tabs>
                <w:tab w:val="decimal" w:pos="1011"/>
              </w:tabs>
              <w:autoSpaceDE w:val="0"/>
              <w:autoSpaceDN w:val="0"/>
              <w:adjustRightInd w:val="0"/>
              <w:spacing w:line="140" w:lineRule="exact"/>
              <w:jc w:val="right"/>
              <w:rPr>
                <w:sz w:val="22"/>
                <w:szCs w:val="22"/>
                <w:lang w:val="es-AR" w:eastAsia="en-US"/>
              </w:rPr>
            </w:pPr>
          </w:p>
        </w:tc>
        <w:tc>
          <w:tcPr>
            <w:tcW w:w="1276" w:type="dxa"/>
            <w:vAlign w:val="bottom"/>
          </w:tcPr>
          <w:p w14:paraId="3B3BF0F2" w14:textId="77777777" w:rsidR="0010523F" w:rsidRPr="0010523F" w:rsidRDefault="0010523F" w:rsidP="0010523F">
            <w:pPr>
              <w:tabs>
                <w:tab w:val="decimal" w:pos="872"/>
              </w:tabs>
              <w:autoSpaceDE w:val="0"/>
              <w:autoSpaceDN w:val="0"/>
              <w:adjustRightInd w:val="0"/>
              <w:spacing w:line="140" w:lineRule="exact"/>
              <w:jc w:val="right"/>
              <w:rPr>
                <w:sz w:val="22"/>
                <w:szCs w:val="22"/>
                <w:lang w:val="es-AR" w:eastAsia="en-US"/>
              </w:rPr>
            </w:pPr>
          </w:p>
        </w:tc>
      </w:tr>
      <w:tr w:rsidR="0010523F" w:rsidRPr="0010523F" w14:paraId="07657D3F" w14:textId="77777777" w:rsidTr="00774E7E">
        <w:trPr>
          <w:trHeight w:val="113"/>
        </w:trPr>
        <w:tc>
          <w:tcPr>
            <w:tcW w:w="2518" w:type="dxa"/>
            <w:vAlign w:val="bottom"/>
          </w:tcPr>
          <w:p w14:paraId="1A4F229D"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 xml:space="preserve">Total </w:t>
            </w:r>
          </w:p>
        </w:tc>
        <w:tc>
          <w:tcPr>
            <w:tcW w:w="1267" w:type="dxa"/>
            <w:vAlign w:val="bottom"/>
          </w:tcPr>
          <w:p w14:paraId="68EF9D5A"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u w:val="double"/>
                <w:lang w:val="es-AR"/>
              </w:rPr>
            </w:pPr>
            <w:r w:rsidRPr="0010523F">
              <w:rPr>
                <w:color w:val="000000"/>
                <w:sz w:val="22"/>
                <w:szCs w:val="22"/>
                <w:u w:val="double"/>
                <w:lang w:val="es-AR"/>
              </w:rPr>
              <w:t>472</w:t>
            </w:r>
          </w:p>
        </w:tc>
        <w:tc>
          <w:tcPr>
            <w:tcW w:w="1426" w:type="dxa"/>
            <w:vAlign w:val="bottom"/>
          </w:tcPr>
          <w:p w14:paraId="4B746800"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 xml:space="preserve">  -</w:t>
            </w:r>
          </w:p>
        </w:tc>
        <w:tc>
          <w:tcPr>
            <w:tcW w:w="1276" w:type="dxa"/>
            <w:vAlign w:val="bottom"/>
          </w:tcPr>
          <w:p w14:paraId="4BC6ADD4"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 xml:space="preserve">   -</w:t>
            </w:r>
          </w:p>
        </w:tc>
        <w:tc>
          <w:tcPr>
            <w:tcW w:w="1417" w:type="dxa"/>
            <w:vAlign w:val="bottom"/>
          </w:tcPr>
          <w:p w14:paraId="20077216"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878</w:t>
            </w:r>
          </w:p>
        </w:tc>
        <w:tc>
          <w:tcPr>
            <w:tcW w:w="1276" w:type="dxa"/>
            <w:vAlign w:val="bottom"/>
          </w:tcPr>
          <w:p w14:paraId="58B08830"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273</w:t>
            </w:r>
          </w:p>
        </w:tc>
      </w:tr>
      <w:tr w:rsidR="0010523F" w:rsidRPr="0010523F" w14:paraId="457A6201" w14:textId="77777777" w:rsidTr="00774E7E">
        <w:trPr>
          <w:trHeight w:val="113"/>
        </w:trPr>
        <w:tc>
          <w:tcPr>
            <w:tcW w:w="2518" w:type="dxa"/>
            <w:vAlign w:val="bottom"/>
          </w:tcPr>
          <w:p w14:paraId="5B828B43"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3A257E14"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426" w:type="dxa"/>
            <w:vAlign w:val="bottom"/>
          </w:tcPr>
          <w:p w14:paraId="4B629EF4"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276" w:type="dxa"/>
            <w:vAlign w:val="bottom"/>
          </w:tcPr>
          <w:p w14:paraId="2178E0BE"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417" w:type="dxa"/>
            <w:vAlign w:val="bottom"/>
          </w:tcPr>
          <w:p w14:paraId="3552944B"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276" w:type="dxa"/>
            <w:vAlign w:val="bottom"/>
          </w:tcPr>
          <w:p w14:paraId="3C0FCEB9" w14:textId="77777777" w:rsidR="0010523F" w:rsidRPr="0010523F" w:rsidRDefault="0010523F" w:rsidP="0010523F">
            <w:pPr>
              <w:autoSpaceDE w:val="0"/>
              <w:autoSpaceDN w:val="0"/>
              <w:adjustRightInd w:val="0"/>
              <w:spacing w:line="140" w:lineRule="exact"/>
              <w:jc w:val="right"/>
              <w:rPr>
                <w:sz w:val="22"/>
                <w:szCs w:val="22"/>
                <w:lang w:val="es-AR" w:eastAsia="en-US"/>
              </w:rPr>
            </w:pPr>
          </w:p>
        </w:tc>
      </w:tr>
      <w:tr w:rsidR="0010523F" w:rsidRPr="0010523F" w14:paraId="2A2B0ED1" w14:textId="77777777" w:rsidTr="00774E7E">
        <w:trPr>
          <w:trHeight w:val="113"/>
        </w:trPr>
        <w:tc>
          <w:tcPr>
            <w:tcW w:w="2518" w:type="dxa"/>
            <w:vAlign w:val="bottom"/>
          </w:tcPr>
          <w:p w14:paraId="030E8F31" w14:textId="77777777" w:rsidR="0010523F" w:rsidRPr="0010523F" w:rsidRDefault="0010523F" w:rsidP="00E2318E">
            <w:pPr>
              <w:numPr>
                <w:ilvl w:val="0"/>
                <w:numId w:val="61"/>
              </w:numPr>
              <w:autoSpaceDE w:val="0"/>
              <w:autoSpaceDN w:val="0"/>
              <w:adjustRightInd w:val="0"/>
              <w:spacing w:line="220" w:lineRule="exact"/>
              <w:ind w:left="142" w:hanging="142"/>
              <w:contextualSpacing/>
              <w:jc w:val="both"/>
              <w:rPr>
                <w:color w:val="000000"/>
                <w:sz w:val="22"/>
                <w:szCs w:val="22"/>
                <w:lang w:val="es-AR"/>
              </w:rPr>
            </w:pPr>
            <w:r w:rsidRPr="0010523F">
              <w:rPr>
                <w:color w:val="000000"/>
                <w:sz w:val="22"/>
                <w:szCs w:val="22"/>
                <w:lang w:val="es-AR"/>
              </w:rPr>
              <w:t>Otras:</w:t>
            </w:r>
          </w:p>
        </w:tc>
        <w:tc>
          <w:tcPr>
            <w:tcW w:w="1267" w:type="dxa"/>
            <w:vAlign w:val="bottom"/>
          </w:tcPr>
          <w:p w14:paraId="60980192" w14:textId="77777777" w:rsidR="0010523F" w:rsidRPr="0010523F" w:rsidRDefault="0010523F" w:rsidP="0010523F">
            <w:pPr>
              <w:tabs>
                <w:tab w:val="decimal" w:pos="830"/>
                <w:tab w:val="decimal" w:pos="858"/>
              </w:tabs>
              <w:autoSpaceDE w:val="0"/>
              <w:autoSpaceDN w:val="0"/>
              <w:adjustRightInd w:val="0"/>
              <w:spacing w:line="220" w:lineRule="exact"/>
              <w:jc w:val="right"/>
              <w:rPr>
                <w:color w:val="000000"/>
                <w:sz w:val="22"/>
                <w:szCs w:val="22"/>
                <w:u w:val="double"/>
                <w:lang w:val="es-AR"/>
              </w:rPr>
            </w:pPr>
          </w:p>
        </w:tc>
        <w:tc>
          <w:tcPr>
            <w:tcW w:w="1426" w:type="dxa"/>
            <w:vAlign w:val="bottom"/>
          </w:tcPr>
          <w:p w14:paraId="428135C7" w14:textId="77777777" w:rsidR="0010523F" w:rsidRPr="0010523F" w:rsidRDefault="0010523F" w:rsidP="0010523F">
            <w:pPr>
              <w:tabs>
                <w:tab w:val="decimal" w:pos="843"/>
                <w:tab w:val="decimal" w:pos="998"/>
              </w:tabs>
              <w:autoSpaceDE w:val="0"/>
              <w:autoSpaceDN w:val="0"/>
              <w:adjustRightInd w:val="0"/>
              <w:spacing w:line="220" w:lineRule="exact"/>
              <w:jc w:val="right"/>
              <w:rPr>
                <w:color w:val="000000"/>
                <w:sz w:val="22"/>
                <w:szCs w:val="22"/>
                <w:u w:val="double"/>
                <w:lang w:val="es-AR"/>
              </w:rPr>
            </w:pPr>
          </w:p>
        </w:tc>
        <w:tc>
          <w:tcPr>
            <w:tcW w:w="1276" w:type="dxa"/>
            <w:vAlign w:val="bottom"/>
          </w:tcPr>
          <w:p w14:paraId="71F8E7CF" w14:textId="77777777" w:rsidR="0010523F" w:rsidRPr="0010523F" w:rsidRDefault="0010523F" w:rsidP="0010523F">
            <w:pPr>
              <w:tabs>
                <w:tab w:val="decimal" w:pos="843"/>
                <w:tab w:val="decimal" w:pos="998"/>
              </w:tabs>
              <w:autoSpaceDE w:val="0"/>
              <w:autoSpaceDN w:val="0"/>
              <w:adjustRightInd w:val="0"/>
              <w:spacing w:line="220" w:lineRule="exact"/>
              <w:jc w:val="right"/>
              <w:rPr>
                <w:color w:val="000000"/>
                <w:sz w:val="22"/>
                <w:szCs w:val="22"/>
                <w:u w:val="double"/>
                <w:lang w:val="es-AR"/>
              </w:rPr>
            </w:pPr>
          </w:p>
        </w:tc>
        <w:tc>
          <w:tcPr>
            <w:tcW w:w="1417" w:type="dxa"/>
            <w:vAlign w:val="bottom"/>
          </w:tcPr>
          <w:p w14:paraId="74E1EC34" w14:textId="77777777" w:rsidR="0010523F" w:rsidRPr="0010523F" w:rsidRDefault="0010523F" w:rsidP="0010523F">
            <w:pPr>
              <w:tabs>
                <w:tab w:val="decimal" w:pos="903"/>
              </w:tabs>
              <w:autoSpaceDE w:val="0"/>
              <w:autoSpaceDN w:val="0"/>
              <w:adjustRightInd w:val="0"/>
              <w:spacing w:line="220" w:lineRule="exact"/>
              <w:jc w:val="right"/>
              <w:rPr>
                <w:color w:val="000000"/>
                <w:sz w:val="22"/>
                <w:szCs w:val="22"/>
                <w:u w:val="double"/>
                <w:lang w:val="es-AR"/>
              </w:rPr>
            </w:pPr>
          </w:p>
        </w:tc>
        <w:tc>
          <w:tcPr>
            <w:tcW w:w="1276" w:type="dxa"/>
            <w:vAlign w:val="bottom"/>
          </w:tcPr>
          <w:p w14:paraId="1A2F7869"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u w:val="double"/>
                <w:lang w:val="es-AR"/>
              </w:rPr>
            </w:pPr>
          </w:p>
        </w:tc>
      </w:tr>
      <w:tr w:rsidR="0010523F" w:rsidRPr="0010523F" w14:paraId="0332B712" w14:textId="77777777" w:rsidTr="00774E7E">
        <w:trPr>
          <w:trHeight w:val="113"/>
        </w:trPr>
        <w:tc>
          <w:tcPr>
            <w:tcW w:w="2518" w:type="dxa"/>
            <w:vAlign w:val="bottom"/>
          </w:tcPr>
          <w:p w14:paraId="50E42404"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 xml:space="preserve">   En pesos</w:t>
            </w:r>
          </w:p>
        </w:tc>
        <w:tc>
          <w:tcPr>
            <w:tcW w:w="1267" w:type="dxa"/>
            <w:vAlign w:val="bottom"/>
          </w:tcPr>
          <w:p w14:paraId="5B46A137"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lang w:val="es-AR"/>
              </w:rPr>
            </w:pPr>
            <w:r w:rsidRPr="0010523F">
              <w:rPr>
                <w:color w:val="000000"/>
                <w:sz w:val="22"/>
                <w:szCs w:val="22"/>
                <w:lang w:val="es-AR"/>
              </w:rPr>
              <w:t>-</w:t>
            </w:r>
          </w:p>
        </w:tc>
        <w:tc>
          <w:tcPr>
            <w:tcW w:w="1426" w:type="dxa"/>
            <w:vAlign w:val="bottom"/>
          </w:tcPr>
          <w:p w14:paraId="3FA3AD2C"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lang w:val="es-AR"/>
              </w:rPr>
            </w:pPr>
            <w:r w:rsidRPr="0010523F">
              <w:rPr>
                <w:color w:val="000000"/>
                <w:sz w:val="22"/>
                <w:szCs w:val="22"/>
                <w:lang w:val="es-AR"/>
              </w:rPr>
              <w:t>-</w:t>
            </w:r>
          </w:p>
        </w:tc>
        <w:tc>
          <w:tcPr>
            <w:tcW w:w="1276" w:type="dxa"/>
            <w:vAlign w:val="bottom"/>
          </w:tcPr>
          <w:p w14:paraId="053743EF"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lang w:val="es-AR"/>
              </w:rPr>
            </w:pPr>
            <w:r w:rsidRPr="0010523F">
              <w:rPr>
                <w:color w:val="000000"/>
                <w:sz w:val="22"/>
                <w:szCs w:val="22"/>
                <w:lang w:val="es-AR"/>
              </w:rPr>
              <w:t>-</w:t>
            </w:r>
          </w:p>
        </w:tc>
        <w:tc>
          <w:tcPr>
            <w:tcW w:w="1417" w:type="dxa"/>
            <w:vAlign w:val="bottom"/>
          </w:tcPr>
          <w:p w14:paraId="3435DE39"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lang w:val="es-AR"/>
              </w:rPr>
            </w:pPr>
            <w:r w:rsidRPr="0010523F">
              <w:rPr>
                <w:color w:val="000000"/>
                <w:sz w:val="22"/>
                <w:szCs w:val="22"/>
                <w:lang w:val="es-AR"/>
              </w:rPr>
              <w:t>-</w:t>
            </w:r>
          </w:p>
        </w:tc>
        <w:tc>
          <w:tcPr>
            <w:tcW w:w="1276" w:type="dxa"/>
            <w:vAlign w:val="bottom"/>
          </w:tcPr>
          <w:p w14:paraId="119B059B"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lang w:val="es-AR"/>
              </w:rPr>
            </w:pPr>
            <w:r w:rsidRPr="0010523F">
              <w:rPr>
                <w:color w:val="000000"/>
                <w:sz w:val="22"/>
                <w:szCs w:val="22"/>
                <w:lang w:val="es-AR"/>
              </w:rPr>
              <w:t>18</w:t>
            </w:r>
          </w:p>
        </w:tc>
      </w:tr>
      <w:tr w:rsidR="0010523F" w:rsidRPr="0010523F" w14:paraId="1B0D8E19" w14:textId="77777777" w:rsidTr="00774E7E">
        <w:trPr>
          <w:trHeight w:val="113"/>
        </w:trPr>
        <w:tc>
          <w:tcPr>
            <w:tcW w:w="2518" w:type="dxa"/>
            <w:vAlign w:val="bottom"/>
          </w:tcPr>
          <w:p w14:paraId="4BA5E403" w14:textId="77777777" w:rsidR="0010523F" w:rsidRPr="0010523F" w:rsidRDefault="0010523F" w:rsidP="0010523F">
            <w:pPr>
              <w:autoSpaceDE w:val="0"/>
              <w:autoSpaceDN w:val="0"/>
              <w:adjustRightInd w:val="0"/>
              <w:spacing w:line="220" w:lineRule="exact"/>
              <w:ind w:left="142" w:hanging="142"/>
              <w:rPr>
                <w:color w:val="000000"/>
                <w:sz w:val="22"/>
                <w:szCs w:val="22"/>
                <w:lang w:val="es-AR"/>
              </w:rPr>
            </w:pPr>
            <w:r w:rsidRPr="0010523F">
              <w:rPr>
                <w:color w:val="000000"/>
                <w:sz w:val="22"/>
                <w:szCs w:val="22"/>
                <w:lang w:val="es-AR"/>
              </w:rPr>
              <w:t xml:space="preserve">   En dólares</w:t>
            </w:r>
          </w:p>
        </w:tc>
        <w:tc>
          <w:tcPr>
            <w:tcW w:w="1267" w:type="dxa"/>
            <w:vAlign w:val="bottom"/>
          </w:tcPr>
          <w:p w14:paraId="362922F5"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u w:val="single"/>
                <w:lang w:val="es-AR"/>
              </w:rPr>
            </w:pPr>
            <w:r w:rsidRPr="0010523F">
              <w:rPr>
                <w:color w:val="000000"/>
                <w:sz w:val="22"/>
                <w:szCs w:val="22"/>
                <w:u w:val="single"/>
                <w:lang w:val="es-AR"/>
              </w:rPr>
              <w:t xml:space="preserve"> 78</w:t>
            </w:r>
          </w:p>
        </w:tc>
        <w:tc>
          <w:tcPr>
            <w:tcW w:w="1426" w:type="dxa"/>
            <w:vAlign w:val="bottom"/>
          </w:tcPr>
          <w:p w14:paraId="632ECFA4"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17</w:t>
            </w:r>
          </w:p>
        </w:tc>
        <w:tc>
          <w:tcPr>
            <w:tcW w:w="1276" w:type="dxa"/>
            <w:vAlign w:val="bottom"/>
          </w:tcPr>
          <w:p w14:paraId="15E0C117"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 xml:space="preserve"> 16</w:t>
            </w:r>
          </w:p>
        </w:tc>
        <w:tc>
          <w:tcPr>
            <w:tcW w:w="1417" w:type="dxa"/>
            <w:vAlign w:val="bottom"/>
          </w:tcPr>
          <w:p w14:paraId="6A5C4228"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 xml:space="preserve">     -</w:t>
            </w:r>
          </w:p>
        </w:tc>
        <w:tc>
          <w:tcPr>
            <w:tcW w:w="1276" w:type="dxa"/>
            <w:vAlign w:val="bottom"/>
          </w:tcPr>
          <w:p w14:paraId="7062D836"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258</w:t>
            </w:r>
          </w:p>
        </w:tc>
      </w:tr>
      <w:tr w:rsidR="0010523F" w:rsidRPr="0010523F" w14:paraId="1B47ED24" w14:textId="77777777" w:rsidTr="00774E7E">
        <w:trPr>
          <w:trHeight w:val="113"/>
        </w:trPr>
        <w:tc>
          <w:tcPr>
            <w:tcW w:w="2518" w:type="dxa"/>
            <w:vAlign w:val="bottom"/>
          </w:tcPr>
          <w:p w14:paraId="72111FEF"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1602FF46" w14:textId="77777777" w:rsidR="0010523F" w:rsidRPr="0010523F" w:rsidRDefault="0010523F" w:rsidP="0010523F">
            <w:pPr>
              <w:tabs>
                <w:tab w:val="decimal" w:pos="830"/>
                <w:tab w:val="decimal" w:pos="858"/>
              </w:tabs>
              <w:autoSpaceDE w:val="0"/>
              <w:autoSpaceDN w:val="0"/>
              <w:adjustRightInd w:val="0"/>
              <w:spacing w:line="140" w:lineRule="exact"/>
              <w:jc w:val="right"/>
              <w:rPr>
                <w:sz w:val="22"/>
                <w:szCs w:val="22"/>
                <w:lang w:val="es-AR" w:eastAsia="en-US"/>
              </w:rPr>
            </w:pPr>
          </w:p>
        </w:tc>
        <w:tc>
          <w:tcPr>
            <w:tcW w:w="1426" w:type="dxa"/>
            <w:vAlign w:val="bottom"/>
          </w:tcPr>
          <w:p w14:paraId="0C07E631" w14:textId="77777777" w:rsidR="0010523F" w:rsidRPr="0010523F" w:rsidRDefault="0010523F" w:rsidP="0010523F">
            <w:pPr>
              <w:tabs>
                <w:tab w:val="decimal" w:pos="843"/>
              </w:tabs>
              <w:autoSpaceDE w:val="0"/>
              <w:autoSpaceDN w:val="0"/>
              <w:adjustRightInd w:val="0"/>
              <w:spacing w:line="140" w:lineRule="exact"/>
              <w:jc w:val="right"/>
              <w:rPr>
                <w:sz w:val="22"/>
                <w:szCs w:val="22"/>
                <w:lang w:val="es-AR" w:eastAsia="en-US"/>
              </w:rPr>
            </w:pPr>
          </w:p>
        </w:tc>
        <w:tc>
          <w:tcPr>
            <w:tcW w:w="1276" w:type="dxa"/>
            <w:vAlign w:val="bottom"/>
          </w:tcPr>
          <w:p w14:paraId="26169D66" w14:textId="77777777" w:rsidR="0010523F" w:rsidRPr="0010523F" w:rsidRDefault="0010523F" w:rsidP="0010523F">
            <w:pPr>
              <w:tabs>
                <w:tab w:val="decimal" w:pos="843"/>
              </w:tabs>
              <w:autoSpaceDE w:val="0"/>
              <w:autoSpaceDN w:val="0"/>
              <w:adjustRightInd w:val="0"/>
              <w:spacing w:line="140" w:lineRule="exact"/>
              <w:jc w:val="right"/>
              <w:rPr>
                <w:sz w:val="22"/>
                <w:szCs w:val="22"/>
                <w:lang w:val="es-AR" w:eastAsia="en-US"/>
              </w:rPr>
            </w:pPr>
          </w:p>
        </w:tc>
        <w:tc>
          <w:tcPr>
            <w:tcW w:w="1417" w:type="dxa"/>
            <w:vAlign w:val="bottom"/>
          </w:tcPr>
          <w:p w14:paraId="4CA1235A" w14:textId="77777777" w:rsidR="0010523F" w:rsidRPr="0010523F" w:rsidRDefault="0010523F" w:rsidP="0010523F">
            <w:pPr>
              <w:tabs>
                <w:tab w:val="decimal" w:pos="1011"/>
              </w:tabs>
              <w:autoSpaceDE w:val="0"/>
              <w:autoSpaceDN w:val="0"/>
              <w:adjustRightInd w:val="0"/>
              <w:spacing w:line="140" w:lineRule="exact"/>
              <w:jc w:val="right"/>
              <w:rPr>
                <w:sz w:val="22"/>
                <w:szCs w:val="22"/>
                <w:lang w:val="es-AR" w:eastAsia="en-US"/>
              </w:rPr>
            </w:pPr>
          </w:p>
        </w:tc>
        <w:tc>
          <w:tcPr>
            <w:tcW w:w="1276" w:type="dxa"/>
            <w:vAlign w:val="bottom"/>
          </w:tcPr>
          <w:p w14:paraId="5CD6109B" w14:textId="77777777" w:rsidR="0010523F" w:rsidRPr="0010523F" w:rsidRDefault="0010523F" w:rsidP="0010523F">
            <w:pPr>
              <w:tabs>
                <w:tab w:val="decimal" w:pos="872"/>
              </w:tabs>
              <w:autoSpaceDE w:val="0"/>
              <w:autoSpaceDN w:val="0"/>
              <w:adjustRightInd w:val="0"/>
              <w:spacing w:line="140" w:lineRule="exact"/>
              <w:jc w:val="right"/>
              <w:rPr>
                <w:sz w:val="22"/>
                <w:szCs w:val="22"/>
                <w:lang w:val="es-AR" w:eastAsia="en-US"/>
              </w:rPr>
            </w:pPr>
          </w:p>
        </w:tc>
      </w:tr>
      <w:tr w:rsidR="0010523F" w:rsidRPr="0010523F" w14:paraId="1E96AD4C" w14:textId="77777777" w:rsidTr="00774E7E">
        <w:trPr>
          <w:trHeight w:val="113"/>
        </w:trPr>
        <w:tc>
          <w:tcPr>
            <w:tcW w:w="2518" w:type="dxa"/>
            <w:vAlign w:val="bottom"/>
          </w:tcPr>
          <w:p w14:paraId="316147F5"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Total</w:t>
            </w:r>
          </w:p>
        </w:tc>
        <w:tc>
          <w:tcPr>
            <w:tcW w:w="1267" w:type="dxa"/>
            <w:vAlign w:val="bottom"/>
          </w:tcPr>
          <w:p w14:paraId="7C125F96"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u w:val="double"/>
                <w:lang w:val="es-AR"/>
              </w:rPr>
            </w:pPr>
            <w:r w:rsidRPr="0010523F">
              <w:rPr>
                <w:color w:val="000000"/>
                <w:sz w:val="22"/>
                <w:szCs w:val="22"/>
                <w:u w:val="double"/>
                <w:lang w:val="es-AR"/>
              </w:rPr>
              <w:t xml:space="preserve"> 78</w:t>
            </w:r>
          </w:p>
        </w:tc>
        <w:tc>
          <w:tcPr>
            <w:tcW w:w="1426" w:type="dxa"/>
            <w:vAlign w:val="bottom"/>
          </w:tcPr>
          <w:p w14:paraId="67E9F8AC"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17</w:t>
            </w:r>
          </w:p>
        </w:tc>
        <w:tc>
          <w:tcPr>
            <w:tcW w:w="1276" w:type="dxa"/>
            <w:vAlign w:val="bottom"/>
          </w:tcPr>
          <w:p w14:paraId="15F5D001"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 xml:space="preserve"> 16</w:t>
            </w:r>
          </w:p>
        </w:tc>
        <w:tc>
          <w:tcPr>
            <w:tcW w:w="1417" w:type="dxa"/>
            <w:vAlign w:val="bottom"/>
          </w:tcPr>
          <w:p w14:paraId="123970F6"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 xml:space="preserve">     -</w:t>
            </w:r>
          </w:p>
        </w:tc>
        <w:tc>
          <w:tcPr>
            <w:tcW w:w="1276" w:type="dxa"/>
            <w:vAlign w:val="bottom"/>
          </w:tcPr>
          <w:p w14:paraId="40AF427E"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276</w:t>
            </w:r>
          </w:p>
        </w:tc>
      </w:tr>
      <w:tr w:rsidR="0010523F" w:rsidRPr="0010523F" w14:paraId="460C8BD2" w14:textId="77777777" w:rsidTr="00774E7E">
        <w:trPr>
          <w:trHeight w:val="113"/>
        </w:trPr>
        <w:tc>
          <w:tcPr>
            <w:tcW w:w="2518" w:type="dxa"/>
            <w:vAlign w:val="bottom"/>
          </w:tcPr>
          <w:p w14:paraId="15830811"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5ED92447"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426" w:type="dxa"/>
            <w:vAlign w:val="bottom"/>
          </w:tcPr>
          <w:p w14:paraId="4B51A929"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276" w:type="dxa"/>
            <w:vAlign w:val="bottom"/>
          </w:tcPr>
          <w:p w14:paraId="16D35CEB"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417" w:type="dxa"/>
            <w:vAlign w:val="bottom"/>
          </w:tcPr>
          <w:p w14:paraId="45A060BD"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276" w:type="dxa"/>
            <w:vAlign w:val="bottom"/>
          </w:tcPr>
          <w:p w14:paraId="34AC036F" w14:textId="77777777" w:rsidR="0010523F" w:rsidRPr="0010523F" w:rsidRDefault="0010523F" w:rsidP="0010523F">
            <w:pPr>
              <w:autoSpaceDE w:val="0"/>
              <w:autoSpaceDN w:val="0"/>
              <w:adjustRightInd w:val="0"/>
              <w:spacing w:line="140" w:lineRule="exact"/>
              <w:jc w:val="right"/>
              <w:rPr>
                <w:sz w:val="22"/>
                <w:szCs w:val="22"/>
                <w:lang w:val="es-AR" w:eastAsia="en-US"/>
              </w:rPr>
            </w:pPr>
          </w:p>
        </w:tc>
      </w:tr>
      <w:tr w:rsidR="0010523F" w:rsidRPr="0010523F" w14:paraId="0D620377" w14:textId="77777777" w:rsidTr="00774E7E">
        <w:trPr>
          <w:trHeight w:val="113"/>
        </w:trPr>
        <w:tc>
          <w:tcPr>
            <w:tcW w:w="2518" w:type="dxa"/>
            <w:vAlign w:val="bottom"/>
          </w:tcPr>
          <w:p w14:paraId="6A5CD09A"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 xml:space="preserve">   En pesos</w:t>
            </w:r>
          </w:p>
        </w:tc>
        <w:tc>
          <w:tcPr>
            <w:tcW w:w="1267" w:type="dxa"/>
            <w:vAlign w:val="bottom"/>
          </w:tcPr>
          <w:p w14:paraId="05BB9192"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lang w:val="es-AR"/>
              </w:rPr>
            </w:pPr>
            <w:r w:rsidRPr="0010523F">
              <w:rPr>
                <w:color w:val="000000"/>
                <w:sz w:val="22"/>
                <w:szCs w:val="22"/>
                <w:lang w:val="es-AR"/>
              </w:rPr>
              <w:t>26</w:t>
            </w:r>
          </w:p>
        </w:tc>
        <w:tc>
          <w:tcPr>
            <w:tcW w:w="1426" w:type="dxa"/>
            <w:vAlign w:val="bottom"/>
          </w:tcPr>
          <w:p w14:paraId="07CC378E"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lang w:val="es-AR"/>
              </w:rPr>
            </w:pPr>
            <w:r w:rsidRPr="0010523F">
              <w:rPr>
                <w:color w:val="000000"/>
                <w:sz w:val="22"/>
                <w:szCs w:val="22"/>
                <w:lang w:val="es-AR"/>
              </w:rPr>
              <w:t>-</w:t>
            </w:r>
          </w:p>
        </w:tc>
        <w:tc>
          <w:tcPr>
            <w:tcW w:w="1276" w:type="dxa"/>
            <w:vAlign w:val="bottom"/>
          </w:tcPr>
          <w:p w14:paraId="407BE7D3"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lang w:val="es-AR"/>
              </w:rPr>
            </w:pPr>
            <w:r w:rsidRPr="0010523F">
              <w:rPr>
                <w:color w:val="000000"/>
                <w:sz w:val="22"/>
                <w:szCs w:val="22"/>
                <w:lang w:val="es-AR"/>
              </w:rPr>
              <w:t>-</w:t>
            </w:r>
          </w:p>
        </w:tc>
        <w:tc>
          <w:tcPr>
            <w:tcW w:w="1417" w:type="dxa"/>
            <w:vAlign w:val="bottom"/>
          </w:tcPr>
          <w:p w14:paraId="6C796E0E"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lang w:val="es-AR"/>
              </w:rPr>
            </w:pPr>
            <w:r w:rsidRPr="0010523F">
              <w:rPr>
                <w:color w:val="000000"/>
                <w:sz w:val="22"/>
                <w:szCs w:val="22"/>
                <w:lang w:val="es-AR"/>
              </w:rPr>
              <w:t>223</w:t>
            </w:r>
          </w:p>
        </w:tc>
        <w:tc>
          <w:tcPr>
            <w:tcW w:w="1276" w:type="dxa"/>
            <w:vAlign w:val="bottom"/>
          </w:tcPr>
          <w:p w14:paraId="097FF837"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lang w:val="es-AR"/>
              </w:rPr>
            </w:pPr>
            <w:r w:rsidRPr="0010523F">
              <w:rPr>
                <w:color w:val="000000"/>
                <w:sz w:val="22"/>
                <w:szCs w:val="22"/>
                <w:lang w:val="es-AR"/>
              </w:rPr>
              <w:t>210</w:t>
            </w:r>
          </w:p>
        </w:tc>
      </w:tr>
      <w:tr w:rsidR="0010523F" w:rsidRPr="0010523F" w14:paraId="24C66F0C" w14:textId="77777777" w:rsidTr="00774E7E">
        <w:trPr>
          <w:trHeight w:val="113"/>
        </w:trPr>
        <w:tc>
          <w:tcPr>
            <w:tcW w:w="2518" w:type="dxa"/>
            <w:vAlign w:val="bottom"/>
          </w:tcPr>
          <w:p w14:paraId="042BA987" w14:textId="77777777" w:rsidR="0010523F" w:rsidRPr="0010523F" w:rsidRDefault="0010523F" w:rsidP="0010523F">
            <w:pPr>
              <w:autoSpaceDE w:val="0"/>
              <w:autoSpaceDN w:val="0"/>
              <w:adjustRightInd w:val="0"/>
              <w:spacing w:line="220" w:lineRule="exact"/>
              <w:ind w:left="142" w:hanging="142"/>
              <w:rPr>
                <w:color w:val="000000"/>
                <w:sz w:val="22"/>
                <w:szCs w:val="22"/>
                <w:lang w:val="es-AR"/>
              </w:rPr>
            </w:pPr>
            <w:r w:rsidRPr="0010523F">
              <w:rPr>
                <w:color w:val="000000"/>
                <w:sz w:val="22"/>
                <w:szCs w:val="22"/>
                <w:lang w:val="es-AR"/>
              </w:rPr>
              <w:t xml:space="preserve">   En dólares</w:t>
            </w:r>
          </w:p>
        </w:tc>
        <w:tc>
          <w:tcPr>
            <w:tcW w:w="1267" w:type="dxa"/>
            <w:vAlign w:val="bottom"/>
          </w:tcPr>
          <w:p w14:paraId="1A13437D"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u w:val="single"/>
                <w:lang w:val="es-AR"/>
              </w:rPr>
            </w:pPr>
            <w:r w:rsidRPr="0010523F">
              <w:rPr>
                <w:color w:val="000000"/>
                <w:sz w:val="22"/>
                <w:szCs w:val="22"/>
                <w:u w:val="single"/>
                <w:lang w:val="es-AR"/>
              </w:rPr>
              <w:t>524</w:t>
            </w:r>
          </w:p>
        </w:tc>
        <w:tc>
          <w:tcPr>
            <w:tcW w:w="1426" w:type="dxa"/>
            <w:vAlign w:val="bottom"/>
          </w:tcPr>
          <w:p w14:paraId="7010C2A9"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17</w:t>
            </w:r>
          </w:p>
        </w:tc>
        <w:tc>
          <w:tcPr>
            <w:tcW w:w="1276" w:type="dxa"/>
            <w:vAlign w:val="bottom"/>
          </w:tcPr>
          <w:p w14:paraId="4E08CCB2"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 xml:space="preserve"> 16</w:t>
            </w:r>
          </w:p>
        </w:tc>
        <w:tc>
          <w:tcPr>
            <w:tcW w:w="1417" w:type="dxa"/>
            <w:vAlign w:val="bottom"/>
          </w:tcPr>
          <w:p w14:paraId="42A1B9E2"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655</w:t>
            </w:r>
          </w:p>
        </w:tc>
        <w:tc>
          <w:tcPr>
            <w:tcW w:w="1276" w:type="dxa"/>
            <w:vAlign w:val="bottom"/>
          </w:tcPr>
          <w:p w14:paraId="5164D82F"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u w:val="single"/>
                <w:lang w:val="es-AR"/>
              </w:rPr>
            </w:pPr>
            <w:r w:rsidRPr="0010523F">
              <w:rPr>
                <w:color w:val="000000"/>
                <w:sz w:val="22"/>
                <w:szCs w:val="22"/>
                <w:u w:val="single"/>
                <w:lang w:val="es-AR"/>
              </w:rPr>
              <w:t>339</w:t>
            </w:r>
          </w:p>
        </w:tc>
      </w:tr>
      <w:tr w:rsidR="0010523F" w:rsidRPr="0010523F" w14:paraId="7F54515C" w14:textId="77777777" w:rsidTr="00774E7E">
        <w:trPr>
          <w:trHeight w:val="113"/>
        </w:trPr>
        <w:tc>
          <w:tcPr>
            <w:tcW w:w="2518" w:type="dxa"/>
            <w:vAlign w:val="bottom"/>
          </w:tcPr>
          <w:p w14:paraId="6B9EEF61"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4B525C24"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426" w:type="dxa"/>
            <w:vAlign w:val="bottom"/>
          </w:tcPr>
          <w:p w14:paraId="31A5AD51"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276" w:type="dxa"/>
            <w:vAlign w:val="bottom"/>
          </w:tcPr>
          <w:p w14:paraId="3BF6C6E8"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417" w:type="dxa"/>
            <w:vAlign w:val="bottom"/>
          </w:tcPr>
          <w:p w14:paraId="05397AE4" w14:textId="77777777" w:rsidR="0010523F" w:rsidRPr="0010523F" w:rsidRDefault="0010523F" w:rsidP="0010523F">
            <w:pPr>
              <w:autoSpaceDE w:val="0"/>
              <w:autoSpaceDN w:val="0"/>
              <w:adjustRightInd w:val="0"/>
              <w:spacing w:line="140" w:lineRule="exact"/>
              <w:jc w:val="right"/>
              <w:rPr>
                <w:sz w:val="22"/>
                <w:szCs w:val="22"/>
                <w:lang w:val="es-AR" w:eastAsia="en-US"/>
              </w:rPr>
            </w:pPr>
          </w:p>
        </w:tc>
        <w:tc>
          <w:tcPr>
            <w:tcW w:w="1276" w:type="dxa"/>
            <w:vAlign w:val="bottom"/>
          </w:tcPr>
          <w:p w14:paraId="092C30AF" w14:textId="77777777" w:rsidR="0010523F" w:rsidRPr="0010523F" w:rsidRDefault="0010523F" w:rsidP="0010523F">
            <w:pPr>
              <w:autoSpaceDE w:val="0"/>
              <w:autoSpaceDN w:val="0"/>
              <w:adjustRightInd w:val="0"/>
              <w:spacing w:line="140" w:lineRule="exact"/>
              <w:jc w:val="right"/>
              <w:rPr>
                <w:sz w:val="22"/>
                <w:szCs w:val="22"/>
                <w:lang w:val="es-AR" w:eastAsia="en-US"/>
              </w:rPr>
            </w:pPr>
          </w:p>
        </w:tc>
      </w:tr>
      <w:tr w:rsidR="0010523F" w:rsidRPr="0010523F" w14:paraId="4351F848" w14:textId="77777777" w:rsidTr="00774E7E">
        <w:trPr>
          <w:trHeight w:val="113"/>
        </w:trPr>
        <w:tc>
          <w:tcPr>
            <w:tcW w:w="2518" w:type="dxa"/>
            <w:vAlign w:val="bottom"/>
          </w:tcPr>
          <w:p w14:paraId="60C22191"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Total</w:t>
            </w:r>
          </w:p>
        </w:tc>
        <w:tc>
          <w:tcPr>
            <w:tcW w:w="1267" w:type="dxa"/>
            <w:vAlign w:val="bottom"/>
          </w:tcPr>
          <w:p w14:paraId="128EAE4A" w14:textId="77777777" w:rsidR="0010523F" w:rsidRPr="0010523F" w:rsidRDefault="0010523F" w:rsidP="0010523F">
            <w:pPr>
              <w:tabs>
                <w:tab w:val="decimal" w:pos="858"/>
              </w:tabs>
              <w:autoSpaceDE w:val="0"/>
              <w:autoSpaceDN w:val="0"/>
              <w:adjustRightInd w:val="0"/>
              <w:spacing w:line="220" w:lineRule="exact"/>
              <w:ind w:left="-94"/>
              <w:jc w:val="right"/>
              <w:rPr>
                <w:color w:val="000000"/>
                <w:sz w:val="22"/>
                <w:szCs w:val="22"/>
                <w:u w:val="double"/>
                <w:lang w:val="es-AR"/>
              </w:rPr>
            </w:pPr>
            <w:r w:rsidRPr="0010523F">
              <w:rPr>
                <w:color w:val="000000"/>
                <w:sz w:val="22"/>
                <w:szCs w:val="22"/>
                <w:u w:val="double"/>
                <w:lang w:val="es-AR"/>
              </w:rPr>
              <w:t>550</w:t>
            </w:r>
          </w:p>
        </w:tc>
        <w:tc>
          <w:tcPr>
            <w:tcW w:w="1426" w:type="dxa"/>
            <w:vAlign w:val="bottom"/>
          </w:tcPr>
          <w:p w14:paraId="06C114F8"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17</w:t>
            </w:r>
          </w:p>
        </w:tc>
        <w:tc>
          <w:tcPr>
            <w:tcW w:w="1276" w:type="dxa"/>
            <w:vAlign w:val="bottom"/>
          </w:tcPr>
          <w:p w14:paraId="384E1788"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 xml:space="preserve"> 16</w:t>
            </w:r>
          </w:p>
        </w:tc>
        <w:tc>
          <w:tcPr>
            <w:tcW w:w="1417" w:type="dxa"/>
            <w:vAlign w:val="bottom"/>
          </w:tcPr>
          <w:p w14:paraId="26E9810B"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878</w:t>
            </w:r>
          </w:p>
        </w:tc>
        <w:tc>
          <w:tcPr>
            <w:tcW w:w="1276" w:type="dxa"/>
            <w:vAlign w:val="bottom"/>
          </w:tcPr>
          <w:p w14:paraId="67084528"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549</w:t>
            </w:r>
          </w:p>
        </w:tc>
      </w:tr>
    </w:tbl>
    <w:p w14:paraId="3AAEB973" w14:textId="77777777" w:rsidR="0010523F" w:rsidRPr="0010523F" w:rsidRDefault="0010523F" w:rsidP="0010523F">
      <w:pPr>
        <w:spacing w:line="180" w:lineRule="exact"/>
        <w:jc w:val="both"/>
        <w:rPr>
          <w:b/>
          <w:szCs w:val="20"/>
          <w:lang w:val="es-AR" w:eastAsia="en-US"/>
        </w:rPr>
      </w:pPr>
    </w:p>
    <w:p w14:paraId="5C0D3BB4" w14:textId="77777777" w:rsidR="0010523F" w:rsidRPr="0010523F" w:rsidRDefault="0010523F" w:rsidP="0010523F">
      <w:pPr>
        <w:rPr>
          <w:b/>
          <w:szCs w:val="20"/>
          <w:lang w:val="es-AR" w:eastAsia="en-US"/>
        </w:rPr>
      </w:pPr>
      <w:r w:rsidRPr="0010523F">
        <w:rPr>
          <w:b/>
          <w:szCs w:val="20"/>
          <w:lang w:val="es-AR" w:eastAsia="en-US"/>
        </w:rPr>
        <w:br w:type="page"/>
      </w:r>
    </w:p>
    <w:p w14:paraId="02B85ACF" w14:textId="77777777" w:rsidR="0010523F" w:rsidRPr="0010523F" w:rsidRDefault="0010523F" w:rsidP="0010523F">
      <w:pPr>
        <w:spacing w:line="220" w:lineRule="exact"/>
        <w:jc w:val="both"/>
        <w:rPr>
          <w:b/>
          <w:szCs w:val="20"/>
          <w:lang w:val="es-AR" w:eastAsia="en-US"/>
        </w:rPr>
      </w:pPr>
      <w:r w:rsidRPr="0010523F">
        <w:rPr>
          <w:b/>
          <w:szCs w:val="20"/>
          <w:lang w:val="es-AR" w:eastAsia="en-US"/>
        </w:rPr>
        <w:t>NOTA 8 - OPERACIONES Y SALDOS CON PARTES RELACIONADAS (cont.)</w:t>
      </w:r>
    </w:p>
    <w:p w14:paraId="758078AF" w14:textId="77777777" w:rsidR="0010523F" w:rsidRPr="0010523F" w:rsidRDefault="0010523F" w:rsidP="0010523F">
      <w:pPr>
        <w:spacing w:before="120" w:line="220" w:lineRule="exact"/>
        <w:jc w:val="both"/>
        <w:rPr>
          <w:szCs w:val="20"/>
          <w:lang w:val="es-AR" w:eastAsia="en-US"/>
        </w:rPr>
      </w:pPr>
      <w:r w:rsidRPr="0010523F">
        <w:rPr>
          <w:szCs w:val="20"/>
          <w:u w:val="single"/>
          <w:lang w:val="es-AR" w:eastAsia="en-US"/>
        </w:rPr>
        <w:t>SALDOS</w:t>
      </w:r>
      <w:r w:rsidRPr="0010523F">
        <w:rPr>
          <w:szCs w:val="20"/>
          <w:lang w:val="es-AR" w:eastAsia="en-US"/>
        </w:rPr>
        <w:t xml:space="preserve"> (cont.)</w:t>
      </w:r>
    </w:p>
    <w:p w14:paraId="5CA2C856" w14:textId="77777777" w:rsidR="0010523F" w:rsidRPr="0010523F" w:rsidRDefault="0010523F" w:rsidP="0010523F">
      <w:pPr>
        <w:spacing w:line="180" w:lineRule="exact"/>
        <w:jc w:val="both"/>
        <w:rPr>
          <w:b/>
          <w:szCs w:val="20"/>
          <w:lang w:val="es-AR" w:eastAsia="en-US"/>
        </w:rPr>
      </w:pPr>
    </w:p>
    <w:tbl>
      <w:tblPr>
        <w:tblW w:w="9180" w:type="dxa"/>
        <w:tblBorders>
          <w:top w:val="nil"/>
          <w:left w:val="nil"/>
          <w:bottom w:val="nil"/>
          <w:right w:val="nil"/>
        </w:tblBorders>
        <w:tblLayout w:type="fixed"/>
        <w:tblLook w:val="0000" w:firstRow="0" w:lastRow="0" w:firstColumn="0" w:lastColumn="0" w:noHBand="0" w:noVBand="0"/>
      </w:tblPr>
      <w:tblGrid>
        <w:gridCol w:w="2516"/>
        <w:gridCol w:w="1267"/>
        <w:gridCol w:w="1426"/>
        <w:gridCol w:w="1276"/>
        <w:gridCol w:w="1417"/>
        <w:gridCol w:w="1278"/>
      </w:tblGrid>
      <w:tr w:rsidR="0010523F" w:rsidRPr="0010523F" w14:paraId="69CE8731" w14:textId="77777777" w:rsidTr="00774E7E">
        <w:trPr>
          <w:gridBefore w:val="1"/>
          <w:wBefore w:w="2516" w:type="dxa"/>
          <w:trHeight w:val="113"/>
        </w:trPr>
        <w:tc>
          <w:tcPr>
            <w:tcW w:w="6664" w:type="dxa"/>
            <w:gridSpan w:val="5"/>
            <w:tcBorders>
              <w:bottom w:val="single" w:sz="4" w:space="0" w:color="auto"/>
            </w:tcBorders>
          </w:tcPr>
          <w:p w14:paraId="6BEC7843" w14:textId="77777777" w:rsidR="0010523F" w:rsidRPr="0010523F" w:rsidRDefault="0010523F" w:rsidP="0010523F">
            <w:pPr>
              <w:autoSpaceDE w:val="0"/>
              <w:autoSpaceDN w:val="0"/>
              <w:adjustRightInd w:val="0"/>
              <w:spacing w:line="220" w:lineRule="exact"/>
              <w:jc w:val="center"/>
              <w:rPr>
                <w:color w:val="000000"/>
                <w:sz w:val="22"/>
                <w:szCs w:val="22"/>
                <w:lang w:val="es-AR"/>
              </w:rPr>
            </w:pPr>
            <w:r w:rsidRPr="0010523F">
              <w:rPr>
                <w:bCs/>
                <w:color w:val="000000"/>
                <w:sz w:val="22"/>
                <w:szCs w:val="22"/>
                <w:lang w:val="es-AR"/>
              </w:rPr>
              <w:t>Al 31 de diciembre de 2018</w:t>
            </w:r>
          </w:p>
        </w:tc>
      </w:tr>
      <w:tr w:rsidR="0010523F" w:rsidRPr="0010523F" w14:paraId="455C5B2F" w14:textId="77777777" w:rsidTr="00774E7E">
        <w:trPr>
          <w:trHeight w:val="113"/>
        </w:trPr>
        <w:tc>
          <w:tcPr>
            <w:tcW w:w="2516" w:type="dxa"/>
            <w:vAlign w:val="bottom"/>
          </w:tcPr>
          <w:p w14:paraId="33254F86" w14:textId="77777777" w:rsidR="0010523F" w:rsidRPr="0010523F" w:rsidRDefault="0010523F" w:rsidP="0010523F">
            <w:pPr>
              <w:autoSpaceDE w:val="0"/>
              <w:autoSpaceDN w:val="0"/>
              <w:adjustRightInd w:val="0"/>
              <w:spacing w:line="220" w:lineRule="exact"/>
              <w:jc w:val="center"/>
              <w:rPr>
                <w:bCs/>
                <w:color w:val="000000"/>
                <w:sz w:val="22"/>
                <w:szCs w:val="22"/>
                <w:lang w:val="es-AR"/>
              </w:rPr>
            </w:pPr>
          </w:p>
        </w:tc>
        <w:tc>
          <w:tcPr>
            <w:tcW w:w="2693" w:type="dxa"/>
            <w:gridSpan w:val="2"/>
            <w:vAlign w:val="bottom"/>
          </w:tcPr>
          <w:p w14:paraId="396890A9" w14:textId="77777777" w:rsidR="0010523F" w:rsidRPr="0010523F" w:rsidRDefault="0010523F" w:rsidP="0010523F">
            <w:pPr>
              <w:autoSpaceDE w:val="0"/>
              <w:autoSpaceDN w:val="0"/>
              <w:adjustRightInd w:val="0"/>
              <w:spacing w:line="220" w:lineRule="exact"/>
              <w:jc w:val="center"/>
              <w:rPr>
                <w:bCs/>
                <w:color w:val="000000"/>
                <w:sz w:val="22"/>
                <w:szCs w:val="22"/>
                <w:u w:val="single"/>
                <w:lang w:val="es-AR"/>
              </w:rPr>
            </w:pPr>
            <w:r w:rsidRPr="0010523F">
              <w:rPr>
                <w:bCs/>
                <w:color w:val="000000"/>
                <w:sz w:val="22"/>
                <w:szCs w:val="22"/>
                <w:u w:val="single"/>
                <w:lang w:val="es-AR"/>
              </w:rPr>
              <w:t>Otros créditos</w:t>
            </w:r>
          </w:p>
        </w:tc>
        <w:tc>
          <w:tcPr>
            <w:tcW w:w="1276" w:type="dxa"/>
            <w:tcBorders>
              <w:top w:val="nil"/>
              <w:bottom w:val="nil"/>
            </w:tcBorders>
            <w:vAlign w:val="bottom"/>
          </w:tcPr>
          <w:p w14:paraId="7B827A15" w14:textId="77777777" w:rsidR="0010523F" w:rsidRPr="0010523F" w:rsidRDefault="0010523F" w:rsidP="0010523F">
            <w:pPr>
              <w:autoSpaceDE w:val="0"/>
              <w:autoSpaceDN w:val="0"/>
              <w:adjustRightInd w:val="0"/>
              <w:spacing w:line="220" w:lineRule="exact"/>
              <w:jc w:val="center"/>
              <w:rPr>
                <w:color w:val="000000"/>
                <w:sz w:val="22"/>
                <w:szCs w:val="22"/>
                <w:lang w:val="es-AR"/>
              </w:rPr>
            </w:pPr>
            <w:r w:rsidRPr="0010523F">
              <w:rPr>
                <w:bCs/>
                <w:color w:val="000000"/>
                <w:sz w:val="22"/>
                <w:szCs w:val="22"/>
                <w:lang w:val="es-AR"/>
              </w:rPr>
              <w:t>Créditos</w:t>
            </w:r>
          </w:p>
          <w:p w14:paraId="57927DE6"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bCs/>
                <w:color w:val="000000"/>
                <w:sz w:val="22"/>
                <w:szCs w:val="22"/>
                <w:u w:val="single"/>
                <w:lang w:val="es-AR"/>
              </w:rPr>
              <w:t> por ventas </w:t>
            </w:r>
          </w:p>
        </w:tc>
        <w:tc>
          <w:tcPr>
            <w:tcW w:w="1417" w:type="dxa"/>
            <w:tcBorders>
              <w:top w:val="nil"/>
              <w:bottom w:val="nil"/>
            </w:tcBorders>
            <w:vAlign w:val="bottom"/>
          </w:tcPr>
          <w:p w14:paraId="29F4CD94"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  Préstamos  </w:t>
            </w:r>
          </w:p>
        </w:tc>
        <w:tc>
          <w:tcPr>
            <w:tcW w:w="1278" w:type="dxa"/>
            <w:tcBorders>
              <w:top w:val="nil"/>
              <w:bottom w:val="nil"/>
            </w:tcBorders>
            <w:vAlign w:val="bottom"/>
          </w:tcPr>
          <w:p w14:paraId="2F7F6542"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lang w:val="es-AR"/>
              </w:rPr>
              <w:t>Cuentas por</w:t>
            </w:r>
            <w:r w:rsidRPr="0010523F">
              <w:rPr>
                <w:color w:val="000000"/>
                <w:sz w:val="22"/>
                <w:szCs w:val="22"/>
                <w:u w:val="single"/>
                <w:lang w:val="es-AR"/>
              </w:rPr>
              <w:t xml:space="preserve"> pagar</w:t>
            </w:r>
          </w:p>
        </w:tc>
      </w:tr>
      <w:tr w:rsidR="0010523F" w:rsidRPr="0010523F" w14:paraId="17FD4827" w14:textId="77777777" w:rsidTr="00774E7E">
        <w:trPr>
          <w:trHeight w:val="113"/>
        </w:trPr>
        <w:tc>
          <w:tcPr>
            <w:tcW w:w="2516" w:type="dxa"/>
            <w:tcBorders>
              <w:top w:val="nil"/>
            </w:tcBorders>
            <w:vAlign w:val="bottom"/>
          </w:tcPr>
          <w:p w14:paraId="0322FB7C" w14:textId="77777777" w:rsidR="0010523F" w:rsidRPr="0010523F" w:rsidRDefault="0010523F" w:rsidP="0010523F">
            <w:pPr>
              <w:autoSpaceDE w:val="0"/>
              <w:autoSpaceDN w:val="0"/>
              <w:adjustRightInd w:val="0"/>
              <w:spacing w:line="220" w:lineRule="exact"/>
              <w:jc w:val="center"/>
              <w:rPr>
                <w:color w:val="000000"/>
                <w:sz w:val="22"/>
                <w:szCs w:val="22"/>
                <w:lang w:val="es-AR"/>
              </w:rPr>
            </w:pPr>
          </w:p>
        </w:tc>
        <w:tc>
          <w:tcPr>
            <w:tcW w:w="1267" w:type="dxa"/>
            <w:tcBorders>
              <w:top w:val="nil"/>
            </w:tcBorders>
            <w:vAlign w:val="bottom"/>
          </w:tcPr>
          <w:p w14:paraId="70167C9D"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  Corriente  </w:t>
            </w:r>
          </w:p>
        </w:tc>
        <w:tc>
          <w:tcPr>
            <w:tcW w:w="1426" w:type="dxa"/>
            <w:tcBorders>
              <w:top w:val="nil"/>
            </w:tcBorders>
          </w:tcPr>
          <w:p w14:paraId="29B79890"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No corriente</w:t>
            </w:r>
          </w:p>
        </w:tc>
        <w:tc>
          <w:tcPr>
            <w:tcW w:w="1276" w:type="dxa"/>
            <w:tcBorders>
              <w:top w:val="nil"/>
            </w:tcBorders>
            <w:vAlign w:val="bottom"/>
          </w:tcPr>
          <w:p w14:paraId="03648ABB"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  Corriente  </w:t>
            </w:r>
          </w:p>
        </w:tc>
        <w:tc>
          <w:tcPr>
            <w:tcW w:w="1417" w:type="dxa"/>
            <w:tcBorders>
              <w:top w:val="nil"/>
            </w:tcBorders>
            <w:vAlign w:val="bottom"/>
          </w:tcPr>
          <w:p w14:paraId="432AE72C"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Corriente</w:t>
            </w:r>
          </w:p>
        </w:tc>
        <w:tc>
          <w:tcPr>
            <w:tcW w:w="1278" w:type="dxa"/>
            <w:tcBorders>
              <w:top w:val="nil"/>
            </w:tcBorders>
            <w:vAlign w:val="bottom"/>
          </w:tcPr>
          <w:p w14:paraId="5FF36883" w14:textId="77777777" w:rsidR="0010523F" w:rsidRPr="0010523F" w:rsidRDefault="0010523F" w:rsidP="0010523F">
            <w:pPr>
              <w:autoSpaceDE w:val="0"/>
              <w:autoSpaceDN w:val="0"/>
              <w:adjustRightInd w:val="0"/>
              <w:spacing w:line="220" w:lineRule="exact"/>
              <w:jc w:val="center"/>
              <w:rPr>
                <w:color w:val="000000"/>
                <w:sz w:val="22"/>
                <w:szCs w:val="22"/>
                <w:u w:val="single"/>
                <w:lang w:val="es-AR"/>
              </w:rPr>
            </w:pPr>
            <w:r w:rsidRPr="0010523F">
              <w:rPr>
                <w:color w:val="000000"/>
                <w:sz w:val="22"/>
                <w:szCs w:val="22"/>
                <w:u w:val="single"/>
                <w:lang w:val="es-AR"/>
              </w:rPr>
              <w:t> Corriente</w:t>
            </w:r>
          </w:p>
        </w:tc>
      </w:tr>
      <w:tr w:rsidR="0010523F" w:rsidRPr="0010523F" w14:paraId="47613596" w14:textId="77777777" w:rsidTr="00774E7E">
        <w:trPr>
          <w:trHeight w:val="113"/>
        </w:trPr>
        <w:tc>
          <w:tcPr>
            <w:tcW w:w="2516" w:type="dxa"/>
            <w:vAlign w:val="bottom"/>
          </w:tcPr>
          <w:p w14:paraId="6AC5BC7C"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3EDCC35A"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426" w:type="dxa"/>
          </w:tcPr>
          <w:p w14:paraId="363F3986"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76" w:type="dxa"/>
            <w:vAlign w:val="bottom"/>
          </w:tcPr>
          <w:p w14:paraId="328E9DC0"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417" w:type="dxa"/>
            <w:vAlign w:val="bottom"/>
          </w:tcPr>
          <w:p w14:paraId="2446A0F3"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78" w:type="dxa"/>
            <w:vAlign w:val="bottom"/>
          </w:tcPr>
          <w:p w14:paraId="449947B8" w14:textId="77777777" w:rsidR="0010523F" w:rsidRPr="0010523F" w:rsidRDefault="0010523F" w:rsidP="0010523F">
            <w:pPr>
              <w:autoSpaceDE w:val="0"/>
              <w:autoSpaceDN w:val="0"/>
              <w:adjustRightInd w:val="0"/>
              <w:spacing w:line="140" w:lineRule="exact"/>
              <w:jc w:val="both"/>
              <w:rPr>
                <w:sz w:val="22"/>
                <w:szCs w:val="22"/>
                <w:lang w:val="es-AR" w:eastAsia="en-US"/>
              </w:rPr>
            </w:pPr>
          </w:p>
        </w:tc>
      </w:tr>
      <w:tr w:rsidR="0010523F" w:rsidRPr="0010523F" w14:paraId="1081F44B" w14:textId="77777777" w:rsidTr="00774E7E">
        <w:trPr>
          <w:trHeight w:val="113"/>
        </w:trPr>
        <w:tc>
          <w:tcPr>
            <w:tcW w:w="3783" w:type="dxa"/>
            <w:gridSpan w:val="2"/>
            <w:vAlign w:val="bottom"/>
          </w:tcPr>
          <w:p w14:paraId="775189DD"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lang w:val="es-AR"/>
              </w:rPr>
            </w:pPr>
            <w:r w:rsidRPr="0010523F">
              <w:rPr>
                <w:color w:val="000000"/>
                <w:sz w:val="22"/>
                <w:szCs w:val="22"/>
                <w:lang w:val="es-AR"/>
              </w:rPr>
              <w:t>- Controladas por la Casa Matriz</w:t>
            </w:r>
          </w:p>
        </w:tc>
        <w:tc>
          <w:tcPr>
            <w:tcW w:w="1426" w:type="dxa"/>
          </w:tcPr>
          <w:p w14:paraId="0E22E357"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highlight w:val="yellow"/>
                <w:lang w:val="es-AR"/>
              </w:rPr>
            </w:pPr>
          </w:p>
        </w:tc>
        <w:tc>
          <w:tcPr>
            <w:tcW w:w="1276" w:type="dxa"/>
            <w:vAlign w:val="bottom"/>
          </w:tcPr>
          <w:p w14:paraId="6B78446A"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highlight w:val="yellow"/>
                <w:lang w:val="es-AR"/>
              </w:rPr>
            </w:pPr>
          </w:p>
        </w:tc>
        <w:tc>
          <w:tcPr>
            <w:tcW w:w="1417" w:type="dxa"/>
            <w:vAlign w:val="bottom"/>
          </w:tcPr>
          <w:p w14:paraId="7FE57F1B"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highlight w:val="yellow"/>
                <w:lang w:val="es-AR"/>
              </w:rPr>
            </w:pPr>
          </w:p>
        </w:tc>
        <w:tc>
          <w:tcPr>
            <w:tcW w:w="1278" w:type="dxa"/>
            <w:vAlign w:val="bottom"/>
          </w:tcPr>
          <w:p w14:paraId="224A1E87" w14:textId="77777777" w:rsidR="0010523F" w:rsidRPr="0010523F" w:rsidRDefault="0010523F" w:rsidP="0010523F">
            <w:pPr>
              <w:tabs>
                <w:tab w:val="decimal" w:pos="634"/>
              </w:tabs>
              <w:autoSpaceDE w:val="0"/>
              <w:autoSpaceDN w:val="0"/>
              <w:adjustRightInd w:val="0"/>
              <w:spacing w:line="220" w:lineRule="exact"/>
              <w:jc w:val="both"/>
              <w:rPr>
                <w:color w:val="000000"/>
                <w:sz w:val="22"/>
                <w:szCs w:val="22"/>
                <w:highlight w:val="yellow"/>
                <w:lang w:val="es-AR"/>
              </w:rPr>
            </w:pPr>
          </w:p>
        </w:tc>
      </w:tr>
      <w:tr w:rsidR="0010523F" w:rsidRPr="0010523F" w:rsidDel="0034114B" w14:paraId="14E8789B" w14:textId="77777777" w:rsidTr="00774E7E">
        <w:trPr>
          <w:trHeight w:val="113"/>
        </w:trPr>
        <w:tc>
          <w:tcPr>
            <w:tcW w:w="2516" w:type="dxa"/>
            <w:vAlign w:val="bottom"/>
          </w:tcPr>
          <w:p w14:paraId="64858D27"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 xml:space="preserve">   En pesos</w:t>
            </w:r>
          </w:p>
        </w:tc>
        <w:tc>
          <w:tcPr>
            <w:tcW w:w="1267" w:type="dxa"/>
            <w:vAlign w:val="bottom"/>
          </w:tcPr>
          <w:p w14:paraId="7284FBF0"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lang w:val="es-AR"/>
              </w:rPr>
            </w:pPr>
            <w:r w:rsidRPr="0010523F">
              <w:rPr>
                <w:color w:val="000000"/>
                <w:sz w:val="22"/>
                <w:szCs w:val="22"/>
                <w:lang w:val="es-AR"/>
              </w:rPr>
              <w:t>23</w:t>
            </w:r>
          </w:p>
        </w:tc>
        <w:tc>
          <w:tcPr>
            <w:tcW w:w="1426" w:type="dxa"/>
            <w:vAlign w:val="bottom"/>
          </w:tcPr>
          <w:p w14:paraId="72C2202B" w14:textId="77777777" w:rsidR="0010523F" w:rsidRPr="0010523F" w:rsidDel="0034114B" w:rsidRDefault="0010523F" w:rsidP="0010523F">
            <w:pPr>
              <w:tabs>
                <w:tab w:val="decimal" w:pos="843"/>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w:t>
            </w:r>
          </w:p>
        </w:tc>
        <w:tc>
          <w:tcPr>
            <w:tcW w:w="1276" w:type="dxa"/>
            <w:vAlign w:val="bottom"/>
          </w:tcPr>
          <w:p w14:paraId="1C5906BD"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w:t>
            </w:r>
          </w:p>
        </w:tc>
        <w:tc>
          <w:tcPr>
            <w:tcW w:w="1417" w:type="dxa"/>
            <w:vAlign w:val="bottom"/>
          </w:tcPr>
          <w:p w14:paraId="1E64308B"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211</w:t>
            </w:r>
          </w:p>
        </w:tc>
        <w:tc>
          <w:tcPr>
            <w:tcW w:w="1278" w:type="dxa"/>
            <w:vAlign w:val="bottom"/>
          </w:tcPr>
          <w:p w14:paraId="04A6FA99"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203</w:t>
            </w:r>
          </w:p>
        </w:tc>
      </w:tr>
      <w:tr w:rsidR="0010523F" w:rsidRPr="0010523F" w14:paraId="6D8B3AF2" w14:textId="77777777" w:rsidTr="00774E7E">
        <w:trPr>
          <w:trHeight w:val="113"/>
        </w:trPr>
        <w:tc>
          <w:tcPr>
            <w:tcW w:w="2516" w:type="dxa"/>
            <w:vAlign w:val="bottom"/>
          </w:tcPr>
          <w:p w14:paraId="35678E8D" w14:textId="77777777" w:rsidR="0010523F" w:rsidRPr="0010523F" w:rsidRDefault="0010523F" w:rsidP="0010523F">
            <w:pPr>
              <w:autoSpaceDE w:val="0"/>
              <w:autoSpaceDN w:val="0"/>
              <w:adjustRightInd w:val="0"/>
              <w:spacing w:line="220" w:lineRule="exact"/>
              <w:ind w:left="142" w:hanging="142"/>
              <w:rPr>
                <w:color w:val="000000"/>
                <w:sz w:val="22"/>
                <w:szCs w:val="22"/>
                <w:lang w:val="es-AR"/>
              </w:rPr>
            </w:pPr>
            <w:r w:rsidRPr="0010523F">
              <w:rPr>
                <w:color w:val="000000"/>
                <w:sz w:val="22"/>
                <w:szCs w:val="22"/>
                <w:lang w:val="es-AR"/>
              </w:rPr>
              <w:t xml:space="preserve">   En dólares</w:t>
            </w:r>
          </w:p>
        </w:tc>
        <w:tc>
          <w:tcPr>
            <w:tcW w:w="1267" w:type="dxa"/>
            <w:vAlign w:val="bottom"/>
          </w:tcPr>
          <w:p w14:paraId="60D4928F"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u w:val="single"/>
                <w:lang w:val="es-AR"/>
              </w:rPr>
            </w:pPr>
            <w:r w:rsidRPr="0010523F">
              <w:rPr>
                <w:color w:val="000000"/>
                <w:sz w:val="22"/>
                <w:szCs w:val="22"/>
                <w:u w:val="single"/>
                <w:lang w:val="es-AR"/>
              </w:rPr>
              <w:t xml:space="preserve">  310</w:t>
            </w:r>
            <w:r w:rsidRPr="0010523F">
              <w:rPr>
                <w:color w:val="000000"/>
                <w:sz w:val="22"/>
                <w:szCs w:val="22"/>
                <w:lang w:val="es-AR"/>
              </w:rPr>
              <w:t xml:space="preserve"> </w:t>
            </w:r>
          </w:p>
        </w:tc>
        <w:tc>
          <w:tcPr>
            <w:tcW w:w="1426" w:type="dxa"/>
            <w:vAlign w:val="bottom"/>
          </w:tcPr>
          <w:p w14:paraId="560761E6"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 xml:space="preserve">  -</w:t>
            </w:r>
          </w:p>
        </w:tc>
        <w:tc>
          <w:tcPr>
            <w:tcW w:w="1276" w:type="dxa"/>
            <w:vAlign w:val="bottom"/>
          </w:tcPr>
          <w:p w14:paraId="7443883F"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 xml:space="preserve">       -</w:t>
            </w:r>
          </w:p>
        </w:tc>
        <w:tc>
          <w:tcPr>
            <w:tcW w:w="1417" w:type="dxa"/>
            <w:vAlign w:val="bottom"/>
          </w:tcPr>
          <w:p w14:paraId="5DCED4F7"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 xml:space="preserve">     -</w:t>
            </w:r>
          </w:p>
        </w:tc>
        <w:tc>
          <w:tcPr>
            <w:tcW w:w="1278" w:type="dxa"/>
            <w:vAlign w:val="bottom"/>
          </w:tcPr>
          <w:p w14:paraId="62CD0023"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 xml:space="preserve">   48</w:t>
            </w:r>
          </w:p>
        </w:tc>
      </w:tr>
      <w:tr w:rsidR="0010523F" w:rsidRPr="0010523F" w14:paraId="13B79B81" w14:textId="77777777" w:rsidTr="00774E7E">
        <w:trPr>
          <w:trHeight w:val="113"/>
        </w:trPr>
        <w:tc>
          <w:tcPr>
            <w:tcW w:w="2516" w:type="dxa"/>
            <w:vAlign w:val="bottom"/>
          </w:tcPr>
          <w:p w14:paraId="116135E6"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595D8641" w14:textId="77777777" w:rsidR="0010523F" w:rsidRPr="0010523F" w:rsidRDefault="0010523F" w:rsidP="0010523F">
            <w:pPr>
              <w:tabs>
                <w:tab w:val="decimal" w:pos="830"/>
                <w:tab w:val="decimal" w:pos="858"/>
              </w:tabs>
              <w:autoSpaceDE w:val="0"/>
              <w:autoSpaceDN w:val="0"/>
              <w:adjustRightInd w:val="0"/>
              <w:spacing w:line="140" w:lineRule="exact"/>
              <w:jc w:val="right"/>
              <w:rPr>
                <w:sz w:val="22"/>
                <w:szCs w:val="22"/>
                <w:highlight w:val="yellow"/>
                <w:lang w:val="es-AR" w:eastAsia="en-US"/>
              </w:rPr>
            </w:pPr>
          </w:p>
        </w:tc>
        <w:tc>
          <w:tcPr>
            <w:tcW w:w="1426" w:type="dxa"/>
            <w:vAlign w:val="bottom"/>
          </w:tcPr>
          <w:p w14:paraId="73F45350" w14:textId="77777777" w:rsidR="0010523F" w:rsidRPr="0010523F" w:rsidRDefault="0010523F" w:rsidP="0010523F">
            <w:pPr>
              <w:tabs>
                <w:tab w:val="decimal" w:pos="843"/>
              </w:tabs>
              <w:autoSpaceDE w:val="0"/>
              <w:autoSpaceDN w:val="0"/>
              <w:adjustRightInd w:val="0"/>
              <w:spacing w:line="140" w:lineRule="exact"/>
              <w:jc w:val="right"/>
              <w:rPr>
                <w:sz w:val="22"/>
                <w:szCs w:val="22"/>
                <w:highlight w:val="yellow"/>
                <w:lang w:val="es-AR" w:eastAsia="en-US"/>
              </w:rPr>
            </w:pPr>
            <w:r w:rsidRPr="0010523F">
              <w:rPr>
                <w:sz w:val="22"/>
                <w:szCs w:val="22"/>
                <w:lang w:val="es-AR" w:eastAsia="en-US"/>
              </w:rPr>
              <w:t xml:space="preserve"> </w:t>
            </w:r>
          </w:p>
        </w:tc>
        <w:tc>
          <w:tcPr>
            <w:tcW w:w="1276" w:type="dxa"/>
            <w:vAlign w:val="bottom"/>
          </w:tcPr>
          <w:p w14:paraId="7F2D0CE2" w14:textId="77777777" w:rsidR="0010523F" w:rsidRPr="0010523F" w:rsidRDefault="0010523F" w:rsidP="0010523F">
            <w:pPr>
              <w:tabs>
                <w:tab w:val="decimal" w:pos="843"/>
              </w:tabs>
              <w:autoSpaceDE w:val="0"/>
              <w:autoSpaceDN w:val="0"/>
              <w:adjustRightInd w:val="0"/>
              <w:spacing w:line="140" w:lineRule="exact"/>
              <w:jc w:val="right"/>
              <w:rPr>
                <w:sz w:val="22"/>
                <w:szCs w:val="22"/>
                <w:highlight w:val="yellow"/>
                <w:lang w:val="es-AR" w:eastAsia="en-US"/>
              </w:rPr>
            </w:pPr>
          </w:p>
        </w:tc>
        <w:tc>
          <w:tcPr>
            <w:tcW w:w="1417" w:type="dxa"/>
            <w:vAlign w:val="bottom"/>
          </w:tcPr>
          <w:p w14:paraId="7E543ECC" w14:textId="77777777" w:rsidR="0010523F" w:rsidRPr="0010523F" w:rsidRDefault="0010523F" w:rsidP="0010523F">
            <w:pPr>
              <w:tabs>
                <w:tab w:val="decimal" w:pos="1011"/>
              </w:tabs>
              <w:autoSpaceDE w:val="0"/>
              <w:autoSpaceDN w:val="0"/>
              <w:adjustRightInd w:val="0"/>
              <w:spacing w:line="140" w:lineRule="exact"/>
              <w:jc w:val="right"/>
              <w:rPr>
                <w:sz w:val="22"/>
                <w:szCs w:val="22"/>
                <w:highlight w:val="yellow"/>
                <w:lang w:val="es-AR" w:eastAsia="en-US"/>
              </w:rPr>
            </w:pPr>
          </w:p>
        </w:tc>
        <w:tc>
          <w:tcPr>
            <w:tcW w:w="1278" w:type="dxa"/>
            <w:vAlign w:val="bottom"/>
          </w:tcPr>
          <w:p w14:paraId="00FA0C54" w14:textId="77777777" w:rsidR="0010523F" w:rsidRPr="0010523F" w:rsidRDefault="0010523F" w:rsidP="0010523F">
            <w:pPr>
              <w:tabs>
                <w:tab w:val="decimal" w:pos="872"/>
              </w:tabs>
              <w:autoSpaceDE w:val="0"/>
              <w:autoSpaceDN w:val="0"/>
              <w:adjustRightInd w:val="0"/>
              <w:spacing w:line="140" w:lineRule="exact"/>
              <w:jc w:val="right"/>
              <w:rPr>
                <w:sz w:val="22"/>
                <w:szCs w:val="22"/>
                <w:highlight w:val="yellow"/>
                <w:lang w:val="es-AR" w:eastAsia="en-US"/>
              </w:rPr>
            </w:pPr>
          </w:p>
        </w:tc>
      </w:tr>
      <w:tr w:rsidR="0010523F" w:rsidRPr="0010523F" w14:paraId="6C529231" w14:textId="77777777" w:rsidTr="00774E7E">
        <w:trPr>
          <w:trHeight w:val="113"/>
        </w:trPr>
        <w:tc>
          <w:tcPr>
            <w:tcW w:w="2516" w:type="dxa"/>
            <w:vAlign w:val="bottom"/>
          </w:tcPr>
          <w:p w14:paraId="05D5650E"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 xml:space="preserve">Total </w:t>
            </w:r>
          </w:p>
        </w:tc>
        <w:tc>
          <w:tcPr>
            <w:tcW w:w="1267" w:type="dxa"/>
            <w:vAlign w:val="bottom"/>
          </w:tcPr>
          <w:p w14:paraId="66928A1C"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u w:val="double"/>
                <w:lang w:val="es-AR"/>
              </w:rPr>
            </w:pPr>
            <w:r w:rsidRPr="0010523F">
              <w:rPr>
                <w:color w:val="000000"/>
                <w:sz w:val="22"/>
                <w:szCs w:val="22"/>
                <w:u w:val="double"/>
                <w:lang w:val="es-AR"/>
              </w:rPr>
              <w:t xml:space="preserve">  333</w:t>
            </w:r>
          </w:p>
        </w:tc>
        <w:tc>
          <w:tcPr>
            <w:tcW w:w="1426" w:type="dxa"/>
            <w:vAlign w:val="bottom"/>
          </w:tcPr>
          <w:p w14:paraId="1EC94953"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 xml:space="preserve">  -</w:t>
            </w:r>
          </w:p>
        </w:tc>
        <w:tc>
          <w:tcPr>
            <w:tcW w:w="1276" w:type="dxa"/>
            <w:vAlign w:val="bottom"/>
          </w:tcPr>
          <w:p w14:paraId="2B0EBB96"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 xml:space="preserve">       -</w:t>
            </w:r>
          </w:p>
        </w:tc>
        <w:tc>
          <w:tcPr>
            <w:tcW w:w="1417" w:type="dxa"/>
            <w:vAlign w:val="bottom"/>
          </w:tcPr>
          <w:p w14:paraId="6F3F3970"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211</w:t>
            </w:r>
          </w:p>
        </w:tc>
        <w:tc>
          <w:tcPr>
            <w:tcW w:w="1278" w:type="dxa"/>
            <w:vAlign w:val="bottom"/>
          </w:tcPr>
          <w:p w14:paraId="678B769F"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 xml:space="preserve"> 251</w:t>
            </w:r>
          </w:p>
        </w:tc>
      </w:tr>
      <w:tr w:rsidR="0010523F" w:rsidRPr="0010523F" w14:paraId="0AFA1E17" w14:textId="77777777" w:rsidTr="00774E7E">
        <w:trPr>
          <w:trHeight w:val="113"/>
        </w:trPr>
        <w:tc>
          <w:tcPr>
            <w:tcW w:w="2516" w:type="dxa"/>
            <w:vAlign w:val="bottom"/>
          </w:tcPr>
          <w:p w14:paraId="36BF593D"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65CF4150" w14:textId="77777777" w:rsidR="0010523F" w:rsidRPr="0010523F" w:rsidRDefault="0010523F" w:rsidP="0010523F">
            <w:pPr>
              <w:tabs>
                <w:tab w:val="left" w:pos="1026"/>
              </w:tabs>
              <w:autoSpaceDE w:val="0"/>
              <w:autoSpaceDN w:val="0"/>
              <w:adjustRightInd w:val="0"/>
              <w:spacing w:line="140" w:lineRule="exact"/>
              <w:ind w:right="167"/>
              <w:jc w:val="right"/>
              <w:rPr>
                <w:sz w:val="22"/>
                <w:szCs w:val="22"/>
                <w:highlight w:val="yellow"/>
                <w:lang w:val="es-AR" w:eastAsia="en-US"/>
              </w:rPr>
            </w:pPr>
          </w:p>
        </w:tc>
        <w:tc>
          <w:tcPr>
            <w:tcW w:w="1426" w:type="dxa"/>
            <w:vAlign w:val="bottom"/>
          </w:tcPr>
          <w:p w14:paraId="5B099731"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c>
          <w:tcPr>
            <w:tcW w:w="1276" w:type="dxa"/>
            <w:vAlign w:val="bottom"/>
          </w:tcPr>
          <w:p w14:paraId="19FA19AE"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c>
          <w:tcPr>
            <w:tcW w:w="1417" w:type="dxa"/>
            <w:vAlign w:val="bottom"/>
          </w:tcPr>
          <w:p w14:paraId="2AB7EAC0"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c>
          <w:tcPr>
            <w:tcW w:w="1278" w:type="dxa"/>
            <w:vAlign w:val="bottom"/>
          </w:tcPr>
          <w:p w14:paraId="6CB5869D"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r>
      <w:tr w:rsidR="0010523F" w:rsidRPr="0010523F" w14:paraId="39EE75AF" w14:textId="77777777" w:rsidTr="00774E7E">
        <w:trPr>
          <w:trHeight w:val="113"/>
        </w:trPr>
        <w:tc>
          <w:tcPr>
            <w:tcW w:w="2516" w:type="dxa"/>
            <w:vAlign w:val="bottom"/>
          </w:tcPr>
          <w:p w14:paraId="3860FEF2" w14:textId="77777777" w:rsidR="0010523F" w:rsidRPr="0010523F" w:rsidRDefault="0010523F" w:rsidP="00E2318E">
            <w:pPr>
              <w:numPr>
                <w:ilvl w:val="0"/>
                <w:numId w:val="61"/>
              </w:numPr>
              <w:autoSpaceDE w:val="0"/>
              <w:autoSpaceDN w:val="0"/>
              <w:adjustRightInd w:val="0"/>
              <w:spacing w:line="220" w:lineRule="exact"/>
              <w:ind w:left="142" w:hanging="142"/>
              <w:contextualSpacing/>
              <w:jc w:val="both"/>
              <w:rPr>
                <w:color w:val="000000"/>
                <w:sz w:val="22"/>
                <w:szCs w:val="22"/>
                <w:lang w:val="es-AR"/>
              </w:rPr>
            </w:pPr>
            <w:r w:rsidRPr="0010523F">
              <w:rPr>
                <w:color w:val="000000"/>
                <w:sz w:val="22"/>
                <w:szCs w:val="22"/>
                <w:lang w:val="es-AR"/>
              </w:rPr>
              <w:t>Otras:</w:t>
            </w:r>
          </w:p>
        </w:tc>
        <w:tc>
          <w:tcPr>
            <w:tcW w:w="1267" w:type="dxa"/>
            <w:vAlign w:val="bottom"/>
          </w:tcPr>
          <w:p w14:paraId="7C21524B" w14:textId="77777777" w:rsidR="0010523F" w:rsidRPr="0010523F" w:rsidRDefault="0010523F" w:rsidP="0010523F">
            <w:pPr>
              <w:tabs>
                <w:tab w:val="decimal" w:pos="830"/>
                <w:tab w:val="decimal" w:pos="858"/>
                <w:tab w:val="left" w:pos="1026"/>
              </w:tabs>
              <w:autoSpaceDE w:val="0"/>
              <w:autoSpaceDN w:val="0"/>
              <w:adjustRightInd w:val="0"/>
              <w:spacing w:line="220" w:lineRule="exact"/>
              <w:ind w:right="167"/>
              <w:jc w:val="right"/>
              <w:rPr>
                <w:color w:val="000000"/>
                <w:sz w:val="22"/>
                <w:szCs w:val="22"/>
                <w:highlight w:val="yellow"/>
                <w:u w:val="double"/>
                <w:lang w:val="es-AR"/>
              </w:rPr>
            </w:pPr>
          </w:p>
        </w:tc>
        <w:tc>
          <w:tcPr>
            <w:tcW w:w="1426" w:type="dxa"/>
            <w:vAlign w:val="bottom"/>
          </w:tcPr>
          <w:p w14:paraId="255EF2EC" w14:textId="77777777" w:rsidR="0010523F" w:rsidRPr="0010523F" w:rsidRDefault="0010523F" w:rsidP="0010523F">
            <w:pPr>
              <w:tabs>
                <w:tab w:val="decimal" w:pos="843"/>
                <w:tab w:val="decimal" w:pos="998"/>
              </w:tabs>
              <w:autoSpaceDE w:val="0"/>
              <w:autoSpaceDN w:val="0"/>
              <w:adjustRightInd w:val="0"/>
              <w:spacing w:line="220" w:lineRule="exact"/>
              <w:jc w:val="right"/>
              <w:rPr>
                <w:color w:val="000000"/>
                <w:sz w:val="22"/>
                <w:szCs w:val="22"/>
                <w:highlight w:val="yellow"/>
                <w:u w:val="double"/>
                <w:lang w:val="es-AR"/>
              </w:rPr>
            </w:pPr>
          </w:p>
        </w:tc>
        <w:tc>
          <w:tcPr>
            <w:tcW w:w="1276" w:type="dxa"/>
            <w:vAlign w:val="bottom"/>
          </w:tcPr>
          <w:p w14:paraId="4699FBF6" w14:textId="77777777" w:rsidR="0010523F" w:rsidRPr="0010523F" w:rsidRDefault="0010523F" w:rsidP="0010523F">
            <w:pPr>
              <w:tabs>
                <w:tab w:val="decimal" w:pos="843"/>
                <w:tab w:val="decimal" w:pos="998"/>
              </w:tabs>
              <w:autoSpaceDE w:val="0"/>
              <w:autoSpaceDN w:val="0"/>
              <w:adjustRightInd w:val="0"/>
              <w:spacing w:line="220" w:lineRule="exact"/>
              <w:jc w:val="right"/>
              <w:rPr>
                <w:color w:val="000000"/>
                <w:sz w:val="22"/>
                <w:szCs w:val="22"/>
                <w:highlight w:val="yellow"/>
                <w:u w:val="double"/>
                <w:lang w:val="es-AR"/>
              </w:rPr>
            </w:pPr>
          </w:p>
        </w:tc>
        <w:tc>
          <w:tcPr>
            <w:tcW w:w="1417" w:type="dxa"/>
            <w:vAlign w:val="bottom"/>
          </w:tcPr>
          <w:p w14:paraId="1C63D700" w14:textId="77777777" w:rsidR="0010523F" w:rsidRPr="0010523F" w:rsidRDefault="0010523F" w:rsidP="0010523F">
            <w:pPr>
              <w:tabs>
                <w:tab w:val="decimal" w:pos="903"/>
              </w:tabs>
              <w:autoSpaceDE w:val="0"/>
              <w:autoSpaceDN w:val="0"/>
              <w:adjustRightInd w:val="0"/>
              <w:spacing w:line="220" w:lineRule="exact"/>
              <w:jc w:val="right"/>
              <w:rPr>
                <w:color w:val="000000"/>
                <w:sz w:val="22"/>
                <w:szCs w:val="22"/>
                <w:highlight w:val="yellow"/>
                <w:u w:val="double"/>
                <w:lang w:val="es-AR"/>
              </w:rPr>
            </w:pPr>
          </w:p>
        </w:tc>
        <w:tc>
          <w:tcPr>
            <w:tcW w:w="1278" w:type="dxa"/>
            <w:vAlign w:val="bottom"/>
          </w:tcPr>
          <w:p w14:paraId="3D3BCB2E"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u w:val="double"/>
                <w:lang w:val="es-AR"/>
              </w:rPr>
            </w:pPr>
          </w:p>
        </w:tc>
      </w:tr>
      <w:tr w:rsidR="0010523F" w:rsidRPr="0010523F" w:rsidDel="006735CD" w14:paraId="4551100C" w14:textId="77777777" w:rsidTr="00774E7E">
        <w:trPr>
          <w:trHeight w:val="113"/>
        </w:trPr>
        <w:tc>
          <w:tcPr>
            <w:tcW w:w="2516" w:type="dxa"/>
            <w:vAlign w:val="bottom"/>
          </w:tcPr>
          <w:p w14:paraId="0C25897A"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 xml:space="preserve">   En pesos</w:t>
            </w:r>
          </w:p>
        </w:tc>
        <w:tc>
          <w:tcPr>
            <w:tcW w:w="1267" w:type="dxa"/>
            <w:vAlign w:val="bottom"/>
          </w:tcPr>
          <w:p w14:paraId="1717CB10"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lang w:val="es-AR"/>
              </w:rPr>
            </w:pPr>
            <w:r w:rsidRPr="0010523F">
              <w:rPr>
                <w:color w:val="000000"/>
                <w:sz w:val="22"/>
                <w:szCs w:val="22"/>
                <w:lang w:val="es-AR"/>
              </w:rPr>
              <w:t>-</w:t>
            </w:r>
          </w:p>
        </w:tc>
        <w:tc>
          <w:tcPr>
            <w:tcW w:w="1426" w:type="dxa"/>
            <w:vAlign w:val="bottom"/>
          </w:tcPr>
          <w:p w14:paraId="06D5F211"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w:t>
            </w:r>
          </w:p>
        </w:tc>
        <w:tc>
          <w:tcPr>
            <w:tcW w:w="1276" w:type="dxa"/>
            <w:vAlign w:val="bottom"/>
          </w:tcPr>
          <w:p w14:paraId="58B43411"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w:t>
            </w:r>
          </w:p>
        </w:tc>
        <w:tc>
          <w:tcPr>
            <w:tcW w:w="1417" w:type="dxa"/>
            <w:vAlign w:val="bottom"/>
          </w:tcPr>
          <w:p w14:paraId="143E4B5E"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w:t>
            </w:r>
          </w:p>
        </w:tc>
        <w:tc>
          <w:tcPr>
            <w:tcW w:w="1278" w:type="dxa"/>
            <w:vAlign w:val="bottom"/>
          </w:tcPr>
          <w:p w14:paraId="34DE0ACC"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17</w:t>
            </w:r>
          </w:p>
        </w:tc>
      </w:tr>
      <w:tr w:rsidR="0010523F" w:rsidRPr="0010523F" w14:paraId="271B3930" w14:textId="77777777" w:rsidTr="00774E7E">
        <w:trPr>
          <w:trHeight w:val="113"/>
        </w:trPr>
        <w:tc>
          <w:tcPr>
            <w:tcW w:w="2516" w:type="dxa"/>
            <w:vAlign w:val="bottom"/>
          </w:tcPr>
          <w:p w14:paraId="51E17154" w14:textId="77777777" w:rsidR="0010523F" w:rsidRPr="0010523F" w:rsidRDefault="0010523F" w:rsidP="0010523F">
            <w:pPr>
              <w:autoSpaceDE w:val="0"/>
              <w:autoSpaceDN w:val="0"/>
              <w:adjustRightInd w:val="0"/>
              <w:spacing w:line="220" w:lineRule="exact"/>
              <w:ind w:left="142" w:hanging="142"/>
              <w:rPr>
                <w:color w:val="000000"/>
                <w:sz w:val="22"/>
                <w:szCs w:val="22"/>
                <w:lang w:val="es-AR"/>
              </w:rPr>
            </w:pPr>
            <w:r w:rsidRPr="0010523F">
              <w:rPr>
                <w:color w:val="000000"/>
                <w:sz w:val="22"/>
                <w:szCs w:val="22"/>
                <w:lang w:val="es-AR"/>
              </w:rPr>
              <w:t xml:space="preserve">   En dólares</w:t>
            </w:r>
          </w:p>
        </w:tc>
        <w:tc>
          <w:tcPr>
            <w:tcW w:w="1267" w:type="dxa"/>
            <w:vAlign w:val="bottom"/>
          </w:tcPr>
          <w:p w14:paraId="50C57C9B"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u w:val="single"/>
                <w:lang w:val="es-AR"/>
              </w:rPr>
            </w:pPr>
            <w:r w:rsidRPr="0010523F">
              <w:rPr>
                <w:color w:val="000000"/>
                <w:sz w:val="22"/>
                <w:szCs w:val="22"/>
                <w:u w:val="single"/>
                <w:lang w:val="es-AR"/>
              </w:rPr>
              <w:t xml:space="preserve">    47</w:t>
            </w:r>
          </w:p>
        </w:tc>
        <w:tc>
          <w:tcPr>
            <w:tcW w:w="1426" w:type="dxa"/>
            <w:vAlign w:val="bottom"/>
          </w:tcPr>
          <w:p w14:paraId="434A1F06"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11</w:t>
            </w:r>
          </w:p>
        </w:tc>
        <w:tc>
          <w:tcPr>
            <w:tcW w:w="1276" w:type="dxa"/>
            <w:vAlign w:val="bottom"/>
          </w:tcPr>
          <w:p w14:paraId="0D95056B"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1.835</w:t>
            </w:r>
          </w:p>
        </w:tc>
        <w:tc>
          <w:tcPr>
            <w:tcW w:w="1417" w:type="dxa"/>
            <w:vAlign w:val="bottom"/>
          </w:tcPr>
          <w:p w14:paraId="28FDA45A"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 xml:space="preserve">      -</w:t>
            </w:r>
          </w:p>
        </w:tc>
        <w:tc>
          <w:tcPr>
            <w:tcW w:w="1278" w:type="dxa"/>
            <w:vAlign w:val="bottom"/>
          </w:tcPr>
          <w:p w14:paraId="2596D94E"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 xml:space="preserve"> 656</w:t>
            </w:r>
          </w:p>
        </w:tc>
      </w:tr>
      <w:tr w:rsidR="0010523F" w:rsidRPr="0010523F" w14:paraId="2874DF62" w14:textId="77777777" w:rsidTr="00774E7E">
        <w:trPr>
          <w:trHeight w:val="113"/>
        </w:trPr>
        <w:tc>
          <w:tcPr>
            <w:tcW w:w="2516" w:type="dxa"/>
            <w:vAlign w:val="bottom"/>
          </w:tcPr>
          <w:p w14:paraId="5A6DB496"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3DB5C9A4" w14:textId="77777777" w:rsidR="0010523F" w:rsidRPr="0010523F" w:rsidRDefault="0010523F" w:rsidP="0010523F">
            <w:pPr>
              <w:tabs>
                <w:tab w:val="decimal" w:pos="830"/>
                <w:tab w:val="decimal" w:pos="858"/>
              </w:tabs>
              <w:autoSpaceDE w:val="0"/>
              <w:autoSpaceDN w:val="0"/>
              <w:adjustRightInd w:val="0"/>
              <w:spacing w:line="140" w:lineRule="exact"/>
              <w:jc w:val="right"/>
              <w:rPr>
                <w:sz w:val="22"/>
                <w:szCs w:val="22"/>
                <w:highlight w:val="yellow"/>
                <w:lang w:val="es-AR" w:eastAsia="en-US"/>
              </w:rPr>
            </w:pPr>
          </w:p>
        </w:tc>
        <w:tc>
          <w:tcPr>
            <w:tcW w:w="1426" w:type="dxa"/>
            <w:vAlign w:val="bottom"/>
          </w:tcPr>
          <w:p w14:paraId="020568AE" w14:textId="77777777" w:rsidR="0010523F" w:rsidRPr="0010523F" w:rsidRDefault="0010523F" w:rsidP="0010523F">
            <w:pPr>
              <w:tabs>
                <w:tab w:val="decimal" w:pos="843"/>
              </w:tabs>
              <w:autoSpaceDE w:val="0"/>
              <w:autoSpaceDN w:val="0"/>
              <w:adjustRightInd w:val="0"/>
              <w:spacing w:line="140" w:lineRule="exact"/>
              <w:jc w:val="right"/>
              <w:rPr>
                <w:sz w:val="22"/>
                <w:szCs w:val="22"/>
                <w:highlight w:val="yellow"/>
                <w:lang w:val="es-AR" w:eastAsia="en-US"/>
              </w:rPr>
            </w:pPr>
          </w:p>
        </w:tc>
        <w:tc>
          <w:tcPr>
            <w:tcW w:w="1276" w:type="dxa"/>
            <w:vAlign w:val="bottom"/>
          </w:tcPr>
          <w:p w14:paraId="248D955B" w14:textId="77777777" w:rsidR="0010523F" w:rsidRPr="0010523F" w:rsidRDefault="0010523F" w:rsidP="0010523F">
            <w:pPr>
              <w:tabs>
                <w:tab w:val="decimal" w:pos="843"/>
              </w:tabs>
              <w:autoSpaceDE w:val="0"/>
              <w:autoSpaceDN w:val="0"/>
              <w:adjustRightInd w:val="0"/>
              <w:spacing w:line="140" w:lineRule="exact"/>
              <w:jc w:val="right"/>
              <w:rPr>
                <w:sz w:val="22"/>
                <w:szCs w:val="22"/>
                <w:highlight w:val="yellow"/>
                <w:lang w:val="es-AR" w:eastAsia="en-US"/>
              </w:rPr>
            </w:pPr>
          </w:p>
        </w:tc>
        <w:tc>
          <w:tcPr>
            <w:tcW w:w="1417" w:type="dxa"/>
            <w:vAlign w:val="bottom"/>
          </w:tcPr>
          <w:p w14:paraId="66A79C1A" w14:textId="77777777" w:rsidR="0010523F" w:rsidRPr="0010523F" w:rsidRDefault="0010523F" w:rsidP="0010523F">
            <w:pPr>
              <w:tabs>
                <w:tab w:val="decimal" w:pos="1011"/>
              </w:tabs>
              <w:autoSpaceDE w:val="0"/>
              <w:autoSpaceDN w:val="0"/>
              <w:adjustRightInd w:val="0"/>
              <w:spacing w:line="140" w:lineRule="exact"/>
              <w:jc w:val="right"/>
              <w:rPr>
                <w:sz w:val="22"/>
                <w:szCs w:val="22"/>
                <w:highlight w:val="yellow"/>
                <w:lang w:val="es-AR" w:eastAsia="en-US"/>
              </w:rPr>
            </w:pPr>
          </w:p>
        </w:tc>
        <w:tc>
          <w:tcPr>
            <w:tcW w:w="1278" w:type="dxa"/>
            <w:vAlign w:val="bottom"/>
          </w:tcPr>
          <w:p w14:paraId="471C6C55" w14:textId="77777777" w:rsidR="0010523F" w:rsidRPr="0010523F" w:rsidRDefault="0010523F" w:rsidP="0010523F">
            <w:pPr>
              <w:tabs>
                <w:tab w:val="decimal" w:pos="872"/>
              </w:tabs>
              <w:autoSpaceDE w:val="0"/>
              <w:autoSpaceDN w:val="0"/>
              <w:adjustRightInd w:val="0"/>
              <w:spacing w:line="140" w:lineRule="exact"/>
              <w:jc w:val="right"/>
              <w:rPr>
                <w:sz w:val="22"/>
                <w:szCs w:val="22"/>
                <w:highlight w:val="yellow"/>
                <w:lang w:val="es-AR" w:eastAsia="en-US"/>
              </w:rPr>
            </w:pPr>
          </w:p>
        </w:tc>
      </w:tr>
      <w:tr w:rsidR="0010523F" w:rsidRPr="0010523F" w14:paraId="1D31B6B6" w14:textId="77777777" w:rsidTr="00774E7E">
        <w:trPr>
          <w:trHeight w:val="113"/>
        </w:trPr>
        <w:tc>
          <w:tcPr>
            <w:tcW w:w="2516" w:type="dxa"/>
            <w:vAlign w:val="bottom"/>
          </w:tcPr>
          <w:p w14:paraId="26AA78A9"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Total</w:t>
            </w:r>
          </w:p>
        </w:tc>
        <w:tc>
          <w:tcPr>
            <w:tcW w:w="1267" w:type="dxa"/>
            <w:vAlign w:val="bottom"/>
          </w:tcPr>
          <w:p w14:paraId="74E3BEDD"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u w:val="double"/>
                <w:lang w:val="es-AR"/>
              </w:rPr>
            </w:pPr>
            <w:r w:rsidRPr="0010523F">
              <w:rPr>
                <w:color w:val="000000"/>
                <w:sz w:val="22"/>
                <w:szCs w:val="22"/>
                <w:u w:val="double"/>
                <w:lang w:val="es-AR"/>
              </w:rPr>
              <w:t xml:space="preserve">    47</w:t>
            </w:r>
          </w:p>
        </w:tc>
        <w:tc>
          <w:tcPr>
            <w:tcW w:w="1426" w:type="dxa"/>
            <w:vAlign w:val="bottom"/>
          </w:tcPr>
          <w:p w14:paraId="601E0B76"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11</w:t>
            </w:r>
          </w:p>
        </w:tc>
        <w:tc>
          <w:tcPr>
            <w:tcW w:w="1276" w:type="dxa"/>
            <w:vAlign w:val="bottom"/>
          </w:tcPr>
          <w:p w14:paraId="7BAA8C59"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1.835</w:t>
            </w:r>
          </w:p>
        </w:tc>
        <w:tc>
          <w:tcPr>
            <w:tcW w:w="1417" w:type="dxa"/>
            <w:vAlign w:val="bottom"/>
          </w:tcPr>
          <w:p w14:paraId="58D73468"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 xml:space="preserve">      -</w:t>
            </w:r>
          </w:p>
        </w:tc>
        <w:tc>
          <w:tcPr>
            <w:tcW w:w="1278" w:type="dxa"/>
            <w:vAlign w:val="bottom"/>
          </w:tcPr>
          <w:p w14:paraId="53026035"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 xml:space="preserve"> 673</w:t>
            </w:r>
          </w:p>
        </w:tc>
      </w:tr>
      <w:tr w:rsidR="0010523F" w:rsidRPr="0010523F" w14:paraId="694D5174" w14:textId="77777777" w:rsidTr="00774E7E">
        <w:trPr>
          <w:trHeight w:val="113"/>
        </w:trPr>
        <w:tc>
          <w:tcPr>
            <w:tcW w:w="2516" w:type="dxa"/>
            <w:vAlign w:val="bottom"/>
          </w:tcPr>
          <w:p w14:paraId="173B1559" w14:textId="77777777" w:rsidR="0010523F" w:rsidRPr="0010523F" w:rsidRDefault="0010523F" w:rsidP="0010523F">
            <w:pPr>
              <w:autoSpaceDE w:val="0"/>
              <w:autoSpaceDN w:val="0"/>
              <w:adjustRightInd w:val="0"/>
              <w:spacing w:line="220" w:lineRule="exact"/>
              <w:jc w:val="both"/>
              <w:rPr>
                <w:sz w:val="22"/>
                <w:szCs w:val="22"/>
                <w:lang w:val="es-AR" w:eastAsia="en-US"/>
              </w:rPr>
            </w:pPr>
          </w:p>
        </w:tc>
        <w:tc>
          <w:tcPr>
            <w:tcW w:w="1267" w:type="dxa"/>
            <w:vAlign w:val="bottom"/>
          </w:tcPr>
          <w:p w14:paraId="50AEB7C5" w14:textId="77777777" w:rsidR="0010523F" w:rsidRPr="0010523F" w:rsidRDefault="0010523F" w:rsidP="0010523F">
            <w:pPr>
              <w:tabs>
                <w:tab w:val="decimal" w:pos="830"/>
                <w:tab w:val="decimal" w:pos="858"/>
              </w:tabs>
              <w:autoSpaceDE w:val="0"/>
              <w:autoSpaceDN w:val="0"/>
              <w:adjustRightInd w:val="0"/>
              <w:spacing w:line="220" w:lineRule="exact"/>
              <w:jc w:val="right"/>
              <w:rPr>
                <w:sz w:val="22"/>
                <w:szCs w:val="22"/>
                <w:highlight w:val="yellow"/>
                <w:lang w:val="es-AR" w:eastAsia="en-US"/>
              </w:rPr>
            </w:pPr>
          </w:p>
        </w:tc>
        <w:tc>
          <w:tcPr>
            <w:tcW w:w="1426" w:type="dxa"/>
            <w:vAlign w:val="bottom"/>
          </w:tcPr>
          <w:p w14:paraId="59CCE27F" w14:textId="77777777" w:rsidR="0010523F" w:rsidRPr="0010523F" w:rsidRDefault="0010523F" w:rsidP="0010523F">
            <w:pPr>
              <w:tabs>
                <w:tab w:val="decimal" w:pos="843"/>
              </w:tabs>
              <w:autoSpaceDE w:val="0"/>
              <w:autoSpaceDN w:val="0"/>
              <w:adjustRightInd w:val="0"/>
              <w:spacing w:line="220" w:lineRule="exact"/>
              <w:jc w:val="right"/>
              <w:rPr>
                <w:sz w:val="22"/>
                <w:szCs w:val="22"/>
                <w:highlight w:val="yellow"/>
                <w:lang w:val="es-AR" w:eastAsia="en-US"/>
              </w:rPr>
            </w:pPr>
          </w:p>
        </w:tc>
        <w:tc>
          <w:tcPr>
            <w:tcW w:w="1276" w:type="dxa"/>
            <w:vAlign w:val="bottom"/>
          </w:tcPr>
          <w:p w14:paraId="241A0B7D" w14:textId="77777777" w:rsidR="0010523F" w:rsidRPr="0010523F" w:rsidRDefault="0010523F" w:rsidP="0010523F">
            <w:pPr>
              <w:tabs>
                <w:tab w:val="decimal" w:pos="843"/>
              </w:tabs>
              <w:autoSpaceDE w:val="0"/>
              <w:autoSpaceDN w:val="0"/>
              <w:adjustRightInd w:val="0"/>
              <w:spacing w:line="220" w:lineRule="exact"/>
              <w:jc w:val="right"/>
              <w:rPr>
                <w:sz w:val="22"/>
                <w:szCs w:val="22"/>
                <w:highlight w:val="yellow"/>
                <w:lang w:val="es-AR" w:eastAsia="en-US"/>
              </w:rPr>
            </w:pPr>
          </w:p>
        </w:tc>
        <w:tc>
          <w:tcPr>
            <w:tcW w:w="1417" w:type="dxa"/>
            <w:vAlign w:val="bottom"/>
          </w:tcPr>
          <w:p w14:paraId="16377CB9" w14:textId="77777777" w:rsidR="0010523F" w:rsidRPr="0010523F" w:rsidRDefault="0010523F" w:rsidP="0010523F">
            <w:pPr>
              <w:tabs>
                <w:tab w:val="decimal" w:pos="1011"/>
              </w:tabs>
              <w:autoSpaceDE w:val="0"/>
              <w:autoSpaceDN w:val="0"/>
              <w:adjustRightInd w:val="0"/>
              <w:spacing w:line="220" w:lineRule="exact"/>
              <w:jc w:val="right"/>
              <w:rPr>
                <w:sz w:val="22"/>
                <w:szCs w:val="22"/>
                <w:highlight w:val="yellow"/>
                <w:lang w:val="es-AR" w:eastAsia="en-US"/>
              </w:rPr>
            </w:pPr>
          </w:p>
        </w:tc>
        <w:tc>
          <w:tcPr>
            <w:tcW w:w="1278" w:type="dxa"/>
            <w:vAlign w:val="bottom"/>
          </w:tcPr>
          <w:p w14:paraId="69B89587" w14:textId="77777777" w:rsidR="0010523F" w:rsidRPr="0010523F" w:rsidRDefault="0010523F" w:rsidP="0010523F">
            <w:pPr>
              <w:tabs>
                <w:tab w:val="decimal" w:pos="872"/>
              </w:tabs>
              <w:autoSpaceDE w:val="0"/>
              <w:autoSpaceDN w:val="0"/>
              <w:adjustRightInd w:val="0"/>
              <w:spacing w:line="220" w:lineRule="exact"/>
              <w:jc w:val="right"/>
              <w:rPr>
                <w:sz w:val="22"/>
                <w:szCs w:val="22"/>
                <w:highlight w:val="yellow"/>
                <w:lang w:val="es-AR" w:eastAsia="en-US"/>
              </w:rPr>
            </w:pPr>
          </w:p>
        </w:tc>
      </w:tr>
      <w:tr w:rsidR="0010523F" w:rsidRPr="0010523F" w:rsidDel="006735CD" w14:paraId="48B5548A" w14:textId="77777777" w:rsidTr="00774E7E">
        <w:trPr>
          <w:trHeight w:val="113"/>
        </w:trPr>
        <w:tc>
          <w:tcPr>
            <w:tcW w:w="2516" w:type="dxa"/>
            <w:vAlign w:val="bottom"/>
          </w:tcPr>
          <w:p w14:paraId="563AC12E"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 xml:space="preserve">   En pesos</w:t>
            </w:r>
          </w:p>
        </w:tc>
        <w:tc>
          <w:tcPr>
            <w:tcW w:w="1267" w:type="dxa"/>
            <w:vAlign w:val="bottom"/>
          </w:tcPr>
          <w:p w14:paraId="2711ED16"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lang w:val="es-AR"/>
              </w:rPr>
            </w:pPr>
            <w:r w:rsidRPr="0010523F">
              <w:rPr>
                <w:color w:val="000000"/>
                <w:sz w:val="22"/>
                <w:szCs w:val="22"/>
                <w:lang w:val="es-AR"/>
              </w:rPr>
              <w:t>23</w:t>
            </w:r>
          </w:p>
        </w:tc>
        <w:tc>
          <w:tcPr>
            <w:tcW w:w="1426" w:type="dxa"/>
            <w:vAlign w:val="bottom"/>
          </w:tcPr>
          <w:p w14:paraId="75C123A1"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w:t>
            </w:r>
          </w:p>
        </w:tc>
        <w:tc>
          <w:tcPr>
            <w:tcW w:w="1276" w:type="dxa"/>
            <w:vAlign w:val="bottom"/>
          </w:tcPr>
          <w:p w14:paraId="0D80D200"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w:t>
            </w:r>
          </w:p>
        </w:tc>
        <w:tc>
          <w:tcPr>
            <w:tcW w:w="1417" w:type="dxa"/>
            <w:vAlign w:val="bottom"/>
          </w:tcPr>
          <w:p w14:paraId="2204FCE1"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211</w:t>
            </w:r>
          </w:p>
        </w:tc>
        <w:tc>
          <w:tcPr>
            <w:tcW w:w="1278" w:type="dxa"/>
            <w:vAlign w:val="bottom"/>
          </w:tcPr>
          <w:p w14:paraId="34660407"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lang w:val="es-AR"/>
              </w:rPr>
            </w:pPr>
            <w:r w:rsidRPr="0010523F">
              <w:rPr>
                <w:color w:val="000000"/>
                <w:sz w:val="22"/>
                <w:szCs w:val="22"/>
                <w:lang w:val="es-AR"/>
              </w:rPr>
              <w:t>220</w:t>
            </w:r>
          </w:p>
        </w:tc>
      </w:tr>
      <w:tr w:rsidR="0010523F" w:rsidRPr="0010523F" w14:paraId="528EFCD0" w14:textId="77777777" w:rsidTr="00774E7E">
        <w:trPr>
          <w:trHeight w:val="113"/>
        </w:trPr>
        <w:tc>
          <w:tcPr>
            <w:tcW w:w="2516" w:type="dxa"/>
            <w:vAlign w:val="bottom"/>
          </w:tcPr>
          <w:p w14:paraId="6F78FD5C" w14:textId="77777777" w:rsidR="0010523F" w:rsidRPr="0010523F" w:rsidRDefault="0010523F" w:rsidP="0010523F">
            <w:pPr>
              <w:autoSpaceDE w:val="0"/>
              <w:autoSpaceDN w:val="0"/>
              <w:adjustRightInd w:val="0"/>
              <w:spacing w:line="220" w:lineRule="exact"/>
              <w:ind w:left="142" w:hanging="142"/>
              <w:rPr>
                <w:color w:val="000000"/>
                <w:sz w:val="22"/>
                <w:szCs w:val="22"/>
                <w:lang w:val="es-AR"/>
              </w:rPr>
            </w:pPr>
            <w:r w:rsidRPr="0010523F">
              <w:rPr>
                <w:color w:val="000000"/>
                <w:sz w:val="22"/>
                <w:szCs w:val="22"/>
                <w:lang w:val="es-AR"/>
              </w:rPr>
              <w:t xml:space="preserve">   En dólares</w:t>
            </w:r>
          </w:p>
        </w:tc>
        <w:tc>
          <w:tcPr>
            <w:tcW w:w="1267" w:type="dxa"/>
            <w:vAlign w:val="bottom"/>
          </w:tcPr>
          <w:p w14:paraId="0F9C9A5A"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u w:val="single"/>
                <w:lang w:val="es-AR"/>
              </w:rPr>
            </w:pPr>
            <w:r w:rsidRPr="0010523F">
              <w:rPr>
                <w:color w:val="000000"/>
                <w:sz w:val="22"/>
                <w:szCs w:val="22"/>
                <w:u w:val="single"/>
                <w:lang w:val="es-AR"/>
              </w:rPr>
              <w:t xml:space="preserve">  357</w:t>
            </w:r>
          </w:p>
        </w:tc>
        <w:tc>
          <w:tcPr>
            <w:tcW w:w="1426" w:type="dxa"/>
            <w:vAlign w:val="bottom"/>
          </w:tcPr>
          <w:p w14:paraId="05DA1FC7"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11</w:t>
            </w:r>
          </w:p>
        </w:tc>
        <w:tc>
          <w:tcPr>
            <w:tcW w:w="1276" w:type="dxa"/>
            <w:vAlign w:val="bottom"/>
          </w:tcPr>
          <w:p w14:paraId="1C01C7CC"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1.835</w:t>
            </w:r>
          </w:p>
        </w:tc>
        <w:tc>
          <w:tcPr>
            <w:tcW w:w="1417" w:type="dxa"/>
            <w:vAlign w:val="bottom"/>
          </w:tcPr>
          <w:p w14:paraId="0B5AA0EC"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 xml:space="preserve">     -</w:t>
            </w:r>
          </w:p>
        </w:tc>
        <w:tc>
          <w:tcPr>
            <w:tcW w:w="1278" w:type="dxa"/>
            <w:vAlign w:val="bottom"/>
          </w:tcPr>
          <w:p w14:paraId="2EDC3FF9"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highlight w:val="yellow"/>
                <w:u w:val="single"/>
                <w:lang w:val="es-AR"/>
              </w:rPr>
            </w:pPr>
            <w:r w:rsidRPr="0010523F">
              <w:rPr>
                <w:color w:val="000000"/>
                <w:sz w:val="22"/>
                <w:szCs w:val="22"/>
                <w:u w:val="single"/>
                <w:lang w:val="es-AR"/>
              </w:rPr>
              <w:t xml:space="preserve"> 704</w:t>
            </w:r>
          </w:p>
        </w:tc>
      </w:tr>
      <w:tr w:rsidR="0010523F" w:rsidRPr="0010523F" w14:paraId="154E1DA3" w14:textId="77777777" w:rsidTr="00774E7E">
        <w:trPr>
          <w:trHeight w:val="113"/>
        </w:trPr>
        <w:tc>
          <w:tcPr>
            <w:tcW w:w="2516" w:type="dxa"/>
            <w:vAlign w:val="bottom"/>
          </w:tcPr>
          <w:p w14:paraId="52858ABB" w14:textId="77777777" w:rsidR="0010523F" w:rsidRPr="0010523F" w:rsidRDefault="0010523F" w:rsidP="0010523F">
            <w:pPr>
              <w:autoSpaceDE w:val="0"/>
              <w:autoSpaceDN w:val="0"/>
              <w:adjustRightInd w:val="0"/>
              <w:spacing w:line="140" w:lineRule="exact"/>
              <w:jc w:val="both"/>
              <w:rPr>
                <w:sz w:val="22"/>
                <w:szCs w:val="22"/>
                <w:lang w:val="es-AR" w:eastAsia="en-US"/>
              </w:rPr>
            </w:pPr>
          </w:p>
        </w:tc>
        <w:tc>
          <w:tcPr>
            <w:tcW w:w="1267" w:type="dxa"/>
            <w:vAlign w:val="bottom"/>
          </w:tcPr>
          <w:p w14:paraId="68281999"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c>
          <w:tcPr>
            <w:tcW w:w="1426" w:type="dxa"/>
            <w:vAlign w:val="bottom"/>
          </w:tcPr>
          <w:p w14:paraId="656AF179"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c>
          <w:tcPr>
            <w:tcW w:w="1276" w:type="dxa"/>
            <w:vAlign w:val="bottom"/>
          </w:tcPr>
          <w:p w14:paraId="52BEA891"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c>
          <w:tcPr>
            <w:tcW w:w="1417" w:type="dxa"/>
            <w:vAlign w:val="bottom"/>
          </w:tcPr>
          <w:p w14:paraId="775594F2"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c>
          <w:tcPr>
            <w:tcW w:w="1278" w:type="dxa"/>
            <w:vAlign w:val="bottom"/>
          </w:tcPr>
          <w:p w14:paraId="293FF2B0" w14:textId="77777777" w:rsidR="0010523F" w:rsidRPr="0010523F" w:rsidRDefault="0010523F" w:rsidP="0010523F">
            <w:pPr>
              <w:autoSpaceDE w:val="0"/>
              <w:autoSpaceDN w:val="0"/>
              <w:adjustRightInd w:val="0"/>
              <w:spacing w:line="140" w:lineRule="exact"/>
              <w:jc w:val="right"/>
              <w:rPr>
                <w:sz w:val="22"/>
                <w:szCs w:val="22"/>
                <w:highlight w:val="yellow"/>
                <w:lang w:val="es-AR" w:eastAsia="en-US"/>
              </w:rPr>
            </w:pPr>
          </w:p>
        </w:tc>
      </w:tr>
      <w:tr w:rsidR="0010523F" w:rsidRPr="0010523F" w14:paraId="32EFF5D7" w14:textId="77777777" w:rsidTr="00774E7E">
        <w:trPr>
          <w:trHeight w:val="113"/>
        </w:trPr>
        <w:tc>
          <w:tcPr>
            <w:tcW w:w="2516" w:type="dxa"/>
            <w:vAlign w:val="bottom"/>
          </w:tcPr>
          <w:p w14:paraId="70D3A591" w14:textId="77777777" w:rsidR="0010523F" w:rsidRPr="0010523F" w:rsidRDefault="0010523F" w:rsidP="0010523F">
            <w:pPr>
              <w:autoSpaceDE w:val="0"/>
              <w:autoSpaceDN w:val="0"/>
              <w:adjustRightInd w:val="0"/>
              <w:spacing w:line="220" w:lineRule="exact"/>
              <w:rPr>
                <w:color w:val="000000"/>
                <w:sz w:val="22"/>
                <w:szCs w:val="22"/>
                <w:lang w:val="es-AR"/>
              </w:rPr>
            </w:pPr>
            <w:r w:rsidRPr="0010523F">
              <w:rPr>
                <w:color w:val="000000"/>
                <w:sz w:val="22"/>
                <w:szCs w:val="22"/>
                <w:lang w:val="es-AR"/>
              </w:rPr>
              <w:t>Total</w:t>
            </w:r>
          </w:p>
        </w:tc>
        <w:tc>
          <w:tcPr>
            <w:tcW w:w="1267" w:type="dxa"/>
            <w:vAlign w:val="bottom"/>
          </w:tcPr>
          <w:p w14:paraId="0283A417" w14:textId="77777777" w:rsidR="0010523F" w:rsidRPr="0010523F" w:rsidRDefault="0010523F" w:rsidP="0010523F">
            <w:pPr>
              <w:autoSpaceDE w:val="0"/>
              <w:autoSpaceDN w:val="0"/>
              <w:adjustRightInd w:val="0"/>
              <w:spacing w:line="220" w:lineRule="exact"/>
              <w:ind w:left="-94"/>
              <w:jc w:val="right"/>
              <w:rPr>
                <w:color w:val="000000"/>
                <w:sz w:val="22"/>
                <w:szCs w:val="22"/>
                <w:highlight w:val="yellow"/>
                <w:u w:val="double"/>
                <w:lang w:val="es-AR"/>
              </w:rPr>
            </w:pPr>
            <w:r w:rsidRPr="0010523F">
              <w:rPr>
                <w:color w:val="000000"/>
                <w:sz w:val="22"/>
                <w:szCs w:val="22"/>
                <w:u w:val="double"/>
                <w:lang w:val="es-AR"/>
              </w:rPr>
              <w:t xml:space="preserve">  380</w:t>
            </w:r>
          </w:p>
        </w:tc>
        <w:tc>
          <w:tcPr>
            <w:tcW w:w="1426" w:type="dxa"/>
            <w:vAlign w:val="bottom"/>
          </w:tcPr>
          <w:p w14:paraId="0F3AB5F0"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11</w:t>
            </w:r>
          </w:p>
        </w:tc>
        <w:tc>
          <w:tcPr>
            <w:tcW w:w="1276" w:type="dxa"/>
            <w:vAlign w:val="bottom"/>
          </w:tcPr>
          <w:p w14:paraId="5A6278C7" w14:textId="77777777" w:rsidR="0010523F" w:rsidRPr="0010523F" w:rsidRDefault="0010523F" w:rsidP="0010523F">
            <w:pPr>
              <w:tabs>
                <w:tab w:val="decimal" w:pos="843"/>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1.835</w:t>
            </w:r>
          </w:p>
        </w:tc>
        <w:tc>
          <w:tcPr>
            <w:tcW w:w="1417" w:type="dxa"/>
            <w:vAlign w:val="bottom"/>
          </w:tcPr>
          <w:p w14:paraId="0EC04ACE" w14:textId="77777777" w:rsidR="0010523F" w:rsidRPr="0010523F" w:rsidRDefault="0010523F" w:rsidP="0010523F">
            <w:pPr>
              <w:tabs>
                <w:tab w:val="decimal" w:pos="1011"/>
              </w:tabs>
              <w:autoSpaceDE w:val="0"/>
              <w:autoSpaceDN w:val="0"/>
              <w:adjustRightInd w:val="0"/>
              <w:spacing w:line="220" w:lineRule="exact"/>
              <w:jc w:val="right"/>
              <w:rPr>
                <w:color w:val="000000"/>
                <w:sz w:val="22"/>
                <w:szCs w:val="22"/>
                <w:highlight w:val="yellow"/>
                <w:u w:val="double"/>
                <w:lang w:val="es-AR"/>
              </w:rPr>
            </w:pPr>
            <w:r w:rsidRPr="0010523F">
              <w:rPr>
                <w:color w:val="000000"/>
                <w:sz w:val="22"/>
                <w:szCs w:val="22"/>
                <w:u w:val="double"/>
                <w:lang w:val="es-AR"/>
              </w:rPr>
              <w:t>211</w:t>
            </w:r>
          </w:p>
        </w:tc>
        <w:tc>
          <w:tcPr>
            <w:tcW w:w="1278" w:type="dxa"/>
            <w:vAlign w:val="bottom"/>
          </w:tcPr>
          <w:p w14:paraId="02027284" w14:textId="77777777" w:rsidR="0010523F" w:rsidRPr="0010523F" w:rsidRDefault="0010523F" w:rsidP="0010523F">
            <w:pPr>
              <w:tabs>
                <w:tab w:val="decimal" w:pos="872"/>
              </w:tabs>
              <w:autoSpaceDE w:val="0"/>
              <w:autoSpaceDN w:val="0"/>
              <w:adjustRightInd w:val="0"/>
              <w:spacing w:line="220" w:lineRule="exact"/>
              <w:jc w:val="right"/>
              <w:rPr>
                <w:color w:val="000000"/>
                <w:sz w:val="22"/>
                <w:szCs w:val="22"/>
                <w:u w:val="double"/>
                <w:lang w:val="es-AR"/>
              </w:rPr>
            </w:pPr>
            <w:r w:rsidRPr="0010523F">
              <w:rPr>
                <w:color w:val="000000"/>
                <w:sz w:val="22"/>
                <w:szCs w:val="22"/>
                <w:u w:val="double"/>
                <w:lang w:val="es-AR"/>
              </w:rPr>
              <w:t xml:space="preserve"> 924</w:t>
            </w:r>
          </w:p>
        </w:tc>
      </w:tr>
    </w:tbl>
    <w:p w14:paraId="3AB70250" w14:textId="77777777" w:rsidR="0010523F" w:rsidRPr="0010523F" w:rsidRDefault="0010523F" w:rsidP="0010523F">
      <w:pPr>
        <w:spacing w:line="220" w:lineRule="exact"/>
        <w:rPr>
          <w:lang w:val="es-AR" w:eastAsia="en-US"/>
        </w:rPr>
      </w:pPr>
    </w:p>
    <w:p w14:paraId="19E0934D" w14:textId="77777777" w:rsidR="0010523F" w:rsidRPr="0010523F" w:rsidRDefault="0010523F" w:rsidP="0010523F">
      <w:pPr>
        <w:tabs>
          <w:tab w:val="left" w:pos="1418"/>
        </w:tabs>
        <w:spacing w:line="220" w:lineRule="exact"/>
        <w:jc w:val="both"/>
        <w:rPr>
          <w:lang w:val="es-AR" w:eastAsia="en-US"/>
        </w:rPr>
      </w:pPr>
      <w:r w:rsidRPr="0010523F">
        <w:rPr>
          <w:lang w:val="es-AR" w:eastAsia="en-US"/>
        </w:rPr>
        <w:t>Las compensaciones del personal clave de la Administración de la Sucursal son las siguientes:</w:t>
      </w:r>
    </w:p>
    <w:p w14:paraId="577FBB73" w14:textId="77777777" w:rsidR="0010523F" w:rsidRPr="0010523F" w:rsidRDefault="0010523F" w:rsidP="0010523F">
      <w:pPr>
        <w:spacing w:line="220" w:lineRule="exact"/>
        <w:jc w:val="both"/>
        <w:rPr>
          <w:lang w:val="es-AR" w:eastAsia="en-US"/>
        </w:rPr>
      </w:pPr>
    </w:p>
    <w:tbl>
      <w:tblPr>
        <w:tblW w:w="9639" w:type="dxa"/>
        <w:tblLayout w:type="fixed"/>
        <w:tblLook w:val="0000" w:firstRow="0" w:lastRow="0" w:firstColumn="0" w:lastColumn="0" w:noHBand="0" w:noVBand="0"/>
      </w:tblPr>
      <w:tblGrid>
        <w:gridCol w:w="5245"/>
        <w:gridCol w:w="2268"/>
        <w:gridCol w:w="2126"/>
      </w:tblGrid>
      <w:tr w:rsidR="0010523F" w:rsidRPr="0010523F" w14:paraId="27727819" w14:textId="77777777" w:rsidTr="00774E7E">
        <w:tc>
          <w:tcPr>
            <w:tcW w:w="5245" w:type="dxa"/>
          </w:tcPr>
          <w:p w14:paraId="5A4719BF" w14:textId="77777777" w:rsidR="0010523F" w:rsidRPr="0010523F" w:rsidRDefault="0010523F" w:rsidP="0010523F">
            <w:pPr>
              <w:jc w:val="both"/>
              <w:rPr>
                <w:lang w:val="es-AR" w:eastAsia="en-US"/>
              </w:rPr>
            </w:pPr>
          </w:p>
        </w:tc>
        <w:tc>
          <w:tcPr>
            <w:tcW w:w="4394" w:type="dxa"/>
            <w:gridSpan w:val="2"/>
          </w:tcPr>
          <w:p w14:paraId="74B38E99" w14:textId="77777777" w:rsidR="0010523F" w:rsidRPr="0010523F" w:rsidRDefault="0010523F" w:rsidP="0010523F">
            <w:pPr>
              <w:ind w:left="-77"/>
              <w:jc w:val="center"/>
              <w:rPr>
                <w:u w:val="single"/>
                <w:lang w:val="es-AR" w:eastAsia="en-US"/>
              </w:rPr>
            </w:pPr>
            <w:r w:rsidRPr="0010523F">
              <w:rPr>
                <w:u w:val="single"/>
                <w:lang w:val="es-AR" w:eastAsia="en-US"/>
              </w:rPr>
              <w:t>Por el período de nueve meses finalizado el</w:t>
            </w:r>
          </w:p>
        </w:tc>
      </w:tr>
      <w:tr w:rsidR="0010523F" w:rsidRPr="0010523F" w14:paraId="16C6972E" w14:textId="77777777" w:rsidTr="00774E7E">
        <w:trPr>
          <w:trHeight w:val="57"/>
        </w:trPr>
        <w:tc>
          <w:tcPr>
            <w:tcW w:w="5245" w:type="dxa"/>
          </w:tcPr>
          <w:p w14:paraId="6D761BF0" w14:textId="77777777" w:rsidR="0010523F" w:rsidRPr="0010523F" w:rsidRDefault="0010523F" w:rsidP="0010523F">
            <w:pPr>
              <w:spacing w:line="120" w:lineRule="exact"/>
              <w:jc w:val="both"/>
              <w:rPr>
                <w:lang w:val="es-AR" w:eastAsia="en-US"/>
              </w:rPr>
            </w:pPr>
          </w:p>
        </w:tc>
        <w:tc>
          <w:tcPr>
            <w:tcW w:w="2268" w:type="dxa"/>
          </w:tcPr>
          <w:p w14:paraId="671AC39E" w14:textId="77777777" w:rsidR="0010523F" w:rsidRPr="0010523F" w:rsidRDefault="0010523F" w:rsidP="0010523F">
            <w:pPr>
              <w:spacing w:line="120" w:lineRule="exact"/>
              <w:jc w:val="both"/>
              <w:rPr>
                <w:lang w:val="es-AR" w:eastAsia="en-US"/>
              </w:rPr>
            </w:pPr>
          </w:p>
        </w:tc>
        <w:tc>
          <w:tcPr>
            <w:tcW w:w="2126" w:type="dxa"/>
          </w:tcPr>
          <w:p w14:paraId="08CF60F0" w14:textId="77777777" w:rsidR="0010523F" w:rsidRPr="0010523F" w:rsidRDefault="0010523F" w:rsidP="0010523F">
            <w:pPr>
              <w:spacing w:line="120" w:lineRule="exact"/>
              <w:jc w:val="both"/>
              <w:rPr>
                <w:lang w:val="es-AR" w:eastAsia="en-US"/>
              </w:rPr>
            </w:pPr>
          </w:p>
        </w:tc>
      </w:tr>
      <w:tr w:rsidR="0010523F" w:rsidRPr="0010523F" w14:paraId="0762681E" w14:textId="77777777" w:rsidTr="00774E7E">
        <w:tc>
          <w:tcPr>
            <w:tcW w:w="5245" w:type="dxa"/>
          </w:tcPr>
          <w:p w14:paraId="5BA277D5" w14:textId="77777777" w:rsidR="0010523F" w:rsidRPr="0010523F" w:rsidRDefault="0010523F" w:rsidP="0010523F">
            <w:pPr>
              <w:jc w:val="both"/>
              <w:rPr>
                <w:lang w:val="es-AR" w:eastAsia="en-US"/>
              </w:rPr>
            </w:pPr>
          </w:p>
        </w:tc>
        <w:tc>
          <w:tcPr>
            <w:tcW w:w="2268" w:type="dxa"/>
          </w:tcPr>
          <w:p w14:paraId="02DC0218" w14:textId="77777777" w:rsidR="0010523F" w:rsidRPr="0010523F" w:rsidRDefault="0010523F" w:rsidP="0010523F">
            <w:pPr>
              <w:ind w:left="147" w:right="-269"/>
              <w:jc w:val="center"/>
              <w:rPr>
                <w:u w:val="single"/>
                <w:lang w:val="es-AR" w:eastAsia="en-US"/>
              </w:rPr>
            </w:pPr>
            <w:r w:rsidRPr="0010523F">
              <w:rPr>
                <w:u w:val="single"/>
                <w:lang w:val="es-AR" w:eastAsia="en-US"/>
              </w:rPr>
              <w:t>30/09/2019</w:t>
            </w:r>
          </w:p>
        </w:tc>
        <w:tc>
          <w:tcPr>
            <w:tcW w:w="2126" w:type="dxa"/>
          </w:tcPr>
          <w:p w14:paraId="4D4912C8" w14:textId="77777777" w:rsidR="0010523F" w:rsidRPr="0010523F" w:rsidRDefault="0010523F" w:rsidP="0010523F">
            <w:pPr>
              <w:ind w:right="-108"/>
              <w:jc w:val="center"/>
              <w:rPr>
                <w:u w:val="single"/>
                <w:lang w:val="es-AR" w:eastAsia="en-US"/>
              </w:rPr>
            </w:pPr>
            <w:r w:rsidRPr="0010523F">
              <w:rPr>
                <w:u w:val="single"/>
                <w:lang w:val="es-AR" w:eastAsia="en-US"/>
              </w:rPr>
              <w:t>30/09/2018</w:t>
            </w:r>
          </w:p>
        </w:tc>
      </w:tr>
      <w:tr w:rsidR="0010523F" w:rsidRPr="0010523F" w14:paraId="6A1F7FD3" w14:textId="77777777" w:rsidTr="00774E7E">
        <w:trPr>
          <w:trHeight w:val="113"/>
        </w:trPr>
        <w:tc>
          <w:tcPr>
            <w:tcW w:w="5245" w:type="dxa"/>
          </w:tcPr>
          <w:p w14:paraId="6540E8C4" w14:textId="77777777" w:rsidR="0010523F" w:rsidRPr="0010523F" w:rsidRDefault="0010523F" w:rsidP="0010523F">
            <w:pPr>
              <w:spacing w:line="120" w:lineRule="exact"/>
              <w:jc w:val="both"/>
              <w:rPr>
                <w:lang w:val="es-AR" w:eastAsia="en-US"/>
              </w:rPr>
            </w:pPr>
          </w:p>
        </w:tc>
        <w:tc>
          <w:tcPr>
            <w:tcW w:w="2268" w:type="dxa"/>
          </w:tcPr>
          <w:p w14:paraId="062E84F1" w14:textId="77777777" w:rsidR="0010523F" w:rsidRPr="0010523F" w:rsidRDefault="0010523F" w:rsidP="0010523F">
            <w:pPr>
              <w:spacing w:line="120" w:lineRule="exact"/>
              <w:jc w:val="both"/>
              <w:rPr>
                <w:lang w:val="es-AR" w:eastAsia="en-US"/>
              </w:rPr>
            </w:pPr>
          </w:p>
        </w:tc>
        <w:tc>
          <w:tcPr>
            <w:tcW w:w="2126" w:type="dxa"/>
          </w:tcPr>
          <w:p w14:paraId="41AECDF1" w14:textId="77777777" w:rsidR="0010523F" w:rsidRPr="0010523F" w:rsidRDefault="0010523F" w:rsidP="0010523F">
            <w:pPr>
              <w:spacing w:line="120" w:lineRule="exact"/>
              <w:jc w:val="both"/>
              <w:rPr>
                <w:lang w:val="es-AR" w:eastAsia="en-US"/>
              </w:rPr>
            </w:pPr>
          </w:p>
        </w:tc>
      </w:tr>
      <w:tr w:rsidR="0010523F" w:rsidRPr="0010523F" w14:paraId="5E249A5A" w14:textId="77777777" w:rsidTr="00774E7E">
        <w:tc>
          <w:tcPr>
            <w:tcW w:w="5245" w:type="dxa"/>
          </w:tcPr>
          <w:p w14:paraId="5577A35C" w14:textId="77777777" w:rsidR="0010523F" w:rsidRPr="0010523F" w:rsidRDefault="0010523F" w:rsidP="0010523F">
            <w:pPr>
              <w:jc w:val="both"/>
              <w:rPr>
                <w:lang w:val="es-AR" w:eastAsia="en-US"/>
              </w:rPr>
            </w:pPr>
            <w:r w:rsidRPr="0010523F">
              <w:rPr>
                <w:lang w:val="es-AR" w:eastAsia="en-US"/>
              </w:rPr>
              <w:t>Beneficios de corto plazo</w:t>
            </w:r>
          </w:p>
        </w:tc>
        <w:tc>
          <w:tcPr>
            <w:tcW w:w="2268" w:type="dxa"/>
            <w:shd w:val="clear" w:color="auto" w:fill="auto"/>
          </w:tcPr>
          <w:p w14:paraId="69C2D4DD" w14:textId="77777777" w:rsidR="0010523F" w:rsidRPr="0010523F" w:rsidRDefault="0010523F" w:rsidP="0010523F">
            <w:pPr>
              <w:tabs>
                <w:tab w:val="left" w:pos="1168"/>
              </w:tabs>
              <w:ind w:right="322"/>
              <w:jc w:val="right"/>
              <w:rPr>
                <w:lang w:val="es-AR" w:eastAsia="en-US"/>
              </w:rPr>
            </w:pPr>
            <w:r w:rsidRPr="0010523F">
              <w:rPr>
                <w:lang w:val="es-AR" w:eastAsia="en-US"/>
              </w:rPr>
              <w:t>540</w:t>
            </w:r>
          </w:p>
        </w:tc>
        <w:tc>
          <w:tcPr>
            <w:tcW w:w="2126" w:type="dxa"/>
          </w:tcPr>
          <w:p w14:paraId="726D1752" w14:textId="77777777" w:rsidR="0010523F" w:rsidRPr="0010523F" w:rsidRDefault="0010523F" w:rsidP="0010523F">
            <w:pPr>
              <w:ind w:right="288"/>
              <w:jc w:val="right"/>
              <w:rPr>
                <w:lang w:val="es-AR" w:eastAsia="en-US"/>
              </w:rPr>
            </w:pPr>
            <w:r w:rsidRPr="0010523F">
              <w:rPr>
                <w:lang w:val="es-AR" w:eastAsia="en-US"/>
              </w:rPr>
              <w:t>383</w:t>
            </w:r>
          </w:p>
        </w:tc>
      </w:tr>
      <w:tr w:rsidR="0010523F" w:rsidRPr="0010523F" w14:paraId="7F760DDE" w14:textId="77777777" w:rsidTr="00774E7E">
        <w:tc>
          <w:tcPr>
            <w:tcW w:w="5245" w:type="dxa"/>
          </w:tcPr>
          <w:p w14:paraId="3D424863" w14:textId="77777777" w:rsidR="0010523F" w:rsidRPr="0010523F" w:rsidRDefault="0010523F" w:rsidP="0010523F">
            <w:pPr>
              <w:jc w:val="both"/>
              <w:rPr>
                <w:lang w:val="es-AR" w:eastAsia="en-US"/>
              </w:rPr>
            </w:pPr>
            <w:r w:rsidRPr="0010523F">
              <w:rPr>
                <w:lang w:val="es-AR" w:eastAsia="en-US"/>
              </w:rPr>
              <w:t>Beneficios de terminación y post empleo</w:t>
            </w:r>
          </w:p>
        </w:tc>
        <w:tc>
          <w:tcPr>
            <w:tcW w:w="2268" w:type="dxa"/>
            <w:shd w:val="clear" w:color="auto" w:fill="auto"/>
          </w:tcPr>
          <w:p w14:paraId="32DFC1B3" w14:textId="77777777" w:rsidR="0010523F" w:rsidRPr="0010523F" w:rsidRDefault="0010523F" w:rsidP="0010523F">
            <w:pPr>
              <w:tabs>
                <w:tab w:val="left" w:pos="1168"/>
              </w:tabs>
              <w:ind w:right="322"/>
              <w:jc w:val="right"/>
              <w:rPr>
                <w:u w:val="single"/>
                <w:lang w:val="es-AR" w:eastAsia="en-US"/>
              </w:rPr>
            </w:pPr>
            <w:r w:rsidRPr="0010523F">
              <w:rPr>
                <w:u w:val="single"/>
                <w:lang w:val="es-AR" w:eastAsia="en-US"/>
              </w:rPr>
              <w:t xml:space="preserve">    1</w:t>
            </w:r>
          </w:p>
        </w:tc>
        <w:tc>
          <w:tcPr>
            <w:tcW w:w="2126" w:type="dxa"/>
          </w:tcPr>
          <w:p w14:paraId="4D16D1A9" w14:textId="77777777" w:rsidR="0010523F" w:rsidRPr="0010523F" w:rsidRDefault="0010523F" w:rsidP="0010523F">
            <w:pPr>
              <w:ind w:right="288"/>
              <w:jc w:val="right"/>
              <w:rPr>
                <w:u w:val="single"/>
                <w:lang w:val="es-AR" w:eastAsia="en-US"/>
              </w:rPr>
            </w:pPr>
            <w:r w:rsidRPr="0010523F">
              <w:rPr>
                <w:u w:val="single"/>
                <w:lang w:val="es-AR" w:eastAsia="en-US"/>
              </w:rPr>
              <w:t xml:space="preserve">  35</w:t>
            </w:r>
          </w:p>
        </w:tc>
      </w:tr>
      <w:tr w:rsidR="0010523F" w:rsidRPr="0010523F" w14:paraId="626C578F" w14:textId="77777777" w:rsidTr="00774E7E">
        <w:trPr>
          <w:trHeight w:val="80"/>
        </w:trPr>
        <w:tc>
          <w:tcPr>
            <w:tcW w:w="5245" w:type="dxa"/>
          </w:tcPr>
          <w:p w14:paraId="6EFEF6CE" w14:textId="77777777" w:rsidR="0010523F" w:rsidRPr="0010523F" w:rsidRDefault="0010523F" w:rsidP="0010523F">
            <w:pPr>
              <w:jc w:val="both"/>
              <w:rPr>
                <w:lang w:val="es-AR" w:eastAsia="en-US"/>
              </w:rPr>
            </w:pPr>
          </w:p>
        </w:tc>
        <w:tc>
          <w:tcPr>
            <w:tcW w:w="2268" w:type="dxa"/>
            <w:shd w:val="clear" w:color="auto" w:fill="auto"/>
          </w:tcPr>
          <w:p w14:paraId="464F3219" w14:textId="77777777" w:rsidR="0010523F" w:rsidRPr="0010523F" w:rsidRDefault="0010523F" w:rsidP="0010523F">
            <w:pPr>
              <w:tabs>
                <w:tab w:val="left" w:pos="1168"/>
              </w:tabs>
              <w:ind w:right="322"/>
              <w:jc w:val="right"/>
              <w:rPr>
                <w:u w:val="double"/>
                <w:lang w:val="es-AR" w:eastAsia="en-US"/>
              </w:rPr>
            </w:pPr>
            <w:r w:rsidRPr="0010523F">
              <w:rPr>
                <w:u w:val="double"/>
                <w:lang w:val="es-AR" w:eastAsia="en-US"/>
              </w:rPr>
              <w:t>541</w:t>
            </w:r>
          </w:p>
        </w:tc>
        <w:tc>
          <w:tcPr>
            <w:tcW w:w="2126" w:type="dxa"/>
          </w:tcPr>
          <w:p w14:paraId="6741CD42" w14:textId="77777777" w:rsidR="0010523F" w:rsidRPr="0010523F" w:rsidRDefault="0010523F" w:rsidP="0010523F">
            <w:pPr>
              <w:ind w:right="288"/>
              <w:jc w:val="right"/>
              <w:rPr>
                <w:u w:val="double"/>
                <w:lang w:val="es-AR" w:eastAsia="en-US"/>
              </w:rPr>
            </w:pPr>
            <w:r w:rsidRPr="0010523F">
              <w:rPr>
                <w:u w:val="double"/>
                <w:lang w:val="es-AR" w:eastAsia="en-US"/>
              </w:rPr>
              <w:t>418</w:t>
            </w:r>
          </w:p>
        </w:tc>
      </w:tr>
    </w:tbl>
    <w:p w14:paraId="7167E914" w14:textId="77777777" w:rsidR="0010523F" w:rsidRPr="0010523F" w:rsidRDefault="0010523F" w:rsidP="0010523F">
      <w:pPr>
        <w:keepNext/>
        <w:tabs>
          <w:tab w:val="right" w:pos="5596"/>
        </w:tabs>
        <w:spacing w:before="240" w:line="220" w:lineRule="exact"/>
        <w:jc w:val="both"/>
        <w:outlineLvl w:val="0"/>
        <w:rPr>
          <w:b/>
          <w:szCs w:val="20"/>
          <w:lang w:val="es-AR" w:eastAsia="en-US"/>
        </w:rPr>
      </w:pPr>
      <w:r w:rsidRPr="0010523F">
        <w:rPr>
          <w:b/>
          <w:szCs w:val="20"/>
          <w:lang w:val="es-AR" w:eastAsia="en-US"/>
        </w:rPr>
        <w:t>NOTA 9 - GARANTÍAS, OTROS COMPROMISOS Y CONTINGENCIAS</w:t>
      </w:r>
    </w:p>
    <w:p w14:paraId="3A65A631" w14:textId="77777777" w:rsidR="0010523F" w:rsidRPr="0010523F" w:rsidRDefault="0010523F" w:rsidP="0010523F">
      <w:pPr>
        <w:tabs>
          <w:tab w:val="left" w:pos="567"/>
          <w:tab w:val="decimal" w:pos="7797"/>
          <w:tab w:val="decimal" w:pos="9498"/>
        </w:tabs>
        <w:spacing w:line="180" w:lineRule="exact"/>
        <w:jc w:val="both"/>
        <w:rPr>
          <w:lang w:val="es-AR" w:eastAsia="en-US"/>
        </w:rPr>
      </w:pPr>
    </w:p>
    <w:p w14:paraId="68A57E70" w14:textId="77777777" w:rsidR="0010523F" w:rsidRPr="0010523F" w:rsidRDefault="0010523F" w:rsidP="0010523F">
      <w:pPr>
        <w:tabs>
          <w:tab w:val="left" w:pos="1418"/>
        </w:tabs>
        <w:jc w:val="both"/>
        <w:rPr>
          <w:lang w:val="es-AR" w:eastAsia="en-US"/>
        </w:rPr>
      </w:pPr>
      <w:r w:rsidRPr="0010523F">
        <w:rPr>
          <w:lang w:val="es-AR" w:eastAsia="en-US"/>
        </w:rPr>
        <w:t xml:space="preserve">La Sucursal ha otorgado garantías relacionadas con compromisos de inversión y otras obligaciones referidas a operaciones realizadas en el curso normal de los negocios, por requerimientos de diversos organismos de control. Al 30 de septiembre de 2019 las mismas ascendían a 5.681 y US$ 45 millones.   </w:t>
      </w:r>
    </w:p>
    <w:p w14:paraId="2FF08A52" w14:textId="77777777" w:rsidR="0010523F" w:rsidRPr="0010523F" w:rsidRDefault="0010523F" w:rsidP="0010523F">
      <w:pPr>
        <w:tabs>
          <w:tab w:val="left" w:pos="567"/>
          <w:tab w:val="decimal" w:pos="7797"/>
          <w:tab w:val="decimal" w:pos="9498"/>
        </w:tabs>
        <w:spacing w:line="180" w:lineRule="exact"/>
        <w:jc w:val="both"/>
        <w:rPr>
          <w:rFonts w:ascii="New York" w:hAnsi="New York"/>
          <w:lang w:val="es-AR" w:eastAsia="en-US"/>
        </w:rPr>
      </w:pPr>
    </w:p>
    <w:p w14:paraId="39F73A64" w14:textId="77777777" w:rsidR="0010523F" w:rsidRPr="0010523F" w:rsidRDefault="0010523F" w:rsidP="0010523F">
      <w:pPr>
        <w:tabs>
          <w:tab w:val="left" w:pos="1418"/>
        </w:tabs>
        <w:jc w:val="both"/>
        <w:rPr>
          <w:lang w:val="es-AR" w:eastAsia="en-US"/>
        </w:rPr>
      </w:pPr>
      <w:r w:rsidRPr="0010523F">
        <w:rPr>
          <w:lang w:val="es-AR" w:eastAsia="en-US"/>
        </w:rPr>
        <w:t xml:space="preserve">Las condiciones pactadas en algunos contratos de préstamos y de emisión de obligaciones negociables incluyen compromisos asumidos por la Sucursal referidos al mantenimiento de determinados índices de endeudamiento y de cobertura del servicio de la deuda. </w:t>
      </w:r>
    </w:p>
    <w:p w14:paraId="5C87D68F" w14:textId="77777777" w:rsidR="0010523F" w:rsidRPr="0010523F" w:rsidRDefault="0010523F" w:rsidP="0010523F">
      <w:pPr>
        <w:tabs>
          <w:tab w:val="left" w:pos="567"/>
          <w:tab w:val="decimal" w:pos="7797"/>
          <w:tab w:val="decimal" w:pos="9498"/>
        </w:tabs>
        <w:spacing w:line="180" w:lineRule="exact"/>
        <w:jc w:val="both"/>
        <w:rPr>
          <w:rFonts w:ascii="New York" w:hAnsi="New York"/>
          <w:lang w:val="es-AR" w:eastAsia="en-US"/>
        </w:rPr>
      </w:pPr>
    </w:p>
    <w:p w14:paraId="623F09AF" w14:textId="77777777" w:rsidR="0010523F" w:rsidRPr="0010523F" w:rsidRDefault="0010523F" w:rsidP="0010523F">
      <w:pPr>
        <w:jc w:val="both"/>
        <w:rPr>
          <w:lang w:val="es-AR" w:eastAsia="en-US"/>
        </w:rPr>
      </w:pPr>
      <w:r w:rsidRPr="0010523F">
        <w:rPr>
          <w:lang w:val="es-AR" w:eastAsia="en-US"/>
        </w:rPr>
        <w:t xml:space="preserve">Adicionalmente, la Sucursal es co-garante junto con su Casa Matriz de un préstamo bancario por </w:t>
      </w:r>
      <w:r w:rsidRPr="0010523F">
        <w:rPr>
          <w:lang w:val="es-AR" w:eastAsia="en-US"/>
        </w:rPr>
        <w:br/>
        <w:t>US$ 280 millones otorgado por diversos bancos a la sociedad mexicana Hokchi Energy S.A. de C.V. (subsidiaria de Pan American Energy, S.L.) con fecha 22 de febrero de 2019. El vencimiento final de dicho préstamo es febrero de 2024. Este préstamo ya se ha desembolsado en su totalidad.</w:t>
      </w:r>
    </w:p>
    <w:p w14:paraId="27636155" w14:textId="77777777" w:rsidR="0010523F" w:rsidRPr="0010523F" w:rsidRDefault="0010523F" w:rsidP="0010523F">
      <w:pPr>
        <w:tabs>
          <w:tab w:val="left" w:pos="1418"/>
        </w:tabs>
        <w:jc w:val="both"/>
        <w:rPr>
          <w:rFonts w:ascii="New York" w:hAnsi="New York"/>
          <w:sz w:val="16"/>
          <w:lang w:val="es-AR" w:eastAsia="en-US"/>
        </w:rPr>
      </w:pPr>
    </w:p>
    <w:p w14:paraId="2A99BCCB" w14:textId="77777777" w:rsidR="0010523F" w:rsidRPr="0010523F" w:rsidRDefault="0010523F" w:rsidP="0010523F">
      <w:pPr>
        <w:rPr>
          <w:b/>
          <w:szCs w:val="20"/>
          <w:lang w:val="es-AR" w:eastAsia="en-US"/>
        </w:rPr>
      </w:pPr>
      <w:r w:rsidRPr="0010523F">
        <w:rPr>
          <w:b/>
          <w:szCs w:val="20"/>
          <w:lang w:val="es-AR" w:eastAsia="en-US"/>
        </w:rPr>
        <w:br w:type="page"/>
      </w:r>
    </w:p>
    <w:p w14:paraId="66EC7316" w14:textId="77777777" w:rsidR="0010523F" w:rsidRPr="0010523F" w:rsidRDefault="0010523F" w:rsidP="0010523F">
      <w:pPr>
        <w:spacing w:line="220" w:lineRule="exact"/>
        <w:jc w:val="both"/>
        <w:rPr>
          <w:b/>
          <w:szCs w:val="20"/>
          <w:lang w:val="es-AR" w:eastAsia="en-US"/>
        </w:rPr>
      </w:pPr>
      <w:r w:rsidRPr="0010523F">
        <w:rPr>
          <w:b/>
          <w:szCs w:val="20"/>
          <w:lang w:val="es-AR" w:eastAsia="en-US"/>
        </w:rPr>
        <w:t>NOTA 9 - GARANTÍAS, OTROS COMPROMISOS Y CONTINGENCIAS (cont.)</w:t>
      </w:r>
    </w:p>
    <w:p w14:paraId="18080DCD" w14:textId="77777777" w:rsidR="0010523F" w:rsidRPr="0010523F" w:rsidRDefault="0010523F" w:rsidP="0010523F">
      <w:pPr>
        <w:tabs>
          <w:tab w:val="left" w:pos="1418"/>
        </w:tabs>
        <w:jc w:val="both"/>
        <w:rPr>
          <w:lang w:val="es-AR" w:eastAsia="en-US"/>
        </w:rPr>
      </w:pPr>
    </w:p>
    <w:p w14:paraId="08064027" w14:textId="77777777" w:rsidR="0010523F" w:rsidRPr="0010523F" w:rsidRDefault="0010523F" w:rsidP="0010523F">
      <w:pPr>
        <w:tabs>
          <w:tab w:val="left" w:pos="1418"/>
        </w:tabs>
        <w:jc w:val="both"/>
        <w:rPr>
          <w:lang w:val="es-AR" w:eastAsia="en-US"/>
        </w:rPr>
      </w:pPr>
      <w:r w:rsidRPr="0010523F">
        <w:rPr>
          <w:lang w:val="es-AR" w:eastAsia="en-US"/>
        </w:rPr>
        <w:t>Al 30 de septiembre de 2019 y 2018 y al 31 de diciembre de 2018 la Sucursal cumplía con todos los compromisos asumidos en los contratos de préstamos y de emisión de obligaciones negociables.</w:t>
      </w:r>
    </w:p>
    <w:p w14:paraId="72D7C100" w14:textId="77777777" w:rsidR="0010523F" w:rsidRPr="0010523F" w:rsidRDefault="0010523F" w:rsidP="0010523F">
      <w:pPr>
        <w:tabs>
          <w:tab w:val="left" w:pos="567"/>
          <w:tab w:val="decimal" w:pos="7797"/>
          <w:tab w:val="decimal" w:pos="9498"/>
        </w:tabs>
        <w:spacing w:line="180" w:lineRule="exact"/>
        <w:jc w:val="both"/>
        <w:rPr>
          <w:rFonts w:ascii="New York" w:hAnsi="New York"/>
          <w:sz w:val="16"/>
          <w:lang w:val="es-AR" w:eastAsia="en-US"/>
        </w:rPr>
      </w:pPr>
    </w:p>
    <w:p w14:paraId="5A141CFA" w14:textId="77777777" w:rsidR="0010523F" w:rsidRPr="0010523F" w:rsidRDefault="0010523F" w:rsidP="0010523F">
      <w:pPr>
        <w:tabs>
          <w:tab w:val="left" w:pos="1418"/>
        </w:tabs>
        <w:jc w:val="both"/>
        <w:rPr>
          <w:lang w:val="es-AR" w:eastAsia="en-US"/>
        </w:rPr>
      </w:pPr>
      <w:bookmarkStart w:id="170" w:name="_Hlk16025718"/>
      <w:r w:rsidRPr="0010523F">
        <w:rPr>
          <w:lang w:val="es-AR" w:eastAsia="en-US"/>
        </w:rPr>
        <w:t>La Sucursal asumió los siguientes compromisos:</w:t>
      </w:r>
    </w:p>
    <w:p w14:paraId="50A885F3" w14:textId="77777777" w:rsidR="0010523F" w:rsidRPr="0010523F" w:rsidRDefault="0010523F" w:rsidP="0010523F">
      <w:pPr>
        <w:tabs>
          <w:tab w:val="left" w:pos="567"/>
          <w:tab w:val="decimal" w:pos="7797"/>
          <w:tab w:val="decimal" w:pos="9498"/>
        </w:tabs>
        <w:spacing w:line="180" w:lineRule="exact"/>
        <w:jc w:val="both"/>
        <w:rPr>
          <w:rFonts w:ascii="New York" w:hAnsi="New York"/>
          <w:lang w:val="es-AR" w:eastAsia="en-US"/>
        </w:rPr>
      </w:pPr>
    </w:p>
    <w:p w14:paraId="6C27A107" w14:textId="77777777" w:rsidR="0010523F" w:rsidRPr="0010523F" w:rsidRDefault="0010523F" w:rsidP="00E2318E">
      <w:pPr>
        <w:numPr>
          <w:ilvl w:val="0"/>
          <w:numId w:val="59"/>
        </w:numPr>
        <w:spacing w:line="220" w:lineRule="exact"/>
        <w:ind w:left="426" w:hanging="426"/>
        <w:contextualSpacing/>
        <w:jc w:val="both"/>
        <w:rPr>
          <w:lang w:val="es-AR" w:eastAsia="en-US"/>
        </w:rPr>
      </w:pPr>
      <w:r w:rsidRPr="0010523F">
        <w:rPr>
          <w:lang w:val="es-AR" w:eastAsia="en-US"/>
        </w:rPr>
        <w:t xml:space="preserve">En el marco de la obtención del Certificado de Aptitud Ambiental de la refinería de Campana, se firmó un acuerdo con el Organismo Provincial para el Desarrollo Sostenible (OPDS) en agosto de 2011, el cual se extenderá por un tiempo mínimo de 8 años. Mediante este acuerdo las partes convinieron desarrollar un programa de trabajo con el objetivo de caracterizar y ejecutar las medidas correctivas que correspondan en el suelo y en el agua subterránea freática subyacente a toda la superficie ocupada por la refinería, en virtud de los resultados obtenidos.  </w:t>
      </w:r>
    </w:p>
    <w:p w14:paraId="47597D02" w14:textId="77777777" w:rsidR="0010523F" w:rsidRPr="0010523F" w:rsidRDefault="0010523F" w:rsidP="0010523F">
      <w:pPr>
        <w:ind w:left="426"/>
        <w:contextualSpacing/>
        <w:jc w:val="both"/>
        <w:rPr>
          <w:lang w:val="es-AR" w:eastAsia="en-US"/>
        </w:rPr>
      </w:pPr>
    </w:p>
    <w:p w14:paraId="4F1D8C1E" w14:textId="77777777" w:rsidR="0010523F" w:rsidRPr="0010523F" w:rsidRDefault="0010523F" w:rsidP="00E2318E">
      <w:pPr>
        <w:numPr>
          <w:ilvl w:val="0"/>
          <w:numId w:val="59"/>
        </w:numPr>
        <w:spacing w:line="220" w:lineRule="exact"/>
        <w:ind w:left="426"/>
        <w:contextualSpacing/>
        <w:jc w:val="both"/>
        <w:rPr>
          <w:szCs w:val="20"/>
          <w:lang w:val="es-AR" w:eastAsia="en-US"/>
        </w:rPr>
      </w:pPr>
      <w:r w:rsidRPr="0010523F">
        <w:rPr>
          <w:szCs w:val="20"/>
          <w:lang w:val="es-AR" w:eastAsia="en-US"/>
        </w:rPr>
        <w:t>El proyecto de ampliación de la refinería de Campana continúa en plena ejecución. Éste fue optimizado incrementando la inversión y adicionando nuevas unidades para dar mayor flexibilidad operativa, admitir futuras ampliaciones de la refinería, producir combustibles de mejor calidad y acompañar de manera más eficiente la demanda de combustibles actual.</w:t>
      </w:r>
    </w:p>
    <w:p w14:paraId="3B95454C" w14:textId="77777777" w:rsidR="0010523F" w:rsidRPr="0010523F" w:rsidRDefault="0010523F" w:rsidP="0010523F">
      <w:pPr>
        <w:spacing w:line="220" w:lineRule="exact"/>
        <w:ind w:left="720"/>
        <w:contextualSpacing/>
        <w:jc w:val="both"/>
        <w:rPr>
          <w:sz w:val="16"/>
          <w:highlight w:val="yellow"/>
          <w:lang w:val="es-AR" w:eastAsia="en-US"/>
        </w:rPr>
      </w:pPr>
    </w:p>
    <w:bookmarkEnd w:id="170"/>
    <w:p w14:paraId="68904BC0" w14:textId="77777777" w:rsidR="0010523F" w:rsidRPr="0010523F" w:rsidRDefault="0010523F" w:rsidP="0010523F">
      <w:pPr>
        <w:jc w:val="both"/>
        <w:rPr>
          <w:lang w:val="es-AR" w:eastAsia="en-US"/>
        </w:rPr>
      </w:pPr>
      <w:r w:rsidRPr="0010523F">
        <w:rPr>
          <w:lang w:val="es-AR" w:eastAsia="en-US"/>
        </w:rPr>
        <w:t>La Sucursal ha sido demandada en ciertos juicios y además tiene ciertos procesos administrativos en curso. Basados en la información disponible, la Dirección y los asesores letrados de la Sucursal consideran que la responsabilidad contingente que podría surgir de dichos litigios y procesos administrativos no tendría un efecto material adverso sobre la situación patrimonial y los resultados de la Sucursal.</w:t>
      </w:r>
    </w:p>
    <w:p w14:paraId="02B6E81C" w14:textId="77777777" w:rsidR="0010523F" w:rsidRPr="0010523F" w:rsidRDefault="0010523F" w:rsidP="0010523F">
      <w:pPr>
        <w:jc w:val="both"/>
        <w:rPr>
          <w:sz w:val="16"/>
          <w:lang w:val="es-AR" w:eastAsia="en-US"/>
        </w:rPr>
      </w:pPr>
    </w:p>
    <w:p w14:paraId="3DF3281A"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 xml:space="preserve">NOTA 10 - BIENES DE DISPONIBILIDAD RESTRINGIDA </w:t>
      </w:r>
    </w:p>
    <w:p w14:paraId="3456548D" w14:textId="77777777" w:rsidR="0010523F" w:rsidRPr="0010523F" w:rsidRDefault="0010523F" w:rsidP="0010523F">
      <w:pPr>
        <w:tabs>
          <w:tab w:val="left" w:pos="567"/>
          <w:tab w:val="decimal" w:pos="7797"/>
          <w:tab w:val="decimal" w:pos="9498"/>
        </w:tabs>
        <w:spacing w:line="180" w:lineRule="exact"/>
        <w:jc w:val="both"/>
        <w:rPr>
          <w:rFonts w:ascii="New York" w:hAnsi="New York"/>
          <w:sz w:val="12"/>
          <w:lang w:val="es-AR" w:eastAsia="en-US"/>
        </w:rPr>
      </w:pPr>
    </w:p>
    <w:p w14:paraId="6EF66D4D" w14:textId="77777777" w:rsidR="0010523F" w:rsidRPr="0010523F" w:rsidRDefault="0010523F" w:rsidP="0010523F">
      <w:pPr>
        <w:jc w:val="both"/>
        <w:rPr>
          <w:lang w:val="es-AR" w:eastAsia="en-US"/>
        </w:rPr>
      </w:pPr>
      <w:r w:rsidRPr="0010523F">
        <w:rPr>
          <w:lang w:val="es-AR" w:eastAsia="en-US"/>
        </w:rPr>
        <w:t>La Sucursal mantiene al 30 de septiembre de 2019 depósitos indisponibles de US$ 17,7 millones en dos bancos del exterior (equivalentes a 1.016) que serán destinados a cancelar capital e intereses de dos préstamos financieros tomados con entidades del exterior.</w:t>
      </w:r>
    </w:p>
    <w:p w14:paraId="7ECC1922" w14:textId="77777777" w:rsidR="0010523F" w:rsidRPr="0010523F" w:rsidRDefault="0010523F" w:rsidP="0010523F">
      <w:pPr>
        <w:tabs>
          <w:tab w:val="left" w:pos="567"/>
          <w:tab w:val="decimal" w:pos="7797"/>
          <w:tab w:val="decimal" w:pos="9498"/>
        </w:tabs>
        <w:spacing w:line="180" w:lineRule="exact"/>
        <w:jc w:val="both"/>
        <w:rPr>
          <w:rFonts w:ascii="New York" w:hAnsi="New York"/>
          <w:sz w:val="16"/>
          <w:lang w:val="es-AR" w:eastAsia="en-US"/>
        </w:rPr>
      </w:pPr>
    </w:p>
    <w:p w14:paraId="76ED186C" w14:textId="77777777" w:rsidR="0010523F" w:rsidRPr="0010523F" w:rsidRDefault="0010523F" w:rsidP="0010523F">
      <w:pPr>
        <w:jc w:val="both"/>
        <w:rPr>
          <w:lang w:val="es-AR" w:eastAsia="en-US"/>
        </w:rPr>
      </w:pPr>
      <w:bookmarkStart w:id="171" w:name="_Hlk16025761"/>
      <w:r w:rsidRPr="0010523F">
        <w:rPr>
          <w:lang w:val="es-AR" w:eastAsia="en-US"/>
        </w:rPr>
        <w:t>Al 31 de diciembre de 2018, la Sucursal mantenía depósitos indisponibles en dos bancos del exterior por US$ 18,2 millones (equivalentes en esa fecha a 686), los cuales fueron utilizados durante el ejercicio 2019 para cancelar préstamos financieros con entidades del exterior.</w:t>
      </w:r>
    </w:p>
    <w:bookmarkEnd w:id="171"/>
    <w:p w14:paraId="00CED6CF" w14:textId="77777777" w:rsidR="0010523F" w:rsidRPr="0010523F" w:rsidRDefault="0010523F" w:rsidP="0010523F">
      <w:pPr>
        <w:tabs>
          <w:tab w:val="left" w:pos="567"/>
          <w:tab w:val="decimal" w:pos="7797"/>
          <w:tab w:val="decimal" w:pos="9498"/>
        </w:tabs>
        <w:spacing w:line="180" w:lineRule="exact"/>
        <w:jc w:val="both"/>
        <w:rPr>
          <w:rFonts w:ascii="New York" w:hAnsi="New York"/>
          <w:sz w:val="16"/>
          <w:lang w:val="es-AR" w:eastAsia="en-US"/>
        </w:rPr>
      </w:pPr>
    </w:p>
    <w:p w14:paraId="1A136226" w14:textId="77777777" w:rsidR="0010523F" w:rsidRPr="0010523F" w:rsidRDefault="0010523F" w:rsidP="0010523F">
      <w:pPr>
        <w:jc w:val="both"/>
        <w:rPr>
          <w:lang w:val="es-AR" w:eastAsia="en-US"/>
        </w:rPr>
      </w:pPr>
      <w:r w:rsidRPr="0010523F">
        <w:rPr>
          <w:lang w:val="es-AR" w:eastAsia="en-US"/>
        </w:rPr>
        <w:t xml:space="preserve">En el rubro Otros créditos no corrientes al 30 de septiembre de 2019 se incluyen reservas especiales y fondos en fideicomiso por 2 a los fines de respaldar el otorgamiento de las prestaciones derivadas de la Ley sobre Riesgos del Trabajo, cuya disponibilidad se encuentra restringida en virtud del Decreto Nº 385/96 del Poder Ejecutivo Nacional (“PEN”). Adicionalmente, el mencionado rubro contiene 31 al 30 de septiembre de 2019 y al 31 de diciembre de 2018, en concepto de garantías judiciales por fondos cuya disponibilidad se encuentra restringida en virtud de disposiciones judiciales. </w:t>
      </w:r>
    </w:p>
    <w:p w14:paraId="74A8FFF4" w14:textId="77777777" w:rsidR="0010523F" w:rsidRPr="0010523F" w:rsidRDefault="0010523F" w:rsidP="0010523F">
      <w:pPr>
        <w:rPr>
          <w:b/>
          <w:szCs w:val="20"/>
          <w:lang w:val="es-AR" w:eastAsia="en-US"/>
        </w:rPr>
      </w:pPr>
      <w:r w:rsidRPr="0010523F">
        <w:rPr>
          <w:szCs w:val="20"/>
          <w:lang w:val="es-AR" w:eastAsia="en-US"/>
        </w:rPr>
        <w:br w:type="page"/>
      </w:r>
    </w:p>
    <w:p w14:paraId="1270292B"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 xml:space="preserve">NOTA 11 - INFORMACIÓN POR SEGMENTOS DE NEGOCIO  </w:t>
      </w:r>
    </w:p>
    <w:p w14:paraId="73E819AE" w14:textId="77777777" w:rsidR="0010523F" w:rsidRPr="0010523F" w:rsidRDefault="0010523F" w:rsidP="0010523F">
      <w:pPr>
        <w:tabs>
          <w:tab w:val="center" w:pos="1681"/>
          <w:tab w:val="center" w:pos="4516"/>
          <w:tab w:val="center" w:pos="7210"/>
        </w:tabs>
        <w:autoSpaceDE w:val="0"/>
        <w:autoSpaceDN w:val="0"/>
        <w:adjustRightInd w:val="0"/>
        <w:spacing w:line="160" w:lineRule="exact"/>
        <w:jc w:val="both"/>
        <w:rPr>
          <w:lang w:val="es-AR" w:eastAsia="en-US"/>
        </w:rPr>
      </w:pPr>
    </w:p>
    <w:p w14:paraId="2A2E17DB" w14:textId="77777777" w:rsidR="0010523F" w:rsidRPr="0010523F" w:rsidRDefault="0010523F" w:rsidP="0010523F">
      <w:pPr>
        <w:jc w:val="both"/>
        <w:rPr>
          <w:i/>
          <w:lang w:val="es-AR" w:eastAsia="en-US"/>
        </w:rPr>
      </w:pPr>
      <w:r w:rsidRPr="0010523F">
        <w:rPr>
          <w:i/>
          <w:lang w:val="es-AR" w:eastAsia="en-US"/>
        </w:rPr>
        <w:t xml:space="preserve">Definición de segmentos </w:t>
      </w:r>
    </w:p>
    <w:p w14:paraId="4555F8E9" w14:textId="77777777" w:rsidR="0010523F" w:rsidRPr="0010523F" w:rsidRDefault="0010523F" w:rsidP="0010523F">
      <w:pPr>
        <w:tabs>
          <w:tab w:val="center" w:pos="1681"/>
          <w:tab w:val="center" w:pos="4516"/>
          <w:tab w:val="center" w:pos="7210"/>
        </w:tabs>
        <w:autoSpaceDE w:val="0"/>
        <w:autoSpaceDN w:val="0"/>
        <w:adjustRightInd w:val="0"/>
        <w:spacing w:line="160" w:lineRule="exact"/>
        <w:jc w:val="both"/>
        <w:rPr>
          <w:lang w:val="es-AR" w:eastAsia="en-US"/>
        </w:rPr>
      </w:pPr>
      <w:r w:rsidRPr="0010523F">
        <w:rPr>
          <w:lang w:val="es-AR" w:eastAsia="en-US"/>
        </w:rPr>
        <w:t xml:space="preserve">  </w:t>
      </w:r>
    </w:p>
    <w:p w14:paraId="0E3AE002" w14:textId="77777777" w:rsidR="0010523F" w:rsidRPr="0010523F" w:rsidRDefault="0010523F" w:rsidP="0010523F">
      <w:pPr>
        <w:spacing w:after="120"/>
        <w:jc w:val="both"/>
        <w:rPr>
          <w:lang w:val="es-AR" w:eastAsia="en-US"/>
        </w:rPr>
      </w:pPr>
      <w:r w:rsidRPr="0010523F">
        <w:rPr>
          <w:lang w:val="es-AR" w:eastAsia="en-US"/>
        </w:rPr>
        <w:t xml:space="preserve">La definición de los segmentos de negocio se basa en la delimitación de las diferentes actividades desarrolladas que generan ingresos y gastos, así como en la estructura organizativa vigente para la gestión de los negocios.    </w:t>
      </w:r>
    </w:p>
    <w:p w14:paraId="03B06CA5" w14:textId="77777777" w:rsidR="0010523F" w:rsidRPr="0010523F" w:rsidRDefault="0010523F" w:rsidP="0010523F">
      <w:pPr>
        <w:spacing w:before="120" w:after="120"/>
        <w:jc w:val="both"/>
        <w:rPr>
          <w:lang w:val="es-AR" w:eastAsia="en-US"/>
        </w:rPr>
      </w:pPr>
      <w:r w:rsidRPr="0010523F">
        <w:rPr>
          <w:lang w:val="es-AR" w:eastAsia="en-US"/>
        </w:rPr>
        <w:t>Al 30 de septiembre de 2019, los segmentos de operación de la Sucursal son:</w:t>
      </w:r>
    </w:p>
    <w:p w14:paraId="2244A719" w14:textId="77777777" w:rsidR="0010523F" w:rsidRPr="0010523F" w:rsidRDefault="0010523F" w:rsidP="0010523F">
      <w:pPr>
        <w:spacing w:after="120"/>
        <w:ind w:left="284" w:hanging="284"/>
        <w:jc w:val="both"/>
        <w:rPr>
          <w:lang w:val="es-AR" w:eastAsia="en-US"/>
        </w:rPr>
      </w:pPr>
      <w:r w:rsidRPr="0010523F">
        <w:rPr>
          <w:lang w:val="es-AR" w:eastAsia="en-US"/>
        </w:rPr>
        <w:t>-</w:t>
      </w:r>
      <w:r w:rsidRPr="0010523F">
        <w:rPr>
          <w:lang w:val="es-AR" w:eastAsia="en-US"/>
        </w:rPr>
        <w:tab/>
      </w:r>
      <w:r w:rsidRPr="0010523F">
        <w:rPr>
          <w:i/>
          <w:lang w:val="es-AR" w:eastAsia="en-US"/>
        </w:rPr>
        <w:t>Upstream</w:t>
      </w:r>
      <w:r w:rsidRPr="0010523F">
        <w:rPr>
          <w:lang w:val="es-AR" w:eastAsia="en-US"/>
        </w:rPr>
        <w:t>, correspondiente a las operaciones de exploración, desarrollo y producción de las reservas de petróleo crudo y gas natural y su comercialización;</w:t>
      </w:r>
    </w:p>
    <w:p w14:paraId="3ECB238D" w14:textId="77777777" w:rsidR="0010523F" w:rsidRPr="0010523F" w:rsidRDefault="0010523F" w:rsidP="0010523F">
      <w:pPr>
        <w:spacing w:after="120"/>
        <w:ind w:left="284" w:hanging="284"/>
        <w:jc w:val="both"/>
        <w:rPr>
          <w:lang w:val="es-AR" w:eastAsia="en-US"/>
        </w:rPr>
      </w:pPr>
      <w:r w:rsidRPr="0010523F">
        <w:rPr>
          <w:lang w:val="es-AR" w:eastAsia="en-US"/>
        </w:rPr>
        <w:t>-</w:t>
      </w:r>
      <w:r w:rsidRPr="0010523F">
        <w:rPr>
          <w:lang w:val="es-AR" w:eastAsia="en-US"/>
        </w:rPr>
        <w:tab/>
      </w:r>
      <w:r w:rsidRPr="0010523F">
        <w:rPr>
          <w:i/>
          <w:lang w:val="es-AR" w:eastAsia="en-US"/>
        </w:rPr>
        <w:t>Downstream</w:t>
      </w:r>
      <w:r w:rsidRPr="0010523F">
        <w:rPr>
          <w:lang w:val="es-AR" w:eastAsia="en-US"/>
        </w:rPr>
        <w:t xml:space="preserve">, correspondiente a las actividades de refinación y distribución (que incluye, entre otros, </w:t>
      </w:r>
      <w:r w:rsidRPr="0010523F">
        <w:rPr>
          <w:i/>
          <w:lang w:val="es-AR" w:eastAsia="en-US"/>
        </w:rPr>
        <w:t>trading</w:t>
      </w:r>
      <w:r w:rsidRPr="0010523F">
        <w:rPr>
          <w:lang w:val="es-AR" w:eastAsia="en-US"/>
        </w:rPr>
        <w:t xml:space="preserve"> y transporte de crudo y productos, comercialización de productos refinados y químicos y gas licuado de petróleo).</w:t>
      </w:r>
    </w:p>
    <w:p w14:paraId="121FBE47" w14:textId="77777777" w:rsidR="0010523F" w:rsidRPr="0010523F" w:rsidRDefault="0010523F" w:rsidP="0010523F">
      <w:pPr>
        <w:spacing w:before="120" w:after="120"/>
        <w:jc w:val="both"/>
        <w:rPr>
          <w:lang w:val="es-AR" w:eastAsia="en-US"/>
        </w:rPr>
      </w:pPr>
      <w:r w:rsidRPr="0010523F">
        <w:rPr>
          <w:lang w:val="es-AR" w:eastAsia="en-US"/>
        </w:rPr>
        <w:t xml:space="preserve">Los precios de venta inter-segmentos se establecen siguiendo los términos y condiciones comerciales normales que están disponibles para terceros no vinculados. </w:t>
      </w:r>
    </w:p>
    <w:tbl>
      <w:tblPr>
        <w:tblW w:w="9917" w:type="dxa"/>
        <w:tblInd w:w="55" w:type="dxa"/>
        <w:tblLayout w:type="fixed"/>
        <w:tblCellMar>
          <w:left w:w="70" w:type="dxa"/>
          <w:right w:w="70" w:type="dxa"/>
        </w:tblCellMar>
        <w:tblLook w:val="04A0" w:firstRow="1" w:lastRow="0" w:firstColumn="1" w:lastColumn="0" w:noHBand="0" w:noVBand="1"/>
      </w:tblPr>
      <w:tblGrid>
        <w:gridCol w:w="4340"/>
        <w:gridCol w:w="1129"/>
        <w:gridCol w:w="160"/>
        <w:gridCol w:w="1424"/>
        <w:gridCol w:w="160"/>
        <w:gridCol w:w="1663"/>
        <w:gridCol w:w="160"/>
        <w:gridCol w:w="881"/>
      </w:tblGrid>
      <w:tr w:rsidR="0010523F" w:rsidRPr="0010523F" w14:paraId="10AF46F7" w14:textId="77777777" w:rsidTr="00774E7E">
        <w:trPr>
          <w:trHeight w:val="227"/>
        </w:trPr>
        <w:tc>
          <w:tcPr>
            <w:tcW w:w="4340" w:type="dxa"/>
            <w:tcBorders>
              <w:top w:val="nil"/>
              <w:left w:val="nil"/>
              <w:bottom w:val="nil"/>
              <w:right w:val="nil"/>
            </w:tcBorders>
            <w:shd w:val="clear" w:color="auto" w:fill="auto"/>
            <w:noWrap/>
            <w:vAlign w:val="bottom"/>
          </w:tcPr>
          <w:p w14:paraId="66D36C67" w14:textId="77777777" w:rsidR="0010523F" w:rsidRPr="0010523F" w:rsidRDefault="0010523F" w:rsidP="0010523F">
            <w:pPr>
              <w:rPr>
                <w:color w:val="000000"/>
                <w:sz w:val="22"/>
                <w:szCs w:val="22"/>
                <w:lang w:val="es-AR" w:eastAsia="es-AR"/>
              </w:rPr>
            </w:pPr>
          </w:p>
        </w:tc>
        <w:tc>
          <w:tcPr>
            <w:tcW w:w="5577" w:type="dxa"/>
            <w:gridSpan w:val="7"/>
            <w:tcBorders>
              <w:top w:val="nil"/>
              <w:left w:val="nil"/>
              <w:bottom w:val="single" w:sz="4" w:space="0" w:color="auto"/>
              <w:right w:val="nil"/>
            </w:tcBorders>
            <w:shd w:val="clear" w:color="auto" w:fill="auto"/>
            <w:vAlign w:val="bottom"/>
          </w:tcPr>
          <w:p w14:paraId="57F2979D"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Período de tres meses finalizado el 30/09/2019</w:t>
            </w:r>
          </w:p>
        </w:tc>
      </w:tr>
      <w:tr w:rsidR="0010523F" w:rsidRPr="0010523F" w14:paraId="3992C456" w14:textId="77777777" w:rsidTr="00774E7E">
        <w:trPr>
          <w:trHeight w:val="283"/>
        </w:trPr>
        <w:tc>
          <w:tcPr>
            <w:tcW w:w="4340" w:type="dxa"/>
            <w:tcBorders>
              <w:top w:val="nil"/>
              <w:left w:val="nil"/>
              <w:bottom w:val="nil"/>
              <w:right w:val="nil"/>
            </w:tcBorders>
            <w:shd w:val="clear" w:color="auto" w:fill="auto"/>
            <w:noWrap/>
            <w:vAlign w:val="bottom"/>
            <w:hideMark/>
          </w:tcPr>
          <w:p w14:paraId="2F423EE8" w14:textId="77777777" w:rsidR="0010523F" w:rsidRPr="0010523F" w:rsidRDefault="0010523F" w:rsidP="0010523F">
            <w:pPr>
              <w:spacing w:line="220" w:lineRule="exact"/>
              <w:rPr>
                <w:color w:val="000000"/>
                <w:sz w:val="22"/>
                <w:szCs w:val="22"/>
                <w:lang w:val="es-AR" w:eastAsia="es-AR"/>
              </w:rPr>
            </w:pPr>
          </w:p>
        </w:tc>
        <w:tc>
          <w:tcPr>
            <w:tcW w:w="1129" w:type="dxa"/>
            <w:tcBorders>
              <w:top w:val="nil"/>
              <w:left w:val="nil"/>
              <w:bottom w:val="single" w:sz="4" w:space="0" w:color="auto"/>
              <w:right w:val="nil"/>
            </w:tcBorders>
            <w:shd w:val="clear" w:color="auto" w:fill="auto"/>
            <w:vAlign w:val="bottom"/>
            <w:hideMark/>
          </w:tcPr>
          <w:p w14:paraId="1B742792"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Upstream</w:t>
            </w:r>
          </w:p>
        </w:tc>
        <w:tc>
          <w:tcPr>
            <w:tcW w:w="160" w:type="dxa"/>
            <w:tcBorders>
              <w:top w:val="nil"/>
              <w:left w:val="nil"/>
              <w:bottom w:val="nil"/>
              <w:right w:val="nil"/>
            </w:tcBorders>
            <w:shd w:val="clear" w:color="auto" w:fill="auto"/>
            <w:vAlign w:val="bottom"/>
            <w:hideMark/>
          </w:tcPr>
          <w:p w14:paraId="521EC4FC" w14:textId="77777777" w:rsidR="0010523F" w:rsidRPr="0010523F" w:rsidRDefault="0010523F" w:rsidP="0010523F">
            <w:pPr>
              <w:spacing w:line="220" w:lineRule="exact"/>
              <w:jc w:val="center"/>
              <w:rPr>
                <w:color w:val="000000"/>
                <w:sz w:val="22"/>
                <w:szCs w:val="22"/>
                <w:lang w:val="es-AR" w:eastAsia="es-AR"/>
              </w:rPr>
            </w:pPr>
          </w:p>
        </w:tc>
        <w:tc>
          <w:tcPr>
            <w:tcW w:w="1424" w:type="dxa"/>
            <w:tcBorders>
              <w:top w:val="nil"/>
              <w:left w:val="nil"/>
              <w:bottom w:val="single" w:sz="4" w:space="0" w:color="auto"/>
              <w:right w:val="nil"/>
            </w:tcBorders>
            <w:shd w:val="clear" w:color="auto" w:fill="auto"/>
            <w:vAlign w:val="bottom"/>
            <w:hideMark/>
          </w:tcPr>
          <w:p w14:paraId="0177D330"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Downtream</w:t>
            </w:r>
          </w:p>
        </w:tc>
        <w:tc>
          <w:tcPr>
            <w:tcW w:w="160" w:type="dxa"/>
            <w:tcBorders>
              <w:top w:val="nil"/>
              <w:left w:val="nil"/>
              <w:bottom w:val="nil"/>
              <w:right w:val="nil"/>
            </w:tcBorders>
            <w:shd w:val="clear" w:color="auto" w:fill="auto"/>
            <w:vAlign w:val="bottom"/>
            <w:hideMark/>
          </w:tcPr>
          <w:p w14:paraId="6CED9188" w14:textId="77777777" w:rsidR="0010523F" w:rsidRPr="0010523F" w:rsidRDefault="0010523F" w:rsidP="0010523F">
            <w:pPr>
              <w:spacing w:line="220" w:lineRule="exact"/>
              <w:jc w:val="center"/>
              <w:rPr>
                <w:color w:val="000000"/>
                <w:sz w:val="22"/>
                <w:szCs w:val="22"/>
                <w:lang w:val="es-AR" w:eastAsia="es-AR"/>
              </w:rPr>
            </w:pPr>
          </w:p>
        </w:tc>
        <w:tc>
          <w:tcPr>
            <w:tcW w:w="1663" w:type="dxa"/>
            <w:tcBorders>
              <w:top w:val="nil"/>
              <w:left w:val="nil"/>
              <w:bottom w:val="single" w:sz="4" w:space="0" w:color="auto"/>
              <w:right w:val="nil"/>
            </w:tcBorders>
            <w:shd w:val="clear" w:color="auto" w:fill="auto"/>
            <w:vAlign w:val="bottom"/>
            <w:hideMark/>
          </w:tcPr>
          <w:p w14:paraId="70F4F7FB"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Eliminación entre segmentos</w:t>
            </w:r>
          </w:p>
        </w:tc>
        <w:tc>
          <w:tcPr>
            <w:tcW w:w="160" w:type="dxa"/>
            <w:tcBorders>
              <w:top w:val="nil"/>
              <w:left w:val="nil"/>
              <w:bottom w:val="nil"/>
              <w:right w:val="nil"/>
            </w:tcBorders>
            <w:shd w:val="clear" w:color="auto" w:fill="auto"/>
            <w:vAlign w:val="bottom"/>
            <w:hideMark/>
          </w:tcPr>
          <w:p w14:paraId="00DA3B05" w14:textId="77777777" w:rsidR="0010523F" w:rsidRPr="0010523F" w:rsidRDefault="0010523F" w:rsidP="0010523F">
            <w:pPr>
              <w:spacing w:line="220" w:lineRule="exact"/>
              <w:jc w:val="center"/>
              <w:rPr>
                <w:color w:val="000000"/>
                <w:sz w:val="22"/>
                <w:szCs w:val="22"/>
                <w:lang w:val="es-AR" w:eastAsia="es-AR"/>
              </w:rPr>
            </w:pPr>
          </w:p>
        </w:tc>
        <w:tc>
          <w:tcPr>
            <w:tcW w:w="880" w:type="dxa"/>
            <w:tcBorders>
              <w:top w:val="nil"/>
              <w:left w:val="nil"/>
              <w:bottom w:val="single" w:sz="4" w:space="0" w:color="auto"/>
              <w:right w:val="nil"/>
            </w:tcBorders>
            <w:shd w:val="clear" w:color="auto" w:fill="auto"/>
            <w:vAlign w:val="bottom"/>
            <w:hideMark/>
          </w:tcPr>
          <w:p w14:paraId="4F16D268"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Total</w:t>
            </w:r>
          </w:p>
        </w:tc>
      </w:tr>
      <w:tr w:rsidR="0010523F" w:rsidRPr="0010523F" w14:paraId="185AEE5E" w14:textId="77777777" w:rsidTr="00774E7E">
        <w:trPr>
          <w:trHeight w:val="113"/>
        </w:trPr>
        <w:tc>
          <w:tcPr>
            <w:tcW w:w="4340" w:type="dxa"/>
            <w:tcBorders>
              <w:top w:val="nil"/>
              <w:left w:val="nil"/>
              <w:bottom w:val="nil"/>
              <w:right w:val="nil"/>
            </w:tcBorders>
            <w:shd w:val="clear" w:color="auto" w:fill="auto"/>
            <w:noWrap/>
            <w:vAlign w:val="bottom"/>
            <w:hideMark/>
          </w:tcPr>
          <w:p w14:paraId="4E82F367" w14:textId="77777777" w:rsidR="0010523F" w:rsidRPr="0010523F" w:rsidRDefault="0010523F" w:rsidP="0010523F">
            <w:pPr>
              <w:spacing w:line="100" w:lineRule="exact"/>
              <w:rPr>
                <w:color w:val="000000"/>
                <w:sz w:val="22"/>
                <w:szCs w:val="22"/>
                <w:lang w:val="es-AR" w:eastAsia="es-AR"/>
              </w:rPr>
            </w:pPr>
          </w:p>
        </w:tc>
        <w:tc>
          <w:tcPr>
            <w:tcW w:w="1129" w:type="dxa"/>
            <w:tcBorders>
              <w:top w:val="nil"/>
              <w:left w:val="nil"/>
              <w:bottom w:val="nil"/>
              <w:right w:val="nil"/>
            </w:tcBorders>
            <w:shd w:val="clear" w:color="auto" w:fill="auto"/>
            <w:noWrap/>
            <w:vAlign w:val="bottom"/>
            <w:hideMark/>
          </w:tcPr>
          <w:p w14:paraId="10C0A04B"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48D229F9" w14:textId="77777777" w:rsidR="0010523F" w:rsidRPr="0010523F" w:rsidRDefault="0010523F" w:rsidP="0010523F">
            <w:pPr>
              <w:spacing w:line="100" w:lineRule="exac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41A10F4C"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5AD4A848" w14:textId="77777777" w:rsidR="0010523F" w:rsidRPr="0010523F" w:rsidRDefault="0010523F" w:rsidP="0010523F">
            <w:pPr>
              <w:spacing w:line="100" w:lineRule="exac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2B48AB8C"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1DE9E816" w14:textId="77777777" w:rsidR="0010523F" w:rsidRPr="0010523F" w:rsidRDefault="0010523F" w:rsidP="0010523F">
            <w:pPr>
              <w:spacing w:line="100" w:lineRule="exac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31795FBF" w14:textId="77777777" w:rsidR="0010523F" w:rsidRPr="0010523F" w:rsidRDefault="0010523F" w:rsidP="0010523F">
            <w:pPr>
              <w:spacing w:line="100" w:lineRule="exact"/>
              <w:rPr>
                <w:color w:val="000000"/>
                <w:sz w:val="22"/>
                <w:szCs w:val="22"/>
                <w:lang w:val="es-AR" w:eastAsia="es-AR"/>
              </w:rPr>
            </w:pPr>
          </w:p>
        </w:tc>
      </w:tr>
      <w:tr w:rsidR="0010523F" w:rsidRPr="0010523F" w14:paraId="1A75290C" w14:textId="77777777" w:rsidTr="00774E7E">
        <w:trPr>
          <w:trHeight w:val="227"/>
        </w:trPr>
        <w:tc>
          <w:tcPr>
            <w:tcW w:w="4340" w:type="dxa"/>
            <w:tcBorders>
              <w:top w:val="nil"/>
              <w:left w:val="nil"/>
              <w:bottom w:val="nil"/>
              <w:right w:val="nil"/>
            </w:tcBorders>
            <w:shd w:val="clear" w:color="auto" w:fill="auto"/>
            <w:noWrap/>
            <w:vAlign w:val="bottom"/>
            <w:hideMark/>
          </w:tcPr>
          <w:p w14:paraId="737746AA"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netas y subvenciones - Terceros</w:t>
            </w:r>
          </w:p>
        </w:tc>
        <w:tc>
          <w:tcPr>
            <w:tcW w:w="1129" w:type="dxa"/>
            <w:tcBorders>
              <w:top w:val="nil"/>
              <w:left w:val="nil"/>
              <w:bottom w:val="nil"/>
              <w:right w:val="nil"/>
            </w:tcBorders>
            <w:shd w:val="clear" w:color="auto" w:fill="auto"/>
            <w:noWrap/>
            <w:vAlign w:val="bottom"/>
            <w:hideMark/>
          </w:tcPr>
          <w:p w14:paraId="41DEE2A4"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19.546</w:t>
            </w:r>
          </w:p>
        </w:tc>
        <w:tc>
          <w:tcPr>
            <w:tcW w:w="160" w:type="dxa"/>
            <w:tcBorders>
              <w:top w:val="nil"/>
              <w:left w:val="nil"/>
              <w:bottom w:val="nil"/>
              <w:right w:val="nil"/>
            </w:tcBorders>
            <w:shd w:val="clear" w:color="auto" w:fill="auto"/>
            <w:noWrap/>
            <w:vAlign w:val="bottom"/>
            <w:hideMark/>
          </w:tcPr>
          <w:p w14:paraId="1EA98339"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681BECC8"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34.753</w:t>
            </w:r>
          </w:p>
        </w:tc>
        <w:tc>
          <w:tcPr>
            <w:tcW w:w="160" w:type="dxa"/>
            <w:tcBorders>
              <w:top w:val="nil"/>
              <w:left w:val="nil"/>
              <w:bottom w:val="nil"/>
              <w:right w:val="nil"/>
            </w:tcBorders>
            <w:shd w:val="clear" w:color="auto" w:fill="auto"/>
            <w:noWrap/>
            <w:vAlign w:val="bottom"/>
            <w:hideMark/>
          </w:tcPr>
          <w:p w14:paraId="1257B503" w14:textId="77777777" w:rsidR="0010523F" w:rsidRPr="0010523F" w:rsidRDefault="0010523F" w:rsidP="0010523F">
            <w:pPr>
              <w:spacing w:line="220" w:lineRule="exact"/>
              <w:jc w:val="righ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49C7ED56"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15E8CD64"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1F1C444E"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54.299</w:t>
            </w:r>
          </w:p>
        </w:tc>
      </w:tr>
      <w:tr w:rsidR="0010523F" w:rsidRPr="0010523F" w14:paraId="19A4B066" w14:textId="77777777" w:rsidTr="00774E7E">
        <w:trPr>
          <w:trHeight w:val="227"/>
        </w:trPr>
        <w:tc>
          <w:tcPr>
            <w:tcW w:w="4340" w:type="dxa"/>
            <w:tcBorders>
              <w:top w:val="nil"/>
              <w:left w:val="nil"/>
              <w:bottom w:val="nil"/>
              <w:right w:val="nil"/>
            </w:tcBorders>
            <w:shd w:val="clear" w:color="auto" w:fill="auto"/>
            <w:noWrap/>
            <w:vAlign w:val="bottom"/>
            <w:hideMark/>
          </w:tcPr>
          <w:p w14:paraId="1BB47A7E"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intersegmentos</w:t>
            </w:r>
          </w:p>
        </w:tc>
        <w:tc>
          <w:tcPr>
            <w:tcW w:w="1129" w:type="dxa"/>
            <w:tcBorders>
              <w:top w:val="nil"/>
              <w:left w:val="nil"/>
              <w:bottom w:val="nil"/>
              <w:right w:val="nil"/>
            </w:tcBorders>
            <w:shd w:val="clear" w:color="auto" w:fill="auto"/>
            <w:noWrap/>
            <w:vAlign w:val="bottom"/>
            <w:hideMark/>
          </w:tcPr>
          <w:p w14:paraId="75CBF209"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15.380</w:t>
            </w:r>
          </w:p>
        </w:tc>
        <w:tc>
          <w:tcPr>
            <w:tcW w:w="160" w:type="dxa"/>
            <w:tcBorders>
              <w:top w:val="nil"/>
              <w:left w:val="nil"/>
              <w:bottom w:val="nil"/>
              <w:right w:val="nil"/>
            </w:tcBorders>
            <w:shd w:val="clear" w:color="auto" w:fill="auto"/>
            <w:noWrap/>
            <w:vAlign w:val="bottom"/>
            <w:hideMark/>
          </w:tcPr>
          <w:p w14:paraId="2C11414D" w14:textId="77777777" w:rsidR="0010523F" w:rsidRPr="0010523F" w:rsidRDefault="0010523F" w:rsidP="0010523F">
            <w:pPr>
              <w:spacing w:line="220" w:lineRule="exact"/>
              <w:jc w:val="right"/>
              <w:rPr>
                <w:color w:val="000000"/>
                <w:sz w:val="22"/>
                <w:szCs w:val="22"/>
                <w:u w:val="single"/>
                <w:lang w:val="es-AR" w:eastAsia="es-AR"/>
              </w:rPr>
            </w:pPr>
          </w:p>
        </w:tc>
        <w:tc>
          <w:tcPr>
            <w:tcW w:w="1424" w:type="dxa"/>
            <w:tcBorders>
              <w:top w:val="nil"/>
              <w:left w:val="nil"/>
              <w:bottom w:val="nil"/>
              <w:right w:val="nil"/>
            </w:tcBorders>
            <w:shd w:val="clear" w:color="auto" w:fill="auto"/>
            <w:noWrap/>
            <w:vAlign w:val="bottom"/>
            <w:hideMark/>
          </w:tcPr>
          <w:p w14:paraId="2D02EE88"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 xml:space="preserve">          -</w:t>
            </w:r>
          </w:p>
        </w:tc>
        <w:tc>
          <w:tcPr>
            <w:tcW w:w="160" w:type="dxa"/>
            <w:tcBorders>
              <w:top w:val="nil"/>
              <w:left w:val="nil"/>
              <w:bottom w:val="nil"/>
              <w:right w:val="nil"/>
            </w:tcBorders>
            <w:shd w:val="clear" w:color="auto" w:fill="auto"/>
            <w:noWrap/>
            <w:vAlign w:val="bottom"/>
            <w:hideMark/>
          </w:tcPr>
          <w:p w14:paraId="64859CCA" w14:textId="77777777" w:rsidR="0010523F" w:rsidRPr="0010523F" w:rsidRDefault="0010523F" w:rsidP="0010523F">
            <w:pPr>
              <w:spacing w:line="220" w:lineRule="exact"/>
              <w:jc w:val="right"/>
              <w:rPr>
                <w:color w:val="000000"/>
                <w:sz w:val="22"/>
                <w:szCs w:val="22"/>
                <w:u w:val="single"/>
                <w:lang w:val="es-AR" w:eastAsia="es-AR"/>
              </w:rPr>
            </w:pPr>
          </w:p>
        </w:tc>
        <w:tc>
          <w:tcPr>
            <w:tcW w:w="1663" w:type="dxa"/>
            <w:tcBorders>
              <w:top w:val="nil"/>
              <w:left w:val="nil"/>
              <w:bottom w:val="nil"/>
              <w:right w:val="nil"/>
            </w:tcBorders>
            <w:shd w:val="clear" w:color="auto" w:fill="auto"/>
            <w:noWrap/>
            <w:vAlign w:val="bottom"/>
            <w:hideMark/>
          </w:tcPr>
          <w:p w14:paraId="74DCD2DD"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lang w:val="es-AR" w:eastAsia="es-AR"/>
              </w:rPr>
              <w:t>(</w:t>
            </w:r>
            <w:r w:rsidRPr="0010523F">
              <w:rPr>
                <w:color w:val="000000"/>
                <w:sz w:val="22"/>
                <w:szCs w:val="22"/>
                <w:u w:val="single"/>
                <w:lang w:val="es-AR" w:eastAsia="es-AR"/>
              </w:rPr>
              <w:t>15.380</w:t>
            </w: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56924E30" w14:textId="77777777" w:rsidR="0010523F" w:rsidRPr="0010523F" w:rsidRDefault="0010523F" w:rsidP="0010523F">
            <w:pPr>
              <w:spacing w:line="220" w:lineRule="exact"/>
              <w:jc w:val="right"/>
              <w:rPr>
                <w:color w:val="000000"/>
                <w:sz w:val="22"/>
                <w:szCs w:val="22"/>
                <w:u w:val="single"/>
                <w:lang w:val="es-AR" w:eastAsia="es-AR"/>
              </w:rPr>
            </w:pPr>
          </w:p>
        </w:tc>
        <w:tc>
          <w:tcPr>
            <w:tcW w:w="880" w:type="dxa"/>
            <w:tcBorders>
              <w:top w:val="nil"/>
              <w:left w:val="nil"/>
              <w:bottom w:val="nil"/>
              <w:right w:val="nil"/>
            </w:tcBorders>
            <w:shd w:val="clear" w:color="auto" w:fill="auto"/>
            <w:noWrap/>
            <w:vAlign w:val="bottom"/>
            <w:hideMark/>
          </w:tcPr>
          <w:p w14:paraId="45CE627A"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 xml:space="preserve">          -</w:t>
            </w:r>
          </w:p>
        </w:tc>
      </w:tr>
      <w:tr w:rsidR="0010523F" w:rsidRPr="0010523F" w14:paraId="5B0005ED" w14:textId="77777777" w:rsidTr="00774E7E">
        <w:trPr>
          <w:trHeight w:val="170"/>
        </w:trPr>
        <w:tc>
          <w:tcPr>
            <w:tcW w:w="4340" w:type="dxa"/>
            <w:tcBorders>
              <w:top w:val="nil"/>
              <w:left w:val="nil"/>
              <w:bottom w:val="nil"/>
              <w:right w:val="nil"/>
            </w:tcBorders>
            <w:shd w:val="clear" w:color="auto" w:fill="auto"/>
            <w:noWrap/>
            <w:vAlign w:val="bottom"/>
            <w:hideMark/>
          </w:tcPr>
          <w:p w14:paraId="5E0FF6DE"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netas y subvenciones - Total</w:t>
            </w:r>
          </w:p>
        </w:tc>
        <w:tc>
          <w:tcPr>
            <w:tcW w:w="1129" w:type="dxa"/>
            <w:tcBorders>
              <w:top w:val="nil"/>
              <w:left w:val="nil"/>
              <w:bottom w:val="nil"/>
              <w:right w:val="nil"/>
            </w:tcBorders>
            <w:shd w:val="clear" w:color="auto" w:fill="auto"/>
            <w:noWrap/>
            <w:vAlign w:val="bottom"/>
            <w:hideMark/>
          </w:tcPr>
          <w:p w14:paraId="257E9D3C"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34.926</w:t>
            </w:r>
          </w:p>
        </w:tc>
        <w:tc>
          <w:tcPr>
            <w:tcW w:w="160" w:type="dxa"/>
            <w:tcBorders>
              <w:top w:val="nil"/>
              <w:left w:val="nil"/>
              <w:bottom w:val="nil"/>
              <w:right w:val="nil"/>
            </w:tcBorders>
            <w:shd w:val="clear" w:color="auto" w:fill="auto"/>
            <w:noWrap/>
            <w:vAlign w:val="bottom"/>
            <w:hideMark/>
          </w:tcPr>
          <w:p w14:paraId="0562C092" w14:textId="77777777" w:rsidR="0010523F" w:rsidRPr="0010523F" w:rsidRDefault="0010523F" w:rsidP="0010523F">
            <w:pPr>
              <w:spacing w:line="220" w:lineRule="exact"/>
              <w:jc w:val="right"/>
              <w:rPr>
                <w:color w:val="000000"/>
                <w:sz w:val="22"/>
                <w:szCs w:val="22"/>
                <w:u w:val="double"/>
                <w:lang w:val="es-AR" w:eastAsia="es-AR"/>
              </w:rPr>
            </w:pPr>
          </w:p>
        </w:tc>
        <w:tc>
          <w:tcPr>
            <w:tcW w:w="1424" w:type="dxa"/>
            <w:tcBorders>
              <w:top w:val="nil"/>
              <w:left w:val="nil"/>
              <w:bottom w:val="nil"/>
              <w:right w:val="nil"/>
            </w:tcBorders>
            <w:shd w:val="clear" w:color="auto" w:fill="auto"/>
            <w:noWrap/>
            <w:vAlign w:val="bottom"/>
            <w:hideMark/>
          </w:tcPr>
          <w:p w14:paraId="3882563D"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34.753</w:t>
            </w:r>
          </w:p>
        </w:tc>
        <w:tc>
          <w:tcPr>
            <w:tcW w:w="160" w:type="dxa"/>
            <w:tcBorders>
              <w:top w:val="nil"/>
              <w:left w:val="nil"/>
              <w:bottom w:val="nil"/>
              <w:right w:val="nil"/>
            </w:tcBorders>
            <w:shd w:val="clear" w:color="auto" w:fill="auto"/>
            <w:noWrap/>
            <w:vAlign w:val="bottom"/>
            <w:hideMark/>
          </w:tcPr>
          <w:p w14:paraId="7B333AA6" w14:textId="77777777" w:rsidR="0010523F" w:rsidRPr="0010523F" w:rsidRDefault="0010523F" w:rsidP="0010523F">
            <w:pPr>
              <w:spacing w:line="220" w:lineRule="exact"/>
              <w:jc w:val="right"/>
              <w:rPr>
                <w:color w:val="000000"/>
                <w:sz w:val="22"/>
                <w:szCs w:val="22"/>
                <w:u w:val="double"/>
                <w:lang w:val="es-AR" w:eastAsia="es-AR"/>
              </w:rPr>
            </w:pPr>
          </w:p>
        </w:tc>
        <w:tc>
          <w:tcPr>
            <w:tcW w:w="1663" w:type="dxa"/>
            <w:tcBorders>
              <w:top w:val="nil"/>
              <w:left w:val="nil"/>
              <w:bottom w:val="nil"/>
              <w:right w:val="nil"/>
            </w:tcBorders>
            <w:shd w:val="clear" w:color="auto" w:fill="auto"/>
            <w:noWrap/>
            <w:vAlign w:val="bottom"/>
            <w:hideMark/>
          </w:tcPr>
          <w:p w14:paraId="775DDFFF"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lang w:val="es-AR" w:eastAsia="es-AR"/>
              </w:rPr>
              <w:t>(</w:t>
            </w:r>
            <w:r w:rsidRPr="0010523F">
              <w:rPr>
                <w:color w:val="000000"/>
                <w:sz w:val="22"/>
                <w:szCs w:val="22"/>
                <w:u w:val="double"/>
                <w:lang w:val="es-AR" w:eastAsia="es-AR"/>
              </w:rPr>
              <w:t>15.380</w:t>
            </w: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676736D7" w14:textId="77777777" w:rsidR="0010523F" w:rsidRPr="0010523F" w:rsidRDefault="0010523F" w:rsidP="0010523F">
            <w:pPr>
              <w:spacing w:line="220" w:lineRule="exact"/>
              <w:jc w:val="right"/>
              <w:rPr>
                <w:color w:val="000000"/>
                <w:sz w:val="22"/>
                <w:szCs w:val="22"/>
                <w:u w:val="double"/>
                <w:lang w:val="es-AR" w:eastAsia="es-AR"/>
              </w:rPr>
            </w:pPr>
          </w:p>
        </w:tc>
        <w:tc>
          <w:tcPr>
            <w:tcW w:w="880" w:type="dxa"/>
            <w:tcBorders>
              <w:top w:val="nil"/>
              <w:left w:val="nil"/>
              <w:bottom w:val="nil"/>
              <w:right w:val="nil"/>
            </w:tcBorders>
            <w:shd w:val="clear" w:color="auto" w:fill="auto"/>
            <w:noWrap/>
            <w:vAlign w:val="bottom"/>
            <w:hideMark/>
          </w:tcPr>
          <w:p w14:paraId="7DAFC406"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54.299</w:t>
            </w:r>
          </w:p>
        </w:tc>
      </w:tr>
      <w:tr w:rsidR="0010523F" w:rsidRPr="0010523F" w14:paraId="5DE02456" w14:textId="77777777" w:rsidTr="00774E7E">
        <w:trPr>
          <w:trHeight w:val="105"/>
        </w:trPr>
        <w:tc>
          <w:tcPr>
            <w:tcW w:w="4340" w:type="dxa"/>
            <w:tcBorders>
              <w:top w:val="nil"/>
              <w:left w:val="nil"/>
              <w:bottom w:val="nil"/>
              <w:right w:val="nil"/>
            </w:tcBorders>
            <w:shd w:val="clear" w:color="auto" w:fill="auto"/>
            <w:noWrap/>
            <w:vAlign w:val="bottom"/>
            <w:hideMark/>
          </w:tcPr>
          <w:p w14:paraId="2AF036BB" w14:textId="77777777" w:rsidR="0010523F" w:rsidRPr="0010523F" w:rsidRDefault="0010523F" w:rsidP="0010523F">
            <w:pPr>
              <w:spacing w:line="140" w:lineRule="exact"/>
              <w:rPr>
                <w:color w:val="000000"/>
                <w:sz w:val="22"/>
                <w:szCs w:val="22"/>
                <w:lang w:val="es-AR" w:eastAsia="es-AR"/>
              </w:rPr>
            </w:pPr>
          </w:p>
        </w:tc>
        <w:tc>
          <w:tcPr>
            <w:tcW w:w="1129" w:type="dxa"/>
            <w:tcBorders>
              <w:top w:val="nil"/>
              <w:left w:val="nil"/>
              <w:bottom w:val="nil"/>
              <w:right w:val="nil"/>
            </w:tcBorders>
            <w:shd w:val="clear" w:color="auto" w:fill="auto"/>
            <w:noWrap/>
            <w:vAlign w:val="bottom"/>
            <w:hideMark/>
          </w:tcPr>
          <w:p w14:paraId="5C707168" w14:textId="77777777" w:rsidR="0010523F" w:rsidRPr="0010523F" w:rsidRDefault="0010523F" w:rsidP="0010523F">
            <w:pPr>
              <w:spacing w:line="220" w:lineRule="exact"/>
              <w:jc w:val="righ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60BB9BF0" w14:textId="77777777" w:rsidR="0010523F" w:rsidRPr="0010523F" w:rsidRDefault="0010523F" w:rsidP="0010523F">
            <w:pPr>
              <w:spacing w:line="220" w:lineRule="exact"/>
              <w:jc w:val="both"/>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185A3B61" w14:textId="77777777" w:rsidR="0010523F" w:rsidRPr="0010523F" w:rsidRDefault="0010523F" w:rsidP="0010523F">
            <w:pPr>
              <w:spacing w:line="220" w:lineRule="exact"/>
              <w:jc w:val="righ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58A4AF02" w14:textId="77777777" w:rsidR="0010523F" w:rsidRPr="0010523F" w:rsidRDefault="0010523F" w:rsidP="0010523F">
            <w:pPr>
              <w:spacing w:line="220" w:lineRule="exact"/>
              <w:jc w:val="righ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40DAD776" w14:textId="77777777" w:rsidR="0010523F" w:rsidRPr="0010523F" w:rsidRDefault="0010523F" w:rsidP="0010523F">
            <w:pPr>
              <w:spacing w:line="220" w:lineRule="exact"/>
              <w:jc w:val="righ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2688ADC0"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647E5718" w14:textId="77777777" w:rsidR="0010523F" w:rsidRPr="0010523F" w:rsidRDefault="0010523F" w:rsidP="0010523F">
            <w:pPr>
              <w:spacing w:line="220" w:lineRule="exact"/>
              <w:jc w:val="right"/>
              <w:rPr>
                <w:color w:val="000000"/>
                <w:sz w:val="22"/>
                <w:szCs w:val="22"/>
                <w:lang w:val="es-AR" w:eastAsia="es-AR"/>
              </w:rPr>
            </w:pPr>
          </w:p>
        </w:tc>
      </w:tr>
      <w:tr w:rsidR="0010523F" w:rsidRPr="0010523F" w14:paraId="372D4E5C" w14:textId="77777777" w:rsidTr="00774E7E">
        <w:trPr>
          <w:trHeight w:val="227"/>
        </w:trPr>
        <w:tc>
          <w:tcPr>
            <w:tcW w:w="4340" w:type="dxa"/>
            <w:tcBorders>
              <w:top w:val="nil"/>
              <w:left w:val="nil"/>
              <w:bottom w:val="nil"/>
              <w:right w:val="nil"/>
            </w:tcBorders>
            <w:shd w:val="clear" w:color="auto" w:fill="auto"/>
            <w:noWrap/>
            <w:vAlign w:val="bottom"/>
            <w:hideMark/>
          </w:tcPr>
          <w:p w14:paraId="7ADED14D"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Depreciación de propiedad, planta y equipo,  activos por derecho a uso y amortización de activos intangibles</w:t>
            </w:r>
          </w:p>
        </w:tc>
        <w:tc>
          <w:tcPr>
            <w:tcW w:w="1129" w:type="dxa"/>
            <w:tcBorders>
              <w:top w:val="nil"/>
              <w:left w:val="nil"/>
              <w:bottom w:val="nil"/>
              <w:right w:val="nil"/>
            </w:tcBorders>
            <w:shd w:val="clear" w:color="auto" w:fill="auto"/>
            <w:noWrap/>
            <w:vAlign w:val="bottom"/>
            <w:hideMark/>
          </w:tcPr>
          <w:p w14:paraId="511083E9"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9.961</w:t>
            </w:r>
          </w:p>
        </w:tc>
        <w:tc>
          <w:tcPr>
            <w:tcW w:w="160" w:type="dxa"/>
            <w:tcBorders>
              <w:top w:val="nil"/>
              <w:left w:val="nil"/>
              <w:bottom w:val="nil"/>
              <w:right w:val="nil"/>
            </w:tcBorders>
            <w:shd w:val="clear" w:color="auto" w:fill="auto"/>
            <w:noWrap/>
            <w:vAlign w:val="bottom"/>
            <w:hideMark/>
          </w:tcPr>
          <w:p w14:paraId="01A1751D"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2A16897E"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1.044</w:t>
            </w:r>
          </w:p>
        </w:tc>
        <w:tc>
          <w:tcPr>
            <w:tcW w:w="160" w:type="dxa"/>
            <w:tcBorders>
              <w:top w:val="nil"/>
              <w:left w:val="nil"/>
              <w:bottom w:val="nil"/>
              <w:right w:val="nil"/>
            </w:tcBorders>
            <w:shd w:val="clear" w:color="auto" w:fill="auto"/>
            <w:noWrap/>
            <w:vAlign w:val="bottom"/>
            <w:hideMark/>
          </w:tcPr>
          <w:p w14:paraId="3DA563D7" w14:textId="77777777" w:rsidR="0010523F" w:rsidRPr="0010523F" w:rsidRDefault="0010523F" w:rsidP="0010523F">
            <w:pPr>
              <w:spacing w:line="220" w:lineRule="exact"/>
              <w:jc w:val="righ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0CF415E0"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0AF7D73E"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61092716"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11.005</w:t>
            </w:r>
          </w:p>
        </w:tc>
      </w:tr>
      <w:tr w:rsidR="0010523F" w:rsidRPr="0010523F" w14:paraId="7B1097BA" w14:textId="77777777" w:rsidTr="00774E7E">
        <w:trPr>
          <w:trHeight w:val="227"/>
        </w:trPr>
        <w:tc>
          <w:tcPr>
            <w:tcW w:w="4340" w:type="dxa"/>
            <w:tcBorders>
              <w:top w:val="nil"/>
              <w:left w:val="nil"/>
              <w:bottom w:val="nil"/>
              <w:right w:val="nil"/>
            </w:tcBorders>
            <w:shd w:val="clear" w:color="auto" w:fill="auto"/>
            <w:noWrap/>
            <w:vAlign w:val="bottom"/>
            <w:hideMark/>
          </w:tcPr>
          <w:p w14:paraId="6023F151"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Inversión en propiedad, planta y equipo</w:t>
            </w:r>
          </w:p>
        </w:tc>
        <w:tc>
          <w:tcPr>
            <w:tcW w:w="1129" w:type="dxa"/>
            <w:tcBorders>
              <w:top w:val="nil"/>
              <w:left w:val="nil"/>
              <w:bottom w:val="nil"/>
              <w:right w:val="nil"/>
            </w:tcBorders>
            <w:shd w:val="clear" w:color="auto" w:fill="auto"/>
            <w:noWrap/>
            <w:vAlign w:val="bottom"/>
            <w:hideMark/>
          </w:tcPr>
          <w:p w14:paraId="5DED9EB8"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10.783</w:t>
            </w:r>
          </w:p>
        </w:tc>
        <w:tc>
          <w:tcPr>
            <w:tcW w:w="160" w:type="dxa"/>
            <w:tcBorders>
              <w:top w:val="nil"/>
              <w:left w:val="nil"/>
              <w:bottom w:val="nil"/>
              <w:right w:val="nil"/>
            </w:tcBorders>
            <w:shd w:val="clear" w:color="auto" w:fill="auto"/>
            <w:noWrap/>
            <w:vAlign w:val="bottom"/>
            <w:hideMark/>
          </w:tcPr>
          <w:p w14:paraId="7FEEE111"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0A3D3C6B"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4.792</w:t>
            </w:r>
          </w:p>
        </w:tc>
        <w:tc>
          <w:tcPr>
            <w:tcW w:w="160" w:type="dxa"/>
            <w:tcBorders>
              <w:top w:val="nil"/>
              <w:left w:val="nil"/>
              <w:bottom w:val="nil"/>
              <w:right w:val="nil"/>
            </w:tcBorders>
            <w:shd w:val="clear" w:color="auto" w:fill="auto"/>
            <w:noWrap/>
            <w:vAlign w:val="bottom"/>
            <w:hideMark/>
          </w:tcPr>
          <w:p w14:paraId="6A43966E" w14:textId="77777777" w:rsidR="0010523F" w:rsidRPr="0010523F" w:rsidRDefault="0010523F" w:rsidP="0010523F">
            <w:pPr>
              <w:spacing w:line="220" w:lineRule="exact"/>
              <w:jc w:val="righ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3DEEF7B1"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13A11333"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256A5376"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15.575</w:t>
            </w:r>
          </w:p>
        </w:tc>
      </w:tr>
    </w:tbl>
    <w:p w14:paraId="4699ADCF" w14:textId="77777777" w:rsidR="0010523F" w:rsidRPr="0010523F" w:rsidRDefault="0010523F" w:rsidP="0010523F">
      <w:pPr>
        <w:spacing w:line="220" w:lineRule="exact"/>
        <w:jc w:val="both"/>
        <w:rPr>
          <w:szCs w:val="20"/>
          <w:lang w:val="es-AR" w:eastAsia="en-US"/>
        </w:rPr>
      </w:pPr>
    </w:p>
    <w:tbl>
      <w:tblPr>
        <w:tblW w:w="9917" w:type="dxa"/>
        <w:tblInd w:w="55" w:type="dxa"/>
        <w:tblLayout w:type="fixed"/>
        <w:tblCellMar>
          <w:left w:w="70" w:type="dxa"/>
          <w:right w:w="70" w:type="dxa"/>
        </w:tblCellMar>
        <w:tblLook w:val="04A0" w:firstRow="1" w:lastRow="0" w:firstColumn="1" w:lastColumn="0" w:noHBand="0" w:noVBand="1"/>
      </w:tblPr>
      <w:tblGrid>
        <w:gridCol w:w="4340"/>
        <w:gridCol w:w="1129"/>
        <w:gridCol w:w="160"/>
        <w:gridCol w:w="1424"/>
        <w:gridCol w:w="160"/>
        <w:gridCol w:w="1663"/>
        <w:gridCol w:w="160"/>
        <w:gridCol w:w="881"/>
      </w:tblGrid>
      <w:tr w:rsidR="0010523F" w:rsidRPr="0010523F" w14:paraId="2C45322C" w14:textId="77777777" w:rsidTr="00774E7E">
        <w:trPr>
          <w:trHeight w:val="227"/>
        </w:trPr>
        <w:tc>
          <w:tcPr>
            <w:tcW w:w="4340" w:type="dxa"/>
            <w:tcBorders>
              <w:top w:val="nil"/>
              <w:left w:val="nil"/>
              <w:bottom w:val="nil"/>
              <w:right w:val="nil"/>
            </w:tcBorders>
            <w:shd w:val="clear" w:color="auto" w:fill="auto"/>
            <w:noWrap/>
            <w:vAlign w:val="bottom"/>
          </w:tcPr>
          <w:p w14:paraId="10ADC621" w14:textId="77777777" w:rsidR="0010523F" w:rsidRPr="0010523F" w:rsidRDefault="0010523F" w:rsidP="0010523F">
            <w:pPr>
              <w:rPr>
                <w:color w:val="000000"/>
                <w:sz w:val="22"/>
                <w:szCs w:val="22"/>
                <w:lang w:val="es-AR" w:eastAsia="es-AR"/>
              </w:rPr>
            </w:pPr>
          </w:p>
        </w:tc>
        <w:tc>
          <w:tcPr>
            <w:tcW w:w="5577" w:type="dxa"/>
            <w:gridSpan w:val="7"/>
            <w:tcBorders>
              <w:top w:val="nil"/>
              <w:left w:val="nil"/>
              <w:bottom w:val="single" w:sz="4" w:space="0" w:color="auto"/>
              <w:right w:val="nil"/>
            </w:tcBorders>
            <w:shd w:val="clear" w:color="auto" w:fill="auto"/>
            <w:vAlign w:val="bottom"/>
          </w:tcPr>
          <w:p w14:paraId="759690FD"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Período de tres meses finalizado el 30/09/2018</w:t>
            </w:r>
          </w:p>
        </w:tc>
      </w:tr>
      <w:tr w:rsidR="0010523F" w:rsidRPr="0010523F" w14:paraId="7EC50BA0" w14:textId="77777777" w:rsidTr="00774E7E">
        <w:trPr>
          <w:trHeight w:val="283"/>
        </w:trPr>
        <w:tc>
          <w:tcPr>
            <w:tcW w:w="4340" w:type="dxa"/>
            <w:tcBorders>
              <w:top w:val="nil"/>
              <w:left w:val="nil"/>
              <w:bottom w:val="nil"/>
              <w:right w:val="nil"/>
            </w:tcBorders>
            <w:shd w:val="clear" w:color="auto" w:fill="auto"/>
            <w:noWrap/>
            <w:vAlign w:val="bottom"/>
            <w:hideMark/>
          </w:tcPr>
          <w:p w14:paraId="75A289FD" w14:textId="77777777" w:rsidR="0010523F" w:rsidRPr="0010523F" w:rsidRDefault="0010523F" w:rsidP="0010523F">
            <w:pPr>
              <w:spacing w:line="220" w:lineRule="exact"/>
              <w:rPr>
                <w:color w:val="000000"/>
                <w:sz w:val="22"/>
                <w:szCs w:val="22"/>
                <w:lang w:val="es-AR" w:eastAsia="es-AR"/>
              </w:rPr>
            </w:pPr>
          </w:p>
        </w:tc>
        <w:tc>
          <w:tcPr>
            <w:tcW w:w="1129" w:type="dxa"/>
            <w:tcBorders>
              <w:top w:val="nil"/>
              <w:left w:val="nil"/>
              <w:bottom w:val="single" w:sz="4" w:space="0" w:color="auto"/>
              <w:right w:val="nil"/>
            </w:tcBorders>
            <w:shd w:val="clear" w:color="auto" w:fill="auto"/>
            <w:vAlign w:val="bottom"/>
            <w:hideMark/>
          </w:tcPr>
          <w:p w14:paraId="77949E1A"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Upstream</w:t>
            </w:r>
          </w:p>
        </w:tc>
        <w:tc>
          <w:tcPr>
            <w:tcW w:w="160" w:type="dxa"/>
            <w:tcBorders>
              <w:top w:val="nil"/>
              <w:left w:val="nil"/>
              <w:bottom w:val="nil"/>
              <w:right w:val="nil"/>
            </w:tcBorders>
            <w:shd w:val="clear" w:color="auto" w:fill="auto"/>
            <w:vAlign w:val="bottom"/>
            <w:hideMark/>
          </w:tcPr>
          <w:p w14:paraId="1B823A91" w14:textId="77777777" w:rsidR="0010523F" w:rsidRPr="0010523F" w:rsidRDefault="0010523F" w:rsidP="0010523F">
            <w:pPr>
              <w:spacing w:line="220" w:lineRule="exact"/>
              <w:jc w:val="center"/>
              <w:rPr>
                <w:color w:val="000000"/>
                <w:sz w:val="22"/>
                <w:szCs w:val="22"/>
                <w:lang w:val="es-AR" w:eastAsia="es-AR"/>
              </w:rPr>
            </w:pPr>
          </w:p>
        </w:tc>
        <w:tc>
          <w:tcPr>
            <w:tcW w:w="1424" w:type="dxa"/>
            <w:tcBorders>
              <w:top w:val="nil"/>
              <w:left w:val="nil"/>
              <w:bottom w:val="single" w:sz="4" w:space="0" w:color="auto"/>
              <w:right w:val="nil"/>
            </w:tcBorders>
            <w:shd w:val="clear" w:color="auto" w:fill="auto"/>
            <w:vAlign w:val="bottom"/>
            <w:hideMark/>
          </w:tcPr>
          <w:p w14:paraId="6E0D8E89"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Downtream</w:t>
            </w:r>
          </w:p>
        </w:tc>
        <w:tc>
          <w:tcPr>
            <w:tcW w:w="160" w:type="dxa"/>
            <w:tcBorders>
              <w:top w:val="nil"/>
              <w:left w:val="nil"/>
              <w:bottom w:val="nil"/>
              <w:right w:val="nil"/>
            </w:tcBorders>
            <w:shd w:val="clear" w:color="auto" w:fill="auto"/>
            <w:vAlign w:val="bottom"/>
            <w:hideMark/>
          </w:tcPr>
          <w:p w14:paraId="19221103" w14:textId="77777777" w:rsidR="0010523F" w:rsidRPr="0010523F" w:rsidRDefault="0010523F" w:rsidP="0010523F">
            <w:pPr>
              <w:spacing w:line="220" w:lineRule="exact"/>
              <w:jc w:val="center"/>
              <w:rPr>
                <w:color w:val="000000"/>
                <w:sz w:val="22"/>
                <w:szCs w:val="22"/>
                <w:lang w:val="es-AR" w:eastAsia="es-AR"/>
              </w:rPr>
            </w:pPr>
          </w:p>
        </w:tc>
        <w:tc>
          <w:tcPr>
            <w:tcW w:w="1663" w:type="dxa"/>
            <w:tcBorders>
              <w:top w:val="nil"/>
              <w:left w:val="nil"/>
              <w:bottom w:val="single" w:sz="4" w:space="0" w:color="auto"/>
              <w:right w:val="nil"/>
            </w:tcBorders>
            <w:shd w:val="clear" w:color="auto" w:fill="auto"/>
            <w:vAlign w:val="bottom"/>
            <w:hideMark/>
          </w:tcPr>
          <w:p w14:paraId="4AF361A7"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Eliminación entre segmentos</w:t>
            </w:r>
          </w:p>
        </w:tc>
        <w:tc>
          <w:tcPr>
            <w:tcW w:w="160" w:type="dxa"/>
            <w:tcBorders>
              <w:top w:val="nil"/>
              <w:left w:val="nil"/>
              <w:bottom w:val="nil"/>
              <w:right w:val="nil"/>
            </w:tcBorders>
            <w:shd w:val="clear" w:color="auto" w:fill="auto"/>
            <w:vAlign w:val="bottom"/>
            <w:hideMark/>
          </w:tcPr>
          <w:p w14:paraId="75F61B08" w14:textId="77777777" w:rsidR="0010523F" w:rsidRPr="0010523F" w:rsidRDefault="0010523F" w:rsidP="0010523F">
            <w:pPr>
              <w:spacing w:line="220" w:lineRule="exact"/>
              <w:jc w:val="center"/>
              <w:rPr>
                <w:color w:val="000000"/>
                <w:sz w:val="22"/>
                <w:szCs w:val="22"/>
                <w:lang w:val="es-AR" w:eastAsia="es-AR"/>
              </w:rPr>
            </w:pPr>
          </w:p>
        </w:tc>
        <w:tc>
          <w:tcPr>
            <w:tcW w:w="881" w:type="dxa"/>
            <w:tcBorders>
              <w:top w:val="nil"/>
              <w:left w:val="nil"/>
              <w:bottom w:val="single" w:sz="4" w:space="0" w:color="auto"/>
              <w:right w:val="nil"/>
            </w:tcBorders>
            <w:shd w:val="clear" w:color="auto" w:fill="auto"/>
            <w:vAlign w:val="bottom"/>
            <w:hideMark/>
          </w:tcPr>
          <w:p w14:paraId="7D77FA2A"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Total</w:t>
            </w:r>
          </w:p>
        </w:tc>
      </w:tr>
      <w:tr w:rsidR="0010523F" w:rsidRPr="0010523F" w14:paraId="5425F81B" w14:textId="77777777" w:rsidTr="00774E7E">
        <w:trPr>
          <w:trHeight w:val="113"/>
        </w:trPr>
        <w:tc>
          <w:tcPr>
            <w:tcW w:w="4340" w:type="dxa"/>
            <w:tcBorders>
              <w:top w:val="nil"/>
              <w:left w:val="nil"/>
              <w:bottom w:val="nil"/>
              <w:right w:val="nil"/>
            </w:tcBorders>
            <w:shd w:val="clear" w:color="auto" w:fill="auto"/>
            <w:noWrap/>
            <w:vAlign w:val="bottom"/>
            <w:hideMark/>
          </w:tcPr>
          <w:p w14:paraId="685BE864" w14:textId="77777777" w:rsidR="0010523F" w:rsidRPr="0010523F" w:rsidRDefault="0010523F" w:rsidP="0010523F">
            <w:pPr>
              <w:spacing w:line="100" w:lineRule="exact"/>
              <w:rPr>
                <w:color w:val="000000"/>
                <w:sz w:val="22"/>
                <w:szCs w:val="22"/>
                <w:highlight w:val="yellow"/>
                <w:lang w:val="es-AR" w:eastAsia="es-AR"/>
              </w:rPr>
            </w:pPr>
          </w:p>
        </w:tc>
        <w:tc>
          <w:tcPr>
            <w:tcW w:w="1129" w:type="dxa"/>
            <w:tcBorders>
              <w:top w:val="nil"/>
              <w:left w:val="nil"/>
              <w:bottom w:val="nil"/>
              <w:right w:val="nil"/>
            </w:tcBorders>
            <w:shd w:val="clear" w:color="auto" w:fill="auto"/>
            <w:noWrap/>
            <w:vAlign w:val="bottom"/>
            <w:hideMark/>
          </w:tcPr>
          <w:p w14:paraId="28EF3A7E" w14:textId="77777777" w:rsidR="0010523F" w:rsidRPr="0010523F" w:rsidRDefault="0010523F" w:rsidP="0010523F">
            <w:pPr>
              <w:spacing w:line="100" w:lineRule="exact"/>
              <w:rPr>
                <w:color w:val="000000"/>
                <w:sz w:val="22"/>
                <w:szCs w:val="22"/>
                <w:highlight w:val="yellow"/>
                <w:lang w:val="es-AR" w:eastAsia="es-AR"/>
              </w:rPr>
            </w:pPr>
          </w:p>
        </w:tc>
        <w:tc>
          <w:tcPr>
            <w:tcW w:w="160" w:type="dxa"/>
            <w:tcBorders>
              <w:top w:val="nil"/>
              <w:left w:val="nil"/>
              <w:bottom w:val="nil"/>
              <w:right w:val="nil"/>
            </w:tcBorders>
            <w:shd w:val="clear" w:color="auto" w:fill="auto"/>
            <w:noWrap/>
            <w:vAlign w:val="bottom"/>
            <w:hideMark/>
          </w:tcPr>
          <w:p w14:paraId="7CA3B868" w14:textId="77777777" w:rsidR="0010523F" w:rsidRPr="0010523F" w:rsidRDefault="0010523F" w:rsidP="0010523F">
            <w:pPr>
              <w:spacing w:line="100" w:lineRule="exact"/>
              <w:rPr>
                <w:color w:val="000000"/>
                <w:sz w:val="22"/>
                <w:szCs w:val="22"/>
                <w:highlight w:val="yellow"/>
                <w:lang w:val="es-AR" w:eastAsia="es-AR"/>
              </w:rPr>
            </w:pPr>
          </w:p>
        </w:tc>
        <w:tc>
          <w:tcPr>
            <w:tcW w:w="1424" w:type="dxa"/>
            <w:tcBorders>
              <w:top w:val="nil"/>
              <w:left w:val="nil"/>
              <w:bottom w:val="nil"/>
              <w:right w:val="nil"/>
            </w:tcBorders>
            <w:shd w:val="clear" w:color="auto" w:fill="auto"/>
            <w:noWrap/>
            <w:vAlign w:val="bottom"/>
            <w:hideMark/>
          </w:tcPr>
          <w:p w14:paraId="2FE6564F" w14:textId="77777777" w:rsidR="0010523F" w:rsidRPr="0010523F" w:rsidRDefault="0010523F" w:rsidP="0010523F">
            <w:pPr>
              <w:spacing w:line="100" w:lineRule="exact"/>
              <w:rPr>
                <w:color w:val="000000"/>
                <w:sz w:val="22"/>
                <w:szCs w:val="22"/>
                <w:highlight w:val="yellow"/>
                <w:lang w:val="es-AR" w:eastAsia="es-AR"/>
              </w:rPr>
            </w:pPr>
          </w:p>
        </w:tc>
        <w:tc>
          <w:tcPr>
            <w:tcW w:w="160" w:type="dxa"/>
            <w:tcBorders>
              <w:top w:val="nil"/>
              <w:left w:val="nil"/>
              <w:bottom w:val="nil"/>
              <w:right w:val="nil"/>
            </w:tcBorders>
            <w:shd w:val="clear" w:color="auto" w:fill="auto"/>
            <w:noWrap/>
            <w:vAlign w:val="bottom"/>
            <w:hideMark/>
          </w:tcPr>
          <w:p w14:paraId="3289D729" w14:textId="77777777" w:rsidR="0010523F" w:rsidRPr="0010523F" w:rsidRDefault="0010523F" w:rsidP="0010523F">
            <w:pPr>
              <w:spacing w:line="100" w:lineRule="exact"/>
              <w:rPr>
                <w:color w:val="000000"/>
                <w:sz w:val="22"/>
                <w:szCs w:val="22"/>
                <w:highlight w:val="yellow"/>
                <w:lang w:val="es-AR" w:eastAsia="es-AR"/>
              </w:rPr>
            </w:pPr>
          </w:p>
        </w:tc>
        <w:tc>
          <w:tcPr>
            <w:tcW w:w="1663" w:type="dxa"/>
            <w:tcBorders>
              <w:top w:val="nil"/>
              <w:left w:val="nil"/>
              <w:bottom w:val="nil"/>
              <w:right w:val="nil"/>
            </w:tcBorders>
            <w:shd w:val="clear" w:color="auto" w:fill="auto"/>
            <w:noWrap/>
            <w:vAlign w:val="bottom"/>
            <w:hideMark/>
          </w:tcPr>
          <w:p w14:paraId="6D101E27" w14:textId="77777777" w:rsidR="0010523F" w:rsidRPr="0010523F" w:rsidRDefault="0010523F" w:rsidP="0010523F">
            <w:pPr>
              <w:spacing w:line="100" w:lineRule="exact"/>
              <w:rPr>
                <w:color w:val="000000"/>
                <w:sz w:val="22"/>
                <w:szCs w:val="22"/>
                <w:highlight w:val="yellow"/>
                <w:lang w:val="es-AR" w:eastAsia="es-AR"/>
              </w:rPr>
            </w:pPr>
          </w:p>
        </w:tc>
        <w:tc>
          <w:tcPr>
            <w:tcW w:w="160" w:type="dxa"/>
            <w:tcBorders>
              <w:top w:val="nil"/>
              <w:left w:val="nil"/>
              <w:bottom w:val="nil"/>
              <w:right w:val="nil"/>
            </w:tcBorders>
            <w:shd w:val="clear" w:color="auto" w:fill="auto"/>
            <w:noWrap/>
            <w:vAlign w:val="bottom"/>
            <w:hideMark/>
          </w:tcPr>
          <w:p w14:paraId="1E61AB57" w14:textId="77777777" w:rsidR="0010523F" w:rsidRPr="0010523F" w:rsidRDefault="0010523F" w:rsidP="0010523F">
            <w:pPr>
              <w:spacing w:line="100" w:lineRule="exact"/>
              <w:rPr>
                <w:color w:val="000000"/>
                <w:sz w:val="22"/>
                <w:szCs w:val="22"/>
                <w:highlight w:val="yellow"/>
                <w:lang w:val="es-AR" w:eastAsia="es-AR"/>
              </w:rPr>
            </w:pPr>
          </w:p>
        </w:tc>
        <w:tc>
          <w:tcPr>
            <w:tcW w:w="881" w:type="dxa"/>
            <w:tcBorders>
              <w:top w:val="nil"/>
              <w:left w:val="nil"/>
              <w:bottom w:val="nil"/>
              <w:right w:val="nil"/>
            </w:tcBorders>
            <w:shd w:val="clear" w:color="auto" w:fill="auto"/>
            <w:noWrap/>
            <w:vAlign w:val="bottom"/>
            <w:hideMark/>
          </w:tcPr>
          <w:p w14:paraId="23F6F51C" w14:textId="77777777" w:rsidR="0010523F" w:rsidRPr="0010523F" w:rsidRDefault="0010523F" w:rsidP="0010523F">
            <w:pPr>
              <w:spacing w:line="100" w:lineRule="exact"/>
              <w:rPr>
                <w:color w:val="000000"/>
                <w:sz w:val="22"/>
                <w:szCs w:val="22"/>
                <w:highlight w:val="yellow"/>
                <w:lang w:val="es-AR" w:eastAsia="es-AR"/>
              </w:rPr>
            </w:pPr>
          </w:p>
        </w:tc>
      </w:tr>
      <w:tr w:rsidR="0010523F" w:rsidRPr="0010523F" w14:paraId="44419E80" w14:textId="77777777" w:rsidTr="00774E7E">
        <w:trPr>
          <w:trHeight w:val="227"/>
        </w:trPr>
        <w:tc>
          <w:tcPr>
            <w:tcW w:w="4340" w:type="dxa"/>
            <w:tcBorders>
              <w:top w:val="nil"/>
              <w:left w:val="nil"/>
              <w:bottom w:val="nil"/>
              <w:right w:val="nil"/>
            </w:tcBorders>
            <w:shd w:val="clear" w:color="auto" w:fill="auto"/>
            <w:noWrap/>
            <w:vAlign w:val="bottom"/>
            <w:hideMark/>
          </w:tcPr>
          <w:p w14:paraId="4FAC01D8"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netas y subvenciones - Terceros</w:t>
            </w:r>
          </w:p>
        </w:tc>
        <w:tc>
          <w:tcPr>
            <w:tcW w:w="1129" w:type="dxa"/>
            <w:tcBorders>
              <w:top w:val="nil"/>
              <w:left w:val="nil"/>
              <w:bottom w:val="nil"/>
              <w:right w:val="nil"/>
            </w:tcBorders>
            <w:shd w:val="clear" w:color="auto" w:fill="auto"/>
            <w:noWrap/>
            <w:vAlign w:val="bottom"/>
            <w:hideMark/>
          </w:tcPr>
          <w:p w14:paraId="14CF93BD"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16.065</w:t>
            </w:r>
          </w:p>
        </w:tc>
        <w:tc>
          <w:tcPr>
            <w:tcW w:w="160" w:type="dxa"/>
            <w:tcBorders>
              <w:top w:val="nil"/>
              <w:left w:val="nil"/>
              <w:bottom w:val="nil"/>
              <w:right w:val="nil"/>
            </w:tcBorders>
            <w:shd w:val="clear" w:color="auto" w:fill="auto"/>
            <w:noWrap/>
            <w:vAlign w:val="bottom"/>
            <w:hideMark/>
          </w:tcPr>
          <w:p w14:paraId="7A636C15"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53366B32"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24.280</w:t>
            </w:r>
          </w:p>
        </w:tc>
        <w:tc>
          <w:tcPr>
            <w:tcW w:w="160" w:type="dxa"/>
            <w:tcBorders>
              <w:top w:val="nil"/>
              <w:left w:val="nil"/>
              <w:bottom w:val="nil"/>
              <w:right w:val="nil"/>
            </w:tcBorders>
            <w:shd w:val="clear" w:color="auto" w:fill="auto"/>
            <w:noWrap/>
            <w:vAlign w:val="bottom"/>
            <w:hideMark/>
          </w:tcPr>
          <w:p w14:paraId="69BB49E2" w14:textId="77777777" w:rsidR="0010523F" w:rsidRPr="0010523F" w:rsidRDefault="0010523F" w:rsidP="0010523F">
            <w:pPr>
              <w:spacing w:line="220" w:lineRule="exact"/>
              <w:jc w:val="righ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510E5272"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2D7DB61C" w14:textId="77777777" w:rsidR="0010523F" w:rsidRPr="0010523F" w:rsidRDefault="0010523F" w:rsidP="0010523F">
            <w:pPr>
              <w:spacing w:line="220" w:lineRule="exact"/>
              <w:jc w:val="right"/>
              <w:rPr>
                <w:color w:val="000000"/>
                <w:sz w:val="22"/>
                <w:szCs w:val="22"/>
                <w:lang w:val="es-AR" w:eastAsia="es-AR"/>
              </w:rPr>
            </w:pPr>
          </w:p>
        </w:tc>
        <w:tc>
          <w:tcPr>
            <w:tcW w:w="881" w:type="dxa"/>
            <w:tcBorders>
              <w:top w:val="nil"/>
              <w:left w:val="nil"/>
              <w:bottom w:val="nil"/>
              <w:right w:val="nil"/>
            </w:tcBorders>
            <w:shd w:val="clear" w:color="auto" w:fill="auto"/>
            <w:noWrap/>
            <w:vAlign w:val="bottom"/>
            <w:hideMark/>
          </w:tcPr>
          <w:p w14:paraId="4AC009B7"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40.345</w:t>
            </w:r>
          </w:p>
        </w:tc>
      </w:tr>
      <w:tr w:rsidR="0010523F" w:rsidRPr="0010523F" w14:paraId="04AA856D" w14:textId="77777777" w:rsidTr="00774E7E">
        <w:trPr>
          <w:trHeight w:val="227"/>
        </w:trPr>
        <w:tc>
          <w:tcPr>
            <w:tcW w:w="4340" w:type="dxa"/>
            <w:tcBorders>
              <w:top w:val="nil"/>
              <w:left w:val="nil"/>
              <w:bottom w:val="nil"/>
              <w:right w:val="nil"/>
            </w:tcBorders>
            <w:shd w:val="clear" w:color="auto" w:fill="auto"/>
            <w:noWrap/>
            <w:vAlign w:val="bottom"/>
            <w:hideMark/>
          </w:tcPr>
          <w:p w14:paraId="246A795B"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intersegmentos</w:t>
            </w:r>
          </w:p>
        </w:tc>
        <w:tc>
          <w:tcPr>
            <w:tcW w:w="1129" w:type="dxa"/>
            <w:tcBorders>
              <w:top w:val="nil"/>
              <w:left w:val="nil"/>
              <w:bottom w:val="nil"/>
              <w:right w:val="nil"/>
            </w:tcBorders>
            <w:shd w:val="clear" w:color="auto" w:fill="auto"/>
            <w:noWrap/>
            <w:vAlign w:val="bottom"/>
            <w:hideMark/>
          </w:tcPr>
          <w:p w14:paraId="23BE5E45"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11.710</w:t>
            </w:r>
          </w:p>
        </w:tc>
        <w:tc>
          <w:tcPr>
            <w:tcW w:w="160" w:type="dxa"/>
            <w:tcBorders>
              <w:top w:val="nil"/>
              <w:left w:val="nil"/>
              <w:bottom w:val="nil"/>
              <w:right w:val="nil"/>
            </w:tcBorders>
            <w:shd w:val="clear" w:color="auto" w:fill="auto"/>
            <w:noWrap/>
            <w:vAlign w:val="bottom"/>
            <w:hideMark/>
          </w:tcPr>
          <w:p w14:paraId="5933381C"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1CFC691C"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 xml:space="preserve">          -</w:t>
            </w:r>
          </w:p>
        </w:tc>
        <w:tc>
          <w:tcPr>
            <w:tcW w:w="160" w:type="dxa"/>
            <w:tcBorders>
              <w:top w:val="nil"/>
              <w:left w:val="nil"/>
              <w:bottom w:val="nil"/>
              <w:right w:val="nil"/>
            </w:tcBorders>
            <w:shd w:val="clear" w:color="auto" w:fill="auto"/>
            <w:noWrap/>
            <w:vAlign w:val="bottom"/>
            <w:hideMark/>
          </w:tcPr>
          <w:p w14:paraId="1A590FF8" w14:textId="77777777" w:rsidR="0010523F" w:rsidRPr="0010523F" w:rsidRDefault="0010523F" w:rsidP="0010523F">
            <w:pPr>
              <w:spacing w:line="220" w:lineRule="exact"/>
              <w:jc w:val="right"/>
              <w:rPr>
                <w:color w:val="000000"/>
                <w:sz w:val="22"/>
                <w:szCs w:val="22"/>
                <w:u w:val="single"/>
                <w:lang w:val="es-AR" w:eastAsia="es-AR"/>
              </w:rPr>
            </w:pPr>
          </w:p>
        </w:tc>
        <w:tc>
          <w:tcPr>
            <w:tcW w:w="1663" w:type="dxa"/>
            <w:tcBorders>
              <w:top w:val="nil"/>
              <w:left w:val="nil"/>
              <w:bottom w:val="nil"/>
              <w:right w:val="nil"/>
            </w:tcBorders>
            <w:shd w:val="clear" w:color="auto" w:fill="auto"/>
            <w:noWrap/>
            <w:vAlign w:val="bottom"/>
            <w:hideMark/>
          </w:tcPr>
          <w:p w14:paraId="65C66ACB"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lang w:val="es-AR" w:eastAsia="es-AR"/>
              </w:rPr>
              <w:t>(</w:t>
            </w:r>
            <w:r w:rsidRPr="0010523F">
              <w:rPr>
                <w:color w:val="000000"/>
                <w:sz w:val="22"/>
                <w:szCs w:val="22"/>
                <w:u w:val="single"/>
                <w:lang w:val="es-AR" w:eastAsia="es-AR"/>
              </w:rPr>
              <w:t>11.710</w:t>
            </w: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07FBD573" w14:textId="77777777" w:rsidR="0010523F" w:rsidRPr="0010523F" w:rsidRDefault="0010523F" w:rsidP="0010523F">
            <w:pPr>
              <w:spacing w:line="220" w:lineRule="exact"/>
              <w:jc w:val="right"/>
              <w:rPr>
                <w:color w:val="000000"/>
                <w:sz w:val="22"/>
                <w:szCs w:val="22"/>
                <w:lang w:val="es-AR" w:eastAsia="es-AR"/>
              </w:rPr>
            </w:pPr>
          </w:p>
        </w:tc>
        <w:tc>
          <w:tcPr>
            <w:tcW w:w="881" w:type="dxa"/>
            <w:tcBorders>
              <w:top w:val="nil"/>
              <w:left w:val="nil"/>
              <w:bottom w:val="nil"/>
              <w:right w:val="nil"/>
            </w:tcBorders>
            <w:shd w:val="clear" w:color="auto" w:fill="auto"/>
            <w:noWrap/>
            <w:vAlign w:val="bottom"/>
            <w:hideMark/>
          </w:tcPr>
          <w:p w14:paraId="63385F3D"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 xml:space="preserve">          -</w:t>
            </w:r>
          </w:p>
        </w:tc>
      </w:tr>
      <w:tr w:rsidR="0010523F" w:rsidRPr="0010523F" w14:paraId="409F71BA" w14:textId="77777777" w:rsidTr="00774E7E">
        <w:trPr>
          <w:trHeight w:val="170"/>
        </w:trPr>
        <w:tc>
          <w:tcPr>
            <w:tcW w:w="4340" w:type="dxa"/>
            <w:tcBorders>
              <w:top w:val="nil"/>
              <w:left w:val="nil"/>
              <w:bottom w:val="nil"/>
              <w:right w:val="nil"/>
            </w:tcBorders>
            <w:shd w:val="clear" w:color="auto" w:fill="auto"/>
            <w:noWrap/>
            <w:vAlign w:val="bottom"/>
            <w:hideMark/>
          </w:tcPr>
          <w:p w14:paraId="1CCD470B"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netas y subvenciones - Total</w:t>
            </w:r>
          </w:p>
        </w:tc>
        <w:tc>
          <w:tcPr>
            <w:tcW w:w="1129" w:type="dxa"/>
            <w:tcBorders>
              <w:top w:val="nil"/>
              <w:left w:val="nil"/>
              <w:bottom w:val="nil"/>
              <w:right w:val="nil"/>
            </w:tcBorders>
            <w:shd w:val="clear" w:color="auto" w:fill="auto"/>
            <w:noWrap/>
            <w:vAlign w:val="bottom"/>
            <w:hideMark/>
          </w:tcPr>
          <w:p w14:paraId="0A2B3D6D"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27.775</w:t>
            </w:r>
          </w:p>
        </w:tc>
        <w:tc>
          <w:tcPr>
            <w:tcW w:w="160" w:type="dxa"/>
            <w:tcBorders>
              <w:top w:val="nil"/>
              <w:left w:val="nil"/>
              <w:bottom w:val="nil"/>
              <w:right w:val="nil"/>
            </w:tcBorders>
            <w:shd w:val="clear" w:color="auto" w:fill="auto"/>
            <w:noWrap/>
            <w:vAlign w:val="bottom"/>
            <w:hideMark/>
          </w:tcPr>
          <w:p w14:paraId="37E03C90" w14:textId="77777777" w:rsidR="0010523F" w:rsidRPr="0010523F" w:rsidRDefault="0010523F" w:rsidP="0010523F">
            <w:pPr>
              <w:spacing w:line="220" w:lineRule="exact"/>
              <w:jc w:val="right"/>
              <w:rPr>
                <w:color w:val="000000"/>
                <w:sz w:val="22"/>
                <w:szCs w:val="22"/>
                <w:u w:val="double"/>
                <w:lang w:val="es-AR" w:eastAsia="es-AR"/>
              </w:rPr>
            </w:pPr>
          </w:p>
        </w:tc>
        <w:tc>
          <w:tcPr>
            <w:tcW w:w="1424" w:type="dxa"/>
            <w:tcBorders>
              <w:top w:val="nil"/>
              <w:left w:val="nil"/>
              <w:bottom w:val="nil"/>
              <w:right w:val="nil"/>
            </w:tcBorders>
            <w:shd w:val="clear" w:color="auto" w:fill="auto"/>
            <w:noWrap/>
            <w:vAlign w:val="bottom"/>
            <w:hideMark/>
          </w:tcPr>
          <w:p w14:paraId="30804278"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24.280</w:t>
            </w:r>
          </w:p>
        </w:tc>
        <w:tc>
          <w:tcPr>
            <w:tcW w:w="160" w:type="dxa"/>
            <w:tcBorders>
              <w:top w:val="nil"/>
              <w:left w:val="nil"/>
              <w:bottom w:val="nil"/>
              <w:right w:val="nil"/>
            </w:tcBorders>
            <w:shd w:val="clear" w:color="auto" w:fill="auto"/>
            <w:noWrap/>
            <w:vAlign w:val="bottom"/>
            <w:hideMark/>
          </w:tcPr>
          <w:p w14:paraId="4382CD7C" w14:textId="77777777" w:rsidR="0010523F" w:rsidRPr="0010523F" w:rsidRDefault="0010523F" w:rsidP="0010523F">
            <w:pPr>
              <w:spacing w:line="220" w:lineRule="exact"/>
              <w:jc w:val="right"/>
              <w:rPr>
                <w:color w:val="000000"/>
                <w:sz w:val="22"/>
                <w:szCs w:val="22"/>
                <w:u w:val="double"/>
                <w:lang w:val="es-AR" w:eastAsia="es-AR"/>
              </w:rPr>
            </w:pPr>
          </w:p>
        </w:tc>
        <w:tc>
          <w:tcPr>
            <w:tcW w:w="1663" w:type="dxa"/>
            <w:tcBorders>
              <w:top w:val="nil"/>
              <w:left w:val="nil"/>
              <w:bottom w:val="nil"/>
              <w:right w:val="nil"/>
            </w:tcBorders>
            <w:shd w:val="clear" w:color="auto" w:fill="auto"/>
            <w:noWrap/>
            <w:vAlign w:val="bottom"/>
            <w:hideMark/>
          </w:tcPr>
          <w:p w14:paraId="0C11EA5D"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lang w:val="es-AR" w:eastAsia="es-AR"/>
              </w:rPr>
              <w:t>(</w:t>
            </w:r>
            <w:r w:rsidRPr="0010523F">
              <w:rPr>
                <w:color w:val="000000"/>
                <w:sz w:val="22"/>
                <w:szCs w:val="22"/>
                <w:u w:val="double"/>
                <w:lang w:val="es-AR" w:eastAsia="es-AR"/>
              </w:rPr>
              <w:t>11.710</w:t>
            </w: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26589CDF" w14:textId="77777777" w:rsidR="0010523F" w:rsidRPr="0010523F" w:rsidRDefault="0010523F" w:rsidP="0010523F">
            <w:pPr>
              <w:spacing w:line="220" w:lineRule="exact"/>
              <w:jc w:val="right"/>
              <w:rPr>
                <w:color w:val="000000"/>
                <w:sz w:val="22"/>
                <w:szCs w:val="22"/>
                <w:u w:val="double"/>
                <w:lang w:val="es-AR" w:eastAsia="es-AR"/>
              </w:rPr>
            </w:pPr>
          </w:p>
        </w:tc>
        <w:tc>
          <w:tcPr>
            <w:tcW w:w="881" w:type="dxa"/>
            <w:tcBorders>
              <w:top w:val="nil"/>
              <w:left w:val="nil"/>
              <w:bottom w:val="nil"/>
              <w:right w:val="nil"/>
            </w:tcBorders>
            <w:shd w:val="clear" w:color="auto" w:fill="auto"/>
            <w:noWrap/>
            <w:vAlign w:val="bottom"/>
            <w:hideMark/>
          </w:tcPr>
          <w:p w14:paraId="3086DB7F"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40.345</w:t>
            </w:r>
          </w:p>
        </w:tc>
      </w:tr>
      <w:tr w:rsidR="0010523F" w:rsidRPr="0010523F" w14:paraId="0DE0EB81" w14:textId="77777777" w:rsidTr="00774E7E">
        <w:trPr>
          <w:trHeight w:val="105"/>
        </w:trPr>
        <w:tc>
          <w:tcPr>
            <w:tcW w:w="4340" w:type="dxa"/>
            <w:tcBorders>
              <w:top w:val="nil"/>
              <w:left w:val="nil"/>
              <w:bottom w:val="nil"/>
              <w:right w:val="nil"/>
            </w:tcBorders>
            <w:shd w:val="clear" w:color="auto" w:fill="auto"/>
            <w:noWrap/>
            <w:vAlign w:val="bottom"/>
            <w:hideMark/>
          </w:tcPr>
          <w:p w14:paraId="3FDAB733" w14:textId="77777777" w:rsidR="0010523F" w:rsidRPr="0010523F" w:rsidRDefault="0010523F" w:rsidP="0010523F">
            <w:pPr>
              <w:spacing w:line="140" w:lineRule="exact"/>
              <w:rPr>
                <w:color w:val="000000"/>
                <w:sz w:val="22"/>
                <w:szCs w:val="22"/>
                <w:lang w:val="es-AR" w:eastAsia="es-AR"/>
              </w:rPr>
            </w:pPr>
          </w:p>
        </w:tc>
        <w:tc>
          <w:tcPr>
            <w:tcW w:w="1129" w:type="dxa"/>
            <w:tcBorders>
              <w:top w:val="nil"/>
              <w:left w:val="nil"/>
              <w:bottom w:val="nil"/>
              <w:right w:val="nil"/>
            </w:tcBorders>
            <w:shd w:val="clear" w:color="auto" w:fill="auto"/>
            <w:noWrap/>
            <w:vAlign w:val="bottom"/>
            <w:hideMark/>
          </w:tcPr>
          <w:p w14:paraId="44B2F612" w14:textId="77777777" w:rsidR="0010523F" w:rsidRPr="0010523F" w:rsidRDefault="0010523F" w:rsidP="0010523F">
            <w:pPr>
              <w:spacing w:line="14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2096E283" w14:textId="77777777" w:rsidR="0010523F" w:rsidRPr="0010523F" w:rsidRDefault="0010523F" w:rsidP="0010523F">
            <w:pPr>
              <w:spacing w:line="140" w:lineRule="exac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577C8A7D" w14:textId="77777777" w:rsidR="0010523F" w:rsidRPr="0010523F" w:rsidRDefault="0010523F" w:rsidP="0010523F">
            <w:pPr>
              <w:spacing w:line="220" w:lineRule="exact"/>
              <w:jc w:val="righ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5FD9C183" w14:textId="77777777" w:rsidR="0010523F" w:rsidRPr="0010523F" w:rsidRDefault="0010523F" w:rsidP="0010523F">
            <w:pPr>
              <w:spacing w:line="220" w:lineRule="exact"/>
              <w:jc w:val="righ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3FE1B234" w14:textId="77777777" w:rsidR="0010523F" w:rsidRPr="0010523F" w:rsidRDefault="0010523F" w:rsidP="0010523F">
            <w:pPr>
              <w:spacing w:line="220" w:lineRule="exact"/>
              <w:jc w:val="righ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507E5925" w14:textId="77777777" w:rsidR="0010523F" w:rsidRPr="0010523F" w:rsidRDefault="0010523F" w:rsidP="0010523F">
            <w:pPr>
              <w:spacing w:line="140" w:lineRule="exact"/>
              <w:rPr>
                <w:color w:val="000000"/>
                <w:sz w:val="22"/>
                <w:szCs w:val="22"/>
                <w:lang w:val="es-AR" w:eastAsia="es-AR"/>
              </w:rPr>
            </w:pPr>
          </w:p>
        </w:tc>
        <w:tc>
          <w:tcPr>
            <w:tcW w:w="881" w:type="dxa"/>
            <w:tcBorders>
              <w:top w:val="nil"/>
              <w:left w:val="nil"/>
              <w:bottom w:val="nil"/>
              <w:right w:val="nil"/>
            </w:tcBorders>
            <w:shd w:val="clear" w:color="auto" w:fill="auto"/>
            <w:noWrap/>
            <w:vAlign w:val="bottom"/>
            <w:hideMark/>
          </w:tcPr>
          <w:p w14:paraId="1A2EBBA2" w14:textId="77777777" w:rsidR="0010523F" w:rsidRPr="0010523F" w:rsidRDefault="0010523F" w:rsidP="0010523F">
            <w:pPr>
              <w:spacing w:line="140" w:lineRule="exact"/>
              <w:rPr>
                <w:color w:val="000000"/>
                <w:sz w:val="22"/>
                <w:szCs w:val="22"/>
                <w:lang w:val="es-AR" w:eastAsia="es-AR"/>
              </w:rPr>
            </w:pPr>
          </w:p>
        </w:tc>
      </w:tr>
      <w:tr w:rsidR="0010523F" w:rsidRPr="0010523F" w14:paraId="19BB330B" w14:textId="77777777" w:rsidTr="00774E7E">
        <w:trPr>
          <w:trHeight w:val="227"/>
        </w:trPr>
        <w:tc>
          <w:tcPr>
            <w:tcW w:w="4340" w:type="dxa"/>
            <w:tcBorders>
              <w:top w:val="nil"/>
              <w:left w:val="nil"/>
              <w:bottom w:val="nil"/>
              <w:right w:val="nil"/>
            </w:tcBorders>
            <w:shd w:val="clear" w:color="auto" w:fill="auto"/>
            <w:noWrap/>
            <w:vAlign w:val="bottom"/>
            <w:hideMark/>
          </w:tcPr>
          <w:p w14:paraId="08B76971"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Depreciación de propiedad, planta y equipo y amortización de activos intangibles</w:t>
            </w:r>
          </w:p>
        </w:tc>
        <w:tc>
          <w:tcPr>
            <w:tcW w:w="1129" w:type="dxa"/>
            <w:tcBorders>
              <w:top w:val="nil"/>
              <w:left w:val="nil"/>
              <w:bottom w:val="nil"/>
              <w:right w:val="nil"/>
            </w:tcBorders>
            <w:shd w:val="clear" w:color="auto" w:fill="auto"/>
            <w:noWrap/>
            <w:vAlign w:val="bottom"/>
            <w:hideMark/>
          </w:tcPr>
          <w:p w14:paraId="7F54C2A7"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6.229</w:t>
            </w:r>
          </w:p>
        </w:tc>
        <w:tc>
          <w:tcPr>
            <w:tcW w:w="160" w:type="dxa"/>
            <w:tcBorders>
              <w:top w:val="nil"/>
              <w:left w:val="nil"/>
              <w:bottom w:val="nil"/>
              <w:right w:val="nil"/>
            </w:tcBorders>
            <w:shd w:val="clear" w:color="auto" w:fill="auto"/>
            <w:noWrap/>
            <w:vAlign w:val="bottom"/>
            <w:hideMark/>
          </w:tcPr>
          <w:p w14:paraId="71BC801E"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678BFE0D"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574</w:t>
            </w:r>
          </w:p>
        </w:tc>
        <w:tc>
          <w:tcPr>
            <w:tcW w:w="160" w:type="dxa"/>
            <w:tcBorders>
              <w:top w:val="nil"/>
              <w:left w:val="nil"/>
              <w:bottom w:val="nil"/>
              <w:right w:val="nil"/>
            </w:tcBorders>
            <w:shd w:val="clear" w:color="auto" w:fill="auto"/>
            <w:noWrap/>
            <w:vAlign w:val="bottom"/>
            <w:hideMark/>
          </w:tcPr>
          <w:p w14:paraId="009E1C02" w14:textId="77777777" w:rsidR="0010523F" w:rsidRPr="0010523F" w:rsidRDefault="0010523F" w:rsidP="0010523F">
            <w:pPr>
              <w:spacing w:line="220" w:lineRule="exact"/>
              <w:jc w:val="righ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4CA51FB0"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75BD8E28" w14:textId="77777777" w:rsidR="0010523F" w:rsidRPr="0010523F" w:rsidRDefault="0010523F" w:rsidP="0010523F">
            <w:pPr>
              <w:spacing w:line="220" w:lineRule="exact"/>
              <w:jc w:val="right"/>
              <w:rPr>
                <w:color w:val="000000"/>
                <w:sz w:val="22"/>
                <w:szCs w:val="22"/>
                <w:lang w:val="es-AR" w:eastAsia="es-AR"/>
              </w:rPr>
            </w:pPr>
          </w:p>
        </w:tc>
        <w:tc>
          <w:tcPr>
            <w:tcW w:w="881" w:type="dxa"/>
            <w:tcBorders>
              <w:top w:val="nil"/>
              <w:left w:val="nil"/>
              <w:bottom w:val="nil"/>
              <w:right w:val="nil"/>
            </w:tcBorders>
            <w:shd w:val="clear" w:color="auto" w:fill="auto"/>
            <w:noWrap/>
            <w:vAlign w:val="bottom"/>
            <w:hideMark/>
          </w:tcPr>
          <w:p w14:paraId="04039D6E"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6.803</w:t>
            </w:r>
          </w:p>
        </w:tc>
      </w:tr>
      <w:tr w:rsidR="0010523F" w:rsidRPr="0010523F" w14:paraId="09AAB882" w14:textId="77777777" w:rsidTr="00774E7E">
        <w:trPr>
          <w:trHeight w:val="227"/>
        </w:trPr>
        <w:tc>
          <w:tcPr>
            <w:tcW w:w="4340" w:type="dxa"/>
            <w:tcBorders>
              <w:top w:val="nil"/>
              <w:left w:val="nil"/>
              <w:bottom w:val="nil"/>
              <w:right w:val="nil"/>
            </w:tcBorders>
            <w:shd w:val="clear" w:color="auto" w:fill="auto"/>
            <w:noWrap/>
            <w:vAlign w:val="bottom"/>
            <w:hideMark/>
          </w:tcPr>
          <w:p w14:paraId="3DA1FBAC"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Inversión en propiedad, planta y equipo</w:t>
            </w:r>
          </w:p>
        </w:tc>
        <w:tc>
          <w:tcPr>
            <w:tcW w:w="1129" w:type="dxa"/>
            <w:tcBorders>
              <w:top w:val="nil"/>
              <w:left w:val="nil"/>
              <w:bottom w:val="nil"/>
              <w:right w:val="nil"/>
            </w:tcBorders>
            <w:shd w:val="clear" w:color="auto" w:fill="auto"/>
            <w:noWrap/>
            <w:vAlign w:val="bottom"/>
            <w:hideMark/>
          </w:tcPr>
          <w:p w14:paraId="0A40C4B0"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9.994</w:t>
            </w:r>
          </w:p>
        </w:tc>
        <w:tc>
          <w:tcPr>
            <w:tcW w:w="160" w:type="dxa"/>
            <w:tcBorders>
              <w:top w:val="nil"/>
              <w:left w:val="nil"/>
              <w:bottom w:val="nil"/>
              <w:right w:val="nil"/>
            </w:tcBorders>
            <w:shd w:val="clear" w:color="auto" w:fill="auto"/>
            <w:noWrap/>
            <w:vAlign w:val="bottom"/>
            <w:hideMark/>
          </w:tcPr>
          <w:p w14:paraId="71C64730"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5EA5DF91"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1.984</w:t>
            </w:r>
          </w:p>
        </w:tc>
        <w:tc>
          <w:tcPr>
            <w:tcW w:w="160" w:type="dxa"/>
            <w:tcBorders>
              <w:top w:val="nil"/>
              <w:left w:val="nil"/>
              <w:bottom w:val="nil"/>
              <w:right w:val="nil"/>
            </w:tcBorders>
            <w:shd w:val="clear" w:color="auto" w:fill="auto"/>
            <w:noWrap/>
            <w:vAlign w:val="bottom"/>
            <w:hideMark/>
          </w:tcPr>
          <w:p w14:paraId="1C7EA381" w14:textId="77777777" w:rsidR="0010523F" w:rsidRPr="0010523F" w:rsidRDefault="0010523F" w:rsidP="0010523F">
            <w:pPr>
              <w:spacing w:line="220" w:lineRule="exact"/>
              <w:jc w:val="right"/>
              <w:rPr>
                <w:color w:val="000000"/>
                <w:sz w:val="22"/>
                <w:szCs w:val="22"/>
                <w:lang w:val="es-AR" w:eastAsia="es-AR"/>
              </w:rPr>
            </w:pPr>
          </w:p>
        </w:tc>
        <w:tc>
          <w:tcPr>
            <w:tcW w:w="1663" w:type="dxa"/>
            <w:tcBorders>
              <w:top w:val="nil"/>
              <w:left w:val="nil"/>
              <w:bottom w:val="nil"/>
              <w:right w:val="nil"/>
            </w:tcBorders>
            <w:shd w:val="clear" w:color="auto" w:fill="auto"/>
            <w:noWrap/>
            <w:vAlign w:val="bottom"/>
            <w:hideMark/>
          </w:tcPr>
          <w:p w14:paraId="41535FEF"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36942605" w14:textId="77777777" w:rsidR="0010523F" w:rsidRPr="0010523F" w:rsidRDefault="0010523F" w:rsidP="0010523F">
            <w:pPr>
              <w:spacing w:line="220" w:lineRule="exact"/>
              <w:jc w:val="right"/>
              <w:rPr>
                <w:color w:val="000000"/>
                <w:sz w:val="22"/>
                <w:szCs w:val="22"/>
                <w:lang w:val="es-AR" w:eastAsia="es-AR"/>
              </w:rPr>
            </w:pPr>
          </w:p>
        </w:tc>
        <w:tc>
          <w:tcPr>
            <w:tcW w:w="881" w:type="dxa"/>
            <w:tcBorders>
              <w:top w:val="nil"/>
              <w:left w:val="nil"/>
              <w:bottom w:val="nil"/>
              <w:right w:val="nil"/>
            </w:tcBorders>
            <w:shd w:val="clear" w:color="auto" w:fill="auto"/>
            <w:noWrap/>
            <w:vAlign w:val="bottom"/>
            <w:hideMark/>
          </w:tcPr>
          <w:p w14:paraId="6C83719E"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11.978</w:t>
            </w:r>
          </w:p>
        </w:tc>
      </w:tr>
    </w:tbl>
    <w:p w14:paraId="7574FB4F" w14:textId="77777777" w:rsidR="0010523F" w:rsidRPr="0010523F" w:rsidRDefault="0010523F" w:rsidP="0010523F">
      <w:pPr>
        <w:spacing w:line="220" w:lineRule="exact"/>
        <w:jc w:val="both"/>
        <w:rPr>
          <w:szCs w:val="20"/>
          <w:lang w:val="es-AR" w:eastAsia="en-US"/>
        </w:rPr>
      </w:pPr>
    </w:p>
    <w:p w14:paraId="23DA0CB9" w14:textId="77777777" w:rsidR="0010523F" w:rsidRPr="0010523F" w:rsidRDefault="0010523F" w:rsidP="0010523F">
      <w:pPr>
        <w:ind w:left="561" w:hanging="561"/>
        <w:rPr>
          <w:szCs w:val="20"/>
          <w:lang w:val="es-AR" w:eastAsia="en-US"/>
        </w:rPr>
      </w:pPr>
      <w:r w:rsidRPr="0010523F">
        <w:rPr>
          <w:szCs w:val="20"/>
          <w:lang w:val="es-AR" w:eastAsia="en-US"/>
        </w:rPr>
        <w:br w:type="page"/>
      </w:r>
    </w:p>
    <w:p w14:paraId="7F26D4F8" w14:textId="77777777" w:rsidR="0010523F" w:rsidRPr="0010523F" w:rsidRDefault="0010523F" w:rsidP="0010523F">
      <w:pPr>
        <w:spacing w:line="220" w:lineRule="exact"/>
        <w:jc w:val="both"/>
        <w:rPr>
          <w:b/>
          <w:szCs w:val="20"/>
          <w:lang w:val="es-AR" w:eastAsia="en-US"/>
        </w:rPr>
      </w:pPr>
      <w:r w:rsidRPr="0010523F">
        <w:rPr>
          <w:b/>
          <w:szCs w:val="20"/>
          <w:lang w:val="es-AR" w:eastAsia="en-US"/>
        </w:rPr>
        <w:t>NOTA 11 - INFORMACIÓN POR SEGMENTOS DE NEGOCIO (cont.)</w:t>
      </w:r>
    </w:p>
    <w:p w14:paraId="0FC51E0A" w14:textId="77777777" w:rsidR="0010523F" w:rsidRPr="0010523F" w:rsidRDefault="0010523F" w:rsidP="0010523F">
      <w:pPr>
        <w:spacing w:line="220" w:lineRule="exact"/>
        <w:jc w:val="both"/>
        <w:rPr>
          <w:szCs w:val="20"/>
          <w:lang w:val="es-AR" w:eastAsia="en-US"/>
        </w:rPr>
      </w:pPr>
    </w:p>
    <w:tbl>
      <w:tblPr>
        <w:tblW w:w="9957" w:type="dxa"/>
        <w:tblInd w:w="55" w:type="dxa"/>
        <w:tblLayout w:type="fixed"/>
        <w:tblCellMar>
          <w:left w:w="70" w:type="dxa"/>
          <w:right w:w="70" w:type="dxa"/>
        </w:tblCellMar>
        <w:tblLook w:val="04A0" w:firstRow="1" w:lastRow="0" w:firstColumn="1" w:lastColumn="0" w:noHBand="0" w:noVBand="1"/>
      </w:tblPr>
      <w:tblGrid>
        <w:gridCol w:w="4551"/>
        <w:gridCol w:w="1129"/>
        <w:gridCol w:w="160"/>
        <w:gridCol w:w="1424"/>
        <w:gridCol w:w="160"/>
        <w:gridCol w:w="1493"/>
        <w:gridCol w:w="160"/>
        <w:gridCol w:w="880"/>
      </w:tblGrid>
      <w:tr w:rsidR="0010523F" w:rsidRPr="0010523F" w14:paraId="7AB35ADD" w14:textId="77777777" w:rsidTr="00774E7E">
        <w:trPr>
          <w:trHeight w:val="227"/>
        </w:trPr>
        <w:tc>
          <w:tcPr>
            <w:tcW w:w="4551" w:type="dxa"/>
            <w:tcBorders>
              <w:top w:val="nil"/>
              <w:left w:val="nil"/>
              <w:bottom w:val="nil"/>
              <w:right w:val="nil"/>
            </w:tcBorders>
            <w:shd w:val="clear" w:color="auto" w:fill="auto"/>
            <w:noWrap/>
            <w:vAlign w:val="bottom"/>
          </w:tcPr>
          <w:p w14:paraId="181E277F" w14:textId="77777777" w:rsidR="0010523F" w:rsidRPr="0010523F" w:rsidRDefault="0010523F" w:rsidP="0010523F">
            <w:pPr>
              <w:rPr>
                <w:color w:val="000000"/>
                <w:sz w:val="22"/>
                <w:szCs w:val="22"/>
                <w:lang w:val="es-AR" w:eastAsia="es-AR"/>
              </w:rPr>
            </w:pPr>
          </w:p>
        </w:tc>
        <w:tc>
          <w:tcPr>
            <w:tcW w:w="5406" w:type="dxa"/>
            <w:gridSpan w:val="7"/>
            <w:tcBorders>
              <w:top w:val="nil"/>
              <w:left w:val="nil"/>
              <w:bottom w:val="single" w:sz="4" w:space="0" w:color="auto"/>
              <w:right w:val="nil"/>
            </w:tcBorders>
            <w:shd w:val="clear" w:color="auto" w:fill="auto"/>
            <w:vAlign w:val="bottom"/>
          </w:tcPr>
          <w:p w14:paraId="57DE0003"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Período de nueve meses finalizado el 30/09/2019</w:t>
            </w:r>
          </w:p>
        </w:tc>
      </w:tr>
      <w:tr w:rsidR="0010523F" w:rsidRPr="0010523F" w14:paraId="080B2F35" w14:textId="77777777" w:rsidTr="00774E7E">
        <w:trPr>
          <w:trHeight w:val="283"/>
        </w:trPr>
        <w:tc>
          <w:tcPr>
            <w:tcW w:w="4551" w:type="dxa"/>
            <w:tcBorders>
              <w:top w:val="nil"/>
              <w:left w:val="nil"/>
              <w:bottom w:val="nil"/>
              <w:right w:val="nil"/>
            </w:tcBorders>
            <w:shd w:val="clear" w:color="auto" w:fill="auto"/>
            <w:noWrap/>
            <w:vAlign w:val="bottom"/>
            <w:hideMark/>
          </w:tcPr>
          <w:p w14:paraId="4DB1C014" w14:textId="77777777" w:rsidR="0010523F" w:rsidRPr="0010523F" w:rsidRDefault="0010523F" w:rsidP="0010523F">
            <w:pPr>
              <w:spacing w:line="220" w:lineRule="exact"/>
              <w:rPr>
                <w:color w:val="000000"/>
                <w:sz w:val="22"/>
                <w:szCs w:val="22"/>
                <w:lang w:val="es-AR" w:eastAsia="es-AR"/>
              </w:rPr>
            </w:pPr>
          </w:p>
        </w:tc>
        <w:tc>
          <w:tcPr>
            <w:tcW w:w="1129" w:type="dxa"/>
            <w:tcBorders>
              <w:top w:val="nil"/>
              <w:left w:val="nil"/>
              <w:bottom w:val="single" w:sz="4" w:space="0" w:color="auto"/>
              <w:right w:val="nil"/>
            </w:tcBorders>
            <w:shd w:val="clear" w:color="auto" w:fill="auto"/>
            <w:vAlign w:val="bottom"/>
            <w:hideMark/>
          </w:tcPr>
          <w:p w14:paraId="37229968"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Upstream</w:t>
            </w:r>
          </w:p>
        </w:tc>
        <w:tc>
          <w:tcPr>
            <w:tcW w:w="160" w:type="dxa"/>
            <w:tcBorders>
              <w:top w:val="nil"/>
              <w:left w:val="nil"/>
              <w:bottom w:val="nil"/>
              <w:right w:val="nil"/>
            </w:tcBorders>
            <w:shd w:val="clear" w:color="auto" w:fill="auto"/>
            <w:vAlign w:val="bottom"/>
            <w:hideMark/>
          </w:tcPr>
          <w:p w14:paraId="4563F1F7" w14:textId="77777777" w:rsidR="0010523F" w:rsidRPr="0010523F" w:rsidRDefault="0010523F" w:rsidP="0010523F">
            <w:pPr>
              <w:spacing w:line="220" w:lineRule="exact"/>
              <w:jc w:val="center"/>
              <w:rPr>
                <w:color w:val="000000"/>
                <w:sz w:val="22"/>
                <w:szCs w:val="22"/>
                <w:lang w:val="es-AR" w:eastAsia="es-AR"/>
              </w:rPr>
            </w:pPr>
          </w:p>
        </w:tc>
        <w:tc>
          <w:tcPr>
            <w:tcW w:w="1424" w:type="dxa"/>
            <w:tcBorders>
              <w:top w:val="nil"/>
              <w:left w:val="nil"/>
              <w:bottom w:val="single" w:sz="4" w:space="0" w:color="auto"/>
              <w:right w:val="nil"/>
            </w:tcBorders>
            <w:shd w:val="clear" w:color="auto" w:fill="auto"/>
            <w:vAlign w:val="bottom"/>
            <w:hideMark/>
          </w:tcPr>
          <w:p w14:paraId="264659A3"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Downtream</w:t>
            </w:r>
          </w:p>
        </w:tc>
        <w:tc>
          <w:tcPr>
            <w:tcW w:w="160" w:type="dxa"/>
            <w:tcBorders>
              <w:top w:val="nil"/>
              <w:left w:val="nil"/>
              <w:bottom w:val="nil"/>
              <w:right w:val="nil"/>
            </w:tcBorders>
            <w:shd w:val="clear" w:color="auto" w:fill="auto"/>
            <w:vAlign w:val="bottom"/>
            <w:hideMark/>
          </w:tcPr>
          <w:p w14:paraId="73E991F0" w14:textId="77777777" w:rsidR="0010523F" w:rsidRPr="0010523F" w:rsidRDefault="0010523F" w:rsidP="0010523F">
            <w:pPr>
              <w:spacing w:line="220" w:lineRule="exact"/>
              <w:jc w:val="center"/>
              <w:rPr>
                <w:color w:val="000000"/>
                <w:sz w:val="22"/>
                <w:szCs w:val="22"/>
                <w:lang w:val="es-AR" w:eastAsia="es-AR"/>
              </w:rPr>
            </w:pPr>
          </w:p>
        </w:tc>
        <w:tc>
          <w:tcPr>
            <w:tcW w:w="1493" w:type="dxa"/>
            <w:tcBorders>
              <w:top w:val="nil"/>
              <w:left w:val="nil"/>
              <w:bottom w:val="single" w:sz="4" w:space="0" w:color="auto"/>
              <w:right w:val="nil"/>
            </w:tcBorders>
            <w:shd w:val="clear" w:color="auto" w:fill="auto"/>
            <w:vAlign w:val="bottom"/>
            <w:hideMark/>
          </w:tcPr>
          <w:p w14:paraId="62908837"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Ajustes de consolidación</w:t>
            </w:r>
          </w:p>
        </w:tc>
        <w:tc>
          <w:tcPr>
            <w:tcW w:w="160" w:type="dxa"/>
            <w:tcBorders>
              <w:top w:val="nil"/>
              <w:left w:val="nil"/>
              <w:bottom w:val="nil"/>
              <w:right w:val="nil"/>
            </w:tcBorders>
            <w:shd w:val="clear" w:color="auto" w:fill="auto"/>
            <w:vAlign w:val="bottom"/>
            <w:hideMark/>
          </w:tcPr>
          <w:p w14:paraId="5DC692B3" w14:textId="77777777" w:rsidR="0010523F" w:rsidRPr="0010523F" w:rsidRDefault="0010523F" w:rsidP="0010523F">
            <w:pPr>
              <w:spacing w:line="220" w:lineRule="exact"/>
              <w:jc w:val="center"/>
              <w:rPr>
                <w:color w:val="000000"/>
                <w:sz w:val="22"/>
                <w:szCs w:val="22"/>
                <w:lang w:val="es-AR" w:eastAsia="es-AR"/>
              </w:rPr>
            </w:pPr>
          </w:p>
        </w:tc>
        <w:tc>
          <w:tcPr>
            <w:tcW w:w="880" w:type="dxa"/>
            <w:tcBorders>
              <w:top w:val="nil"/>
              <w:left w:val="nil"/>
              <w:bottom w:val="single" w:sz="4" w:space="0" w:color="auto"/>
              <w:right w:val="nil"/>
            </w:tcBorders>
            <w:shd w:val="clear" w:color="auto" w:fill="auto"/>
            <w:vAlign w:val="bottom"/>
            <w:hideMark/>
          </w:tcPr>
          <w:p w14:paraId="25F6CC5F"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Total</w:t>
            </w:r>
          </w:p>
        </w:tc>
      </w:tr>
      <w:tr w:rsidR="0010523F" w:rsidRPr="0010523F" w14:paraId="5D6AA605" w14:textId="77777777" w:rsidTr="00774E7E">
        <w:trPr>
          <w:trHeight w:val="113"/>
        </w:trPr>
        <w:tc>
          <w:tcPr>
            <w:tcW w:w="4551" w:type="dxa"/>
            <w:tcBorders>
              <w:top w:val="nil"/>
              <w:left w:val="nil"/>
              <w:bottom w:val="nil"/>
              <w:right w:val="nil"/>
            </w:tcBorders>
            <w:shd w:val="clear" w:color="auto" w:fill="auto"/>
            <w:noWrap/>
            <w:vAlign w:val="bottom"/>
            <w:hideMark/>
          </w:tcPr>
          <w:p w14:paraId="301EBDCD" w14:textId="77777777" w:rsidR="0010523F" w:rsidRPr="0010523F" w:rsidRDefault="0010523F" w:rsidP="0010523F">
            <w:pPr>
              <w:spacing w:line="100" w:lineRule="exact"/>
              <w:rPr>
                <w:color w:val="000000"/>
                <w:sz w:val="22"/>
                <w:szCs w:val="22"/>
                <w:lang w:val="es-AR" w:eastAsia="es-AR"/>
              </w:rPr>
            </w:pPr>
          </w:p>
        </w:tc>
        <w:tc>
          <w:tcPr>
            <w:tcW w:w="1129" w:type="dxa"/>
            <w:tcBorders>
              <w:top w:val="nil"/>
              <w:left w:val="nil"/>
              <w:bottom w:val="nil"/>
              <w:right w:val="nil"/>
            </w:tcBorders>
            <w:shd w:val="clear" w:color="auto" w:fill="auto"/>
            <w:noWrap/>
            <w:vAlign w:val="bottom"/>
            <w:hideMark/>
          </w:tcPr>
          <w:p w14:paraId="26642822"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6B645ED7" w14:textId="77777777" w:rsidR="0010523F" w:rsidRPr="0010523F" w:rsidRDefault="0010523F" w:rsidP="0010523F">
            <w:pPr>
              <w:spacing w:line="100" w:lineRule="exac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04974AAE"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3B18B054" w14:textId="77777777" w:rsidR="0010523F" w:rsidRPr="0010523F" w:rsidRDefault="0010523F" w:rsidP="0010523F">
            <w:pPr>
              <w:spacing w:line="100" w:lineRule="exac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3D316C6B"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2C191FE9" w14:textId="77777777" w:rsidR="0010523F" w:rsidRPr="0010523F" w:rsidRDefault="0010523F" w:rsidP="0010523F">
            <w:pPr>
              <w:spacing w:line="100" w:lineRule="exac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5AE9FBB8" w14:textId="77777777" w:rsidR="0010523F" w:rsidRPr="0010523F" w:rsidRDefault="0010523F" w:rsidP="0010523F">
            <w:pPr>
              <w:spacing w:line="100" w:lineRule="exact"/>
              <w:rPr>
                <w:color w:val="000000"/>
                <w:sz w:val="22"/>
                <w:szCs w:val="22"/>
                <w:lang w:val="es-AR" w:eastAsia="es-AR"/>
              </w:rPr>
            </w:pPr>
          </w:p>
        </w:tc>
      </w:tr>
      <w:tr w:rsidR="0010523F" w:rsidRPr="0010523F" w14:paraId="56DD7ABB" w14:textId="77777777" w:rsidTr="00774E7E">
        <w:trPr>
          <w:trHeight w:val="227"/>
        </w:trPr>
        <w:tc>
          <w:tcPr>
            <w:tcW w:w="4551" w:type="dxa"/>
            <w:tcBorders>
              <w:top w:val="nil"/>
              <w:left w:val="nil"/>
              <w:bottom w:val="nil"/>
              <w:right w:val="nil"/>
            </w:tcBorders>
            <w:shd w:val="clear" w:color="auto" w:fill="auto"/>
            <w:noWrap/>
            <w:vAlign w:val="bottom"/>
            <w:hideMark/>
          </w:tcPr>
          <w:p w14:paraId="5F700866"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netas y subvenciones - Terceros</w:t>
            </w:r>
          </w:p>
        </w:tc>
        <w:tc>
          <w:tcPr>
            <w:tcW w:w="1129" w:type="dxa"/>
            <w:tcBorders>
              <w:top w:val="nil"/>
              <w:left w:val="nil"/>
              <w:bottom w:val="nil"/>
              <w:right w:val="nil"/>
            </w:tcBorders>
            <w:shd w:val="clear" w:color="auto" w:fill="auto"/>
            <w:noWrap/>
            <w:vAlign w:val="bottom"/>
            <w:hideMark/>
          </w:tcPr>
          <w:p w14:paraId="67FF1130"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46.265</w:t>
            </w:r>
          </w:p>
        </w:tc>
        <w:tc>
          <w:tcPr>
            <w:tcW w:w="160" w:type="dxa"/>
            <w:tcBorders>
              <w:top w:val="nil"/>
              <w:left w:val="nil"/>
              <w:bottom w:val="nil"/>
              <w:right w:val="nil"/>
            </w:tcBorders>
            <w:shd w:val="clear" w:color="auto" w:fill="auto"/>
            <w:noWrap/>
            <w:vAlign w:val="bottom"/>
            <w:hideMark/>
          </w:tcPr>
          <w:p w14:paraId="3F433A00"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1114EA7E"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95.414</w:t>
            </w:r>
          </w:p>
        </w:tc>
        <w:tc>
          <w:tcPr>
            <w:tcW w:w="160" w:type="dxa"/>
            <w:tcBorders>
              <w:top w:val="nil"/>
              <w:left w:val="nil"/>
              <w:bottom w:val="nil"/>
              <w:right w:val="nil"/>
            </w:tcBorders>
            <w:shd w:val="clear" w:color="auto" w:fill="auto"/>
            <w:noWrap/>
            <w:vAlign w:val="bottom"/>
            <w:hideMark/>
          </w:tcPr>
          <w:p w14:paraId="6A74AB1A" w14:textId="77777777" w:rsidR="0010523F" w:rsidRPr="0010523F" w:rsidRDefault="0010523F" w:rsidP="0010523F">
            <w:pPr>
              <w:spacing w:line="220" w:lineRule="exact"/>
              <w:jc w:val="righ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18D501A7"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3EAD2B26"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145D3596"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141.679</w:t>
            </w:r>
          </w:p>
        </w:tc>
      </w:tr>
      <w:tr w:rsidR="0010523F" w:rsidRPr="0010523F" w14:paraId="46952A69" w14:textId="77777777" w:rsidTr="00774E7E">
        <w:trPr>
          <w:trHeight w:val="227"/>
        </w:trPr>
        <w:tc>
          <w:tcPr>
            <w:tcW w:w="4551" w:type="dxa"/>
            <w:tcBorders>
              <w:top w:val="nil"/>
              <w:left w:val="nil"/>
              <w:bottom w:val="nil"/>
              <w:right w:val="nil"/>
            </w:tcBorders>
            <w:shd w:val="clear" w:color="auto" w:fill="auto"/>
            <w:noWrap/>
            <w:vAlign w:val="bottom"/>
            <w:hideMark/>
          </w:tcPr>
          <w:p w14:paraId="09BA3D77"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intersegmentos</w:t>
            </w:r>
          </w:p>
        </w:tc>
        <w:tc>
          <w:tcPr>
            <w:tcW w:w="1129" w:type="dxa"/>
            <w:tcBorders>
              <w:top w:val="nil"/>
              <w:left w:val="nil"/>
              <w:bottom w:val="nil"/>
              <w:right w:val="nil"/>
            </w:tcBorders>
            <w:shd w:val="clear" w:color="auto" w:fill="auto"/>
            <w:noWrap/>
            <w:vAlign w:val="bottom"/>
            <w:hideMark/>
          </w:tcPr>
          <w:p w14:paraId="48D4B66D"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45.866</w:t>
            </w:r>
          </w:p>
        </w:tc>
        <w:tc>
          <w:tcPr>
            <w:tcW w:w="160" w:type="dxa"/>
            <w:tcBorders>
              <w:top w:val="nil"/>
              <w:left w:val="nil"/>
              <w:bottom w:val="nil"/>
              <w:right w:val="nil"/>
            </w:tcBorders>
            <w:shd w:val="clear" w:color="auto" w:fill="auto"/>
            <w:noWrap/>
            <w:vAlign w:val="bottom"/>
            <w:hideMark/>
          </w:tcPr>
          <w:p w14:paraId="23675648"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4E65C419"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 xml:space="preserve">          -</w:t>
            </w:r>
          </w:p>
        </w:tc>
        <w:tc>
          <w:tcPr>
            <w:tcW w:w="160" w:type="dxa"/>
            <w:tcBorders>
              <w:top w:val="nil"/>
              <w:left w:val="nil"/>
              <w:bottom w:val="nil"/>
              <w:right w:val="nil"/>
            </w:tcBorders>
            <w:shd w:val="clear" w:color="auto" w:fill="auto"/>
            <w:noWrap/>
            <w:vAlign w:val="bottom"/>
            <w:hideMark/>
          </w:tcPr>
          <w:p w14:paraId="3120D8E9" w14:textId="77777777" w:rsidR="0010523F" w:rsidRPr="0010523F" w:rsidRDefault="0010523F" w:rsidP="0010523F">
            <w:pPr>
              <w:spacing w:line="220" w:lineRule="exact"/>
              <w:jc w:val="righ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542E36B7"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r w:rsidRPr="0010523F">
              <w:rPr>
                <w:color w:val="000000"/>
                <w:sz w:val="22"/>
                <w:szCs w:val="22"/>
                <w:u w:val="single"/>
                <w:lang w:val="es-AR" w:eastAsia="es-AR"/>
              </w:rPr>
              <w:t>45.866</w:t>
            </w: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0BF5DCAE"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721FBCA6"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 xml:space="preserve">            -</w:t>
            </w:r>
          </w:p>
        </w:tc>
      </w:tr>
      <w:tr w:rsidR="0010523F" w:rsidRPr="0010523F" w14:paraId="20CAC8A4" w14:textId="77777777" w:rsidTr="00774E7E">
        <w:trPr>
          <w:trHeight w:val="170"/>
        </w:trPr>
        <w:tc>
          <w:tcPr>
            <w:tcW w:w="4551" w:type="dxa"/>
            <w:tcBorders>
              <w:top w:val="nil"/>
              <w:left w:val="nil"/>
              <w:bottom w:val="nil"/>
              <w:right w:val="nil"/>
            </w:tcBorders>
            <w:shd w:val="clear" w:color="auto" w:fill="auto"/>
            <w:noWrap/>
            <w:vAlign w:val="bottom"/>
            <w:hideMark/>
          </w:tcPr>
          <w:p w14:paraId="6388CC98"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netas y subvenciones - Total</w:t>
            </w:r>
          </w:p>
        </w:tc>
        <w:tc>
          <w:tcPr>
            <w:tcW w:w="1129" w:type="dxa"/>
            <w:tcBorders>
              <w:top w:val="nil"/>
              <w:left w:val="nil"/>
              <w:bottom w:val="nil"/>
              <w:right w:val="nil"/>
            </w:tcBorders>
            <w:shd w:val="clear" w:color="auto" w:fill="auto"/>
            <w:noWrap/>
            <w:vAlign w:val="bottom"/>
            <w:hideMark/>
          </w:tcPr>
          <w:p w14:paraId="121DC3E1"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92.131</w:t>
            </w:r>
          </w:p>
        </w:tc>
        <w:tc>
          <w:tcPr>
            <w:tcW w:w="160" w:type="dxa"/>
            <w:tcBorders>
              <w:top w:val="nil"/>
              <w:left w:val="nil"/>
              <w:bottom w:val="nil"/>
              <w:right w:val="nil"/>
            </w:tcBorders>
            <w:shd w:val="clear" w:color="auto" w:fill="auto"/>
            <w:noWrap/>
            <w:vAlign w:val="bottom"/>
            <w:hideMark/>
          </w:tcPr>
          <w:p w14:paraId="1AF04E5B" w14:textId="77777777" w:rsidR="0010523F" w:rsidRPr="0010523F" w:rsidRDefault="0010523F" w:rsidP="0010523F">
            <w:pPr>
              <w:spacing w:line="220" w:lineRule="exact"/>
              <w:jc w:val="right"/>
              <w:rPr>
                <w:color w:val="000000"/>
                <w:sz w:val="22"/>
                <w:szCs w:val="22"/>
                <w:u w:val="double"/>
                <w:lang w:val="es-AR" w:eastAsia="es-AR"/>
              </w:rPr>
            </w:pPr>
          </w:p>
        </w:tc>
        <w:tc>
          <w:tcPr>
            <w:tcW w:w="1424" w:type="dxa"/>
            <w:tcBorders>
              <w:top w:val="nil"/>
              <w:left w:val="nil"/>
              <w:bottom w:val="nil"/>
              <w:right w:val="nil"/>
            </w:tcBorders>
            <w:shd w:val="clear" w:color="auto" w:fill="auto"/>
            <w:noWrap/>
            <w:vAlign w:val="bottom"/>
            <w:hideMark/>
          </w:tcPr>
          <w:p w14:paraId="0FFAB4B4"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95.414</w:t>
            </w:r>
          </w:p>
        </w:tc>
        <w:tc>
          <w:tcPr>
            <w:tcW w:w="160" w:type="dxa"/>
            <w:tcBorders>
              <w:top w:val="nil"/>
              <w:left w:val="nil"/>
              <w:bottom w:val="nil"/>
              <w:right w:val="nil"/>
            </w:tcBorders>
            <w:shd w:val="clear" w:color="auto" w:fill="auto"/>
            <w:noWrap/>
            <w:vAlign w:val="bottom"/>
            <w:hideMark/>
          </w:tcPr>
          <w:p w14:paraId="1FF32759" w14:textId="77777777" w:rsidR="0010523F" w:rsidRPr="0010523F" w:rsidRDefault="0010523F" w:rsidP="0010523F">
            <w:pPr>
              <w:spacing w:line="220" w:lineRule="exact"/>
              <w:jc w:val="right"/>
              <w:rPr>
                <w:color w:val="000000"/>
                <w:sz w:val="22"/>
                <w:szCs w:val="22"/>
                <w:u w:val="double"/>
                <w:lang w:val="es-AR" w:eastAsia="es-AR"/>
              </w:rPr>
            </w:pPr>
          </w:p>
        </w:tc>
        <w:tc>
          <w:tcPr>
            <w:tcW w:w="1493" w:type="dxa"/>
            <w:tcBorders>
              <w:top w:val="nil"/>
              <w:left w:val="nil"/>
              <w:bottom w:val="nil"/>
              <w:right w:val="nil"/>
            </w:tcBorders>
            <w:shd w:val="clear" w:color="auto" w:fill="auto"/>
            <w:noWrap/>
            <w:vAlign w:val="bottom"/>
            <w:hideMark/>
          </w:tcPr>
          <w:p w14:paraId="4E393F86"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lang w:val="es-AR" w:eastAsia="es-AR"/>
              </w:rPr>
              <w:t>(</w:t>
            </w:r>
            <w:r w:rsidRPr="0010523F">
              <w:rPr>
                <w:color w:val="000000"/>
                <w:sz w:val="22"/>
                <w:szCs w:val="22"/>
                <w:u w:val="double"/>
                <w:lang w:val="es-AR" w:eastAsia="es-AR"/>
              </w:rPr>
              <w:t>45.866</w:t>
            </w: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0546C862" w14:textId="77777777" w:rsidR="0010523F" w:rsidRPr="0010523F" w:rsidRDefault="0010523F" w:rsidP="0010523F">
            <w:pPr>
              <w:spacing w:line="220" w:lineRule="exact"/>
              <w:jc w:val="right"/>
              <w:rPr>
                <w:color w:val="000000"/>
                <w:sz w:val="22"/>
                <w:szCs w:val="22"/>
                <w:u w:val="double"/>
                <w:lang w:val="es-AR" w:eastAsia="es-AR"/>
              </w:rPr>
            </w:pPr>
          </w:p>
        </w:tc>
        <w:tc>
          <w:tcPr>
            <w:tcW w:w="880" w:type="dxa"/>
            <w:tcBorders>
              <w:top w:val="nil"/>
              <w:left w:val="nil"/>
              <w:bottom w:val="nil"/>
              <w:right w:val="nil"/>
            </w:tcBorders>
            <w:shd w:val="clear" w:color="auto" w:fill="auto"/>
            <w:noWrap/>
            <w:vAlign w:val="bottom"/>
            <w:hideMark/>
          </w:tcPr>
          <w:p w14:paraId="0781FCC5"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141.679</w:t>
            </w:r>
          </w:p>
        </w:tc>
      </w:tr>
      <w:tr w:rsidR="0010523F" w:rsidRPr="0010523F" w14:paraId="653C1504" w14:textId="77777777" w:rsidTr="00774E7E">
        <w:trPr>
          <w:trHeight w:val="105"/>
        </w:trPr>
        <w:tc>
          <w:tcPr>
            <w:tcW w:w="4551" w:type="dxa"/>
            <w:tcBorders>
              <w:top w:val="nil"/>
              <w:left w:val="nil"/>
              <w:bottom w:val="nil"/>
              <w:right w:val="nil"/>
            </w:tcBorders>
            <w:shd w:val="clear" w:color="auto" w:fill="auto"/>
            <w:noWrap/>
            <w:vAlign w:val="bottom"/>
            <w:hideMark/>
          </w:tcPr>
          <w:p w14:paraId="1E800276" w14:textId="77777777" w:rsidR="0010523F" w:rsidRPr="0010523F" w:rsidRDefault="0010523F" w:rsidP="0010523F">
            <w:pPr>
              <w:spacing w:line="140" w:lineRule="exact"/>
              <w:rPr>
                <w:color w:val="000000"/>
                <w:sz w:val="22"/>
                <w:szCs w:val="22"/>
                <w:lang w:val="es-AR" w:eastAsia="es-AR"/>
              </w:rPr>
            </w:pPr>
          </w:p>
        </w:tc>
        <w:tc>
          <w:tcPr>
            <w:tcW w:w="1129" w:type="dxa"/>
            <w:tcBorders>
              <w:top w:val="nil"/>
              <w:left w:val="nil"/>
              <w:bottom w:val="nil"/>
              <w:right w:val="nil"/>
            </w:tcBorders>
            <w:shd w:val="clear" w:color="auto" w:fill="auto"/>
            <w:noWrap/>
            <w:vAlign w:val="bottom"/>
            <w:hideMark/>
          </w:tcPr>
          <w:p w14:paraId="2FEB3C44" w14:textId="77777777" w:rsidR="0010523F" w:rsidRPr="0010523F" w:rsidRDefault="0010523F" w:rsidP="0010523F">
            <w:pPr>
              <w:spacing w:line="140" w:lineRule="exact"/>
              <w:rPr>
                <w:color w:val="000000"/>
                <w:sz w:val="22"/>
                <w:szCs w:val="22"/>
                <w:highlight w:val="yellow"/>
                <w:lang w:val="es-AR" w:eastAsia="es-AR"/>
              </w:rPr>
            </w:pPr>
          </w:p>
        </w:tc>
        <w:tc>
          <w:tcPr>
            <w:tcW w:w="160" w:type="dxa"/>
            <w:tcBorders>
              <w:top w:val="nil"/>
              <w:left w:val="nil"/>
              <w:bottom w:val="nil"/>
              <w:right w:val="nil"/>
            </w:tcBorders>
            <w:shd w:val="clear" w:color="auto" w:fill="auto"/>
            <w:noWrap/>
            <w:vAlign w:val="bottom"/>
            <w:hideMark/>
          </w:tcPr>
          <w:p w14:paraId="6E73B68C" w14:textId="77777777" w:rsidR="0010523F" w:rsidRPr="0010523F" w:rsidRDefault="0010523F" w:rsidP="0010523F">
            <w:pPr>
              <w:spacing w:line="140" w:lineRule="exact"/>
              <w:rPr>
                <w:color w:val="000000"/>
                <w:sz w:val="22"/>
                <w:szCs w:val="22"/>
                <w:highlight w:val="yellow"/>
                <w:lang w:val="es-AR" w:eastAsia="es-AR"/>
              </w:rPr>
            </w:pPr>
          </w:p>
        </w:tc>
        <w:tc>
          <w:tcPr>
            <w:tcW w:w="1424" w:type="dxa"/>
            <w:tcBorders>
              <w:top w:val="nil"/>
              <w:left w:val="nil"/>
              <w:bottom w:val="nil"/>
              <w:right w:val="nil"/>
            </w:tcBorders>
            <w:shd w:val="clear" w:color="auto" w:fill="auto"/>
            <w:noWrap/>
            <w:vAlign w:val="bottom"/>
            <w:hideMark/>
          </w:tcPr>
          <w:p w14:paraId="682EFB63" w14:textId="77777777" w:rsidR="0010523F" w:rsidRPr="0010523F" w:rsidRDefault="0010523F" w:rsidP="0010523F">
            <w:pPr>
              <w:spacing w:line="140" w:lineRule="exact"/>
              <w:rPr>
                <w:color w:val="000000"/>
                <w:sz w:val="22"/>
                <w:szCs w:val="22"/>
                <w:highlight w:val="yellow"/>
                <w:lang w:val="es-AR" w:eastAsia="es-AR"/>
              </w:rPr>
            </w:pPr>
          </w:p>
        </w:tc>
        <w:tc>
          <w:tcPr>
            <w:tcW w:w="160" w:type="dxa"/>
            <w:tcBorders>
              <w:top w:val="nil"/>
              <w:left w:val="nil"/>
              <w:bottom w:val="nil"/>
              <w:right w:val="nil"/>
            </w:tcBorders>
            <w:shd w:val="clear" w:color="auto" w:fill="auto"/>
            <w:noWrap/>
            <w:vAlign w:val="bottom"/>
            <w:hideMark/>
          </w:tcPr>
          <w:p w14:paraId="6D6EFFC5" w14:textId="77777777" w:rsidR="0010523F" w:rsidRPr="0010523F" w:rsidRDefault="0010523F" w:rsidP="0010523F">
            <w:pPr>
              <w:spacing w:line="140" w:lineRule="exact"/>
              <w:rPr>
                <w:color w:val="000000"/>
                <w:sz w:val="22"/>
                <w:szCs w:val="22"/>
                <w:highlight w:val="yellow"/>
                <w:lang w:val="es-AR" w:eastAsia="es-AR"/>
              </w:rPr>
            </w:pPr>
          </w:p>
        </w:tc>
        <w:tc>
          <w:tcPr>
            <w:tcW w:w="1493" w:type="dxa"/>
            <w:tcBorders>
              <w:top w:val="nil"/>
              <w:left w:val="nil"/>
              <w:bottom w:val="nil"/>
              <w:right w:val="nil"/>
            </w:tcBorders>
            <w:shd w:val="clear" w:color="auto" w:fill="auto"/>
            <w:noWrap/>
            <w:vAlign w:val="bottom"/>
            <w:hideMark/>
          </w:tcPr>
          <w:p w14:paraId="56571D9A" w14:textId="77777777" w:rsidR="0010523F" w:rsidRPr="0010523F" w:rsidRDefault="0010523F" w:rsidP="0010523F">
            <w:pPr>
              <w:spacing w:line="140" w:lineRule="exact"/>
              <w:rPr>
                <w:color w:val="000000"/>
                <w:sz w:val="22"/>
                <w:szCs w:val="22"/>
                <w:highlight w:val="yellow"/>
                <w:lang w:val="es-AR" w:eastAsia="es-AR"/>
              </w:rPr>
            </w:pPr>
          </w:p>
        </w:tc>
        <w:tc>
          <w:tcPr>
            <w:tcW w:w="160" w:type="dxa"/>
            <w:tcBorders>
              <w:top w:val="nil"/>
              <w:left w:val="nil"/>
              <w:bottom w:val="nil"/>
              <w:right w:val="nil"/>
            </w:tcBorders>
            <w:shd w:val="clear" w:color="auto" w:fill="auto"/>
            <w:noWrap/>
            <w:vAlign w:val="bottom"/>
            <w:hideMark/>
          </w:tcPr>
          <w:p w14:paraId="671792A8" w14:textId="77777777" w:rsidR="0010523F" w:rsidRPr="0010523F" w:rsidRDefault="0010523F" w:rsidP="0010523F">
            <w:pPr>
              <w:spacing w:line="140" w:lineRule="exact"/>
              <w:rPr>
                <w:color w:val="000000"/>
                <w:sz w:val="22"/>
                <w:szCs w:val="22"/>
                <w:highlight w:val="yellow"/>
                <w:lang w:val="es-AR" w:eastAsia="es-AR"/>
              </w:rPr>
            </w:pPr>
          </w:p>
        </w:tc>
        <w:tc>
          <w:tcPr>
            <w:tcW w:w="880" w:type="dxa"/>
            <w:tcBorders>
              <w:top w:val="nil"/>
              <w:left w:val="nil"/>
              <w:bottom w:val="nil"/>
              <w:right w:val="nil"/>
            </w:tcBorders>
            <w:shd w:val="clear" w:color="auto" w:fill="auto"/>
            <w:noWrap/>
            <w:vAlign w:val="bottom"/>
            <w:hideMark/>
          </w:tcPr>
          <w:p w14:paraId="0E621E96" w14:textId="77777777" w:rsidR="0010523F" w:rsidRPr="0010523F" w:rsidRDefault="0010523F" w:rsidP="0010523F">
            <w:pPr>
              <w:spacing w:line="140" w:lineRule="exact"/>
              <w:rPr>
                <w:color w:val="000000"/>
                <w:sz w:val="22"/>
                <w:szCs w:val="22"/>
                <w:highlight w:val="yellow"/>
                <w:lang w:val="es-AR" w:eastAsia="es-AR"/>
              </w:rPr>
            </w:pPr>
          </w:p>
        </w:tc>
      </w:tr>
      <w:tr w:rsidR="0010523F" w:rsidRPr="0010523F" w14:paraId="5CC9093D" w14:textId="77777777" w:rsidTr="00774E7E">
        <w:trPr>
          <w:trHeight w:val="227"/>
        </w:trPr>
        <w:tc>
          <w:tcPr>
            <w:tcW w:w="4551" w:type="dxa"/>
            <w:tcBorders>
              <w:top w:val="nil"/>
              <w:left w:val="nil"/>
              <w:bottom w:val="nil"/>
              <w:right w:val="nil"/>
            </w:tcBorders>
            <w:shd w:val="clear" w:color="auto" w:fill="auto"/>
            <w:noWrap/>
            <w:vAlign w:val="bottom"/>
            <w:hideMark/>
          </w:tcPr>
          <w:p w14:paraId="4CFF20F4"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Depreciación de propiedad, planta y equipo,  activos por derecho a uso y amortización de activos intangibles</w:t>
            </w:r>
          </w:p>
        </w:tc>
        <w:tc>
          <w:tcPr>
            <w:tcW w:w="1129" w:type="dxa"/>
            <w:tcBorders>
              <w:top w:val="nil"/>
              <w:left w:val="nil"/>
              <w:bottom w:val="nil"/>
              <w:right w:val="nil"/>
            </w:tcBorders>
            <w:shd w:val="clear" w:color="auto" w:fill="auto"/>
            <w:noWrap/>
            <w:vAlign w:val="bottom"/>
            <w:hideMark/>
          </w:tcPr>
          <w:p w14:paraId="72A01D0F"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26.084</w:t>
            </w:r>
          </w:p>
        </w:tc>
        <w:tc>
          <w:tcPr>
            <w:tcW w:w="160" w:type="dxa"/>
            <w:tcBorders>
              <w:top w:val="nil"/>
              <w:left w:val="nil"/>
              <w:bottom w:val="nil"/>
              <w:right w:val="nil"/>
            </w:tcBorders>
            <w:shd w:val="clear" w:color="auto" w:fill="auto"/>
            <w:noWrap/>
            <w:vAlign w:val="bottom"/>
            <w:hideMark/>
          </w:tcPr>
          <w:p w14:paraId="0387C249"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0A352B7C"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2.659</w:t>
            </w:r>
          </w:p>
        </w:tc>
        <w:tc>
          <w:tcPr>
            <w:tcW w:w="160" w:type="dxa"/>
            <w:tcBorders>
              <w:top w:val="nil"/>
              <w:left w:val="nil"/>
              <w:bottom w:val="nil"/>
              <w:right w:val="nil"/>
            </w:tcBorders>
            <w:shd w:val="clear" w:color="auto" w:fill="auto"/>
            <w:noWrap/>
            <w:vAlign w:val="bottom"/>
            <w:hideMark/>
          </w:tcPr>
          <w:p w14:paraId="34D1FA08" w14:textId="77777777" w:rsidR="0010523F" w:rsidRPr="0010523F" w:rsidRDefault="0010523F" w:rsidP="0010523F">
            <w:pPr>
              <w:spacing w:line="220" w:lineRule="exact"/>
              <w:jc w:val="righ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7671D168"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077B6E15"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253AD34D"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28.743</w:t>
            </w:r>
          </w:p>
        </w:tc>
      </w:tr>
      <w:tr w:rsidR="0010523F" w:rsidRPr="0010523F" w14:paraId="4FE8A675" w14:textId="77777777" w:rsidTr="00774E7E">
        <w:trPr>
          <w:trHeight w:val="227"/>
        </w:trPr>
        <w:tc>
          <w:tcPr>
            <w:tcW w:w="4551" w:type="dxa"/>
            <w:tcBorders>
              <w:top w:val="nil"/>
              <w:left w:val="nil"/>
              <w:bottom w:val="nil"/>
              <w:right w:val="nil"/>
            </w:tcBorders>
            <w:shd w:val="clear" w:color="auto" w:fill="auto"/>
            <w:noWrap/>
            <w:vAlign w:val="bottom"/>
            <w:hideMark/>
          </w:tcPr>
          <w:p w14:paraId="277441F4"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Inversión en propiedad, planta y equipo</w:t>
            </w:r>
          </w:p>
        </w:tc>
        <w:tc>
          <w:tcPr>
            <w:tcW w:w="1129" w:type="dxa"/>
            <w:tcBorders>
              <w:top w:val="nil"/>
              <w:left w:val="nil"/>
              <w:bottom w:val="nil"/>
              <w:right w:val="nil"/>
            </w:tcBorders>
            <w:shd w:val="clear" w:color="auto" w:fill="auto"/>
            <w:noWrap/>
            <w:vAlign w:val="bottom"/>
            <w:hideMark/>
          </w:tcPr>
          <w:p w14:paraId="3212EA7C"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35.085</w:t>
            </w:r>
          </w:p>
        </w:tc>
        <w:tc>
          <w:tcPr>
            <w:tcW w:w="160" w:type="dxa"/>
            <w:tcBorders>
              <w:top w:val="nil"/>
              <w:left w:val="nil"/>
              <w:bottom w:val="nil"/>
              <w:right w:val="nil"/>
            </w:tcBorders>
            <w:shd w:val="clear" w:color="auto" w:fill="auto"/>
            <w:noWrap/>
            <w:vAlign w:val="bottom"/>
            <w:hideMark/>
          </w:tcPr>
          <w:p w14:paraId="1ABA5D68"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7A9E27C2"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12.569</w:t>
            </w:r>
          </w:p>
        </w:tc>
        <w:tc>
          <w:tcPr>
            <w:tcW w:w="160" w:type="dxa"/>
            <w:tcBorders>
              <w:top w:val="nil"/>
              <w:left w:val="nil"/>
              <w:bottom w:val="nil"/>
              <w:right w:val="nil"/>
            </w:tcBorders>
            <w:shd w:val="clear" w:color="auto" w:fill="auto"/>
            <w:noWrap/>
            <w:vAlign w:val="bottom"/>
            <w:hideMark/>
          </w:tcPr>
          <w:p w14:paraId="20683A89" w14:textId="77777777" w:rsidR="0010523F" w:rsidRPr="0010523F" w:rsidRDefault="0010523F" w:rsidP="0010523F">
            <w:pPr>
              <w:spacing w:line="220" w:lineRule="exact"/>
              <w:jc w:val="righ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599A5363"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107DF0F5"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4A91A15F"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47.654</w:t>
            </w:r>
          </w:p>
        </w:tc>
      </w:tr>
    </w:tbl>
    <w:p w14:paraId="2B46B464" w14:textId="77777777" w:rsidR="0010523F" w:rsidRPr="0010523F" w:rsidRDefault="0010523F" w:rsidP="0010523F">
      <w:pPr>
        <w:spacing w:line="220" w:lineRule="exact"/>
        <w:jc w:val="both"/>
        <w:rPr>
          <w:szCs w:val="20"/>
          <w:lang w:val="es-AR" w:eastAsia="en-US"/>
        </w:rPr>
      </w:pPr>
    </w:p>
    <w:tbl>
      <w:tblPr>
        <w:tblW w:w="9957" w:type="dxa"/>
        <w:tblInd w:w="55" w:type="dxa"/>
        <w:tblLayout w:type="fixed"/>
        <w:tblCellMar>
          <w:left w:w="70" w:type="dxa"/>
          <w:right w:w="70" w:type="dxa"/>
        </w:tblCellMar>
        <w:tblLook w:val="04A0" w:firstRow="1" w:lastRow="0" w:firstColumn="1" w:lastColumn="0" w:noHBand="0" w:noVBand="1"/>
      </w:tblPr>
      <w:tblGrid>
        <w:gridCol w:w="4551"/>
        <w:gridCol w:w="1129"/>
        <w:gridCol w:w="160"/>
        <w:gridCol w:w="1424"/>
        <w:gridCol w:w="160"/>
        <w:gridCol w:w="1493"/>
        <w:gridCol w:w="160"/>
        <w:gridCol w:w="880"/>
      </w:tblGrid>
      <w:tr w:rsidR="0010523F" w:rsidRPr="0010523F" w14:paraId="12F45845" w14:textId="77777777" w:rsidTr="00774E7E">
        <w:trPr>
          <w:trHeight w:val="227"/>
        </w:trPr>
        <w:tc>
          <w:tcPr>
            <w:tcW w:w="4551" w:type="dxa"/>
            <w:tcBorders>
              <w:top w:val="nil"/>
              <w:left w:val="nil"/>
              <w:bottom w:val="nil"/>
              <w:right w:val="nil"/>
            </w:tcBorders>
            <w:shd w:val="clear" w:color="auto" w:fill="auto"/>
            <w:noWrap/>
            <w:vAlign w:val="bottom"/>
          </w:tcPr>
          <w:p w14:paraId="52832AA8" w14:textId="77777777" w:rsidR="0010523F" w:rsidRPr="0010523F" w:rsidRDefault="0010523F" w:rsidP="0010523F">
            <w:pPr>
              <w:rPr>
                <w:color w:val="000000"/>
                <w:sz w:val="22"/>
                <w:szCs w:val="22"/>
                <w:lang w:val="es-AR" w:eastAsia="es-AR"/>
              </w:rPr>
            </w:pPr>
          </w:p>
        </w:tc>
        <w:tc>
          <w:tcPr>
            <w:tcW w:w="5406" w:type="dxa"/>
            <w:gridSpan w:val="7"/>
            <w:tcBorders>
              <w:top w:val="nil"/>
              <w:left w:val="nil"/>
              <w:bottom w:val="single" w:sz="4" w:space="0" w:color="auto"/>
              <w:right w:val="nil"/>
            </w:tcBorders>
            <w:shd w:val="clear" w:color="auto" w:fill="auto"/>
            <w:vAlign w:val="bottom"/>
          </w:tcPr>
          <w:p w14:paraId="0D085011"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Período de nueve meses finalizado el 30/09/2018</w:t>
            </w:r>
          </w:p>
        </w:tc>
      </w:tr>
      <w:tr w:rsidR="0010523F" w:rsidRPr="0010523F" w14:paraId="72DE3BE3" w14:textId="77777777" w:rsidTr="00774E7E">
        <w:trPr>
          <w:trHeight w:val="283"/>
        </w:trPr>
        <w:tc>
          <w:tcPr>
            <w:tcW w:w="4551" w:type="dxa"/>
            <w:tcBorders>
              <w:top w:val="nil"/>
              <w:left w:val="nil"/>
              <w:bottom w:val="nil"/>
              <w:right w:val="nil"/>
            </w:tcBorders>
            <w:shd w:val="clear" w:color="auto" w:fill="auto"/>
            <w:noWrap/>
            <w:vAlign w:val="bottom"/>
            <w:hideMark/>
          </w:tcPr>
          <w:p w14:paraId="42EB1C78" w14:textId="77777777" w:rsidR="0010523F" w:rsidRPr="0010523F" w:rsidRDefault="0010523F" w:rsidP="0010523F">
            <w:pPr>
              <w:spacing w:line="220" w:lineRule="exact"/>
              <w:rPr>
                <w:color w:val="000000"/>
                <w:sz w:val="22"/>
                <w:szCs w:val="22"/>
                <w:lang w:val="es-AR" w:eastAsia="es-AR"/>
              </w:rPr>
            </w:pPr>
          </w:p>
        </w:tc>
        <w:tc>
          <w:tcPr>
            <w:tcW w:w="1129" w:type="dxa"/>
            <w:tcBorders>
              <w:top w:val="nil"/>
              <w:left w:val="nil"/>
              <w:bottom w:val="single" w:sz="4" w:space="0" w:color="auto"/>
              <w:right w:val="nil"/>
            </w:tcBorders>
            <w:shd w:val="clear" w:color="auto" w:fill="auto"/>
            <w:vAlign w:val="bottom"/>
            <w:hideMark/>
          </w:tcPr>
          <w:p w14:paraId="50AFF36C"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Upstream</w:t>
            </w:r>
          </w:p>
        </w:tc>
        <w:tc>
          <w:tcPr>
            <w:tcW w:w="160" w:type="dxa"/>
            <w:tcBorders>
              <w:top w:val="nil"/>
              <w:left w:val="nil"/>
              <w:bottom w:val="nil"/>
              <w:right w:val="nil"/>
            </w:tcBorders>
            <w:shd w:val="clear" w:color="auto" w:fill="auto"/>
            <w:vAlign w:val="bottom"/>
            <w:hideMark/>
          </w:tcPr>
          <w:p w14:paraId="091A492F" w14:textId="77777777" w:rsidR="0010523F" w:rsidRPr="0010523F" w:rsidRDefault="0010523F" w:rsidP="0010523F">
            <w:pPr>
              <w:spacing w:line="220" w:lineRule="exact"/>
              <w:jc w:val="center"/>
              <w:rPr>
                <w:color w:val="000000"/>
                <w:sz w:val="22"/>
                <w:szCs w:val="22"/>
                <w:lang w:val="es-AR" w:eastAsia="es-AR"/>
              </w:rPr>
            </w:pPr>
          </w:p>
        </w:tc>
        <w:tc>
          <w:tcPr>
            <w:tcW w:w="1424" w:type="dxa"/>
            <w:tcBorders>
              <w:top w:val="nil"/>
              <w:left w:val="nil"/>
              <w:bottom w:val="single" w:sz="4" w:space="0" w:color="auto"/>
              <w:right w:val="nil"/>
            </w:tcBorders>
            <w:shd w:val="clear" w:color="auto" w:fill="auto"/>
            <w:vAlign w:val="bottom"/>
            <w:hideMark/>
          </w:tcPr>
          <w:p w14:paraId="50764679"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Downtream</w:t>
            </w:r>
          </w:p>
        </w:tc>
        <w:tc>
          <w:tcPr>
            <w:tcW w:w="160" w:type="dxa"/>
            <w:tcBorders>
              <w:top w:val="nil"/>
              <w:left w:val="nil"/>
              <w:bottom w:val="nil"/>
              <w:right w:val="nil"/>
            </w:tcBorders>
            <w:shd w:val="clear" w:color="auto" w:fill="auto"/>
            <w:vAlign w:val="bottom"/>
            <w:hideMark/>
          </w:tcPr>
          <w:p w14:paraId="647A64D9" w14:textId="77777777" w:rsidR="0010523F" w:rsidRPr="0010523F" w:rsidRDefault="0010523F" w:rsidP="0010523F">
            <w:pPr>
              <w:spacing w:line="220" w:lineRule="exact"/>
              <w:jc w:val="center"/>
              <w:rPr>
                <w:color w:val="000000"/>
                <w:sz w:val="22"/>
                <w:szCs w:val="22"/>
                <w:lang w:val="es-AR" w:eastAsia="es-AR"/>
              </w:rPr>
            </w:pPr>
          </w:p>
        </w:tc>
        <w:tc>
          <w:tcPr>
            <w:tcW w:w="1493" w:type="dxa"/>
            <w:tcBorders>
              <w:top w:val="nil"/>
              <w:left w:val="nil"/>
              <w:bottom w:val="single" w:sz="4" w:space="0" w:color="auto"/>
              <w:right w:val="nil"/>
            </w:tcBorders>
            <w:shd w:val="clear" w:color="auto" w:fill="auto"/>
            <w:vAlign w:val="bottom"/>
            <w:hideMark/>
          </w:tcPr>
          <w:p w14:paraId="467BD151"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Ajustes de consolidación</w:t>
            </w:r>
          </w:p>
        </w:tc>
        <w:tc>
          <w:tcPr>
            <w:tcW w:w="160" w:type="dxa"/>
            <w:tcBorders>
              <w:top w:val="nil"/>
              <w:left w:val="nil"/>
              <w:bottom w:val="nil"/>
              <w:right w:val="nil"/>
            </w:tcBorders>
            <w:shd w:val="clear" w:color="auto" w:fill="auto"/>
            <w:vAlign w:val="bottom"/>
            <w:hideMark/>
          </w:tcPr>
          <w:p w14:paraId="1719ED44" w14:textId="77777777" w:rsidR="0010523F" w:rsidRPr="0010523F" w:rsidRDefault="0010523F" w:rsidP="0010523F">
            <w:pPr>
              <w:spacing w:line="220" w:lineRule="exact"/>
              <w:jc w:val="center"/>
              <w:rPr>
                <w:color w:val="000000"/>
                <w:sz w:val="22"/>
                <w:szCs w:val="22"/>
                <w:lang w:val="es-AR" w:eastAsia="es-AR"/>
              </w:rPr>
            </w:pPr>
          </w:p>
        </w:tc>
        <w:tc>
          <w:tcPr>
            <w:tcW w:w="880" w:type="dxa"/>
            <w:tcBorders>
              <w:top w:val="nil"/>
              <w:left w:val="nil"/>
              <w:bottom w:val="single" w:sz="4" w:space="0" w:color="auto"/>
              <w:right w:val="nil"/>
            </w:tcBorders>
            <w:shd w:val="clear" w:color="auto" w:fill="auto"/>
            <w:vAlign w:val="bottom"/>
            <w:hideMark/>
          </w:tcPr>
          <w:p w14:paraId="58AFFF33"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Total</w:t>
            </w:r>
          </w:p>
        </w:tc>
      </w:tr>
      <w:tr w:rsidR="0010523F" w:rsidRPr="0010523F" w14:paraId="102599C3" w14:textId="77777777" w:rsidTr="00774E7E">
        <w:trPr>
          <w:trHeight w:val="113"/>
        </w:trPr>
        <w:tc>
          <w:tcPr>
            <w:tcW w:w="4551" w:type="dxa"/>
            <w:tcBorders>
              <w:top w:val="nil"/>
              <w:left w:val="nil"/>
              <w:bottom w:val="nil"/>
              <w:right w:val="nil"/>
            </w:tcBorders>
            <w:shd w:val="clear" w:color="auto" w:fill="auto"/>
            <w:noWrap/>
            <w:vAlign w:val="bottom"/>
            <w:hideMark/>
          </w:tcPr>
          <w:p w14:paraId="52AC770A" w14:textId="77777777" w:rsidR="0010523F" w:rsidRPr="0010523F" w:rsidRDefault="0010523F" w:rsidP="0010523F">
            <w:pPr>
              <w:spacing w:line="100" w:lineRule="exact"/>
              <w:rPr>
                <w:color w:val="000000"/>
                <w:sz w:val="22"/>
                <w:szCs w:val="22"/>
                <w:lang w:val="es-AR" w:eastAsia="es-AR"/>
              </w:rPr>
            </w:pPr>
          </w:p>
        </w:tc>
        <w:tc>
          <w:tcPr>
            <w:tcW w:w="1129" w:type="dxa"/>
            <w:tcBorders>
              <w:top w:val="nil"/>
              <w:left w:val="nil"/>
              <w:bottom w:val="nil"/>
              <w:right w:val="nil"/>
            </w:tcBorders>
            <w:shd w:val="clear" w:color="auto" w:fill="auto"/>
            <w:noWrap/>
            <w:vAlign w:val="bottom"/>
            <w:hideMark/>
          </w:tcPr>
          <w:p w14:paraId="3D5F92F9"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16963A38" w14:textId="77777777" w:rsidR="0010523F" w:rsidRPr="0010523F" w:rsidRDefault="0010523F" w:rsidP="0010523F">
            <w:pPr>
              <w:spacing w:line="100" w:lineRule="exac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1C442F11"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7ECE65E8" w14:textId="77777777" w:rsidR="0010523F" w:rsidRPr="0010523F" w:rsidRDefault="0010523F" w:rsidP="0010523F">
            <w:pPr>
              <w:spacing w:line="100" w:lineRule="exac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4F28611A" w14:textId="77777777" w:rsidR="0010523F" w:rsidRPr="0010523F" w:rsidRDefault="0010523F" w:rsidP="0010523F">
            <w:pPr>
              <w:spacing w:line="100" w:lineRule="exac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5B220AF8" w14:textId="77777777" w:rsidR="0010523F" w:rsidRPr="0010523F" w:rsidRDefault="0010523F" w:rsidP="0010523F">
            <w:pPr>
              <w:spacing w:line="100" w:lineRule="exac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440BB4D8" w14:textId="77777777" w:rsidR="0010523F" w:rsidRPr="0010523F" w:rsidRDefault="0010523F" w:rsidP="0010523F">
            <w:pPr>
              <w:spacing w:line="100" w:lineRule="exact"/>
              <w:rPr>
                <w:color w:val="000000"/>
                <w:sz w:val="22"/>
                <w:szCs w:val="22"/>
                <w:lang w:val="es-AR" w:eastAsia="es-AR"/>
              </w:rPr>
            </w:pPr>
          </w:p>
        </w:tc>
      </w:tr>
      <w:tr w:rsidR="0010523F" w:rsidRPr="0010523F" w14:paraId="2BBE6716" w14:textId="77777777" w:rsidTr="00774E7E">
        <w:trPr>
          <w:trHeight w:val="227"/>
        </w:trPr>
        <w:tc>
          <w:tcPr>
            <w:tcW w:w="4551" w:type="dxa"/>
            <w:tcBorders>
              <w:top w:val="nil"/>
              <w:left w:val="nil"/>
              <w:bottom w:val="nil"/>
              <w:right w:val="nil"/>
            </w:tcBorders>
            <w:shd w:val="clear" w:color="auto" w:fill="auto"/>
            <w:noWrap/>
            <w:vAlign w:val="bottom"/>
            <w:hideMark/>
          </w:tcPr>
          <w:p w14:paraId="0D8898C6"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netas y subvenciones - Terceros</w:t>
            </w:r>
          </w:p>
        </w:tc>
        <w:tc>
          <w:tcPr>
            <w:tcW w:w="1129" w:type="dxa"/>
            <w:tcBorders>
              <w:top w:val="nil"/>
              <w:left w:val="nil"/>
              <w:bottom w:val="nil"/>
              <w:right w:val="nil"/>
            </w:tcBorders>
            <w:shd w:val="clear" w:color="auto" w:fill="auto"/>
            <w:noWrap/>
            <w:vAlign w:val="bottom"/>
            <w:hideMark/>
          </w:tcPr>
          <w:p w14:paraId="4C59899E"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39.612</w:t>
            </w:r>
          </w:p>
        </w:tc>
        <w:tc>
          <w:tcPr>
            <w:tcW w:w="160" w:type="dxa"/>
            <w:tcBorders>
              <w:top w:val="nil"/>
              <w:left w:val="nil"/>
              <w:bottom w:val="nil"/>
              <w:right w:val="nil"/>
            </w:tcBorders>
            <w:shd w:val="clear" w:color="auto" w:fill="auto"/>
            <w:noWrap/>
            <w:vAlign w:val="bottom"/>
            <w:hideMark/>
          </w:tcPr>
          <w:p w14:paraId="22015A40"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28F019A6"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42.037</w:t>
            </w:r>
          </w:p>
        </w:tc>
        <w:tc>
          <w:tcPr>
            <w:tcW w:w="160" w:type="dxa"/>
            <w:tcBorders>
              <w:top w:val="nil"/>
              <w:left w:val="nil"/>
              <w:bottom w:val="nil"/>
              <w:right w:val="nil"/>
            </w:tcBorders>
            <w:shd w:val="clear" w:color="auto" w:fill="auto"/>
            <w:noWrap/>
            <w:vAlign w:val="bottom"/>
            <w:hideMark/>
          </w:tcPr>
          <w:p w14:paraId="1E14CB53" w14:textId="77777777" w:rsidR="0010523F" w:rsidRPr="0010523F" w:rsidRDefault="0010523F" w:rsidP="0010523F">
            <w:pPr>
              <w:spacing w:line="220" w:lineRule="exact"/>
              <w:jc w:val="righ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1EC8F6B6"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1EAD6981"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7DB534FA"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81.649</w:t>
            </w:r>
          </w:p>
        </w:tc>
      </w:tr>
      <w:tr w:rsidR="0010523F" w:rsidRPr="0010523F" w14:paraId="2119EF26" w14:textId="77777777" w:rsidTr="00774E7E">
        <w:trPr>
          <w:trHeight w:val="227"/>
        </w:trPr>
        <w:tc>
          <w:tcPr>
            <w:tcW w:w="4551" w:type="dxa"/>
            <w:tcBorders>
              <w:top w:val="nil"/>
              <w:left w:val="nil"/>
              <w:bottom w:val="nil"/>
              <w:right w:val="nil"/>
            </w:tcBorders>
            <w:shd w:val="clear" w:color="auto" w:fill="auto"/>
            <w:noWrap/>
            <w:vAlign w:val="bottom"/>
            <w:hideMark/>
          </w:tcPr>
          <w:p w14:paraId="42859208"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intersegmentos</w:t>
            </w:r>
          </w:p>
        </w:tc>
        <w:tc>
          <w:tcPr>
            <w:tcW w:w="1129" w:type="dxa"/>
            <w:tcBorders>
              <w:top w:val="nil"/>
              <w:left w:val="nil"/>
              <w:bottom w:val="nil"/>
              <w:right w:val="nil"/>
            </w:tcBorders>
            <w:shd w:val="clear" w:color="auto" w:fill="auto"/>
            <w:noWrap/>
            <w:vAlign w:val="bottom"/>
            <w:hideMark/>
          </w:tcPr>
          <w:p w14:paraId="19400AFC"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20.551</w:t>
            </w:r>
          </w:p>
        </w:tc>
        <w:tc>
          <w:tcPr>
            <w:tcW w:w="160" w:type="dxa"/>
            <w:tcBorders>
              <w:top w:val="nil"/>
              <w:left w:val="nil"/>
              <w:bottom w:val="nil"/>
              <w:right w:val="nil"/>
            </w:tcBorders>
            <w:shd w:val="clear" w:color="auto" w:fill="auto"/>
            <w:noWrap/>
            <w:vAlign w:val="bottom"/>
            <w:hideMark/>
          </w:tcPr>
          <w:p w14:paraId="48F2235D" w14:textId="77777777" w:rsidR="0010523F" w:rsidRPr="0010523F" w:rsidRDefault="0010523F" w:rsidP="0010523F">
            <w:pPr>
              <w:spacing w:line="220" w:lineRule="exact"/>
              <w:jc w:val="right"/>
              <w:rPr>
                <w:color w:val="000000"/>
                <w:sz w:val="22"/>
                <w:szCs w:val="22"/>
                <w:u w:val="single"/>
                <w:lang w:val="es-AR" w:eastAsia="es-AR"/>
              </w:rPr>
            </w:pPr>
          </w:p>
        </w:tc>
        <w:tc>
          <w:tcPr>
            <w:tcW w:w="1424" w:type="dxa"/>
            <w:tcBorders>
              <w:top w:val="nil"/>
              <w:left w:val="nil"/>
              <w:bottom w:val="nil"/>
              <w:right w:val="nil"/>
            </w:tcBorders>
            <w:shd w:val="clear" w:color="auto" w:fill="auto"/>
            <w:noWrap/>
            <w:vAlign w:val="bottom"/>
            <w:hideMark/>
          </w:tcPr>
          <w:p w14:paraId="0C437B02"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 xml:space="preserve">          -</w:t>
            </w:r>
          </w:p>
        </w:tc>
        <w:tc>
          <w:tcPr>
            <w:tcW w:w="160" w:type="dxa"/>
            <w:tcBorders>
              <w:top w:val="nil"/>
              <w:left w:val="nil"/>
              <w:bottom w:val="nil"/>
              <w:right w:val="nil"/>
            </w:tcBorders>
            <w:shd w:val="clear" w:color="auto" w:fill="auto"/>
            <w:noWrap/>
            <w:vAlign w:val="bottom"/>
            <w:hideMark/>
          </w:tcPr>
          <w:p w14:paraId="13D2B580" w14:textId="77777777" w:rsidR="0010523F" w:rsidRPr="0010523F" w:rsidRDefault="0010523F" w:rsidP="0010523F">
            <w:pPr>
              <w:spacing w:line="220" w:lineRule="exact"/>
              <w:jc w:val="right"/>
              <w:rPr>
                <w:color w:val="000000"/>
                <w:sz w:val="22"/>
                <w:szCs w:val="22"/>
                <w:u w:val="single"/>
                <w:lang w:val="es-AR" w:eastAsia="es-AR"/>
              </w:rPr>
            </w:pPr>
          </w:p>
        </w:tc>
        <w:tc>
          <w:tcPr>
            <w:tcW w:w="1493" w:type="dxa"/>
            <w:tcBorders>
              <w:top w:val="nil"/>
              <w:left w:val="nil"/>
              <w:bottom w:val="nil"/>
              <w:right w:val="nil"/>
            </w:tcBorders>
            <w:shd w:val="clear" w:color="auto" w:fill="auto"/>
            <w:noWrap/>
            <w:vAlign w:val="bottom"/>
            <w:hideMark/>
          </w:tcPr>
          <w:p w14:paraId="1589A4B4"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lang w:val="es-AR" w:eastAsia="es-AR"/>
              </w:rPr>
              <w:t>(</w:t>
            </w:r>
            <w:r w:rsidRPr="0010523F">
              <w:rPr>
                <w:color w:val="000000"/>
                <w:sz w:val="22"/>
                <w:szCs w:val="22"/>
                <w:u w:val="single"/>
                <w:lang w:val="es-AR" w:eastAsia="es-AR"/>
              </w:rPr>
              <w:t>20.551</w:t>
            </w: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5C803F84" w14:textId="77777777" w:rsidR="0010523F" w:rsidRPr="0010523F" w:rsidRDefault="0010523F" w:rsidP="0010523F">
            <w:pPr>
              <w:spacing w:line="220" w:lineRule="exact"/>
              <w:jc w:val="right"/>
              <w:rPr>
                <w:color w:val="000000"/>
                <w:sz w:val="22"/>
                <w:szCs w:val="22"/>
                <w:u w:val="single"/>
                <w:lang w:val="es-AR" w:eastAsia="es-AR"/>
              </w:rPr>
            </w:pPr>
          </w:p>
        </w:tc>
        <w:tc>
          <w:tcPr>
            <w:tcW w:w="880" w:type="dxa"/>
            <w:tcBorders>
              <w:top w:val="nil"/>
              <w:left w:val="nil"/>
              <w:bottom w:val="nil"/>
              <w:right w:val="nil"/>
            </w:tcBorders>
            <w:shd w:val="clear" w:color="auto" w:fill="auto"/>
            <w:noWrap/>
            <w:vAlign w:val="bottom"/>
            <w:hideMark/>
          </w:tcPr>
          <w:p w14:paraId="3F1198A6" w14:textId="77777777" w:rsidR="0010523F" w:rsidRPr="0010523F" w:rsidRDefault="0010523F" w:rsidP="0010523F">
            <w:pPr>
              <w:spacing w:line="220" w:lineRule="exact"/>
              <w:jc w:val="right"/>
              <w:rPr>
                <w:color w:val="000000"/>
                <w:sz w:val="22"/>
                <w:szCs w:val="22"/>
                <w:u w:val="single"/>
                <w:lang w:val="es-AR" w:eastAsia="es-AR"/>
              </w:rPr>
            </w:pPr>
            <w:r w:rsidRPr="0010523F">
              <w:rPr>
                <w:color w:val="000000"/>
                <w:sz w:val="22"/>
                <w:szCs w:val="22"/>
                <w:u w:val="single"/>
                <w:lang w:val="es-AR" w:eastAsia="es-AR"/>
              </w:rPr>
              <w:t xml:space="preserve">          -</w:t>
            </w:r>
          </w:p>
        </w:tc>
      </w:tr>
      <w:tr w:rsidR="0010523F" w:rsidRPr="0010523F" w14:paraId="60A355E1" w14:textId="77777777" w:rsidTr="00774E7E">
        <w:trPr>
          <w:trHeight w:val="170"/>
        </w:trPr>
        <w:tc>
          <w:tcPr>
            <w:tcW w:w="4551" w:type="dxa"/>
            <w:tcBorders>
              <w:top w:val="nil"/>
              <w:left w:val="nil"/>
              <w:bottom w:val="nil"/>
              <w:right w:val="nil"/>
            </w:tcBorders>
            <w:shd w:val="clear" w:color="auto" w:fill="auto"/>
            <w:noWrap/>
            <w:vAlign w:val="bottom"/>
            <w:hideMark/>
          </w:tcPr>
          <w:p w14:paraId="7AF84C48"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Ventas netas y subvenciones - Total</w:t>
            </w:r>
          </w:p>
        </w:tc>
        <w:tc>
          <w:tcPr>
            <w:tcW w:w="1129" w:type="dxa"/>
            <w:tcBorders>
              <w:top w:val="nil"/>
              <w:left w:val="nil"/>
              <w:bottom w:val="nil"/>
              <w:right w:val="nil"/>
            </w:tcBorders>
            <w:shd w:val="clear" w:color="auto" w:fill="auto"/>
            <w:noWrap/>
            <w:vAlign w:val="bottom"/>
            <w:hideMark/>
          </w:tcPr>
          <w:p w14:paraId="2293714D"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60.163</w:t>
            </w:r>
          </w:p>
        </w:tc>
        <w:tc>
          <w:tcPr>
            <w:tcW w:w="160" w:type="dxa"/>
            <w:tcBorders>
              <w:top w:val="nil"/>
              <w:left w:val="nil"/>
              <w:bottom w:val="nil"/>
              <w:right w:val="nil"/>
            </w:tcBorders>
            <w:shd w:val="clear" w:color="auto" w:fill="auto"/>
            <w:noWrap/>
            <w:vAlign w:val="bottom"/>
            <w:hideMark/>
          </w:tcPr>
          <w:p w14:paraId="0D6E564A" w14:textId="77777777" w:rsidR="0010523F" w:rsidRPr="0010523F" w:rsidRDefault="0010523F" w:rsidP="0010523F">
            <w:pPr>
              <w:spacing w:line="220" w:lineRule="exact"/>
              <w:jc w:val="right"/>
              <w:rPr>
                <w:color w:val="000000"/>
                <w:sz w:val="22"/>
                <w:szCs w:val="22"/>
                <w:u w:val="double"/>
                <w:lang w:val="es-AR" w:eastAsia="es-AR"/>
              </w:rPr>
            </w:pPr>
          </w:p>
        </w:tc>
        <w:tc>
          <w:tcPr>
            <w:tcW w:w="1424" w:type="dxa"/>
            <w:tcBorders>
              <w:top w:val="nil"/>
              <w:left w:val="nil"/>
              <w:bottom w:val="nil"/>
              <w:right w:val="nil"/>
            </w:tcBorders>
            <w:shd w:val="clear" w:color="auto" w:fill="auto"/>
            <w:noWrap/>
            <w:vAlign w:val="bottom"/>
            <w:hideMark/>
          </w:tcPr>
          <w:p w14:paraId="5CF11B04"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42.037</w:t>
            </w:r>
          </w:p>
        </w:tc>
        <w:tc>
          <w:tcPr>
            <w:tcW w:w="160" w:type="dxa"/>
            <w:tcBorders>
              <w:top w:val="nil"/>
              <w:left w:val="nil"/>
              <w:bottom w:val="nil"/>
              <w:right w:val="nil"/>
            </w:tcBorders>
            <w:shd w:val="clear" w:color="auto" w:fill="auto"/>
            <w:noWrap/>
            <w:vAlign w:val="bottom"/>
            <w:hideMark/>
          </w:tcPr>
          <w:p w14:paraId="28A642E5" w14:textId="77777777" w:rsidR="0010523F" w:rsidRPr="0010523F" w:rsidRDefault="0010523F" w:rsidP="0010523F">
            <w:pPr>
              <w:spacing w:line="220" w:lineRule="exact"/>
              <w:jc w:val="right"/>
              <w:rPr>
                <w:color w:val="000000"/>
                <w:sz w:val="22"/>
                <w:szCs w:val="22"/>
                <w:u w:val="double"/>
                <w:lang w:val="es-AR" w:eastAsia="es-AR"/>
              </w:rPr>
            </w:pPr>
          </w:p>
        </w:tc>
        <w:tc>
          <w:tcPr>
            <w:tcW w:w="1493" w:type="dxa"/>
            <w:tcBorders>
              <w:top w:val="nil"/>
              <w:left w:val="nil"/>
              <w:bottom w:val="nil"/>
              <w:right w:val="nil"/>
            </w:tcBorders>
            <w:shd w:val="clear" w:color="auto" w:fill="auto"/>
            <w:noWrap/>
            <w:vAlign w:val="bottom"/>
            <w:hideMark/>
          </w:tcPr>
          <w:p w14:paraId="0D6107E3"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lang w:val="es-AR" w:eastAsia="es-AR"/>
              </w:rPr>
              <w:t>(</w:t>
            </w:r>
            <w:r w:rsidRPr="0010523F">
              <w:rPr>
                <w:color w:val="000000"/>
                <w:sz w:val="22"/>
                <w:szCs w:val="22"/>
                <w:u w:val="double"/>
                <w:lang w:val="es-AR" w:eastAsia="es-AR"/>
              </w:rPr>
              <w:t>20.551</w:t>
            </w: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5E7847E2" w14:textId="77777777" w:rsidR="0010523F" w:rsidRPr="0010523F" w:rsidRDefault="0010523F" w:rsidP="0010523F">
            <w:pPr>
              <w:spacing w:line="220" w:lineRule="exact"/>
              <w:jc w:val="right"/>
              <w:rPr>
                <w:color w:val="000000"/>
                <w:sz w:val="22"/>
                <w:szCs w:val="22"/>
                <w:u w:val="double"/>
                <w:lang w:val="es-AR" w:eastAsia="es-AR"/>
              </w:rPr>
            </w:pPr>
          </w:p>
        </w:tc>
        <w:tc>
          <w:tcPr>
            <w:tcW w:w="880" w:type="dxa"/>
            <w:tcBorders>
              <w:top w:val="nil"/>
              <w:left w:val="nil"/>
              <w:bottom w:val="nil"/>
              <w:right w:val="nil"/>
            </w:tcBorders>
            <w:shd w:val="clear" w:color="auto" w:fill="auto"/>
            <w:noWrap/>
            <w:vAlign w:val="bottom"/>
            <w:hideMark/>
          </w:tcPr>
          <w:p w14:paraId="476AA0B0" w14:textId="77777777" w:rsidR="0010523F" w:rsidRPr="0010523F" w:rsidRDefault="0010523F" w:rsidP="0010523F">
            <w:pPr>
              <w:spacing w:line="220" w:lineRule="exact"/>
              <w:jc w:val="right"/>
              <w:rPr>
                <w:color w:val="000000"/>
                <w:sz w:val="22"/>
                <w:szCs w:val="22"/>
                <w:u w:val="double"/>
                <w:lang w:val="es-AR" w:eastAsia="es-AR"/>
              </w:rPr>
            </w:pPr>
            <w:r w:rsidRPr="0010523F">
              <w:rPr>
                <w:color w:val="000000"/>
                <w:sz w:val="22"/>
                <w:szCs w:val="22"/>
                <w:u w:val="double"/>
                <w:lang w:val="es-AR" w:eastAsia="es-AR"/>
              </w:rPr>
              <w:t>81.649</w:t>
            </w:r>
          </w:p>
        </w:tc>
      </w:tr>
      <w:tr w:rsidR="0010523F" w:rsidRPr="0010523F" w14:paraId="0D6B8A48" w14:textId="77777777" w:rsidTr="00774E7E">
        <w:trPr>
          <w:trHeight w:val="105"/>
        </w:trPr>
        <w:tc>
          <w:tcPr>
            <w:tcW w:w="4551" w:type="dxa"/>
            <w:tcBorders>
              <w:top w:val="nil"/>
              <w:left w:val="nil"/>
              <w:bottom w:val="nil"/>
              <w:right w:val="nil"/>
            </w:tcBorders>
            <w:shd w:val="clear" w:color="auto" w:fill="auto"/>
            <w:noWrap/>
            <w:vAlign w:val="bottom"/>
            <w:hideMark/>
          </w:tcPr>
          <w:p w14:paraId="75227FB0" w14:textId="77777777" w:rsidR="0010523F" w:rsidRPr="0010523F" w:rsidRDefault="0010523F" w:rsidP="0010523F">
            <w:pPr>
              <w:spacing w:line="140" w:lineRule="exact"/>
              <w:rPr>
                <w:color w:val="000000"/>
                <w:sz w:val="22"/>
                <w:szCs w:val="22"/>
                <w:lang w:val="es-AR" w:eastAsia="es-AR"/>
              </w:rPr>
            </w:pPr>
          </w:p>
        </w:tc>
        <w:tc>
          <w:tcPr>
            <w:tcW w:w="1129" w:type="dxa"/>
            <w:tcBorders>
              <w:top w:val="nil"/>
              <w:left w:val="nil"/>
              <w:bottom w:val="nil"/>
              <w:right w:val="nil"/>
            </w:tcBorders>
            <w:shd w:val="clear" w:color="auto" w:fill="auto"/>
            <w:noWrap/>
            <w:vAlign w:val="bottom"/>
            <w:hideMark/>
          </w:tcPr>
          <w:p w14:paraId="478972CE" w14:textId="77777777" w:rsidR="0010523F" w:rsidRPr="0010523F" w:rsidRDefault="0010523F" w:rsidP="0010523F">
            <w:pPr>
              <w:spacing w:line="220" w:lineRule="exact"/>
              <w:jc w:val="righ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7F062A04"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2A86CBD9" w14:textId="77777777" w:rsidR="0010523F" w:rsidRPr="0010523F" w:rsidRDefault="0010523F" w:rsidP="0010523F">
            <w:pPr>
              <w:spacing w:line="220" w:lineRule="exact"/>
              <w:jc w:val="righ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104708FE" w14:textId="77777777" w:rsidR="0010523F" w:rsidRPr="0010523F" w:rsidRDefault="0010523F" w:rsidP="0010523F">
            <w:pPr>
              <w:spacing w:line="220" w:lineRule="exact"/>
              <w:jc w:val="righ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1030C4DA" w14:textId="77777777" w:rsidR="0010523F" w:rsidRPr="0010523F" w:rsidRDefault="0010523F" w:rsidP="0010523F">
            <w:pPr>
              <w:spacing w:line="220" w:lineRule="exact"/>
              <w:jc w:val="right"/>
              <w:rPr>
                <w:color w:val="000000"/>
                <w:sz w:val="22"/>
                <w:szCs w:val="22"/>
                <w:lang w:val="es-AR" w:eastAsia="es-AR"/>
              </w:rPr>
            </w:pPr>
          </w:p>
        </w:tc>
        <w:tc>
          <w:tcPr>
            <w:tcW w:w="160" w:type="dxa"/>
            <w:tcBorders>
              <w:top w:val="nil"/>
              <w:left w:val="nil"/>
              <w:bottom w:val="nil"/>
              <w:right w:val="nil"/>
            </w:tcBorders>
            <w:shd w:val="clear" w:color="auto" w:fill="auto"/>
            <w:noWrap/>
            <w:vAlign w:val="bottom"/>
            <w:hideMark/>
          </w:tcPr>
          <w:p w14:paraId="39FCAB19"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2D3CB7FF" w14:textId="77777777" w:rsidR="0010523F" w:rsidRPr="0010523F" w:rsidRDefault="0010523F" w:rsidP="0010523F">
            <w:pPr>
              <w:spacing w:line="220" w:lineRule="exact"/>
              <w:jc w:val="right"/>
              <w:rPr>
                <w:color w:val="000000"/>
                <w:sz w:val="22"/>
                <w:szCs w:val="22"/>
                <w:lang w:val="es-AR" w:eastAsia="es-AR"/>
              </w:rPr>
            </w:pPr>
          </w:p>
        </w:tc>
      </w:tr>
      <w:tr w:rsidR="0010523F" w:rsidRPr="0010523F" w14:paraId="7414AB93" w14:textId="77777777" w:rsidTr="00774E7E">
        <w:trPr>
          <w:trHeight w:val="227"/>
        </w:trPr>
        <w:tc>
          <w:tcPr>
            <w:tcW w:w="4551" w:type="dxa"/>
            <w:tcBorders>
              <w:top w:val="nil"/>
              <w:left w:val="nil"/>
              <w:bottom w:val="nil"/>
              <w:right w:val="nil"/>
            </w:tcBorders>
            <w:shd w:val="clear" w:color="auto" w:fill="auto"/>
            <w:noWrap/>
            <w:vAlign w:val="bottom"/>
            <w:hideMark/>
          </w:tcPr>
          <w:p w14:paraId="71A49B0F"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Depreciación de propiedad, planta y equipo y amortización de activos intangibles</w:t>
            </w:r>
          </w:p>
        </w:tc>
        <w:tc>
          <w:tcPr>
            <w:tcW w:w="1129" w:type="dxa"/>
            <w:tcBorders>
              <w:top w:val="nil"/>
              <w:left w:val="nil"/>
              <w:bottom w:val="nil"/>
              <w:right w:val="nil"/>
            </w:tcBorders>
            <w:shd w:val="clear" w:color="auto" w:fill="auto"/>
            <w:noWrap/>
            <w:vAlign w:val="bottom"/>
            <w:hideMark/>
          </w:tcPr>
          <w:p w14:paraId="52DD8369"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14.333</w:t>
            </w:r>
          </w:p>
        </w:tc>
        <w:tc>
          <w:tcPr>
            <w:tcW w:w="160" w:type="dxa"/>
            <w:tcBorders>
              <w:top w:val="nil"/>
              <w:left w:val="nil"/>
              <w:bottom w:val="nil"/>
              <w:right w:val="nil"/>
            </w:tcBorders>
            <w:shd w:val="clear" w:color="auto" w:fill="auto"/>
            <w:noWrap/>
            <w:vAlign w:val="bottom"/>
            <w:hideMark/>
          </w:tcPr>
          <w:p w14:paraId="170741D1"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0C74AD45"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990</w:t>
            </w:r>
          </w:p>
        </w:tc>
        <w:tc>
          <w:tcPr>
            <w:tcW w:w="160" w:type="dxa"/>
            <w:tcBorders>
              <w:top w:val="nil"/>
              <w:left w:val="nil"/>
              <w:bottom w:val="nil"/>
              <w:right w:val="nil"/>
            </w:tcBorders>
            <w:shd w:val="clear" w:color="auto" w:fill="auto"/>
            <w:noWrap/>
            <w:vAlign w:val="bottom"/>
            <w:hideMark/>
          </w:tcPr>
          <w:p w14:paraId="7327E856" w14:textId="77777777" w:rsidR="0010523F" w:rsidRPr="0010523F" w:rsidRDefault="0010523F" w:rsidP="0010523F">
            <w:pPr>
              <w:spacing w:line="220" w:lineRule="exact"/>
              <w:jc w:val="righ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5D0914E4"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40734D2A"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22641209"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15.323</w:t>
            </w:r>
          </w:p>
        </w:tc>
      </w:tr>
      <w:tr w:rsidR="0010523F" w:rsidRPr="0010523F" w14:paraId="20BF8BAD" w14:textId="77777777" w:rsidTr="00774E7E">
        <w:trPr>
          <w:trHeight w:val="227"/>
        </w:trPr>
        <w:tc>
          <w:tcPr>
            <w:tcW w:w="4551" w:type="dxa"/>
            <w:tcBorders>
              <w:top w:val="nil"/>
              <w:left w:val="nil"/>
              <w:bottom w:val="nil"/>
              <w:right w:val="nil"/>
            </w:tcBorders>
            <w:shd w:val="clear" w:color="auto" w:fill="auto"/>
            <w:noWrap/>
            <w:vAlign w:val="bottom"/>
            <w:hideMark/>
          </w:tcPr>
          <w:p w14:paraId="58070B1B" w14:textId="77777777" w:rsidR="0010523F" w:rsidRPr="0010523F" w:rsidRDefault="0010523F" w:rsidP="0010523F">
            <w:pPr>
              <w:spacing w:line="220" w:lineRule="exact"/>
              <w:rPr>
                <w:color w:val="000000"/>
                <w:sz w:val="22"/>
                <w:szCs w:val="22"/>
                <w:lang w:val="es-AR" w:eastAsia="es-AR"/>
              </w:rPr>
            </w:pPr>
            <w:r w:rsidRPr="0010523F">
              <w:rPr>
                <w:color w:val="000000"/>
                <w:sz w:val="22"/>
                <w:szCs w:val="22"/>
                <w:lang w:val="es-AR" w:eastAsia="es-AR"/>
              </w:rPr>
              <w:t>Inversión en propiedad, planta y equipo</w:t>
            </w:r>
          </w:p>
        </w:tc>
        <w:tc>
          <w:tcPr>
            <w:tcW w:w="1129" w:type="dxa"/>
            <w:tcBorders>
              <w:top w:val="nil"/>
              <w:left w:val="nil"/>
              <w:bottom w:val="nil"/>
              <w:right w:val="nil"/>
            </w:tcBorders>
            <w:shd w:val="clear" w:color="auto" w:fill="auto"/>
            <w:noWrap/>
            <w:vAlign w:val="bottom"/>
            <w:hideMark/>
          </w:tcPr>
          <w:p w14:paraId="2141E972"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22.994</w:t>
            </w:r>
          </w:p>
        </w:tc>
        <w:tc>
          <w:tcPr>
            <w:tcW w:w="160" w:type="dxa"/>
            <w:tcBorders>
              <w:top w:val="nil"/>
              <w:left w:val="nil"/>
              <w:bottom w:val="nil"/>
              <w:right w:val="nil"/>
            </w:tcBorders>
            <w:shd w:val="clear" w:color="auto" w:fill="auto"/>
            <w:noWrap/>
            <w:vAlign w:val="bottom"/>
            <w:hideMark/>
          </w:tcPr>
          <w:p w14:paraId="78A57DB2" w14:textId="77777777" w:rsidR="0010523F" w:rsidRPr="0010523F" w:rsidRDefault="0010523F" w:rsidP="0010523F">
            <w:pPr>
              <w:spacing w:line="220" w:lineRule="exact"/>
              <w:jc w:val="right"/>
              <w:rPr>
                <w:color w:val="000000"/>
                <w:sz w:val="22"/>
                <w:szCs w:val="22"/>
                <w:lang w:val="es-AR" w:eastAsia="es-AR"/>
              </w:rPr>
            </w:pPr>
          </w:p>
        </w:tc>
        <w:tc>
          <w:tcPr>
            <w:tcW w:w="1424" w:type="dxa"/>
            <w:tcBorders>
              <w:top w:val="nil"/>
              <w:left w:val="nil"/>
              <w:bottom w:val="nil"/>
              <w:right w:val="nil"/>
            </w:tcBorders>
            <w:shd w:val="clear" w:color="auto" w:fill="auto"/>
            <w:noWrap/>
            <w:vAlign w:val="bottom"/>
            <w:hideMark/>
          </w:tcPr>
          <w:p w14:paraId="7FD41A35"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4.760</w:t>
            </w:r>
          </w:p>
        </w:tc>
        <w:tc>
          <w:tcPr>
            <w:tcW w:w="160" w:type="dxa"/>
            <w:tcBorders>
              <w:top w:val="nil"/>
              <w:left w:val="nil"/>
              <w:bottom w:val="nil"/>
              <w:right w:val="nil"/>
            </w:tcBorders>
            <w:shd w:val="clear" w:color="auto" w:fill="auto"/>
            <w:noWrap/>
            <w:vAlign w:val="bottom"/>
            <w:hideMark/>
          </w:tcPr>
          <w:p w14:paraId="06FE6FE6" w14:textId="77777777" w:rsidR="0010523F" w:rsidRPr="0010523F" w:rsidRDefault="0010523F" w:rsidP="0010523F">
            <w:pPr>
              <w:spacing w:line="220" w:lineRule="exact"/>
              <w:jc w:val="right"/>
              <w:rPr>
                <w:color w:val="000000"/>
                <w:sz w:val="22"/>
                <w:szCs w:val="22"/>
                <w:lang w:val="es-AR" w:eastAsia="es-AR"/>
              </w:rPr>
            </w:pPr>
          </w:p>
        </w:tc>
        <w:tc>
          <w:tcPr>
            <w:tcW w:w="1493" w:type="dxa"/>
            <w:tcBorders>
              <w:top w:val="nil"/>
              <w:left w:val="nil"/>
              <w:bottom w:val="nil"/>
              <w:right w:val="nil"/>
            </w:tcBorders>
            <w:shd w:val="clear" w:color="auto" w:fill="auto"/>
            <w:noWrap/>
            <w:vAlign w:val="bottom"/>
            <w:hideMark/>
          </w:tcPr>
          <w:p w14:paraId="6A177BC8"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w:t>
            </w:r>
          </w:p>
        </w:tc>
        <w:tc>
          <w:tcPr>
            <w:tcW w:w="160" w:type="dxa"/>
            <w:tcBorders>
              <w:top w:val="nil"/>
              <w:left w:val="nil"/>
              <w:bottom w:val="nil"/>
              <w:right w:val="nil"/>
            </w:tcBorders>
            <w:shd w:val="clear" w:color="auto" w:fill="auto"/>
            <w:noWrap/>
            <w:vAlign w:val="bottom"/>
            <w:hideMark/>
          </w:tcPr>
          <w:p w14:paraId="21F48E76" w14:textId="77777777" w:rsidR="0010523F" w:rsidRPr="0010523F" w:rsidRDefault="0010523F" w:rsidP="0010523F">
            <w:pPr>
              <w:spacing w:line="220" w:lineRule="exact"/>
              <w:jc w:val="right"/>
              <w:rPr>
                <w:color w:val="000000"/>
                <w:sz w:val="22"/>
                <w:szCs w:val="22"/>
                <w:lang w:val="es-AR" w:eastAsia="es-AR"/>
              </w:rPr>
            </w:pPr>
          </w:p>
        </w:tc>
        <w:tc>
          <w:tcPr>
            <w:tcW w:w="880" w:type="dxa"/>
            <w:tcBorders>
              <w:top w:val="nil"/>
              <w:left w:val="nil"/>
              <w:bottom w:val="nil"/>
              <w:right w:val="nil"/>
            </w:tcBorders>
            <w:shd w:val="clear" w:color="auto" w:fill="auto"/>
            <w:noWrap/>
            <w:vAlign w:val="bottom"/>
            <w:hideMark/>
          </w:tcPr>
          <w:p w14:paraId="3E0A0070" w14:textId="77777777" w:rsidR="0010523F" w:rsidRPr="0010523F" w:rsidRDefault="0010523F" w:rsidP="0010523F">
            <w:pPr>
              <w:spacing w:line="220" w:lineRule="exact"/>
              <w:jc w:val="right"/>
              <w:rPr>
                <w:color w:val="000000"/>
                <w:sz w:val="22"/>
                <w:szCs w:val="22"/>
                <w:lang w:val="es-AR" w:eastAsia="es-AR"/>
              </w:rPr>
            </w:pPr>
            <w:r w:rsidRPr="0010523F">
              <w:rPr>
                <w:color w:val="000000"/>
                <w:sz w:val="22"/>
                <w:szCs w:val="22"/>
                <w:lang w:val="es-AR" w:eastAsia="es-AR"/>
              </w:rPr>
              <w:t>27.754</w:t>
            </w:r>
          </w:p>
        </w:tc>
      </w:tr>
    </w:tbl>
    <w:p w14:paraId="6F5E2E28" w14:textId="77777777" w:rsidR="0010523F" w:rsidRPr="0010523F" w:rsidRDefault="0010523F" w:rsidP="0010523F">
      <w:pPr>
        <w:spacing w:line="220" w:lineRule="exact"/>
        <w:jc w:val="both"/>
        <w:rPr>
          <w:szCs w:val="20"/>
          <w:lang w:val="es-AR" w:eastAsia="en-US"/>
        </w:rPr>
      </w:pPr>
    </w:p>
    <w:p w14:paraId="0B1DAB39" w14:textId="77777777" w:rsidR="0010523F" w:rsidRPr="0010523F" w:rsidRDefault="0010523F" w:rsidP="0010523F">
      <w:pPr>
        <w:keepNext/>
        <w:tabs>
          <w:tab w:val="right" w:pos="5596"/>
        </w:tabs>
        <w:spacing w:line="220" w:lineRule="exact"/>
        <w:ind w:right="-142"/>
        <w:jc w:val="both"/>
        <w:outlineLvl w:val="0"/>
        <w:rPr>
          <w:b/>
          <w:szCs w:val="20"/>
          <w:lang w:val="es-AR" w:eastAsia="en-US"/>
        </w:rPr>
      </w:pPr>
      <w:r w:rsidRPr="0010523F">
        <w:rPr>
          <w:b/>
          <w:szCs w:val="20"/>
          <w:lang w:val="es-AR" w:eastAsia="en-US"/>
        </w:rPr>
        <w:t>NOTA 12 - CAMBIOS EN ÁREAS HIDROCARBURÍFERAS</w:t>
      </w:r>
    </w:p>
    <w:p w14:paraId="0C3E5266" w14:textId="77777777" w:rsidR="0010523F" w:rsidRPr="0010523F" w:rsidRDefault="0010523F" w:rsidP="0010523F">
      <w:pPr>
        <w:spacing w:line="220" w:lineRule="exact"/>
        <w:jc w:val="both"/>
        <w:rPr>
          <w:szCs w:val="20"/>
          <w:lang w:val="es-AR" w:eastAsia="en-US"/>
        </w:rPr>
      </w:pPr>
    </w:p>
    <w:p w14:paraId="4DEBB85E" w14:textId="77777777" w:rsidR="0010523F" w:rsidRPr="0010523F" w:rsidRDefault="0010523F" w:rsidP="0010523F">
      <w:pPr>
        <w:spacing w:line="220" w:lineRule="exact"/>
        <w:jc w:val="both"/>
        <w:rPr>
          <w:szCs w:val="20"/>
          <w:u w:val="single"/>
          <w:lang w:val="es-AR" w:eastAsia="en-US"/>
        </w:rPr>
      </w:pPr>
      <w:r w:rsidRPr="0010523F">
        <w:rPr>
          <w:szCs w:val="20"/>
          <w:u w:val="single"/>
          <w:lang w:val="es-AR" w:eastAsia="en-US"/>
        </w:rPr>
        <w:t>Área Aguada Canepa - Conversión de permiso exploratorio no convencional</w:t>
      </w:r>
    </w:p>
    <w:p w14:paraId="670CD985" w14:textId="77777777" w:rsidR="0010523F" w:rsidRPr="0010523F" w:rsidRDefault="0010523F" w:rsidP="0010523F">
      <w:pPr>
        <w:spacing w:line="220" w:lineRule="exact"/>
        <w:jc w:val="both"/>
        <w:rPr>
          <w:szCs w:val="20"/>
          <w:lang w:val="es-AR" w:eastAsia="en-US"/>
        </w:rPr>
      </w:pPr>
    </w:p>
    <w:p w14:paraId="7301A851" w14:textId="77777777" w:rsidR="0010523F" w:rsidRPr="0010523F" w:rsidRDefault="0010523F" w:rsidP="0010523F">
      <w:pPr>
        <w:jc w:val="both"/>
        <w:rPr>
          <w:szCs w:val="20"/>
          <w:lang w:val="es-AR" w:eastAsia="en-US"/>
        </w:rPr>
      </w:pPr>
      <w:r w:rsidRPr="0010523F">
        <w:rPr>
          <w:szCs w:val="20"/>
          <w:lang w:val="es-AR" w:eastAsia="en-US"/>
        </w:rPr>
        <w:t>Tal como se expone en la Nota 25.5 de los estados financieros por el ejercicio finalizado el 31 de diciembre de 2018, la Sucursal participa junto a Gas y Petróleo del Neuquén Sociedad Anónima (“GyP”) en el área Aguada Cánepa (participaciones del 90% y 10%, respectivamente).</w:t>
      </w:r>
    </w:p>
    <w:p w14:paraId="21A325F0" w14:textId="77777777" w:rsidR="0010523F" w:rsidRPr="0010523F" w:rsidRDefault="0010523F" w:rsidP="0010523F">
      <w:pPr>
        <w:spacing w:line="180" w:lineRule="exact"/>
        <w:jc w:val="both"/>
        <w:rPr>
          <w:szCs w:val="20"/>
          <w:lang w:val="es-AR" w:eastAsia="en-US"/>
        </w:rPr>
      </w:pPr>
    </w:p>
    <w:p w14:paraId="0AF31B11" w14:textId="77777777" w:rsidR="0010523F" w:rsidRPr="0010523F" w:rsidRDefault="0010523F" w:rsidP="0010523F">
      <w:pPr>
        <w:jc w:val="both"/>
        <w:rPr>
          <w:szCs w:val="20"/>
          <w:lang w:val="es-AR" w:eastAsia="en-US"/>
        </w:rPr>
      </w:pPr>
      <w:r w:rsidRPr="0010523F">
        <w:rPr>
          <w:szCs w:val="20"/>
          <w:lang w:val="es-AR" w:eastAsia="en-US"/>
        </w:rPr>
        <w:t xml:space="preserve">El 29 de marzo de 2019, el Gobernador de la Provincia del Neuquén emitió el Decreto Provincial </w:t>
      </w:r>
      <w:r w:rsidRPr="0010523F">
        <w:rPr>
          <w:szCs w:val="20"/>
          <w:lang w:val="es-AR" w:eastAsia="en-US"/>
        </w:rPr>
        <w:br/>
        <w:t>N° 380/2019 por medio del cual convierte el Permiso Exploratorio Convencional oportunamente otorgado a GyP en un Permiso Exploratorio no Convencional, autorizando el pase a un segundo período por dos años a contar desde el 17 de octubre de 2018 al 16 de octubre de 2020. Adicionalmente, dispone que se tenga por cumplido el compromiso de inversiones y el plazo correspondientes al Primer Período del Permiso Convencional. También se aprueba el compromiso de perforar un pozo exploratorio a la formación Vaca Muerta y, sujeto a los resultados del mismo, a re-perforar el pozo ACax-1 y a reinterpretar sísmica 3D.</w:t>
      </w:r>
    </w:p>
    <w:p w14:paraId="2B621B77" w14:textId="77777777" w:rsidR="0010523F" w:rsidRPr="0010523F" w:rsidRDefault="0010523F" w:rsidP="0010523F">
      <w:pPr>
        <w:spacing w:line="180" w:lineRule="exact"/>
        <w:jc w:val="both"/>
        <w:rPr>
          <w:szCs w:val="20"/>
          <w:lang w:val="es-AR" w:eastAsia="en-US"/>
        </w:rPr>
      </w:pPr>
    </w:p>
    <w:p w14:paraId="6DC47839" w14:textId="77777777" w:rsidR="0010523F" w:rsidRPr="0010523F" w:rsidRDefault="0010523F" w:rsidP="0010523F">
      <w:pPr>
        <w:jc w:val="both"/>
        <w:rPr>
          <w:szCs w:val="20"/>
          <w:u w:val="single"/>
          <w:lang w:val="es-AR" w:eastAsia="en-US"/>
        </w:rPr>
      </w:pPr>
      <w:r w:rsidRPr="0010523F">
        <w:rPr>
          <w:szCs w:val="20"/>
          <w:u w:val="single"/>
          <w:lang w:val="es-AR" w:eastAsia="en-US"/>
        </w:rPr>
        <w:t>Modificación de los planes piloto de las áreas Aguada de Castro y Aguada Pichana Oeste</w:t>
      </w:r>
    </w:p>
    <w:p w14:paraId="2545144D" w14:textId="77777777" w:rsidR="0010523F" w:rsidRPr="0010523F" w:rsidRDefault="0010523F" w:rsidP="0010523F">
      <w:pPr>
        <w:spacing w:line="220" w:lineRule="exact"/>
        <w:jc w:val="both"/>
        <w:rPr>
          <w:szCs w:val="20"/>
          <w:lang w:val="es-AR" w:eastAsia="en-US"/>
        </w:rPr>
      </w:pPr>
    </w:p>
    <w:p w14:paraId="66288F88" w14:textId="77777777" w:rsidR="0010523F" w:rsidRPr="0010523F" w:rsidRDefault="0010523F" w:rsidP="0010523F">
      <w:pPr>
        <w:jc w:val="both"/>
        <w:rPr>
          <w:szCs w:val="20"/>
          <w:lang w:val="es-AR" w:eastAsia="en-US"/>
        </w:rPr>
      </w:pPr>
      <w:r w:rsidRPr="0010523F">
        <w:rPr>
          <w:szCs w:val="20"/>
          <w:lang w:val="es-AR" w:eastAsia="en-US"/>
        </w:rPr>
        <w:t xml:space="preserve">Con fecha 24 de abril de 2019, el Gobernador de la Provincia del Neuquén dictó el Decreto </w:t>
      </w:r>
      <w:r w:rsidRPr="0010523F">
        <w:rPr>
          <w:szCs w:val="20"/>
          <w:lang w:val="es-AR" w:eastAsia="en-US"/>
        </w:rPr>
        <w:br/>
        <w:t xml:space="preserve">Provincial N° 566/2019, que aprobó la modificación de los planes piloto de las áreas Aguada de Castro y Aguada Pichana Oeste, consistente en el diferimiento para el primer semestre del año 2020, de la perforación de seis pozos originalmente comprometidos para el primer semestre de 2019. </w:t>
      </w:r>
    </w:p>
    <w:p w14:paraId="3D175223" w14:textId="77777777" w:rsidR="0010523F" w:rsidRPr="0010523F" w:rsidRDefault="0010523F" w:rsidP="0010523F">
      <w:pPr>
        <w:jc w:val="both"/>
        <w:rPr>
          <w:b/>
          <w:szCs w:val="20"/>
          <w:lang w:val="es-AR" w:eastAsia="en-US"/>
        </w:rPr>
        <w:sectPr w:rsidR="0010523F" w:rsidRPr="0010523F" w:rsidSect="006C0CFD">
          <w:headerReference w:type="default" r:id="rId59"/>
          <w:footerReference w:type="default" r:id="rId60"/>
          <w:pgSz w:w="11907" w:h="16840" w:code="9"/>
          <w:pgMar w:top="2095" w:right="1134" w:bottom="425" w:left="1134" w:header="993" w:footer="520" w:gutter="0"/>
          <w:paperSrc w:first="7" w:other="7"/>
          <w:cols w:space="720"/>
          <w:docGrid w:linePitch="326"/>
        </w:sectPr>
      </w:pPr>
    </w:p>
    <w:p w14:paraId="42B6DA9D" w14:textId="77777777" w:rsidR="0010523F" w:rsidRPr="0010523F" w:rsidRDefault="0010523F" w:rsidP="0010523F">
      <w:pPr>
        <w:keepNext/>
        <w:spacing w:line="220" w:lineRule="exact"/>
        <w:ind w:right="-142"/>
        <w:jc w:val="both"/>
        <w:outlineLvl w:val="0"/>
        <w:rPr>
          <w:b/>
          <w:szCs w:val="20"/>
          <w:lang w:val="es-AR" w:eastAsia="en-US"/>
        </w:rPr>
      </w:pPr>
      <w:r w:rsidRPr="0010523F">
        <w:rPr>
          <w:b/>
          <w:szCs w:val="20"/>
          <w:lang w:val="es-AR" w:eastAsia="en-US"/>
        </w:rPr>
        <w:t>NOTA 13 - COBRANZA DE COMPENSACIONES ADEUDADAS BAJO EL PROGRAMA DE ESTIMULO A LA INYECCIÓN EXCEDENTE DE GAS NATURAL</w:t>
      </w:r>
    </w:p>
    <w:p w14:paraId="7BED80F7" w14:textId="77777777" w:rsidR="0010523F" w:rsidRPr="0010523F" w:rsidRDefault="0010523F" w:rsidP="0010523F">
      <w:pPr>
        <w:spacing w:line="220" w:lineRule="exact"/>
        <w:jc w:val="both"/>
        <w:rPr>
          <w:szCs w:val="20"/>
          <w:lang w:val="es-AR" w:eastAsia="en-US"/>
        </w:rPr>
      </w:pPr>
    </w:p>
    <w:p w14:paraId="61796BF4" w14:textId="77777777" w:rsidR="0010523F" w:rsidRPr="0010523F" w:rsidRDefault="0010523F" w:rsidP="0010523F">
      <w:pPr>
        <w:jc w:val="both"/>
        <w:rPr>
          <w:szCs w:val="20"/>
          <w:lang w:val="es-AR" w:eastAsia="en-US"/>
        </w:rPr>
      </w:pPr>
      <w:r w:rsidRPr="0010523F">
        <w:rPr>
          <w:szCs w:val="20"/>
          <w:lang w:val="es-AR" w:eastAsia="en-US"/>
        </w:rPr>
        <w:t>El 10 de abril de 2019, la Sucursal recibió los Bonos Programas Gas Natural mencionados en la Nota 18 de los estados financieros por el ejercicio finalizado el 31 de diciembre de 2018, los cuales no cotizan en mercado, no devengan intereses y no pueden ser transferidos. La Sucursal reconoce el ingreso correspondiente a medida que se van cobrando las cuotas. Consecuentemente en el período de nueve meses finalizado el 30 de septiembre de 2019 la Sucursal reconoció una ganancia de 1.574 por este concepto.</w:t>
      </w:r>
    </w:p>
    <w:p w14:paraId="0A2F62F5" w14:textId="77777777" w:rsidR="0010523F" w:rsidRPr="0010523F" w:rsidRDefault="0010523F" w:rsidP="0010523F">
      <w:pPr>
        <w:jc w:val="both"/>
        <w:rPr>
          <w:szCs w:val="20"/>
          <w:lang w:val="es-AR" w:eastAsia="en-US"/>
        </w:rPr>
      </w:pPr>
    </w:p>
    <w:p w14:paraId="56F41962" w14:textId="77777777" w:rsidR="0010523F" w:rsidRPr="0010523F" w:rsidRDefault="0010523F" w:rsidP="0010523F">
      <w:pPr>
        <w:keepNext/>
        <w:tabs>
          <w:tab w:val="right" w:pos="5596"/>
        </w:tabs>
        <w:jc w:val="both"/>
        <w:outlineLvl w:val="0"/>
        <w:rPr>
          <w:b/>
          <w:sz w:val="22"/>
          <w:szCs w:val="20"/>
          <w:lang w:val="es-AR" w:eastAsia="en-US"/>
        </w:rPr>
      </w:pPr>
      <w:r w:rsidRPr="0010523F">
        <w:rPr>
          <w:b/>
          <w:szCs w:val="20"/>
          <w:lang w:val="es-AR" w:eastAsia="en-US"/>
        </w:rPr>
        <w:t>NOTA 14 - DIFERIMIENTO DEL AJUSTE DEL PRECIO DEL GAS NATURAL</w:t>
      </w:r>
    </w:p>
    <w:p w14:paraId="6D7EB045" w14:textId="77777777" w:rsidR="0010523F" w:rsidRPr="0010523F" w:rsidRDefault="0010523F" w:rsidP="0010523F">
      <w:pPr>
        <w:jc w:val="both"/>
        <w:rPr>
          <w:szCs w:val="20"/>
          <w:lang w:val="es-AR" w:eastAsia="en-US"/>
        </w:rPr>
      </w:pPr>
    </w:p>
    <w:p w14:paraId="303D47F2" w14:textId="77777777" w:rsidR="0010523F" w:rsidRPr="0010523F" w:rsidRDefault="0010523F" w:rsidP="0010523F">
      <w:pPr>
        <w:jc w:val="both"/>
        <w:rPr>
          <w:szCs w:val="20"/>
          <w:lang w:val="es-AR" w:eastAsia="en-US"/>
        </w:rPr>
      </w:pPr>
      <w:r w:rsidRPr="0010523F">
        <w:rPr>
          <w:szCs w:val="20"/>
          <w:lang w:val="es-AR" w:eastAsia="en-US"/>
        </w:rPr>
        <w:t>El 4 de septiembre de 2019, se publicó en el Boletín Oficial la Resolución N° 521/2019 de la Secretaría de Gobierno de Energía que dispone diferir el ajuste tarifario por variación del precio del gas natural previsto a partir del 1 de octubre de 2019 para el 1 de enero de 2020. En el período del diferimiento no puede trasladarse a los usuarios el mayor costo por las diferencias de cambio del período estacional.</w:t>
      </w:r>
    </w:p>
    <w:p w14:paraId="39FDD293" w14:textId="77777777" w:rsidR="0010523F" w:rsidRPr="0010523F" w:rsidRDefault="0010523F" w:rsidP="0010523F">
      <w:pPr>
        <w:jc w:val="both"/>
        <w:rPr>
          <w:szCs w:val="20"/>
          <w:highlight w:val="lightGray"/>
          <w:lang w:val="es-AR" w:eastAsia="en-US"/>
        </w:rPr>
      </w:pPr>
    </w:p>
    <w:p w14:paraId="59842C10" w14:textId="77777777" w:rsidR="0010523F" w:rsidRPr="0010523F" w:rsidRDefault="0010523F" w:rsidP="0010523F">
      <w:pPr>
        <w:keepNext/>
        <w:tabs>
          <w:tab w:val="right" w:pos="5596"/>
        </w:tabs>
        <w:jc w:val="both"/>
        <w:outlineLvl w:val="0"/>
        <w:rPr>
          <w:b/>
          <w:szCs w:val="20"/>
          <w:lang w:val="es-AR" w:eastAsia="en-US"/>
        </w:rPr>
      </w:pPr>
      <w:r w:rsidRPr="0010523F">
        <w:rPr>
          <w:b/>
          <w:szCs w:val="20"/>
          <w:lang w:val="es-AR" w:eastAsia="en-US"/>
        </w:rPr>
        <w:t>NOTA 15 - PRECIOS TOPE PARA ENTREGAS DE PETROLEO CRUDO, NAFTAS Y GASOIL EN EL MERCADO LOCAL</w:t>
      </w:r>
    </w:p>
    <w:p w14:paraId="3E9B59C6" w14:textId="77777777" w:rsidR="0010523F" w:rsidRPr="0010523F" w:rsidRDefault="0010523F" w:rsidP="0010523F">
      <w:pPr>
        <w:jc w:val="both"/>
        <w:rPr>
          <w:szCs w:val="20"/>
          <w:lang w:val="es-AR" w:eastAsia="en-US"/>
        </w:rPr>
      </w:pPr>
    </w:p>
    <w:p w14:paraId="68CFD359" w14:textId="77777777" w:rsidR="0010523F" w:rsidRPr="0010523F" w:rsidRDefault="0010523F" w:rsidP="0010523F">
      <w:pPr>
        <w:jc w:val="both"/>
        <w:rPr>
          <w:szCs w:val="20"/>
          <w:lang w:val="es-AR" w:eastAsia="en-US"/>
        </w:rPr>
      </w:pPr>
      <w:r w:rsidRPr="0010523F">
        <w:rPr>
          <w:szCs w:val="20"/>
          <w:lang w:val="es-AR" w:eastAsia="en-US"/>
        </w:rPr>
        <w:t>El 16 de agosto de 2019, se publicó en el Boletín Oficial el Decreto N° 566/2019 del PEN, luego modificado por el Decreto N° 601/2019 del PEN y por la Resolución N° 557/2019 de la Secretaría de Gobierno de Energía, publicados el 2 y el 19 de septiembre de 2019, respectivamente; estableciendo para el mercado local topes hasta el 13 de noviembre de 2019 a los precios del petróleo entregado por las empresas productoras a las refinadoras y a las naftas y el gasoil cuyo destino final sea el abastecimiento a través de estaciones de servicio. Para el petróleo se establecieron valores de referencia del Brent de USS 59 por barril y un tipo de cambio de 45,19; 46,69 y 49,3 pesos por dólar, respectivamente. Los precios de las naftas y del gasoil alcanzados vigentes al 9 de agosto de 2019, que originalmente no podrían superarse, pueden incrementarse hasta el 4%.  El precio promedio del Brent de agosto y septiembre de 2019 fue de USS 60,92 por barril y la cotización del dólar en dicho período fue de 54,5 pesos por dólar.</w:t>
      </w:r>
    </w:p>
    <w:p w14:paraId="07EBF60C" w14:textId="77777777" w:rsidR="0010523F" w:rsidRPr="0010523F" w:rsidRDefault="0010523F" w:rsidP="0010523F">
      <w:pPr>
        <w:jc w:val="both"/>
        <w:rPr>
          <w:szCs w:val="20"/>
          <w:lang w:val="es-AR" w:eastAsia="en-US"/>
        </w:rPr>
      </w:pPr>
    </w:p>
    <w:p w14:paraId="024ACF61" w14:textId="77777777" w:rsidR="0010523F" w:rsidRPr="0010523F" w:rsidRDefault="0010523F" w:rsidP="0010523F">
      <w:pPr>
        <w:jc w:val="both"/>
        <w:rPr>
          <w:szCs w:val="20"/>
          <w:lang w:val="es-AR" w:eastAsia="en-US"/>
        </w:rPr>
      </w:pPr>
      <w:r w:rsidRPr="0010523F">
        <w:rPr>
          <w:szCs w:val="20"/>
          <w:lang w:val="es-AR" w:eastAsia="en-US"/>
        </w:rPr>
        <w:t>El 1 de noviembre 2019, en línea con la Resolución N° 688/2019 de la Secretaría de Gobierno de Energía, los precios de las naftas y el gasoil cuyo destino final es el abastecimiento a través de estaciones de servicio ya se incrementaron el 5% (adicional al 4% dispuesto por la Resolución N° 557/2019).</w:t>
      </w:r>
    </w:p>
    <w:p w14:paraId="0B026561" w14:textId="77777777" w:rsidR="0010523F" w:rsidRPr="0010523F" w:rsidRDefault="0010523F" w:rsidP="0010523F">
      <w:pPr>
        <w:jc w:val="both"/>
        <w:rPr>
          <w:szCs w:val="20"/>
          <w:highlight w:val="lightGray"/>
          <w:lang w:val="es-AR" w:eastAsia="en-US"/>
        </w:rPr>
      </w:pPr>
    </w:p>
    <w:p w14:paraId="75F7E300" w14:textId="77777777" w:rsidR="0010523F" w:rsidRPr="0010523F" w:rsidRDefault="0010523F" w:rsidP="0010523F">
      <w:pPr>
        <w:rPr>
          <w:szCs w:val="20"/>
          <w:lang w:val="es-AR" w:eastAsia="en-US"/>
        </w:rPr>
        <w:sectPr w:rsidR="0010523F" w:rsidRPr="0010523F" w:rsidSect="006C0CFD">
          <w:footerReference w:type="default" r:id="rId61"/>
          <w:pgSz w:w="11907" w:h="16840" w:code="9"/>
          <w:pgMar w:top="2095" w:right="1134" w:bottom="425" w:left="1134" w:header="993" w:footer="520" w:gutter="0"/>
          <w:paperSrc w:first="7" w:other="7"/>
          <w:cols w:space="720"/>
          <w:docGrid w:linePitch="326"/>
        </w:sectPr>
      </w:pPr>
      <w:r w:rsidRPr="0010523F">
        <w:rPr>
          <w:szCs w:val="20"/>
          <w:lang w:val="es-AR" w:eastAsia="en-US"/>
        </w:rPr>
        <w:br w:type="page"/>
      </w:r>
    </w:p>
    <w:p w14:paraId="41CC60A4"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 xml:space="preserve">NOTA 16 - HECHOS POSTERIORES AL CIERRE DEL PERÍODO </w:t>
      </w:r>
    </w:p>
    <w:p w14:paraId="58A442A0" w14:textId="77777777" w:rsidR="0010523F" w:rsidRPr="0010523F" w:rsidRDefault="0010523F" w:rsidP="0010523F">
      <w:pPr>
        <w:spacing w:line="220" w:lineRule="exact"/>
        <w:jc w:val="both"/>
        <w:rPr>
          <w:lang w:val="es-AR" w:eastAsia="en-US"/>
        </w:rPr>
      </w:pPr>
    </w:p>
    <w:p w14:paraId="309CE62B" w14:textId="77777777" w:rsidR="0010523F" w:rsidRPr="0010523F" w:rsidRDefault="0010523F" w:rsidP="0010523F">
      <w:pPr>
        <w:spacing w:after="240"/>
        <w:jc w:val="both"/>
        <w:rPr>
          <w:bCs/>
          <w:iCs/>
          <w:highlight w:val="yellow"/>
          <w:lang w:val="es-AR" w:eastAsia="en-US"/>
        </w:rPr>
      </w:pPr>
      <w:r w:rsidRPr="0010523F">
        <w:rPr>
          <w:bCs/>
          <w:iCs/>
          <w:lang w:val="es-AR" w:eastAsia="en-US"/>
        </w:rPr>
        <w:t>Con fecha 15 de octubre de 2019, la Sucursal emitió obligaciones negociables adicionales Clase VII por 7.200 con vencimiento el 20 de noviembre de 2020, a una tasa de interés variable, bajo el Programa vigente de obligaciones negociables no convertibles, hasta un monto de US$ 1.100 millones.</w:t>
      </w:r>
    </w:p>
    <w:p w14:paraId="0E36C4A2" w14:textId="77777777" w:rsidR="0010523F" w:rsidRPr="0010523F" w:rsidRDefault="0010523F" w:rsidP="0010523F">
      <w:pPr>
        <w:jc w:val="both"/>
        <w:rPr>
          <w:sz w:val="23"/>
          <w:szCs w:val="23"/>
          <w:lang w:val="es-AR" w:eastAsia="en-US"/>
        </w:rPr>
      </w:pPr>
      <w:r w:rsidRPr="0010523F">
        <w:rPr>
          <w:szCs w:val="20"/>
          <w:lang w:val="es-AR" w:eastAsia="en-US"/>
        </w:rPr>
        <w:t>Con fecha 25 de octubre de 2019, la Sucursal adhirió al régimen del artículo 7 del Decreto N° 1053/18 del PEN por medio del cual el Estado Nacional asumió el pago de las diferencias entre el valor del gas natural comprado por las licenciatarias de distribución de gas natural y el establecido en los cuadros tarifarios vigentes entre el 1 de abril de 2018 y el 31 de marzo de 2019, generadas por las variaciones en el tipo de cambio correspondiente a los volúmenes de gas natural entregados en aquel período. La deuda será cancelada en treinta cuotas mensuales y consecutivas que el Estado Nacional transferirá a las licenciatarias de distribución, debiendo estas últimas transferir a la Sucursal el importe de cada cuota dentro del plazo de cinco días hábiles de haberlo percibido.</w:t>
      </w:r>
    </w:p>
    <w:p w14:paraId="6622397D" w14:textId="77777777" w:rsidR="0010523F" w:rsidRPr="0010523F" w:rsidRDefault="0010523F" w:rsidP="0010523F">
      <w:pPr>
        <w:jc w:val="both"/>
        <w:rPr>
          <w:sz w:val="23"/>
          <w:szCs w:val="23"/>
          <w:lang w:val="es-AR" w:eastAsia="en-US"/>
        </w:rPr>
      </w:pPr>
    </w:p>
    <w:p w14:paraId="4A046AEB" w14:textId="77777777" w:rsidR="0010523F" w:rsidRPr="0010523F" w:rsidRDefault="0010523F" w:rsidP="0010523F">
      <w:pPr>
        <w:jc w:val="both"/>
        <w:rPr>
          <w:sz w:val="23"/>
          <w:szCs w:val="23"/>
          <w:lang w:val="es-AR" w:eastAsia="en-US"/>
        </w:rPr>
      </w:pPr>
      <w:r w:rsidRPr="0010523F">
        <w:rPr>
          <w:lang w:val="es-AR" w:eastAsia="en-US"/>
        </w:rPr>
        <w:t xml:space="preserve">No existen otros hechos u operaciones ocurridos entre la fecha de cierre del período y la fecha de emisión de los estados financieros intermedios condensados que puedan afectar significativamente la situación financiera o los resultados de la Sucursal a la fecha de cierre del presente período, </w:t>
      </w:r>
      <w:r w:rsidRPr="0010523F">
        <w:rPr>
          <w:sz w:val="23"/>
          <w:szCs w:val="23"/>
          <w:lang w:val="es-AR" w:eastAsia="en-US"/>
        </w:rPr>
        <w:t>excepto por lo mencionado específicamente en las notas precedentes.</w:t>
      </w:r>
    </w:p>
    <w:p w14:paraId="2686928A" w14:textId="77777777" w:rsidR="0010523F" w:rsidRPr="0010523F" w:rsidRDefault="0010523F" w:rsidP="0010523F">
      <w:pPr>
        <w:jc w:val="both"/>
        <w:rPr>
          <w:sz w:val="23"/>
          <w:szCs w:val="23"/>
          <w:highlight w:val="yellow"/>
          <w:lang w:val="es-AR" w:eastAsia="en-US"/>
        </w:rPr>
      </w:pPr>
    </w:p>
    <w:p w14:paraId="13B07175" w14:textId="77777777" w:rsidR="0010523F" w:rsidRPr="0010523F" w:rsidRDefault="0010523F" w:rsidP="0010523F">
      <w:pPr>
        <w:jc w:val="both"/>
        <w:rPr>
          <w:sz w:val="23"/>
          <w:szCs w:val="23"/>
          <w:highlight w:val="yellow"/>
          <w:lang w:val="es-AR" w:eastAsia="en-US"/>
        </w:rPr>
      </w:pPr>
    </w:p>
    <w:p w14:paraId="72FD4741" w14:textId="77777777" w:rsidR="0010523F" w:rsidRPr="0010523F" w:rsidRDefault="0010523F" w:rsidP="0010523F">
      <w:pPr>
        <w:jc w:val="both"/>
        <w:rPr>
          <w:sz w:val="23"/>
          <w:szCs w:val="23"/>
          <w:lang w:val="es-AR" w:eastAsia="en-US"/>
        </w:rPr>
        <w:sectPr w:rsidR="0010523F" w:rsidRPr="0010523F" w:rsidSect="006C0CFD">
          <w:footerReference w:type="default" r:id="rId62"/>
          <w:pgSz w:w="11907" w:h="16840" w:code="9"/>
          <w:pgMar w:top="2095" w:right="1134" w:bottom="425" w:left="1134" w:header="993" w:footer="520" w:gutter="0"/>
          <w:paperSrc w:first="7" w:other="7"/>
          <w:cols w:space="720"/>
          <w:docGrid w:linePitch="326"/>
        </w:sectPr>
      </w:pPr>
    </w:p>
    <w:p w14:paraId="79A379D4" w14:textId="77777777" w:rsidR="0010523F" w:rsidRPr="0010523F" w:rsidRDefault="0010523F" w:rsidP="0010523F">
      <w:pPr>
        <w:keepNext/>
        <w:tabs>
          <w:tab w:val="right" w:pos="5596"/>
        </w:tabs>
        <w:spacing w:line="220" w:lineRule="exact"/>
        <w:jc w:val="right"/>
        <w:outlineLvl w:val="0"/>
        <w:rPr>
          <w:b/>
          <w:szCs w:val="20"/>
          <w:lang w:val="es-AR" w:eastAsia="en-US"/>
        </w:rPr>
      </w:pPr>
      <w:r w:rsidRPr="0010523F">
        <w:rPr>
          <w:szCs w:val="20"/>
          <w:lang w:val="es-AR" w:eastAsia="en-US"/>
        </w:rPr>
        <w:t>ANEXO E - 1</w:t>
      </w:r>
    </w:p>
    <w:p w14:paraId="0F85A58A" w14:textId="77777777" w:rsidR="0010523F" w:rsidRPr="0010523F" w:rsidRDefault="0010523F" w:rsidP="0010523F">
      <w:pPr>
        <w:spacing w:line="220" w:lineRule="exact"/>
        <w:ind w:left="8364" w:hanging="22"/>
        <w:jc w:val="right"/>
        <w:rPr>
          <w:lang w:val="es-AR" w:eastAsia="en-US"/>
        </w:rPr>
      </w:pPr>
    </w:p>
    <w:p w14:paraId="152C6BCA" w14:textId="77777777" w:rsidR="0010523F" w:rsidRPr="0010523F" w:rsidRDefault="0010523F" w:rsidP="0010523F">
      <w:pPr>
        <w:spacing w:line="220" w:lineRule="exact"/>
        <w:ind w:left="142"/>
        <w:jc w:val="both"/>
        <w:rPr>
          <w:b/>
          <w:lang w:val="es-AR" w:eastAsia="en-US"/>
        </w:rPr>
      </w:pPr>
      <w:r w:rsidRPr="0010523F">
        <w:rPr>
          <w:b/>
          <w:szCs w:val="20"/>
          <w:lang w:val="es-AR" w:eastAsia="en-US"/>
        </w:rPr>
        <w:t>PAN AMERICAN ENERGY, S.L., SUCURSAL ARGENTINA</w:t>
      </w:r>
      <w:r w:rsidRPr="0010523F" w:rsidDel="00151E7A">
        <w:rPr>
          <w:b/>
          <w:lang w:val="es-AR" w:eastAsia="en-US"/>
        </w:rPr>
        <w:t xml:space="preserve"> </w:t>
      </w:r>
    </w:p>
    <w:p w14:paraId="642FD0E3" w14:textId="77777777" w:rsidR="0010523F" w:rsidRPr="0010523F" w:rsidRDefault="0010523F" w:rsidP="0010523F">
      <w:pPr>
        <w:spacing w:line="80" w:lineRule="exact"/>
        <w:ind w:left="142"/>
        <w:jc w:val="both"/>
        <w:rPr>
          <w:sz w:val="19"/>
          <w:szCs w:val="19"/>
          <w:lang w:val="es-AR" w:eastAsia="en-US"/>
        </w:rPr>
      </w:pPr>
    </w:p>
    <w:p w14:paraId="196D90A0" w14:textId="77777777" w:rsidR="0010523F" w:rsidRPr="0010523F" w:rsidRDefault="0010523F" w:rsidP="0010523F">
      <w:pPr>
        <w:ind w:left="142"/>
        <w:jc w:val="both"/>
        <w:rPr>
          <w:sz w:val="22"/>
          <w:szCs w:val="22"/>
          <w:lang w:val="es-AR" w:eastAsia="en-US"/>
        </w:rPr>
      </w:pPr>
      <w:r w:rsidRPr="0010523F">
        <w:rPr>
          <w:b/>
          <w:sz w:val="22"/>
          <w:szCs w:val="22"/>
          <w:lang w:val="es-AR" w:eastAsia="en-US"/>
        </w:rPr>
        <w:t xml:space="preserve">PREVISIONES (en millones de pesos) </w:t>
      </w:r>
      <w:bookmarkStart w:id="172" w:name="OLE_LINK32"/>
      <w:bookmarkStart w:id="173" w:name="OLE_LINK33"/>
      <w:r w:rsidRPr="0010523F">
        <w:rPr>
          <w:sz w:val="22"/>
          <w:szCs w:val="22"/>
          <w:lang w:val="es-AR" w:eastAsia="en-US"/>
        </w:rPr>
        <w:t>al 30 de septiembre de 2019 y al 31 de diciembre de 2018</w:t>
      </w:r>
    </w:p>
    <w:p w14:paraId="1B51FCC7" w14:textId="77777777" w:rsidR="0010523F" w:rsidRPr="0010523F" w:rsidRDefault="0010523F" w:rsidP="0010523F">
      <w:pPr>
        <w:spacing w:line="220" w:lineRule="exact"/>
        <w:jc w:val="both"/>
        <w:rPr>
          <w:sz w:val="20"/>
          <w:szCs w:val="20"/>
          <w:lang w:val="es-AR" w:eastAsia="en-US"/>
        </w:rPr>
      </w:pPr>
    </w:p>
    <w:tbl>
      <w:tblPr>
        <w:tblW w:w="10631" w:type="dxa"/>
        <w:tblInd w:w="212" w:type="dxa"/>
        <w:tblLayout w:type="fixed"/>
        <w:tblCellMar>
          <w:left w:w="70" w:type="dxa"/>
          <w:right w:w="70" w:type="dxa"/>
        </w:tblCellMar>
        <w:tblLook w:val="04A0" w:firstRow="1" w:lastRow="0" w:firstColumn="1" w:lastColumn="0" w:noHBand="0" w:noVBand="1"/>
      </w:tblPr>
      <w:tblGrid>
        <w:gridCol w:w="2835"/>
        <w:gridCol w:w="835"/>
        <w:gridCol w:w="397"/>
        <w:gridCol w:w="1178"/>
        <w:gridCol w:w="724"/>
        <w:gridCol w:w="440"/>
        <w:gridCol w:w="1170"/>
        <w:gridCol w:w="510"/>
        <w:gridCol w:w="1106"/>
        <w:gridCol w:w="1011"/>
        <w:gridCol w:w="425"/>
      </w:tblGrid>
      <w:tr w:rsidR="0010523F" w:rsidRPr="0010523F" w14:paraId="1BDC0A1F" w14:textId="77777777" w:rsidTr="00774E7E">
        <w:trPr>
          <w:trHeight w:val="300"/>
        </w:trPr>
        <w:tc>
          <w:tcPr>
            <w:tcW w:w="2835" w:type="dxa"/>
            <w:tcBorders>
              <w:top w:val="nil"/>
              <w:left w:val="nil"/>
              <w:bottom w:val="single" w:sz="8" w:space="0" w:color="auto"/>
              <w:right w:val="nil"/>
            </w:tcBorders>
            <w:shd w:val="clear" w:color="auto" w:fill="auto"/>
            <w:vAlign w:val="bottom"/>
            <w:hideMark/>
          </w:tcPr>
          <w:p w14:paraId="335B300A" w14:textId="77777777" w:rsidR="0010523F" w:rsidRPr="0010523F" w:rsidRDefault="0010523F" w:rsidP="0010523F">
            <w:pPr>
              <w:jc w:val="center"/>
              <w:rPr>
                <w:color w:val="000000"/>
                <w:sz w:val="22"/>
                <w:szCs w:val="22"/>
                <w:lang w:val="es-AR" w:eastAsia="es-AR"/>
              </w:rPr>
            </w:pPr>
            <w:r w:rsidRPr="0010523F">
              <w:rPr>
                <w:color w:val="000000"/>
                <w:sz w:val="22"/>
                <w:szCs w:val="22"/>
                <w:lang w:val="es-AR" w:eastAsia="es-AR"/>
              </w:rPr>
              <w:t>Cuenta principal</w:t>
            </w:r>
          </w:p>
        </w:tc>
        <w:tc>
          <w:tcPr>
            <w:tcW w:w="1232" w:type="dxa"/>
            <w:gridSpan w:val="2"/>
            <w:tcBorders>
              <w:top w:val="nil"/>
              <w:left w:val="nil"/>
              <w:bottom w:val="single" w:sz="8" w:space="0" w:color="auto"/>
              <w:right w:val="nil"/>
            </w:tcBorders>
            <w:shd w:val="clear" w:color="auto" w:fill="auto"/>
            <w:vAlign w:val="bottom"/>
            <w:hideMark/>
          </w:tcPr>
          <w:p w14:paraId="4C4ECFFD" w14:textId="77777777" w:rsidR="0010523F" w:rsidRPr="0010523F" w:rsidRDefault="0010523F" w:rsidP="0010523F">
            <w:pPr>
              <w:jc w:val="center"/>
              <w:rPr>
                <w:color w:val="000000"/>
                <w:sz w:val="22"/>
                <w:szCs w:val="22"/>
                <w:lang w:val="es-AR" w:eastAsia="es-AR"/>
              </w:rPr>
            </w:pPr>
            <w:r w:rsidRPr="0010523F">
              <w:rPr>
                <w:bCs/>
                <w:color w:val="000000"/>
                <w:sz w:val="22"/>
                <w:szCs w:val="22"/>
                <w:lang w:val="es-AR" w:eastAsia="es-AR"/>
              </w:rPr>
              <w:t>Saldos al comienzo del ejercicio</w:t>
            </w:r>
          </w:p>
        </w:tc>
        <w:tc>
          <w:tcPr>
            <w:tcW w:w="1178" w:type="dxa"/>
            <w:tcBorders>
              <w:top w:val="nil"/>
              <w:left w:val="nil"/>
              <w:bottom w:val="single" w:sz="8" w:space="0" w:color="auto"/>
              <w:right w:val="nil"/>
            </w:tcBorders>
            <w:shd w:val="clear" w:color="auto" w:fill="auto"/>
            <w:vAlign w:val="bottom"/>
            <w:hideMark/>
          </w:tcPr>
          <w:p w14:paraId="068E0D62" w14:textId="77777777" w:rsidR="0010523F" w:rsidRPr="0010523F" w:rsidRDefault="0010523F" w:rsidP="0010523F">
            <w:pPr>
              <w:jc w:val="center"/>
              <w:rPr>
                <w:color w:val="000000"/>
                <w:sz w:val="22"/>
                <w:szCs w:val="22"/>
                <w:lang w:val="es-AR" w:eastAsia="es-AR"/>
              </w:rPr>
            </w:pPr>
            <w:r w:rsidRPr="0010523F">
              <w:rPr>
                <w:bCs/>
                <w:color w:val="000000"/>
                <w:sz w:val="22"/>
                <w:szCs w:val="22"/>
                <w:lang w:val="es-AR" w:eastAsia="es-AR"/>
              </w:rPr>
              <w:t xml:space="preserve">Transfe-rencia fondo de comercio </w:t>
            </w:r>
          </w:p>
        </w:tc>
        <w:tc>
          <w:tcPr>
            <w:tcW w:w="1164" w:type="dxa"/>
            <w:gridSpan w:val="2"/>
            <w:tcBorders>
              <w:top w:val="nil"/>
              <w:left w:val="nil"/>
              <w:bottom w:val="single" w:sz="8" w:space="0" w:color="auto"/>
              <w:right w:val="nil"/>
            </w:tcBorders>
            <w:shd w:val="clear" w:color="auto" w:fill="auto"/>
            <w:vAlign w:val="bottom"/>
            <w:hideMark/>
          </w:tcPr>
          <w:p w14:paraId="12A40E5E" w14:textId="77777777" w:rsidR="0010523F" w:rsidRPr="0010523F" w:rsidRDefault="0010523F" w:rsidP="0010523F">
            <w:pPr>
              <w:jc w:val="center"/>
              <w:rPr>
                <w:bCs/>
                <w:color w:val="000000"/>
                <w:sz w:val="22"/>
                <w:szCs w:val="22"/>
                <w:lang w:val="es-AR" w:eastAsia="es-AR"/>
              </w:rPr>
            </w:pPr>
            <w:r w:rsidRPr="0010523F">
              <w:rPr>
                <w:bCs/>
                <w:color w:val="000000"/>
                <w:sz w:val="22"/>
                <w:szCs w:val="22"/>
                <w:lang w:val="es-AR" w:eastAsia="es-AR"/>
              </w:rPr>
              <w:t>Aumentos del período/</w:t>
            </w:r>
          </w:p>
          <w:p w14:paraId="3AC7F49B" w14:textId="77777777" w:rsidR="0010523F" w:rsidRPr="0010523F" w:rsidRDefault="0010523F" w:rsidP="0010523F">
            <w:pPr>
              <w:jc w:val="center"/>
              <w:rPr>
                <w:bCs/>
                <w:color w:val="000000"/>
                <w:sz w:val="22"/>
                <w:szCs w:val="22"/>
                <w:lang w:val="es-AR" w:eastAsia="es-AR"/>
              </w:rPr>
            </w:pPr>
            <w:r w:rsidRPr="0010523F">
              <w:rPr>
                <w:bCs/>
                <w:color w:val="000000"/>
                <w:sz w:val="22"/>
                <w:szCs w:val="22"/>
                <w:lang w:val="es-AR" w:eastAsia="es-AR"/>
              </w:rPr>
              <w:t>ejercicio</w:t>
            </w:r>
          </w:p>
        </w:tc>
        <w:tc>
          <w:tcPr>
            <w:tcW w:w="1170" w:type="dxa"/>
            <w:tcBorders>
              <w:top w:val="nil"/>
              <w:left w:val="nil"/>
              <w:bottom w:val="single" w:sz="8" w:space="0" w:color="auto"/>
              <w:right w:val="nil"/>
            </w:tcBorders>
            <w:shd w:val="clear" w:color="auto" w:fill="auto"/>
            <w:vAlign w:val="bottom"/>
            <w:hideMark/>
          </w:tcPr>
          <w:p w14:paraId="23FFAA96" w14:textId="77777777" w:rsidR="0010523F" w:rsidRPr="0010523F" w:rsidRDefault="0010523F" w:rsidP="0010523F">
            <w:pPr>
              <w:jc w:val="center"/>
              <w:rPr>
                <w:bCs/>
                <w:color w:val="000000"/>
                <w:sz w:val="22"/>
                <w:szCs w:val="22"/>
                <w:lang w:val="es-AR" w:eastAsia="es-AR"/>
              </w:rPr>
            </w:pPr>
            <w:r w:rsidRPr="0010523F">
              <w:rPr>
                <w:bCs/>
                <w:color w:val="000000"/>
                <w:sz w:val="22"/>
                <w:szCs w:val="22"/>
                <w:lang w:val="es-AR" w:eastAsia="es-AR"/>
              </w:rPr>
              <w:t>Disminu-ciones del período/</w:t>
            </w:r>
          </w:p>
          <w:p w14:paraId="224012E3" w14:textId="77777777" w:rsidR="0010523F" w:rsidRPr="0010523F" w:rsidRDefault="0010523F" w:rsidP="0010523F">
            <w:pPr>
              <w:jc w:val="center"/>
              <w:rPr>
                <w:color w:val="000000"/>
                <w:sz w:val="22"/>
                <w:szCs w:val="22"/>
                <w:lang w:val="es-AR" w:eastAsia="es-AR"/>
              </w:rPr>
            </w:pPr>
            <w:r w:rsidRPr="0010523F">
              <w:rPr>
                <w:bCs/>
                <w:color w:val="000000"/>
                <w:sz w:val="22"/>
                <w:szCs w:val="22"/>
                <w:lang w:val="es-AR" w:eastAsia="es-AR"/>
              </w:rPr>
              <w:t>ejercicio</w:t>
            </w:r>
          </w:p>
        </w:tc>
        <w:tc>
          <w:tcPr>
            <w:tcW w:w="510" w:type="dxa"/>
            <w:tcBorders>
              <w:top w:val="nil"/>
              <w:left w:val="nil"/>
              <w:bottom w:val="single" w:sz="8" w:space="0" w:color="auto"/>
              <w:right w:val="nil"/>
            </w:tcBorders>
          </w:tcPr>
          <w:p w14:paraId="0F215281" w14:textId="77777777" w:rsidR="0010523F" w:rsidRPr="0010523F" w:rsidRDefault="0010523F" w:rsidP="0010523F">
            <w:pPr>
              <w:jc w:val="center"/>
              <w:rPr>
                <w:bCs/>
                <w:color w:val="000000"/>
                <w:sz w:val="22"/>
                <w:szCs w:val="22"/>
                <w:lang w:val="es-AR" w:eastAsia="es-AR"/>
              </w:rPr>
            </w:pPr>
          </w:p>
        </w:tc>
        <w:tc>
          <w:tcPr>
            <w:tcW w:w="1106" w:type="dxa"/>
            <w:tcBorders>
              <w:top w:val="nil"/>
              <w:left w:val="nil"/>
              <w:bottom w:val="single" w:sz="8" w:space="0" w:color="auto"/>
              <w:right w:val="nil"/>
            </w:tcBorders>
            <w:shd w:val="clear" w:color="auto" w:fill="auto"/>
            <w:vAlign w:val="bottom"/>
            <w:hideMark/>
          </w:tcPr>
          <w:p w14:paraId="0C66CFA5" w14:textId="77777777" w:rsidR="0010523F" w:rsidRPr="0010523F" w:rsidRDefault="0010523F" w:rsidP="0010523F">
            <w:pPr>
              <w:jc w:val="center"/>
              <w:rPr>
                <w:color w:val="000000"/>
                <w:sz w:val="22"/>
                <w:szCs w:val="22"/>
                <w:lang w:val="es-AR" w:eastAsia="es-AR"/>
              </w:rPr>
            </w:pPr>
            <w:r w:rsidRPr="0010523F">
              <w:rPr>
                <w:bCs/>
                <w:color w:val="000000"/>
                <w:sz w:val="22"/>
                <w:szCs w:val="22"/>
                <w:lang w:val="es-AR" w:eastAsia="es-AR"/>
              </w:rPr>
              <w:t>Efecto de conversión</w:t>
            </w:r>
          </w:p>
        </w:tc>
        <w:tc>
          <w:tcPr>
            <w:tcW w:w="1436" w:type="dxa"/>
            <w:gridSpan w:val="2"/>
            <w:tcBorders>
              <w:top w:val="nil"/>
              <w:left w:val="nil"/>
              <w:bottom w:val="single" w:sz="8" w:space="0" w:color="auto"/>
              <w:right w:val="nil"/>
            </w:tcBorders>
            <w:shd w:val="clear" w:color="auto" w:fill="auto"/>
            <w:vAlign w:val="bottom"/>
            <w:hideMark/>
          </w:tcPr>
          <w:p w14:paraId="5F38A9EE" w14:textId="77777777" w:rsidR="0010523F" w:rsidRPr="0010523F" w:rsidRDefault="0010523F" w:rsidP="0010523F">
            <w:pPr>
              <w:jc w:val="center"/>
              <w:rPr>
                <w:color w:val="000000"/>
                <w:sz w:val="22"/>
                <w:szCs w:val="22"/>
                <w:lang w:val="es-AR" w:eastAsia="es-AR"/>
              </w:rPr>
            </w:pPr>
            <w:r w:rsidRPr="0010523F">
              <w:rPr>
                <w:bCs/>
                <w:color w:val="000000"/>
                <w:sz w:val="22"/>
                <w:szCs w:val="22"/>
                <w:lang w:val="es-AR" w:eastAsia="es-AR"/>
              </w:rPr>
              <w:t>Saldos al finalizar el período/ ejercicio</w:t>
            </w:r>
          </w:p>
        </w:tc>
      </w:tr>
      <w:tr w:rsidR="0010523F" w:rsidRPr="0010523F" w14:paraId="3216C0D3" w14:textId="77777777" w:rsidTr="00774E7E">
        <w:trPr>
          <w:trHeight w:val="300"/>
        </w:trPr>
        <w:tc>
          <w:tcPr>
            <w:tcW w:w="2835" w:type="dxa"/>
            <w:tcBorders>
              <w:top w:val="single" w:sz="8" w:space="0" w:color="auto"/>
              <w:left w:val="nil"/>
              <w:bottom w:val="nil"/>
              <w:right w:val="nil"/>
            </w:tcBorders>
            <w:shd w:val="clear" w:color="auto" w:fill="auto"/>
            <w:vAlign w:val="center"/>
            <w:hideMark/>
          </w:tcPr>
          <w:p w14:paraId="637D07FF" w14:textId="77777777" w:rsidR="0010523F" w:rsidRPr="0010523F" w:rsidRDefault="0010523F" w:rsidP="0010523F">
            <w:pPr>
              <w:spacing w:line="180" w:lineRule="exact"/>
              <w:rPr>
                <w:color w:val="000000"/>
                <w:sz w:val="22"/>
                <w:szCs w:val="22"/>
                <w:lang w:val="es-AR" w:eastAsia="es-AR"/>
              </w:rPr>
            </w:pPr>
          </w:p>
        </w:tc>
        <w:tc>
          <w:tcPr>
            <w:tcW w:w="835" w:type="dxa"/>
            <w:tcBorders>
              <w:top w:val="single" w:sz="8" w:space="0" w:color="auto"/>
              <w:left w:val="nil"/>
              <w:bottom w:val="nil"/>
              <w:right w:val="nil"/>
            </w:tcBorders>
            <w:shd w:val="clear" w:color="auto" w:fill="auto"/>
            <w:vAlign w:val="center"/>
            <w:hideMark/>
          </w:tcPr>
          <w:p w14:paraId="4EA8BF71" w14:textId="77777777" w:rsidR="0010523F" w:rsidRPr="0010523F" w:rsidRDefault="0010523F" w:rsidP="0010523F">
            <w:pPr>
              <w:spacing w:line="180" w:lineRule="exact"/>
              <w:rPr>
                <w:color w:val="000000"/>
                <w:sz w:val="22"/>
                <w:szCs w:val="22"/>
                <w:lang w:val="es-AR" w:eastAsia="es-AR"/>
              </w:rPr>
            </w:pPr>
          </w:p>
        </w:tc>
        <w:tc>
          <w:tcPr>
            <w:tcW w:w="397" w:type="dxa"/>
            <w:tcBorders>
              <w:top w:val="single" w:sz="8" w:space="0" w:color="auto"/>
              <w:left w:val="nil"/>
              <w:bottom w:val="nil"/>
              <w:right w:val="nil"/>
            </w:tcBorders>
            <w:shd w:val="clear" w:color="auto" w:fill="auto"/>
            <w:vAlign w:val="center"/>
            <w:hideMark/>
          </w:tcPr>
          <w:p w14:paraId="3AC52AEB" w14:textId="77777777" w:rsidR="0010523F" w:rsidRPr="0010523F" w:rsidRDefault="0010523F" w:rsidP="0010523F">
            <w:pPr>
              <w:spacing w:line="180" w:lineRule="exact"/>
              <w:rPr>
                <w:color w:val="000000"/>
                <w:sz w:val="22"/>
                <w:szCs w:val="22"/>
                <w:lang w:val="es-AR" w:eastAsia="es-AR"/>
              </w:rPr>
            </w:pPr>
          </w:p>
        </w:tc>
        <w:tc>
          <w:tcPr>
            <w:tcW w:w="1178" w:type="dxa"/>
            <w:tcBorders>
              <w:top w:val="single" w:sz="8" w:space="0" w:color="auto"/>
              <w:left w:val="nil"/>
              <w:bottom w:val="nil"/>
              <w:right w:val="nil"/>
            </w:tcBorders>
            <w:shd w:val="clear" w:color="auto" w:fill="auto"/>
            <w:vAlign w:val="center"/>
            <w:hideMark/>
          </w:tcPr>
          <w:p w14:paraId="390C3D2F" w14:textId="77777777" w:rsidR="0010523F" w:rsidRPr="0010523F" w:rsidRDefault="0010523F" w:rsidP="0010523F">
            <w:pPr>
              <w:spacing w:line="180" w:lineRule="exact"/>
              <w:rPr>
                <w:color w:val="000000"/>
                <w:sz w:val="22"/>
                <w:szCs w:val="22"/>
                <w:lang w:val="es-AR" w:eastAsia="es-AR"/>
              </w:rPr>
            </w:pPr>
          </w:p>
        </w:tc>
        <w:tc>
          <w:tcPr>
            <w:tcW w:w="724" w:type="dxa"/>
            <w:tcBorders>
              <w:top w:val="single" w:sz="8" w:space="0" w:color="auto"/>
              <w:left w:val="nil"/>
              <w:bottom w:val="nil"/>
              <w:right w:val="nil"/>
            </w:tcBorders>
            <w:shd w:val="clear" w:color="auto" w:fill="auto"/>
            <w:vAlign w:val="center"/>
            <w:hideMark/>
          </w:tcPr>
          <w:p w14:paraId="2593F650" w14:textId="77777777" w:rsidR="0010523F" w:rsidRPr="0010523F" w:rsidRDefault="0010523F" w:rsidP="0010523F">
            <w:pPr>
              <w:spacing w:line="180" w:lineRule="exact"/>
              <w:rPr>
                <w:color w:val="000000"/>
                <w:sz w:val="22"/>
                <w:szCs w:val="22"/>
                <w:lang w:val="es-AR" w:eastAsia="es-AR"/>
              </w:rPr>
            </w:pPr>
          </w:p>
        </w:tc>
        <w:tc>
          <w:tcPr>
            <w:tcW w:w="440" w:type="dxa"/>
            <w:tcBorders>
              <w:top w:val="single" w:sz="8" w:space="0" w:color="auto"/>
              <w:left w:val="nil"/>
              <w:bottom w:val="nil"/>
              <w:right w:val="nil"/>
            </w:tcBorders>
          </w:tcPr>
          <w:p w14:paraId="385D246B" w14:textId="77777777" w:rsidR="0010523F" w:rsidRPr="0010523F" w:rsidRDefault="0010523F" w:rsidP="0010523F">
            <w:pPr>
              <w:spacing w:line="180" w:lineRule="exact"/>
              <w:rPr>
                <w:color w:val="000000"/>
                <w:sz w:val="22"/>
                <w:szCs w:val="22"/>
                <w:lang w:val="es-AR" w:eastAsia="es-AR"/>
              </w:rPr>
            </w:pPr>
          </w:p>
        </w:tc>
        <w:tc>
          <w:tcPr>
            <w:tcW w:w="1170" w:type="dxa"/>
            <w:tcBorders>
              <w:top w:val="single" w:sz="8" w:space="0" w:color="auto"/>
              <w:left w:val="nil"/>
              <w:bottom w:val="nil"/>
              <w:right w:val="nil"/>
            </w:tcBorders>
            <w:shd w:val="clear" w:color="auto" w:fill="auto"/>
            <w:vAlign w:val="center"/>
            <w:hideMark/>
          </w:tcPr>
          <w:p w14:paraId="684AF00A" w14:textId="77777777" w:rsidR="0010523F" w:rsidRPr="0010523F" w:rsidRDefault="0010523F" w:rsidP="0010523F">
            <w:pPr>
              <w:spacing w:line="180" w:lineRule="exact"/>
              <w:rPr>
                <w:color w:val="000000"/>
                <w:sz w:val="22"/>
                <w:szCs w:val="22"/>
                <w:lang w:val="es-AR" w:eastAsia="es-AR"/>
              </w:rPr>
            </w:pPr>
          </w:p>
        </w:tc>
        <w:tc>
          <w:tcPr>
            <w:tcW w:w="510" w:type="dxa"/>
            <w:tcBorders>
              <w:top w:val="single" w:sz="8" w:space="0" w:color="auto"/>
              <w:left w:val="nil"/>
              <w:bottom w:val="nil"/>
              <w:right w:val="nil"/>
            </w:tcBorders>
          </w:tcPr>
          <w:p w14:paraId="1DE7A14D" w14:textId="77777777" w:rsidR="0010523F" w:rsidRPr="0010523F" w:rsidRDefault="0010523F" w:rsidP="0010523F">
            <w:pPr>
              <w:spacing w:line="180" w:lineRule="exact"/>
              <w:rPr>
                <w:color w:val="000000"/>
                <w:sz w:val="22"/>
                <w:szCs w:val="22"/>
                <w:lang w:val="es-AR" w:eastAsia="es-AR"/>
              </w:rPr>
            </w:pPr>
          </w:p>
        </w:tc>
        <w:tc>
          <w:tcPr>
            <w:tcW w:w="1106" w:type="dxa"/>
            <w:tcBorders>
              <w:top w:val="single" w:sz="8" w:space="0" w:color="auto"/>
              <w:left w:val="nil"/>
              <w:bottom w:val="nil"/>
              <w:right w:val="nil"/>
            </w:tcBorders>
            <w:shd w:val="clear" w:color="auto" w:fill="auto"/>
            <w:vAlign w:val="center"/>
            <w:hideMark/>
          </w:tcPr>
          <w:p w14:paraId="5A23CF81" w14:textId="77777777" w:rsidR="0010523F" w:rsidRPr="0010523F" w:rsidRDefault="0010523F" w:rsidP="0010523F">
            <w:pPr>
              <w:spacing w:line="180" w:lineRule="exact"/>
              <w:rPr>
                <w:color w:val="000000"/>
                <w:sz w:val="22"/>
                <w:szCs w:val="22"/>
                <w:lang w:val="es-AR" w:eastAsia="es-AR"/>
              </w:rPr>
            </w:pPr>
          </w:p>
        </w:tc>
        <w:tc>
          <w:tcPr>
            <w:tcW w:w="1011" w:type="dxa"/>
            <w:tcBorders>
              <w:top w:val="single" w:sz="8" w:space="0" w:color="auto"/>
              <w:left w:val="nil"/>
              <w:bottom w:val="nil"/>
              <w:right w:val="nil"/>
            </w:tcBorders>
            <w:shd w:val="clear" w:color="auto" w:fill="auto"/>
            <w:vAlign w:val="center"/>
            <w:hideMark/>
          </w:tcPr>
          <w:p w14:paraId="2ADC5B1C" w14:textId="77777777" w:rsidR="0010523F" w:rsidRPr="0010523F" w:rsidRDefault="0010523F" w:rsidP="0010523F">
            <w:pPr>
              <w:spacing w:line="180" w:lineRule="exact"/>
              <w:rPr>
                <w:color w:val="000000"/>
                <w:sz w:val="22"/>
                <w:szCs w:val="22"/>
                <w:lang w:val="es-AR" w:eastAsia="es-AR"/>
              </w:rPr>
            </w:pPr>
          </w:p>
        </w:tc>
        <w:tc>
          <w:tcPr>
            <w:tcW w:w="425" w:type="dxa"/>
            <w:tcBorders>
              <w:top w:val="single" w:sz="8" w:space="0" w:color="auto"/>
              <w:left w:val="nil"/>
              <w:bottom w:val="nil"/>
              <w:right w:val="nil"/>
            </w:tcBorders>
            <w:shd w:val="clear" w:color="auto" w:fill="auto"/>
            <w:vAlign w:val="center"/>
            <w:hideMark/>
          </w:tcPr>
          <w:p w14:paraId="62A01371" w14:textId="77777777" w:rsidR="0010523F" w:rsidRPr="0010523F" w:rsidRDefault="0010523F" w:rsidP="0010523F">
            <w:pPr>
              <w:spacing w:line="180" w:lineRule="exact"/>
              <w:rPr>
                <w:color w:val="000000"/>
                <w:sz w:val="22"/>
                <w:szCs w:val="22"/>
                <w:lang w:val="es-AR" w:eastAsia="es-AR"/>
              </w:rPr>
            </w:pPr>
          </w:p>
        </w:tc>
      </w:tr>
      <w:tr w:rsidR="0010523F" w:rsidRPr="0010523F" w14:paraId="37138EDB" w14:textId="77777777" w:rsidTr="00774E7E">
        <w:trPr>
          <w:trHeight w:val="300"/>
        </w:trPr>
        <w:tc>
          <w:tcPr>
            <w:tcW w:w="3670" w:type="dxa"/>
            <w:gridSpan w:val="2"/>
            <w:tcBorders>
              <w:top w:val="nil"/>
              <w:left w:val="nil"/>
              <w:bottom w:val="nil"/>
              <w:right w:val="nil"/>
            </w:tcBorders>
            <w:shd w:val="clear" w:color="auto" w:fill="auto"/>
            <w:vAlign w:val="center"/>
            <w:hideMark/>
          </w:tcPr>
          <w:p w14:paraId="2DF03246"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Deducidas del activo corriente:</w:t>
            </w:r>
          </w:p>
        </w:tc>
        <w:tc>
          <w:tcPr>
            <w:tcW w:w="397" w:type="dxa"/>
            <w:tcBorders>
              <w:top w:val="nil"/>
              <w:left w:val="nil"/>
              <w:bottom w:val="nil"/>
              <w:right w:val="nil"/>
            </w:tcBorders>
            <w:shd w:val="clear" w:color="auto" w:fill="auto"/>
            <w:vAlign w:val="center"/>
            <w:hideMark/>
          </w:tcPr>
          <w:p w14:paraId="72C5762D" w14:textId="77777777" w:rsidR="0010523F" w:rsidRPr="0010523F" w:rsidRDefault="0010523F" w:rsidP="0010523F">
            <w:pPr>
              <w:jc w:val="both"/>
              <w:rPr>
                <w:color w:val="000000"/>
                <w:sz w:val="22"/>
                <w:szCs w:val="22"/>
                <w:highlight w:val="yellow"/>
                <w:lang w:val="es-AR" w:eastAsia="es-AR"/>
              </w:rPr>
            </w:pPr>
          </w:p>
        </w:tc>
        <w:tc>
          <w:tcPr>
            <w:tcW w:w="1178" w:type="dxa"/>
            <w:tcBorders>
              <w:top w:val="nil"/>
              <w:left w:val="nil"/>
              <w:bottom w:val="nil"/>
              <w:right w:val="nil"/>
            </w:tcBorders>
            <w:shd w:val="clear" w:color="auto" w:fill="auto"/>
            <w:vAlign w:val="center"/>
            <w:hideMark/>
          </w:tcPr>
          <w:p w14:paraId="1C5398E2" w14:textId="77777777" w:rsidR="0010523F" w:rsidRPr="0010523F" w:rsidRDefault="0010523F" w:rsidP="0010523F">
            <w:pPr>
              <w:jc w:val="both"/>
              <w:rPr>
                <w:color w:val="000000"/>
                <w:sz w:val="22"/>
                <w:szCs w:val="22"/>
                <w:highlight w:val="yellow"/>
                <w:lang w:val="es-AR" w:eastAsia="es-AR"/>
              </w:rPr>
            </w:pPr>
          </w:p>
        </w:tc>
        <w:tc>
          <w:tcPr>
            <w:tcW w:w="724" w:type="dxa"/>
            <w:tcBorders>
              <w:top w:val="nil"/>
              <w:left w:val="nil"/>
              <w:bottom w:val="nil"/>
              <w:right w:val="nil"/>
            </w:tcBorders>
            <w:shd w:val="clear" w:color="auto" w:fill="auto"/>
            <w:vAlign w:val="center"/>
            <w:hideMark/>
          </w:tcPr>
          <w:p w14:paraId="4E1CC561" w14:textId="77777777" w:rsidR="0010523F" w:rsidRPr="0010523F" w:rsidRDefault="0010523F" w:rsidP="0010523F">
            <w:pPr>
              <w:jc w:val="both"/>
              <w:rPr>
                <w:color w:val="000000"/>
                <w:sz w:val="22"/>
                <w:szCs w:val="22"/>
                <w:highlight w:val="yellow"/>
                <w:lang w:val="es-AR" w:eastAsia="es-AR"/>
              </w:rPr>
            </w:pPr>
          </w:p>
        </w:tc>
        <w:tc>
          <w:tcPr>
            <w:tcW w:w="440" w:type="dxa"/>
            <w:tcBorders>
              <w:top w:val="nil"/>
              <w:left w:val="nil"/>
              <w:bottom w:val="nil"/>
              <w:right w:val="nil"/>
            </w:tcBorders>
          </w:tcPr>
          <w:p w14:paraId="40CD0BAE" w14:textId="77777777" w:rsidR="0010523F" w:rsidRPr="0010523F" w:rsidRDefault="0010523F" w:rsidP="0010523F">
            <w:pPr>
              <w:jc w:val="both"/>
              <w:rPr>
                <w:color w:val="000000"/>
                <w:sz w:val="22"/>
                <w:szCs w:val="22"/>
                <w:highlight w:val="yellow"/>
                <w:lang w:val="es-AR" w:eastAsia="es-AR"/>
              </w:rPr>
            </w:pPr>
          </w:p>
        </w:tc>
        <w:tc>
          <w:tcPr>
            <w:tcW w:w="1170" w:type="dxa"/>
            <w:tcBorders>
              <w:top w:val="nil"/>
              <w:left w:val="nil"/>
              <w:bottom w:val="nil"/>
              <w:right w:val="nil"/>
            </w:tcBorders>
            <w:shd w:val="clear" w:color="auto" w:fill="auto"/>
            <w:vAlign w:val="center"/>
            <w:hideMark/>
          </w:tcPr>
          <w:p w14:paraId="1545EC34" w14:textId="77777777" w:rsidR="0010523F" w:rsidRPr="0010523F" w:rsidRDefault="0010523F" w:rsidP="0010523F">
            <w:pPr>
              <w:jc w:val="both"/>
              <w:rPr>
                <w:color w:val="000000"/>
                <w:sz w:val="22"/>
                <w:szCs w:val="22"/>
                <w:highlight w:val="yellow"/>
                <w:lang w:val="es-AR" w:eastAsia="es-AR"/>
              </w:rPr>
            </w:pPr>
          </w:p>
        </w:tc>
        <w:tc>
          <w:tcPr>
            <w:tcW w:w="510" w:type="dxa"/>
            <w:tcBorders>
              <w:top w:val="nil"/>
              <w:left w:val="nil"/>
              <w:bottom w:val="nil"/>
              <w:right w:val="nil"/>
            </w:tcBorders>
          </w:tcPr>
          <w:p w14:paraId="36834023" w14:textId="77777777" w:rsidR="0010523F" w:rsidRPr="0010523F" w:rsidRDefault="0010523F" w:rsidP="0010523F">
            <w:pPr>
              <w:jc w:val="both"/>
              <w:rPr>
                <w:color w:val="000000"/>
                <w:sz w:val="22"/>
                <w:szCs w:val="22"/>
                <w:highlight w:val="yellow"/>
                <w:lang w:val="es-AR" w:eastAsia="es-AR"/>
              </w:rPr>
            </w:pPr>
          </w:p>
        </w:tc>
        <w:tc>
          <w:tcPr>
            <w:tcW w:w="1106" w:type="dxa"/>
            <w:tcBorders>
              <w:top w:val="nil"/>
              <w:left w:val="nil"/>
              <w:bottom w:val="nil"/>
              <w:right w:val="nil"/>
            </w:tcBorders>
            <w:shd w:val="clear" w:color="auto" w:fill="auto"/>
            <w:vAlign w:val="center"/>
            <w:hideMark/>
          </w:tcPr>
          <w:p w14:paraId="64404FDC" w14:textId="77777777" w:rsidR="0010523F" w:rsidRPr="0010523F" w:rsidRDefault="0010523F" w:rsidP="0010523F">
            <w:pPr>
              <w:jc w:val="both"/>
              <w:rPr>
                <w:color w:val="000000"/>
                <w:sz w:val="22"/>
                <w:szCs w:val="22"/>
                <w:highlight w:val="yellow"/>
                <w:lang w:val="es-AR" w:eastAsia="es-AR"/>
              </w:rPr>
            </w:pPr>
          </w:p>
        </w:tc>
        <w:tc>
          <w:tcPr>
            <w:tcW w:w="1011" w:type="dxa"/>
            <w:tcBorders>
              <w:top w:val="nil"/>
              <w:left w:val="nil"/>
              <w:bottom w:val="nil"/>
              <w:right w:val="nil"/>
            </w:tcBorders>
            <w:shd w:val="clear" w:color="auto" w:fill="auto"/>
            <w:vAlign w:val="center"/>
            <w:hideMark/>
          </w:tcPr>
          <w:p w14:paraId="1244A043" w14:textId="77777777" w:rsidR="0010523F" w:rsidRPr="0010523F" w:rsidRDefault="0010523F" w:rsidP="0010523F">
            <w:pPr>
              <w:jc w:val="both"/>
              <w:rPr>
                <w:color w:val="000000"/>
                <w:sz w:val="22"/>
                <w:szCs w:val="22"/>
                <w:highlight w:val="yellow"/>
                <w:lang w:val="es-AR" w:eastAsia="es-AR"/>
              </w:rPr>
            </w:pPr>
          </w:p>
        </w:tc>
        <w:tc>
          <w:tcPr>
            <w:tcW w:w="425" w:type="dxa"/>
            <w:tcBorders>
              <w:top w:val="nil"/>
              <w:left w:val="nil"/>
              <w:bottom w:val="nil"/>
              <w:right w:val="nil"/>
            </w:tcBorders>
            <w:shd w:val="clear" w:color="auto" w:fill="auto"/>
            <w:vAlign w:val="center"/>
            <w:hideMark/>
          </w:tcPr>
          <w:p w14:paraId="6DC4EF0C" w14:textId="77777777" w:rsidR="0010523F" w:rsidRPr="0010523F" w:rsidRDefault="0010523F" w:rsidP="0010523F">
            <w:pPr>
              <w:jc w:val="both"/>
              <w:rPr>
                <w:color w:val="000000"/>
                <w:sz w:val="22"/>
                <w:szCs w:val="22"/>
                <w:highlight w:val="yellow"/>
                <w:lang w:val="es-AR" w:eastAsia="es-AR"/>
              </w:rPr>
            </w:pPr>
          </w:p>
        </w:tc>
      </w:tr>
      <w:tr w:rsidR="0010523F" w:rsidRPr="0010523F" w14:paraId="5C56033B" w14:textId="77777777" w:rsidTr="00774E7E">
        <w:trPr>
          <w:trHeight w:val="170"/>
        </w:trPr>
        <w:tc>
          <w:tcPr>
            <w:tcW w:w="2835" w:type="dxa"/>
            <w:tcBorders>
              <w:top w:val="nil"/>
              <w:left w:val="nil"/>
              <w:bottom w:val="nil"/>
              <w:right w:val="nil"/>
            </w:tcBorders>
            <w:shd w:val="clear" w:color="auto" w:fill="auto"/>
            <w:vAlign w:val="center"/>
            <w:hideMark/>
          </w:tcPr>
          <w:p w14:paraId="045C25D4" w14:textId="77777777" w:rsidR="0010523F" w:rsidRPr="0010523F" w:rsidRDefault="0010523F" w:rsidP="0010523F">
            <w:pPr>
              <w:spacing w:line="180" w:lineRule="exact"/>
              <w:rPr>
                <w:color w:val="000000"/>
                <w:sz w:val="22"/>
                <w:szCs w:val="22"/>
                <w:lang w:val="es-AR" w:eastAsia="es-AR"/>
              </w:rPr>
            </w:pPr>
          </w:p>
        </w:tc>
        <w:tc>
          <w:tcPr>
            <w:tcW w:w="835" w:type="dxa"/>
            <w:tcBorders>
              <w:top w:val="nil"/>
              <w:left w:val="nil"/>
              <w:bottom w:val="nil"/>
              <w:right w:val="nil"/>
            </w:tcBorders>
            <w:shd w:val="clear" w:color="auto" w:fill="auto"/>
            <w:vAlign w:val="center"/>
            <w:hideMark/>
          </w:tcPr>
          <w:p w14:paraId="5E23E751" w14:textId="77777777" w:rsidR="0010523F" w:rsidRPr="0010523F" w:rsidRDefault="0010523F" w:rsidP="0010523F">
            <w:pPr>
              <w:spacing w:line="180" w:lineRule="exact"/>
              <w:rPr>
                <w:color w:val="000000"/>
                <w:sz w:val="22"/>
                <w:szCs w:val="22"/>
                <w:highlight w:val="yellow"/>
                <w:lang w:val="es-AR" w:eastAsia="es-AR"/>
              </w:rPr>
            </w:pPr>
          </w:p>
        </w:tc>
        <w:tc>
          <w:tcPr>
            <w:tcW w:w="397" w:type="dxa"/>
            <w:tcBorders>
              <w:top w:val="nil"/>
              <w:left w:val="nil"/>
              <w:bottom w:val="nil"/>
              <w:right w:val="nil"/>
            </w:tcBorders>
            <w:shd w:val="clear" w:color="auto" w:fill="auto"/>
            <w:vAlign w:val="center"/>
            <w:hideMark/>
          </w:tcPr>
          <w:p w14:paraId="226DFC33" w14:textId="77777777" w:rsidR="0010523F" w:rsidRPr="0010523F" w:rsidRDefault="0010523F" w:rsidP="0010523F">
            <w:pPr>
              <w:spacing w:line="180" w:lineRule="exact"/>
              <w:rPr>
                <w:color w:val="000000"/>
                <w:sz w:val="22"/>
                <w:szCs w:val="22"/>
                <w:highlight w:val="yellow"/>
                <w:lang w:val="es-AR" w:eastAsia="es-AR"/>
              </w:rPr>
            </w:pPr>
          </w:p>
        </w:tc>
        <w:tc>
          <w:tcPr>
            <w:tcW w:w="1178" w:type="dxa"/>
            <w:tcBorders>
              <w:top w:val="nil"/>
              <w:left w:val="nil"/>
              <w:bottom w:val="nil"/>
              <w:right w:val="nil"/>
            </w:tcBorders>
            <w:shd w:val="clear" w:color="auto" w:fill="auto"/>
            <w:vAlign w:val="center"/>
            <w:hideMark/>
          </w:tcPr>
          <w:p w14:paraId="7070E7F9" w14:textId="77777777" w:rsidR="0010523F" w:rsidRPr="0010523F" w:rsidRDefault="0010523F" w:rsidP="0010523F">
            <w:pPr>
              <w:spacing w:line="180" w:lineRule="exact"/>
              <w:rPr>
                <w:color w:val="000000"/>
                <w:sz w:val="22"/>
                <w:szCs w:val="22"/>
                <w:highlight w:val="yellow"/>
                <w:lang w:val="es-AR" w:eastAsia="es-AR"/>
              </w:rPr>
            </w:pPr>
          </w:p>
        </w:tc>
        <w:tc>
          <w:tcPr>
            <w:tcW w:w="724" w:type="dxa"/>
            <w:tcBorders>
              <w:top w:val="nil"/>
              <w:left w:val="nil"/>
              <w:bottom w:val="nil"/>
              <w:right w:val="nil"/>
            </w:tcBorders>
            <w:shd w:val="clear" w:color="auto" w:fill="auto"/>
            <w:vAlign w:val="center"/>
            <w:hideMark/>
          </w:tcPr>
          <w:p w14:paraId="3680252F" w14:textId="77777777" w:rsidR="0010523F" w:rsidRPr="0010523F" w:rsidRDefault="0010523F" w:rsidP="0010523F">
            <w:pPr>
              <w:spacing w:line="180" w:lineRule="exact"/>
              <w:rPr>
                <w:color w:val="000000"/>
                <w:sz w:val="22"/>
                <w:szCs w:val="22"/>
                <w:highlight w:val="yellow"/>
                <w:lang w:val="es-AR" w:eastAsia="es-AR"/>
              </w:rPr>
            </w:pPr>
          </w:p>
        </w:tc>
        <w:tc>
          <w:tcPr>
            <w:tcW w:w="440" w:type="dxa"/>
            <w:tcBorders>
              <w:top w:val="nil"/>
              <w:left w:val="nil"/>
              <w:bottom w:val="nil"/>
              <w:right w:val="nil"/>
            </w:tcBorders>
          </w:tcPr>
          <w:p w14:paraId="6D1F3AF0" w14:textId="77777777" w:rsidR="0010523F" w:rsidRPr="0010523F" w:rsidRDefault="0010523F" w:rsidP="0010523F">
            <w:pPr>
              <w:spacing w:line="180" w:lineRule="exact"/>
              <w:rPr>
                <w:color w:val="000000"/>
                <w:sz w:val="22"/>
                <w:szCs w:val="22"/>
                <w:highlight w:val="yellow"/>
                <w:lang w:val="es-AR" w:eastAsia="es-AR"/>
              </w:rPr>
            </w:pPr>
          </w:p>
        </w:tc>
        <w:tc>
          <w:tcPr>
            <w:tcW w:w="1170" w:type="dxa"/>
            <w:tcBorders>
              <w:top w:val="nil"/>
              <w:left w:val="nil"/>
              <w:bottom w:val="nil"/>
              <w:right w:val="nil"/>
            </w:tcBorders>
            <w:shd w:val="clear" w:color="auto" w:fill="auto"/>
            <w:vAlign w:val="center"/>
            <w:hideMark/>
          </w:tcPr>
          <w:p w14:paraId="6224F23C" w14:textId="77777777" w:rsidR="0010523F" w:rsidRPr="0010523F" w:rsidRDefault="0010523F" w:rsidP="0010523F">
            <w:pPr>
              <w:spacing w:line="180" w:lineRule="exact"/>
              <w:rPr>
                <w:color w:val="000000"/>
                <w:sz w:val="22"/>
                <w:szCs w:val="22"/>
                <w:lang w:val="es-AR" w:eastAsia="es-AR"/>
              </w:rPr>
            </w:pPr>
          </w:p>
        </w:tc>
        <w:tc>
          <w:tcPr>
            <w:tcW w:w="510" w:type="dxa"/>
            <w:tcBorders>
              <w:top w:val="nil"/>
              <w:left w:val="nil"/>
              <w:bottom w:val="nil"/>
              <w:right w:val="nil"/>
            </w:tcBorders>
          </w:tcPr>
          <w:p w14:paraId="3E6DDB1D" w14:textId="77777777" w:rsidR="0010523F" w:rsidRPr="0010523F" w:rsidRDefault="0010523F" w:rsidP="0010523F">
            <w:pPr>
              <w:spacing w:line="180" w:lineRule="exact"/>
              <w:rPr>
                <w:color w:val="000000"/>
                <w:sz w:val="22"/>
                <w:szCs w:val="22"/>
                <w:highlight w:val="yellow"/>
                <w:lang w:val="es-AR" w:eastAsia="es-AR"/>
              </w:rPr>
            </w:pPr>
          </w:p>
        </w:tc>
        <w:tc>
          <w:tcPr>
            <w:tcW w:w="1106" w:type="dxa"/>
            <w:tcBorders>
              <w:top w:val="nil"/>
              <w:left w:val="nil"/>
              <w:bottom w:val="nil"/>
              <w:right w:val="nil"/>
            </w:tcBorders>
            <w:shd w:val="clear" w:color="auto" w:fill="auto"/>
            <w:vAlign w:val="center"/>
            <w:hideMark/>
          </w:tcPr>
          <w:p w14:paraId="177BAFEB" w14:textId="77777777" w:rsidR="0010523F" w:rsidRPr="0010523F" w:rsidRDefault="0010523F" w:rsidP="0010523F">
            <w:pPr>
              <w:spacing w:line="180" w:lineRule="exact"/>
              <w:rPr>
                <w:color w:val="000000"/>
                <w:sz w:val="22"/>
                <w:szCs w:val="22"/>
                <w:highlight w:val="yellow"/>
                <w:lang w:val="es-AR" w:eastAsia="es-AR"/>
              </w:rPr>
            </w:pPr>
          </w:p>
        </w:tc>
        <w:tc>
          <w:tcPr>
            <w:tcW w:w="1011" w:type="dxa"/>
            <w:tcBorders>
              <w:top w:val="nil"/>
              <w:left w:val="nil"/>
              <w:bottom w:val="nil"/>
              <w:right w:val="nil"/>
            </w:tcBorders>
            <w:shd w:val="clear" w:color="auto" w:fill="auto"/>
            <w:vAlign w:val="center"/>
            <w:hideMark/>
          </w:tcPr>
          <w:p w14:paraId="7F188FAD" w14:textId="77777777" w:rsidR="0010523F" w:rsidRPr="0010523F" w:rsidRDefault="0010523F" w:rsidP="0010523F">
            <w:pPr>
              <w:spacing w:line="180" w:lineRule="exact"/>
              <w:rPr>
                <w:color w:val="000000"/>
                <w:sz w:val="22"/>
                <w:szCs w:val="22"/>
                <w:lang w:val="es-AR" w:eastAsia="es-AR"/>
              </w:rPr>
            </w:pPr>
          </w:p>
        </w:tc>
        <w:tc>
          <w:tcPr>
            <w:tcW w:w="425" w:type="dxa"/>
            <w:tcBorders>
              <w:top w:val="nil"/>
              <w:left w:val="nil"/>
              <w:bottom w:val="nil"/>
              <w:right w:val="nil"/>
            </w:tcBorders>
            <w:shd w:val="clear" w:color="auto" w:fill="auto"/>
            <w:vAlign w:val="center"/>
            <w:hideMark/>
          </w:tcPr>
          <w:p w14:paraId="6C4CE0B9" w14:textId="77777777" w:rsidR="0010523F" w:rsidRPr="0010523F" w:rsidRDefault="0010523F" w:rsidP="0010523F">
            <w:pPr>
              <w:spacing w:line="180" w:lineRule="exact"/>
              <w:rPr>
                <w:color w:val="000000"/>
                <w:sz w:val="22"/>
                <w:szCs w:val="22"/>
                <w:lang w:val="es-AR" w:eastAsia="es-AR"/>
              </w:rPr>
            </w:pPr>
          </w:p>
        </w:tc>
      </w:tr>
      <w:tr w:rsidR="0010523F" w:rsidRPr="0010523F" w14:paraId="0955173A" w14:textId="77777777" w:rsidTr="00774E7E">
        <w:trPr>
          <w:trHeight w:val="300"/>
        </w:trPr>
        <w:tc>
          <w:tcPr>
            <w:tcW w:w="2835" w:type="dxa"/>
            <w:tcBorders>
              <w:top w:val="nil"/>
              <w:left w:val="nil"/>
              <w:bottom w:val="nil"/>
              <w:right w:val="nil"/>
            </w:tcBorders>
            <w:shd w:val="clear" w:color="auto" w:fill="auto"/>
            <w:vAlign w:val="center"/>
            <w:hideMark/>
          </w:tcPr>
          <w:p w14:paraId="6AC6C92B" w14:textId="77777777" w:rsidR="0010523F" w:rsidRPr="0010523F" w:rsidRDefault="0010523F" w:rsidP="0010523F">
            <w:pPr>
              <w:rPr>
                <w:color w:val="000000"/>
                <w:sz w:val="22"/>
                <w:szCs w:val="22"/>
                <w:lang w:val="es-AR" w:eastAsia="es-AR"/>
              </w:rPr>
            </w:pPr>
            <w:r w:rsidRPr="0010523F">
              <w:rPr>
                <w:bCs/>
                <w:color w:val="000000"/>
                <w:sz w:val="22"/>
                <w:szCs w:val="22"/>
                <w:lang w:val="es-AR" w:eastAsia="es-AR"/>
              </w:rPr>
              <w:t>Previsión para deudores incobrables</w:t>
            </w:r>
          </w:p>
        </w:tc>
        <w:tc>
          <w:tcPr>
            <w:tcW w:w="835" w:type="dxa"/>
            <w:tcBorders>
              <w:top w:val="nil"/>
              <w:left w:val="nil"/>
              <w:bottom w:val="nil"/>
              <w:right w:val="nil"/>
            </w:tcBorders>
            <w:shd w:val="clear" w:color="auto" w:fill="auto"/>
            <w:vAlign w:val="bottom"/>
            <w:hideMark/>
          </w:tcPr>
          <w:p w14:paraId="6720758C" w14:textId="77777777" w:rsidR="0010523F" w:rsidRPr="0010523F" w:rsidRDefault="0010523F" w:rsidP="0010523F">
            <w:pPr>
              <w:jc w:val="right"/>
              <w:rPr>
                <w:color w:val="000000"/>
                <w:sz w:val="22"/>
                <w:szCs w:val="22"/>
                <w:lang w:val="es-AR" w:eastAsia="es-AR"/>
              </w:rPr>
            </w:pPr>
            <w:r w:rsidRPr="0010523F">
              <w:rPr>
                <w:bCs/>
                <w:color w:val="000000"/>
                <w:sz w:val="22"/>
                <w:szCs w:val="22"/>
                <w:lang w:val="es-AR" w:eastAsia="es-AR"/>
              </w:rPr>
              <w:t>742</w:t>
            </w:r>
          </w:p>
        </w:tc>
        <w:tc>
          <w:tcPr>
            <w:tcW w:w="397" w:type="dxa"/>
            <w:tcBorders>
              <w:top w:val="nil"/>
              <w:left w:val="nil"/>
              <w:bottom w:val="nil"/>
              <w:right w:val="nil"/>
            </w:tcBorders>
            <w:shd w:val="clear" w:color="auto" w:fill="auto"/>
            <w:vAlign w:val="bottom"/>
            <w:hideMark/>
          </w:tcPr>
          <w:p w14:paraId="634A70AC" w14:textId="77777777" w:rsidR="0010523F" w:rsidRPr="0010523F" w:rsidRDefault="0010523F" w:rsidP="0010523F">
            <w:pPr>
              <w:jc w:val="right"/>
              <w:rPr>
                <w:color w:val="000000"/>
                <w:sz w:val="20"/>
                <w:szCs w:val="20"/>
                <w:lang w:val="es-AR" w:eastAsia="es-AR"/>
              </w:rPr>
            </w:pPr>
            <w:r w:rsidRPr="0010523F">
              <w:rPr>
                <w:bCs/>
                <w:color w:val="000000"/>
                <w:sz w:val="20"/>
                <w:szCs w:val="20"/>
                <w:lang w:val="es-AR" w:eastAsia="es-AR"/>
              </w:rPr>
              <w:t>(1)</w:t>
            </w:r>
          </w:p>
        </w:tc>
        <w:tc>
          <w:tcPr>
            <w:tcW w:w="1178" w:type="dxa"/>
            <w:tcBorders>
              <w:top w:val="nil"/>
              <w:left w:val="nil"/>
              <w:bottom w:val="nil"/>
              <w:right w:val="nil"/>
            </w:tcBorders>
            <w:shd w:val="clear" w:color="auto" w:fill="auto"/>
            <w:vAlign w:val="bottom"/>
            <w:hideMark/>
          </w:tcPr>
          <w:p w14:paraId="39D15724" w14:textId="77777777" w:rsidR="0010523F" w:rsidRPr="0010523F" w:rsidRDefault="0010523F" w:rsidP="0010523F">
            <w:pPr>
              <w:ind w:right="213"/>
              <w:jc w:val="right"/>
              <w:rPr>
                <w:color w:val="000000"/>
                <w:sz w:val="22"/>
                <w:szCs w:val="22"/>
                <w:lang w:val="es-AR" w:eastAsia="es-AR"/>
              </w:rPr>
            </w:pPr>
            <w:r w:rsidRPr="0010523F">
              <w:rPr>
                <w:bCs/>
                <w:color w:val="000000"/>
                <w:sz w:val="22"/>
                <w:szCs w:val="22"/>
                <w:lang w:val="es-AR" w:eastAsia="es-AR"/>
              </w:rPr>
              <w:t>-</w:t>
            </w:r>
          </w:p>
        </w:tc>
        <w:tc>
          <w:tcPr>
            <w:tcW w:w="724" w:type="dxa"/>
            <w:tcBorders>
              <w:top w:val="nil"/>
              <w:left w:val="nil"/>
              <w:bottom w:val="nil"/>
              <w:right w:val="nil"/>
            </w:tcBorders>
            <w:shd w:val="clear" w:color="auto" w:fill="auto"/>
            <w:vAlign w:val="bottom"/>
            <w:hideMark/>
          </w:tcPr>
          <w:p w14:paraId="2F08E60F" w14:textId="77777777" w:rsidR="0010523F" w:rsidRPr="0010523F" w:rsidRDefault="0010523F" w:rsidP="0010523F">
            <w:pPr>
              <w:jc w:val="right"/>
              <w:rPr>
                <w:color w:val="000000"/>
                <w:sz w:val="22"/>
                <w:szCs w:val="22"/>
                <w:lang w:val="es-AR" w:eastAsia="es-AR"/>
              </w:rPr>
            </w:pPr>
            <w:r w:rsidRPr="0010523F">
              <w:rPr>
                <w:bCs/>
                <w:color w:val="000000"/>
                <w:sz w:val="22"/>
                <w:szCs w:val="22"/>
                <w:lang w:val="es-AR" w:eastAsia="es-AR"/>
              </w:rPr>
              <w:t xml:space="preserve">128  </w:t>
            </w:r>
          </w:p>
        </w:tc>
        <w:tc>
          <w:tcPr>
            <w:tcW w:w="440" w:type="dxa"/>
            <w:tcBorders>
              <w:top w:val="nil"/>
              <w:left w:val="nil"/>
              <w:bottom w:val="nil"/>
              <w:right w:val="nil"/>
            </w:tcBorders>
            <w:vAlign w:val="bottom"/>
          </w:tcPr>
          <w:p w14:paraId="036E8919" w14:textId="77777777" w:rsidR="0010523F" w:rsidRPr="0010523F" w:rsidRDefault="0010523F" w:rsidP="0010523F">
            <w:pPr>
              <w:jc w:val="right"/>
              <w:rPr>
                <w:bCs/>
                <w:color w:val="000000"/>
                <w:sz w:val="20"/>
                <w:szCs w:val="20"/>
                <w:lang w:val="es-AR" w:eastAsia="es-AR"/>
              </w:rPr>
            </w:pPr>
            <w:r w:rsidRPr="0010523F">
              <w:rPr>
                <w:bCs/>
                <w:color w:val="000000"/>
                <w:sz w:val="20"/>
                <w:szCs w:val="20"/>
                <w:lang w:val="es-AR" w:eastAsia="es-AR"/>
              </w:rPr>
              <w:t>(2)</w:t>
            </w:r>
          </w:p>
        </w:tc>
        <w:tc>
          <w:tcPr>
            <w:tcW w:w="1170" w:type="dxa"/>
            <w:tcBorders>
              <w:top w:val="nil"/>
              <w:left w:val="nil"/>
              <w:bottom w:val="nil"/>
              <w:right w:val="nil"/>
            </w:tcBorders>
            <w:shd w:val="clear" w:color="auto" w:fill="auto"/>
            <w:vAlign w:val="bottom"/>
            <w:hideMark/>
          </w:tcPr>
          <w:p w14:paraId="428E27AC" w14:textId="77777777" w:rsidR="0010523F" w:rsidRPr="0010523F" w:rsidRDefault="0010523F" w:rsidP="0010523F">
            <w:pPr>
              <w:jc w:val="right"/>
              <w:rPr>
                <w:color w:val="000000"/>
                <w:sz w:val="22"/>
                <w:szCs w:val="22"/>
                <w:lang w:val="es-AR" w:eastAsia="es-AR"/>
              </w:rPr>
            </w:pPr>
            <w:r w:rsidRPr="0010523F">
              <w:rPr>
                <w:bCs/>
                <w:color w:val="000000"/>
                <w:sz w:val="22"/>
                <w:szCs w:val="22"/>
                <w:lang w:val="es-AR" w:eastAsia="es-AR"/>
              </w:rPr>
              <w:t>(     166)</w:t>
            </w:r>
          </w:p>
        </w:tc>
        <w:tc>
          <w:tcPr>
            <w:tcW w:w="510" w:type="dxa"/>
            <w:tcBorders>
              <w:top w:val="nil"/>
              <w:left w:val="nil"/>
              <w:bottom w:val="nil"/>
              <w:right w:val="nil"/>
            </w:tcBorders>
            <w:vAlign w:val="bottom"/>
          </w:tcPr>
          <w:p w14:paraId="6294D609" w14:textId="77777777" w:rsidR="0010523F" w:rsidRPr="0010523F" w:rsidRDefault="0010523F" w:rsidP="0010523F">
            <w:pPr>
              <w:jc w:val="right"/>
              <w:rPr>
                <w:bCs/>
                <w:color w:val="000000"/>
                <w:sz w:val="20"/>
                <w:szCs w:val="20"/>
                <w:lang w:val="es-AR" w:eastAsia="es-AR"/>
              </w:rPr>
            </w:pPr>
            <w:r w:rsidRPr="0010523F">
              <w:rPr>
                <w:bCs/>
                <w:color w:val="000000"/>
                <w:sz w:val="20"/>
                <w:szCs w:val="20"/>
                <w:lang w:val="es-AR" w:eastAsia="es-AR"/>
              </w:rPr>
              <w:t>(3)</w:t>
            </w:r>
          </w:p>
        </w:tc>
        <w:tc>
          <w:tcPr>
            <w:tcW w:w="1106" w:type="dxa"/>
            <w:tcBorders>
              <w:top w:val="nil"/>
              <w:left w:val="nil"/>
              <w:bottom w:val="nil"/>
              <w:right w:val="nil"/>
            </w:tcBorders>
            <w:shd w:val="clear" w:color="auto" w:fill="auto"/>
            <w:vAlign w:val="bottom"/>
            <w:hideMark/>
          </w:tcPr>
          <w:p w14:paraId="02E40E56" w14:textId="77777777" w:rsidR="0010523F" w:rsidRPr="0010523F" w:rsidRDefault="0010523F" w:rsidP="0010523F">
            <w:pPr>
              <w:jc w:val="right"/>
              <w:rPr>
                <w:color w:val="000000"/>
                <w:sz w:val="22"/>
                <w:szCs w:val="22"/>
                <w:lang w:val="es-AR" w:eastAsia="es-AR"/>
              </w:rPr>
            </w:pPr>
            <w:r w:rsidRPr="0010523F">
              <w:rPr>
                <w:bCs/>
                <w:color w:val="000000"/>
                <w:sz w:val="22"/>
                <w:szCs w:val="22"/>
                <w:lang w:val="es-AR" w:eastAsia="es-AR"/>
              </w:rPr>
              <w:t>371</w:t>
            </w:r>
          </w:p>
        </w:tc>
        <w:tc>
          <w:tcPr>
            <w:tcW w:w="1011" w:type="dxa"/>
            <w:tcBorders>
              <w:top w:val="nil"/>
              <w:left w:val="nil"/>
              <w:bottom w:val="nil"/>
              <w:right w:val="nil"/>
            </w:tcBorders>
            <w:shd w:val="clear" w:color="auto" w:fill="auto"/>
            <w:vAlign w:val="bottom"/>
            <w:hideMark/>
          </w:tcPr>
          <w:p w14:paraId="02069E69" w14:textId="77777777" w:rsidR="0010523F" w:rsidRPr="0010523F" w:rsidRDefault="0010523F" w:rsidP="0010523F">
            <w:pPr>
              <w:jc w:val="right"/>
              <w:rPr>
                <w:color w:val="000000"/>
                <w:sz w:val="22"/>
                <w:szCs w:val="22"/>
                <w:lang w:val="es-AR" w:eastAsia="es-AR"/>
              </w:rPr>
            </w:pPr>
            <w:r w:rsidRPr="0010523F">
              <w:rPr>
                <w:bCs/>
                <w:color w:val="000000"/>
                <w:sz w:val="22"/>
                <w:szCs w:val="22"/>
                <w:lang w:val="es-AR" w:eastAsia="es-AR"/>
              </w:rPr>
              <w:t>1.075</w:t>
            </w:r>
          </w:p>
        </w:tc>
        <w:tc>
          <w:tcPr>
            <w:tcW w:w="425" w:type="dxa"/>
            <w:tcBorders>
              <w:top w:val="nil"/>
              <w:left w:val="nil"/>
              <w:bottom w:val="nil"/>
              <w:right w:val="nil"/>
            </w:tcBorders>
            <w:shd w:val="clear" w:color="auto" w:fill="auto"/>
            <w:vAlign w:val="bottom"/>
            <w:hideMark/>
          </w:tcPr>
          <w:p w14:paraId="52F7D938" w14:textId="77777777" w:rsidR="0010523F" w:rsidRPr="0010523F" w:rsidRDefault="0010523F" w:rsidP="0010523F">
            <w:pPr>
              <w:jc w:val="right"/>
              <w:rPr>
                <w:color w:val="000000"/>
                <w:sz w:val="20"/>
                <w:szCs w:val="20"/>
                <w:lang w:val="es-AR" w:eastAsia="es-AR"/>
              </w:rPr>
            </w:pPr>
            <w:r w:rsidRPr="0010523F">
              <w:rPr>
                <w:bCs/>
                <w:color w:val="000000"/>
                <w:sz w:val="20"/>
                <w:szCs w:val="20"/>
                <w:lang w:val="es-AR" w:eastAsia="es-AR"/>
              </w:rPr>
              <w:t>(1)</w:t>
            </w:r>
          </w:p>
        </w:tc>
      </w:tr>
      <w:tr w:rsidR="0010523F" w:rsidRPr="0010523F" w14:paraId="03E761FF" w14:textId="77777777" w:rsidTr="00774E7E">
        <w:trPr>
          <w:trHeight w:val="300"/>
        </w:trPr>
        <w:tc>
          <w:tcPr>
            <w:tcW w:w="2835" w:type="dxa"/>
            <w:tcBorders>
              <w:top w:val="nil"/>
              <w:left w:val="nil"/>
              <w:bottom w:val="nil"/>
              <w:right w:val="nil"/>
            </w:tcBorders>
            <w:shd w:val="clear" w:color="auto" w:fill="auto"/>
            <w:vAlign w:val="center"/>
            <w:hideMark/>
          </w:tcPr>
          <w:p w14:paraId="2068CEC2" w14:textId="77777777" w:rsidR="0010523F" w:rsidRPr="0010523F" w:rsidRDefault="0010523F" w:rsidP="0010523F">
            <w:pPr>
              <w:jc w:val="both"/>
              <w:rPr>
                <w:color w:val="000000"/>
                <w:sz w:val="22"/>
                <w:szCs w:val="22"/>
                <w:lang w:val="es-AR" w:eastAsia="es-AR"/>
              </w:rPr>
            </w:pPr>
            <w:r w:rsidRPr="0010523F">
              <w:rPr>
                <w:color w:val="000000"/>
                <w:sz w:val="22"/>
                <w:szCs w:val="22"/>
                <w:lang w:val="es-AR" w:eastAsia="es-AR"/>
              </w:rPr>
              <w:t>Previsión por obsolescencia de materiales</w:t>
            </w:r>
          </w:p>
        </w:tc>
        <w:tc>
          <w:tcPr>
            <w:tcW w:w="835" w:type="dxa"/>
            <w:tcBorders>
              <w:top w:val="nil"/>
              <w:left w:val="nil"/>
              <w:bottom w:val="nil"/>
              <w:right w:val="nil"/>
            </w:tcBorders>
            <w:shd w:val="clear" w:color="auto" w:fill="auto"/>
            <w:vAlign w:val="bottom"/>
            <w:hideMark/>
          </w:tcPr>
          <w:p w14:paraId="6FD0B547"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 xml:space="preserve">   718</w:t>
            </w:r>
          </w:p>
        </w:tc>
        <w:tc>
          <w:tcPr>
            <w:tcW w:w="397" w:type="dxa"/>
            <w:tcBorders>
              <w:top w:val="nil"/>
              <w:left w:val="nil"/>
              <w:bottom w:val="nil"/>
              <w:right w:val="nil"/>
            </w:tcBorders>
            <w:shd w:val="clear" w:color="auto" w:fill="auto"/>
            <w:vAlign w:val="bottom"/>
            <w:hideMark/>
          </w:tcPr>
          <w:p w14:paraId="34C7459A" w14:textId="77777777" w:rsidR="0010523F" w:rsidRPr="0010523F" w:rsidRDefault="0010523F" w:rsidP="0010523F">
            <w:pPr>
              <w:jc w:val="right"/>
              <w:rPr>
                <w:color w:val="000000"/>
                <w:sz w:val="20"/>
                <w:szCs w:val="20"/>
                <w:lang w:val="es-AR" w:eastAsia="es-AR"/>
              </w:rPr>
            </w:pPr>
          </w:p>
        </w:tc>
        <w:tc>
          <w:tcPr>
            <w:tcW w:w="1178" w:type="dxa"/>
            <w:tcBorders>
              <w:top w:val="nil"/>
              <w:left w:val="nil"/>
              <w:bottom w:val="nil"/>
              <w:right w:val="nil"/>
            </w:tcBorders>
            <w:shd w:val="clear" w:color="auto" w:fill="auto"/>
            <w:vAlign w:val="bottom"/>
            <w:hideMark/>
          </w:tcPr>
          <w:p w14:paraId="5BC5F27F" w14:textId="77777777" w:rsidR="0010523F" w:rsidRPr="0010523F" w:rsidRDefault="0010523F" w:rsidP="0010523F">
            <w:pPr>
              <w:ind w:right="213"/>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724" w:type="dxa"/>
            <w:tcBorders>
              <w:top w:val="nil"/>
              <w:left w:val="nil"/>
              <w:bottom w:val="nil"/>
              <w:right w:val="nil"/>
            </w:tcBorders>
            <w:shd w:val="clear" w:color="auto" w:fill="auto"/>
            <w:vAlign w:val="bottom"/>
            <w:hideMark/>
          </w:tcPr>
          <w:p w14:paraId="53F4CBE6" w14:textId="77777777" w:rsidR="0010523F" w:rsidRPr="0010523F" w:rsidRDefault="0010523F" w:rsidP="0010523F">
            <w:pPr>
              <w:ind w:left="-212"/>
              <w:jc w:val="right"/>
              <w:rPr>
                <w:color w:val="000000"/>
                <w:sz w:val="22"/>
                <w:szCs w:val="22"/>
                <w:u w:val="single"/>
                <w:lang w:val="es-AR" w:eastAsia="es-AR"/>
              </w:rPr>
            </w:pPr>
            <w:r w:rsidRPr="0010523F">
              <w:rPr>
                <w:bCs/>
                <w:color w:val="000000"/>
                <w:sz w:val="22"/>
                <w:szCs w:val="22"/>
                <w:u w:val="single"/>
                <w:lang w:val="es-AR" w:eastAsia="es-AR"/>
              </w:rPr>
              <w:t xml:space="preserve">  58</w:t>
            </w:r>
          </w:p>
        </w:tc>
        <w:tc>
          <w:tcPr>
            <w:tcW w:w="440" w:type="dxa"/>
            <w:tcBorders>
              <w:top w:val="nil"/>
              <w:left w:val="nil"/>
              <w:bottom w:val="nil"/>
              <w:right w:val="nil"/>
            </w:tcBorders>
            <w:vAlign w:val="bottom"/>
          </w:tcPr>
          <w:p w14:paraId="713F279E" w14:textId="77777777" w:rsidR="0010523F" w:rsidRPr="0010523F" w:rsidRDefault="0010523F" w:rsidP="0010523F">
            <w:pPr>
              <w:jc w:val="right"/>
              <w:rPr>
                <w:bCs/>
                <w:color w:val="000000"/>
                <w:sz w:val="20"/>
                <w:szCs w:val="20"/>
                <w:u w:val="single"/>
                <w:lang w:val="es-AR" w:eastAsia="es-AR"/>
              </w:rPr>
            </w:pPr>
            <w:r w:rsidRPr="0010523F">
              <w:rPr>
                <w:bCs/>
                <w:color w:val="000000"/>
                <w:sz w:val="20"/>
                <w:szCs w:val="20"/>
                <w:lang w:val="es-AR" w:eastAsia="es-AR"/>
              </w:rPr>
              <w:t>(4)</w:t>
            </w:r>
          </w:p>
        </w:tc>
        <w:tc>
          <w:tcPr>
            <w:tcW w:w="1170" w:type="dxa"/>
            <w:tcBorders>
              <w:top w:val="nil"/>
              <w:left w:val="nil"/>
              <w:bottom w:val="nil"/>
              <w:right w:val="nil"/>
            </w:tcBorders>
            <w:shd w:val="clear" w:color="auto" w:fill="auto"/>
            <w:vAlign w:val="bottom"/>
            <w:hideMark/>
          </w:tcPr>
          <w:p w14:paraId="1EDFDC46"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510" w:type="dxa"/>
            <w:tcBorders>
              <w:top w:val="nil"/>
              <w:left w:val="nil"/>
              <w:bottom w:val="nil"/>
              <w:right w:val="nil"/>
            </w:tcBorders>
          </w:tcPr>
          <w:p w14:paraId="0D123749" w14:textId="77777777" w:rsidR="0010523F" w:rsidRPr="0010523F" w:rsidRDefault="0010523F" w:rsidP="0010523F">
            <w:pPr>
              <w:jc w:val="right"/>
              <w:rPr>
                <w:bCs/>
                <w:color w:val="000000"/>
                <w:sz w:val="22"/>
                <w:szCs w:val="22"/>
                <w:u w:val="single"/>
                <w:lang w:val="es-AR" w:eastAsia="es-AR"/>
              </w:rPr>
            </w:pPr>
          </w:p>
        </w:tc>
        <w:tc>
          <w:tcPr>
            <w:tcW w:w="1106" w:type="dxa"/>
            <w:tcBorders>
              <w:top w:val="nil"/>
              <w:left w:val="nil"/>
              <w:bottom w:val="nil"/>
              <w:right w:val="nil"/>
            </w:tcBorders>
            <w:shd w:val="clear" w:color="auto" w:fill="auto"/>
            <w:vAlign w:val="bottom"/>
            <w:hideMark/>
          </w:tcPr>
          <w:p w14:paraId="0EDF946F"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 xml:space="preserve">    392</w:t>
            </w:r>
          </w:p>
        </w:tc>
        <w:tc>
          <w:tcPr>
            <w:tcW w:w="1011" w:type="dxa"/>
            <w:tcBorders>
              <w:top w:val="nil"/>
              <w:left w:val="nil"/>
              <w:bottom w:val="nil"/>
              <w:right w:val="nil"/>
            </w:tcBorders>
            <w:shd w:val="clear" w:color="auto" w:fill="auto"/>
            <w:vAlign w:val="bottom"/>
            <w:hideMark/>
          </w:tcPr>
          <w:p w14:paraId="324E208B"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 xml:space="preserve"> 1.168</w:t>
            </w:r>
          </w:p>
        </w:tc>
        <w:tc>
          <w:tcPr>
            <w:tcW w:w="425" w:type="dxa"/>
            <w:tcBorders>
              <w:top w:val="nil"/>
              <w:left w:val="nil"/>
              <w:bottom w:val="nil"/>
              <w:right w:val="nil"/>
            </w:tcBorders>
            <w:shd w:val="clear" w:color="auto" w:fill="auto"/>
            <w:vAlign w:val="bottom"/>
            <w:hideMark/>
          </w:tcPr>
          <w:p w14:paraId="7A435380" w14:textId="77777777" w:rsidR="0010523F" w:rsidRPr="0010523F" w:rsidRDefault="0010523F" w:rsidP="0010523F">
            <w:pPr>
              <w:jc w:val="right"/>
              <w:rPr>
                <w:color w:val="000000"/>
                <w:sz w:val="20"/>
                <w:szCs w:val="20"/>
                <w:lang w:val="es-AR" w:eastAsia="es-AR"/>
              </w:rPr>
            </w:pPr>
          </w:p>
        </w:tc>
      </w:tr>
      <w:tr w:rsidR="0010523F" w:rsidRPr="0010523F" w14:paraId="08503504" w14:textId="77777777" w:rsidTr="00774E7E">
        <w:trPr>
          <w:trHeight w:val="170"/>
        </w:trPr>
        <w:tc>
          <w:tcPr>
            <w:tcW w:w="2835" w:type="dxa"/>
            <w:tcBorders>
              <w:top w:val="nil"/>
              <w:left w:val="nil"/>
              <w:bottom w:val="nil"/>
              <w:right w:val="nil"/>
            </w:tcBorders>
            <w:shd w:val="clear" w:color="auto" w:fill="auto"/>
            <w:vAlign w:val="center"/>
            <w:hideMark/>
          </w:tcPr>
          <w:p w14:paraId="5EA716ED" w14:textId="77777777" w:rsidR="0010523F" w:rsidRPr="0010523F" w:rsidRDefault="0010523F" w:rsidP="0010523F">
            <w:pPr>
              <w:spacing w:line="180" w:lineRule="exact"/>
              <w:rPr>
                <w:color w:val="000000"/>
                <w:sz w:val="22"/>
                <w:szCs w:val="22"/>
                <w:lang w:val="es-AR" w:eastAsia="es-AR"/>
              </w:rPr>
            </w:pPr>
          </w:p>
        </w:tc>
        <w:tc>
          <w:tcPr>
            <w:tcW w:w="835" w:type="dxa"/>
            <w:tcBorders>
              <w:top w:val="nil"/>
              <w:left w:val="nil"/>
              <w:bottom w:val="nil"/>
              <w:right w:val="nil"/>
            </w:tcBorders>
            <w:shd w:val="clear" w:color="auto" w:fill="auto"/>
            <w:vAlign w:val="bottom"/>
            <w:hideMark/>
          </w:tcPr>
          <w:p w14:paraId="4B277124" w14:textId="77777777" w:rsidR="0010523F" w:rsidRPr="0010523F" w:rsidRDefault="0010523F" w:rsidP="0010523F">
            <w:pPr>
              <w:spacing w:line="180" w:lineRule="exact"/>
              <w:jc w:val="right"/>
              <w:rPr>
                <w:color w:val="000000"/>
                <w:sz w:val="22"/>
                <w:szCs w:val="22"/>
                <w:lang w:val="es-AR" w:eastAsia="es-AR"/>
              </w:rPr>
            </w:pPr>
          </w:p>
        </w:tc>
        <w:tc>
          <w:tcPr>
            <w:tcW w:w="397" w:type="dxa"/>
            <w:tcBorders>
              <w:top w:val="nil"/>
              <w:left w:val="nil"/>
              <w:bottom w:val="nil"/>
              <w:right w:val="nil"/>
            </w:tcBorders>
            <w:shd w:val="clear" w:color="auto" w:fill="auto"/>
            <w:vAlign w:val="bottom"/>
            <w:hideMark/>
          </w:tcPr>
          <w:p w14:paraId="432C5343" w14:textId="77777777" w:rsidR="0010523F" w:rsidRPr="0010523F" w:rsidRDefault="0010523F" w:rsidP="0010523F">
            <w:pPr>
              <w:spacing w:line="180" w:lineRule="exact"/>
              <w:jc w:val="right"/>
              <w:rPr>
                <w:color w:val="000000"/>
                <w:sz w:val="20"/>
                <w:szCs w:val="20"/>
                <w:highlight w:val="yellow"/>
                <w:lang w:val="es-AR" w:eastAsia="es-AR"/>
              </w:rPr>
            </w:pPr>
          </w:p>
        </w:tc>
        <w:tc>
          <w:tcPr>
            <w:tcW w:w="1178" w:type="dxa"/>
            <w:tcBorders>
              <w:top w:val="nil"/>
              <w:left w:val="nil"/>
              <w:bottom w:val="nil"/>
              <w:right w:val="nil"/>
            </w:tcBorders>
            <w:shd w:val="clear" w:color="auto" w:fill="auto"/>
            <w:vAlign w:val="bottom"/>
            <w:hideMark/>
          </w:tcPr>
          <w:p w14:paraId="1682FB5F" w14:textId="77777777" w:rsidR="0010523F" w:rsidRPr="0010523F" w:rsidRDefault="0010523F" w:rsidP="0010523F">
            <w:pPr>
              <w:spacing w:line="180" w:lineRule="exact"/>
              <w:ind w:right="213"/>
              <w:jc w:val="right"/>
              <w:rPr>
                <w:color w:val="000000"/>
                <w:sz w:val="22"/>
                <w:szCs w:val="22"/>
                <w:lang w:val="es-AR" w:eastAsia="es-AR"/>
              </w:rPr>
            </w:pPr>
          </w:p>
        </w:tc>
        <w:tc>
          <w:tcPr>
            <w:tcW w:w="724" w:type="dxa"/>
            <w:tcBorders>
              <w:top w:val="nil"/>
              <w:left w:val="nil"/>
              <w:bottom w:val="nil"/>
              <w:right w:val="nil"/>
            </w:tcBorders>
            <w:shd w:val="clear" w:color="auto" w:fill="auto"/>
            <w:vAlign w:val="bottom"/>
            <w:hideMark/>
          </w:tcPr>
          <w:p w14:paraId="39F230AC" w14:textId="77777777" w:rsidR="0010523F" w:rsidRPr="0010523F" w:rsidRDefault="0010523F" w:rsidP="0010523F">
            <w:pPr>
              <w:spacing w:line="180" w:lineRule="exact"/>
              <w:ind w:left="-212"/>
              <w:jc w:val="right"/>
              <w:rPr>
                <w:color w:val="000000"/>
                <w:sz w:val="22"/>
                <w:szCs w:val="22"/>
                <w:lang w:val="es-AR" w:eastAsia="es-AR"/>
              </w:rPr>
            </w:pPr>
          </w:p>
        </w:tc>
        <w:tc>
          <w:tcPr>
            <w:tcW w:w="440" w:type="dxa"/>
            <w:tcBorders>
              <w:top w:val="nil"/>
              <w:left w:val="nil"/>
              <w:bottom w:val="nil"/>
              <w:right w:val="nil"/>
            </w:tcBorders>
          </w:tcPr>
          <w:p w14:paraId="1B420310" w14:textId="77777777" w:rsidR="0010523F" w:rsidRPr="0010523F" w:rsidRDefault="0010523F" w:rsidP="0010523F">
            <w:pPr>
              <w:spacing w:line="180" w:lineRule="exact"/>
              <w:jc w:val="right"/>
              <w:rPr>
                <w:color w:val="000000"/>
                <w:sz w:val="18"/>
                <w:szCs w:val="18"/>
                <w:lang w:val="es-AR" w:eastAsia="es-AR"/>
              </w:rPr>
            </w:pPr>
          </w:p>
        </w:tc>
        <w:tc>
          <w:tcPr>
            <w:tcW w:w="1170" w:type="dxa"/>
            <w:tcBorders>
              <w:top w:val="nil"/>
              <w:left w:val="nil"/>
              <w:bottom w:val="nil"/>
              <w:right w:val="nil"/>
            </w:tcBorders>
            <w:shd w:val="clear" w:color="auto" w:fill="auto"/>
            <w:vAlign w:val="bottom"/>
            <w:hideMark/>
          </w:tcPr>
          <w:p w14:paraId="4E7C48B7" w14:textId="77777777" w:rsidR="0010523F" w:rsidRPr="0010523F" w:rsidRDefault="0010523F" w:rsidP="0010523F">
            <w:pPr>
              <w:spacing w:line="180" w:lineRule="exact"/>
              <w:jc w:val="right"/>
              <w:rPr>
                <w:color w:val="000000"/>
                <w:sz w:val="22"/>
                <w:szCs w:val="22"/>
                <w:lang w:val="es-AR" w:eastAsia="es-AR"/>
              </w:rPr>
            </w:pPr>
          </w:p>
        </w:tc>
        <w:tc>
          <w:tcPr>
            <w:tcW w:w="510" w:type="dxa"/>
            <w:tcBorders>
              <w:top w:val="nil"/>
              <w:left w:val="nil"/>
              <w:bottom w:val="nil"/>
              <w:right w:val="nil"/>
            </w:tcBorders>
          </w:tcPr>
          <w:p w14:paraId="10FE6E66" w14:textId="77777777" w:rsidR="0010523F" w:rsidRPr="0010523F" w:rsidRDefault="0010523F" w:rsidP="0010523F">
            <w:pPr>
              <w:spacing w:line="180" w:lineRule="exact"/>
              <w:jc w:val="right"/>
              <w:rPr>
                <w:color w:val="000000"/>
                <w:sz w:val="22"/>
                <w:szCs w:val="22"/>
                <w:lang w:val="es-AR" w:eastAsia="es-AR"/>
              </w:rPr>
            </w:pPr>
          </w:p>
        </w:tc>
        <w:tc>
          <w:tcPr>
            <w:tcW w:w="1106" w:type="dxa"/>
            <w:tcBorders>
              <w:top w:val="nil"/>
              <w:left w:val="nil"/>
              <w:bottom w:val="nil"/>
              <w:right w:val="nil"/>
            </w:tcBorders>
            <w:shd w:val="clear" w:color="auto" w:fill="auto"/>
            <w:vAlign w:val="bottom"/>
            <w:hideMark/>
          </w:tcPr>
          <w:p w14:paraId="0BDDF156" w14:textId="77777777" w:rsidR="0010523F" w:rsidRPr="0010523F" w:rsidRDefault="0010523F" w:rsidP="0010523F">
            <w:pPr>
              <w:spacing w:line="180" w:lineRule="exact"/>
              <w:jc w:val="right"/>
              <w:rPr>
                <w:color w:val="000000"/>
                <w:sz w:val="22"/>
                <w:szCs w:val="22"/>
                <w:lang w:val="es-AR" w:eastAsia="es-AR"/>
              </w:rPr>
            </w:pPr>
          </w:p>
        </w:tc>
        <w:tc>
          <w:tcPr>
            <w:tcW w:w="1011" w:type="dxa"/>
            <w:tcBorders>
              <w:top w:val="nil"/>
              <w:left w:val="nil"/>
              <w:bottom w:val="nil"/>
              <w:right w:val="nil"/>
            </w:tcBorders>
            <w:shd w:val="clear" w:color="auto" w:fill="auto"/>
            <w:vAlign w:val="bottom"/>
            <w:hideMark/>
          </w:tcPr>
          <w:p w14:paraId="5C801F25" w14:textId="77777777" w:rsidR="0010523F" w:rsidRPr="0010523F" w:rsidRDefault="0010523F" w:rsidP="0010523F">
            <w:pPr>
              <w:spacing w:line="180" w:lineRule="exact"/>
              <w:jc w:val="right"/>
              <w:rPr>
                <w:color w:val="000000"/>
                <w:sz w:val="22"/>
                <w:szCs w:val="22"/>
                <w:lang w:val="es-AR" w:eastAsia="es-AR"/>
              </w:rPr>
            </w:pPr>
          </w:p>
        </w:tc>
        <w:tc>
          <w:tcPr>
            <w:tcW w:w="425" w:type="dxa"/>
            <w:tcBorders>
              <w:top w:val="nil"/>
              <w:left w:val="nil"/>
              <w:bottom w:val="nil"/>
              <w:right w:val="nil"/>
            </w:tcBorders>
            <w:shd w:val="clear" w:color="auto" w:fill="auto"/>
            <w:vAlign w:val="bottom"/>
            <w:hideMark/>
          </w:tcPr>
          <w:p w14:paraId="3A37C368" w14:textId="77777777" w:rsidR="0010523F" w:rsidRPr="0010523F" w:rsidRDefault="0010523F" w:rsidP="0010523F">
            <w:pPr>
              <w:spacing w:line="180" w:lineRule="exact"/>
              <w:jc w:val="right"/>
              <w:rPr>
                <w:color w:val="000000"/>
                <w:sz w:val="20"/>
                <w:szCs w:val="20"/>
                <w:lang w:val="es-AR" w:eastAsia="es-AR"/>
              </w:rPr>
            </w:pPr>
          </w:p>
        </w:tc>
      </w:tr>
      <w:tr w:rsidR="0010523F" w:rsidRPr="0010523F" w14:paraId="46892B0F" w14:textId="77777777" w:rsidTr="00774E7E">
        <w:trPr>
          <w:trHeight w:val="300"/>
        </w:trPr>
        <w:tc>
          <w:tcPr>
            <w:tcW w:w="2835" w:type="dxa"/>
            <w:tcBorders>
              <w:top w:val="nil"/>
              <w:left w:val="nil"/>
              <w:bottom w:val="nil"/>
              <w:right w:val="nil"/>
            </w:tcBorders>
            <w:shd w:val="clear" w:color="auto" w:fill="auto"/>
            <w:vAlign w:val="center"/>
            <w:hideMark/>
          </w:tcPr>
          <w:p w14:paraId="080E91D4"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Total deducidas del activo corriente</w:t>
            </w:r>
          </w:p>
        </w:tc>
        <w:tc>
          <w:tcPr>
            <w:tcW w:w="835" w:type="dxa"/>
            <w:tcBorders>
              <w:top w:val="nil"/>
              <w:left w:val="nil"/>
              <w:bottom w:val="nil"/>
              <w:right w:val="nil"/>
            </w:tcBorders>
            <w:shd w:val="clear" w:color="auto" w:fill="auto"/>
            <w:vAlign w:val="bottom"/>
            <w:hideMark/>
          </w:tcPr>
          <w:p w14:paraId="31FD2E69"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1.460</w:t>
            </w:r>
          </w:p>
        </w:tc>
        <w:tc>
          <w:tcPr>
            <w:tcW w:w="397" w:type="dxa"/>
            <w:tcBorders>
              <w:top w:val="nil"/>
              <w:left w:val="nil"/>
              <w:bottom w:val="nil"/>
              <w:right w:val="nil"/>
            </w:tcBorders>
            <w:shd w:val="clear" w:color="auto" w:fill="auto"/>
            <w:vAlign w:val="bottom"/>
            <w:hideMark/>
          </w:tcPr>
          <w:p w14:paraId="58EA350E" w14:textId="77777777" w:rsidR="0010523F" w:rsidRPr="0010523F" w:rsidRDefault="0010523F" w:rsidP="0010523F">
            <w:pPr>
              <w:jc w:val="right"/>
              <w:rPr>
                <w:color w:val="000000"/>
                <w:sz w:val="20"/>
                <w:szCs w:val="20"/>
                <w:highlight w:val="yellow"/>
                <w:lang w:val="es-AR" w:eastAsia="es-AR"/>
              </w:rPr>
            </w:pPr>
          </w:p>
        </w:tc>
        <w:tc>
          <w:tcPr>
            <w:tcW w:w="1178" w:type="dxa"/>
            <w:tcBorders>
              <w:top w:val="nil"/>
              <w:left w:val="nil"/>
              <w:bottom w:val="nil"/>
              <w:right w:val="nil"/>
            </w:tcBorders>
            <w:shd w:val="clear" w:color="auto" w:fill="auto"/>
            <w:vAlign w:val="bottom"/>
            <w:hideMark/>
          </w:tcPr>
          <w:p w14:paraId="2C023BCB" w14:textId="77777777" w:rsidR="0010523F" w:rsidRPr="0010523F" w:rsidRDefault="0010523F" w:rsidP="0010523F">
            <w:pPr>
              <w:ind w:right="213"/>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724" w:type="dxa"/>
            <w:tcBorders>
              <w:top w:val="nil"/>
              <w:left w:val="nil"/>
              <w:bottom w:val="nil"/>
              <w:right w:val="nil"/>
            </w:tcBorders>
            <w:shd w:val="clear" w:color="auto" w:fill="auto"/>
            <w:vAlign w:val="bottom"/>
            <w:hideMark/>
          </w:tcPr>
          <w:p w14:paraId="6CBCAF30" w14:textId="77777777" w:rsidR="0010523F" w:rsidRPr="0010523F" w:rsidRDefault="0010523F" w:rsidP="0010523F">
            <w:pPr>
              <w:ind w:left="-212"/>
              <w:jc w:val="right"/>
              <w:rPr>
                <w:color w:val="000000"/>
                <w:sz w:val="22"/>
                <w:szCs w:val="22"/>
                <w:u w:val="single"/>
                <w:lang w:val="es-AR" w:eastAsia="es-AR"/>
              </w:rPr>
            </w:pPr>
            <w:r w:rsidRPr="0010523F">
              <w:rPr>
                <w:bCs/>
                <w:color w:val="000000"/>
                <w:sz w:val="22"/>
                <w:szCs w:val="22"/>
                <w:u w:val="single"/>
                <w:lang w:val="es-AR" w:eastAsia="es-AR"/>
              </w:rPr>
              <w:t xml:space="preserve"> 186</w:t>
            </w:r>
          </w:p>
        </w:tc>
        <w:tc>
          <w:tcPr>
            <w:tcW w:w="440" w:type="dxa"/>
            <w:tcBorders>
              <w:top w:val="nil"/>
              <w:left w:val="nil"/>
              <w:bottom w:val="nil"/>
              <w:right w:val="nil"/>
            </w:tcBorders>
          </w:tcPr>
          <w:p w14:paraId="1D99B97A" w14:textId="77777777" w:rsidR="0010523F" w:rsidRPr="0010523F" w:rsidRDefault="0010523F" w:rsidP="0010523F">
            <w:pPr>
              <w:jc w:val="right"/>
              <w:rPr>
                <w:bCs/>
                <w:color w:val="000000"/>
                <w:sz w:val="22"/>
                <w:szCs w:val="22"/>
                <w:lang w:val="es-AR" w:eastAsia="es-AR"/>
              </w:rPr>
            </w:pPr>
          </w:p>
        </w:tc>
        <w:tc>
          <w:tcPr>
            <w:tcW w:w="1170" w:type="dxa"/>
            <w:tcBorders>
              <w:top w:val="nil"/>
              <w:left w:val="nil"/>
              <w:bottom w:val="nil"/>
              <w:right w:val="nil"/>
            </w:tcBorders>
            <w:shd w:val="clear" w:color="auto" w:fill="auto"/>
            <w:vAlign w:val="bottom"/>
            <w:hideMark/>
          </w:tcPr>
          <w:p w14:paraId="2D6D4CAC"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lang w:val="es-AR" w:eastAsia="es-AR"/>
              </w:rPr>
              <w:t>(</w:t>
            </w:r>
            <w:r w:rsidRPr="0010523F">
              <w:rPr>
                <w:bCs/>
                <w:color w:val="000000"/>
                <w:sz w:val="22"/>
                <w:szCs w:val="22"/>
                <w:u w:val="single"/>
                <w:lang w:val="es-AR" w:eastAsia="es-AR"/>
              </w:rPr>
              <w:t xml:space="preserve">    166</w:t>
            </w:r>
            <w:r w:rsidRPr="0010523F">
              <w:rPr>
                <w:bCs/>
                <w:color w:val="000000"/>
                <w:sz w:val="22"/>
                <w:szCs w:val="22"/>
                <w:lang w:val="es-AR" w:eastAsia="es-AR"/>
              </w:rPr>
              <w:t>)</w:t>
            </w:r>
          </w:p>
        </w:tc>
        <w:tc>
          <w:tcPr>
            <w:tcW w:w="510" w:type="dxa"/>
            <w:tcBorders>
              <w:top w:val="nil"/>
              <w:left w:val="nil"/>
              <w:bottom w:val="nil"/>
              <w:right w:val="nil"/>
            </w:tcBorders>
          </w:tcPr>
          <w:p w14:paraId="552323AC" w14:textId="77777777" w:rsidR="0010523F" w:rsidRPr="0010523F" w:rsidRDefault="0010523F" w:rsidP="0010523F">
            <w:pPr>
              <w:jc w:val="right"/>
              <w:rPr>
                <w:bCs/>
                <w:color w:val="000000"/>
                <w:sz w:val="22"/>
                <w:szCs w:val="22"/>
                <w:u w:val="single"/>
                <w:lang w:val="es-AR" w:eastAsia="es-AR"/>
              </w:rPr>
            </w:pPr>
          </w:p>
        </w:tc>
        <w:tc>
          <w:tcPr>
            <w:tcW w:w="1106" w:type="dxa"/>
            <w:tcBorders>
              <w:top w:val="nil"/>
              <w:left w:val="nil"/>
              <w:bottom w:val="nil"/>
              <w:right w:val="nil"/>
            </w:tcBorders>
            <w:shd w:val="clear" w:color="auto" w:fill="auto"/>
            <w:vAlign w:val="bottom"/>
            <w:hideMark/>
          </w:tcPr>
          <w:p w14:paraId="401C585F"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 xml:space="preserve">     763</w:t>
            </w:r>
          </w:p>
        </w:tc>
        <w:tc>
          <w:tcPr>
            <w:tcW w:w="1011" w:type="dxa"/>
            <w:tcBorders>
              <w:top w:val="nil"/>
              <w:left w:val="nil"/>
              <w:bottom w:val="nil"/>
              <w:right w:val="nil"/>
            </w:tcBorders>
            <w:shd w:val="clear" w:color="auto" w:fill="auto"/>
            <w:vAlign w:val="bottom"/>
            <w:hideMark/>
          </w:tcPr>
          <w:p w14:paraId="1A771B04"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 xml:space="preserve"> 2.243</w:t>
            </w:r>
          </w:p>
        </w:tc>
        <w:tc>
          <w:tcPr>
            <w:tcW w:w="425" w:type="dxa"/>
            <w:tcBorders>
              <w:top w:val="nil"/>
              <w:left w:val="nil"/>
              <w:bottom w:val="nil"/>
              <w:right w:val="nil"/>
            </w:tcBorders>
            <w:shd w:val="clear" w:color="auto" w:fill="auto"/>
            <w:vAlign w:val="bottom"/>
            <w:hideMark/>
          </w:tcPr>
          <w:p w14:paraId="66542E82" w14:textId="77777777" w:rsidR="0010523F" w:rsidRPr="0010523F" w:rsidRDefault="0010523F" w:rsidP="0010523F">
            <w:pPr>
              <w:jc w:val="right"/>
              <w:rPr>
                <w:color w:val="000000"/>
                <w:sz w:val="20"/>
                <w:szCs w:val="20"/>
                <w:lang w:val="es-AR" w:eastAsia="es-AR"/>
              </w:rPr>
            </w:pPr>
          </w:p>
        </w:tc>
      </w:tr>
      <w:tr w:rsidR="0010523F" w:rsidRPr="0010523F" w14:paraId="426809AC" w14:textId="77777777" w:rsidTr="00774E7E">
        <w:trPr>
          <w:trHeight w:val="170"/>
        </w:trPr>
        <w:tc>
          <w:tcPr>
            <w:tcW w:w="2835" w:type="dxa"/>
            <w:tcBorders>
              <w:top w:val="nil"/>
              <w:left w:val="nil"/>
              <w:bottom w:val="nil"/>
              <w:right w:val="nil"/>
            </w:tcBorders>
            <w:shd w:val="clear" w:color="auto" w:fill="auto"/>
            <w:vAlign w:val="center"/>
            <w:hideMark/>
          </w:tcPr>
          <w:p w14:paraId="1745C5A1" w14:textId="77777777" w:rsidR="0010523F" w:rsidRPr="0010523F" w:rsidRDefault="0010523F" w:rsidP="0010523F">
            <w:pPr>
              <w:spacing w:line="180" w:lineRule="exact"/>
              <w:rPr>
                <w:color w:val="000000"/>
                <w:sz w:val="22"/>
                <w:szCs w:val="22"/>
                <w:lang w:val="es-AR" w:eastAsia="es-AR"/>
              </w:rPr>
            </w:pPr>
          </w:p>
        </w:tc>
        <w:tc>
          <w:tcPr>
            <w:tcW w:w="835" w:type="dxa"/>
            <w:tcBorders>
              <w:top w:val="nil"/>
              <w:left w:val="nil"/>
              <w:bottom w:val="nil"/>
              <w:right w:val="nil"/>
            </w:tcBorders>
            <w:shd w:val="clear" w:color="auto" w:fill="auto"/>
            <w:vAlign w:val="center"/>
            <w:hideMark/>
          </w:tcPr>
          <w:p w14:paraId="6ABB6988" w14:textId="77777777" w:rsidR="0010523F" w:rsidRPr="0010523F" w:rsidRDefault="0010523F" w:rsidP="0010523F">
            <w:pPr>
              <w:spacing w:line="180" w:lineRule="exact"/>
              <w:rPr>
                <w:color w:val="000000"/>
                <w:sz w:val="22"/>
                <w:szCs w:val="22"/>
                <w:lang w:val="es-AR" w:eastAsia="es-AR"/>
              </w:rPr>
            </w:pPr>
          </w:p>
        </w:tc>
        <w:tc>
          <w:tcPr>
            <w:tcW w:w="397" w:type="dxa"/>
            <w:tcBorders>
              <w:top w:val="nil"/>
              <w:left w:val="nil"/>
              <w:bottom w:val="nil"/>
              <w:right w:val="nil"/>
            </w:tcBorders>
            <w:shd w:val="clear" w:color="auto" w:fill="auto"/>
            <w:vAlign w:val="center"/>
            <w:hideMark/>
          </w:tcPr>
          <w:p w14:paraId="32CC8184" w14:textId="77777777" w:rsidR="0010523F" w:rsidRPr="0010523F" w:rsidRDefault="0010523F" w:rsidP="0010523F">
            <w:pPr>
              <w:spacing w:line="180" w:lineRule="exact"/>
              <w:rPr>
                <w:color w:val="000000"/>
                <w:sz w:val="20"/>
                <w:szCs w:val="20"/>
                <w:highlight w:val="yellow"/>
                <w:lang w:val="es-AR" w:eastAsia="es-AR"/>
              </w:rPr>
            </w:pPr>
          </w:p>
        </w:tc>
        <w:tc>
          <w:tcPr>
            <w:tcW w:w="1178" w:type="dxa"/>
            <w:tcBorders>
              <w:top w:val="nil"/>
              <w:left w:val="nil"/>
              <w:bottom w:val="nil"/>
              <w:right w:val="nil"/>
            </w:tcBorders>
            <w:shd w:val="clear" w:color="auto" w:fill="auto"/>
            <w:vAlign w:val="center"/>
            <w:hideMark/>
          </w:tcPr>
          <w:p w14:paraId="6A916923" w14:textId="77777777" w:rsidR="0010523F" w:rsidRPr="0010523F" w:rsidRDefault="0010523F" w:rsidP="0010523F">
            <w:pPr>
              <w:spacing w:line="180" w:lineRule="exact"/>
              <w:ind w:right="213"/>
              <w:rPr>
                <w:color w:val="000000"/>
                <w:sz w:val="22"/>
                <w:szCs w:val="22"/>
                <w:lang w:val="es-AR" w:eastAsia="es-AR"/>
              </w:rPr>
            </w:pPr>
          </w:p>
        </w:tc>
        <w:tc>
          <w:tcPr>
            <w:tcW w:w="724" w:type="dxa"/>
            <w:tcBorders>
              <w:top w:val="nil"/>
              <w:left w:val="nil"/>
              <w:bottom w:val="nil"/>
              <w:right w:val="nil"/>
            </w:tcBorders>
            <w:shd w:val="clear" w:color="auto" w:fill="auto"/>
            <w:vAlign w:val="center"/>
            <w:hideMark/>
          </w:tcPr>
          <w:p w14:paraId="677B48CB" w14:textId="77777777" w:rsidR="0010523F" w:rsidRPr="0010523F" w:rsidRDefault="0010523F" w:rsidP="0010523F">
            <w:pPr>
              <w:spacing w:line="180" w:lineRule="exact"/>
              <w:ind w:left="-212"/>
              <w:rPr>
                <w:color w:val="000000"/>
                <w:sz w:val="22"/>
                <w:szCs w:val="22"/>
                <w:lang w:val="es-AR" w:eastAsia="es-AR"/>
              </w:rPr>
            </w:pPr>
          </w:p>
        </w:tc>
        <w:tc>
          <w:tcPr>
            <w:tcW w:w="440" w:type="dxa"/>
            <w:tcBorders>
              <w:top w:val="nil"/>
              <w:left w:val="nil"/>
              <w:bottom w:val="nil"/>
              <w:right w:val="nil"/>
            </w:tcBorders>
          </w:tcPr>
          <w:p w14:paraId="7FA46EDB" w14:textId="77777777" w:rsidR="0010523F" w:rsidRPr="0010523F" w:rsidRDefault="0010523F" w:rsidP="0010523F">
            <w:pPr>
              <w:spacing w:line="180" w:lineRule="exact"/>
              <w:rPr>
                <w:color w:val="000000"/>
                <w:sz w:val="22"/>
                <w:szCs w:val="22"/>
                <w:highlight w:val="yellow"/>
                <w:lang w:val="es-AR" w:eastAsia="es-AR"/>
              </w:rPr>
            </w:pPr>
          </w:p>
        </w:tc>
        <w:tc>
          <w:tcPr>
            <w:tcW w:w="1170" w:type="dxa"/>
            <w:tcBorders>
              <w:top w:val="nil"/>
              <w:left w:val="nil"/>
              <w:bottom w:val="nil"/>
              <w:right w:val="nil"/>
            </w:tcBorders>
            <w:shd w:val="clear" w:color="auto" w:fill="auto"/>
            <w:vAlign w:val="center"/>
            <w:hideMark/>
          </w:tcPr>
          <w:p w14:paraId="623DC2F7" w14:textId="77777777" w:rsidR="0010523F" w:rsidRPr="0010523F" w:rsidRDefault="0010523F" w:rsidP="0010523F">
            <w:pPr>
              <w:spacing w:line="180" w:lineRule="exact"/>
              <w:rPr>
                <w:color w:val="000000"/>
                <w:sz w:val="22"/>
                <w:szCs w:val="22"/>
                <w:lang w:val="es-AR" w:eastAsia="es-AR"/>
              </w:rPr>
            </w:pPr>
          </w:p>
        </w:tc>
        <w:tc>
          <w:tcPr>
            <w:tcW w:w="510" w:type="dxa"/>
            <w:tcBorders>
              <w:top w:val="nil"/>
              <w:left w:val="nil"/>
              <w:bottom w:val="nil"/>
              <w:right w:val="nil"/>
            </w:tcBorders>
          </w:tcPr>
          <w:p w14:paraId="766D5DDC" w14:textId="77777777" w:rsidR="0010523F" w:rsidRPr="0010523F" w:rsidRDefault="0010523F" w:rsidP="0010523F">
            <w:pPr>
              <w:spacing w:line="180" w:lineRule="exact"/>
              <w:rPr>
                <w:color w:val="000000"/>
                <w:sz w:val="22"/>
                <w:szCs w:val="22"/>
                <w:highlight w:val="yellow"/>
                <w:lang w:val="es-AR" w:eastAsia="es-AR"/>
              </w:rPr>
            </w:pPr>
          </w:p>
        </w:tc>
        <w:tc>
          <w:tcPr>
            <w:tcW w:w="1106" w:type="dxa"/>
            <w:tcBorders>
              <w:top w:val="nil"/>
              <w:left w:val="nil"/>
              <w:bottom w:val="nil"/>
              <w:right w:val="nil"/>
            </w:tcBorders>
            <w:shd w:val="clear" w:color="auto" w:fill="auto"/>
            <w:vAlign w:val="center"/>
            <w:hideMark/>
          </w:tcPr>
          <w:p w14:paraId="5CB6C2D9" w14:textId="77777777" w:rsidR="0010523F" w:rsidRPr="0010523F" w:rsidRDefault="0010523F" w:rsidP="0010523F">
            <w:pPr>
              <w:spacing w:line="180" w:lineRule="exact"/>
              <w:rPr>
                <w:color w:val="000000"/>
                <w:sz w:val="22"/>
                <w:szCs w:val="22"/>
                <w:lang w:val="es-AR" w:eastAsia="es-AR"/>
              </w:rPr>
            </w:pPr>
          </w:p>
        </w:tc>
        <w:tc>
          <w:tcPr>
            <w:tcW w:w="1011" w:type="dxa"/>
            <w:tcBorders>
              <w:top w:val="nil"/>
              <w:left w:val="nil"/>
              <w:bottom w:val="nil"/>
              <w:right w:val="nil"/>
            </w:tcBorders>
            <w:shd w:val="clear" w:color="auto" w:fill="auto"/>
            <w:vAlign w:val="center"/>
            <w:hideMark/>
          </w:tcPr>
          <w:p w14:paraId="6A5DD778" w14:textId="77777777" w:rsidR="0010523F" w:rsidRPr="0010523F" w:rsidRDefault="0010523F" w:rsidP="0010523F">
            <w:pPr>
              <w:spacing w:line="180" w:lineRule="exact"/>
              <w:rPr>
                <w:color w:val="000000"/>
                <w:sz w:val="22"/>
                <w:szCs w:val="22"/>
                <w:lang w:val="es-AR" w:eastAsia="es-AR"/>
              </w:rPr>
            </w:pPr>
          </w:p>
        </w:tc>
        <w:tc>
          <w:tcPr>
            <w:tcW w:w="425" w:type="dxa"/>
            <w:tcBorders>
              <w:top w:val="nil"/>
              <w:left w:val="nil"/>
              <w:bottom w:val="nil"/>
              <w:right w:val="nil"/>
            </w:tcBorders>
            <w:shd w:val="clear" w:color="auto" w:fill="auto"/>
            <w:vAlign w:val="center"/>
            <w:hideMark/>
          </w:tcPr>
          <w:p w14:paraId="2D20123A" w14:textId="77777777" w:rsidR="0010523F" w:rsidRPr="0010523F" w:rsidRDefault="0010523F" w:rsidP="0010523F">
            <w:pPr>
              <w:spacing w:line="180" w:lineRule="exact"/>
              <w:rPr>
                <w:color w:val="000000"/>
                <w:sz w:val="20"/>
                <w:szCs w:val="20"/>
                <w:lang w:val="es-AR" w:eastAsia="es-AR"/>
              </w:rPr>
            </w:pPr>
          </w:p>
        </w:tc>
      </w:tr>
      <w:tr w:rsidR="0010523F" w:rsidRPr="0010523F" w14:paraId="46F36E70" w14:textId="77777777" w:rsidTr="00774E7E">
        <w:trPr>
          <w:trHeight w:val="300"/>
        </w:trPr>
        <w:tc>
          <w:tcPr>
            <w:tcW w:w="3670" w:type="dxa"/>
            <w:gridSpan w:val="2"/>
            <w:tcBorders>
              <w:top w:val="nil"/>
              <w:left w:val="nil"/>
              <w:bottom w:val="nil"/>
              <w:right w:val="nil"/>
            </w:tcBorders>
            <w:shd w:val="clear" w:color="auto" w:fill="auto"/>
            <w:vAlign w:val="center"/>
            <w:hideMark/>
          </w:tcPr>
          <w:p w14:paraId="2C47D3B7"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Deducidas del activo no corriente:</w:t>
            </w:r>
          </w:p>
        </w:tc>
        <w:tc>
          <w:tcPr>
            <w:tcW w:w="397" w:type="dxa"/>
            <w:tcBorders>
              <w:top w:val="nil"/>
              <w:left w:val="nil"/>
              <w:bottom w:val="nil"/>
              <w:right w:val="nil"/>
            </w:tcBorders>
            <w:shd w:val="clear" w:color="auto" w:fill="auto"/>
            <w:vAlign w:val="center"/>
            <w:hideMark/>
          </w:tcPr>
          <w:p w14:paraId="5A91F137" w14:textId="77777777" w:rsidR="0010523F" w:rsidRPr="0010523F" w:rsidRDefault="0010523F" w:rsidP="0010523F">
            <w:pPr>
              <w:jc w:val="right"/>
              <w:rPr>
                <w:color w:val="000000"/>
                <w:sz w:val="20"/>
                <w:szCs w:val="20"/>
                <w:highlight w:val="yellow"/>
                <w:lang w:val="es-AR" w:eastAsia="es-AR"/>
              </w:rPr>
            </w:pPr>
          </w:p>
        </w:tc>
        <w:tc>
          <w:tcPr>
            <w:tcW w:w="1178" w:type="dxa"/>
            <w:tcBorders>
              <w:top w:val="nil"/>
              <w:left w:val="nil"/>
              <w:bottom w:val="nil"/>
              <w:right w:val="nil"/>
            </w:tcBorders>
            <w:shd w:val="clear" w:color="auto" w:fill="auto"/>
            <w:vAlign w:val="center"/>
            <w:hideMark/>
          </w:tcPr>
          <w:p w14:paraId="2BDFADBD" w14:textId="77777777" w:rsidR="0010523F" w:rsidRPr="0010523F" w:rsidRDefault="0010523F" w:rsidP="0010523F">
            <w:pPr>
              <w:ind w:right="213"/>
              <w:jc w:val="right"/>
              <w:rPr>
                <w:color w:val="000000"/>
                <w:sz w:val="22"/>
                <w:szCs w:val="22"/>
                <w:lang w:val="es-AR" w:eastAsia="es-AR"/>
              </w:rPr>
            </w:pPr>
          </w:p>
        </w:tc>
        <w:tc>
          <w:tcPr>
            <w:tcW w:w="724" w:type="dxa"/>
            <w:tcBorders>
              <w:top w:val="nil"/>
              <w:left w:val="nil"/>
              <w:bottom w:val="nil"/>
              <w:right w:val="nil"/>
            </w:tcBorders>
            <w:shd w:val="clear" w:color="auto" w:fill="auto"/>
            <w:vAlign w:val="center"/>
            <w:hideMark/>
          </w:tcPr>
          <w:p w14:paraId="3F18EE92" w14:textId="77777777" w:rsidR="0010523F" w:rsidRPr="0010523F" w:rsidRDefault="0010523F" w:rsidP="0010523F">
            <w:pPr>
              <w:ind w:left="-212"/>
              <w:jc w:val="right"/>
              <w:rPr>
                <w:color w:val="000000"/>
                <w:sz w:val="22"/>
                <w:szCs w:val="22"/>
                <w:lang w:val="es-AR" w:eastAsia="es-AR"/>
              </w:rPr>
            </w:pPr>
          </w:p>
        </w:tc>
        <w:tc>
          <w:tcPr>
            <w:tcW w:w="440" w:type="dxa"/>
            <w:tcBorders>
              <w:top w:val="nil"/>
              <w:left w:val="nil"/>
              <w:bottom w:val="nil"/>
              <w:right w:val="nil"/>
            </w:tcBorders>
          </w:tcPr>
          <w:p w14:paraId="3A8538BF" w14:textId="77777777" w:rsidR="0010523F" w:rsidRPr="0010523F" w:rsidRDefault="0010523F" w:rsidP="0010523F">
            <w:pPr>
              <w:jc w:val="right"/>
              <w:rPr>
                <w:color w:val="000000"/>
                <w:sz w:val="22"/>
                <w:szCs w:val="22"/>
                <w:highlight w:val="yellow"/>
                <w:lang w:val="es-AR" w:eastAsia="es-AR"/>
              </w:rPr>
            </w:pPr>
          </w:p>
        </w:tc>
        <w:tc>
          <w:tcPr>
            <w:tcW w:w="1170" w:type="dxa"/>
            <w:tcBorders>
              <w:top w:val="nil"/>
              <w:left w:val="nil"/>
              <w:bottom w:val="nil"/>
              <w:right w:val="nil"/>
            </w:tcBorders>
            <w:shd w:val="clear" w:color="auto" w:fill="auto"/>
            <w:vAlign w:val="center"/>
            <w:hideMark/>
          </w:tcPr>
          <w:p w14:paraId="23DECBD5" w14:textId="77777777" w:rsidR="0010523F" w:rsidRPr="0010523F" w:rsidRDefault="0010523F" w:rsidP="0010523F">
            <w:pPr>
              <w:jc w:val="right"/>
              <w:rPr>
                <w:color w:val="000000"/>
                <w:sz w:val="22"/>
                <w:szCs w:val="22"/>
                <w:lang w:val="es-AR" w:eastAsia="es-AR"/>
              </w:rPr>
            </w:pPr>
          </w:p>
        </w:tc>
        <w:tc>
          <w:tcPr>
            <w:tcW w:w="510" w:type="dxa"/>
            <w:tcBorders>
              <w:top w:val="nil"/>
              <w:left w:val="nil"/>
              <w:bottom w:val="nil"/>
              <w:right w:val="nil"/>
            </w:tcBorders>
          </w:tcPr>
          <w:p w14:paraId="353E790E" w14:textId="77777777" w:rsidR="0010523F" w:rsidRPr="0010523F" w:rsidRDefault="0010523F" w:rsidP="0010523F">
            <w:pPr>
              <w:jc w:val="right"/>
              <w:rPr>
                <w:color w:val="000000"/>
                <w:sz w:val="22"/>
                <w:szCs w:val="22"/>
                <w:highlight w:val="yellow"/>
                <w:lang w:val="es-AR" w:eastAsia="es-AR"/>
              </w:rPr>
            </w:pPr>
          </w:p>
        </w:tc>
        <w:tc>
          <w:tcPr>
            <w:tcW w:w="1106" w:type="dxa"/>
            <w:tcBorders>
              <w:top w:val="nil"/>
              <w:left w:val="nil"/>
              <w:bottom w:val="nil"/>
              <w:right w:val="nil"/>
            </w:tcBorders>
            <w:shd w:val="clear" w:color="auto" w:fill="auto"/>
            <w:vAlign w:val="center"/>
            <w:hideMark/>
          </w:tcPr>
          <w:p w14:paraId="38B6DD49" w14:textId="77777777" w:rsidR="0010523F" w:rsidRPr="0010523F" w:rsidRDefault="0010523F" w:rsidP="0010523F">
            <w:pPr>
              <w:jc w:val="right"/>
              <w:rPr>
                <w:color w:val="000000"/>
                <w:sz w:val="22"/>
                <w:szCs w:val="22"/>
                <w:lang w:val="es-AR" w:eastAsia="es-AR"/>
              </w:rPr>
            </w:pPr>
          </w:p>
        </w:tc>
        <w:tc>
          <w:tcPr>
            <w:tcW w:w="1011" w:type="dxa"/>
            <w:tcBorders>
              <w:top w:val="nil"/>
              <w:left w:val="nil"/>
              <w:bottom w:val="nil"/>
              <w:right w:val="nil"/>
            </w:tcBorders>
            <w:shd w:val="clear" w:color="auto" w:fill="auto"/>
            <w:vAlign w:val="center"/>
            <w:hideMark/>
          </w:tcPr>
          <w:p w14:paraId="5A541322" w14:textId="77777777" w:rsidR="0010523F" w:rsidRPr="0010523F" w:rsidRDefault="0010523F" w:rsidP="0010523F">
            <w:pPr>
              <w:jc w:val="right"/>
              <w:rPr>
                <w:color w:val="000000"/>
                <w:sz w:val="22"/>
                <w:szCs w:val="22"/>
                <w:lang w:val="es-AR" w:eastAsia="es-AR"/>
              </w:rPr>
            </w:pPr>
          </w:p>
        </w:tc>
        <w:tc>
          <w:tcPr>
            <w:tcW w:w="425" w:type="dxa"/>
            <w:tcBorders>
              <w:top w:val="nil"/>
              <w:left w:val="nil"/>
              <w:bottom w:val="nil"/>
              <w:right w:val="nil"/>
            </w:tcBorders>
            <w:shd w:val="clear" w:color="auto" w:fill="auto"/>
            <w:vAlign w:val="center"/>
            <w:hideMark/>
          </w:tcPr>
          <w:p w14:paraId="666EE27B" w14:textId="77777777" w:rsidR="0010523F" w:rsidRPr="0010523F" w:rsidRDefault="0010523F" w:rsidP="0010523F">
            <w:pPr>
              <w:jc w:val="right"/>
              <w:rPr>
                <w:color w:val="000000"/>
                <w:sz w:val="20"/>
                <w:szCs w:val="20"/>
                <w:lang w:val="es-AR" w:eastAsia="es-AR"/>
              </w:rPr>
            </w:pPr>
          </w:p>
        </w:tc>
      </w:tr>
      <w:tr w:rsidR="0010523F" w:rsidRPr="0010523F" w14:paraId="5D75F3ED" w14:textId="77777777" w:rsidTr="00774E7E">
        <w:trPr>
          <w:trHeight w:val="170"/>
        </w:trPr>
        <w:tc>
          <w:tcPr>
            <w:tcW w:w="2835" w:type="dxa"/>
            <w:tcBorders>
              <w:top w:val="nil"/>
              <w:left w:val="nil"/>
              <w:bottom w:val="nil"/>
              <w:right w:val="nil"/>
            </w:tcBorders>
            <w:shd w:val="clear" w:color="auto" w:fill="auto"/>
            <w:vAlign w:val="center"/>
            <w:hideMark/>
          </w:tcPr>
          <w:p w14:paraId="03E08BCB" w14:textId="77777777" w:rsidR="0010523F" w:rsidRPr="0010523F" w:rsidRDefault="0010523F" w:rsidP="0010523F">
            <w:pPr>
              <w:spacing w:line="180" w:lineRule="exact"/>
              <w:rPr>
                <w:color w:val="000000"/>
                <w:sz w:val="22"/>
                <w:szCs w:val="22"/>
                <w:lang w:val="es-AR" w:eastAsia="es-AR"/>
              </w:rPr>
            </w:pPr>
          </w:p>
        </w:tc>
        <w:tc>
          <w:tcPr>
            <w:tcW w:w="835" w:type="dxa"/>
            <w:tcBorders>
              <w:top w:val="nil"/>
              <w:left w:val="nil"/>
              <w:bottom w:val="nil"/>
              <w:right w:val="nil"/>
            </w:tcBorders>
            <w:shd w:val="clear" w:color="auto" w:fill="auto"/>
            <w:vAlign w:val="center"/>
            <w:hideMark/>
          </w:tcPr>
          <w:p w14:paraId="585F9AB3" w14:textId="77777777" w:rsidR="0010523F" w:rsidRPr="0010523F" w:rsidRDefault="0010523F" w:rsidP="0010523F">
            <w:pPr>
              <w:spacing w:line="180" w:lineRule="exact"/>
              <w:rPr>
                <w:color w:val="000000"/>
                <w:sz w:val="22"/>
                <w:szCs w:val="22"/>
                <w:lang w:val="es-AR" w:eastAsia="es-AR"/>
              </w:rPr>
            </w:pPr>
          </w:p>
        </w:tc>
        <w:tc>
          <w:tcPr>
            <w:tcW w:w="397" w:type="dxa"/>
            <w:tcBorders>
              <w:top w:val="nil"/>
              <w:left w:val="nil"/>
              <w:bottom w:val="nil"/>
              <w:right w:val="nil"/>
            </w:tcBorders>
            <w:shd w:val="clear" w:color="auto" w:fill="auto"/>
            <w:vAlign w:val="center"/>
            <w:hideMark/>
          </w:tcPr>
          <w:p w14:paraId="66BEA875" w14:textId="77777777" w:rsidR="0010523F" w:rsidRPr="0010523F" w:rsidRDefault="0010523F" w:rsidP="0010523F">
            <w:pPr>
              <w:spacing w:line="180" w:lineRule="exact"/>
              <w:rPr>
                <w:color w:val="000000"/>
                <w:sz w:val="20"/>
                <w:szCs w:val="20"/>
                <w:highlight w:val="yellow"/>
                <w:lang w:val="es-AR" w:eastAsia="es-AR"/>
              </w:rPr>
            </w:pPr>
          </w:p>
        </w:tc>
        <w:tc>
          <w:tcPr>
            <w:tcW w:w="1178" w:type="dxa"/>
            <w:tcBorders>
              <w:top w:val="nil"/>
              <w:left w:val="nil"/>
              <w:bottom w:val="nil"/>
              <w:right w:val="nil"/>
            </w:tcBorders>
            <w:shd w:val="clear" w:color="auto" w:fill="auto"/>
            <w:vAlign w:val="center"/>
            <w:hideMark/>
          </w:tcPr>
          <w:p w14:paraId="3B516BC4" w14:textId="77777777" w:rsidR="0010523F" w:rsidRPr="0010523F" w:rsidRDefault="0010523F" w:rsidP="0010523F">
            <w:pPr>
              <w:spacing w:line="180" w:lineRule="exact"/>
              <w:ind w:right="213"/>
              <w:rPr>
                <w:color w:val="000000"/>
                <w:sz w:val="22"/>
                <w:szCs w:val="22"/>
                <w:lang w:val="es-AR" w:eastAsia="es-AR"/>
              </w:rPr>
            </w:pPr>
          </w:p>
        </w:tc>
        <w:tc>
          <w:tcPr>
            <w:tcW w:w="724" w:type="dxa"/>
            <w:tcBorders>
              <w:top w:val="nil"/>
              <w:left w:val="nil"/>
              <w:bottom w:val="nil"/>
              <w:right w:val="nil"/>
            </w:tcBorders>
            <w:shd w:val="clear" w:color="auto" w:fill="auto"/>
            <w:vAlign w:val="center"/>
            <w:hideMark/>
          </w:tcPr>
          <w:p w14:paraId="3DA0212F" w14:textId="77777777" w:rsidR="0010523F" w:rsidRPr="0010523F" w:rsidRDefault="0010523F" w:rsidP="0010523F">
            <w:pPr>
              <w:spacing w:line="180" w:lineRule="exact"/>
              <w:ind w:left="-212"/>
              <w:rPr>
                <w:color w:val="000000"/>
                <w:sz w:val="22"/>
                <w:szCs w:val="22"/>
                <w:lang w:val="es-AR" w:eastAsia="es-AR"/>
              </w:rPr>
            </w:pPr>
          </w:p>
        </w:tc>
        <w:tc>
          <w:tcPr>
            <w:tcW w:w="440" w:type="dxa"/>
            <w:tcBorders>
              <w:top w:val="nil"/>
              <w:left w:val="nil"/>
              <w:bottom w:val="nil"/>
              <w:right w:val="nil"/>
            </w:tcBorders>
          </w:tcPr>
          <w:p w14:paraId="4325DFE4" w14:textId="77777777" w:rsidR="0010523F" w:rsidRPr="0010523F" w:rsidRDefault="0010523F" w:rsidP="0010523F">
            <w:pPr>
              <w:spacing w:line="180" w:lineRule="exact"/>
              <w:rPr>
                <w:color w:val="000000"/>
                <w:sz w:val="22"/>
                <w:szCs w:val="22"/>
                <w:highlight w:val="yellow"/>
                <w:lang w:val="es-AR" w:eastAsia="es-AR"/>
              </w:rPr>
            </w:pPr>
          </w:p>
        </w:tc>
        <w:tc>
          <w:tcPr>
            <w:tcW w:w="1170" w:type="dxa"/>
            <w:tcBorders>
              <w:top w:val="nil"/>
              <w:left w:val="nil"/>
              <w:bottom w:val="nil"/>
              <w:right w:val="nil"/>
            </w:tcBorders>
            <w:shd w:val="clear" w:color="auto" w:fill="auto"/>
            <w:vAlign w:val="center"/>
            <w:hideMark/>
          </w:tcPr>
          <w:p w14:paraId="1F0B032C" w14:textId="77777777" w:rsidR="0010523F" w:rsidRPr="0010523F" w:rsidRDefault="0010523F" w:rsidP="0010523F">
            <w:pPr>
              <w:spacing w:line="180" w:lineRule="exact"/>
              <w:rPr>
                <w:color w:val="000000"/>
                <w:sz w:val="22"/>
                <w:szCs w:val="22"/>
                <w:lang w:val="es-AR" w:eastAsia="es-AR"/>
              </w:rPr>
            </w:pPr>
          </w:p>
        </w:tc>
        <w:tc>
          <w:tcPr>
            <w:tcW w:w="510" w:type="dxa"/>
            <w:tcBorders>
              <w:top w:val="nil"/>
              <w:left w:val="nil"/>
              <w:bottom w:val="nil"/>
              <w:right w:val="nil"/>
            </w:tcBorders>
          </w:tcPr>
          <w:p w14:paraId="0485848E" w14:textId="77777777" w:rsidR="0010523F" w:rsidRPr="0010523F" w:rsidRDefault="0010523F" w:rsidP="0010523F">
            <w:pPr>
              <w:spacing w:line="180" w:lineRule="exact"/>
              <w:rPr>
                <w:color w:val="000000"/>
                <w:sz w:val="22"/>
                <w:szCs w:val="22"/>
                <w:highlight w:val="yellow"/>
                <w:lang w:val="es-AR" w:eastAsia="es-AR"/>
              </w:rPr>
            </w:pPr>
          </w:p>
        </w:tc>
        <w:tc>
          <w:tcPr>
            <w:tcW w:w="1106" w:type="dxa"/>
            <w:tcBorders>
              <w:top w:val="nil"/>
              <w:left w:val="nil"/>
              <w:bottom w:val="nil"/>
              <w:right w:val="nil"/>
            </w:tcBorders>
            <w:shd w:val="clear" w:color="auto" w:fill="auto"/>
            <w:vAlign w:val="center"/>
            <w:hideMark/>
          </w:tcPr>
          <w:p w14:paraId="113AFFB3" w14:textId="77777777" w:rsidR="0010523F" w:rsidRPr="0010523F" w:rsidRDefault="0010523F" w:rsidP="0010523F">
            <w:pPr>
              <w:spacing w:line="180" w:lineRule="exact"/>
              <w:rPr>
                <w:color w:val="000000"/>
                <w:sz w:val="22"/>
                <w:szCs w:val="22"/>
                <w:lang w:val="es-AR" w:eastAsia="es-AR"/>
              </w:rPr>
            </w:pPr>
          </w:p>
        </w:tc>
        <w:tc>
          <w:tcPr>
            <w:tcW w:w="1011" w:type="dxa"/>
            <w:tcBorders>
              <w:top w:val="nil"/>
              <w:left w:val="nil"/>
              <w:bottom w:val="nil"/>
              <w:right w:val="nil"/>
            </w:tcBorders>
            <w:shd w:val="clear" w:color="auto" w:fill="auto"/>
            <w:vAlign w:val="center"/>
            <w:hideMark/>
          </w:tcPr>
          <w:p w14:paraId="1F702DC7" w14:textId="77777777" w:rsidR="0010523F" w:rsidRPr="0010523F" w:rsidRDefault="0010523F" w:rsidP="0010523F">
            <w:pPr>
              <w:spacing w:line="180" w:lineRule="exact"/>
              <w:rPr>
                <w:color w:val="000000"/>
                <w:sz w:val="22"/>
                <w:szCs w:val="22"/>
                <w:lang w:val="es-AR" w:eastAsia="es-AR"/>
              </w:rPr>
            </w:pPr>
          </w:p>
        </w:tc>
        <w:tc>
          <w:tcPr>
            <w:tcW w:w="425" w:type="dxa"/>
            <w:tcBorders>
              <w:top w:val="nil"/>
              <w:left w:val="nil"/>
              <w:bottom w:val="nil"/>
              <w:right w:val="nil"/>
            </w:tcBorders>
            <w:shd w:val="clear" w:color="auto" w:fill="auto"/>
            <w:vAlign w:val="center"/>
            <w:hideMark/>
          </w:tcPr>
          <w:p w14:paraId="2D98E42A" w14:textId="77777777" w:rsidR="0010523F" w:rsidRPr="0010523F" w:rsidRDefault="0010523F" w:rsidP="0010523F">
            <w:pPr>
              <w:spacing w:line="180" w:lineRule="exact"/>
              <w:rPr>
                <w:color w:val="000000"/>
                <w:sz w:val="20"/>
                <w:szCs w:val="20"/>
                <w:lang w:val="es-AR" w:eastAsia="es-AR"/>
              </w:rPr>
            </w:pPr>
          </w:p>
        </w:tc>
      </w:tr>
      <w:tr w:rsidR="0010523F" w:rsidRPr="0010523F" w14:paraId="2638D802" w14:textId="77777777" w:rsidTr="00774E7E">
        <w:trPr>
          <w:trHeight w:val="300"/>
        </w:trPr>
        <w:tc>
          <w:tcPr>
            <w:tcW w:w="2835" w:type="dxa"/>
            <w:tcBorders>
              <w:top w:val="nil"/>
              <w:left w:val="nil"/>
              <w:bottom w:val="nil"/>
              <w:right w:val="nil"/>
            </w:tcBorders>
            <w:shd w:val="clear" w:color="auto" w:fill="auto"/>
            <w:vAlign w:val="center"/>
            <w:hideMark/>
          </w:tcPr>
          <w:p w14:paraId="111BAEAE"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Previsión para deterioro de activos no financieros</w:t>
            </w:r>
          </w:p>
        </w:tc>
        <w:tc>
          <w:tcPr>
            <w:tcW w:w="835" w:type="dxa"/>
            <w:tcBorders>
              <w:top w:val="nil"/>
              <w:left w:val="nil"/>
              <w:bottom w:val="nil"/>
              <w:right w:val="nil"/>
            </w:tcBorders>
            <w:shd w:val="clear" w:color="auto" w:fill="auto"/>
            <w:vAlign w:val="bottom"/>
            <w:hideMark/>
          </w:tcPr>
          <w:p w14:paraId="6E090C0B"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20.535</w:t>
            </w:r>
          </w:p>
        </w:tc>
        <w:tc>
          <w:tcPr>
            <w:tcW w:w="397" w:type="dxa"/>
            <w:tcBorders>
              <w:top w:val="nil"/>
              <w:left w:val="nil"/>
              <w:bottom w:val="nil"/>
              <w:right w:val="nil"/>
            </w:tcBorders>
            <w:shd w:val="clear" w:color="auto" w:fill="auto"/>
            <w:vAlign w:val="bottom"/>
            <w:hideMark/>
          </w:tcPr>
          <w:p w14:paraId="6C200318" w14:textId="77777777" w:rsidR="0010523F" w:rsidRPr="0010523F" w:rsidRDefault="0010523F" w:rsidP="0010523F">
            <w:pPr>
              <w:jc w:val="right"/>
              <w:rPr>
                <w:color w:val="000000"/>
                <w:sz w:val="20"/>
                <w:szCs w:val="20"/>
                <w:lang w:val="es-AR" w:eastAsia="es-AR"/>
              </w:rPr>
            </w:pPr>
            <w:r w:rsidRPr="0010523F">
              <w:rPr>
                <w:bCs/>
                <w:color w:val="000000"/>
                <w:sz w:val="20"/>
                <w:szCs w:val="20"/>
                <w:lang w:val="es-AR" w:eastAsia="es-AR"/>
              </w:rPr>
              <w:t>(5)</w:t>
            </w:r>
          </w:p>
        </w:tc>
        <w:tc>
          <w:tcPr>
            <w:tcW w:w="1178" w:type="dxa"/>
            <w:tcBorders>
              <w:top w:val="nil"/>
              <w:left w:val="nil"/>
              <w:bottom w:val="nil"/>
              <w:right w:val="nil"/>
            </w:tcBorders>
            <w:shd w:val="clear" w:color="auto" w:fill="auto"/>
            <w:vAlign w:val="bottom"/>
            <w:hideMark/>
          </w:tcPr>
          <w:p w14:paraId="2323AEB9" w14:textId="77777777" w:rsidR="0010523F" w:rsidRPr="0010523F" w:rsidRDefault="0010523F" w:rsidP="0010523F">
            <w:pPr>
              <w:ind w:right="213"/>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724" w:type="dxa"/>
            <w:tcBorders>
              <w:top w:val="nil"/>
              <w:left w:val="nil"/>
              <w:bottom w:val="nil"/>
              <w:right w:val="nil"/>
            </w:tcBorders>
            <w:shd w:val="clear" w:color="auto" w:fill="auto"/>
            <w:vAlign w:val="bottom"/>
            <w:hideMark/>
          </w:tcPr>
          <w:p w14:paraId="2AF2C48D" w14:textId="77777777" w:rsidR="0010523F" w:rsidRPr="0010523F" w:rsidRDefault="0010523F" w:rsidP="0010523F">
            <w:pPr>
              <w:ind w:left="-212"/>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440" w:type="dxa"/>
            <w:tcBorders>
              <w:top w:val="nil"/>
              <w:left w:val="nil"/>
              <w:bottom w:val="nil"/>
              <w:right w:val="nil"/>
            </w:tcBorders>
          </w:tcPr>
          <w:p w14:paraId="3E6B2ACB" w14:textId="77777777" w:rsidR="0010523F" w:rsidRPr="0010523F" w:rsidRDefault="0010523F" w:rsidP="0010523F">
            <w:pPr>
              <w:jc w:val="right"/>
              <w:rPr>
                <w:bCs/>
                <w:color w:val="000000"/>
                <w:sz w:val="22"/>
                <w:szCs w:val="22"/>
                <w:highlight w:val="yellow"/>
                <w:u w:val="single"/>
                <w:lang w:val="es-AR" w:eastAsia="es-AR"/>
              </w:rPr>
            </w:pPr>
          </w:p>
        </w:tc>
        <w:tc>
          <w:tcPr>
            <w:tcW w:w="1170" w:type="dxa"/>
            <w:tcBorders>
              <w:top w:val="nil"/>
              <w:left w:val="nil"/>
              <w:bottom w:val="nil"/>
              <w:right w:val="nil"/>
            </w:tcBorders>
            <w:shd w:val="clear" w:color="auto" w:fill="auto"/>
            <w:vAlign w:val="bottom"/>
            <w:hideMark/>
          </w:tcPr>
          <w:p w14:paraId="305571DB"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510" w:type="dxa"/>
            <w:tcBorders>
              <w:top w:val="nil"/>
              <w:left w:val="nil"/>
              <w:bottom w:val="nil"/>
              <w:right w:val="nil"/>
            </w:tcBorders>
          </w:tcPr>
          <w:p w14:paraId="58FDBCAB" w14:textId="77777777" w:rsidR="0010523F" w:rsidRPr="0010523F" w:rsidRDefault="0010523F" w:rsidP="0010523F">
            <w:pPr>
              <w:jc w:val="right"/>
              <w:rPr>
                <w:bCs/>
                <w:color w:val="000000"/>
                <w:sz w:val="22"/>
                <w:szCs w:val="22"/>
                <w:highlight w:val="yellow"/>
                <w:u w:val="single"/>
                <w:lang w:val="es-AR" w:eastAsia="es-AR"/>
              </w:rPr>
            </w:pPr>
          </w:p>
        </w:tc>
        <w:tc>
          <w:tcPr>
            <w:tcW w:w="1106" w:type="dxa"/>
            <w:tcBorders>
              <w:top w:val="nil"/>
              <w:left w:val="nil"/>
              <w:bottom w:val="nil"/>
              <w:right w:val="nil"/>
            </w:tcBorders>
            <w:shd w:val="clear" w:color="auto" w:fill="auto"/>
            <w:vAlign w:val="bottom"/>
            <w:hideMark/>
          </w:tcPr>
          <w:p w14:paraId="193BCB5C"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10.687</w:t>
            </w:r>
          </w:p>
        </w:tc>
        <w:tc>
          <w:tcPr>
            <w:tcW w:w="1011" w:type="dxa"/>
            <w:tcBorders>
              <w:top w:val="nil"/>
              <w:left w:val="nil"/>
              <w:bottom w:val="nil"/>
              <w:right w:val="nil"/>
            </w:tcBorders>
            <w:shd w:val="clear" w:color="auto" w:fill="auto"/>
            <w:vAlign w:val="bottom"/>
            <w:hideMark/>
          </w:tcPr>
          <w:p w14:paraId="25F536BB"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31.222</w:t>
            </w:r>
          </w:p>
        </w:tc>
        <w:tc>
          <w:tcPr>
            <w:tcW w:w="425" w:type="dxa"/>
            <w:tcBorders>
              <w:top w:val="nil"/>
              <w:left w:val="nil"/>
              <w:bottom w:val="nil"/>
              <w:right w:val="nil"/>
            </w:tcBorders>
            <w:shd w:val="clear" w:color="auto" w:fill="auto"/>
            <w:vAlign w:val="bottom"/>
            <w:hideMark/>
          </w:tcPr>
          <w:p w14:paraId="4B416126" w14:textId="77777777" w:rsidR="0010523F" w:rsidRPr="0010523F" w:rsidRDefault="0010523F" w:rsidP="0010523F">
            <w:pPr>
              <w:jc w:val="right"/>
              <w:rPr>
                <w:color w:val="000000"/>
                <w:sz w:val="20"/>
                <w:szCs w:val="20"/>
                <w:lang w:val="es-AR" w:eastAsia="es-AR"/>
              </w:rPr>
            </w:pPr>
            <w:r w:rsidRPr="0010523F">
              <w:rPr>
                <w:bCs/>
                <w:color w:val="000000"/>
                <w:sz w:val="20"/>
                <w:szCs w:val="20"/>
                <w:lang w:val="es-AR" w:eastAsia="es-AR"/>
              </w:rPr>
              <w:t>(5)</w:t>
            </w:r>
          </w:p>
        </w:tc>
      </w:tr>
      <w:tr w:rsidR="0010523F" w:rsidRPr="0010523F" w14:paraId="310F6DB3" w14:textId="77777777" w:rsidTr="00774E7E">
        <w:trPr>
          <w:trHeight w:val="170"/>
        </w:trPr>
        <w:tc>
          <w:tcPr>
            <w:tcW w:w="2835" w:type="dxa"/>
            <w:tcBorders>
              <w:top w:val="nil"/>
              <w:left w:val="nil"/>
              <w:bottom w:val="nil"/>
              <w:right w:val="nil"/>
            </w:tcBorders>
            <w:shd w:val="clear" w:color="auto" w:fill="auto"/>
            <w:vAlign w:val="center"/>
            <w:hideMark/>
          </w:tcPr>
          <w:p w14:paraId="6DC37919" w14:textId="77777777" w:rsidR="0010523F" w:rsidRPr="0010523F" w:rsidRDefault="0010523F" w:rsidP="0010523F">
            <w:pPr>
              <w:spacing w:line="180" w:lineRule="exact"/>
              <w:rPr>
                <w:color w:val="000000"/>
                <w:sz w:val="22"/>
                <w:szCs w:val="22"/>
                <w:lang w:val="es-AR" w:eastAsia="es-AR"/>
              </w:rPr>
            </w:pPr>
          </w:p>
        </w:tc>
        <w:tc>
          <w:tcPr>
            <w:tcW w:w="835" w:type="dxa"/>
            <w:tcBorders>
              <w:top w:val="nil"/>
              <w:left w:val="nil"/>
              <w:bottom w:val="nil"/>
              <w:right w:val="nil"/>
            </w:tcBorders>
            <w:shd w:val="clear" w:color="auto" w:fill="auto"/>
            <w:vAlign w:val="bottom"/>
            <w:hideMark/>
          </w:tcPr>
          <w:p w14:paraId="7F09B302" w14:textId="77777777" w:rsidR="0010523F" w:rsidRPr="0010523F" w:rsidRDefault="0010523F" w:rsidP="0010523F">
            <w:pPr>
              <w:spacing w:line="180" w:lineRule="exact"/>
              <w:jc w:val="right"/>
              <w:rPr>
                <w:color w:val="000000"/>
                <w:sz w:val="22"/>
                <w:szCs w:val="22"/>
                <w:lang w:val="es-AR" w:eastAsia="es-AR"/>
              </w:rPr>
            </w:pPr>
          </w:p>
        </w:tc>
        <w:tc>
          <w:tcPr>
            <w:tcW w:w="397" w:type="dxa"/>
            <w:tcBorders>
              <w:top w:val="nil"/>
              <w:left w:val="nil"/>
              <w:bottom w:val="nil"/>
              <w:right w:val="nil"/>
            </w:tcBorders>
            <w:shd w:val="clear" w:color="auto" w:fill="auto"/>
            <w:vAlign w:val="bottom"/>
            <w:hideMark/>
          </w:tcPr>
          <w:p w14:paraId="3225488A" w14:textId="77777777" w:rsidR="0010523F" w:rsidRPr="0010523F" w:rsidRDefault="0010523F" w:rsidP="0010523F">
            <w:pPr>
              <w:spacing w:line="180" w:lineRule="exact"/>
              <w:jc w:val="right"/>
              <w:rPr>
                <w:color w:val="000000"/>
                <w:sz w:val="22"/>
                <w:szCs w:val="22"/>
                <w:lang w:val="es-AR" w:eastAsia="es-AR"/>
              </w:rPr>
            </w:pPr>
          </w:p>
        </w:tc>
        <w:tc>
          <w:tcPr>
            <w:tcW w:w="1178" w:type="dxa"/>
            <w:tcBorders>
              <w:top w:val="nil"/>
              <w:left w:val="nil"/>
              <w:bottom w:val="nil"/>
              <w:right w:val="nil"/>
            </w:tcBorders>
            <w:shd w:val="clear" w:color="auto" w:fill="auto"/>
            <w:vAlign w:val="bottom"/>
            <w:hideMark/>
          </w:tcPr>
          <w:p w14:paraId="5B5CB6DD" w14:textId="77777777" w:rsidR="0010523F" w:rsidRPr="0010523F" w:rsidRDefault="0010523F" w:rsidP="0010523F">
            <w:pPr>
              <w:spacing w:line="180" w:lineRule="exact"/>
              <w:ind w:right="213"/>
              <w:jc w:val="right"/>
              <w:rPr>
                <w:color w:val="000000"/>
                <w:sz w:val="22"/>
                <w:szCs w:val="22"/>
                <w:lang w:val="es-AR" w:eastAsia="es-AR"/>
              </w:rPr>
            </w:pPr>
          </w:p>
        </w:tc>
        <w:tc>
          <w:tcPr>
            <w:tcW w:w="724" w:type="dxa"/>
            <w:tcBorders>
              <w:top w:val="nil"/>
              <w:left w:val="nil"/>
              <w:bottom w:val="nil"/>
              <w:right w:val="nil"/>
            </w:tcBorders>
            <w:shd w:val="clear" w:color="auto" w:fill="auto"/>
            <w:vAlign w:val="bottom"/>
            <w:hideMark/>
          </w:tcPr>
          <w:p w14:paraId="0EE0293C" w14:textId="77777777" w:rsidR="0010523F" w:rsidRPr="0010523F" w:rsidRDefault="0010523F" w:rsidP="0010523F">
            <w:pPr>
              <w:spacing w:line="180" w:lineRule="exact"/>
              <w:ind w:left="-212"/>
              <w:jc w:val="right"/>
              <w:rPr>
                <w:color w:val="000000"/>
                <w:sz w:val="22"/>
                <w:szCs w:val="22"/>
                <w:lang w:val="es-AR" w:eastAsia="es-AR"/>
              </w:rPr>
            </w:pPr>
          </w:p>
        </w:tc>
        <w:tc>
          <w:tcPr>
            <w:tcW w:w="440" w:type="dxa"/>
            <w:tcBorders>
              <w:top w:val="nil"/>
              <w:left w:val="nil"/>
              <w:bottom w:val="nil"/>
              <w:right w:val="nil"/>
            </w:tcBorders>
          </w:tcPr>
          <w:p w14:paraId="489A9A52" w14:textId="77777777" w:rsidR="0010523F" w:rsidRPr="0010523F" w:rsidRDefault="0010523F" w:rsidP="0010523F">
            <w:pPr>
              <w:spacing w:line="180" w:lineRule="exact"/>
              <w:jc w:val="right"/>
              <w:rPr>
                <w:color w:val="000000"/>
                <w:sz w:val="22"/>
                <w:szCs w:val="22"/>
                <w:highlight w:val="yellow"/>
                <w:lang w:val="es-AR" w:eastAsia="es-AR"/>
              </w:rPr>
            </w:pPr>
          </w:p>
        </w:tc>
        <w:tc>
          <w:tcPr>
            <w:tcW w:w="1170" w:type="dxa"/>
            <w:tcBorders>
              <w:top w:val="nil"/>
              <w:left w:val="nil"/>
              <w:bottom w:val="nil"/>
              <w:right w:val="nil"/>
            </w:tcBorders>
            <w:shd w:val="clear" w:color="auto" w:fill="auto"/>
            <w:vAlign w:val="bottom"/>
            <w:hideMark/>
          </w:tcPr>
          <w:p w14:paraId="6E1F061E" w14:textId="77777777" w:rsidR="0010523F" w:rsidRPr="0010523F" w:rsidRDefault="0010523F" w:rsidP="0010523F">
            <w:pPr>
              <w:spacing w:line="180" w:lineRule="exact"/>
              <w:jc w:val="right"/>
              <w:rPr>
                <w:color w:val="000000"/>
                <w:sz w:val="22"/>
                <w:szCs w:val="22"/>
                <w:lang w:val="es-AR" w:eastAsia="es-AR"/>
              </w:rPr>
            </w:pPr>
          </w:p>
        </w:tc>
        <w:tc>
          <w:tcPr>
            <w:tcW w:w="510" w:type="dxa"/>
            <w:tcBorders>
              <w:top w:val="nil"/>
              <w:left w:val="nil"/>
              <w:bottom w:val="nil"/>
              <w:right w:val="nil"/>
            </w:tcBorders>
          </w:tcPr>
          <w:p w14:paraId="373A8DEE" w14:textId="77777777" w:rsidR="0010523F" w:rsidRPr="0010523F" w:rsidRDefault="0010523F" w:rsidP="0010523F">
            <w:pPr>
              <w:spacing w:line="180" w:lineRule="exact"/>
              <w:jc w:val="right"/>
              <w:rPr>
                <w:color w:val="000000"/>
                <w:sz w:val="22"/>
                <w:szCs w:val="22"/>
                <w:highlight w:val="yellow"/>
                <w:lang w:val="es-AR" w:eastAsia="es-AR"/>
              </w:rPr>
            </w:pPr>
          </w:p>
        </w:tc>
        <w:tc>
          <w:tcPr>
            <w:tcW w:w="1106" w:type="dxa"/>
            <w:tcBorders>
              <w:top w:val="nil"/>
              <w:left w:val="nil"/>
              <w:bottom w:val="nil"/>
              <w:right w:val="nil"/>
            </w:tcBorders>
            <w:shd w:val="clear" w:color="auto" w:fill="auto"/>
            <w:vAlign w:val="bottom"/>
            <w:hideMark/>
          </w:tcPr>
          <w:p w14:paraId="5C63C5FD" w14:textId="77777777" w:rsidR="0010523F" w:rsidRPr="0010523F" w:rsidRDefault="0010523F" w:rsidP="0010523F">
            <w:pPr>
              <w:spacing w:line="180" w:lineRule="exact"/>
              <w:jc w:val="right"/>
              <w:rPr>
                <w:color w:val="000000"/>
                <w:sz w:val="22"/>
                <w:szCs w:val="22"/>
                <w:lang w:val="es-AR" w:eastAsia="es-AR"/>
              </w:rPr>
            </w:pPr>
          </w:p>
        </w:tc>
        <w:tc>
          <w:tcPr>
            <w:tcW w:w="1011" w:type="dxa"/>
            <w:tcBorders>
              <w:top w:val="nil"/>
              <w:left w:val="nil"/>
              <w:bottom w:val="nil"/>
              <w:right w:val="nil"/>
            </w:tcBorders>
            <w:shd w:val="clear" w:color="auto" w:fill="auto"/>
            <w:vAlign w:val="bottom"/>
            <w:hideMark/>
          </w:tcPr>
          <w:p w14:paraId="7AAF75A4" w14:textId="77777777" w:rsidR="0010523F" w:rsidRPr="0010523F" w:rsidRDefault="0010523F" w:rsidP="0010523F">
            <w:pPr>
              <w:spacing w:line="180" w:lineRule="exact"/>
              <w:jc w:val="right"/>
              <w:rPr>
                <w:color w:val="000000"/>
                <w:sz w:val="22"/>
                <w:szCs w:val="22"/>
                <w:lang w:val="es-AR" w:eastAsia="es-AR"/>
              </w:rPr>
            </w:pPr>
          </w:p>
        </w:tc>
        <w:tc>
          <w:tcPr>
            <w:tcW w:w="425" w:type="dxa"/>
            <w:tcBorders>
              <w:top w:val="nil"/>
              <w:left w:val="nil"/>
              <w:bottom w:val="nil"/>
              <w:right w:val="nil"/>
            </w:tcBorders>
            <w:shd w:val="clear" w:color="auto" w:fill="auto"/>
            <w:vAlign w:val="bottom"/>
            <w:hideMark/>
          </w:tcPr>
          <w:p w14:paraId="384102A6" w14:textId="77777777" w:rsidR="0010523F" w:rsidRPr="0010523F" w:rsidRDefault="0010523F" w:rsidP="0010523F">
            <w:pPr>
              <w:spacing w:line="180" w:lineRule="exact"/>
              <w:jc w:val="right"/>
              <w:rPr>
                <w:color w:val="000000"/>
                <w:sz w:val="20"/>
                <w:szCs w:val="20"/>
                <w:lang w:val="es-AR" w:eastAsia="es-AR"/>
              </w:rPr>
            </w:pPr>
          </w:p>
        </w:tc>
      </w:tr>
      <w:tr w:rsidR="0010523F" w:rsidRPr="0010523F" w14:paraId="42C82F3C" w14:textId="77777777" w:rsidTr="00774E7E">
        <w:trPr>
          <w:trHeight w:val="300"/>
        </w:trPr>
        <w:tc>
          <w:tcPr>
            <w:tcW w:w="2835" w:type="dxa"/>
            <w:tcBorders>
              <w:top w:val="nil"/>
              <w:left w:val="nil"/>
              <w:bottom w:val="nil"/>
              <w:right w:val="nil"/>
            </w:tcBorders>
            <w:shd w:val="clear" w:color="auto" w:fill="auto"/>
            <w:vAlign w:val="center"/>
            <w:hideMark/>
          </w:tcPr>
          <w:p w14:paraId="37F04C3C"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Total deducidas del activo no corriente</w:t>
            </w:r>
          </w:p>
        </w:tc>
        <w:tc>
          <w:tcPr>
            <w:tcW w:w="835" w:type="dxa"/>
            <w:tcBorders>
              <w:top w:val="nil"/>
              <w:left w:val="nil"/>
              <w:bottom w:val="nil"/>
              <w:right w:val="nil"/>
            </w:tcBorders>
            <w:shd w:val="clear" w:color="auto" w:fill="auto"/>
            <w:vAlign w:val="bottom"/>
            <w:hideMark/>
          </w:tcPr>
          <w:p w14:paraId="18A97C55"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20.535</w:t>
            </w:r>
          </w:p>
        </w:tc>
        <w:tc>
          <w:tcPr>
            <w:tcW w:w="397" w:type="dxa"/>
            <w:tcBorders>
              <w:top w:val="nil"/>
              <w:left w:val="nil"/>
              <w:bottom w:val="nil"/>
              <w:right w:val="nil"/>
            </w:tcBorders>
            <w:shd w:val="clear" w:color="auto" w:fill="auto"/>
            <w:vAlign w:val="bottom"/>
            <w:hideMark/>
          </w:tcPr>
          <w:p w14:paraId="391376E3" w14:textId="77777777" w:rsidR="0010523F" w:rsidRPr="0010523F" w:rsidRDefault="0010523F" w:rsidP="0010523F">
            <w:pPr>
              <w:jc w:val="right"/>
              <w:rPr>
                <w:color w:val="000000"/>
                <w:sz w:val="22"/>
                <w:szCs w:val="22"/>
                <w:highlight w:val="yellow"/>
                <w:lang w:val="es-AR" w:eastAsia="es-AR"/>
              </w:rPr>
            </w:pPr>
          </w:p>
        </w:tc>
        <w:tc>
          <w:tcPr>
            <w:tcW w:w="1178" w:type="dxa"/>
            <w:tcBorders>
              <w:top w:val="nil"/>
              <w:left w:val="nil"/>
              <w:bottom w:val="nil"/>
              <w:right w:val="nil"/>
            </w:tcBorders>
            <w:shd w:val="clear" w:color="auto" w:fill="auto"/>
            <w:vAlign w:val="bottom"/>
            <w:hideMark/>
          </w:tcPr>
          <w:p w14:paraId="3AC4AA2C" w14:textId="77777777" w:rsidR="0010523F" w:rsidRPr="0010523F" w:rsidRDefault="0010523F" w:rsidP="0010523F">
            <w:pPr>
              <w:ind w:right="213"/>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724" w:type="dxa"/>
            <w:tcBorders>
              <w:top w:val="nil"/>
              <w:left w:val="nil"/>
              <w:bottom w:val="nil"/>
              <w:right w:val="nil"/>
            </w:tcBorders>
            <w:shd w:val="clear" w:color="auto" w:fill="auto"/>
            <w:vAlign w:val="bottom"/>
            <w:hideMark/>
          </w:tcPr>
          <w:p w14:paraId="25C12D4E" w14:textId="77777777" w:rsidR="0010523F" w:rsidRPr="0010523F" w:rsidRDefault="0010523F" w:rsidP="0010523F">
            <w:pPr>
              <w:ind w:left="-212"/>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440" w:type="dxa"/>
            <w:tcBorders>
              <w:top w:val="nil"/>
              <w:left w:val="nil"/>
              <w:bottom w:val="nil"/>
              <w:right w:val="nil"/>
            </w:tcBorders>
          </w:tcPr>
          <w:p w14:paraId="7EF3E292" w14:textId="77777777" w:rsidR="0010523F" w:rsidRPr="0010523F" w:rsidRDefault="0010523F" w:rsidP="0010523F">
            <w:pPr>
              <w:jc w:val="right"/>
              <w:rPr>
                <w:bCs/>
                <w:color w:val="000000"/>
                <w:sz w:val="22"/>
                <w:szCs w:val="22"/>
                <w:highlight w:val="yellow"/>
                <w:u w:val="single"/>
                <w:lang w:val="es-AR" w:eastAsia="es-AR"/>
              </w:rPr>
            </w:pPr>
          </w:p>
        </w:tc>
        <w:tc>
          <w:tcPr>
            <w:tcW w:w="1170" w:type="dxa"/>
            <w:tcBorders>
              <w:top w:val="nil"/>
              <w:left w:val="nil"/>
              <w:bottom w:val="nil"/>
              <w:right w:val="nil"/>
            </w:tcBorders>
            <w:shd w:val="clear" w:color="auto" w:fill="auto"/>
            <w:vAlign w:val="bottom"/>
            <w:hideMark/>
          </w:tcPr>
          <w:p w14:paraId="6D48080D"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 xml:space="preserve">         -</w:t>
            </w:r>
          </w:p>
        </w:tc>
        <w:tc>
          <w:tcPr>
            <w:tcW w:w="510" w:type="dxa"/>
            <w:tcBorders>
              <w:top w:val="nil"/>
              <w:left w:val="nil"/>
              <w:bottom w:val="nil"/>
              <w:right w:val="nil"/>
            </w:tcBorders>
          </w:tcPr>
          <w:p w14:paraId="7F69D53A" w14:textId="77777777" w:rsidR="0010523F" w:rsidRPr="0010523F" w:rsidRDefault="0010523F" w:rsidP="0010523F">
            <w:pPr>
              <w:jc w:val="right"/>
              <w:rPr>
                <w:bCs/>
                <w:color w:val="000000"/>
                <w:sz w:val="22"/>
                <w:szCs w:val="22"/>
                <w:highlight w:val="yellow"/>
                <w:u w:val="single"/>
                <w:lang w:val="es-AR" w:eastAsia="es-AR"/>
              </w:rPr>
            </w:pPr>
          </w:p>
        </w:tc>
        <w:tc>
          <w:tcPr>
            <w:tcW w:w="1106" w:type="dxa"/>
            <w:tcBorders>
              <w:top w:val="nil"/>
              <w:left w:val="nil"/>
              <w:bottom w:val="nil"/>
              <w:right w:val="nil"/>
            </w:tcBorders>
            <w:shd w:val="clear" w:color="auto" w:fill="auto"/>
            <w:vAlign w:val="bottom"/>
            <w:hideMark/>
          </w:tcPr>
          <w:p w14:paraId="1A2611AD"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10.687</w:t>
            </w:r>
          </w:p>
        </w:tc>
        <w:tc>
          <w:tcPr>
            <w:tcW w:w="1011" w:type="dxa"/>
            <w:tcBorders>
              <w:top w:val="nil"/>
              <w:left w:val="nil"/>
              <w:bottom w:val="nil"/>
              <w:right w:val="nil"/>
            </w:tcBorders>
            <w:shd w:val="clear" w:color="auto" w:fill="auto"/>
            <w:vAlign w:val="bottom"/>
            <w:hideMark/>
          </w:tcPr>
          <w:p w14:paraId="4180DA36" w14:textId="77777777" w:rsidR="0010523F" w:rsidRPr="0010523F" w:rsidRDefault="0010523F" w:rsidP="0010523F">
            <w:pPr>
              <w:jc w:val="right"/>
              <w:rPr>
                <w:color w:val="000000"/>
                <w:sz w:val="22"/>
                <w:szCs w:val="22"/>
                <w:u w:val="single"/>
                <w:lang w:val="es-AR" w:eastAsia="es-AR"/>
              </w:rPr>
            </w:pPr>
            <w:r w:rsidRPr="0010523F">
              <w:rPr>
                <w:bCs/>
                <w:color w:val="000000"/>
                <w:sz w:val="22"/>
                <w:szCs w:val="22"/>
                <w:u w:val="single"/>
                <w:lang w:val="es-AR" w:eastAsia="es-AR"/>
              </w:rPr>
              <w:t>31.222</w:t>
            </w:r>
          </w:p>
        </w:tc>
        <w:tc>
          <w:tcPr>
            <w:tcW w:w="425" w:type="dxa"/>
            <w:tcBorders>
              <w:top w:val="nil"/>
              <w:left w:val="nil"/>
              <w:bottom w:val="nil"/>
              <w:right w:val="nil"/>
            </w:tcBorders>
            <w:shd w:val="clear" w:color="auto" w:fill="auto"/>
            <w:vAlign w:val="bottom"/>
            <w:hideMark/>
          </w:tcPr>
          <w:p w14:paraId="07402495" w14:textId="77777777" w:rsidR="0010523F" w:rsidRPr="0010523F" w:rsidRDefault="0010523F" w:rsidP="0010523F">
            <w:pPr>
              <w:jc w:val="right"/>
              <w:rPr>
                <w:color w:val="000000"/>
                <w:sz w:val="22"/>
                <w:szCs w:val="22"/>
                <w:lang w:val="es-AR" w:eastAsia="es-AR"/>
              </w:rPr>
            </w:pPr>
          </w:p>
        </w:tc>
      </w:tr>
      <w:tr w:rsidR="0010523F" w:rsidRPr="0010523F" w14:paraId="265EFFBD" w14:textId="77777777" w:rsidTr="00774E7E">
        <w:trPr>
          <w:trHeight w:val="170"/>
        </w:trPr>
        <w:tc>
          <w:tcPr>
            <w:tcW w:w="2835" w:type="dxa"/>
            <w:tcBorders>
              <w:top w:val="nil"/>
              <w:left w:val="nil"/>
              <w:bottom w:val="nil"/>
              <w:right w:val="nil"/>
            </w:tcBorders>
            <w:shd w:val="clear" w:color="auto" w:fill="auto"/>
            <w:vAlign w:val="center"/>
            <w:hideMark/>
          </w:tcPr>
          <w:p w14:paraId="14C8F91A" w14:textId="77777777" w:rsidR="0010523F" w:rsidRPr="0010523F" w:rsidRDefault="0010523F" w:rsidP="0010523F">
            <w:pPr>
              <w:spacing w:line="180" w:lineRule="exact"/>
              <w:rPr>
                <w:color w:val="000000"/>
                <w:sz w:val="22"/>
                <w:szCs w:val="22"/>
                <w:lang w:val="es-AR" w:eastAsia="es-AR"/>
              </w:rPr>
            </w:pPr>
          </w:p>
        </w:tc>
        <w:tc>
          <w:tcPr>
            <w:tcW w:w="835" w:type="dxa"/>
            <w:tcBorders>
              <w:top w:val="nil"/>
              <w:left w:val="nil"/>
              <w:bottom w:val="nil"/>
              <w:right w:val="nil"/>
            </w:tcBorders>
            <w:shd w:val="clear" w:color="auto" w:fill="auto"/>
            <w:vAlign w:val="bottom"/>
            <w:hideMark/>
          </w:tcPr>
          <w:p w14:paraId="7D0907EC" w14:textId="77777777" w:rsidR="0010523F" w:rsidRPr="0010523F" w:rsidRDefault="0010523F" w:rsidP="0010523F">
            <w:pPr>
              <w:spacing w:line="180" w:lineRule="exact"/>
              <w:jc w:val="right"/>
              <w:rPr>
                <w:color w:val="000000"/>
                <w:sz w:val="22"/>
                <w:szCs w:val="22"/>
                <w:lang w:val="es-AR" w:eastAsia="es-AR"/>
              </w:rPr>
            </w:pPr>
          </w:p>
        </w:tc>
        <w:tc>
          <w:tcPr>
            <w:tcW w:w="397" w:type="dxa"/>
            <w:tcBorders>
              <w:top w:val="nil"/>
              <w:left w:val="nil"/>
              <w:bottom w:val="nil"/>
              <w:right w:val="nil"/>
            </w:tcBorders>
            <w:shd w:val="clear" w:color="auto" w:fill="auto"/>
            <w:vAlign w:val="bottom"/>
            <w:hideMark/>
          </w:tcPr>
          <w:p w14:paraId="5E81F2C0" w14:textId="77777777" w:rsidR="0010523F" w:rsidRPr="0010523F" w:rsidRDefault="0010523F" w:rsidP="0010523F">
            <w:pPr>
              <w:spacing w:line="180" w:lineRule="exact"/>
              <w:jc w:val="right"/>
              <w:rPr>
                <w:color w:val="000000"/>
                <w:sz w:val="22"/>
                <w:szCs w:val="22"/>
                <w:highlight w:val="yellow"/>
                <w:lang w:val="es-AR" w:eastAsia="es-AR"/>
              </w:rPr>
            </w:pPr>
          </w:p>
        </w:tc>
        <w:tc>
          <w:tcPr>
            <w:tcW w:w="1178" w:type="dxa"/>
            <w:tcBorders>
              <w:top w:val="nil"/>
              <w:left w:val="nil"/>
              <w:bottom w:val="nil"/>
              <w:right w:val="nil"/>
            </w:tcBorders>
            <w:shd w:val="clear" w:color="auto" w:fill="auto"/>
            <w:vAlign w:val="bottom"/>
            <w:hideMark/>
          </w:tcPr>
          <w:p w14:paraId="3A4AA011" w14:textId="77777777" w:rsidR="0010523F" w:rsidRPr="0010523F" w:rsidRDefault="0010523F" w:rsidP="0010523F">
            <w:pPr>
              <w:spacing w:line="180" w:lineRule="exact"/>
              <w:ind w:right="213"/>
              <w:jc w:val="right"/>
              <w:rPr>
                <w:color w:val="000000"/>
                <w:sz w:val="22"/>
                <w:szCs w:val="22"/>
                <w:lang w:val="es-AR" w:eastAsia="es-AR"/>
              </w:rPr>
            </w:pPr>
          </w:p>
        </w:tc>
        <w:tc>
          <w:tcPr>
            <w:tcW w:w="724" w:type="dxa"/>
            <w:tcBorders>
              <w:top w:val="nil"/>
              <w:left w:val="nil"/>
              <w:bottom w:val="nil"/>
              <w:right w:val="nil"/>
            </w:tcBorders>
            <w:shd w:val="clear" w:color="auto" w:fill="auto"/>
            <w:vAlign w:val="bottom"/>
            <w:hideMark/>
          </w:tcPr>
          <w:p w14:paraId="5BEB90BA" w14:textId="77777777" w:rsidR="0010523F" w:rsidRPr="0010523F" w:rsidRDefault="0010523F" w:rsidP="0010523F">
            <w:pPr>
              <w:spacing w:line="180" w:lineRule="exact"/>
              <w:ind w:left="-212"/>
              <w:jc w:val="right"/>
              <w:rPr>
                <w:color w:val="000000"/>
                <w:sz w:val="22"/>
                <w:szCs w:val="22"/>
                <w:lang w:val="es-AR" w:eastAsia="es-AR"/>
              </w:rPr>
            </w:pPr>
          </w:p>
        </w:tc>
        <w:tc>
          <w:tcPr>
            <w:tcW w:w="440" w:type="dxa"/>
            <w:tcBorders>
              <w:top w:val="nil"/>
              <w:left w:val="nil"/>
              <w:bottom w:val="nil"/>
              <w:right w:val="nil"/>
            </w:tcBorders>
          </w:tcPr>
          <w:p w14:paraId="771C26A1" w14:textId="77777777" w:rsidR="0010523F" w:rsidRPr="0010523F" w:rsidRDefault="0010523F" w:rsidP="0010523F">
            <w:pPr>
              <w:spacing w:line="180" w:lineRule="exact"/>
              <w:jc w:val="right"/>
              <w:rPr>
                <w:color w:val="000000"/>
                <w:sz w:val="22"/>
                <w:szCs w:val="22"/>
                <w:highlight w:val="yellow"/>
                <w:lang w:val="es-AR" w:eastAsia="es-AR"/>
              </w:rPr>
            </w:pPr>
          </w:p>
        </w:tc>
        <w:tc>
          <w:tcPr>
            <w:tcW w:w="1170" w:type="dxa"/>
            <w:tcBorders>
              <w:top w:val="nil"/>
              <w:left w:val="nil"/>
              <w:bottom w:val="nil"/>
              <w:right w:val="nil"/>
            </w:tcBorders>
            <w:shd w:val="clear" w:color="auto" w:fill="auto"/>
            <w:vAlign w:val="bottom"/>
            <w:hideMark/>
          </w:tcPr>
          <w:p w14:paraId="0E02E062" w14:textId="77777777" w:rsidR="0010523F" w:rsidRPr="0010523F" w:rsidRDefault="0010523F" w:rsidP="0010523F">
            <w:pPr>
              <w:spacing w:line="180" w:lineRule="exact"/>
              <w:jc w:val="right"/>
              <w:rPr>
                <w:color w:val="000000"/>
                <w:sz w:val="22"/>
                <w:szCs w:val="22"/>
                <w:lang w:val="es-AR" w:eastAsia="es-AR"/>
              </w:rPr>
            </w:pPr>
          </w:p>
        </w:tc>
        <w:tc>
          <w:tcPr>
            <w:tcW w:w="510" w:type="dxa"/>
            <w:tcBorders>
              <w:top w:val="nil"/>
              <w:left w:val="nil"/>
              <w:bottom w:val="nil"/>
              <w:right w:val="nil"/>
            </w:tcBorders>
          </w:tcPr>
          <w:p w14:paraId="1F66C6AD" w14:textId="77777777" w:rsidR="0010523F" w:rsidRPr="0010523F" w:rsidRDefault="0010523F" w:rsidP="0010523F">
            <w:pPr>
              <w:spacing w:line="180" w:lineRule="exact"/>
              <w:jc w:val="right"/>
              <w:rPr>
                <w:color w:val="000000"/>
                <w:sz w:val="22"/>
                <w:szCs w:val="22"/>
                <w:highlight w:val="yellow"/>
                <w:lang w:val="es-AR" w:eastAsia="es-AR"/>
              </w:rPr>
            </w:pPr>
          </w:p>
        </w:tc>
        <w:tc>
          <w:tcPr>
            <w:tcW w:w="1106" w:type="dxa"/>
            <w:tcBorders>
              <w:top w:val="nil"/>
              <w:left w:val="nil"/>
              <w:bottom w:val="nil"/>
              <w:right w:val="nil"/>
            </w:tcBorders>
            <w:shd w:val="clear" w:color="auto" w:fill="auto"/>
            <w:vAlign w:val="bottom"/>
            <w:hideMark/>
          </w:tcPr>
          <w:p w14:paraId="44E0A1BB" w14:textId="77777777" w:rsidR="0010523F" w:rsidRPr="0010523F" w:rsidRDefault="0010523F" w:rsidP="0010523F">
            <w:pPr>
              <w:spacing w:line="180" w:lineRule="exact"/>
              <w:jc w:val="right"/>
              <w:rPr>
                <w:color w:val="000000"/>
                <w:sz w:val="22"/>
                <w:szCs w:val="22"/>
                <w:lang w:val="es-AR" w:eastAsia="es-AR"/>
              </w:rPr>
            </w:pPr>
          </w:p>
        </w:tc>
        <w:tc>
          <w:tcPr>
            <w:tcW w:w="1011" w:type="dxa"/>
            <w:tcBorders>
              <w:top w:val="nil"/>
              <w:left w:val="nil"/>
              <w:bottom w:val="nil"/>
              <w:right w:val="nil"/>
            </w:tcBorders>
            <w:shd w:val="clear" w:color="auto" w:fill="auto"/>
            <w:vAlign w:val="bottom"/>
            <w:hideMark/>
          </w:tcPr>
          <w:p w14:paraId="78A95653" w14:textId="77777777" w:rsidR="0010523F" w:rsidRPr="0010523F" w:rsidRDefault="0010523F" w:rsidP="0010523F">
            <w:pPr>
              <w:spacing w:line="180" w:lineRule="exact"/>
              <w:jc w:val="right"/>
              <w:rPr>
                <w:color w:val="000000"/>
                <w:sz w:val="22"/>
                <w:szCs w:val="22"/>
                <w:lang w:val="es-AR" w:eastAsia="es-AR"/>
              </w:rPr>
            </w:pPr>
          </w:p>
        </w:tc>
        <w:tc>
          <w:tcPr>
            <w:tcW w:w="425" w:type="dxa"/>
            <w:tcBorders>
              <w:top w:val="nil"/>
              <w:left w:val="nil"/>
              <w:bottom w:val="nil"/>
              <w:right w:val="nil"/>
            </w:tcBorders>
            <w:shd w:val="clear" w:color="auto" w:fill="auto"/>
            <w:vAlign w:val="bottom"/>
            <w:hideMark/>
          </w:tcPr>
          <w:p w14:paraId="1361B4BA" w14:textId="77777777" w:rsidR="0010523F" w:rsidRPr="0010523F" w:rsidRDefault="0010523F" w:rsidP="0010523F">
            <w:pPr>
              <w:spacing w:line="180" w:lineRule="exact"/>
              <w:jc w:val="right"/>
              <w:rPr>
                <w:color w:val="000000"/>
                <w:sz w:val="22"/>
                <w:szCs w:val="22"/>
                <w:highlight w:val="yellow"/>
                <w:lang w:val="es-AR" w:eastAsia="es-AR"/>
              </w:rPr>
            </w:pPr>
          </w:p>
        </w:tc>
      </w:tr>
      <w:tr w:rsidR="0010523F" w:rsidRPr="0010523F" w14:paraId="14218D9E" w14:textId="77777777" w:rsidTr="00774E7E">
        <w:trPr>
          <w:trHeight w:val="300"/>
        </w:trPr>
        <w:tc>
          <w:tcPr>
            <w:tcW w:w="2835" w:type="dxa"/>
            <w:tcBorders>
              <w:top w:val="nil"/>
              <w:left w:val="nil"/>
              <w:bottom w:val="nil"/>
              <w:right w:val="nil"/>
            </w:tcBorders>
            <w:shd w:val="clear" w:color="auto" w:fill="auto"/>
            <w:vAlign w:val="center"/>
            <w:hideMark/>
          </w:tcPr>
          <w:p w14:paraId="2585CA08"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Total deducidas del activo al 30/09/2019</w:t>
            </w:r>
          </w:p>
        </w:tc>
        <w:tc>
          <w:tcPr>
            <w:tcW w:w="835" w:type="dxa"/>
            <w:tcBorders>
              <w:top w:val="nil"/>
              <w:left w:val="nil"/>
              <w:bottom w:val="nil"/>
              <w:right w:val="nil"/>
            </w:tcBorders>
            <w:shd w:val="clear" w:color="auto" w:fill="auto"/>
            <w:vAlign w:val="bottom"/>
            <w:hideMark/>
          </w:tcPr>
          <w:p w14:paraId="18A45C9E" w14:textId="77777777" w:rsidR="0010523F" w:rsidRPr="0010523F" w:rsidRDefault="0010523F" w:rsidP="0010523F">
            <w:pPr>
              <w:jc w:val="right"/>
              <w:rPr>
                <w:color w:val="000000"/>
                <w:sz w:val="22"/>
                <w:szCs w:val="22"/>
                <w:u w:val="double"/>
                <w:lang w:val="es-AR" w:eastAsia="es-AR"/>
              </w:rPr>
            </w:pPr>
            <w:r w:rsidRPr="0010523F">
              <w:rPr>
                <w:bCs/>
                <w:color w:val="000000"/>
                <w:sz w:val="22"/>
                <w:szCs w:val="22"/>
                <w:u w:val="double"/>
                <w:lang w:val="es-AR" w:eastAsia="es-AR"/>
              </w:rPr>
              <w:t>21.995</w:t>
            </w:r>
          </w:p>
        </w:tc>
        <w:tc>
          <w:tcPr>
            <w:tcW w:w="397" w:type="dxa"/>
            <w:tcBorders>
              <w:top w:val="nil"/>
              <w:left w:val="nil"/>
              <w:bottom w:val="nil"/>
              <w:right w:val="nil"/>
            </w:tcBorders>
            <w:shd w:val="clear" w:color="auto" w:fill="auto"/>
            <w:vAlign w:val="bottom"/>
            <w:hideMark/>
          </w:tcPr>
          <w:p w14:paraId="7481C65A" w14:textId="77777777" w:rsidR="0010523F" w:rsidRPr="0010523F" w:rsidRDefault="0010523F" w:rsidP="0010523F">
            <w:pPr>
              <w:jc w:val="right"/>
              <w:rPr>
                <w:color w:val="000000"/>
                <w:sz w:val="22"/>
                <w:szCs w:val="22"/>
                <w:highlight w:val="yellow"/>
                <w:u w:val="double"/>
                <w:lang w:val="es-AR" w:eastAsia="es-AR"/>
              </w:rPr>
            </w:pPr>
          </w:p>
        </w:tc>
        <w:tc>
          <w:tcPr>
            <w:tcW w:w="1178" w:type="dxa"/>
            <w:tcBorders>
              <w:top w:val="nil"/>
              <w:left w:val="nil"/>
              <w:bottom w:val="nil"/>
              <w:right w:val="nil"/>
            </w:tcBorders>
            <w:shd w:val="clear" w:color="auto" w:fill="auto"/>
            <w:vAlign w:val="bottom"/>
            <w:hideMark/>
          </w:tcPr>
          <w:p w14:paraId="31A36A4D" w14:textId="77777777" w:rsidR="0010523F" w:rsidRPr="0010523F" w:rsidRDefault="0010523F" w:rsidP="0010523F">
            <w:pPr>
              <w:ind w:right="213"/>
              <w:jc w:val="right"/>
              <w:rPr>
                <w:color w:val="000000"/>
                <w:sz w:val="22"/>
                <w:szCs w:val="22"/>
                <w:u w:val="double"/>
                <w:lang w:val="es-AR" w:eastAsia="es-AR"/>
              </w:rPr>
            </w:pPr>
            <w:r w:rsidRPr="0010523F">
              <w:rPr>
                <w:bCs/>
                <w:color w:val="000000"/>
                <w:sz w:val="22"/>
                <w:szCs w:val="22"/>
                <w:u w:val="double"/>
                <w:lang w:val="es-AR" w:eastAsia="es-AR"/>
              </w:rPr>
              <w:t xml:space="preserve">   -</w:t>
            </w:r>
          </w:p>
        </w:tc>
        <w:tc>
          <w:tcPr>
            <w:tcW w:w="724" w:type="dxa"/>
            <w:tcBorders>
              <w:top w:val="nil"/>
              <w:left w:val="nil"/>
              <w:bottom w:val="nil"/>
              <w:right w:val="nil"/>
            </w:tcBorders>
            <w:shd w:val="clear" w:color="auto" w:fill="auto"/>
            <w:vAlign w:val="bottom"/>
            <w:hideMark/>
          </w:tcPr>
          <w:p w14:paraId="6531CC56" w14:textId="77777777" w:rsidR="0010523F" w:rsidRPr="0010523F" w:rsidRDefault="0010523F" w:rsidP="0010523F">
            <w:pPr>
              <w:ind w:left="-212"/>
              <w:jc w:val="right"/>
              <w:rPr>
                <w:color w:val="000000"/>
                <w:sz w:val="22"/>
                <w:szCs w:val="22"/>
                <w:u w:val="double"/>
                <w:lang w:val="es-AR" w:eastAsia="es-AR"/>
              </w:rPr>
            </w:pPr>
            <w:r w:rsidRPr="0010523F">
              <w:rPr>
                <w:bCs/>
                <w:color w:val="000000"/>
                <w:sz w:val="22"/>
                <w:szCs w:val="22"/>
                <w:u w:val="double"/>
                <w:lang w:val="es-AR" w:eastAsia="es-AR"/>
              </w:rPr>
              <w:t>186</w:t>
            </w:r>
          </w:p>
        </w:tc>
        <w:tc>
          <w:tcPr>
            <w:tcW w:w="440" w:type="dxa"/>
            <w:tcBorders>
              <w:top w:val="nil"/>
              <w:left w:val="nil"/>
              <w:bottom w:val="nil"/>
              <w:right w:val="nil"/>
            </w:tcBorders>
          </w:tcPr>
          <w:p w14:paraId="4278DA35" w14:textId="77777777" w:rsidR="0010523F" w:rsidRPr="0010523F" w:rsidRDefault="0010523F" w:rsidP="0010523F">
            <w:pPr>
              <w:jc w:val="right"/>
              <w:rPr>
                <w:bCs/>
                <w:color w:val="000000"/>
                <w:sz w:val="22"/>
                <w:szCs w:val="22"/>
                <w:highlight w:val="yellow"/>
                <w:lang w:val="es-AR" w:eastAsia="es-AR"/>
              </w:rPr>
            </w:pPr>
          </w:p>
        </w:tc>
        <w:tc>
          <w:tcPr>
            <w:tcW w:w="1170" w:type="dxa"/>
            <w:tcBorders>
              <w:top w:val="nil"/>
              <w:left w:val="nil"/>
              <w:bottom w:val="nil"/>
              <w:right w:val="nil"/>
            </w:tcBorders>
            <w:shd w:val="clear" w:color="auto" w:fill="auto"/>
            <w:vAlign w:val="bottom"/>
            <w:hideMark/>
          </w:tcPr>
          <w:p w14:paraId="3157EA5D" w14:textId="77777777" w:rsidR="0010523F" w:rsidRPr="0010523F" w:rsidRDefault="0010523F" w:rsidP="0010523F">
            <w:pPr>
              <w:jc w:val="right"/>
              <w:rPr>
                <w:color w:val="000000"/>
                <w:sz w:val="22"/>
                <w:szCs w:val="22"/>
                <w:u w:val="double"/>
                <w:lang w:val="es-AR" w:eastAsia="es-AR"/>
              </w:rPr>
            </w:pPr>
            <w:r w:rsidRPr="0010523F">
              <w:rPr>
                <w:bCs/>
                <w:color w:val="000000"/>
                <w:sz w:val="22"/>
                <w:szCs w:val="22"/>
                <w:lang w:val="es-AR" w:eastAsia="es-AR"/>
              </w:rPr>
              <w:t>(</w:t>
            </w:r>
            <w:r w:rsidRPr="0010523F">
              <w:rPr>
                <w:bCs/>
                <w:color w:val="000000"/>
                <w:sz w:val="22"/>
                <w:szCs w:val="22"/>
                <w:u w:val="double"/>
                <w:lang w:val="es-AR" w:eastAsia="es-AR"/>
              </w:rPr>
              <w:t xml:space="preserve">    166</w:t>
            </w:r>
            <w:r w:rsidRPr="0010523F">
              <w:rPr>
                <w:bCs/>
                <w:color w:val="000000"/>
                <w:sz w:val="22"/>
                <w:szCs w:val="22"/>
                <w:lang w:val="es-AR" w:eastAsia="es-AR"/>
              </w:rPr>
              <w:t>)</w:t>
            </w:r>
          </w:p>
        </w:tc>
        <w:tc>
          <w:tcPr>
            <w:tcW w:w="510" w:type="dxa"/>
            <w:tcBorders>
              <w:top w:val="nil"/>
              <w:left w:val="nil"/>
              <w:bottom w:val="nil"/>
              <w:right w:val="nil"/>
            </w:tcBorders>
          </w:tcPr>
          <w:p w14:paraId="14C6B3BA" w14:textId="77777777" w:rsidR="0010523F" w:rsidRPr="0010523F" w:rsidRDefault="0010523F" w:rsidP="0010523F">
            <w:pPr>
              <w:jc w:val="right"/>
              <w:rPr>
                <w:bCs/>
                <w:color w:val="000000"/>
                <w:sz w:val="22"/>
                <w:szCs w:val="22"/>
                <w:highlight w:val="yellow"/>
                <w:u w:val="double"/>
                <w:lang w:val="es-AR" w:eastAsia="es-AR"/>
              </w:rPr>
            </w:pPr>
          </w:p>
        </w:tc>
        <w:tc>
          <w:tcPr>
            <w:tcW w:w="1106" w:type="dxa"/>
            <w:tcBorders>
              <w:top w:val="nil"/>
              <w:left w:val="nil"/>
              <w:bottom w:val="nil"/>
              <w:right w:val="nil"/>
            </w:tcBorders>
            <w:shd w:val="clear" w:color="auto" w:fill="auto"/>
            <w:vAlign w:val="bottom"/>
            <w:hideMark/>
          </w:tcPr>
          <w:p w14:paraId="25E9940E" w14:textId="77777777" w:rsidR="0010523F" w:rsidRPr="0010523F" w:rsidRDefault="0010523F" w:rsidP="0010523F">
            <w:pPr>
              <w:jc w:val="right"/>
              <w:rPr>
                <w:color w:val="000000"/>
                <w:sz w:val="22"/>
                <w:szCs w:val="22"/>
                <w:u w:val="double"/>
                <w:lang w:val="es-AR" w:eastAsia="es-AR"/>
              </w:rPr>
            </w:pPr>
            <w:r w:rsidRPr="0010523F">
              <w:rPr>
                <w:bCs/>
                <w:color w:val="000000"/>
                <w:sz w:val="22"/>
                <w:szCs w:val="22"/>
                <w:u w:val="double"/>
                <w:lang w:val="es-AR" w:eastAsia="es-AR"/>
              </w:rPr>
              <w:t>11.450</w:t>
            </w:r>
          </w:p>
        </w:tc>
        <w:tc>
          <w:tcPr>
            <w:tcW w:w="1011" w:type="dxa"/>
            <w:tcBorders>
              <w:top w:val="nil"/>
              <w:left w:val="nil"/>
              <w:bottom w:val="nil"/>
              <w:right w:val="nil"/>
            </w:tcBorders>
            <w:shd w:val="clear" w:color="auto" w:fill="auto"/>
            <w:vAlign w:val="bottom"/>
            <w:hideMark/>
          </w:tcPr>
          <w:p w14:paraId="0CE19A61" w14:textId="77777777" w:rsidR="0010523F" w:rsidRPr="0010523F" w:rsidRDefault="0010523F" w:rsidP="0010523F">
            <w:pPr>
              <w:jc w:val="right"/>
              <w:rPr>
                <w:color w:val="000000"/>
                <w:sz w:val="22"/>
                <w:szCs w:val="22"/>
                <w:u w:val="double"/>
                <w:lang w:val="es-AR" w:eastAsia="es-AR"/>
              </w:rPr>
            </w:pPr>
            <w:r w:rsidRPr="0010523F">
              <w:rPr>
                <w:bCs/>
                <w:color w:val="000000"/>
                <w:sz w:val="22"/>
                <w:szCs w:val="22"/>
                <w:u w:val="double"/>
                <w:lang w:val="es-AR" w:eastAsia="es-AR"/>
              </w:rPr>
              <w:t>33.465</w:t>
            </w:r>
          </w:p>
        </w:tc>
        <w:tc>
          <w:tcPr>
            <w:tcW w:w="425" w:type="dxa"/>
            <w:tcBorders>
              <w:top w:val="nil"/>
              <w:left w:val="nil"/>
              <w:bottom w:val="nil"/>
              <w:right w:val="nil"/>
            </w:tcBorders>
            <w:shd w:val="clear" w:color="auto" w:fill="auto"/>
            <w:vAlign w:val="bottom"/>
            <w:hideMark/>
          </w:tcPr>
          <w:p w14:paraId="45EC450B" w14:textId="77777777" w:rsidR="0010523F" w:rsidRPr="0010523F" w:rsidRDefault="0010523F" w:rsidP="0010523F">
            <w:pPr>
              <w:jc w:val="right"/>
              <w:rPr>
                <w:color w:val="000000"/>
                <w:sz w:val="22"/>
                <w:szCs w:val="22"/>
                <w:highlight w:val="yellow"/>
                <w:lang w:val="es-AR" w:eastAsia="es-AR"/>
              </w:rPr>
            </w:pPr>
          </w:p>
        </w:tc>
      </w:tr>
      <w:tr w:rsidR="0010523F" w:rsidRPr="0010523F" w14:paraId="7245E0EA" w14:textId="77777777" w:rsidTr="00774E7E">
        <w:trPr>
          <w:trHeight w:val="170"/>
        </w:trPr>
        <w:tc>
          <w:tcPr>
            <w:tcW w:w="2835" w:type="dxa"/>
            <w:tcBorders>
              <w:top w:val="nil"/>
              <w:left w:val="nil"/>
              <w:bottom w:val="nil"/>
              <w:right w:val="nil"/>
            </w:tcBorders>
            <w:shd w:val="clear" w:color="auto" w:fill="auto"/>
            <w:vAlign w:val="center"/>
            <w:hideMark/>
          </w:tcPr>
          <w:p w14:paraId="664298F9" w14:textId="77777777" w:rsidR="0010523F" w:rsidRPr="0010523F" w:rsidRDefault="0010523F" w:rsidP="0010523F">
            <w:pPr>
              <w:spacing w:line="180" w:lineRule="exact"/>
              <w:rPr>
                <w:color w:val="000000"/>
                <w:sz w:val="22"/>
                <w:szCs w:val="22"/>
                <w:lang w:val="es-AR" w:eastAsia="es-AR"/>
              </w:rPr>
            </w:pPr>
          </w:p>
        </w:tc>
        <w:tc>
          <w:tcPr>
            <w:tcW w:w="835" w:type="dxa"/>
            <w:tcBorders>
              <w:top w:val="nil"/>
              <w:left w:val="nil"/>
              <w:bottom w:val="nil"/>
              <w:right w:val="nil"/>
            </w:tcBorders>
            <w:shd w:val="clear" w:color="auto" w:fill="auto"/>
            <w:vAlign w:val="bottom"/>
            <w:hideMark/>
          </w:tcPr>
          <w:p w14:paraId="23F3799A" w14:textId="77777777" w:rsidR="0010523F" w:rsidRPr="0010523F" w:rsidRDefault="0010523F" w:rsidP="0010523F">
            <w:pPr>
              <w:spacing w:line="180" w:lineRule="exact"/>
              <w:jc w:val="right"/>
              <w:rPr>
                <w:color w:val="000000"/>
                <w:sz w:val="22"/>
                <w:szCs w:val="22"/>
                <w:lang w:val="es-AR" w:eastAsia="es-AR"/>
              </w:rPr>
            </w:pPr>
          </w:p>
        </w:tc>
        <w:tc>
          <w:tcPr>
            <w:tcW w:w="397" w:type="dxa"/>
            <w:tcBorders>
              <w:top w:val="nil"/>
              <w:left w:val="nil"/>
              <w:bottom w:val="nil"/>
              <w:right w:val="nil"/>
            </w:tcBorders>
            <w:shd w:val="clear" w:color="auto" w:fill="auto"/>
            <w:vAlign w:val="bottom"/>
            <w:hideMark/>
          </w:tcPr>
          <w:p w14:paraId="4E8CC70F" w14:textId="77777777" w:rsidR="0010523F" w:rsidRPr="0010523F" w:rsidRDefault="0010523F" w:rsidP="0010523F">
            <w:pPr>
              <w:spacing w:line="180" w:lineRule="exact"/>
              <w:jc w:val="right"/>
              <w:rPr>
                <w:color w:val="000000"/>
                <w:sz w:val="22"/>
                <w:szCs w:val="22"/>
                <w:highlight w:val="yellow"/>
                <w:lang w:val="es-AR" w:eastAsia="es-AR"/>
              </w:rPr>
            </w:pPr>
          </w:p>
        </w:tc>
        <w:tc>
          <w:tcPr>
            <w:tcW w:w="1178" w:type="dxa"/>
            <w:tcBorders>
              <w:top w:val="nil"/>
              <w:left w:val="nil"/>
              <w:bottom w:val="nil"/>
              <w:right w:val="nil"/>
            </w:tcBorders>
            <w:shd w:val="clear" w:color="auto" w:fill="auto"/>
            <w:vAlign w:val="bottom"/>
            <w:hideMark/>
          </w:tcPr>
          <w:p w14:paraId="09BD7A8C" w14:textId="77777777" w:rsidR="0010523F" w:rsidRPr="0010523F" w:rsidRDefault="0010523F" w:rsidP="0010523F">
            <w:pPr>
              <w:spacing w:line="180" w:lineRule="exact"/>
              <w:ind w:right="213"/>
              <w:jc w:val="right"/>
              <w:rPr>
                <w:color w:val="000000"/>
                <w:sz w:val="22"/>
                <w:szCs w:val="22"/>
                <w:lang w:val="es-AR" w:eastAsia="es-AR"/>
              </w:rPr>
            </w:pPr>
          </w:p>
        </w:tc>
        <w:tc>
          <w:tcPr>
            <w:tcW w:w="724" w:type="dxa"/>
            <w:tcBorders>
              <w:top w:val="nil"/>
              <w:left w:val="nil"/>
              <w:bottom w:val="nil"/>
              <w:right w:val="nil"/>
            </w:tcBorders>
            <w:shd w:val="clear" w:color="auto" w:fill="auto"/>
            <w:vAlign w:val="bottom"/>
            <w:hideMark/>
          </w:tcPr>
          <w:p w14:paraId="4512F625" w14:textId="77777777" w:rsidR="0010523F" w:rsidRPr="0010523F" w:rsidRDefault="0010523F" w:rsidP="0010523F">
            <w:pPr>
              <w:spacing w:line="180" w:lineRule="exact"/>
              <w:ind w:left="-212"/>
              <w:jc w:val="right"/>
              <w:rPr>
                <w:color w:val="000000"/>
                <w:sz w:val="22"/>
                <w:szCs w:val="22"/>
                <w:lang w:val="es-AR" w:eastAsia="es-AR"/>
              </w:rPr>
            </w:pPr>
          </w:p>
        </w:tc>
        <w:tc>
          <w:tcPr>
            <w:tcW w:w="440" w:type="dxa"/>
            <w:tcBorders>
              <w:top w:val="nil"/>
              <w:left w:val="nil"/>
              <w:bottom w:val="nil"/>
              <w:right w:val="nil"/>
            </w:tcBorders>
          </w:tcPr>
          <w:p w14:paraId="0379C682" w14:textId="77777777" w:rsidR="0010523F" w:rsidRPr="0010523F" w:rsidRDefault="0010523F" w:rsidP="0010523F">
            <w:pPr>
              <w:spacing w:line="180" w:lineRule="exact"/>
              <w:jc w:val="right"/>
              <w:rPr>
                <w:color w:val="000000"/>
                <w:sz w:val="22"/>
                <w:szCs w:val="22"/>
                <w:highlight w:val="yellow"/>
                <w:lang w:val="es-AR" w:eastAsia="es-AR"/>
              </w:rPr>
            </w:pPr>
          </w:p>
        </w:tc>
        <w:tc>
          <w:tcPr>
            <w:tcW w:w="1170" w:type="dxa"/>
            <w:tcBorders>
              <w:top w:val="nil"/>
              <w:left w:val="nil"/>
              <w:bottom w:val="nil"/>
              <w:right w:val="nil"/>
            </w:tcBorders>
            <w:shd w:val="clear" w:color="auto" w:fill="auto"/>
            <w:vAlign w:val="bottom"/>
            <w:hideMark/>
          </w:tcPr>
          <w:p w14:paraId="71C10D44" w14:textId="77777777" w:rsidR="0010523F" w:rsidRPr="0010523F" w:rsidRDefault="0010523F" w:rsidP="0010523F">
            <w:pPr>
              <w:spacing w:line="180" w:lineRule="exact"/>
              <w:jc w:val="right"/>
              <w:rPr>
                <w:color w:val="000000"/>
                <w:sz w:val="22"/>
                <w:szCs w:val="22"/>
                <w:lang w:val="es-AR" w:eastAsia="es-AR"/>
              </w:rPr>
            </w:pPr>
          </w:p>
        </w:tc>
        <w:tc>
          <w:tcPr>
            <w:tcW w:w="510" w:type="dxa"/>
            <w:tcBorders>
              <w:top w:val="nil"/>
              <w:left w:val="nil"/>
              <w:bottom w:val="nil"/>
              <w:right w:val="nil"/>
            </w:tcBorders>
          </w:tcPr>
          <w:p w14:paraId="1626D1B5" w14:textId="77777777" w:rsidR="0010523F" w:rsidRPr="0010523F" w:rsidRDefault="0010523F" w:rsidP="0010523F">
            <w:pPr>
              <w:spacing w:line="180" w:lineRule="exact"/>
              <w:jc w:val="right"/>
              <w:rPr>
                <w:color w:val="000000"/>
                <w:sz w:val="22"/>
                <w:szCs w:val="22"/>
                <w:highlight w:val="yellow"/>
                <w:lang w:val="es-AR" w:eastAsia="es-AR"/>
              </w:rPr>
            </w:pPr>
          </w:p>
        </w:tc>
        <w:tc>
          <w:tcPr>
            <w:tcW w:w="1106" w:type="dxa"/>
            <w:tcBorders>
              <w:top w:val="nil"/>
              <w:left w:val="nil"/>
              <w:bottom w:val="nil"/>
              <w:right w:val="nil"/>
            </w:tcBorders>
            <w:shd w:val="clear" w:color="auto" w:fill="auto"/>
            <w:vAlign w:val="bottom"/>
            <w:hideMark/>
          </w:tcPr>
          <w:p w14:paraId="6A47C4B9" w14:textId="77777777" w:rsidR="0010523F" w:rsidRPr="0010523F" w:rsidRDefault="0010523F" w:rsidP="0010523F">
            <w:pPr>
              <w:spacing w:line="180" w:lineRule="exact"/>
              <w:jc w:val="right"/>
              <w:rPr>
                <w:color w:val="000000"/>
                <w:sz w:val="22"/>
                <w:szCs w:val="22"/>
                <w:lang w:val="es-AR" w:eastAsia="es-AR"/>
              </w:rPr>
            </w:pPr>
          </w:p>
        </w:tc>
        <w:tc>
          <w:tcPr>
            <w:tcW w:w="1011" w:type="dxa"/>
            <w:tcBorders>
              <w:top w:val="nil"/>
              <w:left w:val="nil"/>
              <w:bottom w:val="nil"/>
              <w:right w:val="nil"/>
            </w:tcBorders>
            <w:shd w:val="clear" w:color="auto" w:fill="auto"/>
            <w:vAlign w:val="bottom"/>
            <w:hideMark/>
          </w:tcPr>
          <w:p w14:paraId="5E52E158" w14:textId="77777777" w:rsidR="0010523F" w:rsidRPr="0010523F" w:rsidRDefault="0010523F" w:rsidP="0010523F">
            <w:pPr>
              <w:spacing w:line="180" w:lineRule="exact"/>
              <w:jc w:val="right"/>
              <w:rPr>
                <w:color w:val="000000"/>
                <w:sz w:val="22"/>
                <w:szCs w:val="22"/>
                <w:lang w:val="es-AR" w:eastAsia="es-AR"/>
              </w:rPr>
            </w:pPr>
          </w:p>
        </w:tc>
        <w:tc>
          <w:tcPr>
            <w:tcW w:w="425" w:type="dxa"/>
            <w:tcBorders>
              <w:top w:val="nil"/>
              <w:left w:val="nil"/>
              <w:bottom w:val="nil"/>
              <w:right w:val="nil"/>
            </w:tcBorders>
            <w:shd w:val="clear" w:color="auto" w:fill="auto"/>
            <w:vAlign w:val="bottom"/>
            <w:hideMark/>
          </w:tcPr>
          <w:p w14:paraId="2C9BDBA4" w14:textId="77777777" w:rsidR="0010523F" w:rsidRPr="0010523F" w:rsidRDefault="0010523F" w:rsidP="0010523F">
            <w:pPr>
              <w:spacing w:line="180" w:lineRule="exact"/>
              <w:jc w:val="right"/>
              <w:rPr>
                <w:color w:val="000000"/>
                <w:sz w:val="22"/>
                <w:szCs w:val="22"/>
                <w:highlight w:val="yellow"/>
                <w:lang w:val="es-AR" w:eastAsia="es-AR"/>
              </w:rPr>
            </w:pPr>
          </w:p>
        </w:tc>
      </w:tr>
      <w:tr w:rsidR="0010523F" w:rsidRPr="0010523F" w14:paraId="64384BF1" w14:textId="77777777" w:rsidTr="00774E7E">
        <w:trPr>
          <w:trHeight w:val="300"/>
        </w:trPr>
        <w:tc>
          <w:tcPr>
            <w:tcW w:w="2835" w:type="dxa"/>
            <w:tcBorders>
              <w:top w:val="nil"/>
              <w:left w:val="nil"/>
              <w:bottom w:val="nil"/>
              <w:right w:val="nil"/>
            </w:tcBorders>
            <w:shd w:val="clear" w:color="auto" w:fill="auto"/>
            <w:vAlign w:val="center"/>
            <w:hideMark/>
          </w:tcPr>
          <w:p w14:paraId="7DD27601" w14:textId="77777777" w:rsidR="0010523F" w:rsidRPr="0010523F" w:rsidRDefault="0010523F" w:rsidP="0010523F">
            <w:pPr>
              <w:rPr>
                <w:color w:val="000000"/>
                <w:sz w:val="22"/>
                <w:szCs w:val="22"/>
                <w:lang w:val="es-AR" w:eastAsia="es-AR"/>
              </w:rPr>
            </w:pPr>
            <w:r w:rsidRPr="0010523F">
              <w:rPr>
                <w:color w:val="000000"/>
                <w:sz w:val="22"/>
                <w:szCs w:val="22"/>
                <w:lang w:val="es-AR" w:eastAsia="es-AR"/>
              </w:rPr>
              <w:t>Total deducidas del activo al 31/12/2018</w:t>
            </w:r>
          </w:p>
        </w:tc>
        <w:tc>
          <w:tcPr>
            <w:tcW w:w="835" w:type="dxa"/>
            <w:tcBorders>
              <w:top w:val="nil"/>
              <w:left w:val="nil"/>
              <w:bottom w:val="nil"/>
              <w:right w:val="nil"/>
            </w:tcBorders>
            <w:shd w:val="clear" w:color="auto" w:fill="auto"/>
            <w:vAlign w:val="bottom"/>
            <w:hideMark/>
          </w:tcPr>
          <w:p w14:paraId="0E05EE17" w14:textId="77777777" w:rsidR="0010523F" w:rsidRPr="0010523F" w:rsidRDefault="0010523F" w:rsidP="0010523F">
            <w:pPr>
              <w:jc w:val="right"/>
              <w:rPr>
                <w:color w:val="000000"/>
                <w:sz w:val="22"/>
                <w:szCs w:val="22"/>
                <w:u w:val="double"/>
                <w:lang w:val="es-AR" w:eastAsia="es-AR"/>
              </w:rPr>
            </w:pPr>
            <w:r w:rsidRPr="0010523F">
              <w:rPr>
                <w:bCs/>
                <w:color w:val="000000"/>
                <w:sz w:val="22"/>
                <w:szCs w:val="22"/>
                <w:u w:val="double"/>
                <w:lang w:val="es-AR" w:eastAsia="es-AR"/>
              </w:rPr>
              <w:t>12.169</w:t>
            </w:r>
          </w:p>
        </w:tc>
        <w:tc>
          <w:tcPr>
            <w:tcW w:w="397" w:type="dxa"/>
            <w:tcBorders>
              <w:top w:val="nil"/>
              <w:left w:val="nil"/>
              <w:bottom w:val="nil"/>
              <w:right w:val="nil"/>
            </w:tcBorders>
            <w:shd w:val="clear" w:color="auto" w:fill="auto"/>
            <w:vAlign w:val="bottom"/>
            <w:hideMark/>
          </w:tcPr>
          <w:p w14:paraId="148BA739" w14:textId="77777777" w:rsidR="0010523F" w:rsidRPr="0010523F" w:rsidRDefault="0010523F" w:rsidP="0010523F">
            <w:pPr>
              <w:jc w:val="right"/>
              <w:rPr>
                <w:color w:val="000000"/>
                <w:sz w:val="22"/>
                <w:szCs w:val="22"/>
                <w:highlight w:val="yellow"/>
                <w:lang w:val="es-AR" w:eastAsia="es-AR"/>
              </w:rPr>
            </w:pPr>
          </w:p>
        </w:tc>
        <w:tc>
          <w:tcPr>
            <w:tcW w:w="1178" w:type="dxa"/>
            <w:tcBorders>
              <w:top w:val="nil"/>
              <w:left w:val="nil"/>
              <w:bottom w:val="nil"/>
              <w:right w:val="nil"/>
            </w:tcBorders>
            <w:shd w:val="clear" w:color="auto" w:fill="auto"/>
            <w:vAlign w:val="bottom"/>
            <w:hideMark/>
          </w:tcPr>
          <w:p w14:paraId="4C9AF865" w14:textId="77777777" w:rsidR="0010523F" w:rsidRPr="0010523F" w:rsidRDefault="0010523F" w:rsidP="0010523F">
            <w:pPr>
              <w:ind w:right="213"/>
              <w:jc w:val="right"/>
              <w:rPr>
                <w:color w:val="000000"/>
                <w:sz w:val="22"/>
                <w:szCs w:val="22"/>
                <w:u w:val="double"/>
                <w:lang w:val="es-AR" w:eastAsia="es-AR"/>
              </w:rPr>
            </w:pPr>
            <w:r w:rsidRPr="0010523F">
              <w:rPr>
                <w:bCs/>
                <w:color w:val="000000"/>
                <w:sz w:val="22"/>
                <w:szCs w:val="22"/>
                <w:u w:val="double"/>
                <w:lang w:val="es-AR" w:eastAsia="es-AR"/>
              </w:rPr>
              <w:t>22</w:t>
            </w:r>
          </w:p>
        </w:tc>
        <w:tc>
          <w:tcPr>
            <w:tcW w:w="724" w:type="dxa"/>
            <w:tcBorders>
              <w:top w:val="nil"/>
              <w:left w:val="nil"/>
              <w:bottom w:val="nil"/>
              <w:right w:val="nil"/>
            </w:tcBorders>
            <w:shd w:val="clear" w:color="auto" w:fill="auto"/>
            <w:vAlign w:val="bottom"/>
            <w:hideMark/>
          </w:tcPr>
          <w:p w14:paraId="7038077E" w14:textId="77777777" w:rsidR="0010523F" w:rsidRPr="0010523F" w:rsidRDefault="0010523F" w:rsidP="0010523F">
            <w:pPr>
              <w:ind w:left="-212"/>
              <w:jc w:val="right"/>
              <w:rPr>
                <w:color w:val="000000"/>
                <w:sz w:val="22"/>
                <w:szCs w:val="22"/>
                <w:u w:val="double"/>
                <w:lang w:val="es-AR" w:eastAsia="es-AR"/>
              </w:rPr>
            </w:pPr>
            <w:r w:rsidRPr="0010523F">
              <w:rPr>
                <w:bCs/>
                <w:color w:val="000000"/>
                <w:sz w:val="22"/>
                <w:szCs w:val="22"/>
                <w:u w:val="double"/>
                <w:lang w:val="es-AR" w:eastAsia="es-AR"/>
              </w:rPr>
              <w:t>711</w:t>
            </w:r>
          </w:p>
        </w:tc>
        <w:tc>
          <w:tcPr>
            <w:tcW w:w="440" w:type="dxa"/>
            <w:tcBorders>
              <w:top w:val="nil"/>
              <w:left w:val="nil"/>
              <w:bottom w:val="nil"/>
              <w:right w:val="nil"/>
            </w:tcBorders>
          </w:tcPr>
          <w:p w14:paraId="30844D95" w14:textId="77777777" w:rsidR="0010523F" w:rsidRPr="0010523F" w:rsidRDefault="0010523F" w:rsidP="0010523F">
            <w:pPr>
              <w:jc w:val="right"/>
              <w:rPr>
                <w:bCs/>
                <w:color w:val="000000"/>
                <w:sz w:val="22"/>
                <w:szCs w:val="22"/>
                <w:highlight w:val="yellow"/>
                <w:lang w:val="es-AR" w:eastAsia="es-AR"/>
              </w:rPr>
            </w:pPr>
          </w:p>
        </w:tc>
        <w:tc>
          <w:tcPr>
            <w:tcW w:w="1170" w:type="dxa"/>
            <w:tcBorders>
              <w:top w:val="nil"/>
              <w:left w:val="nil"/>
              <w:bottom w:val="nil"/>
              <w:right w:val="nil"/>
            </w:tcBorders>
            <w:shd w:val="clear" w:color="auto" w:fill="auto"/>
            <w:vAlign w:val="bottom"/>
            <w:hideMark/>
          </w:tcPr>
          <w:p w14:paraId="5EA11AAE" w14:textId="77777777" w:rsidR="0010523F" w:rsidRPr="0010523F" w:rsidRDefault="0010523F" w:rsidP="0010523F">
            <w:pPr>
              <w:jc w:val="right"/>
              <w:rPr>
                <w:color w:val="000000"/>
                <w:sz w:val="22"/>
                <w:szCs w:val="22"/>
                <w:u w:val="double"/>
                <w:lang w:val="es-AR" w:eastAsia="es-AR"/>
              </w:rPr>
            </w:pPr>
            <w:r w:rsidRPr="0010523F">
              <w:rPr>
                <w:bCs/>
                <w:color w:val="000000"/>
                <w:sz w:val="22"/>
                <w:szCs w:val="22"/>
                <w:lang w:val="es-AR" w:eastAsia="es-AR"/>
              </w:rPr>
              <w:t>(</w:t>
            </w:r>
            <w:r w:rsidRPr="0010523F">
              <w:rPr>
                <w:bCs/>
                <w:color w:val="000000"/>
                <w:sz w:val="22"/>
                <w:szCs w:val="22"/>
                <w:u w:val="double"/>
                <w:lang w:val="es-AR" w:eastAsia="es-AR"/>
              </w:rPr>
              <w:t>3.030</w:t>
            </w:r>
            <w:r w:rsidRPr="0010523F">
              <w:rPr>
                <w:bCs/>
                <w:color w:val="000000"/>
                <w:sz w:val="22"/>
                <w:szCs w:val="22"/>
                <w:lang w:val="es-AR" w:eastAsia="es-AR"/>
              </w:rPr>
              <w:t>)</w:t>
            </w:r>
          </w:p>
        </w:tc>
        <w:tc>
          <w:tcPr>
            <w:tcW w:w="510" w:type="dxa"/>
            <w:tcBorders>
              <w:top w:val="nil"/>
              <w:left w:val="nil"/>
              <w:bottom w:val="nil"/>
              <w:right w:val="nil"/>
            </w:tcBorders>
          </w:tcPr>
          <w:p w14:paraId="65895EF9" w14:textId="77777777" w:rsidR="0010523F" w:rsidRPr="0010523F" w:rsidRDefault="0010523F" w:rsidP="0010523F">
            <w:pPr>
              <w:jc w:val="right"/>
              <w:rPr>
                <w:bCs/>
                <w:color w:val="000000"/>
                <w:sz w:val="22"/>
                <w:szCs w:val="22"/>
                <w:highlight w:val="yellow"/>
                <w:u w:val="double"/>
                <w:lang w:val="es-AR" w:eastAsia="es-AR"/>
              </w:rPr>
            </w:pPr>
          </w:p>
        </w:tc>
        <w:tc>
          <w:tcPr>
            <w:tcW w:w="1106" w:type="dxa"/>
            <w:tcBorders>
              <w:top w:val="nil"/>
              <w:left w:val="nil"/>
              <w:bottom w:val="nil"/>
              <w:right w:val="nil"/>
            </w:tcBorders>
            <w:shd w:val="clear" w:color="auto" w:fill="auto"/>
            <w:vAlign w:val="bottom"/>
            <w:hideMark/>
          </w:tcPr>
          <w:p w14:paraId="620D6786" w14:textId="77777777" w:rsidR="0010523F" w:rsidRPr="0010523F" w:rsidRDefault="0010523F" w:rsidP="0010523F">
            <w:pPr>
              <w:jc w:val="right"/>
              <w:rPr>
                <w:color w:val="000000"/>
                <w:sz w:val="22"/>
                <w:szCs w:val="22"/>
                <w:u w:val="double"/>
                <w:lang w:val="es-AR" w:eastAsia="es-AR"/>
              </w:rPr>
            </w:pPr>
            <w:r w:rsidRPr="0010523F">
              <w:rPr>
                <w:bCs/>
                <w:color w:val="000000"/>
                <w:sz w:val="22"/>
                <w:szCs w:val="22"/>
                <w:u w:val="double"/>
                <w:lang w:val="es-AR" w:eastAsia="es-AR"/>
              </w:rPr>
              <w:t>12.123</w:t>
            </w:r>
          </w:p>
        </w:tc>
        <w:tc>
          <w:tcPr>
            <w:tcW w:w="1011" w:type="dxa"/>
            <w:tcBorders>
              <w:top w:val="nil"/>
              <w:left w:val="nil"/>
              <w:bottom w:val="nil"/>
              <w:right w:val="nil"/>
            </w:tcBorders>
            <w:shd w:val="clear" w:color="auto" w:fill="auto"/>
            <w:vAlign w:val="bottom"/>
            <w:hideMark/>
          </w:tcPr>
          <w:p w14:paraId="37495D31" w14:textId="77777777" w:rsidR="0010523F" w:rsidRPr="0010523F" w:rsidRDefault="0010523F" w:rsidP="0010523F">
            <w:pPr>
              <w:jc w:val="right"/>
              <w:rPr>
                <w:color w:val="000000"/>
                <w:sz w:val="22"/>
                <w:szCs w:val="22"/>
                <w:u w:val="double"/>
                <w:lang w:val="es-AR" w:eastAsia="es-AR"/>
              </w:rPr>
            </w:pPr>
            <w:r w:rsidRPr="0010523F">
              <w:rPr>
                <w:bCs/>
                <w:color w:val="000000"/>
                <w:sz w:val="22"/>
                <w:szCs w:val="22"/>
                <w:u w:val="double"/>
                <w:lang w:val="es-AR" w:eastAsia="es-AR"/>
              </w:rPr>
              <w:t>21.995</w:t>
            </w:r>
          </w:p>
        </w:tc>
        <w:tc>
          <w:tcPr>
            <w:tcW w:w="425" w:type="dxa"/>
            <w:tcBorders>
              <w:top w:val="nil"/>
              <w:left w:val="nil"/>
              <w:bottom w:val="nil"/>
              <w:right w:val="nil"/>
            </w:tcBorders>
            <w:shd w:val="clear" w:color="auto" w:fill="auto"/>
            <w:vAlign w:val="bottom"/>
            <w:hideMark/>
          </w:tcPr>
          <w:p w14:paraId="1488EEA7" w14:textId="77777777" w:rsidR="0010523F" w:rsidRPr="0010523F" w:rsidRDefault="0010523F" w:rsidP="0010523F">
            <w:pPr>
              <w:jc w:val="right"/>
              <w:rPr>
                <w:color w:val="000000"/>
                <w:sz w:val="22"/>
                <w:szCs w:val="22"/>
                <w:highlight w:val="yellow"/>
                <w:lang w:val="es-AR" w:eastAsia="es-AR"/>
              </w:rPr>
            </w:pPr>
          </w:p>
        </w:tc>
      </w:tr>
    </w:tbl>
    <w:p w14:paraId="5EC63D22" w14:textId="77777777" w:rsidR="0010523F" w:rsidRPr="0010523F" w:rsidRDefault="0010523F" w:rsidP="0010523F">
      <w:pPr>
        <w:spacing w:line="220" w:lineRule="exact"/>
        <w:jc w:val="both"/>
        <w:rPr>
          <w:sz w:val="20"/>
          <w:szCs w:val="20"/>
          <w:lang w:val="es-AR" w:eastAsia="en-US"/>
        </w:rPr>
      </w:pPr>
    </w:p>
    <w:p w14:paraId="7624205C" w14:textId="77777777" w:rsidR="0010523F" w:rsidRPr="0010523F" w:rsidRDefault="0010523F" w:rsidP="00E2318E">
      <w:pPr>
        <w:numPr>
          <w:ilvl w:val="0"/>
          <w:numId w:val="56"/>
        </w:numPr>
        <w:spacing w:line="220" w:lineRule="exact"/>
        <w:ind w:left="567" w:hanging="425"/>
        <w:contextualSpacing/>
        <w:jc w:val="both"/>
        <w:rPr>
          <w:sz w:val="20"/>
          <w:szCs w:val="20"/>
          <w:lang w:val="es-AR" w:eastAsia="en-US"/>
        </w:rPr>
      </w:pPr>
      <w:r w:rsidRPr="0010523F">
        <w:rPr>
          <w:sz w:val="20"/>
          <w:szCs w:val="20"/>
          <w:lang w:val="es-AR" w:eastAsia="en-US"/>
        </w:rPr>
        <w:t>Está compuesto por 149 (102 al comienzo del ejercicio) deducidos de otros créditos corrientes y 926 (640 al comienzo del ejercicio) deducidos de créditos por ventas.</w:t>
      </w:r>
    </w:p>
    <w:p w14:paraId="62FA4F8C" w14:textId="77777777" w:rsidR="0010523F" w:rsidRPr="0010523F" w:rsidRDefault="0010523F" w:rsidP="00E2318E">
      <w:pPr>
        <w:numPr>
          <w:ilvl w:val="0"/>
          <w:numId w:val="56"/>
        </w:numPr>
        <w:spacing w:line="220" w:lineRule="exact"/>
        <w:ind w:left="567" w:hanging="425"/>
        <w:contextualSpacing/>
        <w:jc w:val="both"/>
        <w:rPr>
          <w:sz w:val="20"/>
          <w:szCs w:val="20"/>
          <w:lang w:val="es-AR" w:eastAsia="en-US"/>
        </w:rPr>
      </w:pPr>
      <w:r w:rsidRPr="0010523F">
        <w:rPr>
          <w:sz w:val="20"/>
          <w:szCs w:val="20"/>
          <w:lang w:val="es-AR" w:eastAsia="en-US"/>
        </w:rPr>
        <w:t>Corresponde a cargos del período por deterioro de activos financieros incluidos en la línea (Deterioro) recupero neto de activos financieros en el estado del resultado intermedio condensado.</w:t>
      </w:r>
    </w:p>
    <w:p w14:paraId="37CA9DE1" w14:textId="77777777" w:rsidR="0010523F" w:rsidRPr="0010523F" w:rsidRDefault="0010523F" w:rsidP="00E2318E">
      <w:pPr>
        <w:numPr>
          <w:ilvl w:val="0"/>
          <w:numId w:val="56"/>
        </w:numPr>
        <w:spacing w:line="220" w:lineRule="exact"/>
        <w:ind w:left="567" w:hanging="425"/>
        <w:contextualSpacing/>
        <w:jc w:val="both"/>
        <w:rPr>
          <w:sz w:val="20"/>
          <w:szCs w:val="20"/>
          <w:lang w:val="es-AR" w:eastAsia="en-US"/>
        </w:rPr>
      </w:pPr>
      <w:r w:rsidRPr="0010523F">
        <w:rPr>
          <w:sz w:val="20"/>
          <w:szCs w:val="20"/>
          <w:lang w:val="es-AR" w:eastAsia="en-US"/>
        </w:rPr>
        <w:t>Corresponde a disminuciones por recupero imputadas a la línea (Deterioro) recupero neto de activos financieros en el estado del resultado intermedio condensado.</w:t>
      </w:r>
    </w:p>
    <w:p w14:paraId="7317896A" w14:textId="77777777" w:rsidR="0010523F" w:rsidRPr="0010523F" w:rsidRDefault="0010523F" w:rsidP="00E2318E">
      <w:pPr>
        <w:numPr>
          <w:ilvl w:val="0"/>
          <w:numId w:val="56"/>
        </w:numPr>
        <w:spacing w:line="220" w:lineRule="exact"/>
        <w:ind w:left="567" w:hanging="425"/>
        <w:contextualSpacing/>
        <w:jc w:val="both"/>
        <w:rPr>
          <w:sz w:val="20"/>
          <w:szCs w:val="20"/>
          <w:lang w:val="es-AR" w:eastAsia="en-US"/>
        </w:rPr>
      </w:pPr>
      <w:r w:rsidRPr="0010523F">
        <w:rPr>
          <w:sz w:val="20"/>
          <w:szCs w:val="20"/>
          <w:lang w:val="es-AR" w:eastAsia="en-US"/>
        </w:rPr>
        <w:t xml:space="preserve">Corresponde a cargos del período incluidos en la línea costo de ventas en el estado del resultado intermedio condensado. </w:t>
      </w:r>
    </w:p>
    <w:p w14:paraId="68FFAF0D" w14:textId="77777777" w:rsidR="0010523F" w:rsidRPr="0010523F" w:rsidRDefault="0010523F" w:rsidP="00E2318E">
      <w:pPr>
        <w:numPr>
          <w:ilvl w:val="0"/>
          <w:numId w:val="56"/>
        </w:numPr>
        <w:spacing w:line="220" w:lineRule="exact"/>
        <w:ind w:left="567" w:hanging="425"/>
        <w:contextualSpacing/>
        <w:jc w:val="both"/>
        <w:rPr>
          <w:sz w:val="20"/>
          <w:szCs w:val="20"/>
          <w:lang w:val="es-AR" w:eastAsia="en-US"/>
        </w:rPr>
      </w:pPr>
      <w:r w:rsidRPr="0010523F">
        <w:rPr>
          <w:sz w:val="20"/>
          <w:szCs w:val="20"/>
          <w:lang w:val="es-AR" w:eastAsia="en-US"/>
        </w:rPr>
        <w:t>Está compuesto por 31.088 (20.447 al comienzo del ejercicio) deducidos del rubro propiedad, planta y equipo (ver Nota 3.a) y por 134 (88 al comienzo del ejercicio) deducidos del rubro activos intangibles (ver Nota 3.b).</w:t>
      </w:r>
    </w:p>
    <w:p w14:paraId="33EB7631" w14:textId="77777777" w:rsidR="0010523F" w:rsidRPr="0010523F" w:rsidRDefault="0010523F" w:rsidP="0010523F">
      <w:pPr>
        <w:spacing w:line="180" w:lineRule="exact"/>
        <w:ind w:left="426"/>
        <w:contextualSpacing/>
        <w:jc w:val="both"/>
        <w:rPr>
          <w:sz w:val="18"/>
          <w:szCs w:val="18"/>
          <w:lang w:val="es-AR" w:eastAsia="en-US"/>
        </w:rPr>
      </w:pPr>
    </w:p>
    <w:bookmarkEnd w:id="172"/>
    <w:bookmarkEnd w:id="173"/>
    <w:p w14:paraId="6B2201ED" w14:textId="77777777" w:rsidR="0010523F" w:rsidRPr="0010523F" w:rsidRDefault="0010523F" w:rsidP="0010523F">
      <w:pPr>
        <w:spacing w:line="120" w:lineRule="exact"/>
        <w:jc w:val="both"/>
        <w:rPr>
          <w:szCs w:val="20"/>
          <w:lang w:val="es-AR" w:eastAsia="en-US"/>
        </w:rPr>
      </w:pPr>
    </w:p>
    <w:p w14:paraId="12B0CFEB" w14:textId="77777777" w:rsidR="0010523F" w:rsidRPr="0010523F" w:rsidRDefault="0010523F" w:rsidP="0010523F">
      <w:pPr>
        <w:rPr>
          <w:sz w:val="18"/>
          <w:szCs w:val="18"/>
          <w:lang w:val="pt-BR" w:eastAsia="en-US"/>
        </w:rPr>
      </w:pPr>
      <w:r w:rsidRPr="0010523F">
        <w:rPr>
          <w:sz w:val="18"/>
          <w:szCs w:val="18"/>
          <w:lang w:val="pt-BR" w:eastAsia="en-US"/>
        </w:rPr>
        <w:br w:type="page"/>
      </w:r>
    </w:p>
    <w:p w14:paraId="242536BA" w14:textId="77777777" w:rsidR="0010523F" w:rsidRPr="0010523F" w:rsidRDefault="0010523F" w:rsidP="0010523F">
      <w:pPr>
        <w:widowControl w:val="0"/>
        <w:tabs>
          <w:tab w:val="center" w:pos="1980"/>
          <w:tab w:val="center" w:pos="8080"/>
          <w:tab w:val="center" w:pos="12474"/>
        </w:tabs>
        <w:ind w:right="11"/>
        <w:jc w:val="both"/>
        <w:rPr>
          <w:sz w:val="18"/>
          <w:szCs w:val="18"/>
          <w:lang w:val="pt-BR" w:eastAsia="en-US"/>
        </w:rPr>
      </w:pPr>
    </w:p>
    <w:p w14:paraId="42B13491" w14:textId="77777777" w:rsidR="0010523F" w:rsidRPr="0010523F" w:rsidRDefault="0010523F" w:rsidP="0010523F">
      <w:pPr>
        <w:keepNext/>
        <w:tabs>
          <w:tab w:val="right" w:pos="5596"/>
        </w:tabs>
        <w:spacing w:line="220" w:lineRule="exact"/>
        <w:jc w:val="right"/>
        <w:outlineLvl w:val="0"/>
        <w:rPr>
          <w:b/>
          <w:szCs w:val="20"/>
          <w:lang w:val="pt-BR" w:eastAsia="en-US"/>
        </w:rPr>
      </w:pPr>
      <w:r w:rsidRPr="0010523F">
        <w:rPr>
          <w:szCs w:val="20"/>
          <w:lang w:val="pt-BR" w:eastAsia="en-US"/>
        </w:rPr>
        <w:t>ANEXO E - 2</w:t>
      </w:r>
    </w:p>
    <w:p w14:paraId="233A84F4" w14:textId="77777777" w:rsidR="0010523F" w:rsidRPr="0010523F" w:rsidRDefault="0010523F" w:rsidP="0010523F">
      <w:pPr>
        <w:ind w:left="142"/>
        <w:jc w:val="both"/>
        <w:rPr>
          <w:b/>
          <w:lang w:val="es-AR" w:eastAsia="en-US"/>
        </w:rPr>
      </w:pPr>
      <w:r w:rsidRPr="0010523F">
        <w:rPr>
          <w:b/>
          <w:szCs w:val="20"/>
          <w:lang w:val="es-AR" w:eastAsia="en-US"/>
        </w:rPr>
        <w:t>PAN AMERICAN ENERGY, S.L., SUCURSAL ARGENTINA</w:t>
      </w:r>
      <w:r w:rsidRPr="0010523F" w:rsidDel="00151E7A">
        <w:rPr>
          <w:b/>
          <w:lang w:val="es-AR" w:eastAsia="en-US"/>
        </w:rPr>
        <w:t xml:space="preserve"> </w:t>
      </w:r>
    </w:p>
    <w:p w14:paraId="170B5C29" w14:textId="77777777" w:rsidR="0010523F" w:rsidRPr="0010523F" w:rsidRDefault="0010523F" w:rsidP="0010523F">
      <w:pPr>
        <w:ind w:left="142"/>
        <w:jc w:val="both"/>
        <w:rPr>
          <w:sz w:val="19"/>
          <w:szCs w:val="19"/>
          <w:lang w:val="es-AR" w:eastAsia="en-US"/>
        </w:rPr>
      </w:pPr>
    </w:p>
    <w:p w14:paraId="29DB4A5E" w14:textId="77777777" w:rsidR="0010523F" w:rsidRPr="0010523F" w:rsidRDefault="0010523F" w:rsidP="0010523F">
      <w:pPr>
        <w:ind w:left="142"/>
        <w:jc w:val="both"/>
        <w:rPr>
          <w:sz w:val="22"/>
          <w:szCs w:val="22"/>
          <w:lang w:val="es-AR" w:eastAsia="en-US"/>
        </w:rPr>
      </w:pPr>
      <w:r w:rsidRPr="0010523F">
        <w:rPr>
          <w:b/>
          <w:sz w:val="22"/>
          <w:szCs w:val="22"/>
          <w:lang w:val="es-AR" w:eastAsia="en-US"/>
        </w:rPr>
        <w:t xml:space="preserve">PROVISIONES (en millones de pesos) </w:t>
      </w:r>
      <w:r w:rsidRPr="0010523F">
        <w:rPr>
          <w:sz w:val="22"/>
          <w:szCs w:val="22"/>
          <w:lang w:val="es-AR" w:eastAsia="en-US"/>
        </w:rPr>
        <w:t>al 30 de septiembre de 2019 y al 31 de diciembre de 2018</w:t>
      </w:r>
    </w:p>
    <w:p w14:paraId="5CC0B7D6" w14:textId="77777777" w:rsidR="0010523F" w:rsidRPr="0010523F" w:rsidRDefault="0010523F" w:rsidP="0010523F">
      <w:pPr>
        <w:jc w:val="both"/>
        <w:rPr>
          <w:sz w:val="19"/>
          <w:szCs w:val="19"/>
          <w:lang w:val="es-AR" w:eastAsia="en-US"/>
        </w:rPr>
      </w:pPr>
    </w:p>
    <w:tbl>
      <w:tblPr>
        <w:tblW w:w="10773" w:type="dxa"/>
        <w:tblInd w:w="250" w:type="dxa"/>
        <w:tblLayout w:type="fixed"/>
        <w:tblLook w:val="0000" w:firstRow="0" w:lastRow="0" w:firstColumn="0" w:lastColumn="0" w:noHBand="0" w:noVBand="0"/>
      </w:tblPr>
      <w:tblGrid>
        <w:gridCol w:w="3119"/>
        <w:gridCol w:w="1417"/>
        <w:gridCol w:w="1559"/>
        <w:gridCol w:w="861"/>
        <w:gridCol w:w="273"/>
        <w:gridCol w:w="993"/>
        <w:gridCol w:w="283"/>
        <w:gridCol w:w="1134"/>
        <w:gridCol w:w="1134"/>
      </w:tblGrid>
      <w:tr w:rsidR="0010523F" w:rsidRPr="0010523F" w14:paraId="5FAA0830" w14:textId="77777777" w:rsidTr="00774E7E">
        <w:tc>
          <w:tcPr>
            <w:tcW w:w="3119" w:type="dxa"/>
            <w:tcBorders>
              <w:bottom w:val="single" w:sz="8" w:space="0" w:color="auto"/>
            </w:tcBorders>
            <w:vAlign w:val="bottom"/>
          </w:tcPr>
          <w:p w14:paraId="685975B7" w14:textId="77777777" w:rsidR="0010523F" w:rsidRPr="0010523F" w:rsidRDefault="0010523F" w:rsidP="0010523F">
            <w:pPr>
              <w:tabs>
                <w:tab w:val="left" w:pos="3153"/>
              </w:tabs>
              <w:ind w:right="318"/>
              <w:jc w:val="center"/>
              <w:rPr>
                <w:bCs/>
                <w:sz w:val="22"/>
                <w:szCs w:val="22"/>
                <w:lang w:val="es-AR" w:eastAsia="en-US"/>
              </w:rPr>
            </w:pPr>
            <w:r w:rsidRPr="0010523F">
              <w:rPr>
                <w:bCs/>
                <w:sz w:val="22"/>
                <w:szCs w:val="22"/>
                <w:lang w:val="es-AR" w:eastAsia="en-US"/>
              </w:rPr>
              <w:t>Cuenta principal</w:t>
            </w:r>
          </w:p>
        </w:tc>
        <w:tc>
          <w:tcPr>
            <w:tcW w:w="1417" w:type="dxa"/>
            <w:tcBorders>
              <w:bottom w:val="single" w:sz="8" w:space="0" w:color="auto"/>
            </w:tcBorders>
            <w:vAlign w:val="bottom"/>
          </w:tcPr>
          <w:p w14:paraId="4B05D9AD" w14:textId="77777777" w:rsidR="0010523F" w:rsidRPr="0010523F" w:rsidRDefault="0010523F" w:rsidP="0010523F">
            <w:pPr>
              <w:ind w:right="33"/>
              <w:jc w:val="center"/>
              <w:rPr>
                <w:bCs/>
                <w:sz w:val="22"/>
                <w:szCs w:val="22"/>
                <w:lang w:val="es-AR" w:eastAsia="en-US"/>
              </w:rPr>
            </w:pPr>
            <w:r w:rsidRPr="0010523F">
              <w:rPr>
                <w:bCs/>
                <w:color w:val="000000"/>
                <w:sz w:val="22"/>
                <w:szCs w:val="22"/>
                <w:lang w:val="es-AR" w:eastAsia="es-AR"/>
              </w:rPr>
              <w:t>Saldos al comienzo del ejercicio</w:t>
            </w:r>
          </w:p>
        </w:tc>
        <w:tc>
          <w:tcPr>
            <w:tcW w:w="1559" w:type="dxa"/>
            <w:tcBorders>
              <w:bottom w:val="single" w:sz="8" w:space="0" w:color="auto"/>
            </w:tcBorders>
            <w:vAlign w:val="bottom"/>
          </w:tcPr>
          <w:p w14:paraId="3A7CA6C7" w14:textId="77777777" w:rsidR="0010523F" w:rsidRPr="0010523F" w:rsidRDefault="0010523F" w:rsidP="0010523F">
            <w:pPr>
              <w:jc w:val="center"/>
              <w:rPr>
                <w:bCs/>
                <w:sz w:val="22"/>
                <w:szCs w:val="22"/>
                <w:lang w:val="es-AR" w:eastAsia="en-US"/>
              </w:rPr>
            </w:pPr>
            <w:r w:rsidRPr="0010523F">
              <w:rPr>
                <w:bCs/>
                <w:sz w:val="22"/>
                <w:szCs w:val="22"/>
                <w:lang w:val="es-AR" w:eastAsia="en-US"/>
              </w:rPr>
              <w:t xml:space="preserve">Transferencia fondo de comercio </w:t>
            </w:r>
          </w:p>
        </w:tc>
        <w:tc>
          <w:tcPr>
            <w:tcW w:w="1134" w:type="dxa"/>
            <w:gridSpan w:val="2"/>
            <w:tcBorders>
              <w:bottom w:val="single" w:sz="8" w:space="0" w:color="auto"/>
            </w:tcBorders>
            <w:vAlign w:val="bottom"/>
          </w:tcPr>
          <w:p w14:paraId="5B16ED78" w14:textId="77777777" w:rsidR="0010523F" w:rsidRPr="0010523F" w:rsidRDefault="0010523F" w:rsidP="0010523F">
            <w:pPr>
              <w:ind w:left="-251" w:right="-250"/>
              <w:jc w:val="center"/>
              <w:rPr>
                <w:bCs/>
                <w:color w:val="000000"/>
                <w:sz w:val="22"/>
                <w:szCs w:val="22"/>
                <w:lang w:val="es-AR" w:eastAsia="es-AR"/>
              </w:rPr>
            </w:pPr>
            <w:r w:rsidRPr="0010523F">
              <w:rPr>
                <w:bCs/>
                <w:color w:val="000000"/>
                <w:sz w:val="22"/>
                <w:szCs w:val="22"/>
                <w:lang w:val="es-AR" w:eastAsia="es-AR"/>
              </w:rPr>
              <w:t xml:space="preserve">Aumentos </w:t>
            </w:r>
          </w:p>
          <w:p w14:paraId="19A0F1E2" w14:textId="77777777" w:rsidR="0010523F" w:rsidRPr="0010523F" w:rsidRDefault="0010523F" w:rsidP="0010523F">
            <w:pPr>
              <w:ind w:left="-251" w:right="-250"/>
              <w:jc w:val="center"/>
              <w:rPr>
                <w:bCs/>
                <w:color w:val="000000"/>
                <w:sz w:val="22"/>
                <w:szCs w:val="22"/>
                <w:lang w:val="es-AR" w:eastAsia="es-AR"/>
              </w:rPr>
            </w:pPr>
            <w:r w:rsidRPr="0010523F">
              <w:rPr>
                <w:bCs/>
                <w:color w:val="000000"/>
                <w:sz w:val="22"/>
                <w:szCs w:val="22"/>
                <w:lang w:val="es-AR" w:eastAsia="es-AR"/>
              </w:rPr>
              <w:t>del período/</w:t>
            </w:r>
          </w:p>
          <w:p w14:paraId="4E6C240C" w14:textId="77777777" w:rsidR="0010523F" w:rsidRPr="0010523F" w:rsidRDefault="0010523F" w:rsidP="0010523F">
            <w:pPr>
              <w:ind w:left="-251" w:right="-250"/>
              <w:jc w:val="center"/>
              <w:rPr>
                <w:bCs/>
                <w:sz w:val="22"/>
                <w:szCs w:val="22"/>
                <w:lang w:val="es-AR" w:eastAsia="en-US"/>
              </w:rPr>
            </w:pPr>
            <w:r w:rsidRPr="0010523F">
              <w:rPr>
                <w:bCs/>
                <w:color w:val="000000"/>
                <w:sz w:val="22"/>
                <w:szCs w:val="22"/>
                <w:lang w:val="es-AR" w:eastAsia="es-AR"/>
              </w:rPr>
              <w:t>ejercicio</w:t>
            </w:r>
          </w:p>
        </w:tc>
        <w:tc>
          <w:tcPr>
            <w:tcW w:w="1276" w:type="dxa"/>
            <w:gridSpan w:val="2"/>
            <w:tcBorders>
              <w:bottom w:val="single" w:sz="8" w:space="0" w:color="auto"/>
            </w:tcBorders>
            <w:vAlign w:val="bottom"/>
          </w:tcPr>
          <w:p w14:paraId="25AFBC00" w14:textId="77777777" w:rsidR="0010523F" w:rsidRPr="0010523F" w:rsidRDefault="0010523F" w:rsidP="0010523F">
            <w:pPr>
              <w:ind w:left="-79" w:right="-108"/>
              <w:jc w:val="center"/>
              <w:rPr>
                <w:bCs/>
                <w:color w:val="000000"/>
                <w:sz w:val="22"/>
                <w:szCs w:val="22"/>
                <w:lang w:val="es-AR" w:eastAsia="es-AR"/>
              </w:rPr>
            </w:pPr>
            <w:r w:rsidRPr="0010523F">
              <w:rPr>
                <w:bCs/>
                <w:color w:val="000000"/>
                <w:sz w:val="22"/>
                <w:szCs w:val="22"/>
                <w:lang w:val="es-AR" w:eastAsia="es-AR"/>
              </w:rPr>
              <w:t>Disminu-ciones del período/</w:t>
            </w:r>
          </w:p>
          <w:p w14:paraId="61CC0518" w14:textId="77777777" w:rsidR="0010523F" w:rsidRPr="0010523F" w:rsidRDefault="0010523F" w:rsidP="0010523F">
            <w:pPr>
              <w:ind w:left="-79" w:right="-108"/>
              <w:jc w:val="center"/>
              <w:rPr>
                <w:bCs/>
                <w:sz w:val="22"/>
                <w:szCs w:val="22"/>
                <w:lang w:val="es-AR" w:eastAsia="en-US"/>
              </w:rPr>
            </w:pPr>
            <w:r w:rsidRPr="0010523F">
              <w:rPr>
                <w:bCs/>
                <w:color w:val="000000"/>
                <w:sz w:val="22"/>
                <w:szCs w:val="22"/>
                <w:lang w:val="es-AR" w:eastAsia="es-AR"/>
              </w:rPr>
              <w:t>ejercicio</w:t>
            </w:r>
          </w:p>
        </w:tc>
        <w:tc>
          <w:tcPr>
            <w:tcW w:w="1134" w:type="dxa"/>
            <w:tcBorders>
              <w:bottom w:val="single" w:sz="8" w:space="0" w:color="auto"/>
            </w:tcBorders>
            <w:vAlign w:val="bottom"/>
          </w:tcPr>
          <w:p w14:paraId="6AEC534A" w14:textId="77777777" w:rsidR="0010523F" w:rsidRPr="0010523F" w:rsidRDefault="0010523F" w:rsidP="0010523F">
            <w:pPr>
              <w:ind w:left="-109"/>
              <w:jc w:val="center"/>
              <w:rPr>
                <w:bCs/>
                <w:sz w:val="22"/>
                <w:szCs w:val="22"/>
                <w:lang w:val="es-AR" w:eastAsia="en-US"/>
              </w:rPr>
            </w:pPr>
            <w:r w:rsidRPr="0010523F">
              <w:rPr>
                <w:bCs/>
                <w:sz w:val="22"/>
                <w:szCs w:val="22"/>
                <w:lang w:val="es-AR" w:eastAsia="en-US"/>
              </w:rPr>
              <w:t>Efecto de conversión</w:t>
            </w:r>
          </w:p>
        </w:tc>
        <w:tc>
          <w:tcPr>
            <w:tcW w:w="1134" w:type="dxa"/>
            <w:tcBorders>
              <w:bottom w:val="single" w:sz="8" w:space="0" w:color="auto"/>
            </w:tcBorders>
            <w:vAlign w:val="bottom"/>
          </w:tcPr>
          <w:p w14:paraId="07443B77" w14:textId="77777777" w:rsidR="0010523F" w:rsidRPr="0010523F" w:rsidRDefault="0010523F" w:rsidP="0010523F">
            <w:pPr>
              <w:ind w:left="-109"/>
              <w:jc w:val="center"/>
              <w:rPr>
                <w:bCs/>
                <w:sz w:val="22"/>
                <w:szCs w:val="22"/>
                <w:lang w:val="es-AR" w:eastAsia="en-US"/>
              </w:rPr>
            </w:pPr>
            <w:r w:rsidRPr="0010523F">
              <w:rPr>
                <w:bCs/>
                <w:color w:val="000000"/>
                <w:sz w:val="22"/>
                <w:szCs w:val="22"/>
                <w:lang w:val="es-AR" w:eastAsia="es-AR"/>
              </w:rPr>
              <w:t>Saldos al finalizar el período/ ejercicio</w:t>
            </w:r>
          </w:p>
        </w:tc>
      </w:tr>
      <w:tr w:rsidR="0010523F" w:rsidRPr="0010523F" w14:paraId="5E797368" w14:textId="77777777" w:rsidTr="00774E7E">
        <w:tc>
          <w:tcPr>
            <w:tcW w:w="3119" w:type="dxa"/>
            <w:tcBorders>
              <w:top w:val="single" w:sz="8" w:space="0" w:color="auto"/>
            </w:tcBorders>
            <w:vAlign w:val="bottom"/>
          </w:tcPr>
          <w:p w14:paraId="19090FFA" w14:textId="77777777" w:rsidR="0010523F" w:rsidRPr="0010523F" w:rsidRDefault="0010523F" w:rsidP="0010523F">
            <w:pPr>
              <w:tabs>
                <w:tab w:val="left" w:pos="3153"/>
              </w:tabs>
              <w:spacing w:line="180" w:lineRule="exact"/>
              <w:ind w:right="-250"/>
              <w:rPr>
                <w:sz w:val="22"/>
                <w:szCs w:val="22"/>
                <w:lang w:val="es-AR" w:eastAsia="en-US"/>
              </w:rPr>
            </w:pPr>
          </w:p>
        </w:tc>
        <w:tc>
          <w:tcPr>
            <w:tcW w:w="1417" w:type="dxa"/>
            <w:tcBorders>
              <w:top w:val="single" w:sz="8" w:space="0" w:color="auto"/>
            </w:tcBorders>
            <w:vAlign w:val="bottom"/>
          </w:tcPr>
          <w:p w14:paraId="0BB6AAF0" w14:textId="77777777" w:rsidR="0010523F" w:rsidRPr="0010523F" w:rsidRDefault="0010523F" w:rsidP="0010523F">
            <w:pPr>
              <w:tabs>
                <w:tab w:val="left" w:pos="3153"/>
              </w:tabs>
              <w:spacing w:line="180" w:lineRule="exact"/>
              <w:ind w:right="-250"/>
              <w:rPr>
                <w:sz w:val="22"/>
                <w:szCs w:val="22"/>
                <w:lang w:val="es-AR" w:eastAsia="en-US"/>
              </w:rPr>
            </w:pPr>
          </w:p>
        </w:tc>
        <w:tc>
          <w:tcPr>
            <w:tcW w:w="1559" w:type="dxa"/>
            <w:tcBorders>
              <w:top w:val="single" w:sz="8" w:space="0" w:color="auto"/>
            </w:tcBorders>
            <w:vAlign w:val="bottom"/>
          </w:tcPr>
          <w:p w14:paraId="79C866BE" w14:textId="77777777" w:rsidR="0010523F" w:rsidRPr="0010523F" w:rsidRDefault="0010523F" w:rsidP="0010523F">
            <w:pPr>
              <w:tabs>
                <w:tab w:val="left" w:pos="3153"/>
              </w:tabs>
              <w:spacing w:line="180" w:lineRule="exact"/>
              <w:ind w:right="-250"/>
              <w:rPr>
                <w:sz w:val="22"/>
                <w:szCs w:val="22"/>
                <w:lang w:val="es-AR" w:eastAsia="en-US"/>
              </w:rPr>
            </w:pPr>
          </w:p>
        </w:tc>
        <w:tc>
          <w:tcPr>
            <w:tcW w:w="861" w:type="dxa"/>
            <w:tcBorders>
              <w:top w:val="single" w:sz="8" w:space="0" w:color="auto"/>
            </w:tcBorders>
            <w:vAlign w:val="bottom"/>
          </w:tcPr>
          <w:p w14:paraId="181A71A6" w14:textId="77777777" w:rsidR="0010523F" w:rsidRPr="0010523F" w:rsidRDefault="0010523F" w:rsidP="0010523F">
            <w:pPr>
              <w:tabs>
                <w:tab w:val="left" w:pos="3153"/>
              </w:tabs>
              <w:spacing w:line="180" w:lineRule="exact"/>
              <w:ind w:right="-250"/>
              <w:rPr>
                <w:sz w:val="22"/>
                <w:szCs w:val="22"/>
                <w:lang w:val="es-AR" w:eastAsia="en-US"/>
              </w:rPr>
            </w:pPr>
          </w:p>
        </w:tc>
        <w:tc>
          <w:tcPr>
            <w:tcW w:w="273" w:type="dxa"/>
            <w:tcBorders>
              <w:top w:val="single" w:sz="8" w:space="0" w:color="auto"/>
            </w:tcBorders>
            <w:vAlign w:val="bottom"/>
          </w:tcPr>
          <w:p w14:paraId="4986B310" w14:textId="77777777" w:rsidR="0010523F" w:rsidRPr="0010523F" w:rsidRDefault="0010523F" w:rsidP="0010523F">
            <w:pPr>
              <w:tabs>
                <w:tab w:val="left" w:pos="3153"/>
              </w:tabs>
              <w:spacing w:line="180" w:lineRule="exact"/>
              <w:ind w:right="-250"/>
              <w:rPr>
                <w:sz w:val="22"/>
                <w:szCs w:val="22"/>
                <w:lang w:val="es-AR" w:eastAsia="en-US"/>
              </w:rPr>
            </w:pPr>
          </w:p>
        </w:tc>
        <w:tc>
          <w:tcPr>
            <w:tcW w:w="993" w:type="dxa"/>
            <w:tcBorders>
              <w:top w:val="single" w:sz="8" w:space="0" w:color="auto"/>
            </w:tcBorders>
            <w:vAlign w:val="bottom"/>
          </w:tcPr>
          <w:p w14:paraId="4F904AC6" w14:textId="77777777" w:rsidR="0010523F" w:rsidRPr="0010523F" w:rsidRDefault="0010523F" w:rsidP="0010523F">
            <w:pPr>
              <w:tabs>
                <w:tab w:val="left" w:pos="3153"/>
              </w:tabs>
              <w:spacing w:line="180" w:lineRule="exact"/>
              <w:ind w:right="-250"/>
              <w:rPr>
                <w:sz w:val="22"/>
                <w:szCs w:val="22"/>
                <w:lang w:val="es-AR" w:eastAsia="en-US"/>
              </w:rPr>
            </w:pPr>
          </w:p>
        </w:tc>
        <w:tc>
          <w:tcPr>
            <w:tcW w:w="283" w:type="dxa"/>
            <w:tcBorders>
              <w:top w:val="single" w:sz="8" w:space="0" w:color="auto"/>
            </w:tcBorders>
            <w:vAlign w:val="bottom"/>
          </w:tcPr>
          <w:p w14:paraId="6D915F39" w14:textId="77777777" w:rsidR="0010523F" w:rsidRPr="0010523F" w:rsidRDefault="0010523F" w:rsidP="0010523F">
            <w:pPr>
              <w:tabs>
                <w:tab w:val="left" w:pos="3153"/>
              </w:tabs>
              <w:spacing w:line="180" w:lineRule="exact"/>
              <w:ind w:right="-250"/>
              <w:rPr>
                <w:sz w:val="22"/>
                <w:szCs w:val="22"/>
                <w:lang w:val="es-AR" w:eastAsia="en-US"/>
              </w:rPr>
            </w:pPr>
          </w:p>
        </w:tc>
        <w:tc>
          <w:tcPr>
            <w:tcW w:w="1134" w:type="dxa"/>
            <w:tcBorders>
              <w:top w:val="single" w:sz="8" w:space="0" w:color="auto"/>
            </w:tcBorders>
            <w:vAlign w:val="bottom"/>
          </w:tcPr>
          <w:p w14:paraId="7CFF10FA" w14:textId="77777777" w:rsidR="0010523F" w:rsidRPr="0010523F" w:rsidRDefault="0010523F" w:rsidP="0010523F">
            <w:pPr>
              <w:tabs>
                <w:tab w:val="left" w:pos="3153"/>
              </w:tabs>
              <w:spacing w:line="180" w:lineRule="exact"/>
              <w:ind w:right="-250"/>
              <w:rPr>
                <w:sz w:val="22"/>
                <w:szCs w:val="22"/>
                <w:lang w:val="es-AR" w:eastAsia="en-US"/>
              </w:rPr>
            </w:pPr>
          </w:p>
        </w:tc>
        <w:tc>
          <w:tcPr>
            <w:tcW w:w="1134" w:type="dxa"/>
            <w:tcBorders>
              <w:top w:val="single" w:sz="8" w:space="0" w:color="auto"/>
            </w:tcBorders>
            <w:vAlign w:val="bottom"/>
          </w:tcPr>
          <w:p w14:paraId="603B5003" w14:textId="77777777" w:rsidR="0010523F" w:rsidRPr="0010523F" w:rsidRDefault="0010523F" w:rsidP="0010523F">
            <w:pPr>
              <w:tabs>
                <w:tab w:val="left" w:pos="3153"/>
              </w:tabs>
              <w:spacing w:line="180" w:lineRule="exact"/>
              <w:ind w:right="-250"/>
              <w:rPr>
                <w:sz w:val="22"/>
                <w:szCs w:val="22"/>
                <w:lang w:val="es-AR" w:eastAsia="en-US"/>
              </w:rPr>
            </w:pPr>
          </w:p>
        </w:tc>
      </w:tr>
      <w:tr w:rsidR="0010523F" w:rsidRPr="0010523F" w14:paraId="5A2C4D38" w14:textId="77777777" w:rsidTr="00774E7E">
        <w:tc>
          <w:tcPr>
            <w:tcW w:w="3119" w:type="dxa"/>
            <w:vAlign w:val="bottom"/>
          </w:tcPr>
          <w:p w14:paraId="744D4155" w14:textId="77777777" w:rsidR="0010523F" w:rsidRPr="0010523F" w:rsidRDefault="0010523F" w:rsidP="0010523F">
            <w:pPr>
              <w:tabs>
                <w:tab w:val="left" w:pos="3153"/>
              </w:tabs>
              <w:ind w:right="-250"/>
              <w:rPr>
                <w:bCs/>
                <w:sz w:val="22"/>
                <w:szCs w:val="22"/>
                <w:lang w:val="es-AR" w:eastAsia="en-US"/>
              </w:rPr>
            </w:pPr>
            <w:r w:rsidRPr="0010523F">
              <w:rPr>
                <w:sz w:val="22"/>
                <w:szCs w:val="22"/>
                <w:lang w:val="es-AR" w:eastAsia="en-US"/>
              </w:rPr>
              <w:t>Incluidas en el pasivo corriente:</w:t>
            </w:r>
          </w:p>
        </w:tc>
        <w:tc>
          <w:tcPr>
            <w:tcW w:w="1417" w:type="dxa"/>
            <w:vAlign w:val="bottom"/>
          </w:tcPr>
          <w:p w14:paraId="52D050F0" w14:textId="77777777" w:rsidR="0010523F" w:rsidRPr="0010523F" w:rsidRDefault="0010523F" w:rsidP="0010523F">
            <w:pPr>
              <w:tabs>
                <w:tab w:val="decimal" w:pos="995"/>
              </w:tabs>
              <w:ind w:left="-109" w:right="-250"/>
              <w:jc w:val="both"/>
              <w:rPr>
                <w:bCs/>
                <w:sz w:val="22"/>
                <w:szCs w:val="22"/>
                <w:highlight w:val="yellow"/>
                <w:lang w:val="es-AR" w:eastAsia="en-US"/>
              </w:rPr>
            </w:pPr>
          </w:p>
        </w:tc>
        <w:tc>
          <w:tcPr>
            <w:tcW w:w="1559" w:type="dxa"/>
            <w:vAlign w:val="bottom"/>
          </w:tcPr>
          <w:p w14:paraId="1CBDF928" w14:textId="77777777" w:rsidR="0010523F" w:rsidRPr="0010523F" w:rsidRDefault="0010523F" w:rsidP="0010523F">
            <w:pPr>
              <w:ind w:right="317"/>
              <w:jc w:val="both"/>
              <w:rPr>
                <w:bCs/>
                <w:sz w:val="22"/>
                <w:szCs w:val="22"/>
                <w:highlight w:val="yellow"/>
                <w:lang w:val="es-AR" w:eastAsia="en-US"/>
              </w:rPr>
            </w:pPr>
          </w:p>
        </w:tc>
        <w:tc>
          <w:tcPr>
            <w:tcW w:w="861" w:type="dxa"/>
            <w:vAlign w:val="bottom"/>
          </w:tcPr>
          <w:p w14:paraId="3F0C3192" w14:textId="77777777" w:rsidR="0010523F" w:rsidRPr="0010523F" w:rsidRDefault="0010523F" w:rsidP="0010523F">
            <w:pPr>
              <w:tabs>
                <w:tab w:val="decimal" w:pos="948"/>
              </w:tabs>
              <w:ind w:left="-90"/>
              <w:jc w:val="both"/>
              <w:rPr>
                <w:bCs/>
                <w:sz w:val="22"/>
                <w:szCs w:val="22"/>
                <w:highlight w:val="yellow"/>
                <w:lang w:val="es-AR" w:eastAsia="en-US"/>
              </w:rPr>
            </w:pPr>
          </w:p>
        </w:tc>
        <w:tc>
          <w:tcPr>
            <w:tcW w:w="273" w:type="dxa"/>
            <w:vAlign w:val="bottom"/>
          </w:tcPr>
          <w:p w14:paraId="51D6972A" w14:textId="77777777" w:rsidR="0010523F" w:rsidRPr="0010523F" w:rsidRDefault="0010523F" w:rsidP="0010523F">
            <w:pPr>
              <w:ind w:right="-392"/>
              <w:rPr>
                <w:bCs/>
                <w:sz w:val="22"/>
                <w:szCs w:val="22"/>
                <w:highlight w:val="yellow"/>
                <w:lang w:val="es-AR" w:eastAsia="en-US"/>
              </w:rPr>
            </w:pPr>
          </w:p>
        </w:tc>
        <w:tc>
          <w:tcPr>
            <w:tcW w:w="993" w:type="dxa"/>
            <w:vAlign w:val="bottom"/>
          </w:tcPr>
          <w:p w14:paraId="3071FA07" w14:textId="77777777" w:rsidR="0010523F" w:rsidRPr="0010523F" w:rsidRDefault="0010523F" w:rsidP="0010523F">
            <w:pPr>
              <w:tabs>
                <w:tab w:val="decimal" w:pos="873"/>
              </w:tabs>
              <w:ind w:left="-108" w:right="-108"/>
              <w:jc w:val="both"/>
              <w:rPr>
                <w:bCs/>
                <w:sz w:val="22"/>
                <w:szCs w:val="22"/>
                <w:highlight w:val="yellow"/>
                <w:lang w:val="es-AR" w:eastAsia="en-US"/>
              </w:rPr>
            </w:pPr>
          </w:p>
        </w:tc>
        <w:tc>
          <w:tcPr>
            <w:tcW w:w="283" w:type="dxa"/>
            <w:vAlign w:val="bottom"/>
          </w:tcPr>
          <w:p w14:paraId="1F91BB3B" w14:textId="77777777" w:rsidR="0010523F" w:rsidRPr="0010523F" w:rsidRDefault="0010523F" w:rsidP="0010523F">
            <w:pPr>
              <w:ind w:left="-79" w:right="-395"/>
              <w:rPr>
                <w:bCs/>
                <w:sz w:val="22"/>
                <w:szCs w:val="22"/>
                <w:highlight w:val="yellow"/>
                <w:lang w:val="es-AR" w:eastAsia="en-US"/>
              </w:rPr>
            </w:pPr>
          </w:p>
        </w:tc>
        <w:tc>
          <w:tcPr>
            <w:tcW w:w="1134" w:type="dxa"/>
            <w:vAlign w:val="bottom"/>
          </w:tcPr>
          <w:p w14:paraId="34C8945C" w14:textId="77777777" w:rsidR="0010523F" w:rsidRPr="0010523F" w:rsidRDefault="0010523F" w:rsidP="0010523F">
            <w:pPr>
              <w:tabs>
                <w:tab w:val="decimal" w:pos="895"/>
              </w:tabs>
              <w:ind w:left="-109" w:right="-250"/>
              <w:jc w:val="both"/>
              <w:rPr>
                <w:bCs/>
                <w:sz w:val="22"/>
                <w:szCs w:val="22"/>
                <w:highlight w:val="yellow"/>
                <w:lang w:val="es-AR" w:eastAsia="en-US"/>
              </w:rPr>
            </w:pPr>
          </w:p>
        </w:tc>
        <w:tc>
          <w:tcPr>
            <w:tcW w:w="1134" w:type="dxa"/>
            <w:vAlign w:val="bottom"/>
          </w:tcPr>
          <w:p w14:paraId="0DF063AB" w14:textId="77777777" w:rsidR="0010523F" w:rsidRPr="0010523F" w:rsidRDefault="0010523F" w:rsidP="0010523F">
            <w:pPr>
              <w:tabs>
                <w:tab w:val="decimal" w:pos="995"/>
              </w:tabs>
              <w:ind w:left="-109" w:right="-250"/>
              <w:jc w:val="both"/>
              <w:rPr>
                <w:bCs/>
                <w:sz w:val="22"/>
                <w:szCs w:val="22"/>
                <w:highlight w:val="yellow"/>
                <w:lang w:val="es-AR" w:eastAsia="en-US"/>
              </w:rPr>
            </w:pPr>
          </w:p>
        </w:tc>
      </w:tr>
      <w:tr w:rsidR="0010523F" w:rsidRPr="0010523F" w14:paraId="701E010B" w14:textId="77777777" w:rsidTr="00774E7E">
        <w:tc>
          <w:tcPr>
            <w:tcW w:w="3119" w:type="dxa"/>
            <w:vAlign w:val="bottom"/>
          </w:tcPr>
          <w:p w14:paraId="709B3CBA" w14:textId="77777777" w:rsidR="0010523F" w:rsidRPr="0010523F" w:rsidRDefault="0010523F" w:rsidP="0010523F">
            <w:pPr>
              <w:tabs>
                <w:tab w:val="left" w:pos="3153"/>
              </w:tabs>
              <w:spacing w:line="180" w:lineRule="exact"/>
              <w:ind w:right="-250"/>
              <w:rPr>
                <w:sz w:val="22"/>
                <w:szCs w:val="22"/>
                <w:lang w:val="es-AR" w:eastAsia="en-US"/>
              </w:rPr>
            </w:pPr>
          </w:p>
        </w:tc>
        <w:tc>
          <w:tcPr>
            <w:tcW w:w="1417" w:type="dxa"/>
            <w:vAlign w:val="bottom"/>
          </w:tcPr>
          <w:p w14:paraId="0E758E2E" w14:textId="77777777" w:rsidR="0010523F" w:rsidRPr="0010523F" w:rsidRDefault="0010523F" w:rsidP="0010523F">
            <w:pPr>
              <w:tabs>
                <w:tab w:val="left" w:pos="3153"/>
              </w:tabs>
              <w:spacing w:line="180" w:lineRule="exact"/>
              <w:ind w:right="-250"/>
              <w:rPr>
                <w:sz w:val="22"/>
                <w:szCs w:val="22"/>
                <w:highlight w:val="yellow"/>
                <w:lang w:val="es-AR" w:eastAsia="en-US"/>
              </w:rPr>
            </w:pPr>
          </w:p>
        </w:tc>
        <w:tc>
          <w:tcPr>
            <w:tcW w:w="1559" w:type="dxa"/>
            <w:vAlign w:val="bottom"/>
          </w:tcPr>
          <w:p w14:paraId="4EDC2FAF" w14:textId="77777777" w:rsidR="0010523F" w:rsidRPr="0010523F" w:rsidRDefault="0010523F" w:rsidP="0010523F">
            <w:pPr>
              <w:tabs>
                <w:tab w:val="left" w:pos="3153"/>
              </w:tabs>
              <w:spacing w:line="180" w:lineRule="exact"/>
              <w:ind w:right="317"/>
              <w:rPr>
                <w:sz w:val="22"/>
                <w:szCs w:val="22"/>
                <w:lang w:val="es-AR" w:eastAsia="en-US"/>
              </w:rPr>
            </w:pPr>
          </w:p>
        </w:tc>
        <w:tc>
          <w:tcPr>
            <w:tcW w:w="861" w:type="dxa"/>
            <w:vAlign w:val="bottom"/>
          </w:tcPr>
          <w:p w14:paraId="701E3685" w14:textId="77777777" w:rsidR="0010523F" w:rsidRPr="0010523F" w:rsidRDefault="0010523F" w:rsidP="0010523F">
            <w:pPr>
              <w:tabs>
                <w:tab w:val="left" w:pos="3153"/>
              </w:tabs>
              <w:spacing w:line="180" w:lineRule="exact"/>
              <w:ind w:right="-250"/>
              <w:rPr>
                <w:sz w:val="22"/>
                <w:szCs w:val="22"/>
                <w:highlight w:val="yellow"/>
                <w:lang w:val="es-AR" w:eastAsia="en-US"/>
              </w:rPr>
            </w:pPr>
          </w:p>
        </w:tc>
        <w:tc>
          <w:tcPr>
            <w:tcW w:w="273" w:type="dxa"/>
            <w:vAlign w:val="bottom"/>
          </w:tcPr>
          <w:p w14:paraId="521E8660" w14:textId="77777777" w:rsidR="0010523F" w:rsidRPr="0010523F" w:rsidRDefault="0010523F" w:rsidP="0010523F">
            <w:pPr>
              <w:tabs>
                <w:tab w:val="left" w:pos="3153"/>
              </w:tabs>
              <w:spacing w:line="180" w:lineRule="exact"/>
              <w:ind w:right="-250"/>
              <w:rPr>
                <w:sz w:val="22"/>
                <w:szCs w:val="22"/>
                <w:highlight w:val="yellow"/>
                <w:lang w:val="es-AR" w:eastAsia="en-US"/>
              </w:rPr>
            </w:pPr>
          </w:p>
        </w:tc>
        <w:tc>
          <w:tcPr>
            <w:tcW w:w="993" w:type="dxa"/>
            <w:vAlign w:val="bottom"/>
          </w:tcPr>
          <w:p w14:paraId="7815E6AA" w14:textId="77777777" w:rsidR="0010523F" w:rsidRPr="0010523F" w:rsidRDefault="0010523F" w:rsidP="0010523F">
            <w:pPr>
              <w:tabs>
                <w:tab w:val="left" w:pos="3153"/>
              </w:tabs>
              <w:spacing w:line="180" w:lineRule="exact"/>
              <w:ind w:right="-250"/>
              <w:rPr>
                <w:sz w:val="22"/>
                <w:szCs w:val="22"/>
                <w:highlight w:val="yellow"/>
                <w:lang w:val="es-AR" w:eastAsia="en-US"/>
              </w:rPr>
            </w:pPr>
          </w:p>
        </w:tc>
        <w:tc>
          <w:tcPr>
            <w:tcW w:w="283" w:type="dxa"/>
            <w:vAlign w:val="bottom"/>
          </w:tcPr>
          <w:p w14:paraId="7B3F0722" w14:textId="77777777" w:rsidR="0010523F" w:rsidRPr="0010523F" w:rsidRDefault="0010523F" w:rsidP="0010523F">
            <w:pPr>
              <w:tabs>
                <w:tab w:val="left" w:pos="3153"/>
              </w:tabs>
              <w:spacing w:line="180" w:lineRule="exact"/>
              <w:ind w:right="-250"/>
              <w:rPr>
                <w:sz w:val="22"/>
                <w:szCs w:val="22"/>
                <w:highlight w:val="yellow"/>
                <w:lang w:val="es-AR" w:eastAsia="en-US"/>
              </w:rPr>
            </w:pPr>
          </w:p>
        </w:tc>
        <w:tc>
          <w:tcPr>
            <w:tcW w:w="1134" w:type="dxa"/>
            <w:vAlign w:val="bottom"/>
          </w:tcPr>
          <w:p w14:paraId="3C019B76" w14:textId="77777777" w:rsidR="0010523F" w:rsidRPr="0010523F" w:rsidRDefault="0010523F" w:rsidP="0010523F">
            <w:pPr>
              <w:tabs>
                <w:tab w:val="left" w:pos="3153"/>
              </w:tabs>
              <w:spacing w:line="180" w:lineRule="exact"/>
              <w:ind w:right="-250"/>
              <w:rPr>
                <w:sz w:val="22"/>
                <w:szCs w:val="22"/>
                <w:highlight w:val="yellow"/>
                <w:lang w:val="es-AR" w:eastAsia="en-US"/>
              </w:rPr>
            </w:pPr>
          </w:p>
        </w:tc>
        <w:tc>
          <w:tcPr>
            <w:tcW w:w="1134" w:type="dxa"/>
            <w:vAlign w:val="bottom"/>
          </w:tcPr>
          <w:p w14:paraId="24B5DE4D" w14:textId="77777777" w:rsidR="0010523F" w:rsidRPr="0010523F" w:rsidRDefault="0010523F" w:rsidP="0010523F">
            <w:pPr>
              <w:tabs>
                <w:tab w:val="left" w:pos="3153"/>
              </w:tabs>
              <w:spacing w:line="180" w:lineRule="exact"/>
              <w:ind w:right="-250"/>
              <w:rPr>
                <w:sz w:val="22"/>
                <w:szCs w:val="22"/>
                <w:highlight w:val="yellow"/>
                <w:lang w:val="es-AR" w:eastAsia="en-US"/>
              </w:rPr>
            </w:pPr>
          </w:p>
        </w:tc>
      </w:tr>
      <w:tr w:rsidR="0010523F" w:rsidRPr="0010523F" w14:paraId="0DAAF93B" w14:textId="77777777" w:rsidTr="00774E7E">
        <w:tc>
          <w:tcPr>
            <w:tcW w:w="3119" w:type="dxa"/>
            <w:vAlign w:val="bottom"/>
          </w:tcPr>
          <w:p w14:paraId="4A1AF15D" w14:textId="77777777" w:rsidR="0010523F" w:rsidRPr="0010523F" w:rsidRDefault="0010523F" w:rsidP="0010523F">
            <w:pPr>
              <w:tabs>
                <w:tab w:val="left" w:pos="851"/>
                <w:tab w:val="decimal" w:pos="3686"/>
                <w:tab w:val="decimal" w:pos="4536"/>
                <w:tab w:val="decimal" w:pos="4962"/>
                <w:tab w:val="center" w:pos="5529"/>
                <w:tab w:val="decimal" w:pos="6096"/>
                <w:tab w:val="decimal" w:pos="7230"/>
                <w:tab w:val="center" w:pos="7938"/>
                <w:tab w:val="decimal" w:pos="8505"/>
                <w:tab w:val="center" w:pos="9072"/>
                <w:tab w:val="decimal" w:pos="9639"/>
              </w:tabs>
              <w:ind w:right="-250"/>
              <w:jc w:val="both"/>
              <w:rPr>
                <w:sz w:val="22"/>
                <w:szCs w:val="22"/>
                <w:lang w:val="es-AR" w:eastAsia="en-US"/>
              </w:rPr>
            </w:pPr>
            <w:r w:rsidRPr="0010523F">
              <w:rPr>
                <w:sz w:val="22"/>
                <w:szCs w:val="22"/>
                <w:lang w:val="es-AR" w:eastAsia="en-US"/>
              </w:rPr>
              <w:t>Provisión para juicios</w:t>
            </w:r>
          </w:p>
        </w:tc>
        <w:tc>
          <w:tcPr>
            <w:tcW w:w="1417" w:type="dxa"/>
            <w:vAlign w:val="bottom"/>
          </w:tcPr>
          <w:p w14:paraId="06AA6C0F" w14:textId="77777777" w:rsidR="0010523F" w:rsidRPr="0010523F" w:rsidRDefault="0010523F" w:rsidP="0010523F">
            <w:pPr>
              <w:ind w:left="-109" w:right="175"/>
              <w:jc w:val="right"/>
              <w:rPr>
                <w:bCs/>
                <w:sz w:val="22"/>
                <w:szCs w:val="22"/>
                <w:u w:val="single"/>
                <w:lang w:val="es-AR" w:eastAsia="en-US"/>
              </w:rPr>
            </w:pPr>
            <w:r w:rsidRPr="0010523F">
              <w:rPr>
                <w:bCs/>
                <w:sz w:val="22"/>
                <w:szCs w:val="22"/>
                <w:u w:val="single"/>
                <w:lang w:val="es-AR" w:eastAsia="en-US"/>
              </w:rPr>
              <w:t xml:space="preserve">   975</w:t>
            </w:r>
          </w:p>
        </w:tc>
        <w:tc>
          <w:tcPr>
            <w:tcW w:w="1559" w:type="dxa"/>
            <w:vAlign w:val="bottom"/>
          </w:tcPr>
          <w:p w14:paraId="530024CF" w14:textId="77777777" w:rsidR="0010523F" w:rsidRPr="0010523F" w:rsidRDefault="0010523F" w:rsidP="0010523F">
            <w:pPr>
              <w:ind w:left="33" w:right="317"/>
              <w:jc w:val="right"/>
              <w:rPr>
                <w:bCs/>
                <w:sz w:val="22"/>
                <w:szCs w:val="22"/>
                <w:u w:val="single"/>
                <w:lang w:val="es-AR" w:eastAsia="en-US"/>
              </w:rPr>
            </w:pPr>
            <w:r w:rsidRPr="0010523F">
              <w:rPr>
                <w:bCs/>
                <w:sz w:val="22"/>
                <w:szCs w:val="22"/>
                <w:u w:val="single"/>
                <w:lang w:val="es-AR" w:eastAsia="en-US"/>
              </w:rPr>
              <w:t xml:space="preserve">        -</w:t>
            </w:r>
          </w:p>
        </w:tc>
        <w:tc>
          <w:tcPr>
            <w:tcW w:w="861" w:type="dxa"/>
            <w:vAlign w:val="bottom"/>
          </w:tcPr>
          <w:p w14:paraId="4790FD3A" w14:textId="77777777" w:rsidR="0010523F" w:rsidRPr="0010523F" w:rsidRDefault="0010523F" w:rsidP="0010523F">
            <w:pPr>
              <w:tabs>
                <w:tab w:val="left" w:pos="175"/>
                <w:tab w:val="decimal" w:pos="742"/>
              </w:tabs>
              <w:spacing w:line="180" w:lineRule="exact"/>
              <w:ind w:left="-90"/>
              <w:jc w:val="right"/>
              <w:rPr>
                <w:bCs/>
                <w:sz w:val="22"/>
                <w:szCs w:val="22"/>
                <w:u w:val="single"/>
                <w:lang w:val="es-AR" w:eastAsia="en-US"/>
              </w:rPr>
            </w:pPr>
            <w:r w:rsidRPr="0010523F">
              <w:rPr>
                <w:bCs/>
                <w:sz w:val="22"/>
                <w:szCs w:val="22"/>
                <w:u w:val="single"/>
                <w:lang w:val="es-AR" w:eastAsia="en-US"/>
              </w:rPr>
              <w:t xml:space="preserve">   125</w:t>
            </w:r>
          </w:p>
        </w:tc>
        <w:tc>
          <w:tcPr>
            <w:tcW w:w="273" w:type="dxa"/>
            <w:vAlign w:val="bottom"/>
          </w:tcPr>
          <w:p w14:paraId="204F86B8" w14:textId="77777777" w:rsidR="0010523F" w:rsidRPr="0010523F" w:rsidRDefault="0010523F" w:rsidP="0010523F">
            <w:pPr>
              <w:ind w:left="-108" w:right="-108"/>
              <w:jc w:val="right"/>
              <w:rPr>
                <w:bCs/>
                <w:sz w:val="22"/>
                <w:szCs w:val="22"/>
                <w:lang w:val="es-AR" w:eastAsia="en-US"/>
              </w:rPr>
            </w:pPr>
            <w:r w:rsidRPr="0010523F">
              <w:rPr>
                <w:bCs/>
                <w:sz w:val="22"/>
                <w:szCs w:val="22"/>
                <w:lang w:val="es-AR" w:eastAsia="en-US"/>
              </w:rPr>
              <w:t>(1)</w:t>
            </w:r>
          </w:p>
        </w:tc>
        <w:tc>
          <w:tcPr>
            <w:tcW w:w="993" w:type="dxa"/>
            <w:vAlign w:val="bottom"/>
          </w:tcPr>
          <w:p w14:paraId="25F002DC" w14:textId="77777777" w:rsidR="0010523F" w:rsidRPr="0010523F" w:rsidRDefault="0010523F" w:rsidP="0010523F">
            <w:pPr>
              <w:tabs>
                <w:tab w:val="decimal" w:pos="743"/>
              </w:tabs>
              <w:ind w:left="-108" w:right="-108"/>
              <w:jc w:val="both"/>
              <w:rPr>
                <w:bCs/>
                <w:sz w:val="22"/>
                <w:szCs w:val="22"/>
                <w:u w:val="single"/>
                <w:lang w:val="es-AR" w:eastAsia="en-US"/>
              </w:rPr>
            </w:pPr>
            <w:r w:rsidRPr="0010523F">
              <w:rPr>
                <w:bCs/>
                <w:sz w:val="22"/>
                <w:szCs w:val="22"/>
                <w:lang w:val="es-AR" w:eastAsia="en-US"/>
              </w:rPr>
              <w:t>(</w:t>
            </w:r>
            <w:r w:rsidRPr="0010523F">
              <w:rPr>
                <w:bCs/>
                <w:sz w:val="22"/>
                <w:szCs w:val="22"/>
                <w:u w:val="single"/>
                <w:lang w:val="es-AR" w:eastAsia="en-US"/>
              </w:rPr>
              <w:t xml:space="preserve">  1.097</w:t>
            </w:r>
            <w:r w:rsidRPr="0010523F">
              <w:rPr>
                <w:bCs/>
                <w:sz w:val="22"/>
                <w:szCs w:val="22"/>
                <w:lang w:val="es-AR" w:eastAsia="en-US"/>
              </w:rPr>
              <w:t>)</w:t>
            </w:r>
          </w:p>
        </w:tc>
        <w:tc>
          <w:tcPr>
            <w:tcW w:w="283" w:type="dxa"/>
            <w:vAlign w:val="bottom"/>
          </w:tcPr>
          <w:p w14:paraId="03AA6660" w14:textId="77777777" w:rsidR="0010523F" w:rsidRPr="0010523F" w:rsidRDefault="0010523F" w:rsidP="0010523F">
            <w:pPr>
              <w:ind w:left="-108" w:right="-108"/>
              <w:jc w:val="right"/>
              <w:rPr>
                <w:bCs/>
                <w:sz w:val="22"/>
                <w:szCs w:val="22"/>
                <w:lang w:val="es-AR" w:eastAsia="en-US"/>
              </w:rPr>
            </w:pPr>
            <w:r w:rsidRPr="0010523F">
              <w:rPr>
                <w:bCs/>
                <w:sz w:val="22"/>
                <w:szCs w:val="22"/>
                <w:lang w:val="es-AR" w:eastAsia="en-US"/>
              </w:rPr>
              <w:t>(2)</w:t>
            </w:r>
          </w:p>
        </w:tc>
        <w:tc>
          <w:tcPr>
            <w:tcW w:w="1134" w:type="dxa"/>
            <w:vAlign w:val="bottom"/>
          </w:tcPr>
          <w:p w14:paraId="3B262A0C" w14:textId="77777777" w:rsidR="0010523F" w:rsidRPr="0010523F" w:rsidRDefault="0010523F" w:rsidP="0010523F">
            <w:pPr>
              <w:tabs>
                <w:tab w:val="decimal" w:pos="601"/>
              </w:tabs>
              <w:ind w:left="-249" w:right="175" w:firstLine="140"/>
              <w:jc w:val="right"/>
              <w:rPr>
                <w:bCs/>
                <w:sz w:val="22"/>
                <w:szCs w:val="22"/>
                <w:u w:val="single"/>
                <w:lang w:val="es-AR" w:eastAsia="en-US"/>
              </w:rPr>
            </w:pPr>
            <w:r w:rsidRPr="0010523F">
              <w:rPr>
                <w:bCs/>
                <w:sz w:val="22"/>
                <w:szCs w:val="22"/>
                <w:u w:val="single"/>
                <w:lang w:val="es-AR" w:eastAsia="en-US"/>
              </w:rPr>
              <w:t xml:space="preserve">          -</w:t>
            </w:r>
          </w:p>
        </w:tc>
        <w:tc>
          <w:tcPr>
            <w:tcW w:w="1134" w:type="dxa"/>
            <w:vAlign w:val="bottom"/>
          </w:tcPr>
          <w:p w14:paraId="4227D88A" w14:textId="77777777" w:rsidR="0010523F" w:rsidRPr="0010523F" w:rsidRDefault="0010523F" w:rsidP="0010523F">
            <w:pPr>
              <w:tabs>
                <w:tab w:val="decimal" w:pos="872"/>
              </w:tabs>
              <w:ind w:left="-109" w:right="58"/>
              <w:jc w:val="right"/>
              <w:rPr>
                <w:bCs/>
                <w:sz w:val="22"/>
                <w:szCs w:val="22"/>
                <w:u w:val="single"/>
                <w:lang w:val="es-AR" w:eastAsia="en-US"/>
              </w:rPr>
            </w:pPr>
            <w:r w:rsidRPr="0010523F">
              <w:rPr>
                <w:bCs/>
                <w:sz w:val="22"/>
                <w:szCs w:val="22"/>
                <w:u w:val="single"/>
                <w:lang w:val="es-AR" w:eastAsia="en-US"/>
              </w:rPr>
              <w:t xml:space="preserve">       3</w:t>
            </w:r>
          </w:p>
        </w:tc>
      </w:tr>
      <w:tr w:rsidR="0010523F" w:rsidRPr="0010523F" w14:paraId="469A0556" w14:textId="77777777" w:rsidTr="00774E7E">
        <w:tc>
          <w:tcPr>
            <w:tcW w:w="3119" w:type="dxa"/>
            <w:vAlign w:val="bottom"/>
          </w:tcPr>
          <w:p w14:paraId="732810C4" w14:textId="77777777" w:rsidR="0010523F" w:rsidRPr="0010523F" w:rsidRDefault="0010523F" w:rsidP="0010523F">
            <w:pPr>
              <w:tabs>
                <w:tab w:val="left" w:pos="3153"/>
              </w:tabs>
              <w:spacing w:line="180" w:lineRule="exact"/>
              <w:ind w:right="-250"/>
              <w:rPr>
                <w:sz w:val="22"/>
                <w:szCs w:val="22"/>
                <w:lang w:val="es-AR" w:eastAsia="en-US"/>
              </w:rPr>
            </w:pPr>
          </w:p>
        </w:tc>
        <w:tc>
          <w:tcPr>
            <w:tcW w:w="1417" w:type="dxa"/>
            <w:vAlign w:val="bottom"/>
          </w:tcPr>
          <w:p w14:paraId="63182237" w14:textId="77777777" w:rsidR="0010523F" w:rsidRPr="0010523F" w:rsidRDefault="0010523F" w:rsidP="0010523F">
            <w:pPr>
              <w:tabs>
                <w:tab w:val="left" w:pos="3153"/>
              </w:tabs>
              <w:spacing w:line="180" w:lineRule="exact"/>
              <w:ind w:right="175"/>
              <w:rPr>
                <w:sz w:val="22"/>
                <w:szCs w:val="22"/>
                <w:lang w:val="es-AR" w:eastAsia="en-US"/>
              </w:rPr>
            </w:pPr>
          </w:p>
        </w:tc>
        <w:tc>
          <w:tcPr>
            <w:tcW w:w="1559" w:type="dxa"/>
            <w:vAlign w:val="bottom"/>
          </w:tcPr>
          <w:p w14:paraId="2FE5914A" w14:textId="77777777" w:rsidR="0010523F" w:rsidRPr="0010523F" w:rsidRDefault="0010523F" w:rsidP="0010523F">
            <w:pPr>
              <w:tabs>
                <w:tab w:val="left" w:pos="3153"/>
              </w:tabs>
              <w:spacing w:line="180" w:lineRule="exact"/>
              <w:ind w:right="317"/>
              <w:rPr>
                <w:sz w:val="22"/>
                <w:szCs w:val="22"/>
                <w:lang w:val="es-AR" w:eastAsia="en-US"/>
              </w:rPr>
            </w:pPr>
          </w:p>
        </w:tc>
        <w:tc>
          <w:tcPr>
            <w:tcW w:w="861" w:type="dxa"/>
            <w:vAlign w:val="bottom"/>
          </w:tcPr>
          <w:p w14:paraId="1503A0A6" w14:textId="77777777" w:rsidR="0010523F" w:rsidRPr="0010523F" w:rsidRDefault="0010523F" w:rsidP="0010523F">
            <w:pPr>
              <w:tabs>
                <w:tab w:val="left" w:pos="3153"/>
              </w:tabs>
              <w:spacing w:line="180" w:lineRule="exact"/>
              <w:ind w:right="-250"/>
              <w:rPr>
                <w:sz w:val="22"/>
                <w:szCs w:val="22"/>
                <w:lang w:val="es-AR" w:eastAsia="en-US"/>
              </w:rPr>
            </w:pPr>
          </w:p>
        </w:tc>
        <w:tc>
          <w:tcPr>
            <w:tcW w:w="273" w:type="dxa"/>
            <w:vAlign w:val="bottom"/>
          </w:tcPr>
          <w:p w14:paraId="4736AED6" w14:textId="77777777" w:rsidR="0010523F" w:rsidRPr="0010523F" w:rsidRDefault="0010523F" w:rsidP="0010523F">
            <w:pPr>
              <w:tabs>
                <w:tab w:val="left" w:pos="3153"/>
              </w:tabs>
              <w:spacing w:line="180" w:lineRule="exact"/>
              <w:ind w:right="-250"/>
              <w:rPr>
                <w:sz w:val="22"/>
                <w:szCs w:val="22"/>
                <w:lang w:val="es-AR" w:eastAsia="en-US"/>
              </w:rPr>
            </w:pPr>
          </w:p>
        </w:tc>
        <w:tc>
          <w:tcPr>
            <w:tcW w:w="993" w:type="dxa"/>
            <w:vAlign w:val="bottom"/>
          </w:tcPr>
          <w:p w14:paraId="17DE19DE" w14:textId="77777777" w:rsidR="0010523F" w:rsidRPr="0010523F" w:rsidRDefault="0010523F" w:rsidP="0010523F">
            <w:pPr>
              <w:tabs>
                <w:tab w:val="decimal" w:pos="743"/>
                <w:tab w:val="left" w:pos="3153"/>
              </w:tabs>
              <w:spacing w:line="180" w:lineRule="exact"/>
              <w:ind w:right="-250"/>
              <w:jc w:val="both"/>
              <w:rPr>
                <w:sz w:val="22"/>
                <w:szCs w:val="22"/>
                <w:lang w:val="es-AR" w:eastAsia="en-US"/>
              </w:rPr>
            </w:pPr>
          </w:p>
        </w:tc>
        <w:tc>
          <w:tcPr>
            <w:tcW w:w="283" w:type="dxa"/>
            <w:vAlign w:val="bottom"/>
          </w:tcPr>
          <w:p w14:paraId="3E93101F" w14:textId="77777777" w:rsidR="0010523F" w:rsidRPr="0010523F" w:rsidRDefault="0010523F" w:rsidP="0010523F">
            <w:pPr>
              <w:tabs>
                <w:tab w:val="left" w:pos="3153"/>
              </w:tabs>
              <w:spacing w:line="180" w:lineRule="exact"/>
              <w:ind w:right="-250"/>
              <w:rPr>
                <w:sz w:val="22"/>
                <w:szCs w:val="22"/>
                <w:lang w:val="es-AR" w:eastAsia="en-US"/>
              </w:rPr>
            </w:pPr>
          </w:p>
        </w:tc>
        <w:tc>
          <w:tcPr>
            <w:tcW w:w="1134" w:type="dxa"/>
            <w:vAlign w:val="bottom"/>
          </w:tcPr>
          <w:p w14:paraId="2ADE5120" w14:textId="77777777" w:rsidR="0010523F" w:rsidRPr="0010523F" w:rsidRDefault="0010523F" w:rsidP="0010523F">
            <w:pPr>
              <w:tabs>
                <w:tab w:val="left" w:pos="3153"/>
              </w:tabs>
              <w:spacing w:line="180" w:lineRule="exact"/>
              <w:ind w:right="175"/>
              <w:rPr>
                <w:sz w:val="22"/>
                <w:szCs w:val="22"/>
                <w:lang w:val="es-AR" w:eastAsia="en-US"/>
              </w:rPr>
            </w:pPr>
          </w:p>
        </w:tc>
        <w:tc>
          <w:tcPr>
            <w:tcW w:w="1134" w:type="dxa"/>
            <w:vAlign w:val="bottom"/>
          </w:tcPr>
          <w:p w14:paraId="2DDB06A0" w14:textId="77777777" w:rsidR="0010523F" w:rsidRPr="0010523F" w:rsidRDefault="0010523F" w:rsidP="0010523F">
            <w:pPr>
              <w:tabs>
                <w:tab w:val="left" w:pos="3153"/>
              </w:tabs>
              <w:spacing w:line="180" w:lineRule="exact"/>
              <w:ind w:right="-250"/>
              <w:rPr>
                <w:sz w:val="22"/>
                <w:szCs w:val="22"/>
                <w:lang w:val="es-AR" w:eastAsia="en-US"/>
              </w:rPr>
            </w:pPr>
          </w:p>
        </w:tc>
      </w:tr>
      <w:tr w:rsidR="0010523F" w:rsidRPr="0010523F" w14:paraId="215A336C" w14:textId="77777777" w:rsidTr="00774E7E">
        <w:trPr>
          <w:trHeight w:val="277"/>
        </w:trPr>
        <w:tc>
          <w:tcPr>
            <w:tcW w:w="3119" w:type="dxa"/>
            <w:vAlign w:val="bottom"/>
          </w:tcPr>
          <w:p w14:paraId="1DCB8C96" w14:textId="77777777" w:rsidR="0010523F" w:rsidRPr="0010523F" w:rsidRDefault="0010523F" w:rsidP="0010523F">
            <w:pPr>
              <w:tabs>
                <w:tab w:val="left" w:pos="3153"/>
              </w:tabs>
              <w:ind w:right="-250"/>
              <w:rPr>
                <w:bCs/>
                <w:sz w:val="22"/>
                <w:szCs w:val="22"/>
                <w:lang w:val="es-AR" w:eastAsia="en-US"/>
              </w:rPr>
            </w:pPr>
            <w:r w:rsidRPr="0010523F">
              <w:rPr>
                <w:sz w:val="22"/>
                <w:szCs w:val="22"/>
                <w:lang w:val="es-AR" w:eastAsia="en-US"/>
              </w:rPr>
              <w:t>Subtotal del pasivo corriente</w:t>
            </w:r>
          </w:p>
        </w:tc>
        <w:tc>
          <w:tcPr>
            <w:tcW w:w="1417" w:type="dxa"/>
            <w:vAlign w:val="bottom"/>
          </w:tcPr>
          <w:p w14:paraId="24DD0FE4" w14:textId="77777777" w:rsidR="0010523F" w:rsidRPr="0010523F" w:rsidRDefault="0010523F" w:rsidP="0010523F">
            <w:pPr>
              <w:ind w:left="-109" w:right="175"/>
              <w:jc w:val="right"/>
              <w:rPr>
                <w:bCs/>
                <w:sz w:val="22"/>
                <w:szCs w:val="22"/>
                <w:u w:val="single"/>
                <w:lang w:val="es-AR" w:eastAsia="en-US"/>
              </w:rPr>
            </w:pPr>
            <w:r w:rsidRPr="0010523F">
              <w:rPr>
                <w:bCs/>
                <w:sz w:val="22"/>
                <w:szCs w:val="22"/>
                <w:u w:val="single"/>
                <w:lang w:val="es-AR" w:eastAsia="en-US"/>
              </w:rPr>
              <w:t xml:space="preserve">   975</w:t>
            </w:r>
          </w:p>
        </w:tc>
        <w:tc>
          <w:tcPr>
            <w:tcW w:w="1559" w:type="dxa"/>
            <w:vAlign w:val="bottom"/>
          </w:tcPr>
          <w:p w14:paraId="4FB7568C" w14:textId="77777777" w:rsidR="0010523F" w:rsidRPr="0010523F" w:rsidRDefault="0010523F" w:rsidP="0010523F">
            <w:pPr>
              <w:ind w:right="317"/>
              <w:jc w:val="right"/>
              <w:rPr>
                <w:bCs/>
                <w:sz w:val="22"/>
                <w:szCs w:val="22"/>
                <w:u w:val="single"/>
                <w:lang w:val="es-AR" w:eastAsia="en-US"/>
              </w:rPr>
            </w:pPr>
            <w:r w:rsidRPr="0010523F">
              <w:rPr>
                <w:bCs/>
                <w:sz w:val="22"/>
                <w:szCs w:val="22"/>
                <w:u w:val="single"/>
                <w:lang w:val="es-AR" w:eastAsia="en-US"/>
              </w:rPr>
              <w:t xml:space="preserve">         - </w:t>
            </w:r>
          </w:p>
        </w:tc>
        <w:tc>
          <w:tcPr>
            <w:tcW w:w="861" w:type="dxa"/>
            <w:vAlign w:val="bottom"/>
          </w:tcPr>
          <w:p w14:paraId="478025F4" w14:textId="77777777" w:rsidR="0010523F" w:rsidRPr="0010523F" w:rsidRDefault="0010523F" w:rsidP="0010523F">
            <w:pPr>
              <w:tabs>
                <w:tab w:val="left" w:pos="175"/>
                <w:tab w:val="decimal" w:pos="742"/>
              </w:tabs>
              <w:ind w:left="-90"/>
              <w:jc w:val="right"/>
              <w:rPr>
                <w:bCs/>
                <w:sz w:val="22"/>
                <w:szCs w:val="22"/>
                <w:u w:val="single"/>
                <w:lang w:val="es-AR" w:eastAsia="en-US"/>
              </w:rPr>
            </w:pPr>
            <w:r w:rsidRPr="0010523F">
              <w:rPr>
                <w:bCs/>
                <w:sz w:val="22"/>
                <w:szCs w:val="22"/>
                <w:u w:val="single"/>
                <w:lang w:val="es-AR" w:eastAsia="en-US"/>
              </w:rPr>
              <w:t xml:space="preserve">   125</w:t>
            </w:r>
          </w:p>
        </w:tc>
        <w:tc>
          <w:tcPr>
            <w:tcW w:w="273" w:type="dxa"/>
            <w:vAlign w:val="bottom"/>
          </w:tcPr>
          <w:p w14:paraId="1A3CED77" w14:textId="77777777" w:rsidR="0010523F" w:rsidRPr="0010523F" w:rsidRDefault="0010523F" w:rsidP="0010523F">
            <w:pPr>
              <w:ind w:right="-392"/>
              <w:jc w:val="right"/>
              <w:rPr>
                <w:bCs/>
                <w:sz w:val="22"/>
                <w:szCs w:val="22"/>
                <w:u w:val="single"/>
                <w:lang w:val="es-AR" w:eastAsia="en-US"/>
              </w:rPr>
            </w:pPr>
          </w:p>
        </w:tc>
        <w:tc>
          <w:tcPr>
            <w:tcW w:w="993" w:type="dxa"/>
            <w:vAlign w:val="bottom"/>
          </w:tcPr>
          <w:p w14:paraId="2E6EB052" w14:textId="77777777" w:rsidR="0010523F" w:rsidRPr="0010523F" w:rsidRDefault="0010523F" w:rsidP="0010523F">
            <w:pPr>
              <w:tabs>
                <w:tab w:val="decimal" w:pos="743"/>
              </w:tabs>
              <w:ind w:left="-108" w:right="-108"/>
              <w:jc w:val="both"/>
              <w:rPr>
                <w:sz w:val="22"/>
                <w:szCs w:val="22"/>
                <w:u w:val="single"/>
                <w:lang w:val="es-AR" w:eastAsia="en-US"/>
              </w:rPr>
            </w:pPr>
            <w:r w:rsidRPr="0010523F">
              <w:rPr>
                <w:bCs/>
                <w:sz w:val="22"/>
                <w:szCs w:val="22"/>
                <w:lang w:val="es-AR" w:eastAsia="en-US"/>
              </w:rPr>
              <w:t>(</w:t>
            </w:r>
            <w:r w:rsidRPr="0010523F">
              <w:rPr>
                <w:bCs/>
                <w:sz w:val="22"/>
                <w:szCs w:val="22"/>
                <w:u w:val="single"/>
                <w:lang w:val="es-AR" w:eastAsia="en-US"/>
              </w:rPr>
              <w:t xml:space="preserve">  1.097</w:t>
            </w:r>
            <w:r w:rsidRPr="0010523F">
              <w:rPr>
                <w:bCs/>
                <w:sz w:val="22"/>
                <w:szCs w:val="22"/>
                <w:lang w:val="es-AR" w:eastAsia="en-US"/>
              </w:rPr>
              <w:t>)</w:t>
            </w:r>
          </w:p>
        </w:tc>
        <w:tc>
          <w:tcPr>
            <w:tcW w:w="283" w:type="dxa"/>
            <w:vAlign w:val="bottom"/>
          </w:tcPr>
          <w:p w14:paraId="676EF535" w14:textId="77777777" w:rsidR="0010523F" w:rsidRPr="0010523F" w:rsidRDefault="0010523F" w:rsidP="0010523F">
            <w:pPr>
              <w:ind w:left="-79" w:right="-395"/>
              <w:jc w:val="right"/>
              <w:rPr>
                <w:bCs/>
                <w:sz w:val="22"/>
                <w:szCs w:val="22"/>
                <w:u w:val="single"/>
                <w:lang w:val="es-AR" w:eastAsia="en-US"/>
              </w:rPr>
            </w:pPr>
          </w:p>
        </w:tc>
        <w:tc>
          <w:tcPr>
            <w:tcW w:w="1134" w:type="dxa"/>
            <w:vAlign w:val="bottom"/>
          </w:tcPr>
          <w:p w14:paraId="26C1CDAB" w14:textId="77777777" w:rsidR="0010523F" w:rsidRPr="0010523F" w:rsidRDefault="0010523F" w:rsidP="0010523F">
            <w:pPr>
              <w:tabs>
                <w:tab w:val="decimal" w:pos="601"/>
              </w:tabs>
              <w:ind w:left="-249" w:right="175" w:firstLine="140"/>
              <w:jc w:val="right"/>
              <w:rPr>
                <w:bCs/>
                <w:sz w:val="22"/>
                <w:szCs w:val="22"/>
                <w:u w:val="single"/>
                <w:lang w:val="es-AR" w:eastAsia="en-US"/>
              </w:rPr>
            </w:pPr>
            <w:r w:rsidRPr="0010523F">
              <w:rPr>
                <w:bCs/>
                <w:sz w:val="22"/>
                <w:szCs w:val="22"/>
                <w:u w:val="single"/>
                <w:lang w:val="es-AR" w:eastAsia="en-US"/>
              </w:rPr>
              <w:t xml:space="preserve">          -</w:t>
            </w:r>
          </w:p>
        </w:tc>
        <w:tc>
          <w:tcPr>
            <w:tcW w:w="1134" w:type="dxa"/>
            <w:vAlign w:val="bottom"/>
          </w:tcPr>
          <w:p w14:paraId="73FBE3AC" w14:textId="77777777" w:rsidR="0010523F" w:rsidRPr="0010523F" w:rsidRDefault="0010523F" w:rsidP="0010523F">
            <w:pPr>
              <w:tabs>
                <w:tab w:val="decimal" w:pos="872"/>
              </w:tabs>
              <w:ind w:left="-109" w:right="58"/>
              <w:jc w:val="right"/>
              <w:rPr>
                <w:bCs/>
                <w:sz w:val="22"/>
                <w:szCs w:val="22"/>
                <w:u w:val="single"/>
                <w:lang w:val="es-AR" w:eastAsia="en-US"/>
              </w:rPr>
            </w:pPr>
            <w:r w:rsidRPr="0010523F">
              <w:rPr>
                <w:bCs/>
                <w:sz w:val="22"/>
                <w:szCs w:val="22"/>
                <w:u w:val="single"/>
                <w:lang w:val="es-AR" w:eastAsia="en-US"/>
              </w:rPr>
              <w:t xml:space="preserve">       3</w:t>
            </w:r>
          </w:p>
        </w:tc>
      </w:tr>
      <w:tr w:rsidR="0010523F" w:rsidRPr="0010523F" w14:paraId="778A3F89" w14:textId="77777777" w:rsidTr="00774E7E">
        <w:tc>
          <w:tcPr>
            <w:tcW w:w="3119" w:type="dxa"/>
            <w:vAlign w:val="bottom"/>
          </w:tcPr>
          <w:p w14:paraId="1C738C7B" w14:textId="77777777" w:rsidR="0010523F" w:rsidRPr="0010523F" w:rsidRDefault="0010523F" w:rsidP="0010523F">
            <w:pPr>
              <w:tabs>
                <w:tab w:val="left" w:pos="3153"/>
              </w:tabs>
              <w:spacing w:line="180" w:lineRule="exact"/>
              <w:ind w:right="-250"/>
              <w:rPr>
                <w:sz w:val="22"/>
                <w:szCs w:val="22"/>
                <w:lang w:val="es-AR" w:eastAsia="en-US"/>
              </w:rPr>
            </w:pPr>
          </w:p>
        </w:tc>
        <w:tc>
          <w:tcPr>
            <w:tcW w:w="1417" w:type="dxa"/>
            <w:vAlign w:val="bottom"/>
          </w:tcPr>
          <w:p w14:paraId="17E100C9" w14:textId="77777777" w:rsidR="0010523F" w:rsidRPr="0010523F" w:rsidRDefault="0010523F" w:rsidP="0010523F">
            <w:pPr>
              <w:tabs>
                <w:tab w:val="left" w:pos="3153"/>
              </w:tabs>
              <w:spacing w:line="180" w:lineRule="exact"/>
              <w:ind w:right="-250"/>
              <w:rPr>
                <w:sz w:val="22"/>
                <w:szCs w:val="22"/>
                <w:lang w:val="es-AR" w:eastAsia="en-US"/>
              </w:rPr>
            </w:pPr>
          </w:p>
        </w:tc>
        <w:tc>
          <w:tcPr>
            <w:tcW w:w="1559" w:type="dxa"/>
            <w:vAlign w:val="bottom"/>
          </w:tcPr>
          <w:p w14:paraId="2DE7D80B" w14:textId="77777777" w:rsidR="0010523F" w:rsidRPr="0010523F" w:rsidRDefault="0010523F" w:rsidP="0010523F">
            <w:pPr>
              <w:tabs>
                <w:tab w:val="left" w:pos="3153"/>
              </w:tabs>
              <w:spacing w:line="180" w:lineRule="exact"/>
              <w:ind w:right="317"/>
              <w:rPr>
                <w:sz w:val="22"/>
                <w:szCs w:val="22"/>
                <w:lang w:val="es-AR" w:eastAsia="en-US"/>
              </w:rPr>
            </w:pPr>
          </w:p>
        </w:tc>
        <w:tc>
          <w:tcPr>
            <w:tcW w:w="861" w:type="dxa"/>
            <w:vAlign w:val="bottom"/>
          </w:tcPr>
          <w:p w14:paraId="3257DA3D" w14:textId="77777777" w:rsidR="0010523F" w:rsidRPr="0010523F" w:rsidRDefault="0010523F" w:rsidP="0010523F">
            <w:pPr>
              <w:tabs>
                <w:tab w:val="left" w:pos="3153"/>
              </w:tabs>
              <w:spacing w:line="180" w:lineRule="exact"/>
              <w:ind w:right="-250"/>
              <w:rPr>
                <w:sz w:val="22"/>
                <w:szCs w:val="22"/>
                <w:lang w:val="es-AR" w:eastAsia="en-US"/>
              </w:rPr>
            </w:pPr>
          </w:p>
        </w:tc>
        <w:tc>
          <w:tcPr>
            <w:tcW w:w="273" w:type="dxa"/>
            <w:vAlign w:val="bottom"/>
          </w:tcPr>
          <w:p w14:paraId="6F5C317F" w14:textId="77777777" w:rsidR="0010523F" w:rsidRPr="0010523F" w:rsidRDefault="0010523F" w:rsidP="0010523F">
            <w:pPr>
              <w:tabs>
                <w:tab w:val="left" w:pos="3153"/>
              </w:tabs>
              <w:spacing w:line="180" w:lineRule="exact"/>
              <w:ind w:right="-250"/>
              <w:rPr>
                <w:sz w:val="22"/>
                <w:szCs w:val="22"/>
                <w:lang w:val="es-AR" w:eastAsia="en-US"/>
              </w:rPr>
            </w:pPr>
          </w:p>
        </w:tc>
        <w:tc>
          <w:tcPr>
            <w:tcW w:w="993" w:type="dxa"/>
            <w:vAlign w:val="bottom"/>
          </w:tcPr>
          <w:p w14:paraId="3EE3BF16" w14:textId="77777777" w:rsidR="0010523F" w:rsidRPr="0010523F" w:rsidRDefault="0010523F" w:rsidP="0010523F">
            <w:pPr>
              <w:tabs>
                <w:tab w:val="left" w:pos="3153"/>
              </w:tabs>
              <w:spacing w:line="180" w:lineRule="exact"/>
              <w:ind w:right="-250"/>
              <w:rPr>
                <w:sz w:val="22"/>
                <w:szCs w:val="22"/>
                <w:lang w:val="es-AR" w:eastAsia="en-US"/>
              </w:rPr>
            </w:pPr>
          </w:p>
        </w:tc>
        <w:tc>
          <w:tcPr>
            <w:tcW w:w="283" w:type="dxa"/>
            <w:vAlign w:val="bottom"/>
          </w:tcPr>
          <w:p w14:paraId="422682D6" w14:textId="77777777" w:rsidR="0010523F" w:rsidRPr="0010523F" w:rsidRDefault="0010523F" w:rsidP="0010523F">
            <w:pPr>
              <w:tabs>
                <w:tab w:val="left" w:pos="3153"/>
              </w:tabs>
              <w:spacing w:line="180" w:lineRule="exact"/>
              <w:ind w:right="-250"/>
              <w:rPr>
                <w:sz w:val="22"/>
                <w:szCs w:val="22"/>
                <w:lang w:val="es-AR" w:eastAsia="en-US"/>
              </w:rPr>
            </w:pPr>
          </w:p>
        </w:tc>
        <w:tc>
          <w:tcPr>
            <w:tcW w:w="1134" w:type="dxa"/>
            <w:vAlign w:val="bottom"/>
          </w:tcPr>
          <w:p w14:paraId="5A762F65" w14:textId="77777777" w:rsidR="0010523F" w:rsidRPr="0010523F" w:rsidRDefault="0010523F" w:rsidP="0010523F">
            <w:pPr>
              <w:tabs>
                <w:tab w:val="left" w:pos="3153"/>
              </w:tabs>
              <w:spacing w:line="180" w:lineRule="exact"/>
              <w:ind w:right="175"/>
              <w:rPr>
                <w:sz w:val="22"/>
                <w:szCs w:val="22"/>
                <w:lang w:val="es-AR" w:eastAsia="en-US"/>
              </w:rPr>
            </w:pPr>
          </w:p>
        </w:tc>
        <w:tc>
          <w:tcPr>
            <w:tcW w:w="1134" w:type="dxa"/>
            <w:vAlign w:val="bottom"/>
          </w:tcPr>
          <w:p w14:paraId="030525DD" w14:textId="77777777" w:rsidR="0010523F" w:rsidRPr="0010523F" w:rsidRDefault="0010523F" w:rsidP="0010523F">
            <w:pPr>
              <w:tabs>
                <w:tab w:val="left" w:pos="3153"/>
              </w:tabs>
              <w:spacing w:line="180" w:lineRule="exact"/>
              <w:ind w:right="-250"/>
              <w:rPr>
                <w:sz w:val="22"/>
                <w:szCs w:val="22"/>
                <w:lang w:val="es-AR" w:eastAsia="en-US"/>
              </w:rPr>
            </w:pPr>
          </w:p>
        </w:tc>
      </w:tr>
      <w:tr w:rsidR="0010523F" w:rsidRPr="0010523F" w14:paraId="045F5D40" w14:textId="77777777" w:rsidTr="00774E7E">
        <w:tc>
          <w:tcPr>
            <w:tcW w:w="4536" w:type="dxa"/>
            <w:gridSpan w:val="2"/>
            <w:vAlign w:val="bottom"/>
          </w:tcPr>
          <w:p w14:paraId="0DB46A14" w14:textId="77777777" w:rsidR="0010523F" w:rsidRPr="0010523F" w:rsidRDefault="0010523F" w:rsidP="0010523F">
            <w:pPr>
              <w:tabs>
                <w:tab w:val="decimal" w:pos="361"/>
                <w:tab w:val="decimal" w:pos="789"/>
              </w:tabs>
              <w:ind w:right="-108"/>
              <w:rPr>
                <w:bCs/>
                <w:sz w:val="22"/>
                <w:szCs w:val="22"/>
                <w:lang w:val="es-AR" w:eastAsia="en-US"/>
              </w:rPr>
            </w:pPr>
            <w:r w:rsidRPr="0010523F">
              <w:rPr>
                <w:sz w:val="22"/>
                <w:szCs w:val="22"/>
                <w:lang w:val="es-AR" w:eastAsia="en-US"/>
              </w:rPr>
              <w:t>Incluidas en el pasivo no corriente:</w:t>
            </w:r>
          </w:p>
        </w:tc>
        <w:tc>
          <w:tcPr>
            <w:tcW w:w="1559" w:type="dxa"/>
            <w:vAlign w:val="bottom"/>
          </w:tcPr>
          <w:p w14:paraId="5D563CAF" w14:textId="77777777" w:rsidR="0010523F" w:rsidRPr="0010523F" w:rsidRDefault="0010523F" w:rsidP="0010523F">
            <w:pPr>
              <w:ind w:right="317"/>
              <w:jc w:val="right"/>
              <w:rPr>
                <w:bCs/>
                <w:sz w:val="22"/>
                <w:szCs w:val="22"/>
                <w:lang w:val="es-AR" w:eastAsia="en-US"/>
              </w:rPr>
            </w:pPr>
          </w:p>
        </w:tc>
        <w:tc>
          <w:tcPr>
            <w:tcW w:w="861" w:type="dxa"/>
            <w:vAlign w:val="bottom"/>
          </w:tcPr>
          <w:p w14:paraId="5062E0FC" w14:textId="77777777" w:rsidR="0010523F" w:rsidRPr="0010523F" w:rsidRDefault="0010523F" w:rsidP="0010523F">
            <w:pPr>
              <w:tabs>
                <w:tab w:val="left" w:pos="175"/>
                <w:tab w:val="decimal" w:pos="742"/>
              </w:tabs>
              <w:spacing w:line="180" w:lineRule="exact"/>
              <w:ind w:left="-90"/>
              <w:jc w:val="right"/>
              <w:rPr>
                <w:bCs/>
                <w:sz w:val="22"/>
                <w:szCs w:val="22"/>
                <w:u w:val="double"/>
                <w:lang w:val="es-AR" w:eastAsia="en-US"/>
              </w:rPr>
            </w:pPr>
          </w:p>
        </w:tc>
        <w:tc>
          <w:tcPr>
            <w:tcW w:w="273" w:type="dxa"/>
            <w:vAlign w:val="bottom"/>
          </w:tcPr>
          <w:p w14:paraId="7C5E1476" w14:textId="77777777" w:rsidR="0010523F" w:rsidRPr="0010523F" w:rsidRDefault="0010523F" w:rsidP="0010523F">
            <w:pPr>
              <w:ind w:right="-392"/>
              <w:jc w:val="right"/>
              <w:rPr>
                <w:bCs/>
                <w:sz w:val="22"/>
                <w:szCs w:val="22"/>
                <w:lang w:val="es-AR" w:eastAsia="en-US"/>
              </w:rPr>
            </w:pPr>
          </w:p>
        </w:tc>
        <w:tc>
          <w:tcPr>
            <w:tcW w:w="993" w:type="dxa"/>
            <w:vAlign w:val="bottom"/>
          </w:tcPr>
          <w:p w14:paraId="4043E8CE" w14:textId="77777777" w:rsidR="0010523F" w:rsidRPr="0010523F" w:rsidRDefault="0010523F" w:rsidP="0010523F">
            <w:pPr>
              <w:tabs>
                <w:tab w:val="decimal" w:pos="873"/>
              </w:tabs>
              <w:ind w:left="-108" w:right="-108"/>
              <w:jc w:val="right"/>
              <w:rPr>
                <w:bCs/>
                <w:sz w:val="22"/>
                <w:szCs w:val="22"/>
                <w:lang w:val="es-AR" w:eastAsia="en-US"/>
              </w:rPr>
            </w:pPr>
          </w:p>
        </w:tc>
        <w:tc>
          <w:tcPr>
            <w:tcW w:w="283" w:type="dxa"/>
            <w:vAlign w:val="bottom"/>
          </w:tcPr>
          <w:p w14:paraId="0846FD15" w14:textId="77777777" w:rsidR="0010523F" w:rsidRPr="0010523F" w:rsidRDefault="0010523F" w:rsidP="0010523F">
            <w:pPr>
              <w:ind w:left="-79" w:right="-395"/>
              <w:jc w:val="right"/>
              <w:rPr>
                <w:bCs/>
                <w:sz w:val="22"/>
                <w:szCs w:val="22"/>
                <w:lang w:val="es-AR" w:eastAsia="en-US"/>
              </w:rPr>
            </w:pPr>
          </w:p>
        </w:tc>
        <w:tc>
          <w:tcPr>
            <w:tcW w:w="1134" w:type="dxa"/>
            <w:vAlign w:val="bottom"/>
          </w:tcPr>
          <w:p w14:paraId="2667C4BB" w14:textId="77777777" w:rsidR="0010523F" w:rsidRPr="0010523F" w:rsidRDefault="0010523F" w:rsidP="0010523F">
            <w:pPr>
              <w:tabs>
                <w:tab w:val="decimal" w:pos="601"/>
                <w:tab w:val="decimal" w:pos="895"/>
              </w:tabs>
              <w:ind w:left="-249" w:right="175" w:firstLine="140"/>
              <w:jc w:val="right"/>
              <w:rPr>
                <w:bCs/>
                <w:sz w:val="22"/>
                <w:szCs w:val="22"/>
                <w:lang w:val="es-AR" w:eastAsia="en-US"/>
              </w:rPr>
            </w:pPr>
          </w:p>
        </w:tc>
        <w:tc>
          <w:tcPr>
            <w:tcW w:w="1134" w:type="dxa"/>
            <w:vAlign w:val="bottom"/>
          </w:tcPr>
          <w:p w14:paraId="75F2F2F3" w14:textId="77777777" w:rsidR="0010523F" w:rsidRPr="0010523F" w:rsidRDefault="0010523F" w:rsidP="0010523F">
            <w:pPr>
              <w:tabs>
                <w:tab w:val="decimal" w:pos="872"/>
              </w:tabs>
              <w:ind w:left="-109" w:right="58"/>
              <w:jc w:val="right"/>
              <w:rPr>
                <w:bCs/>
                <w:sz w:val="22"/>
                <w:szCs w:val="22"/>
                <w:lang w:val="es-AR" w:eastAsia="en-US"/>
              </w:rPr>
            </w:pPr>
          </w:p>
        </w:tc>
      </w:tr>
      <w:tr w:rsidR="0010523F" w:rsidRPr="0010523F" w14:paraId="20822029" w14:textId="77777777" w:rsidTr="00774E7E">
        <w:tc>
          <w:tcPr>
            <w:tcW w:w="3119" w:type="dxa"/>
            <w:vAlign w:val="bottom"/>
          </w:tcPr>
          <w:p w14:paraId="59891539" w14:textId="77777777" w:rsidR="0010523F" w:rsidRPr="0010523F" w:rsidRDefault="0010523F" w:rsidP="0010523F">
            <w:pPr>
              <w:tabs>
                <w:tab w:val="left" w:pos="3153"/>
              </w:tabs>
              <w:spacing w:line="180" w:lineRule="exact"/>
              <w:ind w:right="-250"/>
              <w:rPr>
                <w:sz w:val="22"/>
                <w:szCs w:val="22"/>
                <w:lang w:val="es-AR" w:eastAsia="en-US"/>
              </w:rPr>
            </w:pPr>
          </w:p>
        </w:tc>
        <w:tc>
          <w:tcPr>
            <w:tcW w:w="1417" w:type="dxa"/>
            <w:vAlign w:val="bottom"/>
          </w:tcPr>
          <w:p w14:paraId="7B0015A7" w14:textId="77777777" w:rsidR="0010523F" w:rsidRPr="0010523F" w:rsidRDefault="0010523F" w:rsidP="0010523F">
            <w:pPr>
              <w:tabs>
                <w:tab w:val="left" w:pos="3153"/>
              </w:tabs>
              <w:spacing w:line="180" w:lineRule="exact"/>
              <w:ind w:right="-250"/>
              <w:rPr>
                <w:sz w:val="22"/>
                <w:szCs w:val="22"/>
                <w:lang w:val="es-AR" w:eastAsia="en-US"/>
              </w:rPr>
            </w:pPr>
          </w:p>
        </w:tc>
        <w:tc>
          <w:tcPr>
            <w:tcW w:w="1559" w:type="dxa"/>
            <w:vAlign w:val="bottom"/>
          </w:tcPr>
          <w:p w14:paraId="4D4BA1BA" w14:textId="77777777" w:rsidR="0010523F" w:rsidRPr="0010523F" w:rsidRDefault="0010523F" w:rsidP="0010523F">
            <w:pPr>
              <w:tabs>
                <w:tab w:val="left" w:pos="3153"/>
              </w:tabs>
              <w:spacing w:line="180" w:lineRule="exact"/>
              <w:ind w:right="317"/>
              <w:rPr>
                <w:sz w:val="22"/>
                <w:szCs w:val="22"/>
                <w:lang w:val="es-AR" w:eastAsia="en-US"/>
              </w:rPr>
            </w:pPr>
          </w:p>
        </w:tc>
        <w:tc>
          <w:tcPr>
            <w:tcW w:w="861" w:type="dxa"/>
            <w:vAlign w:val="bottom"/>
          </w:tcPr>
          <w:p w14:paraId="6988325C" w14:textId="77777777" w:rsidR="0010523F" w:rsidRPr="0010523F" w:rsidRDefault="0010523F" w:rsidP="0010523F">
            <w:pPr>
              <w:tabs>
                <w:tab w:val="left" w:pos="3153"/>
              </w:tabs>
              <w:spacing w:line="180" w:lineRule="exact"/>
              <w:ind w:right="-250"/>
              <w:rPr>
                <w:sz w:val="22"/>
                <w:szCs w:val="22"/>
                <w:lang w:val="es-AR" w:eastAsia="en-US"/>
              </w:rPr>
            </w:pPr>
          </w:p>
        </w:tc>
        <w:tc>
          <w:tcPr>
            <w:tcW w:w="273" w:type="dxa"/>
            <w:vAlign w:val="bottom"/>
          </w:tcPr>
          <w:p w14:paraId="2900F2CD" w14:textId="77777777" w:rsidR="0010523F" w:rsidRPr="0010523F" w:rsidRDefault="0010523F" w:rsidP="0010523F">
            <w:pPr>
              <w:tabs>
                <w:tab w:val="left" w:pos="3153"/>
              </w:tabs>
              <w:spacing w:line="180" w:lineRule="exact"/>
              <w:ind w:right="-250"/>
              <w:rPr>
                <w:sz w:val="22"/>
                <w:szCs w:val="22"/>
                <w:lang w:val="es-AR" w:eastAsia="en-US"/>
              </w:rPr>
            </w:pPr>
          </w:p>
        </w:tc>
        <w:tc>
          <w:tcPr>
            <w:tcW w:w="993" w:type="dxa"/>
            <w:vAlign w:val="bottom"/>
          </w:tcPr>
          <w:p w14:paraId="246F7439" w14:textId="77777777" w:rsidR="0010523F" w:rsidRPr="0010523F" w:rsidRDefault="0010523F" w:rsidP="0010523F">
            <w:pPr>
              <w:tabs>
                <w:tab w:val="left" w:pos="3153"/>
              </w:tabs>
              <w:spacing w:line="180" w:lineRule="exact"/>
              <w:ind w:right="-250"/>
              <w:rPr>
                <w:sz w:val="22"/>
                <w:szCs w:val="22"/>
                <w:lang w:val="es-AR" w:eastAsia="en-US"/>
              </w:rPr>
            </w:pPr>
          </w:p>
        </w:tc>
        <w:tc>
          <w:tcPr>
            <w:tcW w:w="283" w:type="dxa"/>
            <w:vAlign w:val="bottom"/>
          </w:tcPr>
          <w:p w14:paraId="62CA68B3" w14:textId="77777777" w:rsidR="0010523F" w:rsidRPr="0010523F" w:rsidRDefault="0010523F" w:rsidP="0010523F">
            <w:pPr>
              <w:tabs>
                <w:tab w:val="left" w:pos="3153"/>
              </w:tabs>
              <w:spacing w:line="180" w:lineRule="exact"/>
              <w:ind w:right="-250"/>
              <w:rPr>
                <w:sz w:val="22"/>
                <w:szCs w:val="22"/>
                <w:lang w:val="es-AR" w:eastAsia="en-US"/>
              </w:rPr>
            </w:pPr>
          </w:p>
        </w:tc>
        <w:tc>
          <w:tcPr>
            <w:tcW w:w="1134" w:type="dxa"/>
            <w:vAlign w:val="bottom"/>
          </w:tcPr>
          <w:p w14:paraId="0A1F8B80" w14:textId="77777777" w:rsidR="0010523F" w:rsidRPr="0010523F" w:rsidRDefault="0010523F" w:rsidP="0010523F">
            <w:pPr>
              <w:tabs>
                <w:tab w:val="left" w:pos="3153"/>
              </w:tabs>
              <w:spacing w:line="180" w:lineRule="exact"/>
              <w:ind w:right="175"/>
              <w:rPr>
                <w:sz w:val="22"/>
                <w:szCs w:val="22"/>
                <w:lang w:val="es-AR" w:eastAsia="en-US"/>
              </w:rPr>
            </w:pPr>
          </w:p>
        </w:tc>
        <w:tc>
          <w:tcPr>
            <w:tcW w:w="1134" w:type="dxa"/>
            <w:vAlign w:val="bottom"/>
          </w:tcPr>
          <w:p w14:paraId="77375343" w14:textId="77777777" w:rsidR="0010523F" w:rsidRPr="0010523F" w:rsidRDefault="0010523F" w:rsidP="0010523F">
            <w:pPr>
              <w:tabs>
                <w:tab w:val="left" w:pos="3153"/>
              </w:tabs>
              <w:spacing w:line="180" w:lineRule="exact"/>
              <w:ind w:right="-250"/>
              <w:rPr>
                <w:sz w:val="22"/>
                <w:szCs w:val="22"/>
                <w:lang w:val="es-AR" w:eastAsia="en-US"/>
              </w:rPr>
            </w:pPr>
          </w:p>
        </w:tc>
      </w:tr>
      <w:tr w:rsidR="0010523F" w:rsidRPr="0010523F" w14:paraId="32845161" w14:textId="77777777" w:rsidTr="00774E7E">
        <w:tc>
          <w:tcPr>
            <w:tcW w:w="3119" w:type="dxa"/>
            <w:vAlign w:val="bottom"/>
          </w:tcPr>
          <w:p w14:paraId="3B18913F" w14:textId="77777777" w:rsidR="0010523F" w:rsidRPr="0010523F" w:rsidRDefault="0010523F" w:rsidP="0010523F">
            <w:pPr>
              <w:tabs>
                <w:tab w:val="left" w:pos="851"/>
                <w:tab w:val="decimal" w:pos="3686"/>
                <w:tab w:val="decimal" w:pos="4536"/>
                <w:tab w:val="decimal" w:pos="4962"/>
                <w:tab w:val="center" w:pos="5529"/>
                <w:tab w:val="decimal" w:pos="6096"/>
                <w:tab w:val="decimal" w:pos="7230"/>
                <w:tab w:val="center" w:pos="7938"/>
                <w:tab w:val="decimal" w:pos="8505"/>
                <w:tab w:val="center" w:pos="9072"/>
                <w:tab w:val="decimal" w:pos="9639"/>
              </w:tabs>
              <w:rPr>
                <w:bCs/>
                <w:sz w:val="22"/>
                <w:szCs w:val="22"/>
                <w:lang w:val="es-AR" w:eastAsia="en-US"/>
              </w:rPr>
            </w:pPr>
            <w:r w:rsidRPr="0010523F">
              <w:rPr>
                <w:sz w:val="22"/>
                <w:szCs w:val="22"/>
                <w:lang w:val="es-AR" w:eastAsia="en-US"/>
              </w:rPr>
              <w:t>Provisión por acuerdo de estabilidad de precios de petróleo crudo, naftas y gas oil</w:t>
            </w:r>
          </w:p>
        </w:tc>
        <w:tc>
          <w:tcPr>
            <w:tcW w:w="1417" w:type="dxa"/>
            <w:vAlign w:val="bottom"/>
          </w:tcPr>
          <w:p w14:paraId="3888FB40" w14:textId="77777777" w:rsidR="0010523F" w:rsidRPr="0010523F" w:rsidRDefault="0010523F" w:rsidP="0010523F">
            <w:pPr>
              <w:ind w:left="-109" w:right="175"/>
              <w:jc w:val="right"/>
              <w:rPr>
                <w:bCs/>
                <w:sz w:val="22"/>
                <w:szCs w:val="22"/>
                <w:lang w:val="es-AR" w:eastAsia="en-US"/>
              </w:rPr>
            </w:pPr>
            <w:r w:rsidRPr="0010523F">
              <w:rPr>
                <w:bCs/>
                <w:sz w:val="22"/>
                <w:szCs w:val="22"/>
                <w:lang w:val="es-AR" w:eastAsia="en-US"/>
              </w:rPr>
              <w:t>527</w:t>
            </w:r>
          </w:p>
        </w:tc>
        <w:tc>
          <w:tcPr>
            <w:tcW w:w="1559" w:type="dxa"/>
            <w:vAlign w:val="bottom"/>
          </w:tcPr>
          <w:p w14:paraId="7A1B8629" w14:textId="77777777" w:rsidR="0010523F" w:rsidRPr="0010523F" w:rsidRDefault="0010523F" w:rsidP="0010523F">
            <w:pPr>
              <w:ind w:right="317"/>
              <w:jc w:val="right"/>
              <w:rPr>
                <w:bCs/>
                <w:sz w:val="22"/>
                <w:szCs w:val="22"/>
                <w:lang w:val="es-AR" w:eastAsia="en-US"/>
              </w:rPr>
            </w:pPr>
            <w:r w:rsidRPr="0010523F">
              <w:rPr>
                <w:bCs/>
                <w:sz w:val="22"/>
                <w:szCs w:val="22"/>
                <w:lang w:val="es-AR" w:eastAsia="en-US"/>
              </w:rPr>
              <w:t xml:space="preserve">   -</w:t>
            </w:r>
          </w:p>
        </w:tc>
        <w:tc>
          <w:tcPr>
            <w:tcW w:w="861" w:type="dxa"/>
            <w:vAlign w:val="bottom"/>
          </w:tcPr>
          <w:p w14:paraId="0CF6D0C7" w14:textId="77777777" w:rsidR="0010523F" w:rsidRPr="0010523F" w:rsidRDefault="0010523F" w:rsidP="0010523F">
            <w:pPr>
              <w:tabs>
                <w:tab w:val="left" w:pos="175"/>
                <w:tab w:val="decimal" w:pos="742"/>
              </w:tabs>
              <w:spacing w:line="180" w:lineRule="exact"/>
              <w:ind w:left="-90"/>
              <w:jc w:val="right"/>
              <w:rPr>
                <w:bCs/>
                <w:sz w:val="22"/>
                <w:szCs w:val="22"/>
                <w:lang w:val="es-AR" w:eastAsia="en-US"/>
              </w:rPr>
            </w:pPr>
            <w:r w:rsidRPr="0010523F">
              <w:rPr>
                <w:bCs/>
                <w:sz w:val="22"/>
                <w:szCs w:val="22"/>
                <w:lang w:val="es-AR" w:eastAsia="en-US"/>
              </w:rPr>
              <w:t>16</w:t>
            </w:r>
          </w:p>
        </w:tc>
        <w:tc>
          <w:tcPr>
            <w:tcW w:w="273" w:type="dxa"/>
            <w:vAlign w:val="bottom"/>
          </w:tcPr>
          <w:p w14:paraId="73B41BC3" w14:textId="77777777" w:rsidR="0010523F" w:rsidRPr="0010523F" w:rsidRDefault="0010523F" w:rsidP="0010523F">
            <w:pPr>
              <w:ind w:left="-108" w:right="-108"/>
              <w:jc w:val="center"/>
              <w:rPr>
                <w:bCs/>
                <w:sz w:val="22"/>
                <w:szCs w:val="22"/>
                <w:lang w:val="es-AR" w:eastAsia="en-US"/>
              </w:rPr>
            </w:pPr>
            <w:r w:rsidRPr="0010523F">
              <w:rPr>
                <w:bCs/>
                <w:sz w:val="22"/>
                <w:szCs w:val="22"/>
                <w:lang w:val="es-AR" w:eastAsia="en-US"/>
              </w:rPr>
              <w:t>(3)</w:t>
            </w:r>
          </w:p>
        </w:tc>
        <w:tc>
          <w:tcPr>
            <w:tcW w:w="993" w:type="dxa"/>
            <w:vAlign w:val="bottom"/>
          </w:tcPr>
          <w:p w14:paraId="5F99EDE4" w14:textId="77777777" w:rsidR="0010523F" w:rsidRPr="0010523F" w:rsidRDefault="0010523F" w:rsidP="0010523F">
            <w:pPr>
              <w:tabs>
                <w:tab w:val="decimal" w:pos="743"/>
              </w:tabs>
              <w:ind w:left="-108"/>
              <w:jc w:val="right"/>
              <w:rPr>
                <w:bCs/>
                <w:sz w:val="22"/>
                <w:szCs w:val="22"/>
                <w:lang w:val="es-AR" w:eastAsia="en-US"/>
              </w:rPr>
            </w:pPr>
            <w:r w:rsidRPr="0010523F">
              <w:rPr>
                <w:bCs/>
                <w:sz w:val="22"/>
                <w:szCs w:val="22"/>
                <w:lang w:val="es-AR" w:eastAsia="en-US"/>
              </w:rPr>
              <w:t>-</w:t>
            </w:r>
          </w:p>
        </w:tc>
        <w:tc>
          <w:tcPr>
            <w:tcW w:w="283" w:type="dxa"/>
            <w:vAlign w:val="bottom"/>
          </w:tcPr>
          <w:p w14:paraId="2F482CF4" w14:textId="77777777" w:rsidR="0010523F" w:rsidRPr="0010523F" w:rsidRDefault="0010523F" w:rsidP="0010523F">
            <w:pPr>
              <w:ind w:left="-108" w:right="-108"/>
              <w:jc w:val="right"/>
              <w:rPr>
                <w:bCs/>
                <w:sz w:val="22"/>
                <w:szCs w:val="22"/>
                <w:lang w:val="es-AR" w:eastAsia="en-US"/>
              </w:rPr>
            </w:pPr>
          </w:p>
        </w:tc>
        <w:tc>
          <w:tcPr>
            <w:tcW w:w="1134" w:type="dxa"/>
            <w:vAlign w:val="bottom"/>
          </w:tcPr>
          <w:p w14:paraId="7EF16068" w14:textId="77777777" w:rsidR="0010523F" w:rsidRPr="0010523F" w:rsidRDefault="0010523F" w:rsidP="0010523F">
            <w:pPr>
              <w:tabs>
                <w:tab w:val="decimal" w:pos="601"/>
              </w:tabs>
              <w:ind w:left="-249" w:right="175" w:firstLine="140"/>
              <w:jc w:val="right"/>
              <w:rPr>
                <w:bCs/>
                <w:sz w:val="22"/>
                <w:szCs w:val="22"/>
                <w:lang w:val="es-AR" w:eastAsia="en-US"/>
              </w:rPr>
            </w:pPr>
            <w:r w:rsidRPr="0010523F">
              <w:rPr>
                <w:bCs/>
                <w:sz w:val="22"/>
                <w:szCs w:val="22"/>
                <w:lang w:val="es-AR" w:eastAsia="en-US"/>
              </w:rPr>
              <w:t>279</w:t>
            </w:r>
          </w:p>
        </w:tc>
        <w:tc>
          <w:tcPr>
            <w:tcW w:w="1134" w:type="dxa"/>
            <w:vAlign w:val="bottom"/>
          </w:tcPr>
          <w:p w14:paraId="0D0C78D6" w14:textId="77777777" w:rsidR="0010523F" w:rsidRPr="0010523F" w:rsidRDefault="0010523F" w:rsidP="0010523F">
            <w:pPr>
              <w:tabs>
                <w:tab w:val="decimal" w:pos="872"/>
              </w:tabs>
              <w:ind w:left="-109" w:right="58"/>
              <w:jc w:val="right"/>
              <w:rPr>
                <w:bCs/>
                <w:sz w:val="22"/>
                <w:szCs w:val="22"/>
                <w:lang w:val="es-AR" w:eastAsia="en-US"/>
              </w:rPr>
            </w:pPr>
            <w:r w:rsidRPr="0010523F">
              <w:rPr>
                <w:bCs/>
                <w:sz w:val="22"/>
                <w:szCs w:val="22"/>
                <w:lang w:val="es-AR" w:eastAsia="en-US"/>
              </w:rPr>
              <w:t>822</w:t>
            </w:r>
          </w:p>
        </w:tc>
      </w:tr>
      <w:tr w:rsidR="0010523F" w:rsidRPr="0010523F" w14:paraId="68F8BFD5" w14:textId="77777777" w:rsidTr="00774E7E">
        <w:tc>
          <w:tcPr>
            <w:tcW w:w="3119" w:type="dxa"/>
            <w:vAlign w:val="bottom"/>
          </w:tcPr>
          <w:p w14:paraId="1932D374" w14:textId="77777777" w:rsidR="0010523F" w:rsidRPr="0010523F" w:rsidRDefault="0010523F" w:rsidP="0010523F">
            <w:pPr>
              <w:tabs>
                <w:tab w:val="left" w:pos="3153"/>
              </w:tabs>
              <w:ind w:right="-250"/>
              <w:rPr>
                <w:bCs/>
                <w:sz w:val="22"/>
                <w:szCs w:val="22"/>
                <w:lang w:val="es-AR" w:eastAsia="en-US"/>
              </w:rPr>
            </w:pPr>
            <w:r w:rsidRPr="0010523F">
              <w:rPr>
                <w:sz w:val="22"/>
                <w:szCs w:val="22"/>
                <w:lang w:val="es-AR" w:eastAsia="en-US"/>
              </w:rPr>
              <w:t>Provisión para juicios</w:t>
            </w:r>
          </w:p>
        </w:tc>
        <w:tc>
          <w:tcPr>
            <w:tcW w:w="1417" w:type="dxa"/>
            <w:vAlign w:val="bottom"/>
          </w:tcPr>
          <w:p w14:paraId="4DE6BB1E" w14:textId="77777777" w:rsidR="0010523F" w:rsidRPr="0010523F" w:rsidRDefault="0010523F" w:rsidP="0010523F">
            <w:pPr>
              <w:ind w:left="-109" w:right="175"/>
              <w:jc w:val="right"/>
              <w:rPr>
                <w:bCs/>
                <w:sz w:val="22"/>
                <w:szCs w:val="22"/>
                <w:lang w:val="es-AR" w:eastAsia="en-US"/>
              </w:rPr>
            </w:pPr>
            <w:r w:rsidRPr="0010523F">
              <w:rPr>
                <w:bCs/>
                <w:sz w:val="22"/>
                <w:szCs w:val="22"/>
                <w:lang w:val="es-AR" w:eastAsia="en-US"/>
              </w:rPr>
              <w:t>765</w:t>
            </w:r>
          </w:p>
        </w:tc>
        <w:tc>
          <w:tcPr>
            <w:tcW w:w="1559" w:type="dxa"/>
            <w:vAlign w:val="bottom"/>
          </w:tcPr>
          <w:p w14:paraId="27A54DA9" w14:textId="77777777" w:rsidR="0010523F" w:rsidRPr="0010523F" w:rsidRDefault="0010523F" w:rsidP="0010523F">
            <w:pPr>
              <w:ind w:right="317"/>
              <w:jc w:val="right"/>
              <w:rPr>
                <w:bCs/>
                <w:sz w:val="22"/>
                <w:szCs w:val="22"/>
                <w:lang w:val="es-AR" w:eastAsia="en-US"/>
              </w:rPr>
            </w:pPr>
            <w:r w:rsidRPr="0010523F">
              <w:rPr>
                <w:bCs/>
                <w:sz w:val="22"/>
                <w:szCs w:val="22"/>
                <w:lang w:val="es-AR" w:eastAsia="en-US"/>
              </w:rPr>
              <w:t xml:space="preserve">    -</w:t>
            </w:r>
          </w:p>
        </w:tc>
        <w:tc>
          <w:tcPr>
            <w:tcW w:w="861" w:type="dxa"/>
            <w:vAlign w:val="bottom"/>
          </w:tcPr>
          <w:p w14:paraId="0BA1051E" w14:textId="77777777" w:rsidR="0010523F" w:rsidRPr="0010523F" w:rsidRDefault="0010523F" w:rsidP="0010523F">
            <w:pPr>
              <w:tabs>
                <w:tab w:val="left" w:pos="175"/>
                <w:tab w:val="decimal" w:pos="742"/>
                <w:tab w:val="decimal" w:pos="1026"/>
              </w:tabs>
              <w:spacing w:line="180" w:lineRule="exact"/>
              <w:ind w:left="-90"/>
              <w:jc w:val="right"/>
              <w:rPr>
                <w:bCs/>
                <w:sz w:val="22"/>
                <w:szCs w:val="22"/>
                <w:lang w:val="es-AR" w:eastAsia="en-US"/>
              </w:rPr>
            </w:pPr>
            <w:r w:rsidRPr="0010523F">
              <w:rPr>
                <w:bCs/>
                <w:sz w:val="22"/>
                <w:szCs w:val="22"/>
                <w:lang w:val="es-AR" w:eastAsia="en-US"/>
              </w:rPr>
              <w:t xml:space="preserve">226     </w:t>
            </w:r>
          </w:p>
        </w:tc>
        <w:tc>
          <w:tcPr>
            <w:tcW w:w="273" w:type="dxa"/>
            <w:vAlign w:val="bottom"/>
          </w:tcPr>
          <w:p w14:paraId="3B4E16A2" w14:textId="77777777" w:rsidR="0010523F" w:rsidRPr="0010523F" w:rsidRDefault="0010523F" w:rsidP="0010523F">
            <w:pPr>
              <w:ind w:left="-108" w:right="-108"/>
              <w:jc w:val="center"/>
              <w:rPr>
                <w:bCs/>
                <w:sz w:val="22"/>
                <w:szCs w:val="22"/>
                <w:lang w:val="es-AR" w:eastAsia="en-US"/>
              </w:rPr>
            </w:pPr>
            <w:r w:rsidRPr="0010523F">
              <w:rPr>
                <w:bCs/>
                <w:sz w:val="22"/>
                <w:szCs w:val="22"/>
                <w:lang w:val="es-AR" w:eastAsia="en-US"/>
              </w:rPr>
              <w:t>(4)</w:t>
            </w:r>
          </w:p>
        </w:tc>
        <w:tc>
          <w:tcPr>
            <w:tcW w:w="993" w:type="dxa"/>
            <w:vAlign w:val="bottom"/>
          </w:tcPr>
          <w:p w14:paraId="3DC70A50" w14:textId="77777777" w:rsidR="0010523F" w:rsidRPr="0010523F" w:rsidRDefault="0010523F" w:rsidP="0010523F">
            <w:pPr>
              <w:tabs>
                <w:tab w:val="decimal" w:pos="743"/>
              </w:tabs>
              <w:ind w:left="-108"/>
              <w:jc w:val="right"/>
              <w:rPr>
                <w:bCs/>
                <w:sz w:val="22"/>
                <w:szCs w:val="22"/>
                <w:lang w:val="es-AR" w:eastAsia="en-US"/>
              </w:rPr>
            </w:pPr>
            <w:r w:rsidRPr="0010523F">
              <w:rPr>
                <w:bCs/>
                <w:sz w:val="22"/>
                <w:szCs w:val="22"/>
                <w:lang w:val="es-AR" w:eastAsia="en-US"/>
              </w:rPr>
              <w:t>(      35)</w:t>
            </w:r>
          </w:p>
        </w:tc>
        <w:tc>
          <w:tcPr>
            <w:tcW w:w="283" w:type="dxa"/>
            <w:vAlign w:val="bottom"/>
          </w:tcPr>
          <w:p w14:paraId="17E36127" w14:textId="77777777" w:rsidR="0010523F" w:rsidRPr="0010523F" w:rsidRDefault="0010523F" w:rsidP="0010523F">
            <w:pPr>
              <w:ind w:left="-108" w:right="-108"/>
              <w:jc w:val="right"/>
              <w:rPr>
                <w:bCs/>
                <w:sz w:val="22"/>
                <w:szCs w:val="22"/>
                <w:lang w:val="es-AR" w:eastAsia="en-US"/>
              </w:rPr>
            </w:pPr>
            <w:r w:rsidRPr="0010523F">
              <w:rPr>
                <w:bCs/>
                <w:sz w:val="22"/>
                <w:szCs w:val="22"/>
                <w:lang w:val="es-AR" w:eastAsia="en-US"/>
              </w:rPr>
              <w:t>(2)</w:t>
            </w:r>
          </w:p>
        </w:tc>
        <w:tc>
          <w:tcPr>
            <w:tcW w:w="1134" w:type="dxa"/>
            <w:vAlign w:val="bottom"/>
          </w:tcPr>
          <w:p w14:paraId="0912D097" w14:textId="77777777" w:rsidR="0010523F" w:rsidRPr="0010523F" w:rsidRDefault="0010523F" w:rsidP="0010523F">
            <w:pPr>
              <w:tabs>
                <w:tab w:val="decimal" w:pos="601"/>
              </w:tabs>
              <w:ind w:left="-249" w:right="175" w:firstLine="140"/>
              <w:jc w:val="right"/>
              <w:rPr>
                <w:bCs/>
                <w:sz w:val="22"/>
                <w:szCs w:val="22"/>
                <w:lang w:val="es-AR" w:eastAsia="en-US"/>
              </w:rPr>
            </w:pPr>
            <w:r w:rsidRPr="0010523F">
              <w:rPr>
                <w:bCs/>
                <w:sz w:val="22"/>
                <w:szCs w:val="22"/>
                <w:lang w:val="es-AR" w:eastAsia="en-US"/>
              </w:rPr>
              <w:t>41</w:t>
            </w:r>
          </w:p>
        </w:tc>
        <w:tc>
          <w:tcPr>
            <w:tcW w:w="1134" w:type="dxa"/>
            <w:vAlign w:val="bottom"/>
          </w:tcPr>
          <w:p w14:paraId="31D8E5E8" w14:textId="77777777" w:rsidR="0010523F" w:rsidRPr="0010523F" w:rsidRDefault="0010523F" w:rsidP="0010523F">
            <w:pPr>
              <w:tabs>
                <w:tab w:val="decimal" w:pos="872"/>
              </w:tabs>
              <w:ind w:left="-109" w:right="58"/>
              <w:jc w:val="right"/>
              <w:rPr>
                <w:bCs/>
                <w:sz w:val="22"/>
                <w:szCs w:val="22"/>
                <w:lang w:val="es-AR" w:eastAsia="en-US"/>
              </w:rPr>
            </w:pPr>
            <w:r w:rsidRPr="0010523F">
              <w:rPr>
                <w:bCs/>
                <w:sz w:val="22"/>
                <w:szCs w:val="22"/>
                <w:lang w:val="es-AR" w:eastAsia="en-US"/>
              </w:rPr>
              <w:t>997</w:t>
            </w:r>
          </w:p>
        </w:tc>
      </w:tr>
      <w:tr w:rsidR="0010523F" w:rsidRPr="0010523F" w14:paraId="7251AC49" w14:textId="77777777" w:rsidTr="00774E7E">
        <w:tc>
          <w:tcPr>
            <w:tcW w:w="3119" w:type="dxa"/>
            <w:vAlign w:val="bottom"/>
          </w:tcPr>
          <w:p w14:paraId="29E44451" w14:textId="77777777" w:rsidR="0010523F" w:rsidRPr="0010523F" w:rsidRDefault="0010523F" w:rsidP="0010523F">
            <w:pPr>
              <w:ind w:right="-108"/>
              <w:rPr>
                <w:bCs/>
                <w:sz w:val="22"/>
                <w:szCs w:val="22"/>
                <w:lang w:val="es-AR" w:eastAsia="en-US"/>
              </w:rPr>
            </w:pPr>
            <w:r w:rsidRPr="0010523F">
              <w:rPr>
                <w:sz w:val="22"/>
                <w:szCs w:val="22"/>
                <w:lang w:val="es-AR" w:eastAsia="en-US"/>
              </w:rPr>
              <w:t>Provisión para abandono de pozos y remediación</w:t>
            </w:r>
          </w:p>
        </w:tc>
        <w:tc>
          <w:tcPr>
            <w:tcW w:w="1417" w:type="dxa"/>
            <w:vAlign w:val="bottom"/>
          </w:tcPr>
          <w:p w14:paraId="351DAD85" w14:textId="77777777" w:rsidR="0010523F" w:rsidRPr="0010523F" w:rsidRDefault="0010523F" w:rsidP="0010523F">
            <w:pPr>
              <w:ind w:left="-109" w:right="175"/>
              <w:jc w:val="right"/>
              <w:rPr>
                <w:bCs/>
                <w:sz w:val="22"/>
                <w:szCs w:val="22"/>
                <w:u w:val="single"/>
                <w:lang w:val="es-AR" w:eastAsia="en-US"/>
              </w:rPr>
            </w:pPr>
            <w:r w:rsidRPr="0010523F">
              <w:rPr>
                <w:bCs/>
                <w:sz w:val="22"/>
                <w:szCs w:val="22"/>
                <w:u w:val="single"/>
                <w:lang w:val="es-AR" w:eastAsia="en-US"/>
              </w:rPr>
              <w:t>14.080</w:t>
            </w:r>
          </w:p>
        </w:tc>
        <w:tc>
          <w:tcPr>
            <w:tcW w:w="1559" w:type="dxa"/>
            <w:vAlign w:val="bottom"/>
          </w:tcPr>
          <w:p w14:paraId="4E9695D7" w14:textId="77777777" w:rsidR="0010523F" w:rsidRPr="0010523F" w:rsidRDefault="0010523F" w:rsidP="0010523F">
            <w:pPr>
              <w:ind w:right="317"/>
              <w:jc w:val="right"/>
              <w:rPr>
                <w:bCs/>
                <w:sz w:val="22"/>
                <w:szCs w:val="22"/>
                <w:u w:val="single"/>
                <w:lang w:val="es-AR" w:eastAsia="en-US"/>
              </w:rPr>
            </w:pPr>
            <w:r w:rsidRPr="0010523F">
              <w:rPr>
                <w:bCs/>
                <w:sz w:val="22"/>
                <w:szCs w:val="22"/>
                <w:u w:val="single"/>
                <w:lang w:val="es-AR" w:eastAsia="en-US"/>
              </w:rPr>
              <w:t xml:space="preserve">          -</w:t>
            </w:r>
          </w:p>
        </w:tc>
        <w:tc>
          <w:tcPr>
            <w:tcW w:w="861" w:type="dxa"/>
            <w:vAlign w:val="bottom"/>
          </w:tcPr>
          <w:p w14:paraId="01FF40BC" w14:textId="77777777" w:rsidR="0010523F" w:rsidRPr="0010523F" w:rsidRDefault="0010523F" w:rsidP="0010523F">
            <w:pPr>
              <w:tabs>
                <w:tab w:val="left" w:pos="175"/>
                <w:tab w:val="decimal" w:pos="742"/>
              </w:tabs>
              <w:ind w:left="-91"/>
              <w:jc w:val="right"/>
              <w:rPr>
                <w:bCs/>
                <w:sz w:val="22"/>
                <w:szCs w:val="22"/>
                <w:u w:val="single"/>
                <w:lang w:val="es-AR" w:eastAsia="en-US"/>
              </w:rPr>
            </w:pPr>
            <w:r w:rsidRPr="0010523F">
              <w:rPr>
                <w:bCs/>
                <w:sz w:val="22"/>
                <w:szCs w:val="22"/>
                <w:u w:val="single"/>
                <w:lang w:val="es-AR" w:eastAsia="en-US"/>
              </w:rPr>
              <w:t xml:space="preserve">   930</w:t>
            </w:r>
          </w:p>
        </w:tc>
        <w:tc>
          <w:tcPr>
            <w:tcW w:w="273" w:type="dxa"/>
            <w:vAlign w:val="bottom"/>
          </w:tcPr>
          <w:p w14:paraId="386327CA" w14:textId="77777777" w:rsidR="0010523F" w:rsidRPr="0010523F" w:rsidRDefault="0010523F" w:rsidP="0010523F">
            <w:pPr>
              <w:ind w:left="-108" w:right="-108"/>
              <w:jc w:val="center"/>
              <w:rPr>
                <w:bCs/>
                <w:sz w:val="22"/>
                <w:szCs w:val="22"/>
                <w:lang w:val="es-AR" w:eastAsia="en-US"/>
              </w:rPr>
            </w:pPr>
            <w:r w:rsidRPr="0010523F">
              <w:rPr>
                <w:bCs/>
                <w:sz w:val="22"/>
                <w:szCs w:val="22"/>
                <w:lang w:val="es-AR" w:eastAsia="en-US"/>
              </w:rPr>
              <w:t>(5)</w:t>
            </w:r>
          </w:p>
        </w:tc>
        <w:tc>
          <w:tcPr>
            <w:tcW w:w="993" w:type="dxa"/>
            <w:vAlign w:val="bottom"/>
          </w:tcPr>
          <w:p w14:paraId="4EFA52C4" w14:textId="77777777" w:rsidR="0010523F" w:rsidRPr="0010523F" w:rsidRDefault="0010523F" w:rsidP="0010523F">
            <w:pPr>
              <w:tabs>
                <w:tab w:val="decimal" w:pos="743"/>
              </w:tabs>
              <w:ind w:left="-108"/>
              <w:jc w:val="right"/>
              <w:rPr>
                <w:bCs/>
                <w:sz w:val="22"/>
                <w:szCs w:val="22"/>
                <w:u w:val="single"/>
                <w:lang w:val="es-AR" w:eastAsia="en-US"/>
              </w:rPr>
            </w:pPr>
            <w:r w:rsidRPr="0010523F">
              <w:rPr>
                <w:bCs/>
                <w:sz w:val="22"/>
                <w:szCs w:val="22"/>
                <w:lang w:val="es-AR" w:eastAsia="en-US"/>
              </w:rPr>
              <w:t xml:space="preserve">  (</w:t>
            </w:r>
            <w:r w:rsidRPr="0010523F">
              <w:rPr>
                <w:bCs/>
                <w:sz w:val="22"/>
                <w:szCs w:val="22"/>
                <w:u w:val="single"/>
                <w:lang w:val="es-AR" w:eastAsia="en-US"/>
              </w:rPr>
              <w:t xml:space="preserve">      88</w:t>
            </w:r>
            <w:r w:rsidRPr="0010523F">
              <w:rPr>
                <w:bCs/>
                <w:sz w:val="22"/>
                <w:szCs w:val="22"/>
                <w:lang w:val="es-AR" w:eastAsia="en-US"/>
              </w:rPr>
              <w:t>)</w:t>
            </w:r>
          </w:p>
        </w:tc>
        <w:tc>
          <w:tcPr>
            <w:tcW w:w="283" w:type="dxa"/>
            <w:vAlign w:val="bottom"/>
          </w:tcPr>
          <w:p w14:paraId="744606A3" w14:textId="77777777" w:rsidR="0010523F" w:rsidRPr="0010523F" w:rsidRDefault="0010523F" w:rsidP="0010523F">
            <w:pPr>
              <w:ind w:left="-108" w:right="-108"/>
              <w:jc w:val="right"/>
              <w:rPr>
                <w:bCs/>
                <w:sz w:val="22"/>
                <w:szCs w:val="22"/>
                <w:lang w:val="es-AR" w:eastAsia="en-US"/>
              </w:rPr>
            </w:pPr>
            <w:r w:rsidRPr="0010523F">
              <w:rPr>
                <w:bCs/>
                <w:sz w:val="22"/>
                <w:szCs w:val="22"/>
                <w:lang w:val="es-AR" w:eastAsia="en-US"/>
              </w:rPr>
              <w:t>(2)</w:t>
            </w:r>
          </w:p>
        </w:tc>
        <w:tc>
          <w:tcPr>
            <w:tcW w:w="1134" w:type="dxa"/>
            <w:vAlign w:val="bottom"/>
          </w:tcPr>
          <w:p w14:paraId="3D798876" w14:textId="77777777" w:rsidR="0010523F" w:rsidRPr="0010523F" w:rsidRDefault="0010523F" w:rsidP="0010523F">
            <w:pPr>
              <w:tabs>
                <w:tab w:val="decimal" w:pos="601"/>
              </w:tabs>
              <w:ind w:left="-249" w:right="175" w:firstLine="140"/>
              <w:jc w:val="right"/>
              <w:rPr>
                <w:bCs/>
                <w:sz w:val="22"/>
                <w:szCs w:val="22"/>
                <w:u w:val="single"/>
                <w:lang w:val="es-AR" w:eastAsia="en-US"/>
              </w:rPr>
            </w:pPr>
            <w:r w:rsidRPr="0010523F">
              <w:rPr>
                <w:bCs/>
                <w:sz w:val="22"/>
                <w:szCs w:val="22"/>
                <w:u w:val="single"/>
                <w:lang w:val="es-AR" w:eastAsia="en-US"/>
              </w:rPr>
              <w:t>7.515</w:t>
            </w:r>
          </w:p>
        </w:tc>
        <w:tc>
          <w:tcPr>
            <w:tcW w:w="1134" w:type="dxa"/>
            <w:vAlign w:val="bottom"/>
          </w:tcPr>
          <w:p w14:paraId="7A74EA69" w14:textId="77777777" w:rsidR="0010523F" w:rsidRPr="0010523F" w:rsidRDefault="0010523F" w:rsidP="0010523F">
            <w:pPr>
              <w:tabs>
                <w:tab w:val="decimal" w:pos="872"/>
              </w:tabs>
              <w:ind w:left="-109" w:right="58"/>
              <w:jc w:val="right"/>
              <w:rPr>
                <w:bCs/>
                <w:sz w:val="22"/>
                <w:szCs w:val="22"/>
                <w:u w:val="single"/>
                <w:lang w:val="es-AR" w:eastAsia="en-US"/>
              </w:rPr>
            </w:pPr>
            <w:r w:rsidRPr="0010523F">
              <w:rPr>
                <w:bCs/>
                <w:sz w:val="22"/>
                <w:szCs w:val="22"/>
                <w:u w:val="single"/>
                <w:lang w:val="es-AR" w:eastAsia="en-US"/>
              </w:rPr>
              <w:t>22.437</w:t>
            </w:r>
          </w:p>
        </w:tc>
      </w:tr>
      <w:tr w:rsidR="0010523F" w:rsidRPr="0010523F" w14:paraId="74716C7A" w14:textId="77777777" w:rsidTr="00774E7E">
        <w:tc>
          <w:tcPr>
            <w:tcW w:w="3119" w:type="dxa"/>
            <w:vAlign w:val="bottom"/>
          </w:tcPr>
          <w:p w14:paraId="424B6D52" w14:textId="77777777" w:rsidR="0010523F" w:rsidRPr="0010523F" w:rsidRDefault="0010523F" w:rsidP="0010523F">
            <w:pPr>
              <w:tabs>
                <w:tab w:val="left" w:pos="3153"/>
              </w:tabs>
              <w:ind w:right="-250"/>
              <w:rPr>
                <w:bCs/>
                <w:sz w:val="22"/>
                <w:szCs w:val="22"/>
                <w:lang w:val="es-AR" w:eastAsia="en-US"/>
              </w:rPr>
            </w:pPr>
            <w:r w:rsidRPr="0010523F">
              <w:rPr>
                <w:sz w:val="22"/>
                <w:szCs w:val="22"/>
                <w:lang w:val="es-AR" w:eastAsia="en-US"/>
              </w:rPr>
              <w:t>Subtotal del pasivo no corriente</w:t>
            </w:r>
          </w:p>
        </w:tc>
        <w:tc>
          <w:tcPr>
            <w:tcW w:w="1417" w:type="dxa"/>
            <w:vAlign w:val="bottom"/>
          </w:tcPr>
          <w:p w14:paraId="62ADC5EB" w14:textId="77777777" w:rsidR="0010523F" w:rsidRPr="0010523F" w:rsidRDefault="0010523F" w:rsidP="0010523F">
            <w:pPr>
              <w:ind w:left="-109" w:right="175"/>
              <w:jc w:val="right"/>
              <w:rPr>
                <w:bCs/>
                <w:sz w:val="22"/>
                <w:szCs w:val="22"/>
                <w:lang w:val="es-AR" w:eastAsia="en-US"/>
              </w:rPr>
            </w:pPr>
            <w:r w:rsidRPr="0010523F">
              <w:rPr>
                <w:bCs/>
                <w:sz w:val="22"/>
                <w:szCs w:val="22"/>
                <w:u w:val="single"/>
                <w:lang w:val="es-AR" w:eastAsia="en-US"/>
              </w:rPr>
              <w:t>15.372</w:t>
            </w:r>
          </w:p>
        </w:tc>
        <w:tc>
          <w:tcPr>
            <w:tcW w:w="1559" w:type="dxa"/>
            <w:vAlign w:val="bottom"/>
          </w:tcPr>
          <w:p w14:paraId="3F8EAE20" w14:textId="77777777" w:rsidR="0010523F" w:rsidRPr="0010523F" w:rsidRDefault="0010523F" w:rsidP="0010523F">
            <w:pPr>
              <w:ind w:right="317"/>
              <w:jc w:val="right"/>
              <w:rPr>
                <w:bCs/>
                <w:sz w:val="22"/>
                <w:szCs w:val="22"/>
                <w:lang w:val="es-AR" w:eastAsia="en-US"/>
              </w:rPr>
            </w:pPr>
            <w:r w:rsidRPr="0010523F">
              <w:rPr>
                <w:bCs/>
                <w:sz w:val="22"/>
                <w:szCs w:val="22"/>
                <w:u w:val="single"/>
                <w:lang w:val="es-AR" w:eastAsia="en-US"/>
              </w:rPr>
              <w:t xml:space="preserve">          -</w:t>
            </w:r>
          </w:p>
        </w:tc>
        <w:tc>
          <w:tcPr>
            <w:tcW w:w="861" w:type="dxa"/>
            <w:vAlign w:val="bottom"/>
          </w:tcPr>
          <w:p w14:paraId="5FBACEB9" w14:textId="77777777" w:rsidR="0010523F" w:rsidRPr="0010523F" w:rsidRDefault="0010523F" w:rsidP="0010523F">
            <w:pPr>
              <w:tabs>
                <w:tab w:val="left" w:pos="175"/>
                <w:tab w:val="decimal" w:pos="742"/>
                <w:tab w:val="decimal" w:pos="948"/>
              </w:tabs>
              <w:ind w:left="-90"/>
              <w:jc w:val="right"/>
              <w:rPr>
                <w:bCs/>
                <w:sz w:val="22"/>
                <w:szCs w:val="22"/>
                <w:lang w:val="es-AR" w:eastAsia="en-US"/>
              </w:rPr>
            </w:pPr>
            <w:r w:rsidRPr="0010523F">
              <w:rPr>
                <w:bCs/>
                <w:sz w:val="22"/>
                <w:szCs w:val="22"/>
                <w:u w:val="single"/>
                <w:lang w:val="es-AR" w:eastAsia="en-US"/>
              </w:rPr>
              <w:t>1.172</w:t>
            </w:r>
          </w:p>
        </w:tc>
        <w:tc>
          <w:tcPr>
            <w:tcW w:w="273" w:type="dxa"/>
            <w:vAlign w:val="bottom"/>
          </w:tcPr>
          <w:p w14:paraId="1C998BE4" w14:textId="77777777" w:rsidR="0010523F" w:rsidRPr="0010523F" w:rsidRDefault="0010523F" w:rsidP="0010523F">
            <w:pPr>
              <w:ind w:right="-392"/>
              <w:jc w:val="right"/>
              <w:rPr>
                <w:bCs/>
                <w:sz w:val="22"/>
                <w:szCs w:val="22"/>
                <w:lang w:val="es-AR" w:eastAsia="en-US"/>
              </w:rPr>
            </w:pPr>
          </w:p>
        </w:tc>
        <w:tc>
          <w:tcPr>
            <w:tcW w:w="993" w:type="dxa"/>
            <w:vAlign w:val="bottom"/>
          </w:tcPr>
          <w:p w14:paraId="499866E5" w14:textId="77777777" w:rsidR="0010523F" w:rsidRPr="0010523F" w:rsidRDefault="0010523F" w:rsidP="0010523F">
            <w:pPr>
              <w:tabs>
                <w:tab w:val="decimal" w:pos="743"/>
              </w:tabs>
              <w:ind w:left="-108"/>
              <w:jc w:val="right"/>
              <w:rPr>
                <w:bCs/>
                <w:sz w:val="22"/>
                <w:szCs w:val="22"/>
                <w:lang w:val="es-AR" w:eastAsia="en-US"/>
              </w:rPr>
            </w:pPr>
            <w:r w:rsidRPr="0010523F">
              <w:rPr>
                <w:bCs/>
                <w:sz w:val="22"/>
                <w:szCs w:val="22"/>
                <w:lang w:val="es-AR" w:eastAsia="en-US"/>
              </w:rPr>
              <w:t xml:space="preserve"> (</w:t>
            </w:r>
            <w:r w:rsidRPr="0010523F">
              <w:rPr>
                <w:bCs/>
                <w:sz w:val="22"/>
                <w:szCs w:val="22"/>
                <w:u w:val="single"/>
                <w:lang w:val="es-AR" w:eastAsia="en-US"/>
              </w:rPr>
              <w:t xml:space="preserve">    123</w:t>
            </w:r>
            <w:r w:rsidRPr="0010523F">
              <w:rPr>
                <w:bCs/>
                <w:sz w:val="22"/>
                <w:szCs w:val="22"/>
                <w:lang w:val="es-AR" w:eastAsia="en-US"/>
              </w:rPr>
              <w:t>)</w:t>
            </w:r>
          </w:p>
        </w:tc>
        <w:tc>
          <w:tcPr>
            <w:tcW w:w="283" w:type="dxa"/>
            <w:vAlign w:val="bottom"/>
          </w:tcPr>
          <w:p w14:paraId="76B03A73" w14:textId="77777777" w:rsidR="0010523F" w:rsidRPr="0010523F" w:rsidRDefault="0010523F" w:rsidP="0010523F">
            <w:pPr>
              <w:ind w:left="-79" w:right="-395"/>
              <w:jc w:val="right"/>
              <w:rPr>
                <w:bCs/>
                <w:sz w:val="22"/>
                <w:szCs w:val="22"/>
                <w:lang w:val="es-AR" w:eastAsia="en-US"/>
              </w:rPr>
            </w:pPr>
          </w:p>
        </w:tc>
        <w:tc>
          <w:tcPr>
            <w:tcW w:w="1134" w:type="dxa"/>
            <w:vAlign w:val="bottom"/>
          </w:tcPr>
          <w:p w14:paraId="61BF571F" w14:textId="77777777" w:rsidR="0010523F" w:rsidRPr="0010523F" w:rsidRDefault="0010523F" w:rsidP="0010523F">
            <w:pPr>
              <w:tabs>
                <w:tab w:val="decimal" w:pos="601"/>
                <w:tab w:val="decimal" w:pos="895"/>
              </w:tabs>
              <w:ind w:left="-249" w:right="175" w:firstLine="140"/>
              <w:jc w:val="right"/>
              <w:rPr>
                <w:bCs/>
                <w:sz w:val="22"/>
                <w:szCs w:val="22"/>
                <w:u w:val="single"/>
                <w:lang w:val="es-AR" w:eastAsia="en-US"/>
              </w:rPr>
            </w:pPr>
            <w:r w:rsidRPr="0010523F">
              <w:rPr>
                <w:bCs/>
                <w:sz w:val="22"/>
                <w:szCs w:val="22"/>
                <w:u w:val="single"/>
                <w:lang w:val="es-AR" w:eastAsia="en-US"/>
              </w:rPr>
              <w:t>7.835</w:t>
            </w:r>
          </w:p>
        </w:tc>
        <w:tc>
          <w:tcPr>
            <w:tcW w:w="1134" w:type="dxa"/>
            <w:vAlign w:val="bottom"/>
          </w:tcPr>
          <w:p w14:paraId="047E1828" w14:textId="77777777" w:rsidR="0010523F" w:rsidRPr="0010523F" w:rsidRDefault="0010523F" w:rsidP="0010523F">
            <w:pPr>
              <w:tabs>
                <w:tab w:val="decimal" w:pos="872"/>
              </w:tabs>
              <w:ind w:left="-109" w:right="58"/>
              <w:jc w:val="right"/>
              <w:rPr>
                <w:bCs/>
                <w:sz w:val="22"/>
                <w:szCs w:val="22"/>
                <w:lang w:val="es-AR" w:eastAsia="en-US"/>
              </w:rPr>
            </w:pPr>
            <w:r w:rsidRPr="0010523F">
              <w:rPr>
                <w:bCs/>
                <w:sz w:val="22"/>
                <w:szCs w:val="22"/>
                <w:u w:val="single"/>
                <w:lang w:val="es-AR" w:eastAsia="en-US"/>
              </w:rPr>
              <w:t>24.256</w:t>
            </w:r>
          </w:p>
        </w:tc>
      </w:tr>
      <w:tr w:rsidR="0010523F" w:rsidRPr="0010523F" w14:paraId="4BF30AA8" w14:textId="77777777" w:rsidTr="00774E7E">
        <w:tc>
          <w:tcPr>
            <w:tcW w:w="3119" w:type="dxa"/>
            <w:vAlign w:val="bottom"/>
          </w:tcPr>
          <w:p w14:paraId="3E5B7C22" w14:textId="77777777" w:rsidR="0010523F" w:rsidRPr="0010523F" w:rsidRDefault="0010523F" w:rsidP="0010523F">
            <w:pPr>
              <w:tabs>
                <w:tab w:val="left" w:pos="3153"/>
              </w:tabs>
              <w:spacing w:line="180" w:lineRule="exact"/>
              <w:ind w:right="-250"/>
              <w:rPr>
                <w:sz w:val="22"/>
                <w:szCs w:val="22"/>
                <w:lang w:val="es-AR" w:eastAsia="en-US"/>
              </w:rPr>
            </w:pPr>
          </w:p>
        </w:tc>
        <w:tc>
          <w:tcPr>
            <w:tcW w:w="1417" w:type="dxa"/>
            <w:vAlign w:val="bottom"/>
          </w:tcPr>
          <w:p w14:paraId="56B5E8E9" w14:textId="77777777" w:rsidR="0010523F" w:rsidRPr="0010523F" w:rsidRDefault="0010523F" w:rsidP="0010523F">
            <w:pPr>
              <w:tabs>
                <w:tab w:val="left" w:pos="3153"/>
              </w:tabs>
              <w:spacing w:line="180" w:lineRule="exact"/>
              <w:ind w:right="175"/>
              <w:rPr>
                <w:sz w:val="22"/>
                <w:szCs w:val="22"/>
                <w:lang w:val="es-AR" w:eastAsia="en-US"/>
              </w:rPr>
            </w:pPr>
          </w:p>
        </w:tc>
        <w:tc>
          <w:tcPr>
            <w:tcW w:w="1559" w:type="dxa"/>
            <w:vAlign w:val="bottom"/>
          </w:tcPr>
          <w:p w14:paraId="1BB51434" w14:textId="77777777" w:rsidR="0010523F" w:rsidRPr="0010523F" w:rsidRDefault="0010523F" w:rsidP="0010523F">
            <w:pPr>
              <w:tabs>
                <w:tab w:val="left" w:pos="3153"/>
              </w:tabs>
              <w:spacing w:line="180" w:lineRule="exact"/>
              <w:ind w:right="317"/>
              <w:rPr>
                <w:sz w:val="22"/>
                <w:szCs w:val="22"/>
                <w:lang w:val="es-AR" w:eastAsia="en-US"/>
              </w:rPr>
            </w:pPr>
          </w:p>
        </w:tc>
        <w:tc>
          <w:tcPr>
            <w:tcW w:w="861" w:type="dxa"/>
            <w:vAlign w:val="bottom"/>
          </w:tcPr>
          <w:p w14:paraId="0CD4D567" w14:textId="77777777" w:rsidR="0010523F" w:rsidRPr="0010523F" w:rsidRDefault="0010523F" w:rsidP="0010523F">
            <w:pPr>
              <w:tabs>
                <w:tab w:val="left" w:pos="3153"/>
              </w:tabs>
              <w:spacing w:line="180" w:lineRule="exact"/>
              <w:ind w:right="-250"/>
              <w:rPr>
                <w:sz w:val="22"/>
                <w:szCs w:val="22"/>
                <w:lang w:val="es-AR" w:eastAsia="en-US"/>
              </w:rPr>
            </w:pPr>
          </w:p>
        </w:tc>
        <w:tc>
          <w:tcPr>
            <w:tcW w:w="273" w:type="dxa"/>
            <w:vAlign w:val="bottom"/>
          </w:tcPr>
          <w:p w14:paraId="5C0B80F8" w14:textId="77777777" w:rsidR="0010523F" w:rsidRPr="0010523F" w:rsidRDefault="0010523F" w:rsidP="0010523F">
            <w:pPr>
              <w:tabs>
                <w:tab w:val="left" w:pos="3153"/>
              </w:tabs>
              <w:spacing w:line="180" w:lineRule="exact"/>
              <w:ind w:right="-250"/>
              <w:rPr>
                <w:sz w:val="22"/>
                <w:szCs w:val="22"/>
                <w:lang w:val="es-AR" w:eastAsia="en-US"/>
              </w:rPr>
            </w:pPr>
          </w:p>
        </w:tc>
        <w:tc>
          <w:tcPr>
            <w:tcW w:w="993" w:type="dxa"/>
            <w:vAlign w:val="bottom"/>
          </w:tcPr>
          <w:p w14:paraId="405F9EE8" w14:textId="77777777" w:rsidR="0010523F" w:rsidRPr="0010523F" w:rsidRDefault="0010523F" w:rsidP="0010523F">
            <w:pPr>
              <w:tabs>
                <w:tab w:val="left" w:pos="3153"/>
              </w:tabs>
              <w:spacing w:line="180" w:lineRule="exact"/>
              <w:ind w:right="-250"/>
              <w:rPr>
                <w:sz w:val="22"/>
                <w:szCs w:val="22"/>
                <w:lang w:val="es-AR" w:eastAsia="en-US"/>
              </w:rPr>
            </w:pPr>
          </w:p>
        </w:tc>
        <w:tc>
          <w:tcPr>
            <w:tcW w:w="283" w:type="dxa"/>
            <w:vAlign w:val="bottom"/>
          </w:tcPr>
          <w:p w14:paraId="2F600AF1" w14:textId="77777777" w:rsidR="0010523F" w:rsidRPr="0010523F" w:rsidRDefault="0010523F" w:rsidP="0010523F">
            <w:pPr>
              <w:tabs>
                <w:tab w:val="left" w:pos="3153"/>
              </w:tabs>
              <w:spacing w:line="180" w:lineRule="exact"/>
              <w:ind w:right="-250"/>
              <w:rPr>
                <w:sz w:val="22"/>
                <w:szCs w:val="22"/>
                <w:lang w:val="es-AR" w:eastAsia="en-US"/>
              </w:rPr>
            </w:pPr>
          </w:p>
        </w:tc>
        <w:tc>
          <w:tcPr>
            <w:tcW w:w="1134" w:type="dxa"/>
            <w:vAlign w:val="bottom"/>
          </w:tcPr>
          <w:p w14:paraId="12907F2B" w14:textId="77777777" w:rsidR="0010523F" w:rsidRPr="0010523F" w:rsidRDefault="0010523F" w:rsidP="0010523F">
            <w:pPr>
              <w:tabs>
                <w:tab w:val="left" w:pos="3153"/>
              </w:tabs>
              <w:spacing w:line="180" w:lineRule="exact"/>
              <w:ind w:right="175"/>
              <w:rPr>
                <w:sz w:val="22"/>
                <w:szCs w:val="22"/>
                <w:lang w:val="es-AR" w:eastAsia="en-US"/>
              </w:rPr>
            </w:pPr>
          </w:p>
        </w:tc>
        <w:tc>
          <w:tcPr>
            <w:tcW w:w="1134" w:type="dxa"/>
            <w:vAlign w:val="bottom"/>
          </w:tcPr>
          <w:p w14:paraId="4C6B5043" w14:textId="77777777" w:rsidR="0010523F" w:rsidRPr="0010523F" w:rsidRDefault="0010523F" w:rsidP="0010523F">
            <w:pPr>
              <w:tabs>
                <w:tab w:val="left" w:pos="3153"/>
              </w:tabs>
              <w:spacing w:line="180" w:lineRule="exact"/>
              <w:ind w:right="-250"/>
              <w:rPr>
                <w:sz w:val="22"/>
                <w:szCs w:val="22"/>
                <w:lang w:val="es-AR" w:eastAsia="en-US"/>
              </w:rPr>
            </w:pPr>
          </w:p>
        </w:tc>
      </w:tr>
      <w:tr w:rsidR="0010523F" w:rsidRPr="0010523F" w14:paraId="6E90496A" w14:textId="77777777" w:rsidTr="00774E7E">
        <w:tc>
          <w:tcPr>
            <w:tcW w:w="3119" w:type="dxa"/>
            <w:vAlign w:val="bottom"/>
          </w:tcPr>
          <w:p w14:paraId="45ECB396" w14:textId="77777777" w:rsidR="0010523F" w:rsidRPr="0010523F" w:rsidRDefault="0010523F" w:rsidP="0010523F">
            <w:pPr>
              <w:tabs>
                <w:tab w:val="left" w:pos="3153"/>
              </w:tabs>
              <w:ind w:right="-250"/>
              <w:rPr>
                <w:bCs/>
                <w:sz w:val="22"/>
                <w:szCs w:val="22"/>
                <w:lang w:val="es-AR" w:eastAsia="en-US"/>
              </w:rPr>
            </w:pPr>
            <w:r w:rsidRPr="0010523F">
              <w:rPr>
                <w:sz w:val="22"/>
                <w:szCs w:val="22"/>
                <w:lang w:val="es-AR" w:eastAsia="en-US"/>
              </w:rPr>
              <w:t>Total incluidas en el pasivo al 30/09/2019</w:t>
            </w:r>
          </w:p>
        </w:tc>
        <w:tc>
          <w:tcPr>
            <w:tcW w:w="1417" w:type="dxa"/>
            <w:vAlign w:val="bottom"/>
          </w:tcPr>
          <w:p w14:paraId="24B25231" w14:textId="77777777" w:rsidR="0010523F" w:rsidRPr="0010523F" w:rsidRDefault="0010523F" w:rsidP="0010523F">
            <w:pPr>
              <w:ind w:left="-109" w:right="175"/>
              <w:jc w:val="right"/>
              <w:rPr>
                <w:bCs/>
                <w:sz w:val="22"/>
                <w:szCs w:val="22"/>
                <w:lang w:val="es-AR" w:eastAsia="en-US"/>
              </w:rPr>
            </w:pPr>
            <w:r w:rsidRPr="0010523F">
              <w:rPr>
                <w:bCs/>
                <w:sz w:val="22"/>
                <w:szCs w:val="22"/>
                <w:u w:val="double"/>
                <w:lang w:val="es-AR" w:eastAsia="en-US"/>
              </w:rPr>
              <w:t>16.347</w:t>
            </w:r>
          </w:p>
        </w:tc>
        <w:tc>
          <w:tcPr>
            <w:tcW w:w="1559" w:type="dxa"/>
            <w:vAlign w:val="bottom"/>
          </w:tcPr>
          <w:p w14:paraId="6807ED54" w14:textId="77777777" w:rsidR="0010523F" w:rsidRPr="0010523F" w:rsidRDefault="0010523F" w:rsidP="0010523F">
            <w:pPr>
              <w:ind w:right="317"/>
              <w:jc w:val="right"/>
              <w:rPr>
                <w:bCs/>
                <w:sz w:val="22"/>
                <w:szCs w:val="22"/>
                <w:lang w:val="es-AR" w:eastAsia="en-US"/>
              </w:rPr>
            </w:pPr>
            <w:r w:rsidRPr="0010523F">
              <w:rPr>
                <w:bCs/>
                <w:sz w:val="22"/>
                <w:szCs w:val="22"/>
                <w:u w:val="double"/>
                <w:lang w:val="es-AR" w:eastAsia="en-US"/>
              </w:rPr>
              <w:t xml:space="preserve">          -</w:t>
            </w:r>
          </w:p>
        </w:tc>
        <w:tc>
          <w:tcPr>
            <w:tcW w:w="861" w:type="dxa"/>
            <w:vAlign w:val="bottom"/>
          </w:tcPr>
          <w:p w14:paraId="13288CF4" w14:textId="77777777" w:rsidR="0010523F" w:rsidRPr="0010523F" w:rsidRDefault="0010523F" w:rsidP="0010523F">
            <w:pPr>
              <w:tabs>
                <w:tab w:val="left" w:pos="175"/>
                <w:tab w:val="decimal" w:pos="742"/>
                <w:tab w:val="decimal" w:pos="948"/>
              </w:tabs>
              <w:ind w:left="-90"/>
              <w:jc w:val="right"/>
              <w:rPr>
                <w:bCs/>
                <w:sz w:val="22"/>
                <w:szCs w:val="22"/>
                <w:lang w:val="es-AR" w:eastAsia="en-US"/>
              </w:rPr>
            </w:pPr>
            <w:r w:rsidRPr="0010523F">
              <w:rPr>
                <w:bCs/>
                <w:sz w:val="22"/>
                <w:szCs w:val="22"/>
                <w:u w:val="double"/>
                <w:lang w:val="es-AR" w:eastAsia="en-US"/>
              </w:rPr>
              <w:t xml:space="preserve"> 1.297</w:t>
            </w:r>
          </w:p>
        </w:tc>
        <w:tc>
          <w:tcPr>
            <w:tcW w:w="273" w:type="dxa"/>
            <w:vAlign w:val="bottom"/>
          </w:tcPr>
          <w:p w14:paraId="15B43387" w14:textId="77777777" w:rsidR="0010523F" w:rsidRPr="0010523F" w:rsidRDefault="0010523F" w:rsidP="0010523F">
            <w:pPr>
              <w:ind w:right="-392"/>
              <w:jc w:val="right"/>
              <w:rPr>
                <w:bCs/>
                <w:sz w:val="22"/>
                <w:szCs w:val="22"/>
                <w:lang w:val="es-AR" w:eastAsia="en-US"/>
              </w:rPr>
            </w:pPr>
          </w:p>
        </w:tc>
        <w:tc>
          <w:tcPr>
            <w:tcW w:w="993" w:type="dxa"/>
            <w:vAlign w:val="bottom"/>
          </w:tcPr>
          <w:p w14:paraId="3D296F13" w14:textId="77777777" w:rsidR="0010523F" w:rsidRPr="0010523F" w:rsidRDefault="0010523F" w:rsidP="0010523F">
            <w:pPr>
              <w:tabs>
                <w:tab w:val="decimal" w:pos="743"/>
              </w:tabs>
              <w:ind w:left="-108"/>
              <w:jc w:val="right"/>
              <w:rPr>
                <w:bCs/>
                <w:sz w:val="22"/>
                <w:szCs w:val="22"/>
                <w:lang w:val="es-AR" w:eastAsia="en-US"/>
              </w:rPr>
            </w:pPr>
            <w:r w:rsidRPr="0010523F">
              <w:rPr>
                <w:bCs/>
                <w:sz w:val="22"/>
                <w:szCs w:val="22"/>
                <w:lang w:val="es-AR" w:eastAsia="en-US"/>
              </w:rPr>
              <w:t xml:space="preserve"> (</w:t>
            </w:r>
            <w:r w:rsidRPr="0010523F">
              <w:rPr>
                <w:bCs/>
                <w:sz w:val="22"/>
                <w:szCs w:val="22"/>
                <w:u w:val="double"/>
                <w:lang w:val="es-AR" w:eastAsia="en-US"/>
              </w:rPr>
              <w:t>1.220</w:t>
            </w:r>
            <w:r w:rsidRPr="0010523F">
              <w:rPr>
                <w:bCs/>
                <w:sz w:val="22"/>
                <w:szCs w:val="22"/>
                <w:lang w:val="es-AR" w:eastAsia="en-US"/>
              </w:rPr>
              <w:t>)</w:t>
            </w:r>
          </w:p>
        </w:tc>
        <w:tc>
          <w:tcPr>
            <w:tcW w:w="283" w:type="dxa"/>
            <w:vAlign w:val="bottom"/>
          </w:tcPr>
          <w:p w14:paraId="79970C1B" w14:textId="77777777" w:rsidR="0010523F" w:rsidRPr="0010523F" w:rsidRDefault="0010523F" w:rsidP="0010523F">
            <w:pPr>
              <w:ind w:left="-79" w:right="-395"/>
              <w:jc w:val="right"/>
              <w:rPr>
                <w:bCs/>
                <w:sz w:val="22"/>
                <w:szCs w:val="22"/>
                <w:lang w:val="es-AR" w:eastAsia="en-US"/>
              </w:rPr>
            </w:pPr>
          </w:p>
        </w:tc>
        <w:tc>
          <w:tcPr>
            <w:tcW w:w="1134" w:type="dxa"/>
            <w:vAlign w:val="bottom"/>
          </w:tcPr>
          <w:p w14:paraId="32B870B4" w14:textId="77777777" w:rsidR="0010523F" w:rsidRPr="0010523F" w:rsidRDefault="0010523F" w:rsidP="0010523F">
            <w:pPr>
              <w:tabs>
                <w:tab w:val="decimal" w:pos="601"/>
              </w:tabs>
              <w:ind w:left="-249" w:right="175" w:firstLine="140"/>
              <w:jc w:val="right"/>
              <w:rPr>
                <w:bCs/>
                <w:sz w:val="22"/>
                <w:szCs w:val="22"/>
                <w:lang w:val="es-AR" w:eastAsia="en-US"/>
              </w:rPr>
            </w:pPr>
            <w:r w:rsidRPr="0010523F">
              <w:rPr>
                <w:bCs/>
                <w:sz w:val="22"/>
                <w:szCs w:val="22"/>
                <w:u w:val="double"/>
                <w:lang w:val="es-AR" w:eastAsia="en-US"/>
              </w:rPr>
              <w:t>7.835</w:t>
            </w:r>
          </w:p>
        </w:tc>
        <w:tc>
          <w:tcPr>
            <w:tcW w:w="1134" w:type="dxa"/>
            <w:vAlign w:val="bottom"/>
          </w:tcPr>
          <w:p w14:paraId="68C87DD5" w14:textId="77777777" w:rsidR="0010523F" w:rsidRPr="0010523F" w:rsidRDefault="0010523F" w:rsidP="0010523F">
            <w:pPr>
              <w:tabs>
                <w:tab w:val="decimal" w:pos="872"/>
              </w:tabs>
              <w:ind w:left="-109" w:right="58"/>
              <w:jc w:val="right"/>
              <w:rPr>
                <w:bCs/>
                <w:sz w:val="22"/>
                <w:szCs w:val="22"/>
                <w:lang w:val="es-AR" w:eastAsia="en-US"/>
              </w:rPr>
            </w:pPr>
            <w:r w:rsidRPr="0010523F">
              <w:rPr>
                <w:bCs/>
                <w:sz w:val="22"/>
                <w:szCs w:val="22"/>
                <w:u w:val="double"/>
                <w:lang w:val="es-AR" w:eastAsia="en-US"/>
              </w:rPr>
              <w:t>24.259</w:t>
            </w:r>
          </w:p>
        </w:tc>
      </w:tr>
      <w:tr w:rsidR="0010523F" w:rsidRPr="0010523F" w14:paraId="391182FC" w14:textId="77777777" w:rsidTr="00774E7E">
        <w:trPr>
          <w:trHeight w:val="66"/>
        </w:trPr>
        <w:tc>
          <w:tcPr>
            <w:tcW w:w="3119" w:type="dxa"/>
            <w:vAlign w:val="bottom"/>
          </w:tcPr>
          <w:p w14:paraId="305D5D12" w14:textId="77777777" w:rsidR="0010523F" w:rsidRPr="0010523F" w:rsidRDefault="0010523F" w:rsidP="0010523F">
            <w:pPr>
              <w:tabs>
                <w:tab w:val="left" w:pos="3153"/>
              </w:tabs>
              <w:spacing w:line="180" w:lineRule="exact"/>
              <w:ind w:right="-250"/>
              <w:rPr>
                <w:sz w:val="22"/>
                <w:szCs w:val="22"/>
                <w:lang w:val="es-AR" w:eastAsia="en-US"/>
              </w:rPr>
            </w:pPr>
          </w:p>
        </w:tc>
        <w:tc>
          <w:tcPr>
            <w:tcW w:w="1417" w:type="dxa"/>
            <w:vAlign w:val="bottom"/>
          </w:tcPr>
          <w:p w14:paraId="08C8553B" w14:textId="77777777" w:rsidR="0010523F" w:rsidRPr="0010523F" w:rsidRDefault="0010523F" w:rsidP="0010523F">
            <w:pPr>
              <w:spacing w:line="180" w:lineRule="exact"/>
              <w:ind w:left="-109" w:right="175"/>
              <w:jc w:val="right"/>
              <w:rPr>
                <w:bCs/>
                <w:sz w:val="22"/>
                <w:szCs w:val="22"/>
                <w:highlight w:val="yellow"/>
                <w:u w:val="double"/>
                <w:lang w:val="es-AR" w:eastAsia="en-US"/>
              </w:rPr>
            </w:pPr>
          </w:p>
        </w:tc>
        <w:tc>
          <w:tcPr>
            <w:tcW w:w="1559" w:type="dxa"/>
            <w:vAlign w:val="bottom"/>
          </w:tcPr>
          <w:p w14:paraId="087A7C2C" w14:textId="77777777" w:rsidR="0010523F" w:rsidRPr="0010523F" w:rsidRDefault="0010523F" w:rsidP="0010523F">
            <w:pPr>
              <w:spacing w:line="180" w:lineRule="exact"/>
              <w:ind w:right="317"/>
              <w:jc w:val="right"/>
              <w:rPr>
                <w:bCs/>
                <w:sz w:val="22"/>
                <w:szCs w:val="22"/>
                <w:lang w:val="es-AR" w:eastAsia="en-US"/>
              </w:rPr>
            </w:pPr>
          </w:p>
        </w:tc>
        <w:tc>
          <w:tcPr>
            <w:tcW w:w="861" w:type="dxa"/>
            <w:vAlign w:val="bottom"/>
          </w:tcPr>
          <w:p w14:paraId="5DFA5F40" w14:textId="77777777" w:rsidR="0010523F" w:rsidRPr="0010523F" w:rsidRDefault="0010523F" w:rsidP="0010523F">
            <w:pPr>
              <w:tabs>
                <w:tab w:val="left" w:pos="175"/>
                <w:tab w:val="decimal" w:pos="742"/>
              </w:tabs>
              <w:spacing w:line="180" w:lineRule="exact"/>
              <w:ind w:left="-90"/>
              <w:jc w:val="right"/>
              <w:rPr>
                <w:bCs/>
                <w:sz w:val="22"/>
                <w:szCs w:val="22"/>
                <w:u w:val="double"/>
                <w:lang w:val="es-AR" w:eastAsia="en-US"/>
              </w:rPr>
            </w:pPr>
          </w:p>
        </w:tc>
        <w:tc>
          <w:tcPr>
            <w:tcW w:w="273" w:type="dxa"/>
            <w:vAlign w:val="bottom"/>
          </w:tcPr>
          <w:p w14:paraId="69250E16" w14:textId="77777777" w:rsidR="0010523F" w:rsidRPr="0010523F" w:rsidRDefault="0010523F" w:rsidP="0010523F">
            <w:pPr>
              <w:spacing w:line="180" w:lineRule="exact"/>
              <w:ind w:right="-392"/>
              <w:jc w:val="right"/>
              <w:rPr>
                <w:bCs/>
                <w:sz w:val="22"/>
                <w:szCs w:val="22"/>
                <w:u w:val="double"/>
                <w:lang w:val="es-AR" w:eastAsia="en-US"/>
              </w:rPr>
            </w:pPr>
          </w:p>
        </w:tc>
        <w:tc>
          <w:tcPr>
            <w:tcW w:w="993" w:type="dxa"/>
            <w:vAlign w:val="bottom"/>
          </w:tcPr>
          <w:p w14:paraId="4D9A5B27" w14:textId="77777777" w:rsidR="0010523F" w:rsidRPr="0010523F" w:rsidRDefault="0010523F" w:rsidP="0010523F">
            <w:pPr>
              <w:tabs>
                <w:tab w:val="decimal" w:pos="743"/>
              </w:tabs>
              <w:spacing w:line="180" w:lineRule="exact"/>
              <w:ind w:left="-108"/>
              <w:jc w:val="right"/>
              <w:rPr>
                <w:bCs/>
                <w:sz w:val="22"/>
                <w:szCs w:val="22"/>
                <w:u w:val="double"/>
                <w:lang w:val="es-AR" w:eastAsia="en-US"/>
              </w:rPr>
            </w:pPr>
          </w:p>
        </w:tc>
        <w:tc>
          <w:tcPr>
            <w:tcW w:w="283" w:type="dxa"/>
            <w:vAlign w:val="bottom"/>
          </w:tcPr>
          <w:p w14:paraId="35A7B5FE" w14:textId="77777777" w:rsidR="0010523F" w:rsidRPr="0010523F" w:rsidRDefault="0010523F" w:rsidP="0010523F">
            <w:pPr>
              <w:spacing w:line="180" w:lineRule="exact"/>
              <w:ind w:left="-79" w:right="-395"/>
              <w:jc w:val="right"/>
              <w:rPr>
                <w:bCs/>
                <w:sz w:val="22"/>
                <w:szCs w:val="22"/>
                <w:u w:val="double"/>
                <w:lang w:val="es-AR" w:eastAsia="en-US"/>
              </w:rPr>
            </w:pPr>
          </w:p>
        </w:tc>
        <w:tc>
          <w:tcPr>
            <w:tcW w:w="1134" w:type="dxa"/>
            <w:vAlign w:val="bottom"/>
          </w:tcPr>
          <w:p w14:paraId="7DFDAE68" w14:textId="77777777" w:rsidR="0010523F" w:rsidRPr="0010523F" w:rsidRDefault="0010523F" w:rsidP="0010523F">
            <w:pPr>
              <w:tabs>
                <w:tab w:val="decimal" w:pos="601"/>
              </w:tabs>
              <w:spacing w:line="180" w:lineRule="exact"/>
              <w:ind w:left="-249" w:right="175" w:firstLine="140"/>
              <w:jc w:val="right"/>
              <w:rPr>
                <w:bCs/>
                <w:sz w:val="22"/>
                <w:szCs w:val="22"/>
                <w:u w:val="double"/>
                <w:lang w:val="es-AR" w:eastAsia="en-US"/>
              </w:rPr>
            </w:pPr>
          </w:p>
        </w:tc>
        <w:tc>
          <w:tcPr>
            <w:tcW w:w="1134" w:type="dxa"/>
            <w:vAlign w:val="bottom"/>
          </w:tcPr>
          <w:p w14:paraId="0818C385" w14:textId="77777777" w:rsidR="0010523F" w:rsidRPr="0010523F" w:rsidRDefault="0010523F" w:rsidP="0010523F">
            <w:pPr>
              <w:tabs>
                <w:tab w:val="decimal" w:pos="872"/>
              </w:tabs>
              <w:spacing w:line="180" w:lineRule="exact"/>
              <w:ind w:left="-109" w:right="58"/>
              <w:jc w:val="right"/>
              <w:rPr>
                <w:bCs/>
                <w:sz w:val="22"/>
                <w:szCs w:val="22"/>
                <w:u w:val="double"/>
                <w:lang w:val="es-AR" w:eastAsia="en-US"/>
              </w:rPr>
            </w:pPr>
          </w:p>
        </w:tc>
      </w:tr>
      <w:tr w:rsidR="0010523F" w:rsidRPr="0010523F" w14:paraId="4E557CDB" w14:textId="77777777" w:rsidTr="00774E7E">
        <w:trPr>
          <w:trHeight w:val="66"/>
        </w:trPr>
        <w:tc>
          <w:tcPr>
            <w:tcW w:w="3119" w:type="dxa"/>
            <w:vAlign w:val="bottom"/>
          </w:tcPr>
          <w:p w14:paraId="6FDAC3D4" w14:textId="77777777" w:rsidR="0010523F" w:rsidRPr="0010523F" w:rsidRDefault="0010523F" w:rsidP="0010523F">
            <w:pPr>
              <w:tabs>
                <w:tab w:val="left" w:pos="3153"/>
              </w:tabs>
              <w:ind w:right="-250"/>
              <w:rPr>
                <w:bCs/>
                <w:sz w:val="22"/>
                <w:szCs w:val="22"/>
                <w:lang w:val="es-AR" w:eastAsia="en-US"/>
              </w:rPr>
            </w:pPr>
            <w:r w:rsidRPr="0010523F">
              <w:rPr>
                <w:sz w:val="22"/>
                <w:szCs w:val="22"/>
                <w:lang w:val="es-AR" w:eastAsia="en-US"/>
              </w:rPr>
              <w:t>Total incluidas en el pasivo al 31/12/2018</w:t>
            </w:r>
          </w:p>
        </w:tc>
        <w:tc>
          <w:tcPr>
            <w:tcW w:w="1417" w:type="dxa"/>
            <w:vAlign w:val="bottom"/>
          </w:tcPr>
          <w:p w14:paraId="36978464" w14:textId="77777777" w:rsidR="0010523F" w:rsidRPr="0010523F" w:rsidRDefault="0010523F" w:rsidP="0010523F">
            <w:pPr>
              <w:ind w:left="-109" w:right="175"/>
              <w:jc w:val="right"/>
              <w:rPr>
                <w:bCs/>
                <w:sz w:val="22"/>
                <w:szCs w:val="22"/>
                <w:u w:val="double"/>
                <w:lang w:val="es-AR" w:eastAsia="en-US"/>
              </w:rPr>
            </w:pPr>
            <w:r w:rsidRPr="0010523F">
              <w:rPr>
                <w:bCs/>
                <w:sz w:val="22"/>
                <w:szCs w:val="22"/>
                <w:u w:val="double"/>
                <w:lang w:val="es-AR" w:eastAsia="en-US"/>
              </w:rPr>
              <w:t xml:space="preserve">  6.617</w:t>
            </w:r>
          </w:p>
        </w:tc>
        <w:tc>
          <w:tcPr>
            <w:tcW w:w="1559" w:type="dxa"/>
            <w:vAlign w:val="bottom"/>
          </w:tcPr>
          <w:p w14:paraId="6DBECB37" w14:textId="77777777" w:rsidR="0010523F" w:rsidRPr="0010523F" w:rsidRDefault="0010523F" w:rsidP="0010523F">
            <w:pPr>
              <w:ind w:right="317"/>
              <w:jc w:val="right"/>
              <w:rPr>
                <w:bCs/>
                <w:sz w:val="22"/>
                <w:szCs w:val="22"/>
                <w:u w:val="double"/>
                <w:lang w:val="es-AR" w:eastAsia="en-US"/>
              </w:rPr>
            </w:pPr>
            <w:r w:rsidRPr="0010523F">
              <w:rPr>
                <w:bCs/>
                <w:sz w:val="22"/>
                <w:szCs w:val="22"/>
                <w:u w:val="double"/>
                <w:lang w:val="es-AR" w:eastAsia="en-US"/>
              </w:rPr>
              <w:t xml:space="preserve">  2.805</w:t>
            </w:r>
          </w:p>
        </w:tc>
        <w:tc>
          <w:tcPr>
            <w:tcW w:w="861" w:type="dxa"/>
            <w:vAlign w:val="bottom"/>
          </w:tcPr>
          <w:p w14:paraId="4B86E37B" w14:textId="77777777" w:rsidR="0010523F" w:rsidRPr="0010523F" w:rsidRDefault="0010523F" w:rsidP="0010523F">
            <w:pPr>
              <w:tabs>
                <w:tab w:val="left" w:pos="175"/>
                <w:tab w:val="decimal" w:pos="742"/>
              </w:tabs>
              <w:ind w:left="-90"/>
              <w:jc w:val="right"/>
              <w:rPr>
                <w:bCs/>
                <w:sz w:val="22"/>
                <w:szCs w:val="22"/>
                <w:u w:val="double"/>
                <w:lang w:val="es-AR" w:eastAsia="en-US"/>
              </w:rPr>
            </w:pPr>
            <w:r w:rsidRPr="0010523F">
              <w:rPr>
                <w:bCs/>
                <w:sz w:val="22"/>
                <w:szCs w:val="22"/>
                <w:u w:val="double"/>
                <w:lang w:val="es-AR" w:eastAsia="en-US"/>
              </w:rPr>
              <w:t xml:space="preserve">   746</w:t>
            </w:r>
          </w:p>
        </w:tc>
        <w:tc>
          <w:tcPr>
            <w:tcW w:w="273" w:type="dxa"/>
            <w:vAlign w:val="bottom"/>
          </w:tcPr>
          <w:p w14:paraId="10D1D21C" w14:textId="77777777" w:rsidR="0010523F" w:rsidRPr="0010523F" w:rsidRDefault="0010523F" w:rsidP="0010523F">
            <w:pPr>
              <w:ind w:right="-392"/>
              <w:jc w:val="right"/>
              <w:rPr>
                <w:bCs/>
                <w:sz w:val="22"/>
                <w:szCs w:val="22"/>
                <w:u w:val="double"/>
                <w:lang w:val="es-AR" w:eastAsia="en-US"/>
              </w:rPr>
            </w:pPr>
          </w:p>
        </w:tc>
        <w:tc>
          <w:tcPr>
            <w:tcW w:w="993" w:type="dxa"/>
            <w:vAlign w:val="bottom"/>
          </w:tcPr>
          <w:p w14:paraId="5C762947" w14:textId="77777777" w:rsidR="0010523F" w:rsidRPr="0010523F" w:rsidRDefault="0010523F" w:rsidP="0010523F">
            <w:pPr>
              <w:tabs>
                <w:tab w:val="decimal" w:pos="743"/>
              </w:tabs>
              <w:ind w:left="-108"/>
              <w:jc w:val="right"/>
              <w:rPr>
                <w:bCs/>
                <w:sz w:val="22"/>
                <w:szCs w:val="22"/>
                <w:u w:val="double"/>
                <w:lang w:val="es-AR" w:eastAsia="en-US"/>
              </w:rPr>
            </w:pPr>
            <w:r w:rsidRPr="0010523F">
              <w:rPr>
                <w:bCs/>
                <w:sz w:val="22"/>
                <w:szCs w:val="22"/>
                <w:lang w:val="es-AR" w:eastAsia="en-US"/>
              </w:rPr>
              <w:t xml:space="preserve"> (</w:t>
            </w:r>
            <w:r w:rsidRPr="0010523F">
              <w:rPr>
                <w:bCs/>
                <w:sz w:val="22"/>
                <w:szCs w:val="22"/>
                <w:u w:val="double"/>
                <w:lang w:val="es-AR" w:eastAsia="en-US"/>
              </w:rPr>
              <w:t>2.781</w:t>
            </w:r>
            <w:r w:rsidRPr="0010523F">
              <w:rPr>
                <w:bCs/>
                <w:sz w:val="22"/>
                <w:szCs w:val="22"/>
                <w:lang w:val="es-AR" w:eastAsia="en-US"/>
              </w:rPr>
              <w:t>)</w:t>
            </w:r>
          </w:p>
        </w:tc>
        <w:tc>
          <w:tcPr>
            <w:tcW w:w="283" w:type="dxa"/>
            <w:vAlign w:val="bottom"/>
          </w:tcPr>
          <w:p w14:paraId="3C1A6FF8" w14:textId="77777777" w:rsidR="0010523F" w:rsidRPr="0010523F" w:rsidRDefault="0010523F" w:rsidP="0010523F">
            <w:pPr>
              <w:ind w:left="-79" w:right="-395"/>
              <w:jc w:val="right"/>
              <w:rPr>
                <w:bCs/>
                <w:sz w:val="22"/>
                <w:szCs w:val="22"/>
                <w:u w:val="double"/>
                <w:lang w:val="es-AR" w:eastAsia="en-US"/>
              </w:rPr>
            </w:pPr>
          </w:p>
        </w:tc>
        <w:tc>
          <w:tcPr>
            <w:tcW w:w="1134" w:type="dxa"/>
            <w:vAlign w:val="bottom"/>
          </w:tcPr>
          <w:p w14:paraId="5D465B80" w14:textId="77777777" w:rsidR="0010523F" w:rsidRPr="0010523F" w:rsidRDefault="0010523F" w:rsidP="0010523F">
            <w:pPr>
              <w:tabs>
                <w:tab w:val="decimal" w:pos="601"/>
              </w:tabs>
              <w:ind w:left="-249" w:right="175" w:firstLine="140"/>
              <w:jc w:val="right"/>
              <w:rPr>
                <w:bCs/>
                <w:sz w:val="22"/>
                <w:szCs w:val="22"/>
                <w:u w:val="double"/>
                <w:lang w:val="es-AR" w:eastAsia="en-US"/>
              </w:rPr>
            </w:pPr>
            <w:r w:rsidRPr="0010523F">
              <w:rPr>
                <w:bCs/>
                <w:sz w:val="22"/>
                <w:szCs w:val="22"/>
                <w:u w:val="double"/>
                <w:lang w:val="es-AR" w:eastAsia="en-US"/>
              </w:rPr>
              <w:t>8.960</w:t>
            </w:r>
          </w:p>
        </w:tc>
        <w:tc>
          <w:tcPr>
            <w:tcW w:w="1134" w:type="dxa"/>
            <w:vAlign w:val="bottom"/>
          </w:tcPr>
          <w:p w14:paraId="6F31389B" w14:textId="77777777" w:rsidR="0010523F" w:rsidRPr="0010523F" w:rsidRDefault="0010523F" w:rsidP="0010523F">
            <w:pPr>
              <w:tabs>
                <w:tab w:val="decimal" w:pos="872"/>
              </w:tabs>
              <w:ind w:left="-109" w:right="58"/>
              <w:jc w:val="right"/>
              <w:rPr>
                <w:bCs/>
                <w:sz w:val="22"/>
                <w:szCs w:val="22"/>
                <w:u w:val="double"/>
                <w:lang w:val="es-AR" w:eastAsia="en-US"/>
              </w:rPr>
            </w:pPr>
            <w:r w:rsidRPr="0010523F">
              <w:rPr>
                <w:bCs/>
                <w:sz w:val="22"/>
                <w:szCs w:val="22"/>
                <w:u w:val="double"/>
                <w:lang w:val="es-AR" w:eastAsia="en-US"/>
              </w:rPr>
              <w:t>16.347</w:t>
            </w:r>
          </w:p>
        </w:tc>
      </w:tr>
    </w:tbl>
    <w:p w14:paraId="40A3C2C9" w14:textId="77777777" w:rsidR="0010523F" w:rsidRPr="0010523F" w:rsidRDefault="0010523F" w:rsidP="0010523F">
      <w:pPr>
        <w:spacing w:line="220" w:lineRule="exact"/>
        <w:ind w:left="425" w:hanging="425"/>
        <w:rPr>
          <w:bCs/>
          <w:sz w:val="20"/>
          <w:szCs w:val="20"/>
          <w:lang w:val="es-AR" w:eastAsia="en-US"/>
        </w:rPr>
      </w:pPr>
    </w:p>
    <w:p w14:paraId="65748211" w14:textId="77777777" w:rsidR="0010523F" w:rsidRPr="0010523F" w:rsidRDefault="0010523F" w:rsidP="00E2318E">
      <w:pPr>
        <w:numPr>
          <w:ilvl w:val="0"/>
          <w:numId w:val="73"/>
        </w:numPr>
        <w:tabs>
          <w:tab w:val="right" w:pos="10440"/>
        </w:tabs>
        <w:spacing w:line="220" w:lineRule="exact"/>
        <w:contextualSpacing/>
        <w:jc w:val="both"/>
        <w:rPr>
          <w:sz w:val="20"/>
          <w:szCs w:val="20"/>
          <w:lang w:val="es-AR" w:eastAsia="en-US"/>
        </w:rPr>
      </w:pPr>
      <w:r w:rsidRPr="0010523F">
        <w:rPr>
          <w:sz w:val="20"/>
          <w:szCs w:val="20"/>
          <w:lang w:val="es-AR" w:eastAsia="en-US"/>
        </w:rPr>
        <w:t>Corresponde a cargos del período incluidos en la línea de impuestos, tasas y contribuciones en la Nota 4.c).</w:t>
      </w:r>
    </w:p>
    <w:p w14:paraId="41AEB957" w14:textId="77777777" w:rsidR="0010523F" w:rsidRPr="0010523F" w:rsidRDefault="0010523F" w:rsidP="00E2318E">
      <w:pPr>
        <w:numPr>
          <w:ilvl w:val="0"/>
          <w:numId w:val="73"/>
        </w:numPr>
        <w:tabs>
          <w:tab w:val="right" w:pos="10440"/>
        </w:tabs>
        <w:spacing w:line="220" w:lineRule="exact"/>
        <w:contextualSpacing/>
        <w:jc w:val="both"/>
        <w:rPr>
          <w:sz w:val="20"/>
          <w:szCs w:val="20"/>
          <w:lang w:val="es-AR" w:eastAsia="en-US"/>
        </w:rPr>
      </w:pPr>
      <w:r w:rsidRPr="0010523F">
        <w:rPr>
          <w:sz w:val="20"/>
          <w:szCs w:val="20"/>
          <w:lang w:val="es-AR" w:eastAsia="en-US"/>
        </w:rPr>
        <w:t>Corresponde a utilizaciones del período.</w:t>
      </w:r>
    </w:p>
    <w:p w14:paraId="67091F69" w14:textId="77777777" w:rsidR="0010523F" w:rsidRPr="0010523F" w:rsidRDefault="0010523F" w:rsidP="0010523F">
      <w:pPr>
        <w:tabs>
          <w:tab w:val="right" w:pos="10440"/>
        </w:tabs>
        <w:spacing w:line="220" w:lineRule="exact"/>
        <w:ind w:left="709" w:hanging="425"/>
        <w:jc w:val="both"/>
        <w:rPr>
          <w:sz w:val="20"/>
          <w:szCs w:val="20"/>
          <w:lang w:val="es-AR" w:eastAsia="en-US"/>
        </w:rPr>
      </w:pPr>
      <w:r w:rsidRPr="0010523F">
        <w:rPr>
          <w:sz w:val="20"/>
          <w:szCs w:val="20"/>
          <w:lang w:val="es-AR" w:eastAsia="en-US"/>
        </w:rPr>
        <w:t>(3)</w:t>
      </w:r>
      <w:r w:rsidRPr="0010523F">
        <w:rPr>
          <w:sz w:val="20"/>
          <w:szCs w:val="20"/>
          <w:lang w:val="es-AR" w:eastAsia="en-US"/>
        </w:rPr>
        <w:tab/>
        <w:t>Corresponde al cargo por devengamiento de intereses incluidos en la línea resultados financieros en el estado del resultado intermedio condensado.</w:t>
      </w:r>
    </w:p>
    <w:p w14:paraId="6406F30F" w14:textId="77777777" w:rsidR="0010523F" w:rsidRPr="0010523F" w:rsidRDefault="0010523F" w:rsidP="0010523F">
      <w:pPr>
        <w:tabs>
          <w:tab w:val="right" w:pos="10440"/>
        </w:tabs>
        <w:spacing w:line="220" w:lineRule="exact"/>
        <w:ind w:left="709" w:hanging="425"/>
        <w:jc w:val="both"/>
        <w:rPr>
          <w:sz w:val="20"/>
          <w:szCs w:val="20"/>
          <w:lang w:val="es-AR" w:eastAsia="en-US"/>
        </w:rPr>
      </w:pPr>
      <w:r w:rsidRPr="0010523F">
        <w:rPr>
          <w:sz w:val="20"/>
          <w:szCs w:val="20"/>
          <w:lang w:val="es-AR" w:eastAsia="en-US"/>
        </w:rPr>
        <w:t>(4)</w:t>
      </w:r>
      <w:r w:rsidRPr="0010523F">
        <w:rPr>
          <w:sz w:val="20"/>
          <w:szCs w:val="20"/>
          <w:lang w:val="es-AR" w:eastAsia="en-US"/>
        </w:rPr>
        <w:tab/>
        <w:t>El aumento corresponde al cargo neto del período por 168 incluidos en la línea de juicios y 16 incluidos en la línea de impuestos, tasas y contribuciones en la Nota 4.c) y 42 de intereses incluidos en la línea de intereses generados por pasivos del estado del resultado intermedio condensado.</w:t>
      </w:r>
    </w:p>
    <w:p w14:paraId="79A76036" w14:textId="77777777" w:rsidR="0010523F" w:rsidRPr="0010523F" w:rsidRDefault="0010523F" w:rsidP="0010523F">
      <w:pPr>
        <w:tabs>
          <w:tab w:val="right" w:pos="10440"/>
        </w:tabs>
        <w:spacing w:line="220" w:lineRule="exact"/>
        <w:ind w:left="709" w:hanging="425"/>
        <w:jc w:val="both"/>
        <w:rPr>
          <w:sz w:val="20"/>
          <w:szCs w:val="20"/>
          <w:lang w:val="es-AR" w:eastAsia="en-US"/>
        </w:rPr>
      </w:pPr>
      <w:r w:rsidRPr="0010523F">
        <w:rPr>
          <w:sz w:val="20"/>
          <w:szCs w:val="20"/>
          <w:lang w:val="es-AR" w:eastAsia="en-US"/>
        </w:rPr>
        <w:t>(5)</w:t>
      </w:r>
      <w:r w:rsidRPr="0010523F">
        <w:rPr>
          <w:sz w:val="20"/>
          <w:szCs w:val="20"/>
          <w:lang w:val="es-AR" w:eastAsia="en-US"/>
        </w:rPr>
        <w:tab/>
        <w:t xml:space="preserve">Corresponde 654 a cargos del período, incluidos en el rubro otros resultados financieros en el estado del resultado intermedio condensado y 276 incluidos en el rubro propiedad, planta y equipo.  </w:t>
      </w:r>
    </w:p>
    <w:p w14:paraId="2522E8B0" w14:textId="77777777" w:rsidR="0010523F" w:rsidRPr="0010523F" w:rsidRDefault="0010523F" w:rsidP="0010523F">
      <w:pPr>
        <w:tabs>
          <w:tab w:val="right" w:pos="10440"/>
        </w:tabs>
        <w:spacing w:line="220" w:lineRule="exact"/>
        <w:ind w:left="709" w:hanging="425"/>
        <w:jc w:val="both"/>
        <w:rPr>
          <w:sz w:val="20"/>
          <w:szCs w:val="20"/>
          <w:lang w:val="es-AR" w:eastAsia="en-US"/>
        </w:rPr>
      </w:pPr>
    </w:p>
    <w:p w14:paraId="47455F29" w14:textId="77777777" w:rsidR="0010523F" w:rsidRPr="0010523F" w:rsidRDefault="0010523F" w:rsidP="0010523F">
      <w:pPr>
        <w:tabs>
          <w:tab w:val="num" w:pos="426"/>
          <w:tab w:val="right" w:pos="10440"/>
        </w:tabs>
        <w:ind w:left="426" w:hanging="426"/>
        <w:jc w:val="both"/>
        <w:rPr>
          <w:sz w:val="18"/>
          <w:szCs w:val="18"/>
          <w:lang w:val="es-AR" w:eastAsia="en-US"/>
        </w:rPr>
      </w:pPr>
      <w:r w:rsidRPr="0010523F">
        <w:rPr>
          <w:sz w:val="18"/>
          <w:szCs w:val="18"/>
          <w:lang w:val="es-AR" w:eastAsia="en-US"/>
        </w:rPr>
        <w:t xml:space="preserve"> </w:t>
      </w:r>
    </w:p>
    <w:p w14:paraId="4B607CB7" w14:textId="77777777" w:rsidR="0010523F" w:rsidRPr="0010523F" w:rsidRDefault="0010523F" w:rsidP="0010523F">
      <w:pPr>
        <w:widowControl w:val="0"/>
        <w:tabs>
          <w:tab w:val="center" w:pos="1980"/>
          <w:tab w:val="center" w:pos="8080"/>
          <w:tab w:val="center" w:pos="12474"/>
        </w:tabs>
        <w:ind w:right="11"/>
        <w:jc w:val="both"/>
        <w:rPr>
          <w:sz w:val="18"/>
          <w:szCs w:val="18"/>
          <w:lang w:val="es-AR" w:eastAsia="en-US"/>
        </w:rPr>
      </w:pPr>
      <w:r w:rsidRPr="0010523F">
        <w:rPr>
          <w:sz w:val="18"/>
          <w:szCs w:val="18"/>
          <w:lang w:val="pt-BR" w:eastAsia="en-US"/>
        </w:rPr>
        <w:tab/>
      </w:r>
    </w:p>
    <w:p w14:paraId="4F9D43A2" w14:textId="77777777" w:rsidR="0010523F" w:rsidRPr="0010523F" w:rsidRDefault="0010523F" w:rsidP="0010523F">
      <w:pPr>
        <w:tabs>
          <w:tab w:val="right" w:pos="10440"/>
        </w:tabs>
        <w:spacing w:line="200" w:lineRule="exact"/>
        <w:jc w:val="both"/>
        <w:rPr>
          <w:sz w:val="18"/>
          <w:szCs w:val="18"/>
          <w:lang w:val="es-AR" w:eastAsia="en-US"/>
        </w:rPr>
      </w:pPr>
    </w:p>
    <w:p w14:paraId="5F387ECF" w14:textId="77777777" w:rsidR="0010523F" w:rsidRPr="0010523F" w:rsidRDefault="0010523F" w:rsidP="0010523F">
      <w:pPr>
        <w:tabs>
          <w:tab w:val="right" w:pos="10440"/>
        </w:tabs>
        <w:spacing w:line="200" w:lineRule="exact"/>
        <w:jc w:val="both"/>
        <w:rPr>
          <w:sz w:val="18"/>
          <w:szCs w:val="18"/>
          <w:lang w:val="es-AR" w:eastAsia="en-US"/>
        </w:rPr>
      </w:pPr>
    </w:p>
    <w:p w14:paraId="1565A6B1" w14:textId="77777777" w:rsidR="0010523F" w:rsidRPr="0010523F" w:rsidRDefault="0010523F" w:rsidP="0010523F">
      <w:pPr>
        <w:tabs>
          <w:tab w:val="right" w:pos="10440"/>
        </w:tabs>
        <w:spacing w:line="200" w:lineRule="exact"/>
        <w:jc w:val="both"/>
        <w:rPr>
          <w:sz w:val="18"/>
          <w:szCs w:val="18"/>
          <w:lang w:val="es-AR" w:eastAsia="en-US"/>
        </w:rPr>
      </w:pPr>
    </w:p>
    <w:p w14:paraId="77B87F75" w14:textId="77777777" w:rsidR="0010523F" w:rsidRPr="0010523F" w:rsidRDefault="0010523F" w:rsidP="0010523F">
      <w:pPr>
        <w:jc w:val="right"/>
        <w:rPr>
          <w:rFonts w:ascii="Times" w:hAnsi="Times"/>
          <w:sz w:val="20"/>
          <w:lang w:eastAsia="en-US"/>
        </w:rPr>
      </w:pPr>
    </w:p>
    <w:p w14:paraId="7BFE9D51" w14:textId="77777777" w:rsidR="0010523F" w:rsidRPr="0010523F" w:rsidRDefault="0010523F" w:rsidP="0010523F">
      <w:pPr>
        <w:rPr>
          <w:rFonts w:ascii="Times" w:hAnsi="Times"/>
          <w:sz w:val="20"/>
          <w:lang w:eastAsia="en-US"/>
        </w:rPr>
      </w:pPr>
      <w:r w:rsidRPr="0010523F">
        <w:rPr>
          <w:lang w:val="es-AR" w:eastAsia="en-US"/>
        </w:rPr>
        <w:br w:type="page"/>
      </w:r>
    </w:p>
    <w:p w14:paraId="71E62954" w14:textId="77777777" w:rsidR="0010523F" w:rsidRPr="0010523F" w:rsidRDefault="0010523F" w:rsidP="0010523F">
      <w:pPr>
        <w:keepNext/>
        <w:tabs>
          <w:tab w:val="right" w:pos="5596"/>
        </w:tabs>
        <w:spacing w:line="220" w:lineRule="exact"/>
        <w:ind w:right="84"/>
        <w:jc w:val="right"/>
        <w:outlineLvl w:val="0"/>
        <w:rPr>
          <w:bCs/>
          <w:szCs w:val="20"/>
          <w:lang w:val="es-AR" w:eastAsia="en-US"/>
        </w:rPr>
      </w:pPr>
      <w:r w:rsidRPr="0010523F">
        <w:rPr>
          <w:szCs w:val="20"/>
          <w:lang w:val="es-AR" w:eastAsia="en-US"/>
        </w:rPr>
        <w:t>ANEXO G</w:t>
      </w:r>
    </w:p>
    <w:p w14:paraId="25CC73ED" w14:textId="77777777" w:rsidR="0010523F" w:rsidRPr="0010523F" w:rsidRDefault="0010523F" w:rsidP="0010523F">
      <w:pPr>
        <w:ind w:left="284" w:right="84"/>
        <w:jc w:val="both"/>
        <w:rPr>
          <w:b/>
          <w:lang w:val="es-AR" w:eastAsia="en-US"/>
        </w:rPr>
      </w:pPr>
      <w:r w:rsidRPr="0010523F">
        <w:rPr>
          <w:b/>
          <w:szCs w:val="20"/>
          <w:lang w:val="es-AR" w:eastAsia="en-US"/>
        </w:rPr>
        <w:t>PAN AMERICAN ENERGY, S.L., SUCURSAL ARGENTINA</w:t>
      </w:r>
      <w:r w:rsidRPr="0010523F" w:rsidDel="00151E7A">
        <w:rPr>
          <w:b/>
          <w:sz w:val="22"/>
          <w:szCs w:val="22"/>
          <w:lang w:val="es-AR" w:eastAsia="en-US"/>
        </w:rPr>
        <w:t xml:space="preserve"> </w:t>
      </w:r>
      <w:r w:rsidRPr="0010523F">
        <w:rPr>
          <w:b/>
          <w:lang w:val="es-AR" w:eastAsia="en-US"/>
        </w:rPr>
        <w:t xml:space="preserve">   </w:t>
      </w:r>
      <w:r w:rsidRPr="0010523F">
        <w:rPr>
          <w:b/>
          <w:lang w:val="es-AR" w:eastAsia="en-US"/>
        </w:rPr>
        <w:tab/>
      </w:r>
      <w:r w:rsidRPr="0010523F">
        <w:rPr>
          <w:b/>
          <w:lang w:val="es-AR" w:eastAsia="en-US"/>
        </w:rPr>
        <w:tab/>
      </w:r>
      <w:r w:rsidRPr="0010523F">
        <w:rPr>
          <w:b/>
          <w:lang w:val="es-AR" w:eastAsia="en-US"/>
        </w:rPr>
        <w:tab/>
      </w:r>
      <w:r w:rsidRPr="0010523F">
        <w:rPr>
          <w:b/>
          <w:lang w:val="es-AR" w:eastAsia="en-US"/>
        </w:rPr>
        <w:tab/>
      </w:r>
      <w:r w:rsidRPr="0010523F">
        <w:rPr>
          <w:b/>
          <w:lang w:val="es-AR" w:eastAsia="en-US"/>
        </w:rPr>
        <w:tab/>
      </w:r>
    </w:p>
    <w:p w14:paraId="2F88210B" w14:textId="77777777" w:rsidR="0010523F" w:rsidRPr="0010523F" w:rsidRDefault="0010523F" w:rsidP="0010523F">
      <w:pPr>
        <w:tabs>
          <w:tab w:val="left" w:pos="284"/>
        </w:tabs>
        <w:spacing w:line="60" w:lineRule="exact"/>
        <w:ind w:left="284" w:right="84"/>
        <w:jc w:val="both"/>
        <w:rPr>
          <w:sz w:val="16"/>
          <w:szCs w:val="16"/>
          <w:lang w:val="es-AR" w:eastAsia="en-US"/>
        </w:rPr>
      </w:pPr>
    </w:p>
    <w:p w14:paraId="14686396" w14:textId="77777777" w:rsidR="0010523F" w:rsidRPr="0010523F" w:rsidRDefault="0010523F" w:rsidP="0010523F">
      <w:pPr>
        <w:ind w:left="284" w:right="84"/>
        <w:jc w:val="both"/>
        <w:rPr>
          <w:sz w:val="20"/>
          <w:szCs w:val="20"/>
          <w:lang w:val="es-AR" w:eastAsia="en-US"/>
        </w:rPr>
      </w:pPr>
      <w:r w:rsidRPr="0010523F">
        <w:rPr>
          <w:b/>
          <w:sz w:val="20"/>
          <w:szCs w:val="20"/>
          <w:lang w:val="es-AR" w:eastAsia="en-US"/>
        </w:rPr>
        <w:t xml:space="preserve">ACTIVOS Y PASIVOS EN MONEDAS DISTINTAS DEL PESO - INFORMACIÓN REQUERIDA POR EL ARTÍCULO 63 INC. 4.C) DE LA LEY Nº 19.550 </w:t>
      </w:r>
      <w:r w:rsidRPr="0010523F">
        <w:rPr>
          <w:rFonts w:ascii="Times" w:hAnsi="Times"/>
          <w:sz w:val="22"/>
          <w:szCs w:val="22"/>
          <w:lang w:eastAsia="en-US"/>
        </w:rPr>
        <w:t>al 30 de septiembre de 2019 y al 31 de diciembre de 2018</w:t>
      </w:r>
    </w:p>
    <w:p w14:paraId="03C13B00" w14:textId="77777777" w:rsidR="0010523F" w:rsidRPr="0010523F" w:rsidRDefault="0010523F" w:rsidP="0010523F">
      <w:pPr>
        <w:tabs>
          <w:tab w:val="left" w:pos="284"/>
        </w:tabs>
        <w:spacing w:line="80" w:lineRule="exact"/>
        <w:jc w:val="both"/>
        <w:rPr>
          <w:sz w:val="16"/>
          <w:szCs w:val="16"/>
          <w:lang w:val="es-AR" w:eastAsia="en-US"/>
        </w:rPr>
      </w:pPr>
    </w:p>
    <w:p w14:paraId="270129BF" w14:textId="77777777" w:rsidR="0010523F" w:rsidRPr="0010523F" w:rsidRDefault="0010523F" w:rsidP="0010523F">
      <w:pPr>
        <w:tabs>
          <w:tab w:val="left" w:pos="284"/>
          <w:tab w:val="decimal" w:pos="5387"/>
          <w:tab w:val="decimal" w:pos="6663"/>
          <w:tab w:val="decimal" w:pos="9356"/>
        </w:tabs>
        <w:spacing w:line="100" w:lineRule="exact"/>
        <w:jc w:val="both"/>
        <w:rPr>
          <w:sz w:val="18"/>
          <w:szCs w:val="18"/>
          <w:lang w:val="es-AR" w:eastAsia="en-US"/>
        </w:rPr>
      </w:pPr>
    </w:p>
    <w:tbl>
      <w:tblPr>
        <w:tblW w:w="10531" w:type="dxa"/>
        <w:tblInd w:w="354" w:type="dxa"/>
        <w:tblLayout w:type="fixed"/>
        <w:tblCellMar>
          <w:left w:w="70" w:type="dxa"/>
          <w:right w:w="70" w:type="dxa"/>
        </w:tblCellMar>
        <w:tblLook w:val="04A0" w:firstRow="1" w:lastRow="0" w:firstColumn="1" w:lastColumn="0" w:noHBand="0" w:noVBand="1"/>
      </w:tblPr>
      <w:tblGrid>
        <w:gridCol w:w="3276"/>
        <w:gridCol w:w="960"/>
        <w:gridCol w:w="883"/>
        <w:gridCol w:w="160"/>
        <w:gridCol w:w="958"/>
        <w:gridCol w:w="160"/>
        <w:gridCol w:w="1100"/>
        <w:gridCol w:w="160"/>
        <w:gridCol w:w="906"/>
        <w:gridCol w:w="831"/>
        <w:gridCol w:w="160"/>
        <w:gridCol w:w="977"/>
      </w:tblGrid>
      <w:tr w:rsidR="0010523F" w:rsidRPr="0010523F" w14:paraId="58788982" w14:textId="77777777" w:rsidTr="00774E7E">
        <w:trPr>
          <w:trHeight w:val="809"/>
        </w:trPr>
        <w:tc>
          <w:tcPr>
            <w:tcW w:w="3276" w:type="dxa"/>
            <w:tcBorders>
              <w:top w:val="nil"/>
              <w:left w:val="nil"/>
              <w:bottom w:val="nil"/>
              <w:right w:val="nil"/>
            </w:tcBorders>
            <w:shd w:val="clear" w:color="auto" w:fill="auto"/>
            <w:vAlign w:val="bottom"/>
            <w:hideMark/>
          </w:tcPr>
          <w:p w14:paraId="72AB4772" w14:textId="77777777" w:rsidR="0010523F" w:rsidRPr="0010523F" w:rsidRDefault="0010523F" w:rsidP="0010523F">
            <w:pPr>
              <w:jc w:val="center"/>
              <w:rPr>
                <w:color w:val="000000"/>
                <w:sz w:val="18"/>
                <w:szCs w:val="18"/>
                <w:u w:val="single"/>
                <w:lang w:val="es-AR" w:eastAsia="es-AR"/>
              </w:rPr>
            </w:pPr>
            <w:r w:rsidRPr="0010523F">
              <w:rPr>
                <w:color w:val="000000"/>
                <w:sz w:val="18"/>
                <w:szCs w:val="18"/>
                <w:u w:val="single"/>
                <w:lang w:val="es-AR" w:eastAsia="es-AR"/>
              </w:rPr>
              <w:t>Rubro</w:t>
            </w:r>
          </w:p>
        </w:tc>
        <w:tc>
          <w:tcPr>
            <w:tcW w:w="1843" w:type="dxa"/>
            <w:gridSpan w:val="2"/>
            <w:tcBorders>
              <w:top w:val="nil"/>
              <w:left w:val="nil"/>
              <w:bottom w:val="single" w:sz="4" w:space="0" w:color="auto"/>
              <w:right w:val="nil"/>
            </w:tcBorders>
            <w:shd w:val="clear" w:color="auto" w:fill="auto"/>
            <w:vAlign w:val="bottom"/>
            <w:hideMark/>
          </w:tcPr>
          <w:p w14:paraId="2FE0D00F"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Monto y clase de la moneda  extranjera al 30/09/2019</w:t>
            </w:r>
          </w:p>
        </w:tc>
        <w:tc>
          <w:tcPr>
            <w:tcW w:w="160" w:type="dxa"/>
            <w:tcBorders>
              <w:top w:val="nil"/>
              <w:left w:val="nil"/>
              <w:bottom w:val="nil"/>
              <w:right w:val="nil"/>
            </w:tcBorders>
            <w:shd w:val="clear" w:color="auto" w:fill="auto"/>
            <w:vAlign w:val="bottom"/>
            <w:hideMark/>
          </w:tcPr>
          <w:p w14:paraId="5E9A9BCD" w14:textId="77777777" w:rsidR="0010523F" w:rsidRPr="0010523F" w:rsidRDefault="0010523F" w:rsidP="0010523F">
            <w:pPr>
              <w:jc w:val="center"/>
              <w:rPr>
                <w:color w:val="000000"/>
                <w:sz w:val="18"/>
                <w:szCs w:val="18"/>
                <w:lang w:val="es-AR" w:eastAsia="es-AR"/>
              </w:rPr>
            </w:pPr>
          </w:p>
        </w:tc>
        <w:tc>
          <w:tcPr>
            <w:tcW w:w="958" w:type="dxa"/>
            <w:tcBorders>
              <w:top w:val="nil"/>
              <w:left w:val="nil"/>
              <w:bottom w:val="single" w:sz="4" w:space="0" w:color="auto"/>
              <w:right w:val="nil"/>
            </w:tcBorders>
            <w:shd w:val="clear" w:color="auto" w:fill="auto"/>
            <w:vAlign w:val="bottom"/>
            <w:hideMark/>
          </w:tcPr>
          <w:p w14:paraId="6C57E4D5"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Cambio vigente</w:t>
            </w:r>
          </w:p>
        </w:tc>
        <w:tc>
          <w:tcPr>
            <w:tcW w:w="160" w:type="dxa"/>
            <w:tcBorders>
              <w:top w:val="nil"/>
              <w:left w:val="nil"/>
              <w:bottom w:val="nil"/>
              <w:right w:val="nil"/>
            </w:tcBorders>
            <w:shd w:val="clear" w:color="auto" w:fill="auto"/>
            <w:vAlign w:val="bottom"/>
            <w:hideMark/>
          </w:tcPr>
          <w:p w14:paraId="02F2A5A9" w14:textId="77777777" w:rsidR="0010523F" w:rsidRPr="0010523F" w:rsidRDefault="0010523F" w:rsidP="0010523F">
            <w:pPr>
              <w:jc w:val="center"/>
              <w:rPr>
                <w:color w:val="000000"/>
                <w:sz w:val="18"/>
                <w:szCs w:val="18"/>
                <w:lang w:val="es-AR" w:eastAsia="es-AR"/>
              </w:rPr>
            </w:pPr>
          </w:p>
        </w:tc>
        <w:tc>
          <w:tcPr>
            <w:tcW w:w="1100" w:type="dxa"/>
            <w:tcBorders>
              <w:top w:val="nil"/>
              <w:left w:val="nil"/>
              <w:bottom w:val="single" w:sz="4" w:space="0" w:color="auto"/>
              <w:right w:val="nil"/>
            </w:tcBorders>
            <w:shd w:val="clear" w:color="auto" w:fill="auto"/>
            <w:vAlign w:val="bottom"/>
            <w:hideMark/>
          </w:tcPr>
          <w:p w14:paraId="31C9F5A0"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Monto en moneda nacional al 30/09/2019</w:t>
            </w:r>
          </w:p>
        </w:tc>
        <w:tc>
          <w:tcPr>
            <w:tcW w:w="160" w:type="dxa"/>
            <w:tcBorders>
              <w:top w:val="nil"/>
              <w:left w:val="nil"/>
              <w:bottom w:val="nil"/>
              <w:right w:val="nil"/>
            </w:tcBorders>
            <w:shd w:val="clear" w:color="auto" w:fill="auto"/>
            <w:noWrap/>
            <w:vAlign w:val="bottom"/>
            <w:hideMark/>
          </w:tcPr>
          <w:p w14:paraId="2BE0BB91" w14:textId="77777777" w:rsidR="0010523F" w:rsidRPr="0010523F" w:rsidRDefault="0010523F" w:rsidP="0010523F">
            <w:pPr>
              <w:jc w:val="center"/>
              <w:rPr>
                <w:rFonts w:ascii="Calibri" w:hAnsi="Calibri"/>
                <w:color w:val="000000"/>
                <w:sz w:val="18"/>
                <w:szCs w:val="18"/>
                <w:lang w:val="es-AR" w:eastAsia="es-AR"/>
              </w:rPr>
            </w:pPr>
          </w:p>
        </w:tc>
        <w:tc>
          <w:tcPr>
            <w:tcW w:w="1737" w:type="dxa"/>
            <w:gridSpan w:val="2"/>
            <w:tcBorders>
              <w:top w:val="nil"/>
              <w:left w:val="nil"/>
              <w:bottom w:val="single" w:sz="4" w:space="0" w:color="auto"/>
              <w:right w:val="nil"/>
            </w:tcBorders>
            <w:shd w:val="clear" w:color="auto" w:fill="auto"/>
            <w:vAlign w:val="bottom"/>
            <w:hideMark/>
          </w:tcPr>
          <w:p w14:paraId="67887C3F"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Monto y clase de la  moneda extranjera al 31/12/2018</w:t>
            </w:r>
          </w:p>
        </w:tc>
        <w:tc>
          <w:tcPr>
            <w:tcW w:w="160" w:type="dxa"/>
            <w:tcBorders>
              <w:top w:val="nil"/>
              <w:left w:val="nil"/>
              <w:bottom w:val="nil"/>
              <w:right w:val="nil"/>
            </w:tcBorders>
            <w:shd w:val="clear" w:color="auto" w:fill="auto"/>
            <w:vAlign w:val="bottom"/>
            <w:hideMark/>
          </w:tcPr>
          <w:p w14:paraId="7A135D2B" w14:textId="77777777" w:rsidR="0010523F" w:rsidRPr="0010523F" w:rsidRDefault="0010523F" w:rsidP="0010523F">
            <w:pPr>
              <w:jc w:val="center"/>
              <w:rPr>
                <w:color w:val="000000"/>
                <w:sz w:val="18"/>
                <w:szCs w:val="18"/>
                <w:lang w:val="es-AR" w:eastAsia="es-AR"/>
              </w:rPr>
            </w:pPr>
          </w:p>
        </w:tc>
        <w:tc>
          <w:tcPr>
            <w:tcW w:w="977" w:type="dxa"/>
            <w:tcBorders>
              <w:top w:val="nil"/>
              <w:left w:val="nil"/>
              <w:bottom w:val="single" w:sz="4" w:space="0" w:color="auto"/>
              <w:right w:val="nil"/>
            </w:tcBorders>
            <w:shd w:val="clear" w:color="auto" w:fill="auto"/>
            <w:vAlign w:val="bottom"/>
            <w:hideMark/>
          </w:tcPr>
          <w:p w14:paraId="53EA241F"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Monto en moneda nacional al 31/12/2018</w:t>
            </w:r>
          </w:p>
        </w:tc>
      </w:tr>
      <w:tr w:rsidR="0010523F" w:rsidRPr="0010523F" w14:paraId="293362C5" w14:textId="77777777" w:rsidTr="00774E7E">
        <w:trPr>
          <w:trHeight w:val="385"/>
        </w:trPr>
        <w:tc>
          <w:tcPr>
            <w:tcW w:w="3276" w:type="dxa"/>
            <w:tcBorders>
              <w:top w:val="nil"/>
              <w:left w:val="nil"/>
              <w:bottom w:val="nil"/>
              <w:right w:val="nil"/>
            </w:tcBorders>
            <w:shd w:val="clear" w:color="auto" w:fill="auto"/>
            <w:vAlign w:val="center"/>
            <w:hideMark/>
          </w:tcPr>
          <w:p w14:paraId="23402EAC" w14:textId="77777777" w:rsidR="0010523F" w:rsidRPr="0010523F" w:rsidRDefault="0010523F" w:rsidP="0010523F">
            <w:pPr>
              <w:jc w:val="both"/>
              <w:rPr>
                <w:color w:val="000000"/>
                <w:sz w:val="18"/>
                <w:szCs w:val="18"/>
                <w:lang w:val="es-AR" w:eastAsia="es-AR"/>
              </w:rPr>
            </w:pPr>
          </w:p>
        </w:tc>
        <w:tc>
          <w:tcPr>
            <w:tcW w:w="960" w:type="dxa"/>
            <w:tcBorders>
              <w:top w:val="nil"/>
              <w:left w:val="nil"/>
              <w:bottom w:val="nil"/>
              <w:right w:val="nil"/>
            </w:tcBorders>
            <w:shd w:val="clear" w:color="auto" w:fill="auto"/>
            <w:vAlign w:val="bottom"/>
            <w:hideMark/>
          </w:tcPr>
          <w:p w14:paraId="704B4C48"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Miles de US$</w:t>
            </w:r>
          </w:p>
        </w:tc>
        <w:tc>
          <w:tcPr>
            <w:tcW w:w="883" w:type="dxa"/>
            <w:tcBorders>
              <w:top w:val="nil"/>
              <w:left w:val="nil"/>
              <w:bottom w:val="nil"/>
              <w:right w:val="nil"/>
            </w:tcBorders>
            <w:shd w:val="clear" w:color="auto" w:fill="auto"/>
            <w:vAlign w:val="bottom"/>
            <w:hideMark/>
          </w:tcPr>
          <w:p w14:paraId="13BA5128"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Miles de euros</w:t>
            </w:r>
          </w:p>
        </w:tc>
        <w:tc>
          <w:tcPr>
            <w:tcW w:w="160" w:type="dxa"/>
            <w:tcBorders>
              <w:top w:val="nil"/>
              <w:left w:val="nil"/>
              <w:bottom w:val="nil"/>
              <w:right w:val="nil"/>
            </w:tcBorders>
            <w:shd w:val="clear" w:color="auto" w:fill="auto"/>
            <w:vAlign w:val="bottom"/>
            <w:hideMark/>
          </w:tcPr>
          <w:p w14:paraId="6DC82DB1" w14:textId="77777777" w:rsidR="0010523F" w:rsidRPr="0010523F" w:rsidRDefault="0010523F" w:rsidP="0010523F">
            <w:pPr>
              <w:jc w:val="center"/>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338DC80D"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6140722A" w14:textId="77777777" w:rsidR="0010523F" w:rsidRPr="0010523F" w:rsidRDefault="0010523F" w:rsidP="0010523F">
            <w:pPr>
              <w:jc w:val="center"/>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00688E21"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Millones de $</w:t>
            </w:r>
          </w:p>
        </w:tc>
        <w:tc>
          <w:tcPr>
            <w:tcW w:w="160" w:type="dxa"/>
            <w:tcBorders>
              <w:top w:val="nil"/>
              <w:left w:val="nil"/>
              <w:bottom w:val="nil"/>
              <w:right w:val="nil"/>
            </w:tcBorders>
            <w:shd w:val="clear" w:color="auto" w:fill="auto"/>
            <w:vAlign w:val="bottom"/>
            <w:hideMark/>
          </w:tcPr>
          <w:p w14:paraId="4621256F" w14:textId="77777777" w:rsidR="0010523F" w:rsidRPr="0010523F" w:rsidRDefault="0010523F" w:rsidP="0010523F">
            <w:pPr>
              <w:jc w:val="center"/>
              <w:rPr>
                <w:color w:val="000000"/>
                <w:sz w:val="18"/>
                <w:szCs w:val="18"/>
                <w:lang w:val="es-AR" w:eastAsia="es-AR"/>
              </w:rPr>
            </w:pPr>
          </w:p>
        </w:tc>
        <w:tc>
          <w:tcPr>
            <w:tcW w:w="906" w:type="dxa"/>
            <w:tcBorders>
              <w:top w:val="nil"/>
              <w:left w:val="nil"/>
              <w:bottom w:val="nil"/>
              <w:right w:val="nil"/>
            </w:tcBorders>
            <w:shd w:val="clear" w:color="auto" w:fill="auto"/>
            <w:vAlign w:val="bottom"/>
            <w:hideMark/>
          </w:tcPr>
          <w:p w14:paraId="00A5FBEE"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Miles de US$</w:t>
            </w:r>
          </w:p>
        </w:tc>
        <w:tc>
          <w:tcPr>
            <w:tcW w:w="831" w:type="dxa"/>
            <w:tcBorders>
              <w:top w:val="nil"/>
              <w:left w:val="nil"/>
              <w:bottom w:val="nil"/>
              <w:right w:val="nil"/>
            </w:tcBorders>
            <w:shd w:val="clear" w:color="auto" w:fill="auto"/>
            <w:vAlign w:val="bottom"/>
            <w:hideMark/>
          </w:tcPr>
          <w:p w14:paraId="7ABE8AD6"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Miles de euros</w:t>
            </w:r>
          </w:p>
        </w:tc>
        <w:tc>
          <w:tcPr>
            <w:tcW w:w="160" w:type="dxa"/>
            <w:tcBorders>
              <w:top w:val="nil"/>
              <w:left w:val="nil"/>
              <w:bottom w:val="nil"/>
              <w:right w:val="nil"/>
            </w:tcBorders>
            <w:shd w:val="clear" w:color="auto" w:fill="auto"/>
            <w:vAlign w:val="bottom"/>
            <w:hideMark/>
          </w:tcPr>
          <w:p w14:paraId="7AE1287A" w14:textId="77777777" w:rsidR="0010523F" w:rsidRPr="0010523F" w:rsidRDefault="0010523F" w:rsidP="0010523F">
            <w:pPr>
              <w:jc w:val="center"/>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2ADADBEA"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Millones de $</w:t>
            </w:r>
          </w:p>
        </w:tc>
      </w:tr>
      <w:tr w:rsidR="0010523F" w:rsidRPr="0010523F" w14:paraId="07E5CE2B" w14:textId="77777777" w:rsidTr="00774E7E">
        <w:trPr>
          <w:trHeight w:val="227"/>
        </w:trPr>
        <w:tc>
          <w:tcPr>
            <w:tcW w:w="3276" w:type="dxa"/>
            <w:tcBorders>
              <w:top w:val="nil"/>
              <w:left w:val="nil"/>
              <w:bottom w:val="nil"/>
              <w:right w:val="nil"/>
            </w:tcBorders>
            <w:shd w:val="clear" w:color="auto" w:fill="auto"/>
            <w:vAlign w:val="center"/>
            <w:hideMark/>
          </w:tcPr>
          <w:p w14:paraId="3360F356" w14:textId="77777777" w:rsidR="0010523F" w:rsidRPr="0010523F" w:rsidRDefault="0010523F" w:rsidP="0010523F">
            <w:pPr>
              <w:spacing w:line="200" w:lineRule="exact"/>
              <w:jc w:val="both"/>
              <w:rPr>
                <w:color w:val="000000"/>
                <w:sz w:val="18"/>
                <w:szCs w:val="18"/>
                <w:lang w:val="es-AR" w:eastAsia="es-AR"/>
              </w:rPr>
            </w:pPr>
            <w:r w:rsidRPr="0010523F">
              <w:rPr>
                <w:color w:val="000000"/>
                <w:sz w:val="18"/>
                <w:szCs w:val="18"/>
                <w:lang w:val="es-AR" w:eastAsia="es-AR"/>
              </w:rPr>
              <w:t>ACTIVO</w:t>
            </w:r>
          </w:p>
        </w:tc>
        <w:tc>
          <w:tcPr>
            <w:tcW w:w="960" w:type="dxa"/>
            <w:tcBorders>
              <w:top w:val="nil"/>
              <w:left w:val="nil"/>
              <w:bottom w:val="nil"/>
              <w:right w:val="nil"/>
            </w:tcBorders>
            <w:shd w:val="clear" w:color="auto" w:fill="auto"/>
            <w:vAlign w:val="center"/>
            <w:hideMark/>
          </w:tcPr>
          <w:p w14:paraId="296406EE" w14:textId="77777777" w:rsidR="0010523F" w:rsidRPr="0010523F" w:rsidRDefault="0010523F" w:rsidP="0010523F">
            <w:pPr>
              <w:spacing w:line="200" w:lineRule="exact"/>
              <w:jc w:val="both"/>
              <w:rPr>
                <w:color w:val="000000"/>
                <w:sz w:val="18"/>
                <w:szCs w:val="18"/>
                <w:lang w:val="es-AR" w:eastAsia="es-AR"/>
              </w:rPr>
            </w:pPr>
          </w:p>
        </w:tc>
        <w:tc>
          <w:tcPr>
            <w:tcW w:w="883" w:type="dxa"/>
            <w:tcBorders>
              <w:top w:val="nil"/>
              <w:left w:val="nil"/>
              <w:bottom w:val="nil"/>
              <w:right w:val="nil"/>
            </w:tcBorders>
            <w:shd w:val="clear" w:color="auto" w:fill="auto"/>
            <w:vAlign w:val="center"/>
            <w:hideMark/>
          </w:tcPr>
          <w:p w14:paraId="7D6AA662" w14:textId="77777777" w:rsidR="0010523F" w:rsidRPr="0010523F" w:rsidRDefault="0010523F" w:rsidP="0010523F">
            <w:pPr>
              <w:spacing w:line="200" w:lineRule="exact"/>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7F7DFA34" w14:textId="77777777" w:rsidR="0010523F" w:rsidRPr="0010523F" w:rsidRDefault="0010523F" w:rsidP="0010523F">
            <w:pPr>
              <w:spacing w:line="200" w:lineRule="exact"/>
              <w:jc w:val="center"/>
              <w:rPr>
                <w:color w:val="000000"/>
                <w:sz w:val="18"/>
                <w:szCs w:val="18"/>
                <w:lang w:val="es-AR" w:eastAsia="es-AR"/>
              </w:rPr>
            </w:pPr>
          </w:p>
        </w:tc>
        <w:tc>
          <w:tcPr>
            <w:tcW w:w="958" w:type="dxa"/>
            <w:tcBorders>
              <w:top w:val="nil"/>
              <w:left w:val="nil"/>
              <w:bottom w:val="nil"/>
              <w:right w:val="nil"/>
            </w:tcBorders>
            <w:shd w:val="clear" w:color="auto" w:fill="auto"/>
            <w:vAlign w:val="center"/>
            <w:hideMark/>
          </w:tcPr>
          <w:p w14:paraId="1EF49FCB" w14:textId="77777777" w:rsidR="0010523F" w:rsidRPr="0010523F" w:rsidRDefault="0010523F" w:rsidP="0010523F">
            <w:pPr>
              <w:spacing w:line="200" w:lineRule="exact"/>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29A2EED0" w14:textId="77777777" w:rsidR="0010523F" w:rsidRPr="0010523F" w:rsidRDefault="0010523F" w:rsidP="0010523F">
            <w:pPr>
              <w:spacing w:line="200" w:lineRule="exact"/>
              <w:jc w:val="center"/>
              <w:rPr>
                <w:color w:val="000000"/>
                <w:sz w:val="18"/>
                <w:szCs w:val="18"/>
                <w:lang w:val="es-AR" w:eastAsia="es-AR"/>
              </w:rPr>
            </w:pPr>
          </w:p>
        </w:tc>
        <w:tc>
          <w:tcPr>
            <w:tcW w:w="1100" w:type="dxa"/>
            <w:tcBorders>
              <w:top w:val="nil"/>
              <w:left w:val="nil"/>
              <w:bottom w:val="nil"/>
              <w:right w:val="nil"/>
            </w:tcBorders>
            <w:shd w:val="clear" w:color="auto" w:fill="auto"/>
            <w:vAlign w:val="center"/>
            <w:hideMark/>
          </w:tcPr>
          <w:p w14:paraId="6AB060A6" w14:textId="77777777" w:rsidR="0010523F" w:rsidRPr="0010523F" w:rsidRDefault="0010523F" w:rsidP="0010523F">
            <w:pPr>
              <w:spacing w:line="200" w:lineRule="exac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0B78BE43" w14:textId="77777777" w:rsidR="0010523F" w:rsidRPr="0010523F" w:rsidRDefault="0010523F" w:rsidP="0010523F">
            <w:pPr>
              <w:spacing w:line="200" w:lineRule="exact"/>
              <w:rPr>
                <w:color w:val="000000"/>
                <w:sz w:val="18"/>
                <w:szCs w:val="18"/>
                <w:lang w:val="es-AR" w:eastAsia="es-AR"/>
              </w:rPr>
            </w:pPr>
          </w:p>
        </w:tc>
        <w:tc>
          <w:tcPr>
            <w:tcW w:w="906" w:type="dxa"/>
            <w:tcBorders>
              <w:top w:val="nil"/>
              <w:left w:val="nil"/>
              <w:bottom w:val="nil"/>
              <w:right w:val="nil"/>
            </w:tcBorders>
            <w:shd w:val="clear" w:color="auto" w:fill="auto"/>
            <w:vAlign w:val="center"/>
            <w:hideMark/>
          </w:tcPr>
          <w:p w14:paraId="3227D0C8" w14:textId="77777777" w:rsidR="0010523F" w:rsidRPr="0010523F" w:rsidRDefault="0010523F" w:rsidP="0010523F">
            <w:pPr>
              <w:spacing w:line="200" w:lineRule="exact"/>
              <w:jc w:val="both"/>
              <w:rPr>
                <w:color w:val="000000"/>
                <w:sz w:val="18"/>
                <w:szCs w:val="18"/>
                <w:lang w:val="es-AR" w:eastAsia="es-AR"/>
              </w:rPr>
            </w:pPr>
          </w:p>
        </w:tc>
        <w:tc>
          <w:tcPr>
            <w:tcW w:w="831" w:type="dxa"/>
            <w:tcBorders>
              <w:top w:val="nil"/>
              <w:left w:val="nil"/>
              <w:bottom w:val="nil"/>
              <w:right w:val="nil"/>
            </w:tcBorders>
            <w:shd w:val="clear" w:color="auto" w:fill="auto"/>
            <w:vAlign w:val="center"/>
            <w:hideMark/>
          </w:tcPr>
          <w:p w14:paraId="3C81443A" w14:textId="77777777" w:rsidR="0010523F" w:rsidRPr="0010523F" w:rsidRDefault="0010523F" w:rsidP="0010523F">
            <w:pPr>
              <w:spacing w:line="20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4623280E" w14:textId="77777777" w:rsidR="0010523F" w:rsidRPr="0010523F" w:rsidRDefault="0010523F" w:rsidP="0010523F">
            <w:pPr>
              <w:spacing w:line="200" w:lineRule="exact"/>
              <w:jc w:val="both"/>
              <w:rPr>
                <w:color w:val="000000"/>
                <w:sz w:val="18"/>
                <w:szCs w:val="18"/>
                <w:lang w:val="es-AR" w:eastAsia="es-AR"/>
              </w:rPr>
            </w:pPr>
          </w:p>
        </w:tc>
        <w:tc>
          <w:tcPr>
            <w:tcW w:w="977" w:type="dxa"/>
            <w:tcBorders>
              <w:top w:val="nil"/>
              <w:left w:val="nil"/>
              <w:bottom w:val="nil"/>
              <w:right w:val="nil"/>
            </w:tcBorders>
            <w:shd w:val="clear" w:color="auto" w:fill="auto"/>
            <w:vAlign w:val="center"/>
            <w:hideMark/>
          </w:tcPr>
          <w:p w14:paraId="4DC489C3" w14:textId="77777777" w:rsidR="0010523F" w:rsidRPr="0010523F" w:rsidRDefault="0010523F" w:rsidP="0010523F">
            <w:pPr>
              <w:spacing w:line="200" w:lineRule="exact"/>
              <w:jc w:val="both"/>
              <w:rPr>
                <w:color w:val="000000"/>
                <w:sz w:val="18"/>
                <w:szCs w:val="18"/>
                <w:lang w:val="es-AR" w:eastAsia="es-AR"/>
              </w:rPr>
            </w:pPr>
          </w:p>
        </w:tc>
      </w:tr>
      <w:tr w:rsidR="0010523F" w:rsidRPr="0010523F" w14:paraId="7E56701C" w14:textId="77777777" w:rsidTr="00774E7E">
        <w:trPr>
          <w:trHeight w:val="227"/>
        </w:trPr>
        <w:tc>
          <w:tcPr>
            <w:tcW w:w="3276" w:type="dxa"/>
            <w:tcBorders>
              <w:top w:val="nil"/>
              <w:left w:val="nil"/>
              <w:bottom w:val="nil"/>
              <w:right w:val="nil"/>
            </w:tcBorders>
            <w:shd w:val="clear" w:color="auto" w:fill="auto"/>
            <w:vAlign w:val="center"/>
            <w:hideMark/>
          </w:tcPr>
          <w:p w14:paraId="1622F04F" w14:textId="77777777" w:rsidR="0010523F" w:rsidRPr="0010523F" w:rsidRDefault="0010523F" w:rsidP="0010523F">
            <w:pPr>
              <w:spacing w:line="200" w:lineRule="exact"/>
              <w:jc w:val="both"/>
              <w:rPr>
                <w:color w:val="000000"/>
                <w:sz w:val="18"/>
                <w:szCs w:val="18"/>
                <w:lang w:val="es-AR" w:eastAsia="es-AR"/>
              </w:rPr>
            </w:pPr>
            <w:r w:rsidRPr="0010523F">
              <w:rPr>
                <w:color w:val="000000"/>
                <w:sz w:val="18"/>
                <w:szCs w:val="18"/>
                <w:lang w:val="es-AR" w:eastAsia="es-AR"/>
              </w:rPr>
              <w:t>ACTIVO CORRIENTE</w:t>
            </w:r>
          </w:p>
        </w:tc>
        <w:tc>
          <w:tcPr>
            <w:tcW w:w="960" w:type="dxa"/>
            <w:tcBorders>
              <w:top w:val="nil"/>
              <w:left w:val="nil"/>
              <w:bottom w:val="nil"/>
              <w:right w:val="nil"/>
            </w:tcBorders>
            <w:shd w:val="clear" w:color="auto" w:fill="auto"/>
            <w:vAlign w:val="center"/>
            <w:hideMark/>
          </w:tcPr>
          <w:p w14:paraId="5569D260" w14:textId="77777777" w:rsidR="0010523F" w:rsidRPr="0010523F" w:rsidRDefault="0010523F" w:rsidP="0010523F">
            <w:pPr>
              <w:spacing w:line="200" w:lineRule="exact"/>
              <w:jc w:val="both"/>
              <w:rPr>
                <w:color w:val="000000"/>
                <w:sz w:val="18"/>
                <w:szCs w:val="18"/>
                <w:lang w:val="es-AR" w:eastAsia="es-AR"/>
              </w:rPr>
            </w:pPr>
          </w:p>
        </w:tc>
        <w:tc>
          <w:tcPr>
            <w:tcW w:w="883" w:type="dxa"/>
            <w:tcBorders>
              <w:top w:val="nil"/>
              <w:left w:val="nil"/>
              <w:bottom w:val="nil"/>
              <w:right w:val="nil"/>
            </w:tcBorders>
            <w:shd w:val="clear" w:color="auto" w:fill="auto"/>
            <w:vAlign w:val="center"/>
            <w:hideMark/>
          </w:tcPr>
          <w:p w14:paraId="57B8983F" w14:textId="77777777" w:rsidR="0010523F" w:rsidRPr="0010523F" w:rsidRDefault="0010523F" w:rsidP="0010523F">
            <w:pPr>
              <w:spacing w:line="200" w:lineRule="exact"/>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5FB58DE3" w14:textId="77777777" w:rsidR="0010523F" w:rsidRPr="0010523F" w:rsidRDefault="0010523F" w:rsidP="0010523F">
            <w:pPr>
              <w:spacing w:line="200" w:lineRule="exact"/>
              <w:jc w:val="center"/>
              <w:rPr>
                <w:color w:val="000000"/>
                <w:sz w:val="18"/>
                <w:szCs w:val="18"/>
                <w:lang w:val="es-AR" w:eastAsia="es-AR"/>
              </w:rPr>
            </w:pPr>
          </w:p>
        </w:tc>
        <w:tc>
          <w:tcPr>
            <w:tcW w:w="958" w:type="dxa"/>
            <w:tcBorders>
              <w:top w:val="nil"/>
              <w:left w:val="nil"/>
              <w:bottom w:val="nil"/>
              <w:right w:val="nil"/>
            </w:tcBorders>
            <w:shd w:val="clear" w:color="auto" w:fill="auto"/>
            <w:vAlign w:val="center"/>
            <w:hideMark/>
          </w:tcPr>
          <w:p w14:paraId="531137F9" w14:textId="77777777" w:rsidR="0010523F" w:rsidRPr="0010523F" w:rsidRDefault="0010523F" w:rsidP="0010523F">
            <w:pPr>
              <w:spacing w:line="200" w:lineRule="exact"/>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569D249F" w14:textId="77777777" w:rsidR="0010523F" w:rsidRPr="0010523F" w:rsidRDefault="0010523F" w:rsidP="0010523F">
            <w:pPr>
              <w:spacing w:line="200" w:lineRule="exact"/>
              <w:jc w:val="center"/>
              <w:rPr>
                <w:color w:val="000000"/>
                <w:sz w:val="18"/>
                <w:szCs w:val="18"/>
                <w:lang w:val="es-AR" w:eastAsia="es-AR"/>
              </w:rPr>
            </w:pPr>
          </w:p>
        </w:tc>
        <w:tc>
          <w:tcPr>
            <w:tcW w:w="1100" w:type="dxa"/>
            <w:tcBorders>
              <w:top w:val="nil"/>
              <w:left w:val="nil"/>
              <w:bottom w:val="nil"/>
              <w:right w:val="nil"/>
            </w:tcBorders>
            <w:shd w:val="clear" w:color="auto" w:fill="auto"/>
            <w:vAlign w:val="center"/>
            <w:hideMark/>
          </w:tcPr>
          <w:p w14:paraId="6592C771" w14:textId="77777777" w:rsidR="0010523F" w:rsidRPr="0010523F" w:rsidRDefault="0010523F" w:rsidP="0010523F">
            <w:pPr>
              <w:spacing w:line="200" w:lineRule="exac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4AFA3888" w14:textId="77777777" w:rsidR="0010523F" w:rsidRPr="0010523F" w:rsidRDefault="0010523F" w:rsidP="0010523F">
            <w:pPr>
              <w:spacing w:line="200" w:lineRule="exact"/>
              <w:rPr>
                <w:color w:val="000000"/>
                <w:sz w:val="18"/>
                <w:szCs w:val="18"/>
                <w:lang w:val="es-AR" w:eastAsia="es-AR"/>
              </w:rPr>
            </w:pPr>
          </w:p>
        </w:tc>
        <w:tc>
          <w:tcPr>
            <w:tcW w:w="906" w:type="dxa"/>
            <w:tcBorders>
              <w:top w:val="nil"/>
              <w:left w:val="nil"/>
              <w:bottom w:val="nil"/>
              <w:right w:val="nil"/>
            </w:tcBorders>
            <w:shd w:val="clear" w:color="auto" w:fill="auto"/>
            <w:vAlign w:val="center"/>
            <w:hideMark/>
          </w:tcPr>
          <w:p w14:paraId="7C578442" w14:textId="77777777" w:rsidR="0010523F" w:rsidRPr="0010523F" w:rsidRDefault="0010523F" w:rsidP="0010523F">
            <w:pPr>
              <w:spacing w:line="200" w:lineRule="exact"/>
              <w:jc w:val="both"/>
              <w:rPr>
                <w:color w:val="000000"/>
                <w:sz w:val="18"/>
                <w:szCs w:val="18"/>
                <w:lang w:val="es-AR" w:eastAsia="es-AR"/>
              </w:rPr>
            </w:pPr>
          </w:p>
        </w:tc>
        <w:tc>
          <w:tcPr>
            <w:tcW w:w="831" w:type="dxa"/>
            <w:tcBorders>
              <w:top w:val="nil"/>
              <w:left w:val="nil"/>
              <w:bottom w:val="nil"/>
              <w:right w:val="nil"/>
            </w:tcBorders>
            <w:shd w:val="clear" w:color="auto" w:fill="auto"/>
            <w:vAlign w:val="center"/>
            <w:hideMark/>
          </w:tcPr>
          <w:p w14:paraId="4479C36C" w14:textId="77777777" w:rsidR="0010523F" w:rsidRPr="0010523F" w:rsidRDefault="0010523F" w:rsidP="0010523F">
            <w:pPr>
              <w:spacing w:line="20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0E4AF25C" w14:textId="77777777" w:rsidR="0010523F" w:rsidRPr="0010523F" w:rsidRDefault="0010523F" w:rsidP="0010523F">
            <w:pPr>
              <w:spacing w:line="200" w:lineRule="exact"/>
              <w:jc w:val="both"/>
              <w:rPr>
                <w:color w:val="000000"/>
                <w:sz w:val="18"/>
                <w:szCs w:val="18"/>
                <w:lang w:val="es-AR" w:eastAsia="es-AR"/>
              </w:rPr>
            </w:pPr>
          </w:p>
        </w:tc>
        <w:tc>
          <w:tcPr>
            <w:tcW w:w="977" w:type="dxa"/>
            <w:tcBorders>
              <w:top w:val="nil"/>
              <w:left w:val="nil"/>
              <w:bottom w:val="nil"/>
              <w:right w:val="nil"/>
            </w:tcBorders>
            <w:shd w:val="clear" w:color="auto" w:fill="auto"/>
            <w:vAlign w:val="center"/>
            <w:hideMark/>
          </w:tcPr>
          <w:p w14:paraId="6C406B04" w14:textId="77777777" w:rsidR="0010523F" w:rsidRPr="0010523F" w:rsidRDefault="0010523F" w:rsidP="0010523F">
            <w:pPr>
              <w:spacing w:line="200" w:lineRule="exact"/>
              <w:jc w:val="both"/>
              <w:rPr>
                <w:color w:val="000000"/>
                <w:sz w:val="18"/>
                <w:szCs w:val="18"/>
                <w:lang w:val="es-AR" w:eastAsia="es-AR"/>
              </w:rPr>
            </w:pPr>
          </w:p>
        </w:tc>
      </w:tr>
      <w:tr w:rsidR="0010523F" w:rsidRPr="0010523F" w14:paraId="29AE9F66" w14:textId="77777777" w:rsidTr="00774E7E">
        <w:trPr>
          <w:trHeight w:val="170"/>
        </w:trPr>
        <w:tc>
          <w:tcPr>
            <w:tcW w:w="3276" w:type="dxa"/>
            <w:tcBorders>
              <w:top w:val="nil"/>
              <w:left w:val="nil"/>
              <w:bottom w:val="nil"/>
              <w:right w:val="nil"/>
            </w:tcBorders>
            <w:shd w:val="clear" w:color="auto" w:fill="auto"/>
            <w:vAlign w:val="center"/>
            <w:hideMark/>
          </w:tcPr>
          <w:p w14:paraId="5517E585" w14:textId="77777777" w:rsidR="0010523F" w:rsidRPr="0010523F" w:rsidRDefault="0010523F" w:rsidP="0010523F">
            <w:pPr>
              <w:spacing w:line="200" w:lineRule="exact"/>
              <w:jc w:val="both"/>
              <w:rPr>
                <w:color w:val="000000"/>
                <w:sz w:val="18"/>
                <w:szCs w:val="18"/>
                <w:lang w:val="es-AR" w:eastAsia="es-AR"/>
              </w:rPr>
            </w:pPr>
            <w:r w:rsidRPr="0010523F">
              <w:rPr>
                <w:color w:val="000000"/>
                <w:sz w:val="18"/>
                <w:szCs w:val="18"/>
                <w:lang w:val="es-AR" w:eastAsia="es-AR"/>
              </w:rPr>
              <w:t>Efectivo y equivalentes de efectivo</w:t>
            </w:r>
          </w:p>
        </w:tc>
        <w:tc>
          <w:tcPr>
            <w:tcW w:w="960" w:type="dxa"/>
            <w:tcBorders>
              <w:top w:val="nil"/>
              <w:left w:val="nil"/>
              <w:bottom w:val="nil"/>
              <w:right w:val="nil"/>
            </w:tcBorders>
            <w:shd w:val="clear" w:color="auto" w:fill="auto"/>
            <w:vAlign w:val="center"/>
            <w:hideMark/>
          </w:tcPr>
          <w:p w14:paraId="10CD0931" w14:textId="77777777" w:rsidR="0010523F" w:rsidRPr="0010523F" w:rsidRDefault="0010523F" w:rsidP="0010523F">
            <w:pPr>
              <w:spacing w:line="200" w:lineRule="exact"/>
              <w:jc w:val="both"/>
              <w:rPr>
                <w:color w:val="000000"/>
                <w:sz w:val="18"/>
                <w:szCs w:val="18"/>
                <w:lang w:val="es-AR" w:eastAsia="es-AR"/>
              </w:rPr>
            </w:pPr>
          </w:p>
        </w:tc>
        <w:tc>
          <w:tcPr>
            <w:tcW w:w="883" w:type="dxa"/>
            <w:tcBorders>
              <w:top w:val="nil"/>
              <w:left w:val="nil"/>
              <w:bottom w:val="nil"/>
              <w:right w:val="nil"/>
            </w:tcBorders>
            <w:shd w:val="clear" w:color="auto" w:fill="auto"/>
            <w:vAlign w:val="center"/>
            <w:hideMark/>
          </w:tcPr>
          <w:p w14:paraId="24E66988" w14:textId="77777777" w:rsidR="0010523F" w:rsidRPr="0010523F" w:rsidRDefault="0010523F" w:rsidP="0010523F">
            <w:pPr>
              <w:spacing w:line="200" w:lineRule="exact"/>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366B39E2" w14:textId="77777777" w:rsidR="0010523F" w:rsidRPr="0010523F" w:rsidRDefault="0010523F" w:rsidP="0010523F">
            <w:pPr>
              <w:spacing w:line="200" w:lineRule="exact"/>
              <w:jc w:val="center"/>
              <w:rPr>
                <w:color w:val="000000"/>
                <w:sz w:val="18"/>
                <w:szCs w:val="18"/>
                <w:lang w:val="es-AR" w:eastAsia="es-AR"/>
              </w:rPr>
            </w:pPr>
          </w:p>
        </w:tc>
        <w:tc>
          <w:tcPr>
            <w:tcW w:w="958" w:type="dxa"/>
            <w:tcBorders>
              <w:top w:val="nil"/>
              <w:left w:val="nil"/>
              <w:bottom w:val="nil"/>
              <w:right w:val="nil"/>
            </w:tcBorders>
            <w:shd w:val="clear" w:color="auto" w:fill="auto"/>
            <w:vAlign w:val="center"/>
            <w:hideMark/>
          </w:tcPr>
          <w:p w14:paraId="4A9864C6" w14:textId="77777777" w:rsidR="0010523F" w:rsidRPr="0010523F" w:rsidRDefault="0010523F" w:rsidP="0010523F">
            <w:pPr>
              <w:spacing w:line="200" w:lineRule="exact"/>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535ED951" w14:textId="77777777" w:rsidR="0010523F" w:rsidRPr="0010523F" w:rsidRDefault="0010523F" w:rsidP="0010523F">
            <w:pPr>
              <w:spacing w:line="200" w:lineRule="exact"/>
              <w:jc w:val="center"/>
              <w:rPr>
                <w:color w:val="000000"/>
                <w:sz w:val="18"/>
                <w:szCs w:val="18"/>
                <w:lang w:val="es-AR" w:eastAsia="es-AR"/>
              </w:rPr>
            </w:pPr>
          </w:p>
        </w:tc>
        <w:tc>
          <w:tcPr>
            <w:tcW w:w="1100" w:type="dxa"/>
            <w:tcBorders>
              <w:top w:val="nil"/>
              <w:left w:val="nil"/>
              <w:bottom w:val="nil"/>
              <w:right w:val="nil"/>
            </w:tcBorders>
            <w:shd w:val="clear" w:color="auto" w:fill="auto"/>
            <w:vAlign w:val="center"/>
            <w:hideMark/>
          </w:tcPr>
          <w:p w14:paraId="78C3ED03" w14:textId="77777777" w:rsidR="0010523F" w:rsidRPr="0010523F" w:rsidRDefault="0010523F" w:rsidP="0010523F">
            <w:pPr>
              <w:spacing w:line="200" w:lineRule="exac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0F687E35" w14:textId="77777777" w:rsidR="0010523F" w:rsidRPr="0010523F" w:rsidRDefault="0010523F" w:rsidP="0010523F">
            <w:pPr>
              <w:spacing w:line="200" w:lineRule="exact"/>
              <w:rPr>
                <w:color w:val="000000"/>
                <w:sz w:val="18"/>
                <w:szCs w:val="18"/>
                <w:lang w:val="es-AR" w:eastAsia="es-AR"/>
              </w:rPr>
            </w:pPr>
          </w:p>
        </w:tc>
        <w:tc>
          <w:tcPr>
            <w:tcW w:w="906" w:type="dxa"/>
            <w:tcBorders>
              <w:top w:val="nil"/>
              <w:left w:val="nil"/>
              <w:bottom w:val="nil"/>
              <w:right w:val="nil"/>
            </w:tcBorders>
            <w:shd w:val="clear" w:color="auto" w:fill="auto"/>
            <w:vAlign w:val="center"/>
            <w:hideMark/>
          </w:tcPr>
          <w:p w14:paraId="36BE834F" w14:textId="77777777" w:rsidR="0010523F" w:rsidRPr="0010523F" w:rsidRDefault="0010523F" w:rsidP="0010523F">
            <w:pPr>
              <w:spacing w:line="200" w:lineRule="exact"/>
              <w:jc w:val="both"/>
              <w:rPr>
                <w:color w:val="000000"/>
                <w:sz w:val="18"/>
                <w:szCs w:val="18"/>
                <w:lang w:val="es-AR" w:eastAsia="es-AR"/>
              </w:rPr>
            </w:pPr>
          </w:p>
        </w:tc>
        <w:tc>
          <w:tcPr>
            <w:tcW w:w="831" w:type="dxa"/>
            <w:tcBorders>
              <w:top w:val="nil"/>
              <w:left w:val="nil"/>
              <w:bottom w:val="nil"/>
              <w:right w:val="nil"/>
            </w:tcBorders>
            <w:shd w:val="clear" w:color="auto" w:fill="auto"/>
            <w:vAlign w:val="center"/>
            <w:hideMark/>
          </w:tcPr>
          <w:p w14:paraId="45C02F30" w14:textId="77777777" w:rsidR="0010523F" w:rsidRPr="0010523F" w:rsidRDefault="0010523F" w:rsidP="0010523F">
            <w:pPr>
              <w:spacing w:line="20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78DF14D5" w14:textId="77777777" w:rsidR="0010523F" w:rsidRPr="0010523F" w:rsidRDefault="0010523F" w:rsidP="0010523F">
            <w:pPr>
              <w:spacing w:line="200" w:lineRule="exact"/>
              <w:jc w:val="both"/>
              <w:rPr>
                <w:color w:val="000000"/>
                <w:sz w:val="18"/>
                <w:szCs w:val="18"/>
                <w:lang w:val="es-AR" w:eastAsia="es-AR"/>
              </w:rPr>
            </w:pPr>
          </w:p>
        </w:tc>
        <w:tc>
          <w:tcPr>
            <w:tcW w:w="977" w:type="dxa"/>
            <w:tcBorders>
              <w:top w:val="nil"/>
              <w:left w:val="nil"/>
              <w:bottom w:val="nil"/>
              <w:right w:val="nil"/>
            </w:tcBorders>
            <w:shd w:val="clear" w:color="auto" w:fill="auto"/>
            <w:vAlign w:val="center"/>
            <w:hideMark/>
          </w:tcPr>
          <w:p w14:paraId="212F2BC3" w14:textId="77777777" w:rsidR="0010523F" w:rsidRPr="0010523F" w:rsidRDefault="0010523F" w:rsidP="0010523F">
            <w:pPr>
              <w:spacing w:line="200" w:lineRule="exact"/>
              <w:jc w:val="both"/>
              <w:rPr>
                <w:color w:val="000000"/>
                <w:sz w:val="18"/>
                <w:szCs w:val="18"/>
                <w:lang w:val="es-AR" w:eastAsia="es-AR"/>
              </w:rPr>
            </w:pPr>
          </w:p>
        </w:tc>
      </w:tr>
      <w:tr w:rsidR="0010523F" w:rsidRPr="0010523F" w14:paraId="61E36725" w14:textId="77777777" w:rsidTr="00774E7E">
        <w:trPr>
          <w:trHeight w:val="170"/>
        </w:trPr>
        <w:tc>
          <w:tcPr>
            <w:tcW w:w="3276" w:type="dxa"/>
            <w:tcBorders>
              <w:top w:val="nil"/>
              <w:left w:val="nil"/>
              <w:bottom w:val="nil"/>
              <w:right w:val="nil"/>
            </w:tcBorders>
            <w:shd w:val="clear" w:color="auto" w:fill="auto"/>
            <w:vAlign w:val="center"/>
            <w:hideMark/>
          </w:tcPr>
          <w:p w14:paraId="2B25D171" w14:textId="77777777" w:rsidR="0010523F" w:rsidRPr="0010523F" w:rsidRDefault="0010523F" w:rsidP="0010523F">
            <w:pPr>
              <w:spacing w:line="200" w:lineRule="exact"/>
              <w:jc w:val="both"/>
              <w:rPr>
                <w:color w:val="000000"/>
                <w:sz w:val="18"/>
                <w:szCs w:val="18"/>
                <w:lang w:val="es-AR" w:eastAsia="es-AR"/>
              </w:rPr>
            </w:pPr>
            <w:r w:rsidRPr="0010523F">
              <w:rPr>
                <w:color w:val="000000"/>
                <w:sz w:val="18"/>
                <w:szCs w:val="18"/>
                <w:lang w:val="es-AR" w:eastAsia="es-AR"/>
              </w:rPr>
              <w:t>Caja y bancos</w:t>
            </w:r>
          </w:p>
        </w:tc>
        <w:tc>
          <w:tcPr>
            <w:tcW w:w="960" w:type="dxa"/>
            <w:tcBorders>
              <w:top w:val="nil"/>
              <w:left w:val="nil"/>
              <w:bottom w:val="nil"/>
              <w:right w:val="nil"/>
            </w:tcBorders>
            <w:shd w:val="clear" w:color="auto" w:fill="auto"/>
            <w:vAlign w:val="center"/>
            <w:hideMark/>
          </w:tcPr>
          <w:p w14:paraId="64E0972B" w14:textId="77777777" w:rsidR="0010523F" w:rsidRPr="0010523F" w:rsidRDefault="0010523F" w:rsidP="0010523F">
            <w:pPr>
              <w:spacing w:line="200" w:lineRule="exact"/>
              <w:jc w:val="right"/>
              <w:rPr>
                <w:color w:val="000000"/>
                <w:sz w:val="18"/>
                <w:szCs w:val="18"/>
                <w:highlight w:val="yellow"/>
                <w:lang w:val="es-AR" w:eastAsia="es-AR"/>
              </w:rPr>
            </w:pPr>
          </w:p>
        </w:tc>
        <w:tc>
          <w:tcPr>
            <w:tcW w:w="883" w:type="dxa"/>
            <w:tcBorders>
              <w:top w:val="nil"/>
              <w:left w:val="nil"/>
              <w:bottom w:val="nil"/>
              <w:right w:val="nil"/>
            </w:tcBorders>
            <w:shd w:val="clear" w:color="auto" w:fill="auto"/>
            <w:vAlign w:val="center"/>
            <w:hideMark/>
          </w:tcPr>
          <w:p w14:paraId="17143287" w14:textId="77777777" w:rsidR="0010523F" w:rsidRPr="0010523F" w:rsidRDefault="0010523F" w:rsidP="0010523F">
            <w:pPr>
              <w:spacing w:line="200" w:lineRule="exact"/>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center"/>
            <w:hideMark/>
          </w:tcPr>
          <w:p w14:paraId="7CE319B7" w14:textId="77777777" w:rsidR="0010523F" w:rsidRPr="0010523F" w:rsidRDefault="0010523F" w:rsidP="0010523F">
            <w:pPr>
              <w:spacing w:line="200" w:lineRule="exact"/>
              <w:jc w:val="right"/>
              <w:rPr>
                <w:color w:val="000000"/>
                <w:sz w:val="18"/>
                <w:szCs w:val="18"/>
                <w:highlight w:val="yellow"/>
                <w:lang w:val="es-AR" w:eastAsia="es-AR"/>
              </w:rPr>
            </w:pPr>
          </w:p>
        </w:tc>
        <w:tc>
          <w:tcPr>
            <w:tcW w:w="958" w:type="dxa"/>
            <w:tcBorders>
              <w:top w:val="nil"/>
              <w:left w:val="nil"/>
              <w:bottom w:val="nil"/>
              <w:right w:val="nil"/>
            </w:tcBorders>
            <w:shd w:val="clear" w:color="auto" w:fill="auto"/>
            <w:vAlign w:val="center"/>
            <w:hideMark/>
          </w:tcPr>
          <w:p w14:paraId="2F5E75EC" w14:textId="77777777" w:rsidR="0010523F" w:rsidRPr="0010523F" w:rsidRDefault="0010523F" w:rsidP="0010523F">
            <w:pPr>
              <w:spacing w:line="200" w:lineRule="exact"/>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center"/>
            <w:hideMark/>
          </w:tcPr>
          <w:p w14:paraId="55DE9CB3" w14:textId="77777777" w:rsidR="0010523F" w:rsidRPr="0010523F" w:rsidRDefault="0010523F" w:rsidP="0010523F">
            <w:pPr>
              <w:spacing w:line="200" w:lineRule="exact"/>
              <w:jc w:val="right"/>
              <w:rPr>
                <w:color w:val="000000"/>
                <w:sz w:val="18"/>
                <w:szCs w:val="18"/>
                <w:highlight w:val="yellow"/>
                <w:lang w:val="es-AR" w:eastAsia="es-AR"/>
              </w:rPr>
            </w:pPr>
          </w:p>
        </w:tc>
        <w:tc>
          <w:tcPr>
            <w:tcW w:w="1100" w:type="dxa"/>
            <w:tcBorders>
              <w:top w:val="nil"/>
              <w:left w:val="nil"/>
              <w:bottom w:val="nil"/>
              <w:right w:val="nil"/>
            </w:tcBorders>
            <w:shd w:val="clear" w:color="auto" w:fill="auto"/>
            <w:vAlign w:val="center"/>
            <w:hideMark/>
          </w:tcPr>
          <w:p w14:paraId="582E612F" w14:textId="77777777" w:rsidR="0010523F" w:rsidRPr="0010523F" w:rsidRDefault="0010523F" w:rsidP="0010523F">
            <w:pPr>
              <w:spacing w:line="200" w:lineRule="exac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06531FF8" w14:textId="77777777" w:rsidR="0010523F" w:rsidRPr="0010523F" w:rsidRDefault="0010523F" w:rsidP="0010523F">
            <w:pPr>
              <w:spacing w:line="200" w:lineRule="exact"/>
              <w:rPr>
                <w:color w:val="000000"/>
                <w:sz w:val="18"/>
                <w:szCs w:val="18"/>
                <w:highlight w:val="yellow"/>
                <w:lang w:val="es-AR" w:eastAsia="es-AR"/>
              </w:rPr>
            </w:pPr>
          </w:p>
        </w:tc>
        <w:tc>
          <w:tcPr>
            <w:tcW w:w="906" w:type="dxa"/>
            <w:tcBorders>
              <w:top w:val="nil"/>
              <w:left w:val="nil"/>
              <w:bottom w:val="nil"/>
              <w:right w:val="nil"/>
            </w:tcBorders>
            <w:shd w:val="clear" w:color="auto" w:fill="auto"/>
            <w:vAlign w:val="center"/>
            <w:hideMark/>
          </w:tcPr>
          <w:p w14:paraId="3DFE230B" w14:textId="77777777" w:rsidR="0010523F" w:rsidRPr="0010523F" w:rsidRDefault="0010523F" w:rsidP="0010523F">
            <w:pPr>
              <w:spacing w:line="200" w:lineRule="exact"/>
              <w:jc w:val="right"/>
              <w:rPr>
                <w:color w:val="000000"/>
                <w:sz w:val="18"/>
                <w:szCs w:val="18"/>
                <w:highlight w:val="yellow"/>
                <w:lang w:val="es-AR" w:eastAsia="es-AR"/>
              </w:rPr>
            </w:pPr>
          </w:p>
        </w:tc>
        <w:tc>
          <w:tcPr>
            <w:tcW w:w="831" w:type="dxa"/>
            <w:tcBorders>
              <w:top w:val="nil"/>
              <w:left w:val="nil"/>
              <w:bottom w:val="nil"/>
              <w:right w:val="nil"/>
            </w:tcBorders>
            <w:shd w:val="clear" w:color="auto" w:fill="auto"/>
            <w:vAlign w:val="center"/>
            <w:hideMark/>
          </w:tcPr>
          <w:p w14:paraId="59932E71" w14:textId="77777777" w:rsidR="0010523F" w:rsidRPr="0010523F" w:rsidRDefault="0010523F" w:rsidP="0010523F">
            <w:pPr>
              <w:spacing w:line="200" w:lineRule="exact"/>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center"/>
            <w:hideMark/>
          </w:tcPr>
          <w:p w14:paraId="7E698FE5" w14:textId="77777777" w:rsidR="0010523F" w:rsidRPr="0010523F" w:rsidRDefault="0010523F" w:rsidP="0010523F">
            <w:pPr>
              <w:spacing w:line="200" w:lineRule="exact"/>
              <w:jc w:val="right"/>
              <w:rPr>
                <w:color w:val="000000"/>
                <w:sz w:val="18"/>
                <w:szCs w:val="18"/>
                <w:highlight w:val="yellow"/>
                <w:lang w:val="es-AR" w:eastAsia="es-AR"/>
              </w:rPr>
            </w:pPr>
          </w:p>
        </w:tc>
        <w:tc>
          <w:tcPr>
            <w:tcW w:w="977" w:type="dxa"/>
            <w:tcBorders>
              <w:top w:val="nil"/>
              <w:left w:val="nil"/>
              <w:bottom w:val="nil"/>
              <w:right w:val="nil"/>
            </w:tcBorders>
            <w:shd w:val="clear" w:color="auto" w:fill="auto"/>
            <w:vAlign w:val="center"/>
            <w:hideMark/>
          </w:tcPr>
          <w:p w14:paraId="32C24525" w14:textId="77777777" w:rsidR="0010523F" w:rsidRPr="0010523F" w:rsidRDefault="0010523F" w:rsidP="0010523F">
            <w:pPr>
              <w:spacing w:line="200" w:lineRule="exact"/>
              <w:jc w:val="right"/>
              <w:rPr>
                <w:color w:val="000000"/>
                <w:sz w:val="18"/>
                <w:szCs w:val="18"/>
                <w:highlight w:val="yellow"/>
                <w:lang w:val="es-AR" w:eastAsia="es-AR"/>
              </w:rPr>
            </w:pPr>
          </w:p>
        </w:tc>
      </w:tr>
      <w:tr w:rsidR="0010523F" w:rsidRPr="0010523F" w14:paraId="4316483C" w14:textId="77777777" w:rsidTr="00774E7E">
        <w:trPr>
          <w:trHeight w:val="170"/>
        </w:trPr>
        <w:tc>
          <w:tcPr>
            <w:tcW w:w="3276" w:type="dxa"/>
            <w:tcBorders>
              <w:top w:val="nil"/>
              <w:left w:val="nil"/>
              <w:bottom w:val="nil"/>
              <w:right w:val="nil"/>
            </w:tcBorders>
            <w:shd w:val="clear" w:color="auto" w:fill="auto"/>
            <w:vAlign w:val="center"/>
            <w:hideMark/>
          </w:tcPr>
          <w:p w14:paraId="6BF8D3F3" w14:textId="77777777" w:rsidR="0010523F" w:rsidRPr="0010523F" w:rsidRDefault="0010523F" w:rsidP="0010523F">
            <w:pPr>
              <w:spacing w:line="200" w:lineRule="exact"/>
              <w:ind w:left="229"/>
              <w:jc w:val="both"/>
              <w:rPr>
                <w:color w:val="000000"/>
                <w:sz w:val="18"/>
                <w:szCs w:val="18"/>
                <w:lang w:val="es-AR" w:eastAsia="es-AR"/>
              </w:rPr>
            </w:pPr>
            <w:r w:rsidRPr="0010523F">
              <w:rPr>
                <w:color w:val="000000"/>
                <w:sz w:val="18"/>
                <w:szCs w:val="18"/>
                <w:lang w:val="es-AR" w:eastAsia="es-AR"/>
              </w:rPr>
              <w:t>Caja</w:t>
            </w:r>
          </w:p>
        </w:tc>
        <w:tc>
          <w:tcPr>
            <w:tcW w:w="960" w:type="dxa"/>
            <w:tcBorders>
              <w:top w:val="nil"/>
              <w:left w:val="nil"/>
              <w:bottom w:val="nil"/>
              <w:right w:val="nil"/>
            </w:tcBorders>
            <w:shd w:val="clear" w:color="auto" w:fill="auto"/>
            <w:vAlign w:val="bottom"/>
            <w:hideMark/>
          </w:tcPr>
          <w:p w14:paraId="43E8057E"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9.362</w:t>
            </w:r>
          </w:p>
        </w:tc>
        <w:tc>
          <w:tcPr>
            <w:tcW w:w="883" w:type="dxa"/>
            <w:tcBorders>
              <w:top w:val="nil"/>
              <w:left w:val="nil"/>
              <w:bottom w:val="nil"/>
              <w:right w:val="nil"/>
            </w:tcBorders>
            <w:shd w:val="clear" w:color="auto" w:fill="auto"/>
            <w:vAlign w:val="bottom"/>
            <w:hideMark/>
          </w:tcPr>
          <w:p w14:paraId="37278220"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1B7C6D1"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0252F474"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4378C648"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0B5B9537"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537</w:t>
            </w:r>
          </w:p>
        </w:tc>
        <w:tc>
          <w:tcPr>
            <w:tcW w:w="160" w:type="dxa"/>
            <w:tcBorders>
              <w:top w:val="nil"/>
              <w:left w:val="nil"/>
              <w:bottom w:val="nil"/>
              <w:right w:val="nil"/>
            </w:tcBorders>
            <w:shd w:val="clear" w:color="auto" w:fill="auto"/>
            <w:vAlign w:val="bottom"/>
            <w:hideMark/>
          </w:tcPr>
          <w:p w14:paraId="537821BE"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42B349CB"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11</w:t>
            </w:r>
          </w:p>
        </w:tc>
        <w:tc>
          <w:tcPr>
            <w:tcW w:w="831" w:type="dxa"/>
            <w:tcBorders>
              <w:top w:val="nil"/>
              <w:left w:val="nil"/>
              <w:bottom w:val="nil"/>
              <w:right w:val="nil"/>
            </w:tcBorders>
            <w:shd w:val="clear" w:color="auto" w:fill="auto"/>
            <w:vAlign w:val="bottom"/>
            <w:hideMark/>
          </w:tcPr>
          <w:p w14:paraId="7322CD6E"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92FE941"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5E14127E"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r>
      <w:tr w:rsidR="0010523F" w:rsidRPr="0010523F" w14:paraId="66BC0803" w14:textId="77777777" w:rsidTr="00774E7E">
        <w:trPr>
          <w:trHeight w:val="227"/>
        </w:trPr>
        <w:tc>
          <w:tcPr>
            <w:tcW w:w="3276" w:type="dxa"/>
            <w:tcBorders>
              <w:top w:val="nil"/>
              <w:left w:val="nil"/>
              <w:bottom w:val="nil"/>
              <w:right w:val="nil"/>
            </w:tcBorders>
            <w:shd w:val="clear" w:color="auto" w:fill="auto"/>
            <w:vAlign w:val="center"/>
            <w:hideMark/>
          </w:tcPr>
          <w:p w14:paraId="48DE052E" w14:textId="77777777" w:rsidR="0010523F" w:rsidRPr="0010523F" w:rsidRDefault="0010523F" w:rsidP="0010523F">
            <w:pPr>
              <w:spacing w:line="200" w:lineRule="exact"/>
              <w:ind w:left="229"/>
              <w:jc w:val="both"/>
              <w:rPr>
                <w:color w:val="000000"/>
                <w:sz w:val="18"/>
                <w:szCs w:val="18"/>
                <w:lang w:val="es-AR" w:eastAsia="es-AR"/>
              </w:rPr>
            </w:pPr>
          </w:p>
        </w:tc>
        <w:tc>
          <w:tcPr>
            <w:tcW w:w="960" w:type="dxa"/>
            <w:tcBorders>
              <w:top w:val="nil"/>
              <w:left w:val="nil"/>
              <w:bottom w:val="nil"/>
              <w:right w:val="nil"/>
            </w:tcBorders>
            <w:shd w:val="clear" w:color="auto" w:fill="auto"/>
            <w:vAlign w:val="bottom"/>
            <w:hideMark/>
          </w:tcPr>
          <w:p w14:paraId="08799852"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883" w:type="dxa"/>
            <w:tcBorders>
              <w:top w:val="nil"/>
              <w:left w:val="nil"/>
              <w:bottom w:val="nil"/>
              <w:right w:val="nil"/>
            </w:tcBorders>
            <w:shd w:val="clear" w:color="auto" w:fill="auto"/>
            <w:vAlign w:val="bottom"/>
            <w:hideMark/>
          </w:tcPr>
          <w:p w14:paraId="3BD536C4"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4</w:t>
            </w:r>
          </w:p>
        </w:tc>
        <w:tc>
          <w:tcPr>
            <w:tcW w:w="160" w:type="dxa"/>
            <w:tcBorders>
              <w:top w:val="nil"/>
              <w:left w:val="nil"/>
              <w:bottom w:val="nil"/>
              <w:right w:val="nil"/>
            </w:tcBorders>
            <w:shd w:val="clear" w:color="auto" w:fill="auto"/>
            <w:vAlign w:val="bottom"/>
            <w:hideMark/>
          </w:tcPr>
          <w:p w14:paraId="7DA2C0C9"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67CAD913"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62,7195</w:t>
            </w:r>
          </w:p>
        </w:tc>
        <w:tc>
          <w:tcPr>
            <w:tcW w:w="160" w:type="dxa"/>
            <w:tcBorders>
              <w:top w:val="nil"/>
              <w:left w:val="nil"/>
              <w:bottom w:val="nil"/>
              <w:right w:val="nil"/>
            </w:tcBorders>
            <w:shd w:val="clear" w:color="auto" w:fill="auto"/>
            <w:vAlign w:val="bottom"/>
            <w:hideMark/>
          </w:tcPr>
          <w:p w14:paraId="6BF6AA0E"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70E6DA76"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6357D8FA"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3C2BCF41"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831" w:type="dxa"/>
            <w:tcBorders>
              <w:top w:val="nil"/>
              <w:left w:val="nil"/>
              <w:bottom w:val="nil"/>
              <w:right w:val="nil"/>
            </w:tcBorders>
            <w:shd w:val="clear" w:color="auto" w:fill="auto"/>
            <w:vAlign w:val="bottom"/>
            <w:hideMark/>
          </w:tcPr>
          <w:p w14:paraId="77BAC1AF"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4</w:t>
            </w:r>
          </w:p>
        </w:tc>
        <w:tc>
          <w:tcPr>
            <w:tcW w:w="160" w:type="dxa"/>
            <w:tcBorders>
              <w:top w:val="nil"/>
              <w:left w:val="nil"/>
              <w:bottom w:val="nil"/>
              <w:right w:val="nil"/>
            </w:tcBorders>
            <w:shd w:val="clear" w:color="auto" w:fill="auto"/>
            <w:vAlign w:val="bottom"/>
            <w:hideMark/>
          </w:tcPr>
          <w:p w14:paraId="52A544F1"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2952C0D2"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r>
      <w:tr w:rsidR="0010523F" w:rsidRPr="0010523F" w14:paraId="7D74274C" w14:textId="77777777" w:rsidTr="00774E7E">
        <w:trPr>
          <w:trHeight w:val="227"/>
        </w:trPr>
        <w:tc>
          <w:tcPr>
            <w:tcW w:w="3276" w:type="dxa"/>
            <w:tcBorders>
              <w:top w:val="nil"/>
              <w:left w:val="nil"/>
              <w:bottom w:val="nil"/>
              <w:right w:val="nil"/>
            </w:tcBorders>
            <w:shd w:val="clear" w:color="auto" w:fill="auto"/>
            <w:vAlign w:val="center"/>
            <w:hideMark/>
          </w:tcPr>
          <w:p w14:paraId="568C3F1E" w14:textId="77777777" w:rsidR="0010523F" w:rsidRPr="0010523F" w:rsidRDefault="0010523F" w:rsidP="0010523F">
            <w:pPr>
              <w:spacing w:line="200" w:lineRule="exact"/>
              <w:ind w:left="229"/>
              <w:jc w:val="both"/>
              <w:rPr>
                <w:color w:val="000000"/>
                <w:sz w:val="18"/>
                <w:szCs w:val="18"/>
                <w:lang w:val="es-AR" w:eastAsia="es-AR"/>
              </w:rPr>
            </w:pPr>
            <w:r w:rsidRPr="0010523F">
              <w:rPr>
                <w:color w:val="000000"/>
                <w:sz w:val="18"/>
                <w:szCs w:val="18"/>
                <w:lang w:val="es-AR" w:eastAsia="es-AR"/>
              </w:rPr>
              <w:t>Bancos</w:t>
            </w:r>
          </w:p>
        </w:tc>
        <w:tc>
          <w:tcPr>
            <w:tcW w:w="960" w:type="dxa"/>
            <w:tcBorders>
              <w:top w:val="nil"/>
              <w:left w:val="nil"/>
              <w:bottom w:val="nil"/>
              <w:right w:val="nil"/>
            </w:tcBorders>
            <w:shd w:val="clear" w:color="auto" w:fill="auto"/>
            <w:vAlign w:val="bottom"/>
            <w:hideMark/>
          </w:tcPr>
          <w:p w14:paraId="5D5E4E8B"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71.756</w:t>
            </w:r>
          </w:p>
        </w:tc>
        <w:tc>
          <w:tcPr>
            <w:tcW w:w="883" w:type="dxa"/>
            <w:tcBorders>
              <w:top w:val="nil"/>
              <w:left w:val="nil"/>
              <w:bottom w:val="nil"/>
              <w:right w:val="nil"/>
            </w:tcBorders>
            <w:shd w:val="clear" w:color="auto" w:fill="auto"/>
            <w:vAlign w:val="bottom"/>
            <w:hideMark/>
          </w:tcPr>
          <w:p w14:paraId="05F812E0"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8F8CFD4"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1C49B130"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521F489E"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1531A87F"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4.113</w:t>
            </w:r>
          </w:p>
        </w:tc>
        <w:tc>
          <w:tcPr>
            <w:tcW w:w="160" w:type="dxa"/>
            <w:tcBorders>
              <w:top w:val="nil"/>
              <w:left w:val="nil"/>
              <w:bottom w:val="nil"/>
              <w:right w:val="nil"/>
            </w:tcBorders>
            <w:shd w:val="clear" w:color="auto" w:fill="auto"/>
            <w:vAlign w:val="bottom"/>
            <w:hideMark/>
          </w:tcPr>
          <w:p w14:paraId="2D19D479"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52F8F29C"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55.965</w:t>
            </w:r>
          </w:p>
        </w:tc>
        <w:tc>
          <w:tcPr>
            <w:tcW w:w="831" w:type="dxa"/>
            <w:tcBorders>
              <w:top w:val="nil"/>
              <w:left w:val="nil"/>
              <w:bottom w:val="nil"/>
              <w:right w:val="nil"/>
            </w:tcBorders>
            <w:shd w:val="clear" w:color="auto" w:fill="auto"/>
            <w:vAlign w:val="bottom"/>
            <w:hideMark/>
          </w:tcPr>
          <w:p w14:paraId="33801D8B"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54FA334A"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1D8E76E6"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2.110</w:t>
            </w:r>
          </w:p>
        </w:tc>
      </w:tr>
      <w:tr w:rsidR="0010523F" w:rsidRPr="0010523F" w14:paraId="736DFF45" w14:textId="77777777" w:rsidTr="00774E7E">
        <w:trPr>
          <w:trHeight w:val="20"/>
        </w:trPr>
        <w:tc>
          <w:tcPr>
            <w:tcW w:w="3276" w:type="dxa"/>
            <w:tcBorders>
              <w:top w:val="nil"/>
              <w:left w:val="nil"/>
              <w:bottom w:val="nil"/>
              <w:right w:val="nil"/>
            </w:tcBorders>
            <w:shd w:val="clear" w:color="auto" w:fill="auto"/>
            <w:vAlign w:val="center"/>
            <w:hideMark/>
          </w:tcPr>
          <w:p w14:paraId="6C149554" w14:textId="77777777" w:rsidR="0010523F" w:rsidRPr="0010523F" w:rsidRDefault="0010523F" w:rsidP="0010523F">
            <w:pPr>
              <w:jc w:val="both"/>
              <w:rPr>
                <w:color w:val="000000"/>
                <w:sz w:val="18"/>
                <w:szCs w:val="18"/>
                <w:lang w:val="es-AR" w:eastAsia="es-AR"/>
              </w:rPr>
            </w:pPr>
          </w:p>
        </w:tc>
        <w:tc>
          <w:tcPr>
            <w:tcW w:w="960" w:type="dxa"/>
            <w:tcBorders>
              <w:top w:val="nil"/>
              <w:left w:val="nil"/>
              <w:bottom w:val="nil"/>
              <w:right w:val="nil"/>
            </w:tcBorders>
            <w:shd w:val="clear" w:color="auto" w:fill="auto"/>
            <w:vAlign w:val="bottom"/>
          </w:tcPr>
          <w:p w14:paraId="6CB1A821" w14:textId="77777777" w:rsidR="0010523F" w:rsidRPr="0010523F" w:rsidRDefault="0010523F" w:rsidP="0010523F">
            <w:pPr>
              <w:jc w:val="both"/>
              <w:rPr>
                <w:color w:val="000000"/>
                <w:sz w:val="18"/>
                <w:szCs w:val="18"/>
                <w:highlight w:val="yellow"/>
                <w:lang w:val="es-AR" w:eastAsia="es-AR"/>
              </w:rPr>
            </w:pPr>
          </w:p>
        </w:tc>
        <w:tc>
          <w:tcPr>
            <w:tcW w:w="883" w:type="dxa"/>
            <w:tcBorders>
              <w:top w:val="nil"/>
              <w:left w:val="nil"/>
              <w:bottom w:val="nil"/>
              <w:right w:val="nil"/>
            </w:tcBorders>
            <w:shd w:val="clear" w:color="auto" w:fill="auto"/>
            <w:vAlign w:val="bottom"/>
          </w:tcPr>
          <w:p w14:paraId="768BFA7D" w14:textId="77777777" w:rsidR="0010523F" w:rsidRPr="0010523F" w:rsidRDefault="0010523F" w:rsidP="0010523F">
            <w:pPr>
              <w:jc w:val="both"/>
              <w:rPr>
                <w:color w:val="000000"/>
                <w:sz w:val="18"/>
                <w:szCs w:val="18"/>
                <w:lang w:val="es-AR" w:eastAsia="es-AR"/>
              </w:rPr>
            </w:pPr>
          </w:p>
        </w:tc>
        <w:tc>
          <w:tcPr>
            <w:tcW w:w="160" w:type="dxa"/>
            <w:tcBorders>
              <w:top w:val="nil"/>
              <w:left w:val="nil"/>
              <w:bottom w:val="nil"/>
              <w:right w:val="nil"/>
            </w:tcBorders>
            <w:shd w:val="clear" w:color="auto" w:fill="auto"/>
            <w:vAlign w:val="bottom"/>
          </w:tcPr>
          <w:p w14:paraId="73157B07" w14:textId="77777777" w:rsidR="0010523F" w:rsidRPr="0010523F" w:rsidRDefault="0010523F" w:rsidP="0010523F">
            <w:pPr>
              <w:jc w:val="both"/>
              <w:rPr>
                <w:color w:val="000000"/>
                <w:sz w:val="18"/>
                <w:szCs w:val="18"/>
                <w:highlight w:val="yellow"/>
                <w:lang w:val="es-AR" w:eastAsia="es-AR"/>
              </w:rPr>
            </w:pPr>
          </w:p>
        </w:tc>
        <w:tc>
          <w:tcPr>
            <w:tcW w:w="958" w:type="dxa"/>
            <w:tcBorders>
              <w:top w:val="nil"/>
              <w:left w:val="nil"/>
              <w:bottom w:val="nil"/>
              <w:right w:val="nil"/>
            </w:tcBorders>
            <w:shd w:val="clear" w:color="auto" w:fill="auto"/>
            <w:vAlign w:val="bottom"/>
          </w:tcPr>
          <w:p w14:paraId="1A1DB1DB" w14:textId="77777777" w:rsidR="0010523F" w:rsidRPr="0010523F" w:rsidRDefault="0010523F" w:rsidP="0010523F">
            <w:pPr>
              <w:jc w:val="both"/>
              <w:rPr>
                <w:color w:val="000000"/>
                <w:sz w:val="18"/>
                <w:szCs w:val="18"/>
                <w:lang w:val="es-AR" w:eastAsia="es-AR"/>
              </w:rPr>
            </w:pPr>
          </w:p>
        </w:tc>
        <w:tc>
          <w:tcPr>
            <w:tcW w:w="160" w:type="dxa"/>
            <w:tcBorders>
              <w:top w:val="nil"/>
              <w:left w:val="nil"/>
              <w:bottom w:val="nil"/>
              <w:right w:val="nil"/>
            </w:tcBorders>
            <w:shd w:val="clear" w:color="auto" w:fill="auto"/>
            <w:vAlign w:val="bottom"/>
          </w:tcPr>
          <w:p w14:paraId="003CF135" w14:textId="77777777" w:rsidR="0010523F" w:rsidRPr="0010523F" w:rsidRDefault="0010523F" w:rsidP="0010523F">
            <w:pPr>
              <w:jc w:val="both"/>
              <w:rPr>
                <w:color w:val="000000"/>
                <w:sz w:val="18"/>
                <w:szCs w:val="18"/>
                <w:highlight w:val="yellow"/>
                <w:lang w:val="es-AR" w:eastAsia="es-AR"/>
              </w:rPr>
            </w:pPr>
          </w:p>
        </w:tc>
        <w:tc>
          <w:tcPr>
            <w:tcW w:w="1100" w:type="dxa"/>
            <w:tcBorders>
              <w:top w:val="nil"/>
              <w:left w:val="nil"/>
              <w:bottom w:val="nil"/>
              <w:right w:val="nil"/>
            </w:tcBorders>
            <w:shd w:val="clear" w:color="auto" w:fill="auto"/>
            <w:vAlign w:val="bottom"/>
          </w:tcPr>
          <w:p w14:paraId="3CFE3F24" w14:textId="77777777" w:rsidR="0010523F" w:rsidRPr="0010523F" w:rsidRDefault="0010523F" w:rsidP="0010523F">
            <w:pPr>
              <w:jc w:val="both"/>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tcPr>
          <w:p w14:paraId="00C92D76" w14:textId="77777777" w:rsidR="0010523F" w:rsidRPr="0010523F" w:rsidRDefault="0010523F" w:rsidP="0010523F">
            <w:pPr>
              <w:jc w:val="both"/>
              <w:rPr>
                <w:color w:val="000000"/>
                <w:sz w:val="18"/>
                <w:szCs w:val="18"/>
                <w:lang w:val="es-AR" w:eastAsia="es-AR"/>
              </w:rPr>
            </w:pPr>
          </w:p>
        </w:tc>
        <w:tc>
          <w:tcPr>
            <w:tcW w:w="906" w:type="dxa"/>
            <w:tcBorders>
              <w:top w:val="nil"/>
              <w:left w:val="nil"/>
              <w:bottom w:val="nil"/>
              <w:right w:val="nil"/>
            </w:tcBorders>
            <w:shd w:val="clear" w:color="auto" w:fill="auto"/>
            <w:vAlign w:val="bottom"/>
          </w:tcPr>
          <w:p w14:paraId="40E1C083" w14:textId="77777777" w:rsidR="0010523F" w:rsidRPr="0010523F" w:rsidRDefault="0010523F" w:rsidP="0010523F">
            <w:pPr>
              <w:jc w:val="both"/>
              <w:rPr>
                <w:color w:val="000000"/>
                <w:sz w:val="18"/>
                <w:szCs w:val="18"/>
                <w:lang w:val="es-AR" w:eastAsia="es-AR"/>
              </w:rPr>
            </w:pPr>
          </w:p>
        </w:tc>
        <w:tc>
          <w:tcPr>
            <w:tcW w:w="831" w:type="dxa"/>
            <w:tcBorders>
              <w:top w:val="nil"/>
              <w:left w:val="nil"/>
              <w:bottom w:val="nil"/>
              <w:right w:val="nil"/>
            </w:tcBorders>
            <w:shd w:val="clear" w:color="auto" w:fill="auto"/>
            <w:vAlign w:val="bottom"/>
          </w:tcPr>
          <w:p w14:paraId="2FA347B8" w14:textId="77777777" w:rsidR="0010523F" w:rsidRPr="0010523F" w:rsidRDefault="0010523F" w:rsidP="0010523F">
            <w:pPr>
              <w:jc w:val="both"/>
              <w:rPr>
                <w:color w:val="000000"/>
                <w:sz w:val="18"/>
                <w:szCs w:val="18"/>
                <w:lang w:val="es-AR" w:eastAsia="es-AR"/>
              </w:rPr>
            </w:pPr>
          </w:p>
        </w:tc>
        <w:tc>
          <w:tcPr>
            <w:tcW w:w="160" w:type="dxa"/>
            <w:tcBorders>
              <w:top w:val="nil"/>
              <w:left w:val="nil"/>
              <w:bottom w:val="nil"/>
              <w:right w:val="nil"/>
            </w:tcBorders>
            <w:shd w:val="clear" w:color="auto" w:fill="auto"/>
            <w:vAlign w:val="bottom"/>
          </w:tcPr>
          <w:p w14:paraId="260332E4" w14:textId="77777777" w:rsidR="0010523F" w:rsidRPr="0010523F" w:rsidRDefault="0010523F" w:rsidP="0010523F">
            <w:pPr>
              <w:jc w:val="both"/>
              <w:rPr>
                <w:color w:val="000000"/>
                <w:sz w:val="18"/>
                <w:szCs w:val="18"/>
                <w:lang w:val="es-AR" w:eastAsia="es-AR"/>
              </w:rPr>
            </w:pPr>
          </w:p>
        </w:tc>
        <w:tc>
          <w:tcPr>
            <w:tcW w:w="977" w:type="dxa"/>
            <w:tcBorders>
              <w:top w:val="nil"/>
              <w:left w:val="nil"/>
              <w:bottom w:val="nil"/>
              <w:right w:val="nil"/>
            </w:tcBorders>
            <w:shd w:val="clear" w:color="auto" w:fill="auto"/>
            <w:vAlign w:val="bottom"/>
          </w:tcPr>
          <w:p w14:paraId="63C40E85" w14:textId="77777777" w:rsidR="0010523F" w:rsidRPr="0010523F" w:rsidRDefault="0010523F" w:rsidP="0010523F">
            <w:pPr>
              <w:jc w:val="both"/>
              <w:rPr>
                <w:color w:val="000000"/>
                <w:sz w:val="18"/>
                <w:szCs w:val="18"/>
                <w:lang w:val="es-AR" w:eastAsia="es-AR"/>
              </w:rPr>
            </w:pPr>
          </w:p>
        </w:tc>
      </w:tr>
      <w:tr w:rsidR="0010523F" w:rsidRPr="0010523F" w14:paraId="2F787D5A" w14:textId="77777777" w:rsidTr="00774E7E">
        <w:trPr>
          <w:trHeight w:val="170"/>
        </w:trPr>
        <w:tc>
          <w:tcPr>
            <w:tcW w:w="3276" w:type="dxa"/>
            <w:tcBorders>
              <w:top w:val="nil"/>
              <w:left w:val="nil"/>
              <w:bottom w:val="nil"/>
              <w:right w:val="nil"/>
            </w:tcBorders>
            <w:shd w:val="clear" w:color="auto" w:fill="auto"/>
            <w:vAlign w:val="center"/>
            <w:hideMark/>
          </w:tcPr>
          <w:p w14:paraId="5DE6FD0A" w14:textId="77777777" w:rsidR="0010523F" w:rsidRPr="0010523F" w:rsidRDefault="0010523F" w:rsidP="0010523F">
            <w:pPr>
              <w:spacing w:line="200" w:lineRule="exact"/>
              <w:jc w:val="both"/>
              <w:rPr>
                <w:color w:val="000000"/>
                <w:sz w:val="18"/>
                <w:szCs w:val="18"/>
                <w:lang w:val="es-AR" w:eastAsia="es-AR"/>
              </w:rPr>
            </w:pPr>
            <w:r w:rsidRPr="0010523F">
              <w:rPr>
                <w:color w:val="000000"/>
                <w:sz w:val="18"/>
                <w:szCs w:val="18"/>
                <w:lang w:val="es-AR" w:eastAsia="es-AR"/>
              </w:rPr>
              <w:t>Colocaciones transitorias a corto plazo</w:t>
            </w:r>
          </w:p>
        </w:tc>
        <w:tc>
          <w:tcPr>
            <w:tcW w:w="960" w:type="dxa"/>
            <w:tcBorders>
              <w:top w:val="nil"/>
              <w:left w:val="nil"/>
              <w:bottom w:val="nil"/>
              <w:right w:val="nil"/>
            </w:tcBorders>
            <w:shd w:val="clear" w:color="auto" w:fill="auto"/>
            <w:vAlign w:val="bottom"/>
            <w:hideMark/>
          </w:tcPr>
          <w:p w14:paraId="018655F5" w14:textId="77777777" w:rsidR="0010523F" w:rsidRPr="0010523F" w:rsidRDefault="0010523F" w:rsidP="0010523F">
            <w:pPr>
              <w:spacing w:line="200" w:lineRule="exact"/>
              <w:jc w:val="right"/>
              <w:rPr>
                <w:color w:val="000000"/>
                <w:sz w:val="18"/>
                <w:szCs w:val="18"/>
                <w:lang w:val="es-AR" w:eastAsia="es-AR"/>
              </w:rPr>
            </w:pPr>
          </w:p>
        </w:tc>
        <w:tc>
          <w:tcPr>
            <w:tcW w:w="883" w:type="dxa"/>
            <w:tcBorders>
              <w:top w:val="nil"/>
              <w:left w:val="nil"/>
              <w:bottom w:val="nil"/>
              <w:right w:val="nil"/>
            </w:tcBorders>
            <w:shd w:val="clear" w:color="auto" w:fill="auto"/>
            <w:vAlign w:val="bottom"/>
            <w:hideMark/>
          </w:tcPr>
          <w:p w14:paraId="199C4C02" w14:textId="77777777" w:rsidR="0010523F" w:rsidRPr="0010523F" w:rsidRDefault="0010523F" w:rsidP="0010523F">
            <w:pPr>
              <w:spacing w:line="20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C1C9E74"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10F79030" w14:textId="77777777" w:rsidR="0010523F" w:rsidRPr="0010523F" w:rsidRDefault="0010523F" w:rsidP="0010523F">
            <w:pPr>
              <w:spacing w:line="20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04633A93"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6DCACCEA" w14:textId="77777777" w:rsidR="0010523F" w:rsidRPr="0010523F" w:rsidRDefault="0010523F" w:rsidP="0010523F">
            <w:pPr>
              <w:spacing w:line="20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8241559"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3B53BB98" w14:textId="77777777" w:rsidR="0010523F" w:rsidRPr="0010523F" w:rsidRDefault="0010523F" w:rsidP="0010523F">
            <w:pPr>
              <w:spacing w:line="200" w:lineRule="exact"/>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16507BE8" w14:textId="77777777" w:rsidR="0010523F" w:rsidRPr="0010523F" w:rsidRDefault="0010523F" w:rsidP="0010523F">
            <w:pPr>
              <w:spacing w:line="20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8AE23E9"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3BA47710" w14:textId="77777777" w:rsidR="0010523F" w:rsidRPr="0010523F" w:rsidRDefault="0010523F" w:rsidP="0010523F">
            <w:pPr>
              <w:spacing w:line="200" w:lineRule="exact"/>
              <w:jc w:val="right"/>
              <w:rPr>
                <w:color w:val="000000"/>
                <w:sz w:val="18"/>
                <w:szCs w:val="18"/>
                <w:lang w:val="es-AR" w:eastAsia="es-AR"/>
              </w:rPr>
            </w:pPr>
          </w:p>
        </w:tc>
      </w:tr>
      <w:tr w:rsidR="0010523F" w:rsidRPr="0010523F" w14:paraId="1387E658" w14:textId="77777777" w:rsidTr="00774E7E">
        <w:trPr>
          <w:trHeight w:val="170"/>
        </w:trPr>
        <w:tc>
          <w:tcPr>
            <w:tcW w:w="3276" w:type="dxa"/>
            <w:tcBorders>
              <w:top w:val="nil"/>
              <w:left w:val="nil"/>
              <w:bottom w:val="nil"/>
              <w:right w:val="nil"/>
            </w:tcBorders>
            <w:shd w:val="clear" w:color="auto" w:fill="auto"/>
            <w:vAlign w:val="center"/>
            <w:hideMark/>
          </w:tcPr>
          <w:p w14:paraId="3C6DA5AF" w14:textId="77777777" w:rsidR="0010523F" w:rsidRPr="0010523F" w:rsidRDefault="0010523F" w:rsidP="0010523F">
            <w:pPr>
              <w:spacing w:line="200" w:lineRule="exact"/>
              <w:ind w:left="229"/>
              <w:jc w:val="both"/>
              <w:rPr>
                <w:color w:val="000000"/>
                <w:sz w:val="18"/>
                <w:szCs w:val="18"/>
                <w:lang w:val="es-AR" w:eastAsia="es-AR"/>
              </w:rPr>
            </w:pPr>
            <w:r w:rsidRPr="0010523F">
              <w:rPr>
                <w:color w:val="000000"/>
                <w:sz w:val="18"/>
                <w:szCs w:val="18"/>
                <w:lang w:val="es-AR" w:eastAsia="es-AR"/>
              </w:rPr>
              <w:t>Depósitos a plazo fijo</w:t>
            </w:r>
          </w:p>
        </w:tc>
        <w:tc>
          <w:tcPr>
            <w:tcW w:w="960" w:type="dxa"/>
            <w:tcBorders>
              <w:top w:val="nil"/>
              <w:left w:val="nil"/>
              <w:bottom w:val="nil"/>
              <w:right w:val="nil"/>
            </w:tcBorders>
            <w:shd w:val="clear" w:color="auto" w:fill="auto"/>
            <w:vAlign w:val="bottom"/>
            <w:hideMark/>
          </w:tcPr>
          <w:p w14:paraId="557A090F"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883" w:type="dxa"/>
            <w:tcBorders>
              <w:top w:val="nil"/>
              <w:left w:val="nil"/>
              <w:bottom w:val="nil"/>
              <w:right w:val="nil"/>
            </w:tcBorders>
            <w:shd w:val="clear" w:color="auto" w:fill="auto"/>
            <w:vAlign w:val="bottom"/>
            <w:hideMark/>
          </w:tcPr>
          <w:p w14:paraId="45BA6029"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A07EB53"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3CDB8E3E"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4DECB81D"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0D601757"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3A6C202D"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611B2155"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30.000</w:t>
            </w:r>
          </w:p>
        </w:tc>
        <w:tc>
          <w:tcPr>
            <w:tcW w:w="831" w:type="dxa"/>
            <w:tcBorders>
              <w:top w:val="nil"/>
              <w:left w:val="nil"/>
              <w:bottom w:val="nil"/>
              <w:right w:val="nil"/>
            </w:tcBorders>
            <w:shd w:val="clear" w:color="auto" w:fill="auto"/>
            <w:vAlign w:val="bottom"/>
            <w:hideMark/>
          </w:tcPr>
          <w:p w14:paraId="68DAA28D"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269AF1E9"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213F46B2"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1.131</w:t>
            </w:r>
          </w:p>
        </w:tc>
      </w:tr>
      <w:tr w:rsidR="0010523F" w:rsidRPr="0010523F" w14:paraId="47E9AFF5" w14:textId="77777777" w:rsidTr="00774E7E">
        <w:trPr>
          <w:trHeight w:val="170"/>
        </w:trPr>
        <w:tc>
          <w:tcPr>
            <w:tcW w:w="3276" w:type="dxa"/>
            <w:tcBorders>
              <w:top w:val="nil"/>
              <w:left w:val="nil"/>
              <w:bottom w:val="nil"/>
              <w:right w:val="nil"/>
            </w:tcBorders>
            <w:shd w:val="clear" w:color="auto" w:fill="auto"/>
            <w:vAlign w:val="center"/>
            <w:hideMark/>
          </w:tcPr>
          <w:p w14:paraId="5F9C82FA" w14:textId="77777777" w:rsidR="0010523F" w:rsidRPr="0010523F" w:rsidRDefault="0010523F" w:rsidP="0010523F">
            <w:pPr>
              <w:spacing w:line="200" w:lineRule="exact"/>
              <w:ind w:left="229"/>
              <w:jc w:val="both"/>
              <w:rPr>
                <w:color w:val="000000"/>
                <w:sz w:val="18"/>
                <w:szCs w:val="18"/>
                <w:lang w:val="es-AR" w:eastAsia="es-AR"/>
              </w:rPr>
            </w:pPr>
            <w:r w:rsidRPr="0010523F">
              <w:rPr>
                <w:color w:val="000000"/>
                <w:sz w:val="18"/>
                <w:szCs w:val="18"/>
                <w:lang w:val="es-AR" w:eastAsia="es-AR"/>
              </w:rPr>
              <w:t xml:space="preserve">Cuentas corrientes remuneradas </w:t>
            </w:r>
          </w:p>
        </w:tc>
        <w:tc>
          <w:tcPr>
            <w:tcW w:w="960" w:type="dxa"/>
            <w:tcBorders>
              <w:top w:val="nil"/>
              <w:left w:val="nil"/>
              <w:bottom w:val="nil"/>
              <w:right w:val="nil"/>
            </w:tcBorders>
            <w:shd w:val="clear" w:color="auto" w:fill="auto"/>
            <w:vAlign w:val="bottom"/>
            <w:hideMark/>
          </w:tcPr>
          <w:p w14:paraId="125995D4"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146.259</w:t>
            </w:r>
          </w:p>
        </w:tc>
        <w:tc>
          <w:tcPr>
            <w:tcW w:w="883" w:type="dxa"/>
            <w:tcBorders>
              <w:top w:val="nil"/>
              <w:left w:val="nil"/>
              <w:bottom w:val="nil"/>
              <w:right w:val="nil"/>
            </w:tcBorders>
            <w:shd w:val="clear" w:color="auto" w:fill="auto"/>
            <w:vAlign w:val="bottom"/>
            <w:hideMark/>
          </w:tcPr>
          <w:p w14:paraId="11D593CD"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4993D246"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46F6A71D"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7F75DBA6"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67786085"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8.384</w:t>
            </w:r>
          </w:p>
        </w:tc>
        <w:tc>
          <w:tcPr>
            <w:tcW w:w="160" w:type="dxa"/>
            <w:tcBorders>
              <w:top w:val="nil"/>
              <w:left w:val="nil"/>
              <w:bottom w:val="nil"/>
              <w:right w:val="nil"/>
            </w:tcBorders>
            <w:shd w:val="clear" w:color="auto" w:fill="auto"/>
            <w:vAlign w:val="bottom"/>
            <w:hideMark/>
          </w:tcPr>
          <w:p w14:paraId="101BB9D7"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12B539AF"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366.656</w:t>
            </w:r>
          </w:p>
        </w:tc>
        <w:tc>
          <w:tcPr>
            <w:tcW w:w="831" w:type="dxa"/>
            <w:tcBorders>
              <w:top w:val="nil"/>
              <w:left w:val="nil"/>
              <w:bottom w:val="nil"/>
              <w:right w:val="nil"/>
            </w:tcBorders>
            <w:shd w:val="clear" w:color="auto" w:fill="auto"/>
            <w:vAlign w:val="bottom"/>
            <w:hideMark/>
          </w:tcPr>
          <w:p w14:paraId="4D72BA7A"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4568B43C"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5CD73A70"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13.823</w:t>
            </w:r>
          </w:p>
        </w:tc>
      </w:tr>
      <w:tr w:rsidR="0010523F" w:rsidRPr="0010523F" w14:paraId="60406148" w14:textId="77777777" w:rsidTr="00774E7E">
        <w:trPr>
          <w:trHeight w:val="113"/>
        </w:trPr>
        <w:tc>
          <w:tcPr>
            <w:tcW w:w="3276" w:type="dxa"/>
            <w:tcBorders>
              <w:top w:val="nil"/>
              <w:left w:val="nil"/>
              <w:bottom w:val="nil"/>
              <w:right w:val="nil"/>
            </w:tcBorders>
            <w:shd w:val="clear" w:color="auto" w:fill="auto"/>
            <w:vAlign w:val="center"/>
            <w:hideMark/>
          </w:tcPr>
          <w:p w14:paraId="6B10189A" w14:textId="77777777" w:rsidR="0010523F" w:rsidRPr="0010523F" w:rsidRDefault="0010523F" w:rsidP="0010523F">
            <w:pPr>
              <w:spacing w:line="120" w:lineRule="exact"/>
              <w:jc w:val="both"/>
              <w:rPr>
                <w:color w:val="000000"/>
                <w:sz w:val="18"/>
                <w:szCs w:val="18"/>
                <w:lang w:val="es-AR" w:eastAsia="es-AR"/>
              </w:rPr>
            </w:pPr>
          </w:p>
        </w:tc>
        <w:tc>
          <w:tcPr>
            <w:tcW w:w="960" w:type="dxa"/>
            <w:tcBorders>
              <w:top w:val="nil"/>
              <w:left w:val="nil"/>
              <w:bottom w:val="nil"/>
              <w:right w:val="nil"/>
            </w:tcBorders>
            <w:shd w:val="clear" w:color="auto" w:fill="auto"/>
            <w:vAlign w:val="bottom"/>
            <w:hideMark/>
          </w:tcPr>
          <w:p w14:paraId="638CBA8A" w14:textId="77777777" w:rsidR="0010523F" w:rsidRPr="0010523F" w:rsidRDefault="0010523F" w:rsidP="0010523F">
            <w:pPr>
              <w:spacing w:line="120" w:lineRule="exact"/>
              <w:jc w:val="both"/>
              <w:rPr>
                <w:color w:val="000000"/>
                <w:sz w:val="18"/>
                <w:szCs w:val="18"/>
                <w:lang w:val="es-AR" w:eastAsia="es-AR"/>
              </w:rPr>
            </w:pPr>
          </w:p>
        </w:tc>
        <w:tc>
          <w:tcPr>
            <w:tcW w:w="883" w:type="dxa"/>
            <w:tcBorders>
              <w:top w:val="nil"/>
              <w:left w:val="nil"/>
              <w:bottom w:val="nil"/>
              <w:right w:val="nil"/>
            </w:tcBorders>
            <w:shd w:val="clear" w:color="auto" w:fill="auto"/>
            <w:vAlign w:val="bottom"/>
            <w:hideMark/>
          </w:tcPr>
          <w:p w14:paraId="28DD1DDF" w14:textId="77777777" w:rsidR="0010523F" w:rsidRPr="0010523F" w:rsidRDefault="0010523F" w:rsidP="0010523F">
            <w:pPr>
              <w:spacing w:line="12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5CFB067" w14:textId="77777777" w:rsidR="0010523F" w:rsidRPr="0010523F" w:rsidRDefault="0010523F" w:rsidP="0010523F">
            <w:pPr>
              <w:spacing w:line="120" w:lineRule="exact"/>
              <w:jc w:val="both"/>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4BAF48B1" w14:textId="77777777" w:rsidR="0010523F" w:rsidRPr="0010523F" w:rsidRDefault="0010523F" w:rsidP="0010523F">
            <w:pPr>
              <w:spacing w:line="12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E849002" w14:textId="77777777" w:rsidR="0010523F" w:rsidRPr="0010523F" w:rsidRDefault="0010523F" w:rsidP="0010523F">
            <w:pPr>
              <w:spacing w:line="120" w:lineRule="exact"/>
              <w:jc w:val="both"/>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5E95712B" w14:textId="77777777" w:rsidR="0010523F" w:rsidRPr="0010523F" w:rsidRDefault="0010523F" w:rsidP="0010523F">
            <w:pPr>
              <w:spacing w:line="12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62373A9" w14:textId="77777777" w:rsidR="0010523F" w:rsidRPr="0010523F" w:rsidRDefault="0010523F" w:rsidP="0010523F">
            <w:pPr>
              <w:spacing w:line="120" w:lineRule="exact"/>
              <w:jc w:val="both"/>
              <w:rPr>
                <w:color w:val="000000"/>
                <w:sz w:val="18"/>
                <w:szCs w:val="18"/>
                <w:lang w:val="es-AR" w:eastAsia="es-AR"/>
              </w:rPr>
            </w:pPr>
          </w:p>
        </w:tc>
        <w:tc>
          <w:tcPr>
            <w:tcW w:w="906" w:type="dxa"/>
            <w:tcBorders>
              <w:top w:val="nil"/>
              <w:left w:val="nil"/>
              <w:bottom w:val="nil"/>
              <w:right w:val="nil"/>
            </w:tcBorders>
            <w:shd w:val="clear" w:color="auto" w:fill="auto"/>
            <w:vAlign w:val="bottom"/>
            <w:hideMark/>
          </w:tcPr>
          <w:p w14:paraId="3918E998" w14:textId="77777777" w:rsidR="0010523F" w:rsidRPr="0010523F" w:rsidRDefault="0010523F" w:rsidP="0010523F">
            <w:pPr>
              <w:spacing w:line="120" w:lineRule="exact"/>
              <w:jc w:val="both"/>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0BC645D6" w14:textId="77777777" w:rsidR="0010523F" w:rsidRPr="0010523F" w:rsidRDefault="0010523F" w:rsidP="0010523F">
            <w:pPr>
              <w:spacing w:line="12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071DF82" w14:textId="77777777" w:rsidR="0010523F" w:rsidRPr="0010523F" w:rsidRDefault="0010523F" w:rsidP="0010523F">
            <w:pPr>
              <w:spacing w:line="120" w:lineRule="exact"/>
              <w:jc w:val="both"/>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3B9863FB" w14:textId="77777777" w:rsidR="0010523F" w:rsidRPr="0010523F" w:rsidRDefault="0010523F" w:rsidP="0010523F">
            <w:pPr>
              <w:spacing w:line="120" w:lineRule="exact"/>
              <w:jc w:val="both"/>
              <w:rPr>
                <w:color w:val="000000"/>
                <w:sz w:val="18"/>
                <w:szCs w:val="18"/>
                <w:lang w:val="es-AR" w:eastAsia="es-AR"/>
              </w:rPr>
            </w:pPr>
          </w:p>
        </w:tc>
      </w:tr>
      <w:tr w:rsidR="0010523F" w:rsidRPr="0010523F" w14:paraId="230E3386" w14:textId="77777777" w:rsidTr="00774E7E">
        <w:trPr>
          <w:trHeight w:val="170"/>
        </w:trPr>
        <w:tc>
          <w:tcPr>
            <w:tcW w:w="3276" w:type="dxa"/>
            <w:tcBorders>
              <w:top w:val="nil"/>
              <w:left w:val="nil"/>
              <w:bottom w:val="nil"/>
              <w:right w:val="nil"/>
            </w:tcBorders>
            <w:shd w:val="clear" w:color="auto" w:fill="auto"/>
            <w:vAlign w:val="center"/>
            <w:hideMark/>
          </w:tcPr>
          <w:p w14:paraId="20E103D7" w14:textId="77777777" w:rsidR="0010523F" w:rsidRPr="0010523F" w:rsidRDefault="0010523F" w:rsidP="0010523F">
            <w:pPr>
              <w:spacing w:line="200" w:lineRule="exact"/>
              <w:jc w:val="both"/>
              <w:rPr>
                <w:color w:val="000000"/>
                <w:sz w:val="18"/>
                <w:szCs w:val="18"/>
                <w:lang w:val="es-AR" w:eastAsia="es-AR"/>
              </w:rPr>
            </w:pPr>
            <w:r w:rsidRPr="0010523F">
              <w:rPr>
                <w:color w:val="000000"/>
                <w:sz w:val="18"/>
                <w:szCs w:val="18"/>
                <w:lang w:val="es-AR" w:eastAsia="es-AR"/>
              </w:rPr>
              <w:t xml:space="preserve">Inversiones </w:t>
            </w:r>
          </w:p>
        </w:tc>
        <w:tc>
          <w:tcPr>
            <w:tcW w:w="960" w:type="dxa"/>
            <w:tcBorders>
              <w:top w:val="nil"/>
              <w:left w:val="nil"/>
              <w:bottom w:val="nil"/>
              <w:right w:val="nil"/>
            </w:tcBorders>
            <w:shd w:val="clear" w:color="auto" w:fill="auto"/>
            <w:vAlign w:val="bottom"/>
            <w:hideMark/>
          </w:tcPr>
          <w:p w14:paraId="735D0C2B" w14:textId="77777777" w:rsidR="0010523F" w:rsidRPr="0010523F" w:rsidRDefault="0010523F" w:rsidP="0010523F">
            <w:pPr>
              <w:spacing w:line="200" w:lineRule="exact"/>
              <w:jc w:val="right"/>
              <w:rPr>
                <w:color w:val="000000"/>
                <w:sz w:val="18"/>
                <w:szCs w:val="18"/>
                <w:lang w:val="es-AR" w:eastAsia="es-AR"/>
              </w:rPr>
            </w:pPr>
          </w:p>
        </w:tc>
        <w:tc>
          <w:tcPr>
            <w:tcW w:w="883" w:type="dxa"/>
            <w:tcBorders>
              <w:top w:val="nil"/>
              <w:left w:val="nil"/>
              <w:bottom w:val="nil"/>
              <w:right w:val="nil"/>
            </w:tcBorders>
            <w:shd w:val="clear" w:color="auto" w:fill="auto"/>
            <w:vAlign w:val="bottom"/>
            <w:hideMark/>
          </w:tcPr>
          <w:p w14:paraId="53A8CF3F" w14:textId="77777777" w:rsidR="0010523F" w:rsidRPr="0010523F" w:rsidRDefault="0010523F" w:rsidP="0010523F">
            <w:pPr>
              <w:spacing w:line="20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0E238705"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03FF8A36" w14:textId="77777777" w:rsidR="0010523F" w:rsidRPr="0010523F" w:rsidRDefault="0010523F" w:rsidP="0010523F">
            <w:pPr>
              <w:spacing w:line="20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D65E05A"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485CD960" w14:textId="77777777" w:rsidR="0010523F" w:rsidRPr="0010523F" w:rsidRDefault="0010523F" w:rsidP="0010523F">
            <w:pPr>
              <w:spacing w:line="20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D0C1B4E"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44805A99" w14:textId="77777777" w:rsidR="0010523F" w:rsidRPr="0010523F" w:rsidRDefault="0010523F" w:rsidP="0010523F">
            <w:pPr>
              <w:spacing w:line="200" w:lineRule="exact"/>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0B208291" w14:textId="77777777" w:rsidR="0010523F" w:rsidRPr="0010523F" w:rsidRDefault="0010523F" w:rsidP="0010523F">
            <w:pPr>
              <w:spacing w:line="20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93DA620"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4D1B1555" w14:textId="77777777" w:rsidR="0010523F" w:rsidRPr="0010523F" w:rsidRDefault="0010523F" w:rsidP="0010523F">
            <w:pPr>
              <w:spacing w:line="200" w:lineRule="exact"/>
              <w:jc w:val="right"/>
              <w:rPr>
                <w:color w:val="000000"/>
                <w:sz w:val="18"/>
                <w:szCs w:val="18"/>
                <w:lang w:val="es-AR" w:eastAsia="es-AR"/>
              </w:rPr>
            </w:pPr>
          </w:p>
        </w:tc>
      </w:tr>
      <w:tr w:rsidR="0010523F" w:rsidRPr="0010523F" w14:paraId="6D1CF001" w14:textId="77777777" w:rsidTr="00774E7E">
        <w:trPr>
          <w:trHeight w:val="170"/>
        </w:trPr>
        <w:tc>
          <w:tcPr>
            <w:tcW w:w="3276" w:type="dxa"/>
            <w:tcBorders>
              <w:top w:val="nil"/>
              <w:left w:val="nil"/>
              <w:bottom w:val="nil"/>
              <w:right w:val="nil"/>
            </w:tcBorders>
            <w:shd w:val="clear" w:color="auto" w:fill="auto"/>
            <w:vAlign w:val="center"/>
            <w:hideMark/>
          </w:tcPr>
          <w:p w14:paraId="72DB66C1" w14:textId="77777777" w:rsidR="0010523F" w:rsidRPr="0010523F" w:rsidRDefault="0010523F" w:rsidP="0010523F">
            <w:pPr>
              <w:spacing w:line="200" w:lineRule="exact"/>
              <w:ind w:left="87"/>
              <w:rPr>
                <w:color w:val="000000"/>
                <w:sz w:val="18"/>
                <w:szCs w:val="18"/>
                <w:lang w:val="es-AR" w:eastAsia="es-AR"/>
              </w:rPr>
            </w:pPr>
            <w:r w:rsidRPr="0010523F">
              <w:rPr>
                <w:color w:val="000000"/>
                <w:sz w:val="18"/>
                <w:szCs w:val="18"/>
                <w:lang w:val="es-AR" w:eastAsia="es-AR"/>
              </w:rPr>
              <w:t>Inversiones a costo amortizado/ mantenidas hasta el vencimiento</w:t>
            </w:r>
          </w:p>
        </w:tc>
        <w:tc>
          <w:tcPr>
            <w:tcW w:w="960" w:type="dxa"/>
            <w:tcBorders>
              <w:top w:val="nil"/>
              <w:left w:val="nil"/>
              <w:bottom w:val="nil"/>
              <w:right w:val="nil"/>
            </w:tcBorders>
            <w:shd w:val="clear" w:color="auto" w:fill="auto"/>
            <w:vAlign w:val="bottom"/>
            <w:hideMark/>
          </w:tcPr>
          <w:p w14:paraId="6601FA77"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883" w:type="dxa"/>
            <w:tcBorders>
              <w:top w:val="nil"/>
              <w:left w:val="nil"/>
              <w:bottom w:val="nil"/>
              <w:right w:val="nil"/>
            </w:tcBorders>
            <w:shd w:val="clear" w:color="auto" w:fill="auto"/>
            <w:vAlign w:val="bottom"/>
            <w:hideMark/>
          </w:tcPr>
          <w:p w14:paraId="74F286E9"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72E9720"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7168717A"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4ED640C4"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0C7F8B54"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410CD1E"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6399A2D5"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163</w:t>
            </w:r>
          </w:p>
        </w:tc>
        <w:tc>
          <w:tcPr>
            <w:tcW w:w="831" w:type="dxa"/>
            <w:tcBorders>
              <w:top w:val="nil"/>
              <w:left w:val="nil"/>
              <w:bottom w:val="nil"/>
              <w:right w:val="nil"/>
            </w:tcBorders>
            <w:shd w:val="clear" w:color="auto" w:fill="auto"/>
            <w:vAlign w:val="bottom"/>
            <w:hideMark/>
          </w:tcPr>
          <w:p w14:paraId="1808A24B"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E46D3B7"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1E34DD5D"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6</w:t>
            </w:r>
          </w:p>
        </w:tc>
      </w:tr>
      <w:tr w:rsidR="0010523F" w:rsidRPr="0010523F" w14:paraId="78432BE0" w14:textId="77777777" w:rsidTr="00774E7E">
        <w:trPr>
          <w:trHeight w:val="57"/>
        </w:trPr>
        <w:tc>
          <w:tcPr>
            <w:tcW w:w="3276" w:type="dxa"/>
            <w:tcBorders>
              <w:top w:val="nil"/>
              <w:left w:val="nil"/>
              <w:bottom w:val="nil"/>
              <w:right w:val="nil"/>
            </w:tcBorders>
            <w:shd w:val="clear" w:color="auto" w:fill="auto"/>
            <w:vAlign w:val="center"/>
          </w:tcPr>
          <w:p w14:paraId="0A30518D" w14:textId="77777777" w:rsidR="0010523F" w:rsidRPr="0010523F" w:rsidRDefault="0010523F" w:rsidP="0010523F">
            <w:pPr>
              <w:spacing w:line="120" w:lineRule="exact"/>
              <w:jc w:val="both"/>
              <w:rPr>
                <w:color w:val="000000"/>
                <w:sz w:val="18"/>
                <w:szCs w:val="18"/>
                <w:lang w:val="es-AR" w:eastAsia="es-AR"/>
              </w:rPr>
            </w:pPr>
          </w:p>
        </w:tc>
        <w:tc>
          <w:tcPr>
            <w:tcW w:w="960" w:type="dxa"/>
            <w:tcBorders>
              <w:top w:val="nil"/>
              <w:left w:val="nil"/>
              <w:bottom w:val="nil"/>
              <w:right w:val="nil"/>
            </w:tcBorders>
            <w:shd w:val="clear" w:color="auto" w:fill="auto"/>
            <w:vAlign w:val="bottom"/>
          </w:tcPr>
          <w:p w14:paraId="7AB53302" w14:textId="77777777" w:rsidR="0010523F" w:rsidRPr="0010523F" w:rsidRDefault="0010523F" w:rsidP="0010523F">
            <w:pPr>
              <w:spacing w:line="120" w:lineRule="exact"/>
              <w:jc w:val="both"/>
              <w:rPr>
                <w:color w:val="000000"/>
                <w:sz w:val="18"/>
                <w:szCs w:val="18"/>
                <w:lang w:val="es-AR" w:eastAsia="es-AR"/>
              </w:rPr>
            </w:pPr>
          </w:p>
        </w:tc>
        <w:tc>
          <w:tcPr>
            <w:tcW w:w="883" w:type="dxa"/>
            <w:tcBorders>
              <w:top w:val="nil"/>
              <w:left w:val="nil"/>
              <w:bottom w:val="nil"/>
              <w:right w:val="nil"/>
            </w:tcBorders>
            <w:shd w:val="clear" w:color="auto" w:fill="auto"/>
            <w:vAlign w:val="bottom"/>
          </w:tcPr>
          <w:p w14:paraId="1472DB0D" w14:textId="77777777" w:rsidR="0010523F" w:rsidRPr="0010523F" w:rsidRDefault="0010523F" w:rsidP="0010523F">
            <w:pPr>
              <w:spacing w:line="12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bottom"/>
          </w:tcPr>
          <w:p w14:paraId="154A3700" w14:textId="77777777" w:rsidR="0010523F" w:rsidRPr="0010523F" w:rsidRDefault="0010523F" w:rsidP="0010523F">
            <w:pPr>
              <w:spacing w:line="120" w:lineRule="exact"/>
              <w:jc w:val="both"/>
              <w:rPr>
                <w:color w:val="000000"/>
                <w:sz w:val="18"/>
                <w:szCs w:val="18"/>
                <w:lang w:val="es-AR" w:eastAsia="es-AR"/>
              </w:rPr>
            </w:pPr>
          </w:p>
        </w:tc>
        <w:tc>
          <w:tcPr>
            <w:tcW w:w="958" w:type="dxa"/>
            <w:tcBorders>
              <w:top w:val="nil"/>
              <w:left w:val="nil"/>
              <w:bottom w:val="nil"/>
              <w:right w:val="nil"/>
            </w:tcBorders>
            <w:shd w:val="clear" w:color="auto" w:fill="auto"/>
            <w:vAlign w:val="bottom"/>
          </w:tcPr>
          <w:p w14:paraId="5B2CB418" w14:textId="77777777" w:rsidR="0010523F" w:rsidRPr="0010523F" w:rsidRDefault="0010523F" w:rsidP="0010523F">
            <w:pPr>
              <w:spacing w:line="12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bottom"/>
          </w:tcPr>
          <w:p w14:paraId="5D05E64B" w14:textId="77777777" w:rsidR="0010523F" w:rsidRPr="0010523F" w:rsidRDefault="0010523F" w:rsidP="0010523F">
            <w:pPr>
              <w:spacing w:line="120" w:lineRule="exact"/>
              <w:jc w:val="both"/>
              <w:rPr>
                <w:color w:val="000000"/>
                <w:sz w:val="18"/>
                <w:szCs w:val="18"/>
                <w:lang w:val="es-AR" w:eastAsia="es-AR"/>
              </w:rPr>
            </w:pPr>
          </w:p>
        </w:tc>
        <w:tc>
          <w:tcPr>
            <w:tcW w:w="1100" w:type="dxa"/>
            <w:tcBorders>
              <w:top w:val="nil"/>
              <w:left w:val="nil"/>
              <w:bottom w:val="nil"/>
              <w:right w:val="nil"/>
            </w:tcBorders>
            <w:shd w:val="clear" w:color="auto" w:fill="auto"/>
            <w:vAlign w:val="bottom"/>
          </w:tcPr>
          <w:p w14:paraId="4660A276" w14:textId="77777777" w:rsidR="0010523F" w:rsidRPr="0010523F" w:rsidRDefault="0010523F" w:rsidP="0010523F">
            <w:pPr>
              <w:spacing w:line="12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bottom"/>
          </w:tcPr>
          <w:p w14:paraId="04457332" w14:textId="77777777" w:rsidR="0010523F" w:rsidRPr="0010523F" w:rsidRDefault="0010523F" w:rsidP="0010523F">
            <w:pPr>
              <w:spacing w:line="120" w:lineRule="exact"/>
              <w:jc w:val="both"/>
              <w:rPr>
                <w:color w:val="000000"/>
                <w:sz w:val="18"/>
                <w:szCs w:val="18"/>
                <w:lang w:val="es-AR" w:eastAsia="es-AR"/>
              </w:rPr>
            </w:pPr>
          </w:p>
        </w:tc>
        <w:tc>
          <w:tcPr>
            <w:tcW w:w="906" w:type="dxa"/>
            <w:tcBorders>
              <w:top w:val="nil"/>
              <w:left w:val="nil"/>
              <w:bottom w:val="nil"/>
              <w:right w:val="nil"/>
            </w:tcBorders>
            <w:shd w:val="clear" w:color="auto" w:fill="auto"/>
            <w:vAlign w:val="bottom"/>
          </w:tcPr>
          <w:p w14:paraId="7760EEF9" w14:textId="77777777" w:rsidR="0010523F" w:rsidRPr="0010523F" w:rsidRDefault="0010523F" w:rsidP="0010523F">
            <w:pPr>
              <w:spacing w:line="120" w:lineRule="exact"/>
              <w:jc w:val="both"/>
              <w:rPr>
                <w:color w:val="000000"/>
                <w:sz w:val="18"/>
                <w:szCs w:val="18"/>
                <w:lang w:val="es-AR" w:eastAsia="es-AR"/>
              </w:rPr>
            </w:pPr>
          </w:p>
        </w:tc>
        <w:tc>
          <w:tcPr>
            <w:tcW w:w="831" w:type="dxa"/>
            <w:tcBorders>
              <w:top w:val="nil"/>
              <w:left w:val="nil"/>
              <w:bottom w:val="nil"/>
              <w:right w:val="nil"/>
            </w:tcBorders>
            <w:shd w:val="clear" w:color="auto" w:fill="auto"/>
            <w:vAlign w:val="bottom"/>
          </w:tcPr>
          <w:p w14:paraId="5CBCADEE" w14:textId="77777777" w:rsidR="0010523F" w:rsidRPr="0010523F" w:rsidRDefault="0010523F" w:rsidP="0010523F">
            <w:pPr>
              <w:spacing w:line="120" w:lineRule="exact"/>
              <w:jc w:val="both"/>
              <w:rPr>
                <w:color w:val="000000"/>
                <w:sz w:val="18"/>
                <w:szCs w:val="18"/>
                <w:lang w:val="es-AR" w:eastAsia="es-AR"/>
              </w:rPr>
            </w:pPr>
          </w:p>
        </w:tc>
        <w:tc>
          <w:tcPr>
            <w:tcW w:w="160" w:type="dxa"/>
            <w:tcBorders>
              <w:top w:val="nil"/>
              <w:left w:val="nil"/>
              <w:bottom w:val="nil"/>
              <w:right w:val="nil"/>
            </w:tcBorders>
            <w:shd w:val="clear" w:color="auto" w:fill="auto"/>
            <w:vAlign w:val="bottom"/>
          </w:tcPr>
          <w:p w14:paraId="4D697DD1" w14:textId="77777777" w:rsidR="0010523F" w:rsidRPr="0010523F" w:rsidRDefault="0010523F" w:rsidP="0010523F">
            <w:pPr>
              <w:spacing w:line="120" w:lineRule="exact"/>
              <w:jc w:val="both"/>
              <w:rPr>
                <w:color w:val="000000"/>
                <w:sz w:val="18"/>
                <w:szCs w:val="18"/>
                <w:lang w:val="es-AR" w:eastAsia="es-AR"/>
              </w:rPr>
            </w:pPr>
          </w:p>
        </w:tc>
        <w:tc>
          <w:tcPr>
            <w:tcW w:w="977" w:type="dxa"/>
            <w:tcBorders>
              <w:top w:val="nil"/>
              <w:left w:val="nil"/>
              <w:bottom w:val="nil"/>
              <w:right w:val="nil"/>
            </w:tcBorders>
            <w:shd w:val="clear" w:color="auto" w:fill="auto"/>
            <w:vAlign w:val="bottom"/>
          </w:tcPr>
          <w:p w14:paraId="630CAC84" w14:textId="77777777" w:rsidR="0010523F" w:rsidRPr="0010523F" w:rsidRDefault="0010523F" w:rsidP="0010523F">
            <w:pPr>
              <w:spacing w:line="120" w:lineRule="exact"/>
              <w:jc w:val="both"/>
              <w:rPr>
                <w:color w:val="000000"/>
                <w:sz w:val="18"/>
                <w:szCs w:val="18"/>
                <w:lang w:val="es-AR" w:eastAsia="es-AR"/>
              </w:rPr>
            </w:pPr>
          </w:p>
        </w:tc>
      </w:tr>
      <w:tr w:rsidR="0010523F" w:rsidRPr="0010523F" w14:paraId="33B64140" w14:textId="77777777" w:rsidTr="00774E7E">
        <w:trPr>
          <w:trHeight w:val="170"/>
        </w:trPr>
        <w:tc>
          <w:tcPr>
            <w:tcW w:w="3276" w:type="dxa"/>
            <w:tcBorders>
              <w:top w:val="nil"/>
              <w:left w:val="nil"/>
              <w:bottom w:val="nil"/>
              <w:right w:val="nil"/>
            </w:tcBorders>
            <w:shd w:val="clear" w:color="auto" w:fill="auto"/>
            <w:vAlign w:val="center"/>
            <w:hideMark/>
          </w:tcPr>
          <w:p w14:paraId="43F72E1B" w14:textId="77777777" w:rsidR="0010523F" w:rsidRPr="0010523F" w:rsidRDefault="0010523F" w:rsidP="0010523F">
            <w:pPr>
              <w:spacing w:line="200" w:lineRule="exact"/>
              <w:ind w:left="141"/>
              <w:jc w:val="both"/>
              <w:rPr>
                <w:color w:val="000000"/>
                <w:sz w:val="18"/>
                <w:szCs w:val="18"/>
                <w:lang w:val="es-AR" w:eastAsia="es-AR"/>
              </w:rPr>
            </w:pPr>
            <w:r w:rsidRPr="0010523F">
              <w:rPr>
                <w:color w:val="000000"/>
                <w:sz w:val="18"/>
                <w:szCs w:val="18"/>
                <w:lang w:val="es-AR" w:eastAsia="es-AR"/>
              </w:rPr>
              <w:t>Activos financieros valuados a valor razonable con cambios en otro resultado integral</w:t>
            </w:r>
          </w:p>
        </w:tc>
        <w:tc>
          <w:tcPr>
            <w:tcW w:w="960" w:type="dxa"/>
            <w:tcBorders>
              <w:top w:val="nil"/>
              <w:left w:val="nil"/>
              <w:bottom w:val="nil"/>
              <w:right w:val="nil"/>
            </w:tcBorders>
            <w:shd w:val="clear" w:color="auto" w:fill="auto"/>
            <w:vAlign w:val="bottom"/>
            <w:hideMark/>
          </w:tcPr>
          <w:p w14:paraId="7CB093DA"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883" w:type="dxa"/>
            <w:tcBorders>
              <w:top w:val="nil"/>
              <w:left w:val="nil"/>
              <w:bottom w:val="nil"/>
              <w:right w:val="nil"/>
            </w:tcBorders>
            <w:shd w:val="clear" w:color="auto" w:fill="auto"/>
            <w:vAlign w:val="bottom"/>
            <w:hideMark/>
          </w:tcPr>
          <w:p w14:paraId="1D250E6E"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31A74BBB" w14:textId="77777777" w:rsidR="0010523F" w:rsidRPr="0010523F" w:rsidRDefault="0010523F" w:rsidP="0010523F">
            <w:pPr>
              <w:spacing w:line="200" w:lineRule="exact"/>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7A11207E"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7E1880A0" w14:textId="77777777" w:rsidR="0010523F" w:rsidRPr="0010523F" w:rsidRDefault="0010523F" w:rsidP="0010523F">
            <w:pPr>
              <w:spacing w:line="200" w:lineRule="exact"/>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0D0B67E6"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99D9A15" w14:textId="77777777" w:rsidR="0010523F" w:rsidRPr="0010523F" w:rsidRDefault="0010523F" w:rsidP="0010523F">
            <w:pPr>
              <w:spacing w:line="20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7E2CBB97"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26.028</w:t>
            </w:r>
          </w:p>
        </w:tc>
        <w:tc>
          <w:tcPr>
            <w:tcW w:w="831" w:type="dxa"/>
            <w:tcBorders>
              <w:top w:val="nil"/>
              <w:left w:val="nil"/>
              <w:bottom w:val="nil"/>
              <w:right w:val="nil"/>
            </w:tcBorders>
            <w:shd w:val="clear" w:color="auto" w:fill="auto"/>
            <w:vAlign w:val="bottom"/>
            <w:hideMark/>
          </w:tcPr>
          <w:p w14:paraId="15259741"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5E2854C7" w14:textId="77777777" w:rsidR="0010523F" w:rsidRPr="0010523F" w:rsidRDefault="0010523F" w:rsidP="0010523F">
            <w:pPr>
              <w:spacing w:line="20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4C495106" w14:textId="77777777" w:rsidR="0010523F" w:rsidRPr="0010523F" w:rsidRDefault="0010523F" w:rsidP="0010523F">
            <w:pPr>
              <w:spacing w:line="200" w:lineRule="exact"/>
              <w:jc w:val="right"/>
              <w:rPr>
                <w:color w:val="000000"/>
                <w:sz w:val="18"/>
                <w:szCs w:val="18"/>
                <w:lang w:val="es-AR" w:eastAsia="es-AR"/>
              </w:rPr>
            </w:pPr>
            <w:r w:rsidRPr="0010523F">
              <w:rPr>
                <w:color w:val="000000"/>
                <w:sz w:val="18"/>
                <w:szCs w:val="18"/>
                <w:lang w:val="es-AR" w:eastAsia="es-AR"/>
              </w:rPr>
              <w:t>981</w:t>
            </w:r>
          </w:p>
        </w:tc>
      </w:tr>
      <w:tr w:rsidR="0010523F" w:rsidRPr="0010523F" w14:paraId="4C3160D0" w14:textId="77777777" w:rsidTr="00774E7E">
        <w:trPr>
          <w:trHeight w:val="113"/>
        </w:trPr>
        <w:tc>
          <w:tcPr>
            <w:tcW w:w="3276" w:type="dxa"/>
            <w:tcBorders>
              <w:top w:val="nil"/>
              <w:left w:val="nil"/>
              <w:bottom w:val="nil"/>
              <w:right w:val="nil"/>
            </w:tcBorders>
            <w:shd w:val="clear" w:color="auto" w:fill="auto"/>
            <w:vAlign w:val="center"/>
            <w:hideMark/>
          </w:tcPr>
          <w:p w14:paraId="71F20791" w14:textId="77777777" w:rsidR="0010523F" w:rsidRPr="0010523F" w:rsidRDefault="0010523F" w:rsidP="0010523F">
            <w:pPr>
              <w:spacing w:line="120" w:lineRule="exact"/>
              <w:jc w:val="both"/>
              <w:rPr>
                <w:color w:val="000000"/>
                <w:sz w:val="18"/>
                <w:szCs w:val="18"/>
                <w:lang w:val="es-AR" w:eastAsia="es-AR"/>
              </w:rPr>
            </w:pPr>
          </w:p>
        </w:tc>
        <w:tc>
          <w:tcPr>
            <w:tcW w:w="960" w:type="dxa"/>
            <w:tcBorders>
              <w:top w:val="nil"/>
              <w:left w:val="nil"/>
              <w:bottom w:val="nil"/>
              <w:right w:val="nil"/>
            </w:tcBorders>
            <w:shd w:val="clear" w:color="auto" w:fill="auto"/>
            <w:vAlign w:val="bottom"/>
            <w:hideMark/>
          </w:tcPr>
          <w:p w14:paraId="6D194547" w14:textId="77777777" w:rsidR="0010523F" w:rsidRPr="0010523F" w:rsidRDefault="0010523F" w:rsidP="0010523F">
            <w:pPr>
              <w:spacing w:line="120" w:lineRule="exact"/>
              <w:jc w:val="right"/>
              <w:rPr>
                <w:color w:val="000000"/>
                <w:sz w:val="18"/>
                <w:szCs w:val="18"/>
                <w:highlight w:val="yellow"/>
                <w:lang w:val="es-AR" w:eastAsia="es-AR"/>
              </w:rPr>
            </w:pPr>
          </w:p>
        </w:tc>
        <w:tc>
          <w:tcPr>
            <w:tcW w:w="883" w:type="dxa"/>
            <w:tcBorders>
              <w:top w:val="nil"/>
              <w:left w:val="nil"/>
              <w:bottom w:val="nil"/>
              <w:right w:val="nil"/>
            </w:tcBorders>
            <w:shd w:val="clear" w:color="auto" w:fill="auto"/>
            <w:vAlign w:val="bottom"/>
            <w:hideMark/>
          </w:tcPr>
          <w:p w14:paraId="7D839B84" w14:textId="77777777" w:rsidR="0010523F" w:rsidRPr="0010523F" w:rsidRDefault="0010523F" w:rsidP="0010523F">
            <w:pPr>
              <w:spacing w:line="12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3CF2185B" w14:textId="77777777" w:rsidR="0010523F" w:rsidRPr="0010523F" w:rsidRDefault="0010523F" w:rsidP="0010523F">
            <w:pPr>
              <w:spacing w:line="120" w:lineRule="exact"/>
              <w:jc w:val="right"/>
              <w:rPr>
                <w:color w:val="000000"/>
                <w:sz w:val="18"/>
                <w:szCs w:val="18"/>
                <w:highlight w:val="yellow"/>
                <w:lang w:val="es-AR" w:eastAsia="es-AR"/>
              </w:rPr>
            </w:pPr>
          </w:p>
        </w:tc>
        <w:tc>
          <w:tcPr>
            <w:tcW w:w="958" w:type="dxa"/>
            <w:tcBorders>
              <w:top w:val="nil"/>
              <w:left w:val="nil"/>
              <w:bottom w:val="nil"/>
              <w:right w:val="nil"/>
            </w:tcBorders>
            <w:shd w:val="clear" w:color="auto" w:fill="auto"/>
            <w:vAlign w:val="bottom"/>
            <w:hideMark/>
          </w:tcPr>
          <w:p w14:paraId="2E9D2936" w14:textId="77777777" w:rsidR="0010523F" w:rsidRPr="0010523F" w:rsidRDefault="0010523F" w:rsidP="0010523F">
            <w:pPr>
              <w:spacing w:line="12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E42C166" w14:textId="77777777" w:rsidR="0010523F" w:rsidRPr="0010523F" w:rsidRDefault="0010523F" w:rsidP="0010523F">
            <w:pPr>
              <w:spacing w:line="120" w:lineRule="exact"/>
              <w:jc w:val="right"/>
              <w:rPr>
                <w:color w:val="000000"/>
                <w:sz w:val="18"/>
                <w:szCs w:val="18"/>
                <w:highlight w:val="yellow"/>
                <w:lang w:val="es-AR" w:eastAsia="es-AR"/>
              </w:rPr>
            </w:pPr>
          </w:p>
        </w:tc>
        <w:tc>
          <w:tcPr>
            <w:tcW w:w="1100" w:type="dxa"/>
            <w:tcBorders>
              <w:top w:val="nil"/>
              <w:left w:val="nil"/>
              <w:bottom w:val="nil"/>
              <w:right w:val="nil"/>
            </w:tcBorders>
            <w:shd w:val="clear" w:color="auto" w:fill="auto"/>
            <w:vAlign w:val="bottom"/>
            <w:hideMark/>
          </w:tcPr>
          <w:p w14:paraId="42025C84" w14:textId="77777777" w:rsidR="0010523F" w:rsidRPr="0010523F" w:rsidRDefault="0010523F" w:rsidP="0010523F">
            <w:pPr>
              <w:spacing w:line="120" w:lineRule="exact"/>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6FA41475" w14:textId="77777777" w:rsidR="0010523F" w:rsidRPr="0010523F" w:rsidRDefault="0010523F" w:rsidP="0010523F">
            <w:pPr>
              <w:spacing w:line="120" w:lineRule="exact"/>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04B1CAE9" w14:textId="77777777" w:rsidR="0010523F" w:rsidRPr="0010523F" w:rsidRDefault="0010523F" w:rsidP="0010523F">
            <w:pPr>
              <w:spacing w:line="120" w:lineRule="exact"/>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33C2109B" w14:textId="77777777" w:rsidR="0010523F" w:rsidRPr="0010523F" w:rsidRDefault="0010523F" w:rsidP="0010523F">
            <w:pPr>
              <w:spacing w:line="12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3703DA7C" w14:textId="77777777" w:rsidR="0010523F" w:rsidRPr="0010523F" w:rsidRDefault="0010523F" w:rsidP="0010523F">
            <w:pPr>
              <w:spacing w:line="120" w:lineRule="exact"/>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29E18829" w14:textId="77777777" w:rsidR="0010523F" w:rsidRPr="0010523F" w:rsidRDefault="0010523F" w:rsidP="0010523F">
            <w:pPr>
              <w:spacing w:line="120" w:lineRule="exact"/>
              <w:jc w:val="right"/>
              <w:rPr>
                <w:color w:val="000000"/>
                <w:sz w:val="18"/>
                <w:szCs w:val="18"/>
                <w:lang w:val="es-AR" w:eastAsia="es-AR"/>
              </w:rPr>
            </w:pPr>
          </w:p>
        </w:tc>
      </w:tr>
      <w:tr w:rsidR="0010523F" w:rsidRPr="0010523F" w14:paraId="292DF9BF" w14:textId="77777777" w:rsidTr="00774E7E">
        <w:trPr>
          <w:trHeight w:val="170"/>
        </w:trPr>
        <w:tc>
          <w:tcPr>
            <w:tcW w:w="3276" w:type="dxa"/>
            <w:tcBorders>
              <w:top w:val="nil"/>
              <w:left w:val="nil"/>
              <w:bottom w:val="nil"/>
              <w:right w:val="nil"/>
            </w:tcBorders>
            <w:shd w:val="clear" w:color="auto" w:fill="auto"/>
            <w:vAlign w:val="center"/>
            <w:hideMark/>
          </w:tcPr>
          <w:p w14:paraId="1D5BF630"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Créditos por ventas</w:t>
            </w:r>
          </w:p>
        </w:tc>
        <w:tc>
          <w:tcPr>
            <w:tcW w:w="960" w:type="dxa"/>
            <w:tcBorders>
              <w:top w:val="nil"/>
              <w:left w:val="nil"/>
              <w:bottom w:val="nil"/>
              <w:right w:val="nil"/>
            </w:tcBorders>
            <w:shd w:val="clear" w:color="auto" w:fill="auto"/>
            <w:vAlign w:val="bottom"/>
            <w:hideMark/>
          </w:tcPr>
          <w:p w14:paraId="6C00551E" w14:textId="77777777" w:rsidR="0010523F" w:rsidRPr="0010523F" w:rsidRDefault="0010523F" w:rsidP="0010523F">
            <w:pPr>
              <w:jc w:val="right"/>
              <w:rPr>
                <w:color w:val="000000"/>
                <w:sz w:val="18"/>
                <w:szCs w:val="18"/>
                <w:highlight w:val="yellow"/>
                <w:lang w:val="es-AR" w:eastAsia="es-AR"/>
              </w:rPr>
            </w:pPr>
          </w:p>
        </w:tc>
        <w:tc>
          <w:tcPr>
            <w:tcW w:w="883" w:type="dxa"/>
            <w:tcBorders>
              <w:top w:val="nil"/>
              <w:left w:val="nil"/>
              <w:bottom w:val="nil"/>
              <w:right w:val="nil"/>
            </w:tcBorders>
            <w:shd w:val="clear" w:color="auto" w:fill="auto"/>
            <w:vAlign w:val="bottom"/>
            <w:hideMark/>
          </w:tcPr>
          <w:p w14:paraId="63CE5D40"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EDC5C1A" w14:textId="77777777" w:rsidR="0010523F" w:rsidRPr="0010523F" w:rsidRDefault="0010523F" w:rsidP="0010523F">
            <w:pPr>
              <w:jc w:val="right"/>
              <w:rPr>
                <w:color w:val="000000"/>
                <w:sz w:val="18"/>
                <w:szCs w:val="18"/>
                <w:highlight w:val="yellow"/>
                <w:lang w:val="es-AR" w:eastAsia="es-AR"/>
              </w:rPr>
            </w:pPr>
          </w:p>
        </w:tc>
        <w:tc>
          <w:tcPr>
            <w:tcW w:w="958" w:type="dxa"/>
            <w:tcBorders>
              <w:top w:val="nil"/>
              <w:left w:val="nil"/>
              <w:bottom w:val="nil"/>
              <w:right w:val="nil"/>
            </w:tcBorders>
            <w:shd w:val="clear" w:color="auto" w:fill="auto"/>
            <w:vAlign w:val="bottom"/>
            <w:hideMark/>
          </w:tcPr>
          <w:p w14:paraId="66C65B50"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62A9EE4B" w14:textId="77777777" w:rsidR="0010523F" w:rsidRPr="0010523F" w:rsidRDefault="0010523F" w:rsidP="0010523F">
            <w:pPr>
              <w:jc w:val="right"/>
              <w:rPr>
                <w:color w:val="000000"/>
                <w:sz w:val="18"/>
                <w:szCs w:val="18"/>
                <w:highlight w:val="yellow"/>
                <w:lang w:val="es-AR" w:eastAsia="es-AR"/>
              </w:rPr>
            </w:pPr>
          </w:p>
        </w:tc>
        <w:tc>
          <w:tcPr>
            <w:tcW w:w="1100" w:type="dxa"/>
            <w:tcBorders>
              <w:top w:val="nil"/>
              <w:left w:val="nil"/>
              <w:bottom w:val="nil"/>
              <w:right w:val="nil"/>
            </w:tcBorders>
            <w:shd w:val="clear" w:color="auto" w:fill="auto"/>
            <w:vAlign w:val="bottom"/>
            <w:hideMark/>
          </w:tcPr>
          <w:p w14:paraId="2C27921B"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051CEE01"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41E347D2" w14:textId="77777777" w:rsidR="0010523F" w:rsidRPr="0010523F" w:rsidRDefault="0010523F" w:rsidP="0010523F">
            <w:pPr>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47472A9D"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03AB562"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374D3D1B" w14:textId="77777777" w:rsidR="0010523F" w:rsidRPr="0010523F" w:rsidRDefault="0010523F" w:rsidP="0010523F">
            <w:pPr>
              <w:jc w:val="right"/>
              <w:rPr>
                <w:color w:val="000000"/>
                <w:sz w:val="18"/>
                <w:szCs w:val="18"/>
                <w:lang w:val="es-AR" w:eastAsia="es-AR"/>
              </w:rPr>
            </w:pPr>
          </w:p>
        </w:tc>
      </w:tr>
      <w:tr w:rsidR="0010523F" w:rsidRPr="0010523F" w14:paraId="6902B5A9" w14:textId="77777777" w:rsidTr="00774E7E">
        <w:trPr>
          <w:trHeight w:val="170"/>
        </w:trPr>
        <w:tc>
          <w:tcPr>
            <w:tcW w:w="3276" w:type="dxa"/>
            <w:tcBorders>
              <w:top w:val="nil"/>
              <w:left w:val="nil"/>
              <w:bottom w:val="nil"/>
              <w:right w:val="nil"/>
            </w:tcBorders>
            <w:shd w:val="clear" w:color="auto" w:fill="auto"/>
            <w:vAlign w:val="center"/>
            <w:hideMark/>
          </w:tcPr>
          <w:p w14:paraId="63D2CC0E"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Con terceros</w:t>
            </w:r>
          </w:p>
        </w:tc>
        <w:tc>
          <w:tcPr>
            <w:tcW w:w="960" w:type="dxa"/>
            <w:tcBorders>
              <w:top w:val="nil"/>
              <w:left w:val="nil"/>
              <w:bottom w:val="nil"/>
              <w:right w:val="nil"/>
            </w:tcBorders>
            <w:shd w:val="clear" w:color="auto" w:fill="auto"/>
            <w:vAlign w:val="bottom"/>
            <w:hideMark/>
          </w:tcPr>
          <w:p w14:paraId="28EB33B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n-US"/>
              </w:rPr>
              <w:t xml:space="preserve">181.773 </w:t>
            </w:r>
          </w:p>
        </w:tc>
        <w:tc>
          <w:tcPr>
            <w:tcW w:w="883" w:type="dxa"/>
            <w:tcBorders>
              <w:top w:val="nil"/>
              <w:left w:val="nil"/>
              <w:bottom w:val="nil"/>
              <w:right w:val="nil"/>
            </w:tcBorders>
            <w:shd w:val="clear" w:color="auto" w:fill="auto"/>
            <w:vAlign w:val="bottom"/>
            <w:hideMark/>
          </w:tcPr>
          <w:p w14:paraId="622BCC4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45485645"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032281C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5DD9EB5D"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0C27257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10.419</w:t>
            </w:r>
          </w:p>
        </w:tc>
        <w:tc>
          <w:tcPr>
            <w:tcW w:w="160" w:type="dxa"/>
            <w:tcBorders>
              <w:top w:val="nil"/>
              <w:left w:val="nil"/>
              <w:bottom w:val="nil"/>
              <w:right w:val="nil"/>
            </w:tcBorders>
            <w:shd w:val="clear" w:color="auto" w:fill="auto"/>
            <w:vAlign w:val="bottom"/>
            <w:hideMark/>
          </w:tcPr>
          <w:p w14:paraId="54D5B03B"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24D6AB6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216.769</w:t>
            </w:r>
          </w:p>
        </w:tc>
        <w:tc>
          <w:tcPr>
            <w:tcW w:w="831" w:type="dxa"/>
            <w:tcBorders>
              <w:top w:val="nil"/>
              <w:left w:val="nil"/>
              <w:bottom w:val="nil"/>
              <w:right w:val="nil"/>
            </w:tcBorders>
            <w:shd w:val="clear" w:color="auto" w:fill="auto"/>
            <w:vAlign w:val="bottom"/>
            <w:hideMark/>
          </w:tcPr>
          <w:p w14:paraId="5A79DAA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FC5B214"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2E4D5D5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8.172</w:t>
            </w:r>
          </w:p>
        </w:tc>
      </w:tr>
      <w:tr w:rsidR="0010523F" w:rsidRPr="0010523F" w14:paraId="7ED3003D" w14:textId="77777777" w:rsidTr="00774E7E">
        <w:trPr>
          <w:trHeight w:val="170"/>
        </w:trPr>
        <w:tc>
          <w:tcPr>
            <w:tcW w:w="3276" w:type="dxa"/>
            <w:tcBorders>
              <w:top w:val="nil"/>
              <w:left w:val="nil"/>
              <w:bottom w:val="nil"/>
              <w:right w:val="nil"/>
            </w:tcBorders>
            <w:shd w:val="clear" w:color="auto" w:fill="auto"/>
            <w:vAlign w:val="center"/>
            <w:hideMark/>
          </w:tcPr>
          <w:p w14:paraId="27FFF32E"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Con partes relacionadas</w:t>
            </w:r>
          </w:p>
        </w:tc>
        <w:tc>
          <w:tcPr>
            <w:tcW w:w="960" w:type="dxa"/>
            <w:tcBorders>
              <w:top w:val="nil"/>
              <w:left w:val="nil"/>
              <w:bottom w:val="nil"/>
              <w:right w:val="nil"/>
            </w:tcBorders>
            <w:shd w:val="clear" w:color="auto" w:fill="auto"/>
            <w:vAlign w:val="bottom"/>
            <w:hideMark/>
          </w:tcPr>
          <w:p w14:paraId="2120FCE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n-US"/>
              </w:rPr>
              <w:t xml:space="preserve">275 </w:t>
            </w:r>
          </w:p>
        </w:tc>
        <w:tc>
          <w:tcPr>
            <w:tcW w:w="883" w:type="dxa"/>
            <w:tcBorders>
              <w:top w:val="nil"/>
              <w:left w:val="nil"/>
              <w:bottom w:val="nil"/>
              <w:right w:val="nil"/>
            </w:tcBorders>
            <w:shd w:val="clear" w:color="auto" w:fill="auto"/>
            <w:vAlign w:val="bottom"/>
            <w:hideMark/>
          </w:tcPr>
          <w:p w14:paraId="099432C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56C7028"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7C17780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2B64D261"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55E7964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16</w:t>
            </w:r>
          </w:p>
        </w:tc>
        <w:tc>
          <w:tcPr>
            <w:tcW w:w="160" w:type="dxa"/>
            <w:tcBorders>
              <w:top w:val="nil"/>
              <w:left w:val="nil"/>
              <w:bottom w:val="nil"/>
              <w:right w:val="nil"/>
            </w:tcBorders>
            <w:shd w:val="clear" w:color="auto" w:fill="auto"/>
            <w:vAlign w:val="bottom"/>
            <w:hideMark/>
          </w:tcPr>
          <w:p w14:paraId="307DD141"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65D176D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48.661</w:t>
            </w:r>
          </w:p>
        </w:tc>
        <w:tc>
          <w:tcPr>
            <w:tcW w:w="831" w:type="dxa"/>
            <w:tcBorders>
              <w:top w:val="nil"/>
              <w:left w:val="nil"/>
              <w:bottom w:val="nil"/>
              <w:right w:val="nil"/>
            </w:tcBorders>
            <w:shd w:val="clear" w:color="auto" w:fill="auto"/>
            <w:vAlign w:val="bottom"/>
            <w:hideMark/>
          </w:tcPr>
          <w:p w14:paraId="2FC7FF5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269BE7DA"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461A6CF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1.835</w:t>
            </w:r>
          </w:p>
        </w:tc>
      </w:tr>
      <w:tr w:rsidR="0010523F" w:rsidRPr="0010523F" w14:paraId="61177F44" w14:textId="77777777" w:rsidTr="00774E7E">
        <w:trPr>
          <w:trHeight w:val="170"/>
        </w:trPr>
        <w:tc>
          <w:tcPr>
            <w:tcW w:w="3276" w:type="dxa"/>
            <w:tcBorders>
              <w:top w:val="nil"/>
              <w:left w:val="nil"/>
              <w:bottom w:val="nil"/>
              <w:right w:val="nil"/>
            </w:tcBorders>
            <w:shd w:val="clear" w:color="auto" w:fill="auto"/>
            <w:vAlign w:val="center"/>
            <w:hideMark/>
          </w:tcPr>
          <w:p w14:paraId="7FBD336B"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Previsión para deudores incobrables</w:t>
            </w:r>
          </w:p>
        </w:tc>
        <w:tc>
          <w:tcPr>
            <w:tcW w:w="960" w:type="dxa"/>
            <w:tcBorders>
              <w:top w:val="nil"/>
              <w:left w:val="nil"/>
              <w:bottom w:val="nil"/>
              <w:right w:val="nil"/>
            </w:tcBorders>
            <w:shd w:val="clear" w:color="auto" w:fill="auto"/>
            <w:vAlign w:val="bottom"/>
            <w:hideMark/>
          </w:tcPr>
          <w:p w14:paraId="186A9B7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n-US"/>
              </w:rPr>
              <w:t xml:space="preserve">( 10.434) </w:t>
            </w:r>
          </w:p>
        </w:tc>
        <w:tc>
          <w:tcPr>
            <w:tcW w:w="883" w:type="dxa"/>
            <w:tcBorders>
              <w:top w:val="nil"/>
              <w:left w:val="nil"/>
              <w:bottom w:val="nil"/>
              <w:right w:val="nil"/>
            </w:tcBorders>
            <w:shd w:val="clear" w:color="auto" w:fill="auto"/>
            <w:vAlign w:val="bottom"/>
            <w:hideMark/>
          </w:tcPr>
          <w:p w14:paraId="4CDAE6F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4DC720C"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180FECA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35F7C380"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7D13DBBD"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  598)</w:t>
            </w:r>
          </w:p>
        </w:tc>
        <w:tc>
          <w:tcPr>
            <w:tcW w:w="160" w:type="dxa"/>
            <w:tcBorders>
              <w:top w:val="nil"/>
              <w:left w:val="nil"/>
              <w:bottom w:val="nil"/>
              <w:right w:val="nil"/>
            </w:tcBorders>
            <w:shd w:val="clear" w:color="auto" w:fill="auto"/>
            <w:vAlign w:val="bottom"/>
            <w:hideMark/>
          </w:tcPr>
          <w:p w14:paraId="7DE1E47B"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5E07489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(13.705)</w:t>
            </w:r>
          </w:p>
        </w:tc>
        <w:tc>
          <w:tcPr>
            <w:tcW w:w="831" w:type="dxa"/>
            <w:tcBorders>
              <w:top w:val="nil"/>
              <w:left w:val="nil"/>
              <w:bottom w:val="nil"/>
              <w:right w:val="nil"/>
            </w:tcBorders>
            <w:shd w:val="clear" w:color="auto" w:fill="auto"/>
            <w:vAlign w:val="bottom"/>
            <w:hideMark/>
          </w:tcPr>
          <w:p w14:paraId="5878466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930F7AB"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069A1B5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(517)</w:t>
            </w:r>
          </w:p>
        </w:tc>
      </w:tr>
      <w:tr w:rsidR="0010523F" w:rsidRPr="0010523F" w14:paraId="3157DE33" w14:textId="77777777" w:rsidTr="00774E7E">
        <w:trPr>
          <w:trHeight w:val="113"/>
        </w:trPr>
        <w:tc>
          <w:tcPr>
            <w:tcW w:w="3276" w:type="dxa"/>
            <w:tcBorders>
              <w:top w:val="nil"/>
              <w:left w:val="nil"/>
              <w:bottom w:val="nil"/>
              <w:right w:val="nil"/>
            </w:tcBorders>
            <w:shd w:val="clear" w:color="auto" w:fill="auto"/>
            <w:vAlign w:val="center"/>
            <w:hideMark/>
          </w:tcPr>
          <w:p w14:paraId="5D7A496A" w14:textId="77777777" w:rsidR="0010523F" w:rsidRPr="0010523F" w:rsidRDefault="0010523F" w:rsidP="0010523F">
            <w:pPr>
              <w:jc w:val="both"/>
              <w:rPr>
                <w:color w:val="000000"/>
                <w:sz w:val="18"/>
                <w:szCs w:val="18"/>
                <w:lang w:val="es-AR" w:eastAsia="es-AR"/>
              </w:rPr>
            </w:pPr>
          </w:p>
        </w:tc>
        <w:tc>
          <w:tcPr>
            <w:tcW w:w="960" w:type="dxa"/>
            <w:tcBorders>
              <w:top w:val="nil"/>
              <w:left w:val="nil"/>
              <w:bottom w:val="nil"/>
              <w:right w:val="nil"/>
            </w:tcBorders>
            <w:shd w:val="clear" w:color="auto" w:fill="auto"/>
            <w:vAlign w:val="bottom"/>
            <w:hideMark/>
          </w:tcPr>
          <w:p w14:paraId="375F4F0F" w14:textId="77777777" w:rsidR="0010523F" w:rsidRPr="0010523F" w:rsidRDefault="0010523F" w:rsidP="0010523F">
            <w:pPr>
              <w:jc w:val="right"/>
              <w:rPr>
                <w:color w:val="000000"/>
                <w:sz w:val="18"/>
                <w:szCs w:val="18"/>
                <w:highlight w:val="yellow"/>
                <w:lang w:val="es-AR" w:eastAsia="es-AR"/>
              </w:rPr>
            </w:pPr>
          </w:p>
        </w:tc>
        <w:tc>
          <w:tcPr>
            <w:tcW w:w="883" w:type="dxa"/>
            <w:tcBorders>
              <w:top w:val="nil"/>
              <w:left w:val="nil"/>
              <w:bottom w:val="nil"/>
              <w:right w:val="nil"/>
            </w:tcBorders>
            <w:shd w:val="clear" w:color="auto" w:fill="auto"/>
            <w:vAlign w:val="bottom"/>
            <w:hideMark/>
          </w:tcPr>
          <w:p w14:paraId="5E68CD56"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59A42BE" w14:textId="77777777" w:rsidR="0010523F" w:rsidRPr="0010523F" w:rsidRDefault="0010523F" w:rsidP="0010523F">
            <w:pPr>
              <w:jc w:val="right"/>
              <w:rPr>
                <w:color w:val="000000"/>
                <w:sz w:val="18"/>
                <w:szCs w:val="18"/>
                <w:highlight w:val="yellow"/>
                <w:lang w:val="es-AR" w:eastAsia="es-AR"/>
              </w:rPr>
            </w:pPr>
          </w:p>
        </w:tc>
        <w:tc>
          <w:tcPr>
            <w:tcW w:w="958" w:type="dxa"/>
            <w:tcBorders>
              <w:top w:val="nil"/>
              <w:left w:val="nil"/>
              <w:bottom w:val="nil"/>
              <w:right w:val="nil"/>
            </w:tcBorders>
            <w:shd w:val="clear" w:color="auto" w:fill="auto"/>
            <w:vAlign w:val="bottom"/>
            <w:hideMark/>
          </w:tcPr>
          <w:p w14:paraId="39FF5F72"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4FD6BF6" w14:textId="77777777" w:rsidR="0010523F" w:rsidRPr="0010523F" w:rsidRDefault="0010523F" w:rsidP="0010523F">
            <w:pPr>
              <w:jc w:val="right"/>
              <w:rPr>
                <w:color w:val="000000"/>
                <w:sz w:val="18"/>
                <w:szCs w:val="18"/>
                <w:highlight w:val="yellow"/>
                <w:lang w:val="es-AR" w:eastAsia="es-AR"/>
              </w:rPr>
            </w:pPr>
          </w:p>
        </w:tc>
        <w:tc>
          <w:tcPr>
            <w:tcW w:w="1100" w:type="dxa"/>
            <w:tcBorders>
              <w:top w:val="nil"/>
              <w:left w:val="nil"/>
              <w:bottom w:val="nil"/>
              <w:right w:val="nil"/>
            </w:tcBorders>
            <w:shd w:val="clear" w:color="auto" w:fill="auto"/>
            <w:vAlign w:val="bottom"/>
            <w:hideMark/>
          </w:tcPr>
          <w:p w14:paraId="59238426"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42918018"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62EBEDD6" w14:textId="77777777" w:rsidR="0010523F" w:rsidRPr="0010523F" w:rsidRDefault="0010523F" w:rsidP="0010523F">
            <w:pPr>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101011C6"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386830A"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6A5DF39E" w14:textId="77777777" w:rsidR="0010523F" w:rsidRPr="0010523F" w:rsidRDefault="0010523F" w:rsidP="0010523F">
            <w:pPr>
              <w:jc w:val="right"/>
              <w:rPr>
                <w:color w:val="000000"/>
                <w:sz w:val="18"/>
                <w:szCs w:val="18"/>
                <w:lang w:val="es-AR" w:eastAsia="es-AR"/>
              </w:rPr>
            </w:pPr>
          </w:p>
        </w:tc>
      </w:tr>
      <w:tr w:rsidR="0010523F" w:rsidRPr="0010523F" w14:paraId="2F473250" w14:textId="77777777" w:rsidTr="00774E7E">
        <w:trPr>
          <w:trHeight w:val="170"/>
        </w:trPr>
        <w:tc>
          <w:tcPr>
            <w:tcW w:w="3276" w:type="dxa"/>
            <w:tcBorders>
              <w:top w:val="nil"/>
              <w:left w:val="nil"/>
              <w:bottom w:val="nil"/>
              <w:right w:val="nil"/>
            </w:tcBorders>
            <w:shd w:val="clear" w:color="auto" w:fill="auto"/>
            <w:vAlign w:val="center"/>
            <w:hideMark/>
          </w:tcPr>
          <w:p w14:paraId="12F4104A"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Otros créditos</w:t>
            </w:r>
          </w:p>
        </w:tc>
        <w:tc>
          <w:tcPr>
            <w:tcW w:w="960" w:type="dxa"/>
            <w:tcBorders>
              <w:top w:val="nil"/>
              <w:left w:val="nil"/>
              <w:bottom w:val="nil"/>
              <w:right w:val="nil"/>
            </w:tcBorders>
            <w:shd w:val="clear" w:color="auto" w:fill="auto"/>
            <w:vAlign w:val="bottom"/>
            <w:hideMark/>
          </w:tcPr>
          <w:p w14:paraId="38219E7B" w14:textId="77777777" w:rsidR="0010523F" w:rsidRPr="0010523F" w:rsidRDefault="0010523F" w:rsidP="0010523F">
            <w:pPr>
              <w:jc w:val="right"/>
              <w:rPr>
                <w:color w:val="000000"/>
                <w:sz w:val="18"/>
                <w:szCs w:val="18"/>
                <w:highlight w:val="yellow"/>
                <w:lang w:val="es-AR" w:eastAsia="es-AR"/>
              </w:rPr>
            </w:pPr>
          </w:p>
        </w:tc>
        <w:tc>
          <w:tcPr>
            <w:tcW w:w="883" w:type="dxa"/>
            <w:tcBorders>
              <w:top w:val="nil"/>
              <w:left w:val="nil"/>
              <w:bottom w:val="nil"/>
              <w:right w:val="nil"/>
            </w:tcBorders>
            <w:shd w:val="clear" w:color="auto" w:fill="auto"/>
            <w:vAlign w:val="bottom"/>
            <w:hideMark/>
          </w:tcPr>
          <w:p w14:paraId="7CC9A5FA"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EF16B18" w14:textId="77777777" w:rsidR="0010523F" w:rsidRPr="0010523F" w:rsidRDefault="0010523F" w:rsidP="0010523F">
            <w:pPr>
              <w:jc w:val="right"/>
              <w:rPr>
                <w:color w:val="000000"/>
                <w:sz w:val="18"/>
                <w:szCs w:val="18"/>
                <w:highlight w:val="yellow"/>
                <w:lang w:val="es-AR" w:eastAsia="es-AR"/>
              </w:rPr>
            </w:pPr>
          </w:p>
        </w:tc>
        <w:tc>
          <w:tcPr>
            <w:tcW w:w="958" w:type="dxa"/>
            <w:tcBorders>
              <w:top w:val="nil"/>
              <w:left w:val="nil"/>
              <w:bottom w:val="nil"/>
              <w:right w:val="nil"/>
            </w:tcBorders>
            <w:shd w:val="clear" w:color="auto" w:fill="auto"/>
            <w:vAlign w:val="bottom"/>
            <w:hideMark/>
          </w:tcPr>
          <w:p w14:paraId="6EA65A8C"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EEC9D19" w14:textId="77777777" w:rsidR="0010523F" w:rsidRPr="0010523F" w:rsidRDefault="0010523F" w:rsidP="0010523F">
            <w:pPr>
              <w:jc w:val="right"/>
              <w:rPr>
                <w:color w:val="000000"/>
                <w:sz w:val="18"/>
                <w:szCs w:val="18"/>
                <w:highlight w:val="yellow"/>
                <w:lang w:val="es-AR" w:eastAsia="es-AR"/>
              </w:rPr>
            </w:pPr>
          </w:p>
        </w:tc>
        <w:tc>
          <w:tcPr>
            <w:tcW w:w="1100" w:type="dxa"/>
            <w:tcBorders>
              <w:top w:val="nil"/>
              <w:left w:val="nil"/>
              <w:bottom w:val="nil"/>
              <w:right w:val="nil"/>
            </w:tcBorders>
            <w:shd w:val="clear" w:color="auto" w:fill="auto"/>
            <w:vAlign w:val="bottom"/>
            <w:hideMark/>
          </w:tcPr>
          <w:p w14:paraId="5653CC2E"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67CCE38A"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3A421560" w14:textId="77777777" w:rsidR="0010523F" w:rsidRPr="0010523F" w:rsidRDefault="0010523F" w:rsidP="0010523F">
            <w:pPr>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143AE177"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31E840B0"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36066B17" w14:textId="77777777" w:rsidR="0010523F" w:rsidRPr="0010523F" w:rsidRDefault="0010523F" w:rsidP="0010523F">
            <w:pPr>
              <w:jc w:val="right"/>
              <w:rPr>
                <w:color w:val="000000"/>
                <w:sz w:val="18"/>
                <w:szCs w:val="18"/>
                <w:lang w:val="es-AR" w:eastAsia="es-AR"/>
              </w:rPr>
            </w:pPr>
          </w:p>
        </w:tc>
      </w:tr>
      <w:tr w:rsidR="0010523F" w:rsidRPr="0010523F" w14:paraId="4B510414" w14:textId="77777777" w:rsidTr="00774E7E">
        <w:trPr>
          <w:trHeight w:val="170"/>
        </w:trPr>
        <w:tc>
          <w:tcPr>
            <w:tcW w:w="3276" w:type="dxa"/>
            <w:tcBorders>
              <w:top w:val="nil"/>
              <w:left w:val="nil"/>
              <w:bottom w:val="nil"/>
              <w:right w:val="nil"/>
            </w:tcBorders>
            <w:shd w:val="clear" w:color="auto" w:fill="auto"/>
            <w:vAlign w:val="center"/>
            <w:hideMark/>
          </w:tcPr>
          <w:p w14:paraId="5962028C"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Créditos diversos</w:t>
            </w:r>
          </w:p>
        </w:tc>
        <w:tc>
          <w:tcPr>
            <w:tcW w:w="960" w:type="dxa"/>
            <w:tcBorders>
              <w:top w:val="nil"/>
              <w:left w:val="nil"/>
              <w:bottom w:val="nil"/>
              <w:right w:val="nil"/>
            </w:tcBorders>
            <w:shd w:val="clear" w:color="auto" w:fill="auto"/>
            <w:vAlign w:val="bottom"/>
          </w:tcPr>
          <w:p w14:paraId="2008ACB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17.618</w:t>
            </w:r>
          </w:p>
        </w:tc>
        <w:tc>
          <w:tcPr>
            <w:tcW w:w="883" w:type="dxa"/>
            <w:tcBorders>
              <w:top w:val="nil"/>
              <w:left w:val="nil"/>
              <w:bottom w:val="nil"/>
              <w:right w:val="nil"/>
            </w:tcBorders>
            <w:shd w:val="clear" w:color="auto" w:fill="auto"/>
            <w:vAlign w:val="bottom"/>
            <w:hideMark/>
          </w:tcPr>
          <w:p w14:paraId="07D7E6D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0BF9C94"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51E67E6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128C2ECE"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26EC5DA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1.010</w:t>
            </w:r>
          </w:p>
        </w:tc>
        <w:tc>
          <w:tcPr>
            <w:tcW w:w="160" w:type="dxa"/>
            <w:tcBorders>
              <w:top w:val="nil"/>
              <w:left w:val="nil"/>
              <w:bottom w:val="nil"/>
              <w:right w:val="nil"/>
            </w:tcBorders>
            <w:shd w:val="clear" w:color="auto" w:fill="auto"/>
            <w:vAlign w:val="bottom"/>
            <w:hideMark/>
          </w:tcPr>
          <w:p w14:paraId="54D231E0"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1ED0468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11.893</w:t>
            </w:r>
          </w:p>
        </w:tc>
        <w:tc>
          <w:tcPr>
            <w:tcW w:w="831" w:type="dxa"/>
            <w:tcBorders>
              <w:top w:val="nil"/>
              <w:left w:val="nil"/>
              <w:bottom w:val="nil"/>
              <w:right w:val="nil"/>
            </w:tcBorders>
            <w:shd w:val="clear" w:color="auto" w:fill="auto"/>
            <w:vAlign w:val="bottom"/>
            <w:hideMark/>
          </w:tcPr>
          <w:p w14:paraId="372E6EF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B634C2D"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7B6E236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448</w:t>
            </w:r>
          </w:p>
        </w:tc>
      </w:tr>
      <w:tr w:rsidR="0010523F" w:rsidRPr="0010523F" w14:paraId="31667EC5" w14:textId="77777777" w:rsidTr="00774E7E">
        <w:trPr>
          <w:trHeight w:val="170"/>
        </w:trPr>
        <w:tc>
          <w:tcPr>
            <w:tcW w:w="3276" w:type="dxa"/>
            <w:tcBorders>
              <w:top w:val="nil"/>
              <w:left w:val="nil"/>
              <w:bottom w:val="nil"/>
              <w:right w:val="nil"/>
            </w:tcBorders>
            <w:shd w:val="clear" w:color="auto" w:fill="auto"/>
            <w:vAlign w:val="center"/>
          </w:tcPr>
          <w:p w14:paraId="7E164F33" w14:textId="77777777" w:rsidR="0010523F" w:rsidRPr="0010523F" w:rsidRDefault="0010523F" w:rsidP="0010523F">
            <w:pPr>
              <w:ind w:left="229"/>
              <w:jc w:val="both"/>
              <w:rPr>
                <w:color w:val="000000"/>
                <w:sz w:val="18"/>
                <w:szCs w:val="18"/>
                <w:lang w:val="es-AR" w:eastAsia="es-AR"/>
              </w:rPr>
            </w:pPr>
          </w:p>
        </w:tc>
        <w:tc>
          <w:tcPr>
            <w:tcW w:w="960" w:type="dxa"/>
            <w:tcBorders>
              <w:top w:val="nil"/>
              <w:left w:val="nil"/>
              <w:bottom w:val="nil"/>
              <w:right w:val="nil"/>
            </w:tcBorders>
            <w:shd w:val="clear" w:color="auto" w:fill="auto"/>
            <w:vAlign w:val="bottom"/>
          </w:tcPr>
          <w:p w14:paraId="38E952D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83" w:type="dxa"/>
            <w:tcBorders>
              <w:top w:val="nil"/>
              <w:left w:val="nil"/>
              <w:bottom w:val="nil"/>
              <w:right w:val="nil"/>
            </w:tcBorders>
            <w:shd w:val="clear" w:color="auto" w:fill="auto"/>
            <w:vAlign w:val="bottom"/>
          </w:tcPr>
          <w:p w14:paraId="6A1C9B2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78</w:t>
            </w:r>
          </w:p>
        </w:tc>
        <w:tc>
          <w:tcPr>
            <w:tcW w:w="160" w:type="dxa"/>
            <w:tcBorders>
              <w:top w:val="nil"/>
              <w:left w:val="nil"/>
              <w:bottom w:val="nil"/>
              <w:right w:val="nil"/>
            </w:tcBorders>
            <w:shd w:val="clear" w:color="auto" w:fill="auto"/>
            <w:vAlign w:val="bottom"/>
          </w:tcPr>
          <w:p w14:paraId="66795A8B"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vAlign w:val="bottom"/>
          </w:tcPr>
          <w:p w14:paraId="589380D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62,7195</w:t>
            </w:r>
          </w:p>
        </w:tc>
        <w:tc>
          <w:tcPr>
            <w:tcW w:w="160" w:type="dxa"/>
            <w:tcBorders>
              <w:top w:val="nil"/>
              <w:left w:val="nil"/>
              <w:bottom w:val="nil"/>
              <w:right w:val="nil"/>
            </w:tcBorders>
            <w:shd w:val="clear" w:color="auto" w:fill="auto"/>
            <w:vAlign w:val="bottom"/>
          </w:tcPr>
          <w:p w14:paraId="2DC31CCA"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tcPr>
          <w:p w14:paraId="313432F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w:t>
            </w:r>
          </w:p>
        </w:tc>
        <w:tc>
          <w:tcPr>
            <w:tcW w:w="160" w:type="dxa"/>
            <w:tcBorders>
              <w:top w:val="nil"/>
              <w:left w:val="nil"/>
              <w:bottom w:val="nil"/>
              <w:right w:val="nil"/>
            </w:tcBorders>
            <w:shd w:val="clear" w:color="auto" w:fill="auto"/>
            <w:vAlign w:val="bottom"/>
          </w:tcPr>
          <w:p w14:paraId="3A934548"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tcPr>
          <w:p w14:paraId="3ED5AD0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31" w:type="dxa"/>
            <w:tcBorders>
              <w:top w:val="nil"/>
              <w:left w:val="nil"/>
              <w:bottom w:val="nil"/>
              <w:right w:val="nil"/>
            </w:tcBorders>
            <w:shd w:val="clear" w:color="auto" w:fill="auto"/>
            <w:vAlign w:val="bottom"/>
          </w:tcPr>
          <w:p w14:paraId="265CBA0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w:t>
            </w:r>
          </w:p>
        </w:tc>
        <w:tc>
          <w:tcPr>
            <w:tcW w:w="160" w:type="dxa"/>
            <w:tcBorders>
              <w:top w:val="nil"/>
              <w:left w:val="nil"/>
              <w:bottom w:val="nil"/>
              <w:right w:val="nil"/>
            </w:tcBorders>
            <w:shd w:val="clear" w:color="auto" w:fill="auto"/>
            <w:vAlign w:val="bottom"/>
          </w:tcPr>
          <w:p w14:paraId="4E5913AE"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tcPr>
          <w:p w14:paraId="4A54C71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r>
      <w:tr w:rsidR="0010523F" w:rsidRPr="0010523F" w14:paraId="36650289" w14:textId="77777777" w:rsidTr="00774E7E">
        <w:trPr>
          <w:trHeight w:val="170"/>
        </w:trPr>
        <w:tc>
          <w:tcPr>
            <w:tcW w:w="3276" w:type="dxa"/>
            <w:tcBorders>
              <w:top w:val="nil"/>
              <w:left w:val="nil"/>
              <w:bottom w:val="nil"/>
              <w:right w:val="nil"/>
            </w:tcBorders>
            <w:shd w:val="clear" w:color="auto" w:fill="auto"/>
            <w:vAlign w:val="center"/>
            <w:hideMark/>
          </w:tcPr>
          <w:p w14:paraId="441A14FF"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Con partes relacionadas</w:t>
            </w:r>
          </w:p>
        </w:tc>
        <w:tc>
          <w:tcPr>
            <w:tcW w:w="960" w:type="dxa"/>
            <w:tcBorders>
              <w:top w:val="nil"/>
              <w:left w:val="nil"/>
              <w:right w:val="nil"/>
            </w:tcBorders>
            <w:shd w:val="clear" w:color="auto" w:fill="auto"/>
            <w:vAlign w:val="bottom"/>
          </w:tcPr>
          <w:p w14:paraId="37A454C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9.138</w:t>
            </w:r>
          </w:p>
        </w:tc>
        <w:tc>
          <w:tcPr>
            <w:tcW w:w="883" w:type="dxa"/>
            <w:tcBorders>
              <w:top w:val="nil"/>
              <w:left w:val="nil"/>
              <w:right w:val="nil"/>
            </w:tcBorders>
            <w:shd w:val="clear" w:color="auto" w:fill="auto"/>
            <w:vAlign w:val="bottom"/>
            <w:hideMark/>
          </w:tcPr>
          <w:p w14:paraId="36551D7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7A589A39"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342172C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023DB9C8"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150CCD9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524</w:t>
            </w:r>
          </w:p>
        </w:tc>
        <w:tc>
          <w:tcPr>
            <w:tcW w:w="160" w:type="dxa"/>
            <w:tcBorders>
              <w:top w:val="nil"/>
              <w:left w:val="nil"/>
              <w:bottom w:val="nil"/>
              <w:right w:val="nil"/>
            </w:tcBorders>
            <w:shd w:val="clear" w:color="auto" w:fill="auto"/>
            <w:vAlign w:val="bottom"/>
            <w:hideMark/>
          </w:tcPr>
          <w:p w14:paraId="273768C8"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13BB8C1D"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9.462</w:t>
            </w:r>
          </w:p>
        </w:tc>
        <w:tc>
          <w:tcPr>
            <w:tcW w:w="831" w:type="dxa"/>
            <w:tcBorders>
              <w:top w:val="nil"/>
              <w:left w:val="nil"/>
              <w:bottom w:val="nil"/>
              <w:right w:val="nil"/>
            </w:tcBorders>
            <w:shd w:val="clear" w:color="auto" w:fill="auto"/>
            <w:vAlign w:val="bottom"/>
            <w:hideMark/>
          </w:tcPr>
          <w:p w14:paraId="1CFAE4A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60223294"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1AFB512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357</w:t>
            </w:r>
          </w:p>
        </w:tc>
      </w:tr>
      <w:tr w:rsidR="0010523F" w:rsidRPr="0010523F" w14:paraId="133989E8" w14:textId="77777777" w:rsidTr="00774E7E">
        <w:trPr>
          <w:trHeight w:val="170"/>
        </w:trPr>
        <w:tc>
          <w:tcPr>
            <w:tcW w:w="3276" w:type="dxa"/>
            <w:tcBorders>
              <w:top w:val="nil"/>
              <w:left w:val="nil"/>
              <w:bottom w:val="nil"/>
              <w:right w:val="nil"/>
            </w:tcBorders>
            <w:shd w:val="clear" w:color="auto" w:fill="auto"/>
            <w:vAlign w:val="center"/>
            <w:hideMark/>
          </w:tcPr>
          <w:p w14:paraId="5C1F128A"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Anticipos a proveedores y otros</w:t>
            </w:r>
          </w:p>
        </w:tc>
        <w:tc>
          <w:tcPr>
            <w:tcW w:w="960" w:type="dxa"/>
            <w:tcBorders>
              <w:top w:val="nil"/>
              <w:left w:val="nil"/>
              <w:bottom w:val="nil"/>
              <w:right w:val="nil"/>
            </w:tcBorders>
            <w:shd w:val="clear" w:color="auto" w:fill="auto"/>
            <w:vAlign w:val="bottom"/>
          </w:tcPr>
          <w:p w14:paraId="2F1730F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26.307</w:t>
            </w:r>
          </w:p>
        </w:tc>
        <w:tc>
          <w:tcPr>
            <w:tcW w:w="883" w:type="dxa"/>
            <w:tcBorders>
              <w:top w:val="nil"/>
              <w:left w:val="nil"/>
              <w:bottom w:val="nil"/>
              <w:right w:val="nil"/>
            </w:tcBorders>
            <w:shd w:val="clear" w:color="auto" w:fill="auto"/>
            <w:vAlign w:val="bottom"/>
            <w:hideMark/>
          </w:tcPr>
          <w:p w14:paraId="27BF599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72DCBD1C"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194FD16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262174E6"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6C8E678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1.508</w:t>
            </w:r>
          </w:p>
        </w:tc>
        <w:tc>
          <w:tcPr>
            <w:tcW w:w="160" w:type="dxa"/>
            <w:tcBorders>
              <w:top w:val="nil"/>
              <w:left w:val="nil"/>
              <w:bottom w:val="nil"/>
              <w:right w:val="nil"/>
            </w:tcBorders>
            <w:shd w:val="clear" w:color="auto" w:fill="auto"/>
            <w:vAlign w:val="bottom"/>
            <w:hideMark/>
          </w:tcPr>
          <w:p w14:paraId="2E26AD4A"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1CD2C47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53.695</w:t>
            </w:r>
          </w:p>
        </w:tc>
        <w:tc>
          <w:tcPr>
            <w:tcW w:w="831" w:type="dxa"/>
            <w:tcBorders>
              <w:top w:val="nil"/>
              <w:left w:val="nil"/>
              <w:bottom w:val="nil"/>
              <w:right w:val="nil"/>
            </w:tcBorders>
            <w:shd w:val="clear" w:color="auto" w:fill="auto"/>
            <w:vAlign w:val="bottom"/>
            <w:hideMark/>
          </w:tcPr>
          <w:p w14:paraId="5CC858E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D088FC9"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1C80C60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2.025</w:t>
            </w:r>
          </w:p>
        </w:tc>
      </w:tr>
      <w:tr w:rsidR="0010523F" w:rsidRPr="0010523F" w14:paraId="54860E7D" w14:textId="77777777" w:rsidTr="00774E7E">
        <w:trPr>
          <w:trHeight w:val="113"/>
        </w:trPr>
        <w:tc>
          <w:tcPr>
            <w:tcW w:w="3276" w:type="dxa"/>
            <w:tcBorders>
              <w:top w:val="nil"/>
              <w:left w:val="nil"/>
              <w:bottom w:val="nil"/>
              <w:right w:val="nil"/>
            </w:tcBorders>
            <w:shd w:val="clear" w:color="auto" w:fill="auto"/>
            <w:vAlign w:val="center"/>
            <w:hideMark/>
          </w:tcPr>
          <w:p w14:paraId="216C45D3" w14:textId="77777777" w:rsidR="0010523F" w:rsidRPr="0010523F" w:rsidRDefault="0010523F" w:rsidP="0010523F">
            <w:pPr>
              <w:jc w:val="both"/>
              <w:rPr>
                <w:color w:val="000000"/>
                <w:sz w:val="18"/>
                <w:szCs w:val="18"/>
                <w:lang w:val="es-AR" w:eastAsia="es-AR"/>
              </w:rPr>
            </w:pPr>
          </w:p>
        </w:tc>
        <w:tc>
          <w:tcPr>
            <w:tcW w:w="960" w:type="dxa"/>
            <w:tcBorders>
              <w:top w:val="nil"/>
              <w:left w:val="nil"/>
              <w:bottom w:val="nil"/>
              <w:right w:val="nil"/>
            </w:tcBorders>
            <w:shd w:val="clear" w:color="auto" w:fill="auto"/>
            <w:vAlign w:val="bottom"/>
          </w:tcPr>
          <w:p w14:paraId="51BF808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83" w:type="dxa"/>
            <w:tcBorders>
              <w:top w:val="nil"/>
              <w:left w:val="nil"/>
              <w:bottom w:val="nil"/>
              <w:right w:val="nil"/>
            </w:tcBorders>
            <w:shd w:val="clear" w:color="auto" w:fill="auto"/>
            <w:vAlign w:val="bottom"/>
            <w:hideMark/>
          </w:tcPr>
          <w:p w14:paraId="3AB187F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1.371</w:t>
            </w:r>
          </w:p>
        </w:tc>
        <w:tc>
          <w:tcPr>
            <w:tcW w:w="160" w:type="dxa"/>
            <w:tcBorders>
              <w:top w:val="nil"/>
              <w:left w:val="nil"/>
              <w:bottom w:val="nil"/>
              <w:right w:val="nil"/>
            </w:tcBorders>
            <w:shd w:val="clear" w:color="auto" w:fill="auto"/>
            <w:vAlign w:val="bottom"/>
            <w:hideMark/>
          </w:tcPr>
          <w:p w14:paraId="47B9E3EC"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4169C2B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62,7195</w:t>
            </w:r>
          </w:p>
        </w:tc>
        <w:tc>
          <w:tcPr>
            <w:tcW w:w="160" w:type="dxa"/>
            <w:tcBorders>
              <w:top w:val="nil"/>
              <w:left w:val="nil"/>
              <w:bottom w:val="nil"/>
              <w:right w:val="nil"/>
            </w:tcBorders>
            <w:shd w:val="clear" w:color="auto" w:fill="auto"/>
            <w:vAlign w:val="bottom"/>
            <w:hideMark/>
          </w:tcPr>
          <w:p w14:paraId="11604C4A"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365B69E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86</w:t>
            </w:r>
          </w:p>
        </w:tc>
        <w:tc>
          <w:tcPr>
            <w:tcW w:w="160" w:type="dxa"/>
            <w:tcBorders>
              <w:top w:val="nil"/>
              <w:left w:val="nil"/>
              <w:bottom w:val="nil"/>
              <w:right w:val="nil"/>
            </w:tcBorders>
            <w:shd w:val="clear" w:color="auto" w:fill="auto"/>
            <w:vAlign w:val="bottom"/>
            <w:hideMark/>
          </w:tcPr>
          <w:p w14:paraId="6BF9C303"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67BB47F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31" w:type="dxa"/>
            <w:tcBorders>
              <w:top w:val="nil"/>
              <w:left w:val="nil"/>
              <w:bottom w:val="nil"/>
              <w:right w:val="nil"/>
            </w:tcBorders>
            <w:shd w:val="clear" w:color="auto" w:fill="auto"/>
            <w:vAlign w:val="bottom"/>
            <w:hideMark/>
          </w:tcPr>
          <w:p w14:paraId="16C4D4E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562</w:t>
            </w:r>
          </w:p>
        </w:tc>
        <w:tc>
          <w:tcPr>
            <w:tcW w:w="160" w:type="dxa"/>
            <w:tcBorders>
              <w:top w:val="nil"/>
              <w:left w:val="nil"/>
              <w:bottom w:val="nil"/>
              <w:right w:val="nil"/>
            </w:tcBorders>
            <w:shd w:val="clear" w:color="auto" w:fill="auto"/>
            <w:vAlign w:val="bottom"/>
            <w:hideMark/>
          </w:tcPr>
          <w:p w14:paraId="18296E27"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087390C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24</w:t>
            </w:r>
          </w:p>
        </w:tc>
      </w:tr>
      <w:tr w:rsidR="0010523F" w:rsidRPr="0010523F" w14:paraId="1B61140E" w14:textId="77777777" w:rsidTr="00774E7E">
        <w:trPr>
          <w:trHeight w:val="227"/>
        </w:trPr>
        <w:tc>
          <w:tcPr>
            <w:tcW w:w="3276" w:type="dxa"/>
            <w:tcBorders>
              <w:top w:val="nil"/>
              <w:left w:val="nil"/>
              <w:bottom w:val="nil"/>
              <w:right w:val="nil"/>
            </w:tcBorders>
            <w:shd w:val="clear" w:color="auto" w:fill="auto"/>
            <w:vAlign w:val="center"/>
          </w:tcPr>
          <w:p w14:paraId="35E6B657" w14:textId="77777777" w:rsidR="0010523F" w:rsidRPr="0010523F" w:rsidRDefault="0010523F" w:rsidP="0010523F">
            <w:pPr>
              <w:ind w:left="213"/>
              <w:jc w:val="both"/>
              <w:rPr>
                <w:color w:val="000000"/>
                <w:sz w:val="18"/>
                <w:szCs w:val="18"/>
                <w:lang w:val="es-AR" w:eastAsia="es-AR"/>
              </w:rPr>
            </w:pPr>
            <w:r w:rsidRPr="0010523F">
              <w:rPr>
                <w:color w:val="000000"/>
                <w:sz w:val="18"/>
                <w:szCs w:val="18"/>
                <w:lang w:val="es-AR" w:eastAsia="es-AR"/>
              </w:rPr>
              <w:t>Instrumentos financieros derivados</w:t>
            </w:r>
          </w:p>
        </w:tc>
        <w:tc>
          <w:tcPr>
            <w:tcW w:w="960" w:type="dxa"/>
            <w:tcBorders>
              <w:top w:val="nil"/>
              <w:left w:val="nil"/>
              <w:bottom w:val="nil"/>
              <w:right w:val="nil"/>
            </w:tcBorders>
            <w:shd w:val="clear" w:color="auto" w:fill="auto"/>
            <w:vAlign w:val="bottom"/>
          </w:tcPr>
          <w:p w14:paraId="6EEDF4C7" w14:textId="77777777" w:rsidR="0010523F" w:rsidRPr="0010523F" w:rsidDel="00D66043" w:rsidRDefault="0010523F" w:rsidP="0010523F">
            <w:pPr>
              <w:jc w:val="right"/>
              <w:rPr>
                <w:color w:val="000000"/>
                <w:sz w:val="18"/>
                <w:szCs w:val="18"/>
                <w:lang w:val="es-AR" w:eastAsia="es-AR"/>
              </w:rPr>
            </w:pPr>
            <w:r w:rsidRPr="0010523F">
              <w:rPr>
                <w:color w:val="000000"/>
                <w:sz w:val="18"/>
                <w:szCs w:val="18"/>
                <w:lang w:val="es-AR" w:eastAsia="es-AR"/>
              </w:rPr>
              <w:t xml:space="preserve"> 207</w:t>
            </w:r>
          </w:p>
        </w:tc>
        <w:tc>
          <w:tcPr>
            <w:tcW w:w="883" w:type="dxa"/>
            <w:tcBorders>
              <w:top w:val="nil"/>
              <w:left w:val="nil"/>
              <w:bottom w:val="nil"/>
              <w:right w:val="nil"/>
            </w:tcBorders>
            <w:shd w:val="clear" w:color="auto" w:fill="auto"/>
            <w:vAlign w:val="bottom"/>
          </w:tcPr>
          <w:p w14:paraId="39D479F1" w14:textId="77777777" w:rsidR="0010523F" w:rsidRPr="0010523F" w:rsidDel="00D66043" w:rsidRDefault="0010523F" w:rsidP="0010523F">
            <w:pPr>
              <w:jc w:val="right"/>
              <w:rPr>
                <w:color w:val="000000"/>
                <w:sz w:val="18"/>
                <w:szCs w:val="18"/>
                <w:lang w:val="es-AR" w:eastAsia="es-AR"/>
              </w:rPr>
            </w:pPr>
            <w:r w:rsidRPr="0010523F">
              <w:rPr>
                <w:color w:val="000000"/>
                <w:sz w:val="18"/>
                <w:szCs w:val="18"/>
                <w:lang w:val="es-AR" w:eastAsia="es-AR"/>
              </w:rPr>
              <w:t xml:space="preserve">     -</w:t>
            </w:r>
          </w:p>
        </w:tc>
        <w:tc>
          <w:tcPr>
            <w:tcW w:w="160" w:type="dxa"/>
            <w:tcBorders>
              <w:top w:val="nil"/>
              <w:left w:val="nil"/>
              <w:bottom w:val="nil"/>
              <w:right w:val="nil"/>
            </w:tcBorders>
            <w:shd w:val="clear" w:color="auto" w:fill="auto"/>
            <w:vAlign w:val="bottom"/>
          </w:tcPr>
          <w:p w14:paraId="2756F1F0" w14:textId="77777777" w:rsidR="0010523F" w:rsidRPr="0010523F" w:rsidRDefault="0010523F" w:rsidP="0010523F">
            <w:pPr>
              <w:jc w:val="right"/>
              <w:rPr>
                <w:color w:val="000000"/>
                <w:sz w:val="18"/>
                <w:szCs w:val="18"/>
                <w:u w:val="single"/>
                <w:lang w:val="es-AR" w:eastAsia="es-AR"/>
              </w:rPr>
            </w:pPr>
          </w:p>
        </w:tc>
        <w:tc>
          <w:tcPr>
            <w:tcW w:w="958" w:type="dxa"/>
            <w:tcBorders>
              <w:top w:val="nil"/>
              <w:left w:val="nil"/>
              <w:bottom w:val="nil"/>
              <w:right w:val="nil"/>
            </w:tcBorders>
            <w:shd w:val="clear" w:color="auto" w:fill="auto"/>
          </w:tcPr>
          <w:p w14:paraId="4D8C406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tcPr>
          <w:p w14:paraId="1890974D"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tcPr>
          <w:p w14:paraId="7E09288E" w14:textId="77777777" w:rsidR="0010523F" w:rsidRPr="0010523F" w:rsidDel="0018466B" w:rsidRDefault="0010523F" w:rsidP="0010523F">
            <w:pPr>
              <w:jc w:val="right"/>
              <w:rPr>
                <w:color w:val="000000"/>
                <w:sz w:val="18"/>
                <w:szCs w:val="18"/>
                <w:lang w:val="es-AR" w:eastAsia="es-AR"/>
              </w:rPr>
            </w:pPr>
            <w:r w:rsidRPr="0010523F">
              <w:rPr>
                <w:color w:val="000000"/>
                <w:sz w:val="18"/>
                <w:szCs w:val="18"/>
                <w:lang w:val="es-AR" w:eastAsia="es-AR"/>
              </w:rPr>
              <w:t>12</w:t>
            </w:r>
          </w:p>
        </w:tc>
        <w:tc>
          <w:tcPr>
            <w:tcW w:w="160" w:type="dxa"/>
            <w:tcBorders>
              <w:top w:val="nil"/>
              <w:left w:val="nil"/>
              <w:bottom w:val="nil"/>
              <w:right w:val="nil"/>
            </w:tcBorders>
            <w:shd w:val="clear" w:color="auto" w:fill="auto"/>
            <w:vAlign w:val="bottom"/>
          </w:tcPr>
          <w:p w14:paraId="4065C9A5" w14:textId="77777777" w:rsidR="0010523F" w:rsidRPr="0010523F" w:rsidRDefault="0010523F" w:rsidP="0010523F">
            <w:pPr>
              <w:jc w:val="right"/>
              <w:rPr>
                <w:color w:val="000000"/>
                <w:sz w:val="18"/>
                <w:szCs w:val="18"/>
                <w:highlight w:val="yellow"/>
                <w:u w:val="single"/>
                <w:lang w:val="es-AR" w:eastAsia="es-AR"/>
              </w:rPr>
            </w:pPr>
          </w:p>
        </w:tc>
        <w:tc>
          <w:tcPr>
            <w:tcW w:w="906" w:type="dxa"/>
            <w:tcBorders>
              <w:top w:val="nil"/>
              <w:left w:val="nil"/>
              <w:bottom w:val="nil"/>
              <w:right w:val="nil"/>
            </w:tcBorders>
            <w:shd w:val="clear" w:color="auto" w:fill="auto"/>
            <w:vAlign w:val="bottom"/>
          </w:tcPr>
          <w:p w14:paraId="1BF594BD" w14:textId="77777777" w:rsidR="0010523F" w:rsidRPr="0010523F" w:rsidRDefault="0010523F" w:rsidP="0010523F">
            <w:pPr>
              <w:jc w:val="right"/>
              <w:rPr>
                <w:color w:val="000000"/>
                <w:sz w:val="18"/>
                <w:szCs w:val="18"/>
                <w:u w:val="single"/>
                <w:lang w:val="es-AR" w:eastAsia="es-AR"/>
              </w:rPr>
            </w:pPr>
            <w:r w:rsidRPr="0010523F">
              <w:rPr>
                <w:color w:val="000000"/>
                <w:sz w:val="18"/>
                <w:szCs w:val="18"/>
                <w:lang w:val="es-AR" w:eastAsia="es-AR"/>
              </w:rPr>
              <w:t>749</w:t>
            </w:r>
          </w:p>
        </w:tc>
        <w:tc>
          <w:tcPr>
            <w:tcW w:w="831" w:type="dxa"/>
            <w:tcBorders>
              <w:top w:val="nil"/>
              <w:left w:val="nil"/>
              <w:bottom w:val="nil"/>
              <w:right w:val="nil"/>
            </w:tcBorders>
            <w:shd w:val="clear" w:color="auto" w:fill="auto"/>
            <w:vAlign w:val="bottom"/>
          </w:tcPr>
          <w:p w14:paraId="3757C950" w14:textId="77777777" w:rsidR="0010523F" w:rsidRPr="0010523F" w:rsidRDefault="0010523F" w:rsidP="0010523F">
            <w:pPr>
              <w:jc w:val="right"/>
              <w:rPr>
                <w:color w:val="000000"/>
                <w:sz w:val="18"/>
                <w:szCs w:val="18"/>
                <w:u w:val="single"/>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tcPr>
          <w:p w14:paraId="3DD2D3CF"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tcPr>
          <w:p w14:paraId="5C148C8E" w14:textId="77777777" w:rsidR="0010523F" w:rsidRPr="0010523F" w:rsidRDefault="0010523F" w:rsidP="0010523F">
            <w:pPr>
              <w:jc w:val="right"/>
              <w:rPr>
                <w:color w:val="000000"/>
                <w:sz w:val="18"/>
                <w:szCs w:val="18"/>
                <w:u w:val="single"/>
                <w:lang w:val="es-AR" w:eastAsia="es-AR"/>
              </w:rPr>
            </w:pPr>
            <w:r w:rsidRPr="0010523F">
              <w:rPr>
                <w:color w:val="000000"/>
                <w:sz w:val="18"/>
                <w:szCs w:val="18"/>
                <w:lang w:val="es-AR" w:eastAsia="es-AR"/>
              </w:rPr>
              <w:t>28</w:t>
            </w:r>
          </w:p>
        </w:tc>
      </w:tr>
      <w:tr w:rsidR="0010523F" w:rsidRPr="0010523F" w14:paraId="67692806" w14:textId="77777777" w:rsidTr="00774E7E">
        <w:trPr>
          <w:trHeight w:val="227"/>
        </w:trPr>
        <w:tc>
          <w:tcPr>
            <w:tcW w:w="3276" w:type="dxa"/>
            <w:tcBorders>
              <w:top w:val="nil"/>
              <w:left w:val="nil"/>
              <w:bottom w:val="nil"/>
              <w:right w:val="nil"/>
            </w:tcBorders>
            <w:shd w:val="clear" w:color="auto" w:fill="auto"/>
            <w:vAlign w:val="center"/>
          </w:tcPr>
          <w:p w14:paraId="764B2936" w14:textId="77777777" w:rsidR="0010523F" w:rsidRPr="0010523F" w:rsidRDefault="0010523F" w:rsidP="0010523F">
            <w:pPr>
              <w:ind w:left="147"/>
              <w:jc w:val="both"/>
              <w:rPr>
                <w:color w:val="000000"/>
                <w:sz w:val="18"/>
                <w:szCs w:val="18"/>
                <w:lang w:val="es-AR" w:eastAsia="es-AR"/>
              </w:rPr>
            </w:pPr>
            <w:r w:rsidRPr="0010523F">
              <w:rPr>
                <w:color w:val="000000"/>
                <w:sz w:val="18"/>
                <w:szCs w:val="18"/>
                <w:lang w:val="es-AR" w:eastAsia="es-AR"/>
              </w:rPr>
              <w:t xml:space="preserve"> Previsión para deudores incobrables</w:t>
            </w:r>
          </w:p>
        </w:tc>
        <w:tc>
          <w:tcPr>
            <w:tcW w:w="960" w:type="dxa"/>
            <w:tcBorders>
              <w:top w:val="nil"/>
              <w:left w:val="nil"/>
              <w:bottom w:val="nil"/>
              <w:right w:val="nil"/>
            </w:tcBorders>
            <w:shd w:val="clear" w:color="auto" w:fill="auto"/>
            <w:vAlign w:val="bottom"/>
          </w:tcPr>
          <w:p w14:paraId="3C78EB70" w14:textId="77777777" w:rsidR="0010523F" w:rsidRPr="0010523F" w:rsidDel="00D66043" w:rsidRDefault="0010523F" w:rsidP="0010523F">
            <w:pPr>
              <w:jc w:val="right"/>
              <w:rPr>
                <w:color w:val="000000"/>
                <w:sz w:val="18"/>
                <w:szCs w:val="18"/>
                <w:u w:val="single"/>
                <w:lang w:val="es-AR" w:eastAsia="es-AR"/>
              </w:rPr>
            </w:pPr>
            <w:r w:rsidRPr="0010523F">
              <w:rPr>
                <w:color w:val="000000"/>
                <w:sz w:val="18"/>
                <w:szCs w:val="18"/>
                <w:lang w:val="es-AR" w:eastAsia="es-AR"/>
              </w:rPr>
              <w:t>(</w:t>
            </w:r>
            <w:r w:rsidRPr="0010523F">
              <w:rPr>
                <w:color w:val="000000"/>
                <w:sz w:val="18"/>
                <w:szCs w:val="18"/>
                <w:u w:val="single"/>
                <w:lang w:val="es-AR" w:eastAsia="es-AR"/>
              </w:rPr>
              <w:t xml:space="preserve">   2.591</w:t>
            </w:r>
            <w:r w:rsidRPr="0010523F">
              <w:rPr>
                <w:color w:val="000000"/>
                <w:sz w:val="18"/>
                <w:szCs w:val="18"/>
                <w:lang w:val="es-AR" w:eastAsia="es-AR"/>
              </w:rPr>
              <w:t>)</w:t>
            </w:r>
          </w:p>
        </w:tc>
        <w:tc>
          <w:tcPr>
            <w:tcW w:w="883" w:type="dxa"/>
            <w:tcBorders>
              <w:top w:val="nil"/>
              <w:left w:val="nil"/>
              <w:bottom w:val="nil"/>
              <w:right w:val="nil"/>
            </w:tcBorders>
            <w:shd w:val="clear" w:color="auto" w:fill="auto"/>
            <w:vAlign w:val="bottom"/>
          </w:tcPr>
          <w:p w14:paraId="05ECF40B" w14:textId="77777777" w:rsidR="0010523F" w:rsidRPr="0010523F" w:rsidDel="00D66043"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tcPr>
          <w:p w14:paraId="6E5B00FE" w14:textId="77777777" w:rsidR="0010523F" w:rsidRPr="0010523F" w:rsidRDefault="0010523F" w:rsidP="0010523F">
            <w:pPr>
              <w:jc w:val="right"/>
              <w:rPr>
                <w:color w:val="000000"/>
                <w:sz w:val="18"/>
                <w:szCs w:val="18"/>
                <w:u w:val="single"/>
                <w:lang w:val="es-AR" w:eastAsia="es-AR"/>
              </w:rPr>
            </w:pPr>
          </w:p>
        </w:tc>
        <w:tc>
          <w:tcPr>
            <w:tcW w:w="958" w:type="dxa"/>
            <w:tcBorders>
              <w:top w:val="nil"/>
              <w:left w:val="nil"/>
              <w:bottom w:val="nil"/>
              <w:right w:val="nil"/>
            </w:tcBorders>
            <w:shd w:val="clear" w:color="auto" w:fill="auto"/>
          </w:tcPr>
          <w:p w14:paraId="3441F68D"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tcPr>
          <w:p w14:paraId="619C56D0"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tcPr>
          <w:p w14:paraId="45BB505D" w14:textId="77777777" w:rsidR="0010523F" w:rsidRPr="0010523F" w:rsidDel="0018466B" w:rsidRDefault="0010523F" w:rsidP="0010523F">
            <w:pPr>
              <w:jc w:val="right"/>
              <w:rPr>
                <w:color w:val="000000"/>
                <w:sz w:val="18"/>
                <w:szCs w:val="18"/>
                <w:u w:val="single"/>
                <w:lang w:val="es-AR" w:eastAsia="es-AR"/>
              </w:rPr>
            </w:pPr>
            <w:r w:rsidRPr="0010523F">
              <w:rPr>
                <w:color w:val="000000"/>
                <w:sz w:val="18"/>
                <w:szCs w:val="18"/>
                <w:lang w:val="es-AR" w:eastAsia="es-AR"/>
              </w:rPr>
              <w:t>(</w:t>
            </w:r>
            <w:r w:rsidRPr="0010523F">
              <w:rPr>
                <w:color w:val="000000"/>
                <w:sz w:val="18"/>
                <w:szCs w:val="18"/>
                <w:u w:val="single"/>
                <w:lang w:val="es-AR" w:eastAsia="es-AR"/>
              </w:rPr>
              <w:t xml:space="preserve">    149</w:t>
            </w:r>
            <w:r w:rsidRPr="0010523F">
              <w:rPr>
                <w:color w:val="000000"/>
                <w:sz w:val="18"/>
                <w:szCs w:val="18"/>
                <w:lang w:val="es-AR" w:eastAsia="es-AR"/>
              </w:rPr>
              <w:t>)</w:t>
            </w: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tcPr>
          <w:p w14:paraId="3E06E1B8" w14:textId="77777777" w:rsidR="0010523F" w:rsidRPr="0010523F" w:rsidRDefault="0010523F" w:rsidP="0010523F">
            <w:pPr>
              <w:jc w:val="right"/>
              <w:rPr>
                <w:color w:val="000000"/>
                <w:sz w:val="18"/>
                <w:szCs w:val="18"/>
                <w:highlight w:val="yellow"/>
                <w:u w:val="single"/>
                <w:lang w:val="es-AR" w:eastAsia="es-AR"/>
              </w:rPr>
            </w:pPr>
          </w:p>
        </w:tc>
        <w:tc>
          <w:tcPr>
            <w:tcW w:w="906" w:type="dxa"/>
            <w:tcBorders>
              <w:top w:val="nil"/>
              <w:left w:val="nil"/>
              <w:bottom w:val="nil"/>
              <w:right w:val="nil"/>
            </w:tcBorders>
            <w:shd w:val="clear" w:color="auto" w:fill="auto"/>
            <w:vAlign w:val="bottom"/>
          </w:tcPr>
          <w:p w14:paraId="290E12D5" w14:textId="77777777" w:rsidR="0010523F" w:rsidRPr="0010523F" w:rsidRDefault="0010523F" w:rsidP="0010523F">
            <w:pPr>
              <w:jc w:val="right"/>
              <w:rPr>
                <w:color w:val="000000"/>
                <w:sz w:val="18"/>
                <w:szCs w:val="18"/>
                <w:u w:val="single"/>
                <w:lang w:val="es-AR" w:eastAsia="es-AR"/>
              </w:rPr>
            </w:pPr>
            <w:r w:rsidRPr="0010523F">
              <w:rPr>
                <w:color w:val="000000"/>
                <w:sz w:val="18"/>
                <w:szCs w:val="18"/>
                <w:lang w:val="es-AR" w:eastAsia="es-AR"/>
              </w:rPr>
              <w:t>(</w:t>
            </w:r>
            <w:r w:rsidRPr="0010523F">
              <w:rPr>
                <w:color w:val="000000"/>
                <w:sz w:val="18"/>
                <w:szCs w:val="18"/>
                <w:u w:val="single"/>
                <w:lang w:val="es-AR" w:eastAsia="es-AR"/>
              </w:rPr>
              <w:t xml:space="preserve">   2.706</w:t>
            </w:r>
            <w:r w:rsidRPr="0010523F">
              <w:rPr>
                <w:color w:val="000000"/>
                <w:sz w:val="18"/>
                <w:szCs w:val="18"/>
                <w:lang w:val="es-AR" w:eastAsia="es-AR"/>
              </w:rPr>
              <w:t>)</w:t>
            </w:r>
          </w:p>
        </w:tc>
        <w:tc>
          <w:tcPr>
            <w:tcW w:w="831" w:type="dxa"/>
            <w:tcBorders>
              <w:top w:val="nil"/>
              <w:left w:val="nil"/>
              <w:bottom w:val="nil"/>
              <w:right w:val="nil"/>
            </w:tcBorders>
            <w:shd w:val="clear" w:color="auto" w:fill="auto"/>
            <w:vAlign w:val="bottom"/>
          </w:tcPr>
          <w:p w14:paraId="1BF537B1"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tcPr>
          <w:p w14:paraId="296651A0"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tcPr>
          <w:p w14:paraId="5556362C" w14:textId="77777777" w:rsidR="0010523F" w:rsidRPr="0010523F" w:rsidRDefault="0010523F" w:rsidP="0010523F">
            <w:pPr>
              <w:jc w:val="right"/>
              <w:rPr>
                <w:color w:val="000000"/>
                <w:sz w:val="18"/>
                <w:szCs w:val="18"/>
                <w:u w:val="single"/>
                <w:lang w:val="es-AR" w:eastAsia="es-AR"/>
              </w:rPr>
            </w:pPr>
            <w:r w:rsidRPr="0010523F">
              <w:rPr>
                <w:color w:val="000000"/>
                <w:sz w:val="18"/>
                <w:szCs w:val="18"/>
                <w:lang w:val="es-AR" w:eastAsia="es-AR"/>
              </w:rPr>
              <w:t>(</w:t>
            </w:r>
            <w:r w:rsidRPr="0010523F">
              <w:rPr>
                <w:color w:val="000000"/>
                <w:sz w:val="18"/>
                <w:szCs w:val="18"/>
                <w:u w:val="single"/>
                <w:lang w:val="es-AR" w:eastAsia="es-AR"/>
              </w:rPr>
              <w:t xml:space="preserve">    102</w:t>
            </w:r>
            <w:r w:rsidRPr="0010523F">
              <w:rPr>
                <w:color w:val="000000"/>
                <w:sz w:val="18"/>
                <w:szCs w:val="18"/>
                <w:lang w:val="es-AR" w:eastAsia="es-AR"/>
              </w:rPr>
              <w:t>)</w:t>
            </w:r>
          </w:p>
        </w:tc>
      </w:tr>
      <w:tr w:rsidR="0010523F" w:rsidRPr="0010523F" w14:paraId="39852A16" w14:textId="77777777" w:rsidTr="00774E7E">
        <w:trPr>
          <w:trHeight w:val="227"/>
        </w:trPr>
        <w:tc>
          <w:tcPr>
            <w:tcW w:w="3276" w:type="dxa"/>
            <w:tcBorders>
              <w:top w:val="nil"/>
              <w:left w:val="nil"/>
              <w:bottom w:val="nil"/>
              <w:right w:val="nil"/>
            </w:tcBorders>
            <w:shd w:val="clear" w:color="auto" w:fill="auto"/>
            <w:vAlign w:val="center"/>
            <w:hideMark/>
          </w:tcPr>
          <w:p w14:paraId="4831598D"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Total del activo corriente</w:t>
            </w:r>
          </w:p>
        </w:tc>
        <w:tc>
          <w:tcPr>
            <w:tcW w:w="960" w:type="dxa"/>
            <w:tcBorders>
              <w:top w:val="nil"/>
              <w:left w:val="nil"/>
              <w:bottom w:val="nil"/>
              <w:right w:val="nil"/>
            </w:tcBorders>
            <w:shd w:val="clear" w:color="auto" w:fill="auto"/>
            <w:vAlign w:val="bottom"/>
            <w:hideMark/>
          </w:tcPr>
          <w:p w14:paraId="28455B3A"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449.670</w:t>
            </w:r>
          </w:p>
        </w:tc>
        <w:tc>
          <w:tcPr>
            <w:tcW w:w="883" w:type="dxa"/>
            <w:tcBorders>
              <w:top w:val="nil"/>
              <w:left w:val="nil"/>
              <w:bottom w:val="nil"/>
              <w:right w:val="nil"/>
            </w:tcBorders>
            <w:shd w:val="clear" w:color="auto" w:fill="auto"/>
            <w:vAlign w:val="bottom"/>
            <w:hideMark/>
          </w:tcPr>
          <w:p w14:paraId="07C99438"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1.453</w:t>
            </w:r>
          </w:p>
        </w:tc>
        <w:tc>
          <w:tcPr>
            <w:tcW w:w="160" w:type="dxa"/>
            <w:tcBorders>
              <w:top w:val="nil"/>
              <w:left w:val="nil"/>
              <w:bottom w:val="nil"/>
              <w:right w:val="nil"/>
            </w:tcBorders>
            <w:shd w:val="clear" w:color="auto" w:fill="auto"/>
            <w:vAlign w:val="bottom"/>
            <w:hideMark/>
          </w:tcPr>
          <w:p w14:paraId="5B47DB25" w14:textId="77777777" w:rsidR="0010523F" w:rsidRPr="0010523F" w:rsidRDefault="0010523F" w:rsidP="0010523F">
            <w:pPr>
              <w:jc w:val="right"/>
              <w:rPr>
                <w:color w:val="000000"/>
                <w:sz w:val="18"/>
                <w:szCs w:val="18"/>
                <w:u w:val="single"/>
                <w:lang w:val="es-AR" w:eastAsia="es-AR"/>
              </w:rPr>
            </w:pPr>
          </w:p>
        </w:tc>
        <w:tc>
          <w:tcPr>
            <w:tcW w:w="958" w:type="dxa"/>
            <w:tcBorders>
              <w:top w:val="nil"/>
              <w:left w:val="nil"/>
              <w:bottom w:val="nil"/>
              <w:right w:val="nil"/>
            </w:tcBorders>
            <w:shd w:val="clear" w:color="auto" w:fill="auto"/>
            <w:vAlign w:val="bottom"/>
            <w:hideMark/>
          </w:tcPr>
          <w:p w14:paraId="6EAEFA1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9BE75BE"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2AB7C4E1"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25.867</w:t>
            </w:r>
          </w:p>
        </w:tc>
        <w:tc>
          <w:tcPr>
            <w:tcW w:w="160" w:type="dxa"/>
            <w:tcBorders>
              <w:top w:val="nil"/>
              <w:left w:val="nil"/>
              <w:bottom w:val="nil"/>
              <w:right w:val="nil"/>
            </w:tcBorders>
            <w:shd w:val="clear" w:color="auto" w:fill="auto"/>
            <w:vAlign w:val="bottom"/>
            <w:hideMark/>
          </w:tcPr>
          <w:p w14:paraId="6708B0D2" w14:textId="77777777" w:rsidR="0010523F" w:rsidRPr="0010523F" w:rsidRDefault="0010523F" w:rsidP="0010523F">
            <w:pPr>
              <w:jc w:val="right"/>
              <w:rPr>
                <w:color w:val="000000"/>
                <w:sz w:val="18"/>
                <w:szCs w:val="18"/>
                <w:highlight w:val="yellow"/>
                <w:u w:val="single"/>
                <w:lang w:val="es-AR" w:eastAsia="es-AR"/>
              </w:rPr>
            </w:pPr>
          </w:p>
        </w:tc>
        <w:tc>
          <w:tcPr>
            <w:tcW w:w="906" w:type="dxa"/>
            <w:tcBorders>
              <w:top w:val="nil"/>
              <w:left w:val="nil"/>
              <w:bottom w:val="nil"/>
              <w:right w:val="nil"/>
            </w:tcBorders>
            <w:shd w:val="clear" w:color="auto" w:fill="auto"/>
            <w:vAlign w:val="bottom"/>
            <w:hideMark/>
          </w:tcPr>
          <w:p w14:paraId="53745443"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803.641</w:t>
            </w:r>
          </w:p>
        </w:tc>
        <w:tc>
          <w:tcPr>
            <w:tcW w:w="831" w:type="dxa"/>
            <w:tcBorders>
              <w:top w:val="nil"/>
              <w:left w:val="nil"/>
              <w:bottom w:val="nil"/>
              <w:right w:val="nil"/>
            </w:tcBorders>
            <w:shd w:val="clear" w:color="auto" w:fill="auto"/>
            <w:vAlign w:val="bottom"/>
            <w:hideMark/>
          </w:tcPr>
          <w:p w14:paraId="30D15E5D"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572</w:t>
            </w:r>
          </w:p>
        </w:tc>
        <w:tc>
          <w:tcPr>
            <w:tcW w:w="160" w:type="dxa"/>
            <w:tcBorders>
              <w:top w:val="nil"/>
              <w:left w:val="nil"/>
              <w:bottom w:val="nil"/>
              <w:right w:val="nil"/>
            </w:tcBorders>
            <w:shd w:val="clear" w:color="auto" w:fill="auto"/>
            <w:vAlign w:val="bottom"/>
            <w:hideMark/>
          </w:tcPr>
          <w:p w14:paraId="6B1DEF52"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76731F50"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30.321</w:t>
            </w:r>
          </w:p>
        </w:tc>
      </w:tr>
      <w:tr w:rsidR="0010523F" w:rsidRPr="0010523F" w14:paraId="71E1BE92" w14:textId="77777777" w:rsidTr="00774E7E">
        <w:trPr>
          <w:trHeight w:val="113"/>
        </w:trPr>
        <w:tc>
          <w:tcPr>
            <w:tcW w:w="3276" w:type="dxa"/>
            <w:tcBorders>
              <w:top w:val="nil"/>
              <w:left w:val="nil"/>
              <w:bottom w:val="nil"/>
              <w:right w:val="nil"/>
            </w:tcBorders>
            <w:shd w:val="clear" w:color="auto" w:fill="auto"/>
            <w:vAlign w:val="center"/>
            <w:hideMark/>
          </w:tcPr>
          <w:p w14:paraId="44AC68BB" w14:textId="77777777" w:rsidR="0010523F" w:rsidRPr="0010523F" w:rsidRDefault="0010523F" w:rsidP="0010523F">
            <w:pPr>
              <w:jc w:val="both"/>
              <w:rPr>
                <w:color w:val="000000"/>
                <w:sz w:val="18"/>
                <w:szCs w:val="18"/>
                <w:lang w:val="es-AR" w:eastAsia="es-AR"/>
              </w:rPr>
            </w:pPr>
          </w:p>
        </w:tc>
        <w:tc>
          <w:tcPr>
            <w:tcW w:w="960" w:type="dxa"/>
            <w:tcBorders>
              <w:top w:val="nil"/>
              <w:left w:val="nil"/>
              <w:bottom w:val="nil"/>
              <w:right w:val="nil"/>
            </w:tcBorders>
            <w:shd w:val="clear" w:color="auto" w:fill="auto"/>
            <w:vAlign w:val="bottom"/>
            <w:hideMark/>
          </w:tcPr>
          <w:p w14:paraId="253AA680" w14:textId="77777777" w:rsidR="0010523F" w:rsidRPr="0010523F" w:rsidRDefault="0010523F" w:rsidP="0010523F">
            <w:pPr>
              <w:jc w:val="right"/>
              <w:rPr>
                <w:color w:val="000000"/>
                <w:sz w:val="18"/>
                <w:szCs w:val="18"/>
                <w:highlight w:val="yellow"/>
                <w:lang w:val="es-AR" w:eastAsia="es-AR"/>
              </w:rPr>
            </w:pPr>
          </w:p>
        </w:tc>
        <w:tc>
          <w:tcPr>
            <w:tcW w:w="883" w:type="dxa"/>
            <w:tcBorders>
              <w:top w:val="nil"/>
              <w:left w:val="nil"/>
              <w:bottom w:val="nil"/>
              <w:right w:val="nil"/>
            </w:tcBorders>
            <w:shd w:val="clear" w:color="auto" w:fill="auto"/>
            <w:vAlign w:val="bottom"/>
            <w:hideMark/>
          </w:tcPr>
          <w:p w14:paraId="56124ACD"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16CC6D32" w14:textId="77777777" w:rsidR="0010523F" w:rsidRPr="0010523F" w:rsidRDefault="0010523F" w:rsidP="0010523F">
            <w:pPr>
              <w:jc w:val="right"/>
              <w:rPr>
                <w:color w:val="000000"/>
                <w:sz w:val="18"/>
                <w:szCs w:val="18"/>
                <w:highlight w:val="yellow"/>
                <w:lang w:val="es-AR" w:eastAsia="es-AR"/>
              </w:rPr>
            </w:pPr>
          </w:p>
        </w:tc>
        <w:tc>
          <w:tcPr>
            <w:tcW w:w="958" w:type="dxa"/>
            <w:tcBorders>
              <w:top w:val="nil"/>
              <w:left w:val="nil"/>
              <w:bottom w:val="nil"/>
              <w:right w:val="nil"/>
            </w:tcBorders>
            <w:shd w:val="clear" w:color="auto" w:fill="auto"/>
            <w:vAlign w:val="bottom"/>
            <w:hideMark/>
          </w:tcPr>
          <w:p w14:paraId="3B85DF05"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9C9A413" w14:textId="77777777" w:rsidR="0010523F" w:rsidRPr="0010523F" w:rsidRDefault="0010523F" w:rsidP="0010523F">
            <w:pPr>
              <w:jc w:val="right"/>
              <w:rPr>
                <w:color w:val="000000"/>
                <w:sz w:val="18"/>
                <w:szCs w:val="18"/>
                <w:highlight w:val="yellow"/>
                <w:lang w:val="es-AR" w:eastAsia="es-AR"/>
              </w:rPr>
            </w:pPr>
          </w:p>
        </w:tc>
        <w:tc>
          <w:tcPr>
            <w:tcW w:w="1100" w:type="dxa"/>
            <w:tcBorders>
              <w:top w:val="nil"/>
              <w:left w:val="nil"/>
              <w:bottom w:val="nil"/>
              <w:right w:val="nil"/>
            </w:tcBorders>
            <w:shd w:val="clear" w:color="auto" w:fill="auto"/>
            <w:vAlign w:val="bottom"/>
            <w:hideMark/>
          </w:tcPr>
          <w:p w14:paraId="67A83DE6"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3C5B87F5"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1E7B8EF5" w14:textId="77777777" w:rsidR="0010523F" w:rsidRPr="0010523F" w:rsidRDefault="0010523F" w:rsidP="0010523F">
            <w:pPr>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05281563"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6DC93C45"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5C1A23F1" w14:textId="77777777" w:rsidR="0010523F" w:rsidRPr="0010523F" w:rsidRDefault="0010523F" w:rsidP="0010523F">
            <w:pPr>
              <w:jc w:val="right"/>
              <w:rPr>
                <w:color w:val="000000"/>
                <w:sz w:val="18"/>
                <w:szCs w:val="18"/>
                <w:lang w:val="es-AR" w:eastAsia="es-AR"/>
              </w:rPr>
            </w:pPr>
          </w:p>
        </w:tc>
      </w:tr>
      <w:tr w:rsidR="0010523F" w:rsidRPr="0010523F" w14:paraId="2C679D4D" w14:textId="77777777" w:rsidTr="00774E7E">
        <w:trPr>
          <w:trHeight w:val="170"/>
        </w:trPr>
        <w:tc>
          <w:tcPr>
            <w:tcW w:w="3276" w:type="dxa"/>
            <w:tcBorders>
              <w:top w:val="nil"/>
              <w:left w:val="nil"/>
              <w:bottom w:val="nil"/>
              <w:right w:val="nil"/>
            </w:tcBorders>
            <w:shd w:val="clear" w:color="auto" w:fill="auto"/>
            <w:vAlign w:val="center"/>
            <w:hideMark/>
          </w:tcPr>
          <w:p w14:paraId="7C58E810"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ACTIVO NO CORRIENTE</w:t>
            </w:r>
          </w:p>
        </w:tc>
        <w:tc>
          <w:tcPr>
            <w:tcW w:w="960" w:type="dxa"/>
            <w:tcBorders>
              <w:top w:val="nil"/>
              <w:left w:val="nil"/>
              <w:bottom w:val="nil"/>
              <w:right w:val="nil"/>
            </w:tcBorders>
            <w:shd w:val="clear" w:color="auto" w:fill="auto"/>
            <w:vAlign w:val="bottom"/>
            <w:hideMark/>
          </w:tcPr>
          <w:p w14:paraId="79CBA5EB" w14:textId="77777777" w:rsidR="0010523F" w:rsidRPr="0010523F" w:rsidRDefault="0010523F" w:rsidP="0010523F">
            <w:pPr>
              <w:jc w:val="right"/>
              <w:rPr>
                <w:color w:val="000000"/>
                <w:sz w:val="18"/>
                <w:szCs w:val="18"/>
                <w:highlight w:val="yellow"/>
                <w:lang w:val="es-AR" w:eastAsia="es-AR"/>
              </w:rPr>
            </w:pPr>
          </w:p>
        </w:tc>
        <w:tc>
          <w:tcPr>
            <w:tcW w:w="883" w:type="dxa"/>
            <w:tcBorders>
              <w:top w:val="nil"/>
              <w:left w:val="nil"/>
              <w:bottom w:val="nil"/>
              <w:right w:val="nil"/>
            </w:tcBorders>
            <w:shd w:val="clear" w:color="auto" w:fill="auto"/>
            <w:vAlign w:val="bottom"/>
            <w:hideMark/>
          </w:tcPr>
          <w:p w14:paraId="14A92F2C"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398355C5" w14:textId="77777777" w:rsidR="0010523F" w:rsidRPr="0010523F" w:rsidRDefault="0010523F" w:rsidP="0010523F">
            <w:pPr>
              <w:jc w:val="right"/>
              <w:rPr>
                <w:color w:val="000000"/>
                <w:sz w:val="18"/>
                <w:szCs w:val="18"/>
                <w:highlight w:val="yellow"/>
                <w:lang w:val="es-AR" w:eastAsia="es-AR"/>
              </w:rPr>
            </w:pPr>
          </w:p>
        </w:tc>
        <w:tc>
          <w:tcPr>
            <w:tcW w:w="958" w:type="dxa"/>
            <w:tcBorders>
              <w:top w:val="nil"/>
              <w:left w:val="nil"/>
              <w:bottom w:val="nil"/>
              <w:right w:val="nil"/>
            </w:tcBorders>
            <w:shd w:val="clear" w:color="auto" w:fill="auto"/>
            <w:vAlign w:val="bottom"/>
            <w:hideMark/>
          </w:tcPr>
          <w:p w14:paraId="7E7E358A"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AD8DA34" w14:textId="77777777" w:rsidR="0010523F" w:rsidRPr="0010523F" w:rsidRDefault="0010523F" w:rsidP="0010523F">
            <w:pPr>
              <w:jc w:val="right"/>
              <w:rPr>
                <w:color w:val="000000"/>
                <w:sz w:val="18"/>
                <w:szCs w:val="18"/>
                <w:highlight w:val="yellow"/>
                <w:lang w:val="es-AR" w:eastAsia="es-AR"/>
              </w:rPr>
            </w:pPr>
          </w:p>
        </w:tc>
        <w:tc>
          <w:tcPr>
            <w:tcW w:w="1100" w:type="dxa"/>
            <w:tcBorders>
              <w:top w:val="nil"/>
              <w:left w:val="nil"/>
              <w:bottom w:val="nil"/>
              <w:right w:val="nil"/>
            </w:tcBorders>
            <w:shd w:val="clear" w:color="auto" w:fill="auto"/>
            <w:vAlign w:val="bottom"/>
            <w:hideMark/>
          </w:tcPr>
          <w:p w14:paraId="7C37EC75"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0877301B"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5F7D28FD" w14:textId="77777777" w:rsidR="0010523F" w:rsidRPr="0010523F" w:rsidRDefault="0010523F" w:rsidP="0010523F">
            <w:pPr>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5F9A600E"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063D360"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50B0DEFE" w14:textId="77777777" w:rsidR="0010523F" w:rsidRPr="0010523F" w:rsidRDefault="0010523F" w:rsidP="0010523F">
            <w:pPr>
              <w:jc w:val="right"/>
              <w:rPr>
                <w:color w:val="000000"/>
                <w:sz w:val="18"/>
                <w:szCs w:val="18"/>
                <w:lang w:val="es-AR" w:eastAsia="es-AR"/>
              </w:rPr>
            </w:pPr>
          </w:p>
        </w:tc>
      </w:tr>
      <w:tr w:rsidR="0010523F" w:rsidRPr="0010523F" w14:paraId="3D63B512" w14:textId="77777777" w:rsidTr="00774E7E">
        <w:trPr>
          <w:trHeight w:val="170"/>
        </w:trPr>
        <w:tc>
          <w:tcPr>
            <w:tcW w:w="3276" w:type="dxa"/>
            <w:tcBorders>
              <w:top w:val="nil"/>
              <w:left w:val="nil"/>
              <w:bottom w:val="nil"/>
              <w:right w:val="nil"/>
            </w:tcBorders>
            <w:shd w:val="clear" w:color="auto" w:fill="auto"/>
            <w:vAlign w:val="center"/>
            <w:hideMark/>
          </w:tcPr>
          <w:p w14:paraId="1E0A6373"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Otros créditos</w:t>
            </w:r>
          </w:p>
        </w:tc>
        <w:tc>
          <w:tcPr>
            <w:tcW w:w="960" w:type="dxa"/>
            <w:tcBorders>
              <w:top w:val="nil"/>
              <w:left w:val="nil"/>
              <w:bottom w:val="nil"/>
              <w:right w:val="nil"/>
            </w:tcBorders>
            <w:shd w:val="clear" w:color="auto" w:fill="auto"/>
            <w:vAlign w:val="bottom"/>
            <w:hideMark/>
          </w:tcPr>
          <w:p w14:paraId="0F95E967" w14:textId="77777777" w:rsidR="0010523F" w:rsidRPr="0010523F" w:rsidRDefault="0010523F" w:rsidP="0010523F">
            <w:pPr>
              <w:jc w:val="right"/>
              <w:rPr>
                <w:color w:val="000000"/>
                <w:sz w:val="18"/>
                <w:szCs w:val="18"/>
                <w:highlight w:val="yellow"/>
                <w:lang w:val="es-AR" w:eastAsia="es-AR"/>
              </w:rPr>
            </w:pPr>
          </w:p>
        </w:tc>
        <w:tc>
          <w:tcPr>
            <w:tcW w:w="883" w:type="dxa"/>
            <w:tcBorders>
              <w:top w:val="nil"/>
              <w:left w:val="nil"/>
              <w:bottom w:val="nil"/>
              <w:right w:val="nil"/>
            </w:tcBorders>
            <w:shd w:val="clear" w:color="auto" w:fill="auto"/>
            <w:vAlign w:val="bottom"/>
            <w:hideMark/>
          </w:tcPr>
          <w:p w14:paraId="0527D7DB"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6490B251" w14:textId="77777777" w:rsidR="0010523F" w:rsidRPr="0010523F" w:rsidRDefault="0010523F" w:rsidP="0010523F">
            <w:pPr>
              <w:jc w:val="right"/>
              <w:rPr>
                <w:color w:val="000000"/>
                <w:sz w:val="18"/>
                <w:szCs w:val="18"/>
                <w:highlight w:val="yellow"/>
                <w:lang w:val="es-AR" w:eastAsia="es-AR"/>
              </w:rPr>
            </w:pPr>
          </w:p>
        </w:tc>
        <w:tc>
          <w:tcPr>
            <w:tcW w:w="958" w:type="dxa"/>
            <w:tcBorders>
              <w:top w:val="nil"/>
              <w:left w:val="nil"/>
              <w:bottom w:val="nil"/>
              <w:right w:val="nil"/>
            </w:tcBorders>
            <w:shd w:val="clear" w:color="auto" w:fill="auto"/>
            <w:vAlign w:val="bottom"/>
            <w:hideMark/>
          </w:tcPr>
          <w:p w14:paraId="1E15AB63"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05CC643" w14:textId="77777777" w:rsidR="0010523F" w:rsidRPr="0010523F" w:rsidRDefault="0010523F" w:rsidP="0010523F">
            <w:pPr>
              <w:jc w:val="right"/>
              <w:rPr>
                <w:color w:val="000000"/>
                <w:sz w:val="18"/>
                <w:szCs w:val="18"/>
                <w:highlight w:val="yellow"/>
                <w:lang w:val="es-AR" w:eastAsia="es-AR"/>
              </w:rPr>
            </w:pPr>
          </w:p>
        </w:tc>
        <w:tc>
          <w:tcPr>
            <w:tcW w:w="1100" w:type="dxa"/>
            <w:tcBorders>
              <w:top w:val="nil"/>
              <w:left w:val="nil"/>
              <w:bottom w:val="nil"/>
              <w:right w:val="nil"/>
            </w:tcBorders>
            <w:shd w:val="clear" w:color="auto" w:fill="auto"/>
            <w:vAlign w:val="bottom"/>
            <w:hideMark/>
          </w:tcPr>
          <w:p w14:paraId="422ED540"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19B7DB15"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3D5C7E82" w14:textId="77777777" w:rsidR="0010523F" w:rsidRPr="0010523F" w:rsidRDefault="0010523F" w:rsidP="0010523F">
            <w:pPr>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206E1ED0"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3BA0E662"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26B308C2" w14:textId="77777777" w:rsidR="0010523F" w:rsidRPr="0010523F" w:rsidRDefault="0010523F" w:rsidP="0010523F">
            <w:pPr>
              <w:jc w:val="right"/>
              <w:rPr>
                <w:color w:val="000000"/>
                <w:sz w:val="18"/>
                <w:szCs w:val="18"/>
                <w:lang w:val="es-AR" w:eastAsia="es-AR"/>
              </w:rPr>
            </w:pPr>
          </w:p>
        </w:tc>
      </w:tr>
      <w:tr w:rsidR="0010523F" w:rsidRPr="0010523F" w14:paraId="704E2870" w14:textId="77777777" w:rsidTr="00774E7E">
        <w:trPr>
          <w:trHeight w:val="170"/>
        </w:trPr>
        <w:tc>
          <w:tcPr>
            <w:tcW w:w="3276" w:type="dxa"/>
            <w:tcBorders>
              <w:top w:val="nil"/>
              <w:left w:val="nil"/>
              <w:bottom w:val="nil"/>
              <w:right w:val="nil"/>
            </w:tcBorders>
            <w:shd w:val="clear" w:color="auto" w:fill="auto"/>
            <w:vAlign w:val="center"/>
            <w:hideMark/>
          </w:tcPr>
          <w:p w14:paraId="35264F07"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Con partes relacionadas</w:t>
            </w:r>
          </w:p>
        </w:tc>
        <w:tc>
          <w:tcPr>
            <w:tcW w:w="960" w:type="dxa"/>
            <w:tcBorders>
              <w:top w:val="nil"/>
              <w:left w:val="nil"/>
              <w:bottom w:val="nil"/>
              <w:right w:val="nil"/>
            </w:tcBorders>
            <w:shd w:val="clear" w:color="auto" w:fill="auto"/>
            <w:vAlign w:val="bottom"/>
            <w:hideMark/>
          </w:tcPr>
          <w:p w14:paraId="19B29111"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298</w:t>
            </w:r>
          </w:p>
        </w:tc>
        <w:tc>
          <w:tcPr>
            <w:tcW w:w="883" w:type="dxa"/>
            <w:tcBorders>
              <w:top w:val="nil"/>
              <w:left w:val="nil"/>
              <w:bottom w:val="nil"/>
              <w:right w:val="nil"/>
            </w:tcBorders>
            <w:shd w:val="clear" w:color="auto" w:fill="auto"/>
            <w:vAlign w:val="bottom"/>
            <w:hideMark/>
          </w:tcPr>
          <w:p w14:paraId="727404A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67E26AF4"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742E042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2462537E"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6B29BE0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17</w:t>
            </w:r>
          </w:p>
        </w:tc>
        <w:tc>
          <w:tcPr>
            <w:tcW w:w="160" w:type="dxa"/>
            <w:tcBorders>
              <w:top w:val="nil"/>
              <w:left w:val="nil"/>
              <w:bottom w:val="nil"/>
              <w:right w:val="nil"/>
            </w:tcBorders>
            <w:shd w:val="clear" w:color="auto" w:fill="auto"/>
            <w:vAlign w:val="bottom"/>
            <w:hideMark/>
          </w:tcPr>
          <w:p w14:paraId="3B6CB1D2"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53EE88A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298</w:t>
            </w:r>
          </w:p>
        </w:tc>
        <w:tc>
          <w:tcPr>
            <w:tcW w:w="831" w:type="dxa"/>
            <w:tcBorders>
              <w:top w:val="nil"/>
              <w:left w:val="nil"/>
              <w:bottom w:val="nil"/>
              <w:right w:val="nil"/>
            </w:tcBorders>
            <w:shd w:val="clear" w:color="auto" w:fill="auto"/>
            <w:vAlign w:val="bottom"/>
            <w:hideMark/>
          </w:tcPr>
          <w:p w14:paraId="00FD2D7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BC5C397"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3CED226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11</w:t>
            </w:r>
          </w:p>
        </w:tc>
      </w:tr>
      <w:tr w:rsidR="0010523F" w:rsidRPr="0010523F" w14:paraId="645B474D" w14:textId="77777777" w:rsidTr="00774E7E">
        <w:trPr>
          <w:trHeight w:val="170"/>
        </w:trPr>
        <w:tc>
          <w:tcPr>
            <w:tcW w:w="3276" w:type="dxa"/>
            <w:tcBorders>
              <w:top w:val="nil"/>
              <w:left w:val="nil"/>
              <w:bottom w:val="nil"/>
              <w:right w:val="nil"/>
            </w:tcBorders>
            <w:shd w:val="clear" w:color="auto" w:fill="auto"/>
            <w:vAlign w:val="center"/>
            <w:hideMark/>
          </w:tcPr>
          <w:p w14:paraId="017256D0"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Instrumentos financieros derivados</w:t>
            </w:r>
          </w:p>
        </w:tc>
        <w:tc>
          <w:tcPr>
            <w:tcW w:w="960" w:type="dxa"/>
            <w:tcBorders>
              <w:top w:val="nil"/>
              <w:left w:val="nil"/>
              <w:bottom w:val="nil"/>
              <w:right w:val="nil"/>
            </w:tcBorders>
            <w:shd w:val="clear" w:color="auto" w:fill="auto"/>
            <w:vAlign w:val="bottom"/>
            <w:hideMark/>
          </w:tcPr>
          <w:p w14:paraId="1A79227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74</w:t>
            </w:r>
          </w:p>
        </w:tc>
        <w:tc>
          <w:tcPr>
            <w:tcW w:w="883" w:type="dxa"/>
            <w:tcBorders>
              <w:top w:val="nil"/>
              <w:left w:val="nil"/>
              <w:bottom w:val="nil"/>
              <w:right w:val="nil"/>
            </w:tcBorders>
            <w:shd w:val="clear" w:color="auto" w:fill="auto"/>
            <w:vAlign w:val="bottom"/>
            <w:hideMark/>
          </w:tcPr>
          <w:p w14:paraId="342AD0F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69A08F5A"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4FA8678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0A991A9D"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2E9EA7B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4</w:t>
            </w:r>
          </w:p>
        </w:tc>
        <w:tc>
          <w:tcPr>
            <w:tcW w:w="160" w:type="dxa"/>
            <w:tcBorders>
              <w:top w:val="nil"/>
              <w:left w:val="nil"/>
              <w:bottom w:val="nil"/>
              <w:right w:val="nil"/>
            </w:tcBorders>
            <w:shd w:val="clear" w:color="auto" w:fill="auto"/>
            <w:vAlign w:val="bottom"/>
            <w:hideMark/>
          </w:tcPr>
          <w:p w14:paraId="1794F78B"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48E93DB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1.128</w:t>
            </w:r>
          </w:p>
        </w:tc>
        <w:tc>
          <w:tcPr>
            <w:tcW w:w="831" w:type="dxa"/>
            <w:tcBorders>
              <w:top w:val="nil"/>
              <w:left w:val="nil"/>
              <w:bottom w:val="nil"/>
              <w:right w:val="nil"/>
            </w:tcBorders>
            <w:shd w:val="clear" w:color="auto" w:fill="auto"/>
            <w:vAlign w:val="bottom"/>
            <w:hideMark/>
          </w:tcPr>
          <w:p w14:paraId="36F1E52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78F20307"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776B244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43</w:t>
            </w:r>
          </w:p>
        </w:tc>
      </w:tr>
      <w:tr w:rsidR="0010523F" w:rsidRPr="0010523F" w14:paraId="05E7646A" w14:textId="77777777" w:rsidTr="00774E7E">
        <w:trPr>
          <w:trHeight w:val="170"/>
        </w:trPr>
        <w:tc>
          <w:tcPr>
            <w:tcW w:w="3276" w:type="dxa"/>
            <w:tcBorders>
              <w:top w:val="nil"/>
              <w:left w:val="nil"/>
              <w:bottom w:val="nil"/>
              <w:right w:val="nil"/>
            </w:tcBorders>
            <w:shd w:val="clear" w:color="auto" w:fill="auto"/>
            <w:vAlign w:val="center"/>
            <w:hideMark/>
          </w:tcPr>
          <w:p w14:paraId="1CCB45E4"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Créditos diversos</w:t>
            </w:r>
          </w:p>
        </w:tc>
        <w:tc>
          <w:tcPr>
            <w:tcW w:w="960" w:type="dxa"/>
            <w:tcBorders>
              <w:top w:val="nil"/>
              <w:left w:val="nil"/>
              <w:bottom w:val="nil"/>
              <w:right w:val="nil"/>
            </w:tcBorders>
            <w:shd w:val="clear" w:color="auto" w:fill="auto"/>
            <w:vAlign w:val="bottom"/>
            <w:hideMark/>
          </w:tcPr>
          <w:p w14:paraId="3D450B6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5.496</w:t>
            </w:r>
          </w:p>
        </w:tc>
        <w:tc>
          <w:tcPr>
            <w:tcW w:w="883" w:type="dxa"/>
            <w:tcBorders>
              <w:top w:val="nil"/>
              <w:left w:val="nil"/>
              <w:bottom w:val="nil"/>
              <w:right w:val="nil"/>
            </w:tcBorders>
            <w:shd w:val="clear" w:color="auto" w:fill="auto"/>
            <w:vAlign w:val="bottom"/>
            <w:hideMark/>
          </w:tcPr>
          <w:p w14:paraId="1CD34483"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6FF8241D"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1D8E542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783F8AD3"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38BDAA01"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315</w:t>
            </w:r>
          </w:p>
        </w:tc>
        <w:tc>
          <w:tcPr>
            <w:tcW w:w="160" w:type="dxa"/>
            <w:tcBorders>
              <w:top w:val="nil"/>
              <w:left w:val="nil"/>
              <w:bottom w:val="nil"/>
              <w:right w:val="nil"/>
            </w:tcBorders>
            <w:shd w:val="clear" w:color="auto" w:fill="auto"/>
            <w:vAlign w:val="bottom"/>
            <w:hideMark/>
          </w:tcPr>
          <w:p w14:paraId="5F2FAAD3" w14:textId="77777777" w:rsidR="0010523F" w:rsidRPr="0010523F" w:rsidRDefault="0010523F" w:rsidP="0010523F">
            <w:pPr>
              <w:jc w:val="right"/>
              <w:rPr>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42B93EE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6.472</w:t>
            </w:r>
          </w:p>
        </w:tc>
        <w:tc>
          <w:tcPr>
            <w:tcW w:w="831" w:type="dxa"/>
            <w:tcBorders>
              <w:top w:val="nil"/>
              <w:left w:val="nil"/>
              <w:bottom w:val="nil"/>
              <w:right w:val="nil"/>
            </w:tcBorders>
            <w:shd w:val="clear" w:color="auto" w:fill="auto"/>
            <w:vAlign w:val="bottom"/>
            <w:hideMark/>
          </w:tcPr>
          <w:p w14:paraId="57AF5DD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7DAEE759"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39EE4C0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244</w:t>
            </w:r>
          </w:p>
        </w:tc>
      </w:tr>
      <w:tr w:rsidR="0010523F" w:rsidRPr="0010523F" w14:paraId="367478E3" w14:textId="77777777" w:rsidTr="00774E7E">
        <w:trPr>
          <w:trHeight w:val="113"/>
        </w:trPr>
        <w:tc>
          <w:tcPr>
            <w:tcW w:w="3276" w:type="dxa"/>
            <w:tcBorders>
              <w:top w:val="nil"/>
              <w:left w:val="nil"/>
              <w:bottom w:val="nil"/>
              <w:right w:val="nil"/>
            </w:tcBorders>
            <w:shd w:val="clear" w:color="auto" w:fill="auto"/>
            <w:vAlign w:val="center"/>
            <w:hideMark/>
          </w:tcPr>
          <w:p w14:paraId="1903EF02" w14:textId="77777777" w:rsidR="0010523F" w:rsidRPr="0010523F" w:rsidRDefault="0010523F" w:rsidP="0010523F">
            <w:pPr>
              <w:ind w:left="213"/>
              <w:jc w:val="both"/>
              <w:rPr>
                <w:color w:val="000000"/>
                <w:sz w:val="18"/>
                <w:szCs w:val="18"/>
                <w:lang w:val="es-AR" w:eastAsia="es-AR"/>
              </w:rPr>
            </w:pPr>
            <w:r w:rsidRPr="0010523F">
              <w:rPr>
                <w:color w:val="000000"/>
                <w:sz w:val="18"/>
                <w:szCs w:val="18"/>
                <w:lang w:val="es-AR" w:eastAsia="es-AR"/>
              </w:rPr>
              <w:t>Anticipos a proveedores y otros</w:t>
            </w:r>
          </w:p>
        </w:tc>
        <w:tc>
          <w:tcPr>
            <w:tcW w:w="960" w:type="dxa"/>
            <w:tcBorders>
              <w:top w:val="nil"/>
              <w:left w:val="nil"/>
              <w:bottom w:val="nil"/>
              <w:right w:val="nil"/>
            </w:tcBorders>
            <w:shd w:val="clear" w:color="auto" w:fill="auto"/>
            <w:vAlign w:val="bottom"/>
            <w:hideMark/>
          </w:tcPr>
          <w:p w14:paraId="46F4D18E"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3.346</w:t>
            </w:r>
          </w:p>
        </w:tc>
        <w:tc>
          <w:tcPr>
            <w:tcW w:w="883" w:type="dxa"/>
            <w:tcBorders>
              <w:top w:val="nil"/>
              <w:left w:val="nil"/>
              <w:bottom w:val="nil"/>
              <w:right w:val="nil"/>
            </w:tcBorders>
            <w:shd w:val="clear" w:color="auto" w:fill="auto"/>
            <w:vAlign w:val="bottom"/>
            <w:hideMark/>
          </w:tcPr>
          <w:p w14:paraId="39180669"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hideMark/>
          </w:tcPr>
          <w:p w14:paraId="69BAAB1B"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hideMark/>
          </w:tcPr>
          <w:p w14:paraId="3943172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5DDC2608"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61ABEC34"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192</w:t>
            </w:r>
          </w:p>
        </w:tc>
        <w:tc>
          <w:tcPr>
            <w:tcW w:w="160" w:type="dxa"/>
            <w:tcBorders>
              <w:top w:val="nil"/>
              <w:left w:val="nil"/>
              <w:bottom w:val="nil"/>
              <w:right w:val="nil"/>
            </w:tcBorders>
            <w:shd w:val="clear" w:color="auto" w:fill="auto"/>
            <w:vAlign w:val="bottom"/>
            <w:hideMark/>
          </w:tcPr>
          <w:p w14:paraId="1B9164EE" w14:textId="77777777" w:rsidR="0010523F" w:rsidRPr="0010523F" w:rsidRDefault="0010523F" w:rsidP="0010523F">
            <w:pPr>
              <w:jc w:val="right"/>
              <w:rPr>
                <w:color w:val="000000"/>
                <w:sz w:val="18"/>
                <w:szCs w:val="18"/>
                <w:highlight w:val="yellow"/>
                <w:u w:val="single"/>
                <w:lang w:val="es-AR" w:eastAsia="es-AR"/>
              </w:rPr>
            </w:pPr>
          </w:p>
        </w:tc>
        <w:tc>
          <w:tcPr>
            <w:tcW w:w="906" w:type="dxa"/>
            <w:tcBorders>
              <w:top w:val="nil"/>
              <w:left w:val="nil"/>
              <w:bottom w:val="nil"/>
              <w:right w:val="nil"/>
            </w:tcBorders>
            <w:shd w:val="clear" w:color="auto" w:fill="auto"/>
            <w:vAlign w:val="bottom"/>
            <w:hideMark/>
          </w:tcPr>
          <w:p w14:paraId="33D9B05D"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4.656</w:t>
            </w:r>
          </w:p>
        </w:tc>
        <w:tc>
          <w:tcPr>
            <w:tcW w:w="831" w:type="dxa"/>
            <w:tcBorders>
              <w:top w:val="nil"/>
              <w:left w:val="nil"/>
              <w:bottom w:val="nil"/>
              <w:right w:val="nil"/>
            </w:tcBorders>
            <w:shd w:val="clear" w:color="auto" w:fill="auto"/>
            <w:vAlign w:val="bottom"/>
            <w:hideMark/>
          </w:tcPr>
          <w:p w14:paraId="414FB893"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hideMark/>
          </w:tcPr>
          <w:p w14:paraId="2A68C29C" w14:textId="77777777" w:rsidR="0010523F" w:rsidRPr="0010523F" w:rsidRDefault="0010523F" w:rsidP="0010523F">
            <w:pPr>
              <w:jc w:val="right"/>
              <w:rPr>
                <w:color w:val="000000"/>
                <w:sz w:val="18"/>
                <w:szCs w:val="18"/>
                <w:u w:val="single"/>
                <w:lang w:val="es-AR" w:eastAsia="es-AR"/>
              </w:rPr>
            </w:pPr>
          </w:p>
        </w:tc>
        <w:tc>
          <w:tcPr>
            <w:tcW w:w="977" w:type="dxa"/>
            <w:tcBorders>
              <w:top w:val="nil"/>
              <w:left w:val="nil"/>
              <w:bottom w:val="nil"/>
              <w:right w:val="nil"/>
            </w:tcBorders>
            <w:shd w:val="clear" w:color="auto" w:fill="auto"/>
            <w:vAlign w:val="bottom"/>
            <w:hideMark/>
          </w:tcPr>
          <w:p w14:paraId="0FFEA108"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176</w:t>
            </w:r>
          </w:p>
        </w:tc>
      </w:tr>
      <w:tr w:rsidR="0010523F" w:rsidRPr="0010523F" w14:paraId="3A4CF3EE" w14:textId="77777777" w:rsidTr="00774E7E">
        <w:trPr>
          <w:trHeight w:val="113"/>
        </w:trPr>
        <w:tc>
          <w:tcPr>
            <w:tcW w:w="3276" w:type="dxa"/>
            <w:tcBorders>
              <w:top w:val="nil"/>
              <w:left w:val="nil"/>
              <w:bottom w:val="nil"/>
              <w:right w:val="nil"/>
            </w:tcBorders>
            <w:shd w:val="clear" w:color="auto" w:fill="auto"/>
            <w:vAlign w:val="center"/>
            <w:hideMark/>
          </w:tcPr>
          <w:p w14:paraId="2D4E7329" w14:textId="77777777" w:rsidR="0010523F" w:rsidRPr="0010523F" w:rsidRDefault="0010523F" w:rsidP="0010523F">
            <w:pPr>
              <w:jc w:val="both"/>
              <w:rPr>
                <w:color w:val="000000"/>
                <w:sz w:val="18"/>
                <w:szCs w:val="18"/>
                <w:lang w:val="es-AR" w:eastAsia="es-AR"/>
              </w:rPr>
            </w:pPr>
          </w:p>
        </w:tc>
        <w:tc>
          <w:tcPr>
            <w:tcW w:w="960" w:type="dxa"/>
            <w:tcBorders>
              <w:top w:val="nil"/>
              <w:left w:val="nil"/>
              <w:bottom w:val="nil"/>
              <w:right w:val="nil"/>
            </w:tcBorders>
            <w:shd w:val="clear" w:color="auto" w:fill="auto"/>
            <w:vAlign w:val="bottom"/>
            <w:hideMark/>
          </w:tcPr>
          <w:p w14:paraId="35A4A571" w14:textId="77777777" w:rsidR="0010523F" w:rsidRPr="0010523F" w:rsidRDefault="0010523F" w:rsidP="0010523F">
            <w:pPr>
              <w:jc w:val="right"/>
              <w:rPr>
                <w:color w:val="000000"/>
                <w:sz w:val="18"/>
                <w:szCs w:val="18"/>
                <w:lang w:val="es-AR" w:eastAsia="es-AR"/>
              </w:rPr>
            </w:pPr>
          </w:p>
        </w:tc>
        <w:tc>
          <w:tcPr>
            <w:tcW w:w="883" w:type="dxa"/>
            <w:tcBorders>
              <w:top w:val="nil"/>
              <w:left w:val="nil"/>
              <w:bottom w:val="nil"/>
              <w:right w:val="nil"/>
            </w:tcBorders>
            <w:shd w:val="clear" w:color="auto" w:fill="auto"/>
            <w:vAlign w:val="bottom"/>
            <w:hideMark/>
          </w:tcPr>
          <w:p w14:paraId="086BA6B6"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4E7529C"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5958F0E1"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41DC925"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45BA6F60"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noWrap/>
            <w:vAlign w:val="bottom"/>
            <w:hideMark/>
          </w:tcPr>
          <w:p w14:paraId="1C4F9509" w14:textId="77777777" w:rsidR="0010523F" w:rsidRPr="0010523F" w:rsidRDefault="0010523F" w:rsidP="0010523F">
            <w:pPr>
              <w:jc w:val="right"/>
              <w:rPr>
                <w:rFonts w:ascii="Calibri" w:hAnsi="Calibri"/>
                <w:color w:val="000000"/>
                <w:sz w:val="18"/>
                <w:szCs w:val="18"/>
                <w:highlight w:val="yellow"/>
                <w:lang w:val="es-AR" w:eastAsia="es-AR"/>
              </w:rPr>
            </w:pPr>
          </w:p>
        </w:tc>
        <w:tc>
          <w:tcPr>
            <w:tcW w:w="906" w:type="dxa"/>
            <w:tcBorders>
              <w:top w:val="nil"/>
              <w:left w:val="nil"/>
              <w:bottom w:val="nil"/>
              <w:right w:val="nil"/>
            </w:tcBorders>
            <w:shd w:val="clear" w:color="auto" w:fill="auto"/>
            <w:vAlign w:val="bottom"/>
            <w:hideMark/>
          </w:tcPr>
          <w:p w14:paraId="341547F9" w14:textId="77777777" w:rsidR="0010523F" w:rsidRPr="0010523F" w:rsidRDefault="0010523F" w:rsidP="0010523F">
            <w:pPr>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2F76DCCC"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noWrap/>
            <w:vAlign w:val="bottom"/>
            <w:hideMark/>
          </w:tcPr>
          <w:p w14:paraId="7E014091" w14:textId="77777777" w:rsidR="0010523F" w:rsidRPr="0010523F" w:rsidRDefault="0010523F" w:rsidP="0010523F">
            <w:pPr>
              <w:jc w:val="right"/>
              <w:rPr>
                <w:rFonts w:ascii="Calibri" w:hAnsi="Calibri"/>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1116FF4D" w14:textId="77777777" w:rsidR="0010523F" w:rsidRPr="0010523F" w:rsidRDefault="0010523F" w:rsidP="0010523F">
            <w:pPr>
              <w:jc w:val="right"/>
              <w:rPr>
                <w:color w:val="000000"/>
                <w:sz w:val="18"/>
                <w:szCs w:val="18"/>
                <w:u w:val="single"/>
                <w:lang w:val="es-AR" w:eastAsia="es-AR"/>
              </w:rPr>
            </w:pPr>
          </w:p>
        </w:tc>
      </w:tr>
      <w:tr w:rsidR="0010523F" w:rsidRPr="0010523F" w14:paraId="05A9B3EE" w14:textId="77777777" w:rsidTr="00774E7E">
        <w:trPr>
          <w:trHeight w:val="170"/>
        </w:trPr>
        <w:tc>
          <w:tcPr>
            <w:tcW w:w="3276" w:type="dxa"/>
            <w:tcBorders>
              <w:top w:val="nil"/>
              <w:left w:val="nil"/>
              <w:bottom w:val="nil"/>
              <w:right w:val="nil"/>
            </w:tcBorders>
            <w:shd w:val="clear" w:color="auto" w:fill="auto"/>
            <w:vAlign w:val="center"/>
            <w:hideMark/>
          </w:tcPr>
          <w:p w14:paraId="3536CBD3"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Total del activo no corriente</w:t>
            </w:r>
          </w:p>
        </w:tc>
        <w:tc>
          <w:tcPr>
            <w:tcW w:w="960" w:type="dxa"/>
            <w:tcBorders>
              <w:top w:val="nil"/>
              <w:left w:val="nil"/>
              <w:bottom w:val="nil"/>
              <w:right w:val="nil"/>
            </w:tcBorders>
            <w:shd w:val="clear" w:color="auto" w:fill="auto"/>
            <w:vAlign w:val="bottom"/>
            <w:hideMark/>
          </w:tcPr>
          <w:p w14:paraId="123639BE"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9.214</w:t>
            </w:r>
          </w:p>
        </w:tc>
        <w:tc>
          <w:tcPr>
            <w:tcW w:w="883" w:type="dxa"/>
            <w:tcBorders>
              <w:top w:val="nil"/>
              <w:left w:val="nil"/>
              <w:bottom w:val="nil"/>
              <w:right w:val="nil"/>
            </w:tcBorders>
            <w:shd w:val="clear" w:color="auto" w:fill="auto"/>
            <w:vAlign w:val="bottom"/>
            <w:hideMark/>
          </w:tcPr>
          <w:p w14:paraId="4551EA91"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hideMark/>
          </w:tcPr>
          <w:p w14:paraId="72A08D85" w14:textId="77777777" w:rsidR="0010523F" w:rsidRPr="0010523F" w:rsidRDefault="0010523F" w:rsidP="0010523F">
            <w:pPr>
              <w:jc w:val="right"/>
              <w:rPr>
                <w:color w:val="000000"/>
                <w:sz w:val="18"/>
                <w:szCs w:val="18"/>
                <w:u w:val="single"/>
                <w:lang w:val="es-AR" w:eastAsia="es-AR"/>
              </w:rPr>
            </w:pPr>
          </w:p>
        </w:tc>
        <w:tc>
          <w:tcPr>
            <w:tcW w:w="958" w:type="dxa"/>
            <w:tcBorders>
              <w:top w:val="nil"/>
              <w:left w:val="nil"/>
              <w:bottom w:val="nil"/>
              <w:right w:val="nil"/>
            </w:tcBorders>
            <w:shd w:val="clear" w:color="auto" w:fill="auto"/>
            <w:vAlign w:val="bottom"/>
            <w:hideMark/>
          </w:tcPr>
          <w:p w14:paraId="14622726"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4848BCA"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3BF37397"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528</w:t>
            </w:r>
          </w:p>
        </w:tc>
        <w:tc>
          <w:tcPr>
            <w:tcW w:w="160" w:type="dxa"/>
            <w:tcBorders>
              <w:top w:val="nil"/>
              <w:left w:val="nil"/>
              <w:bottom w:val="nil"/>
              <w:right w:val="nil"/>
            </w:tcBorders>
            <w:shd w:val="clear" w:color="auto" w:fill="auto"/>
            <w:noWrap/>
            <w:vAlign w:val="bottom"/>
            <w:hideMark/>
          </w:tcPr>
          <w:p w14:paraId="05A62BF8" w14:textId="77777777" w:rsidR="0010523F" w:rsidRPr="0010523F" w:rsidRDefault="0010523F" w:rsidP="0010523F">
            <w:pPr>
              <w:jc w:val="right"/>
              <w:rPr>
                <w:rFonts w:ascii="Calibri" w:hAnsi="Calibri"/>
                <w:color w:val="000000"/>
                <w:sz w:val="18"/>
                <w:szCs w:val="18"/>
                <w:lang w:val="es-AR" w:eastAsia="es-AR"/>
              </w:rPr>
            </w:pPr>
          </w:p>
        </w:tc>
        <w:tc>
          <w:tcPr>
            <w:tcW w:w="906" w:type="dxa"/>
            <w:tcBorders>
              <w:top w:val="nil"/>
              <w:left w:val="nil"/>
              <w:bottom w:val="nil"/>
              <w:right w:val="nil"/>
            </w:tcBorders>
            <w:shd w:val="clear" w:color="auto" w:fill="auto"/>
            <w:vAlign w:val="bottom"/>
            <w:hideMark/>
          </w:tcPr>
          <w:p w14:paraId="52F180D7"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12.554</w:t>
            </w:r>
          </w:p>
        </w:tc>
        <w:tc>
          <w:tcPr>
            <w:tcW w:w="831" w:type="dxa"/>
            <w:tcBorders>
              <w:top w:val="nil"/>
              <w:left w:val="nil"/>
              <w:bottom w:val="nil"/>
              <w:right w:val="nil"/>
            </w:tcBorders>
            <w:shd w:val="clear" w:color="auto" w:fill="auto"/>
            <w:vAlign w:val="bottom"/>
            <w:hideMark/>
          </w:tcPr>
          <w:p w14:paraId="15E89758"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noWrap/>
            <w:vAlign w:val="bottom"/>
            <w:hideMark/>
          </w:tcPr>
          <w:p w14:paraId="1702B947" w14:textId="77777777" w:rsidR="0010523F" w:rsidRPr="0010523F" w:rsidRDefault="0010523F" w:rsidP="0010523F">
            <w:pPr>
              <w:jc w:val="right"/>
              <w:rPr>
                <w:rFonts w:ascii="Calibri" w:hAnsi="Calibri"/>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5E8A9602"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474</w:t>
            </w:r>
          </w:p>
        </w:tc>
      </w:tr>
      <w:tr w:rsidR="0010523F" w:rsidRPr="0010523F" w14:paraId="68C2A3BA" w14:textId="77777777" w:rsidTr="00774E7E">
        <w:trPr>
          <w:trHeight w:val="113"/>
        </w:trPr>
        <w:tc>
          <w:tcPr>
            <w:tcW w:w="3276" w:type="dxa"/>
            <w:tcBorders>
              <w:top w:val="nil"/>
              <w:left w:val="nil"/>
              <w:bottom w:val="nil"/>
              <w:right w:val="nil"/>
            </w:tcBorders>
            <w:shd w:val="clear" w:color="auto" w:fill="auto"/>
            <w:vAlign w:val="center"/>
            <w:hideMark/>
          </w:tcPr>
          <w:p w14:paraId="5A6865D6" w14:textId="77777777" w:rsidR="0010523F" w:rsidRPr="0010523F" w:rsidRDefault="0010523F" w:rsidP="0010523F">
            <w:pPr>
              <w:jc w:val="both"/>
              <w:rPr>
                <w:color w:val="000000"/>
                <w:sz w:val="18"/>
                <w:szCs w:val="18"/>
                <w:lang w:val="es-AR" w:eastAsia="es-AR"/>
              </w:rPr>
            </w:pPr>
          </w:p>
        </w:tc>
        <w:tc>
          <w:tcPr>
            <w:tcW w:w="960" w:type="dxa"/>
            <w:tcBorders>
              <w:top w:val="nil"/>
              <w:left w:val="nil"/>
              <w:bottom w:val="nil"/>
              <w:right w:val="nil"/>
            </w:tcBorders>
            <w:shd w:val="clear" w:color="auto" w:fill="auto"/>
            <w:vAlign w:val="bottom"/>
            <w:hideMark/>
          </w:tcPr>
          <w:p w14:paraId="72179B4E" w14:textId="77777777" w:rsidR="0010523F" w:rsidRPr="0010523F" w:rsidRDefault="0010523F" w:rsidP="0010523F">
            <w:pPr>
              <w:jc w:val="right"/>
              <w:rPr>
                <w:color w:val="000000"/>
                <w:sz w:val="18"/>
                <w:szCs w:val="18"/>
                <w:lang w:val="es-AR" w:eastAsia="es-AR"/>
              </w:rPr>
            </w:pPr>
          </w:p>
        </w:tc>
        <w:tc>
          <w:tcPr>
            <w:tcW w:w="883" w:type="dxa"/>
            <w:tcBorders>
              <w:top w:val="nil"/>
              <w:left w:val="nil"/>
              <w:bottom w:val="nil"/>
              <w:right w:val="nil"/>
            </w:tcBorders>
            <w:shd w:val="clear" w:color="auto" w:fill="auto"/>
            <w:vAlign w:val="bottom"/>
            <w:hideMark/>
          </w:tcPr>
          <w:p w14:paraId="0EADF401"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27676CC" w14:textId="77777777" w:rsidR="0010523F" w:rsidRPr="0010523F" w:rsidRDefault="0010523F" w:rsidP="0010523F">
            <w:pPr>
              <w:jc w:val="right"/>
              <w:rPr>
                <w:color w:val="000000"/>
                <w:sz w:val="18"/>
                <w:szCs w:val="18"/>
                <w:lang w:val="es-AR" w:eastAsia="es-AR"/>
              </w:rPr>
            </w:pPr>
          </w:p>
        </w:tc>
        <w:tc>
          <w:tcPr>
            <w:tcW w:w="958" w:type="dxa"/>
            <w:tcBorders>
              <w:top w:val="nil"/>
              <w:left w:val="nil"/>
              <w:bottom w:val="nil"/>
              <w:right w:val="nil"/>
            </w:tcBorders>
            <w:shd w:val="clear" w:color="auto" w:fill="auto"/>
            <w:vAlign w:val="bottom"/>
            <w:hideMark/>
          </w:tcPr>
          <w:p w14:paraId="55B83EE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85333F6"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4AFD35BD"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6F037789" w14:textId="77777777" w:rsidR="0010523F" w:rsidRPr="0010523F" w:rsidRDefault="0010523F" w:rsidP="0010523F">
            <w:pPr>
              <w:jc w:val="right"/>
              <w:rPr>
                <w:color w:val="000000"/>
                <w:sz w:val="18"/>
                <w:szCs w:val="18"/>
                <w:lang w:val="es-AR" w:eastAsia="es-AR"/>
              </w:rPr>
            </w:pPr>
          </w:p>
        </w:tc>
        <w:tc>
          <w:tcPr>
            <w:tcW w:w="906" w:type="dxa"/>
            <w:tcBorders>
              <w:top w:val="nil"/>
              <w:left w:val="nil"/>
              <w:bottom w:val="nil"/>
              <w:right w:val="nil"/>
            </w:tcBorders>
            <w:shd w:val="clear" w:color="auto" w:fill="auto"/>
            <w:vAlign w:val="bottom"/>
            <w:hideMark/>
          </w:tcPr>
          <w:p w14:paraId="730DC7D7" w14:textId="77777777" w:rsidR="0010523F" w:rsidRPr="0010523F" w:rsidRDefault="0010523F" w:rsidP="0010523F">
            <w:pPr>
              <w:jc w:val="right"/>
              <w:rPr>
                <w:color w:val="000000"/>
                <w:sz w:val="18"/>
                <w:szCs w:val="18"/>
                <w:lang w:val="es-AR" w:eastAsia="es-AR"/>
              </w:rPr>
            </w:pPr>
          </w:p>
        </w:tc>
        <w:tc>
          <w:tcPr>
            <w:tcW w:w="831" w:type="dxa"/>
            <w:tcBorders>
              <w:top w:val="nil"/>
              <w:left w:val="nil"/>
              <w:bottom w:val="nil"/>
              <w:right w:val="nil"/>
            </w:tcBorders>
            <w:shd w:val="clear" w:color="auto" w:fill="auto"/>
            <w:vAlign w:val="bottom"/>
            <w:hideMark/>
          </w:tcPr>
          <w:p w14:paraId="72B873B8"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93C5A59" w14:textId="77777777" w:rsidR="0010523F" w:rsidRPr="0010523F" w:rsidRDefault="0010523F" w:rsidP="0010523F">
            <w:pPr>
              <w:jc w:val="right"/>
              <w:rPr>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0B62CF98" w14:textId="77777777" w:rsidR="0010523F" w:rsidRPr="0010523F" w:rsidRDefault="0010523F" w:rsidP="0010523F">
            <w:pPr>
              <w:jc w:val="right"/>
              <w:rPr>
                <w:color w:val="000000"/>
                <w:sz w:val="18"/>
                <w:szCs w:val="18"/>
                <w:lang w:val="es-AR" w:eastAsia="es-AR"/>
              </w:rPr>
            </w:pPr>
          </w:p>
        </w:tc>
      </w:tr>
      <w:tr w:rsidR="0010523F" w:rsidRPr="0010523F" w14:paraId="661754A1" w14:textId="77777777" w:rsidTr="00774E7E">
        <w:trPr>
          <w:trHeight w:val="170"/>
        </w:trPr>
        <w:tc>
          <w:tcPr>
            <w:tcW w:w="3276" w:type="dxa"/>
            <w:tcBorders>
              <w:top w:val="nil"/>
              <w:left w:val="nil"/>
              <w:bottom w:val="nil"/>
              <w:right w:val="nil"/>
            </w:tcBorders>
            <w:shd w:val="clear" w:color="auto" w:fill="auto"/>
            <w:vAlign w:val="center"/>
            <w:hideMark/>
          </w:tcPr>
          <w:p w14:paraId="0E10088A"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Total del activo</w:t>
            </w:r>
          </w:p>
        </w:tc>
        <w:tc>
          <w:tcPr>
            <w:tcW w:w="960" w:type="dxa"/>
            <w:tcBorders>
              <w:top w:val="nil"/>
              <w:left w:val="nil"/>
              <w:bottom w:val="nil"/>
              <w:right w:val="nil"/>
            </w:tcBorders>
            <w:shd w:val="clear" w:color="auto" w:fill="auto"/>
            <w:vAlign w:val="bottom"/>
            <w:hideMark/>
          </w:tcPr>
          <w:p w14:paraId="1824542D"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458.884</w:t>
            </w:r>
          </w:p>
        </w:tc>
        <w:tc>
          <w:tcPr>
            <w:tcW w:w="883" w:type="dxa"/>
            <w:tcBorders>
              <w:top w:val="nil"/>
              <w:left w:val="nil"/>
              <w:bottom w:val="nil"/>
              <w:right w:val="nil"/>
            </w:tcBorders>
            <w:shd w:val="clear" w:color="auto" w:fill="auto"/>
            <w:vAlign w:val="bottom"/>
            <w:hideMark/>
          </w:tcPr>
          <w:p w14:paraId="44BE051C"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1.453</w:t>
            </w:r>
          </w:p>
        </w:tc>
        <w:tc>
          <w:tcPr>
            <w:tcW w:w="160" w:type="dxa"/>
            <w:tcBorders>
              <w:top w:val="nil"/>
              <w:left w:val="nil"/>
              <w:bottom w:val="nil"/>
              <w:right w:val="nil"/>
            </w:tcBorders>
            <w:shd w:val="clear" w:color="auto" w:fill="auto"/>
            <w:vAlign w:val="bottom"/>
            <w:hideMark/>
          </w:tcPr>
          <w:p w14:paraId="48D6D6F1" w14:textId="77777777" w:rsidR="0010523F" w:rsidRPr="0010523F" w:rsidRDefault="0010523F" w:rsidP="0010523F">
            <w:pPr>
              <w:jc w:val="right"/>
              <w:rPr>
                <w:color w:val="000000"/>
                <w:sz w:val="18"/>
                <w:szCs w:val="18"/>
                <w:u w:val="double"/>
                <w:lang w:val="es-AR" w:eastAsia="es-AR"/>
              </w:rPr>
            </w:pPr>
          </w:p>
        </w:tc>
        <w:tc>
          <w:tcPr>
            <w:tcW w:w="958" w:type="dxa"/>
            <w:tcBorders>
              <w:top w:val="nil"/>
              <w:left w:val="nil"/>
              <w:bottom w:val="nil"/>
              <w:right w:val="nil"/>
            </w:tcBorders>
            <w:shd w:val="clear" w:color="auto" w:fill="auto"/>
            <w:vAlign w:val="bottom"/>
            <w:hideMark/>
          </w:tcPr>
          <w:p w14:paraId="7500B83C"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37A8CA16" w14:textId="77777777" w:rsidR="0010523F" w:rsidRPr="0010523F" w:rsidRDefault="0010523F" w:rsidP="0010523F">
            <w:pPr>
              <w:jc w:val="right"/>
              <w:rPr>
                <w:color w:val="000000"/>
                <w:sz w:val="18"/>
                <w:szCs w:val="18"/>
                <w:lang w:val="es-AR" w:eastAsia="es-AR"/>
              </w:rPr>
            </w:pPr>
          </w:p>
        </w:tc>
        <w:tc>
          <w:tcPr>
            <w:tcW w:w="1100" w:type="dxa"/>
            <w:tcBorders>
              <w:top w:val="nil"/>
              <w:left w:val="nil"/>
              <w:bottom w:val="nil"/>
              <w:right w:val="nil"/>
            </w:tcBorders>
            <w:shd w:val="clear" w:color="auto" w:fill="auto"/>
            <w:vAlign w:val="bottom"/>
            <w:hideMark/>
          </w:tcPr>
          <w:p w14:paraId="615D843C" w14:textId="77777777" w:rsidR="0010523F" w:rsidRPr="0010523F" w:rsidRDefault="0010523F" w:rsidP="0010523F">
            <w:pPr>
              <w:jc w:val="right"/>
              <w:rPr>
                <w:color w:val="000000"/>
                <w:sz w:val="16"/>
                <w:szCs w:val="18"/>
                <w:u w:val="double"/>
                <w:lang w:val="es-AR" w:eastAsia="es-AR"/>
              </w:rPr>
            </w:pPr>
            <w:r w:rsidRPr="0010523F">
              <w:rPr>
                <w:color w:val="000000"/>
                <w:sz w:val="18"/>
                <w:szCs w:val="18"/>
                <w:u w:val="double"/>
                <w:lang w:val="es-AR" w:eastAsia="es-AR"/>
              </w:rPr>
              <w:t>26.395</w:t>
            </w:r>
          </w:p>
        </w:tc>
        <w:tc>
          <w:tcPr>
            <w:tcW w:w="160" w:type="dxa"/>
            <w:tcBorders>
              <w:top w:val="nil"/>
              <w:left w:val="nil"/>
              <w:bottom w:val="nil"/>
              <w:right w:val="nil"/>
            </w:tcBorders>
            <w:shd w:val="clear" w:color="auto" w:fill="auto"/>
            <w:noWrap/>
            <w:vAlign w:val="bottom"/>
            <w:hideMark/>
          </w:tcPr>
          <w:p w14:paraId="5BA6CE42" w14:textId="77777777" w:rsidR="0010523F" w:rsidRPr="0010523F" w:rsidRDefault="0010523F" w:rsidP="0010523F">
            <w:pPr>
              <w:jc w:val="right"/>
              <w:rPr>
                <w:rFonts w:ascii="Calibri" w:hAnsi="Calibri"/>
                <w:color w:val="000000"/>
                <w:sz w:val="18"/>
                <w:szCs w:val="18"/>
                <w:lang w:val="es-AR" w:eastAsia="es-AR"/>
              </w:rPr>
            </w:pPr>
          </w:p>
        </w:tc>
        <w:tc>
          <w:tcPr>
            <w:tcW w:w="906" w:type="dxa"/>
            <w:tcBorders>
              <w:top w:val="nil"/>
              <w:left w:val="nil"/>
              <w:bottom w:val="nil"/>
              <w:right w:val="nil"/>
            </w:tcBorders>
            <w:shd w:val="clear" w:color="auto" w:fill="auto"/>
            <w:vAlign w:val="bottom"/>
            <w:hideMark/>
          </w:tcPr>
          <w:p w14:paraId="2943995D"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816.195</w:t>
            </w:r>
          </w:p>
        </w:tc>
        <w:tc>
          <w:tcPr>
            <w:tcW w:w="831" w:type="dxa"/>
            <w:tcBorders>
              <w:top w:val="nil"/>
              <w:left w:val="nil"/>
              <w:bottom w:val="nil"/>
              <w:right w:val="nil"/>
            </w:tcBorders>
            <w:shd w:val="clear" w:color="auto" w:fill="auto"/>
            <w:vAlign w:val="bottom"/>
            <w:hideMark/>
          </w:tcPr>
          <w:p w14:paraId="215F4108"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572</w:t>
            </w:r>
          </w:p>
        </w:tc>
        <w:tc>
          <w:tcPr>
            <w:tcW w:w="160" w:type="dxa"/>
            <w:tcBorders>
              <w:top w:val="nil"/>
              <w:left w:val="nil"/>
              <w:bottom w:val="nil"/>
              <w:right w:val="nil"/>
            </w:tcBorders>
            <w:shd w:val="clear" w:color="auto" w:fill="auto"/>
            <w:noWrap/>
            <w:vAlign w:val="bottom"/>
            <w:hideMark/>
          </w:tcPr>
          <w:p w14:paraId="5E4E84E1" w14:textId="77777777" w:rsidR="0010523F" w:rsidRPr="0010523F" w:rsidRDefault="0010523F" w:rsidP="0010523F">
            <w:pPr>
              <w:jc w:val="right"/>
              <w:rPr>
                <w:rFonts w:ascii="Calibri" w:hAnsi="Calibri"/>
                <w:color w:val="000000"/>
                <w:sz w:val="18"/>
                <w:szCs w:val="18"/>
                <w:lang w:val="es-AR" w:eastAsia="es-AR"/>
              </w:rPr>
            </w:pPr>
          </w:p>
        </w:tc>
        <w:tc>
          <w:tcPr>
            <w:tcW w:w="977" w:type="dxa"/>
            <w:tcBorders>
              <w:top w:val="nil"/>
              <w:left w:val="nil"/>
              <w:bottom w:val="nil"/>
              <w:right w:val="nil"/>
            </w:tcBorders>
            <w:shd w:val="clear" w:color="auto" w:fill="auto"/>
            <w:vAlign w:val="bottom"/>
            <w:hideMark/>
          </w:tcPr>
          <w:p w14:paraId="054C95B1"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30.795</w:t>
            </w:r>
          </w:p>
        </w:tc>
      </w:tr>
    </w:tbl>
    <w:p w14:paraId="2816A092" w14:textId="77777777" w:rsidR="0010523F" w:rsidRPr="0010523F" w:rsidRDefault="0010523F" w:rsidP="0010523F">
      <w:pPr>
        <w:tabs>
          <w:tab w:val="left" w:pos="284"/>
          <w:tab w:val="decimal" w:pos="5387"/>
          <w:tab w:val="decimal" w:pos="6663"/>
          <w:tab w:val="decimal" w:pos="9356"/>
        </w:tabs>
        <w:jc w:val="both"/>
        <w:rPr>
          <w:sz w:val="14"/>
          <w:szCs w:val="14"/>
          <w:lang w:val="es-AR" w:eastAsia="en-US"/>
        </w:rPr>
      </w:pPr>
    </w:p>
    <w:p w14:paraId="071AD317" w14:textId="77777777" w:rsidR="0010523F" w:rsidRPr="0010523F" w:rsidRDefault="0010523F" w:rsidP="0010523F">
      <w:pPr>
        <w:tabs>
          <w:tab w:val="left" w:pos="284"/>
          <w:tab w:val="decimal" w:pos="5387"/>
          <w:tab w:val="decimal" w:pos="6663"/>
          <w:tab w:val="decimal" w:pos="9356"/>
        </w:tabs>
        <w:ind w:left="284"/>
        <w:jc w:val="both"/>
        <w:rPr>
          <w:sz w:val="14"/>
          <w:szCs w:val="14"/>
          <w:lang w:val="es-AR" w:eastAsia="en-US"/>
        </w:rPr>
      </w:pPr>
      <w:r w:rsidRPr="0010523F">
        <w:rPr>
          <w:sz w:val="14"/>
          <w:szCs w:val="14"/>
          <w:lang w:val="es-AR" w:eastAsia="en-US"/>
        </w:rPr>
        <w:t>US$ = Dólar estadounidense</w:t>
      </w:r>
    </w:p>
    <w:p w14:paraId="2B20C8DD" w14:textId="77777777" w:rsidR="0010523F" w:rsidRPr="0010523F" w:rsidRDefault="0010523F" w:rsidP="0010523F">
      <w:pPr>
        <w:tabs>
          <w:tab w:val="left" w:pos="284"/>
        </w:tabs>
        <w:spacing w:line="80" w:lineRule="exact"/>
        <w:jc w:val="both"/>
        <w:rPr>
          <w:sz w:val="14"/>
          <w:szCs w:val="14"/>
          <w:lang w:val="es-AR" w:eastAsia="en-US"/>
        </w:rPr>
      </w:pPr>
    </w:p>
    <w:p w14:paraId="23C67FE8" w14:textId="77777777" w:rsidR="0010523F" w:rsidRPr="0010523F" w:rsidRDefault="0010523F" w:rsidP="0010523F">
      <w:pPr>
        <w:widowControl w:val="0"/>
        <w:tabs>
          <w:tab w:val="center" w:pos="1418"/>
          <w:tab w:val="center" w:pos="12474"/>
        </w:tabs>
        <w:ind w:right="-58"/>
        <w:jc w:val="both"/>
        <w:rPr>
          <w:sz w:val="16"/>
          <w:szCs w:val="16"/>
          <w:lang w:val="es-AR" w:eastAsia="en-US"/>
        </w:rPr>
      </w:pPr>
    </w:p>
    <w:p w14:paraId="1125B4E9" w14:textId="77777777" w:rsidR="0010523F" w:rsidRPr="0010523F" w:rsidRDefault="0010523F" w:rsidP="0010523F">
      <w:pPr>
        <w:rPr>
          <w:sz w:val="16"/>
          <w:szCs w:val="16"/>
          <w:lang w:val="es-AR" w:eastAsia="en-US"/>
        </w:rPr>
        <w:sectPr w:rsidR="0010523F" w:rsidRPr="0010523F" w:rsidSect="006C0CFD">
          <w:headerReference w:type="even" r:id="rId63"/>
          <w:headerReference w:type="default" r:id="rId64"/>
          <w:footerReference w:type="default" r:id="rId65"/>
          <w:headerReference w:type="first" r:id="rId66"/>
          <w:footerReference w:type="first" r:id="rId67"/>
          <w:pgSz w:w="11907" w:h="16840" w:code="9"/>
          <w:pgMar w:top="682" w:right="454" w:bottom="1134" w:left="454" w:header="426" w:footer="804" w:gutter="0"/>
          <w:cols w:space="720"/>
          <w:titlePg/>
          <w:docGrid w:linePitch="326"/>
        </w:sectPr>
      </w:pPr>
    </w:p>
    <w:p w14:paraId="6E9A0903" w14:textId="77777777" w:rsidR="0010523F" w:rsidRPr="0010523F" w:rsidRDefault="0010523F" w:rsidP="0010523F">
      <w:pPr>
        <w:spacing w:line="220" w:lineRule="exact"/>
        <w:ind w:right="367"/>
        <w:jc w:val="right"/>
        <w:rPr>
          <w:bCs/>
          <w:szCs w:val="20"/>
          <w:lang w:val="es-AR" w:eastAsia="en-US"/>
        </w:rPr>
      </w:pPr>
      <w:r w:rsidRPr="0010523F">
        <w:rPr>
          <w:lang w:val="es-AR" w:eastAsia="en-US"/>
        </w:rPr>
        <w:tab/>
      </w:r>
      <w:r w:rsidRPr="0010523F">
        <w:rPr>
          <w:szCs w:val="20"/>
          <w:lang w:val="es-AR" w:eastAsia="en-US"/>
        </w:rPr>
        <w:t>ANEXO G (cont.)</w:t>
      </w:r>
    </w:p>
    <w:p w14:paraId="2658A50A" w14:textId="77777777" w:rsidR="0010523F" w:rsidRPr="0010523F" w:rsidRDefault="0010523F" w:rsidP="0010523F">
      <w:pPr>
        <w:ind w:left="284" w:right="84" w:hanging="284"/>
        <w:jc w:val="both"/>
        <w:rPr>
          <w:b/>
          <w:szCs w:val="20"/>
          <w:lang w:val="es-AR" w:eastAsia="en-US"/>
        </w:rPr>
      </w:pPr>
      <w:r w:rsidRPr="0010523F">
        <w:rPr>
          <w:b/>
          <w:szCs w:val="20"/>
          <w:lang w:val="es-AR" w:eastAsia="en-US"/>
        </w:rPr>
        <w:t>PAN AMERICAN ENERGY, S.L., SUCURSAL ARGENTINA</w:t>
      </w:r>
      <w:r w:rsidRPr="0010523F" w:rsidDel="00151E7A">
        <w:rPr>
          <w:b/>
          <w:szCs w:val="20"/>
          <w:lang w:val="es-AR" w:eastAsia="en-US"/>
        </w:rPr>
        <w:t xml:space="preserve"> </w:t>
      </w:r>
      <w:r w:rsidRPr="0010523F">
        <w:rPr>
          <w:b/>
          <w:szCs w:val="20"/>
          <w:lang w:val="es-AR" w:eastAsia="en-US"/>
        </w:rPr>
        <w:t xml:space="preserve">   </w:t>
      </w:r>
      <w:r w:rsidRPr="0010523F">
        <w:rPr>
          <w:b/>
          <w:szCs w:val="20"/>
          <w:lang w:val="es-AR" w:eastAsia="en-US"/>
        </w:rPr>
        <w:tab/>
      </w:r>
      <w:r w:rsidRPr="0010523F">
        <w:rPr>
          <w:b/>
          <w:szCs w:val="20"/>
          <w:lang w:val="es-AR" w:eastAsia="en-US"/>
        </w:rPr>
        <w:tab/>
      </w:r>
      <w:r w:rsidRPr="0010523F">
        <w:rPr>
          <w:b/>
          <w:szCs w:val="20"/>
          <w:lang w:val="es-AR" w:eastAsia="en-US"/>
        </w:rPr>
        <w:tab/>
      </w:r>
      <w:r w:rsidRPr="0010523F">
        <w:rPr>
          <w:b/>
          <w:szCs w:val="20"/>
          <w:lang w:val="es-AR" w:eastAsia="en-US"/>
        </w:rPr>
        <w:tab/>
      </w:r>
      <w:r w:rsidRPr="0010523F">
        <w:rPr>
          <w:b/>
          <w:szCs w:val="20"/>
          <w:lang w:val="es-AR" w:eastAsia="en-US"/>
        </w:rPr>
        <w:tab/>
      </w:r>
      <w:r w:rsidRPr="0010523F">
        <w:rPr>
          <w:b/>
          <w:lang w:val="es-AR" w:eastAsia="en-US"/>
        </w:rPr>
        <w:tab/>
      </w:r>
      <w:r w:rsidRPr="0010523F">
        <w:rPr>
          <w:b/>
          <w:lang w:val="es-AR" w:eastAsia="en-US"/>
        </w:rPr>
        <w:tab/>
      </w:r>
    </w:p>
    <w:p w14:paraId="31C0284E" w14:textId="77777777" w:rsidR="0010523F" w:rsidRPr="0010523F" w:rsidRDefault="0010523F" w:rsidP="0010523F">
      <w:pPr>
        <w:jc w:val="both"/>
        <w:rPr>
          <w:b/>
          <w:sz w:val="20"/>
          <w:szCs w:val="20"/>
          <w:lang w:val="es-AR" w:eastAsia="en-US"/>
        </w:rPr>
      </w:pPr>
    </w:p>
    <w:p w14:paraId="33D7109A" w14:textId="77777777" w:rsidR="0010523F" w:rsidRPr="0010523F" w:rsidRDefault="0010523F" w:rsidP="0010523F">
      <w:pPr>
        <w:jc w:val="both"/>
        <w:rPr>
          <w:b/>
          <w:sz w:val="20"/>
          <w:szCs w:val="20"/>
          <w:lang w:val="es-AR" w:eastAsia="en-US"/>
        </w:rPr>
      </w:pPr>
      <w:r w:rsidRPr="0010523F">
        <w:rPr>
          <w:b/>
          <w:sz w:val="20"/>
          <w:szCs w:val="20"/>
          <w:lang w:val="es-AR" w:eastAsia="en-US"/>
        </w:rPr>
        <w:t xml:space="preserve">ACTIVOS Y PASIVOS EN MONEDAS DISTINTAS DEL PESO - INFORMACIÓN REQUERIDA POR EL ARTÍCULO </w:t>
      </w:r>
    </w:p>
    <w:p w14:paraId="5CA4BCBC" w14:textId="77777777" w:rsidR="0010523F" w:rsidRPr="0010523F" w:rsidRDefault="0010523F" w:rsidP="0010523F">
      <w:pPr>
        <w:jc w:val="both"/>
        <w:rPr>
          <w:sz w:val="20"/>
          <w:szCs w:val="20"/>
          <w:lang w:val="es-AR" w:eastAsia="en-US"/>
        </w:rPr>
      </w:pPr>
      <w:r w:rsidRPr="0010523F">
        <w:rPr>
          <w:b/>
          <w:sz w:val="20"/>
          <w:szCs w:val="20"/>
          <w:lang w:val="es-AR" w:eastAsia="en-US"/>
        </w:rPr>
        <w:t>63 INC. 4.C) DE LA LEY Nº 19.550</w:t>
      </w:r>
      <w:r w:rsidRPr="0010523F">
        <w:rPr>
          <w:sz w:val="20"/>
          <w:szCs w:val="20"/>
          <w:lang w:val="es-AR" w:eastAsia="en-US"/>
        </w:rPr>
        <w:t xml:space="preserve"> al 30 de septiembre de 2019 y al 31 de diciembre de 2018</w:t>
      </w:r>
    </w:p>
    <w:p w14:paraId="36E95B81" w14:textId="77777777" w:rsidR="0010523F" w:rsidRPr="0010523F" w:rsidRDefault="0010523F" w:rsidP="0010523F">
      <w:pPr>
        <w:tabs>
          <w:tab w:val="right" w:pos="10440"/>
        </w:tabs>
        <w:spacing w:line="100" w:lineRule="exact"/>
        <w:jc w:val="both"/>
        <w:rPr>
          <w:sz w:val="16"/>
          <w:szCs w:val="16"/>
          <w:lang w:val="es-AR" w:eastAsia="en-US"/>
        </w:rPr>
      </w:pPr>
    </w:p>
    <w:tbl>
      <w:tblPr>
        <w:tblW w:w="10718" w:type="dxa"/>
        <w:tblInd w:w="55" w:type="dxa"/>
        <w:tblLayout w:type="fixed"/>
        <w:tblCellMar>
          <w:left w:w="70" w:type="dxa"/>
          <w:right w:w="70" w:type="dxa"/>
        </w:tblCellMar>
        <w:tblLook w:val="04A0" w:firstRow="1" w:lastRow="0" w:firstColumn="1" w:lastColumn="0" w:noHBand="0" w:noVBand="1"/>
      </w:tblPr>
      <w:tblGrid>
        <w:gridCol w:w="3489"/>
        <w:gridCol w:w="860"/>
        <w:gridCol w:w="841"/>
        <w:gridCol w:w="160"/>
        <w:gridCol w:w="832"/>
        <w:gridCol w:w="160"/>
        <w:gridCol w:w="1116"/>
        <w:gridCol w:w="160"/>
        <w:gridCol w:w="974"/>
        <w:gridCol w:w="851"/>
        <w:gridCol w:w="199"/>
        <w:gridCol w:w="1076"/>
      </w:tblGrid>
      <w:tr w:rsidR="0010523F" w:rsidRPr="0010523F" w14:paraId="11B01039" w14:textId="77777777" w:rsidTr="00774E7E">
        <w:trPr>
          <w:trHeight w:val="170"/>
        </w:trPr>
        <w:tc>
          <w:tcPr>
            <w:tcW w:w="3489" w:type="dxa"/>
            <w:tcBorders>
              <w:top w:val="nil"/>
              <w:left w:val="nil"/>
              <w:right w:val="nil"/>
            </w:tcBorders>
            <w:shd w:val="clear" w:color="auto" w:fill="auto"/>
            <w:vAlign w:val="bottom"/>
            <w:hideMark/>
          </w:tcPr>
          <w:p w14:paraId="31682A39" w14:textId="77777777" w:rsidR="0010523F" w:rsidRPr="0010523F" w:rsidRDefault="0010523F" w:rsidP="0010523F">
            <w:pPr>
              <w:jc w:val="center"/>
              <w:rPr>
                <w:color w:val="000000"/>
                <w:sz w:val="18"/>
                <w:szCs w:val="18"/>
                <w:u w:val="single"/>
                <w:lang w:val="es-AR" w:eastAsia="es-AR"/>
              </w:rPr>
            </w:pPr>
            <w:r w:rsidRPr="0010523F">
              <w:rPr>
                <w:color w:val="000000"/>
                <w:sz w:val="18"/>
                <w:szCs w:val="14"/>
                <w:u w:val="single"/>
                <w:lang w:val="es-AR" w:eastAsia="es-AR"/>
              </w:rPr>
              <w:t>Rubro</w:t>
            </w:r>
          </w:p>
        </w:tc>
        <w:tc>
          <w:tcPr>
            <w:tcW w:w="1701" w:type="dxa"/>
            <w:gridSpan w:val="2"/>
            <w:tcBorders>
              <w:top w:val="nil"/>
              <w:left w:val="nil"/>
              <w:bottom w:val="single" w:sz="4" w:space="0" w:color="auto"/>
              <w:right w:val="nil"/>
            </w:tcBorders>
            <w:shd w:val="clear" w:color="auto" w:fill="auto"/>
            <w:vAlign w:val="bottom"/>
            <w:hideMark/>
          </w:tcPr>
          <w:p w14:paraId="042895B1" w14:textId="77777777" w:rsidR="0010523F" w:rsidRPr="0010523F" w:rsidRDefault="0010523F" w:rsidP="0010523F">
            <w:pPr>
              <w:jc w:val="center"/>
              <w:rPr>
                <w:color w:val="000000"/>
                <w:sz w:val="18"/>
                <w:szCs w:val="18"/>
                <w:lang w:val="es-AR" w:eastAsia="es-AR"/>
              </w:rPr>
            </w:pPr>
            <w:r w:rsidRPr="0010523F">
              <w:rPr>
                <w:color w:val="000000"/>
                <w:sz w:val="18"/>
                <w:szCs w:val="14"/>
                <w:lang w:val="es-AR" w:eastAsia="es-AR"/>
              </w:rPr>
              <w:t xml:space="preserve">Monto y clase de la moneda   extranjera al 30/09/2019 </w:t>
            </w:r>
          </w:p>
        </w:tc>
        <w:tc>
          <w:tcPr>
            <w:tcW w:w="160" w:type="dxa"/>
            <w:tcBorders>
              <w:top w:val="nil"/>
              <w:left w:val="nil"/>
              <w:bottom w:val="nil"/>
              <w:right w:val="nil"/>
            </w:tcBorders>
            <w:shd w:val="clear" w:color="auto" w:fill="auto"/>
            <w:vAlign w:val="bottom"/>
            <w:hideMark/>
          </w:tcPr>
          <w:p w14:paraId="240357A2" w14:textId="77777777" w:rsidR="0010523F" w:rsidRPr="0010523F" w:rsidRDefault="0010523F" w:rsidP="0010523F">
            <w:pPr>
              <w:jc w:val="center"/>
              <w:rPr>
                <w:color w:val="000000"/>
                <w:sz w:val="18"/>
                <w:szCs w:val="18"/>
                <w:lang w:val="es-AR" w:eastAsia="es-AR"/>
              </w:rPr>
            </w:pPr>
          </w:p>
        </w:tc>
        <w:tc>
          <w:tcPr>
            <w:tcW w:w="832" w:type="dxa"/>
            <w:tcBorders>
              <w:top w:val="nil"/>
              <w:left w:val="nil"/>
              <w:bottom w:val="single" w:sz="4" w:space="0" w:color="auto"/>
              <w:right w:val="nil"/>
            </w:tcBorders>
            <w:shd w:val="clear" w:color="auto" w:fill="auto"/>
            <w:vAlign w:val="bottom"/>
            <w:hideMark/>
          </w:tcPr>
          <w:p w14:paraId="2F459B66" w14:textId="77777777" w:rsidR="0010523F" w:rsidRPr="0010523F" w:rsidRDefault="0010523F" w:rsidP="0010523F">
            <w:pPr>
              <w:jc w:val="center"/>
              <w:rPr>
                <w:color w:val="000000"/>
                <w:sz w:val="18"/>
                <w:szCs w:val="18"/>
                <w:lang w:val="es-AR" w:eastAsia="es-AR"/>
              </w:rPr>
            </w:pPr>
            <w:r w:rsidRPr="0010523F">
              <w:rPr>
                <w:color w:val="000000"/>
                <w:sz w:val="18"/>
                <w:szCs w:val="14"/>
                <w:lang w:val="es-AR" w:eastAsia="es-AR"/>
              </w:rPr>
              <w:t>Cambio vigente</w:t>
            </w:r>
          </w:p>
        </w:tc>
        <w:tc>
          <w:tcPr>
            <w:tcW w:w="160" w:type="dxa"/>
            <w:tcBorders>
              <w:top w:val="nil"/>
              <w:left w:val="nil"/>
              <w:bottom w:val="nil"/>
              <w:right w:val="nil"/>
            </w:tcBorders>
            <w:shd w:val="clear" w:color="auto" w:fill="auto"/>
            <w:vAlign w:val="bottom"/>
            <w:hideMark/>
          </w:tcPr>
          <w:p w14:paraId="1C675EB7" w14:textId="77777777" w:rsidR="0010523F" w:rsidRPr="0010523F" w:rsidRDefault="0010523F" w:rsidP="0010523F">
            <w:pPr>
              <w:jc w:val="center"/>
              <w:rPr>
                <w:color w:val="000000"/>
                <w:sz w:val="18"/>
                <w:szCs w:val="18"/>
                <w:lang w:val="es-AR" w:eastAsia="es-AR"/>
              </w:rPr>
            </w:pPr>
          </w:p>
        </w:tc>
        <w:tc>
          <w:tcPr>
            <w:tcW w:w="1116" w:type="dxa"/>
            <w:tcBorders>
              <w:top w:val="nil"/>
              <w:left w:val="nil"/>
              <w:bottom w:val="single" w:sz="4" w:space="0" w:color="auto"/>
              <w:right w:val="nil"/>
            </w:tcBorders>
            <w:shd w:val="clear" w:color="auto" w:fill="auto"/>
            <w:vAlign w:val="bottom"/>
            <w:hideMark/>
          </w:tcPr>
          <w:p w14:paraId="44A950F9" w14:textId="77777777" w:rsidR="0010523F" w:rsidRPr="0010523F" w:rsidRDefault="0010523F" w:rsidP="0010523F">
            <w:pPr>
              <w:jc w:val="center"/>
              <w:rPr>
                <w:color w:val="000000"/>
                <w:sz w:val="18"/>
                <w:szCs w:val="18"/>
                <w:lang w:val="es-AR" w:eastAsia="es-AR"/>
              </w:rPr>
            </w:pPr>
            <w:r w:rsidRPr="0010523F">
              <w:rPr>
                <w:color w:val="000000"/>
                <w:sz w:val="18"/>
                <w:szCs w:val="14"/>
                <w:lang w:val="es-AR" w:eastAsia="es-AR"/>
              </w:rPr>
              <w:t xml:space="preserve">Monto en moneda nacional al 30/09/2019   </w:t>
            </w:r>
          </w:p>
        </w:tc>
        <w:tc>
          <w:tcPr>
            <w:tcW w:w="160" w:type="dxa"/>
            <w:tcBorders>
              <w:top w:val="nil"/>
              <w:left w:val="nil"/>
              <w:bottom w:val="nil"/>
              <w:right w:val="nil"/>
            </w:tcBorders>
            <w:shd w:val="clear" w:color="auto" w:fill="auto"/>
            <w:vAlign w:val="bottom"/>
            <w:hideMark/>
          </w:tcPr>
          <w:p w14:paraId="2E9426AB" w14:textId="77777777" w:rsidR="0010523F" w:rsidRPr="0010523F" w:rsidRDefault="0010523F" w:rsidP="0010523F">
            <w:pPr>
              <w:jc w:val="center"/>
              <w:rPr>
                <w:color w:val="000000"/>
                <w:sz w:val="18"/>
                <w:szCs w:val="18"/>
                <w:lang w:val="es-AR" w:eastAsia="es-AR"/>
              </w:rPr>
            </w:pPr>
          </w:p>
        </w:tc>
        <w:tc>
          <w:tcPr>
            <w:tcW w:w="1825" w:type="dxa"/>
            <w:gridSpan w:val="2"/>
            <w:tcBorders>
              <w:top w:val="nil"/>
              <w:left w:val="nil"/>
              <w:bottom w:val="single" w:sz="4" w:space="0" w:color="auto"/>
              <w:right w:val="nil"/>
            </w:tcBorders>
            <w:shd w:val="clear" w:color="auto" w:fill="auto"/>
            <w:vAlign w:val="bottom"/>
            <w:hideMark/>
          </w:tcPr>
          <w:p w14:paraId="049C292B" w14:textId="77777777" w:rsidR="0010523F" w:rsidRPr="0010523F" w:rsidRDefault="0010523F" w:rsidP="0010523F">
            <w:pPr>
              <w:jc w:val="center"/>
              <w:rPr>
                <w:color w:val="000000"/>
                <w:sz w:val="18"/>
                <w:szCs w:val="18"/>
                <w:lang w:val="es-AR" w:eastAsia="es-AR"/>
              </w:rPr>
            </w:pPr>
            <w:r w:rsidRPr="0010523F">
              <w:rPr>
                <w:color w:val="000000"/>
                <w:sz w:val="18"/>
                <w:szCs w:val="14"/>
                <w:lang w:val="es-AR" w:eastAsia="es-AR"/>
              </w:rPr>
              <w:t>Monto y clase de la moneda extranjera al 31/12/2018</w:t>
            </w:r>
          </w:p>
        </w:tc>
        <w:tc>
          <w:tcPr>
            <w:tcW w:w="199" w:type="dxa"/>
            <w:tcBorders>
              <w:top w:val="nil"/>
              <w:left w:val="nil"/>
              <w:bottom w:val="nil"/>
              <w:right w:val="nil"/>
            </w:tcBorders>
            <w:shd w:val="clear" w:color="auto" w:fill="auto"/>
            <w:vAlign w:val="bottom"/>
            <w:hideMark/>
          </w:tcPr>
          <w:p w14:paraId="75E40F30" w14:textId="77777777" w:rsidR="0010523F" w:rsidRPr="0010523F" w:rsidRDefault="0010523F" w:rsidP="0010523F">
            <w:pPr>
              <w:rPr>
                <w:color w:val="000000"/>
                <w:sz w:val="18"/>
                <w:szCs w:val="18"/>
                <w:lang w:val="es-AR" w:eastAsia="es-AR"/>
              </w:rPr>
            </w:pPr>
          </w:p>
        </w:tc>
        <w:tc>
          <w:tcPr>
            <w:tcW w:w="1076" w:type="dxa"/>
            <w:tcBorders>
              <w:top w:val="nil"/>
              <w:left w:val="nil"/>
              <w:bottom w:val="single" w:sz="4" w:space="0" w:color="auto"/>
              <w:right w:val="nil"/>
            </w:tcBorders>
            <w:shd w:val="clear" w:color="auto" w:fill="auto"/>
            <w:vAlign w:val="bottom"/>
            <w:hideMark/>
          </w:tcPr>
          <w:p w14:paraId="4927A9F6" w14:textId="77777777" w:rsidR="0010523F" w:rsidRPr="0010523F" w:rsidRDefault="0010523F" w:rsidP="0010523F">
            <w:pPr>
              <w:jc w:val="center"/>
              <w:rPr>
                <w:color w:val="000000"/>
                <w:sz w:val="18"/>
                <w:szCs w:val="18"/>
                <w:lang w:val="es-AR" w:eastAsia="es-AR"/>
              </w:rPr>
            </w:pPr>
            <w:r w:rsidRPr="0010523F">
              <w:rPr>
                <w:color w:val="000000"/>
                <w:sz w:val="18"/>
                <w:szCs w:val="14"/>
                <w:lang w:val="es-AR" w:eastAsia="es-AR"/>
              </w:rPr>
              <w:t>Monto en moneda nacional al  31/12/2018</w:t>
            </w:r>
          </w:p>
        </w:tc>
      </w:tr>
      <w:tr w:rsidR="0010523F" w:rsidRPr="0010523F" w14:paraId="03B628BD" w14:textId="77777777" w:rsidTr="00774E7E">
        <w:trPr>
          <w:trHeight w:val="170"/>
        </w:trPr>
        <w:tc>
          <w:tcPr>
            <w:tcW w:w="3489" w:type="dxa"/>
            <w:tcBorders>
              <w:top w:val="nil"/>
              <w:left w:val="nil"/>
              <w:bottom w:val="nil"/>
              <w:right w:val="nil"/>
            </w:tcBorders>
            <w:shd w:val="clear" w:color="auto" w:fill="auto"/>
            <w:vAlign w:val="center"/>
            <w:hideMark/>
          </w:tcPr>
          <w:p w14:paraId="2A6B039F" w14:textId="77777777" w:rsidR="0010523F" w:rsidRPr="0010523F" w:rsidRDefault="0010523F" w:rsidP="0010523F">
            <w:pPr>
              <w:rPr>
                <w:color w:val="000000"/>
                <w:sz w:val="18"/>
                <w:szCs w:val="18"/>
                <w:u w:val="single"/>
                <w:lang w:val="es-AR" w:eastAsia="es-AR"/>
              </w:rPr>
            </w:pPr>
          </w:p>
        </w:tc>
        <w:tc>
          <w:tcPr>
            <w:tcW w:w="860" w:type="dxa"/>
            <w:tcBorders>
              <w:top w:val="nil"/>
              <w:left w:val="nil"/>
              <w:bottom w:val="nil"/>
              <w:right w:val="nil"/>
            </w:tcBorders>
            <w:shd w:val="clear" w:color="auto" w:fill="auto"/>
            <w:vAlign w:val="center"/>
            <w:hideMark/>
          </w:tcPr>
          <w:p w14:paraId="6676A4FB"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Miles de US$</w:t>
            </w:r>
          </w:p>
        </w:tc>
        <w:tc>
          <w:tcPr>
            <w:tcW w:w="841" w:type="dxa"/>
            <w:tcBorders>
              <w:top w:val="nil"/>
              <w:left w:val="nil"/>
              <w:bottom w:val="nil"/>
              <w:right w:val="nil"/>
            </w:tcBorders>
            <w:shd w:val="clear" w:color="auto" w:fill="auto"/>
            <w:vAlign w:val="center"/>
            <w:hideMark/>
          </w:tcPr>
          <w:p w14:paraId="70A41031"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Miles de euros</w:t>
            </w:r>
          </w:p>
        </w:tc>
        <w:tc>
          <w:tcPr>
            <w:tcW w:w="160" w:type="dxa"/>
            <w:tcBorders>
              <w:top w:val="nil"/>
              <w:left w:val="nil"/>
              <w:bottom w:val="nil"/>
              <w:right w:val="nil"/>
            </w:tcBorders>
            <w:shd w:val="clear" w:color="auto" w:fill="auto"/>
            <w:vAlign w:val="center"/>
            <w:hideMark/>
          </w:tcPr>
          <w:p w14:paraId="610E0DED" w14:textId="77777777" w:rsidR="0010523F" w:rsidRPr="0010523F" w:rsidRDefault="0010523F" w:rsidP="0010523F">
            <w:pPr>
              <w:jc w:val="center"/>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73392D1D"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center"/>
            <w:hideMark/>
          </w:tcPr>
          <w:p w14:paraId="7384A093" w14:textId="77777777" w:rsidR="0010523F" w:rsidRPr="0010523F" w:rsidRDefault="0010523F" w:rsidP="0010523F">
            <w:pPr>
              <w:jc w:val="center"/>
              <w:rPr>
                <w:color w:val="000000"/>
                <w:sz w:val="18"/>
                <w:szCs w:val="18"/>
                <w:lang w:val="es-AR" w:eastAsia="es-AR"/>
              </w:rPr>
            </w:pPr>
          </w:p>
        </w:tc>
        <w:tc>
          <w:tcPr>
            <w:tcW w:w="1116" w:type="dxa"/>
            <w:tcBorders>
              <w:top w:val="nil"/>
              <w:left w:val="nil"/>
              <w:bottom w:val="nil"/>
              <w:right w:val="nil"/>
            </w:tcBorders>
            <w:shd w:val="clear" w:color="auto" w:fill="auto"/>
            <w:vAlign w:val="center"/>
            <w:hideMark/>
          </w:tcPr>
          <w:p w14:paraId="42112F19"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Millones de $</w:t>
            </w:r>
          </w:p>
        </w:tc>
        <w:tc>
          <w:tcPr>
            <w:tcW w:w="160" w:type="dxa"/>
            <w:tcBorders>
              <w:top w:val="nil"/>
              <w:left w:val="nil"/>
              <w:bottom w:val="nil"/>
              <w:right w:val="nil"/>
            </w:tcBorders>
            <w:shd w:val="clear" w:color="auto" w:fill="auto"/>
            <w:vAlign w:val="center"/>
            <w:hideMark/>
          </w:tcPr>
          <w:p w14:paraId="2848AA20" w14:textId="77777777" w:rsidR="0010523F" w:rsidRPr="0010523F" w:rsidRDefault="0010523F" w:rsidP="0010523F">
            <w:pPr>
              <w:jc w:val="center"/>
              <w:rPr>
                <w:color w:val="000000"/>
                <w:sz w:val="18"/>
                <w:szCs w:val="18"/>
                <w:lang w:val="es-AR" w:eastAsia="es-AR"/>
              </w:rPr>
            </w:pPr>
          </w:p>
        </w:tc>
        <w:tc>
          <w:tcPr>
            <w:tcW w:w="974" w:type="dxa"/>
            <w:tcBorders>
              <w:top w:val="nil"/>
              <w:left w:val="nil"/>
              <w:bottom w:val="nil"/>
              <w:right w:val="nil"/>
            </w:tcBorders>
            <w:shd w:val="clear" w:color="auto" w:fill="auto"/>
            <w:vAlign w:val="center"/>
            <w:hideMark/>
          </w:tcPr>
          <w:p w14:paraId="06B35184"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Miles de US$</w:t>
            </w:r>
          </w:p>
        </w:tc>
        <w:tc>
          <w:tcPr>
            <w:tcW w:w="851" w:type="dxa"/>
            <w:tcBorders>
              <w:top w:val="nil"/>
              <w:left w:val="nil"/>
              <w:bottom w:val="nil"/>
              <w:right w:val="nil"/>
            </w:tcBorders>
            <w:shd w:val="clear" w:color="auto" w:fill="auto"/>
            <w:vAlign w:val="center"/>
            <w:hideMark/>
          </w:tcPr>
          <w:p w14:paraId="284AD7CC"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Miles de euros</w:t>
            </w:r>
          </w:p>
        </w:tc>
        <w:tc>
          <w:tcPr>
            <w:tcW w:w="199" w:type="dxa"/>
            <w:tcBorders>
              <w:top w:val="nil"/>
              <w:left w:val="nil"/>
              <w:bottom w:val="nil"/>
              <w:right w:val="nil"/>
            </w:tcBorders>
            <w:shd w:val="clear" w:color="auto" w:fill="auto"/>
            <w:vAlign w:val="center"/>
            <w:hideMark/>
          </w:tcPr>
          <w:p w14:paraId="5A457258" w14:textId="77777777" w:rsidR="0010523F" w:rsidRPr="0010523F" w:rsidRDefault="0010523F" w:rsidP="0010523F">
            <w:pPr>
              <w:jc w:val="center"/>
              <w:rPr>
                <w:color w:val="000000"/>
                <w:sz w:val="18"/>
                <w:szCs w:val="18"/>
                <w:lang w:val="es-AR" w:eastAsia="es-AR"/>
              </w:rPr>
            </w:pPr>
          </w:p>
        </w:tc>
        <w:tc>
          <w:tcPr>
            <w:tcW w:w="1076" w:type="dxa"/>
            <w:tcBorders>
              <w:top w:val="nil"/>
              <w:left w:val="nil"/>
              <w:bottom w:val="nil"/>
              <w:right w:val="nil"/>
            </w:tcBorders>
            <w:shd w:val="clear" w:color="auto" w:fill="auto"/>
            <w:vAlign w:val="center"/>
            <w:hideMark/>
          </w:tcPr>
          <w:p w14:paraId="35406D84" w14:textId="77777777" w:rsidR="0010523F" w:rsidRPr="0010523F" w:rsidRDefault="0010523F" w:rsidP="0010523F">
            <w:pPr>
              <w:jc w:val="center"/>
              <w:rPr>
                <w:color w:val="000000"/>
                <w:sz w:val="18"/>
                <w:szCs w:val="18"/>
                <w:lang w:val="es-AR" w:eastAsia="es-AR"/>
              </w:rPr>
            </w:pPr>
            <w:r w:rsidRPr="0010523F">
              <w:rPr>
                <w:color w:val="000000"/>
                <w:sz w:val="18"/>
                <w:szCs w:val="18"/>
                <w:lang w:val="es-AR" w:eastAsia="es-AR"/>
              </w:rPr>
              <w:t>Millones de $</w:t>
            </w:r>
          </w:p>
        </w:tc>
      </w:tr>
      <w:tr w:rsidR="0010523F" w:rsidRPr="0010523F" w14:paraId="2DAFFD2B" w14:textId="77777777" w:rsidTr="00774E7E">
        <w:trPr>
          <w:trHeight w:val="170"/>
        </w:trPr>
        <w:tc>
          <w:tcPr>
            <w:tcW w:w="3489" w:type="dxa"/>
            <w:tcBorders>
              <w:top w:val="nil"/>
              <w:left w:val="nil"/>
              <w:bottom w:val="nil"/>
              <w:right w:val="nil"/>
            </w:tcBorders>
            <w:shd w:val="clear" w:color="auto" w:fill="auto"/>
            <w:vAlign w:val="center"/>
            <w:hideMark/>
          </w:tcPr>
          <w:p w14:paraId="7E458E95"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PASIVO</w:t>
            </w:r>
          </w:p>
        </w:tc>
        <w:tc>
          <w:tcPr>
            <w:tcW w:w="860" w:type="dxa"/>
            <w:tcBorders>
              <w:top w:val="nil"/>
              <w:left w:val="nil"/>
              <w:bottom w:val="nil"/>
              <w:right w:val="nil"/>
            </w:tcBorders>
            <w:shd w:val="clear" w:color="auto" w:fill="auto"/>
            <w:vAlign w:val="center"/>
            <w:hideMark/>
          </w:tcPr>
          <w:p w14:paraId="4D7BE59C" w14:textId="77777777" w:rsidR="0010523F" w:rsidRPr="0010523F" w:rsidRDefault="0010523F" w:rsidP="0010523F">
            <w:pPr>
              <w:jc w:val="center"/>
              <w:rPr>
                <w:color w:val="000000"/>
                <w:sz w:val="18"/>
                <w:szCs w:val="18"/>
                <w:lang w:val="es-AR" w:eastAsia="es-AR"/>
              </w:rPr>
            </w:pPr>
          </w:p>
        </w:tc>
        <w:tc>
          <w:tcPr>
            <w:tcW w:w="841" w:type="dxa"/>
            <w:tcBorders>
              <w:top w:val="nil"/>
              <w:left w:val="nil"/>
              <w:bottom w:val="nil"/>
              <w:right w:val="nil"/>
            </w:tcBorders>
            <w:shd w:val="clear" w:color="auto" w:fill="auto"/>
            <w:vAlign w:val="center"/>
            <w:hideMark/>
          </w:tcPr>
          <w:p w14:paraId="252478B3" w14:textId="77777777" w:rsidR="0010523F" w:rsidRPr="0010523F" w:rsidRDefault="0010523F" w:rsidP="0010523F">
            <w:pPr>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03373B81" w14:textId="77777777" w:rsidR="0010523F" w:rsidRPr="0010523F" w:rsidRDefault="0010523F" w:rsidP="0010523F">
            <w:pPr>
              <w:jc w:val="center"/>
              <w:rPr>
                <w:color w:val="000000"/>
                <w:sz w:val="18"/>
                <w:szCs w:val="18"/>
                <w:lang w:val="es-AR" w:eastAsia="es-AR"/>
              </w:rPr>
            </w:pPr>
          </w:p>
        </w:tc>
        <w:tc>
          <w:tcPr>
            <w:tcW w:w="832" w:type="dxa"/>
            <w:tcBorders>
              <w:top w:val="nil"/>
              <w:left w:val="nil"/>
              <w:bottom w:val="nil"/>
              <w:right w:val="nil"/>
            </w:tcBorders>
            <w:shd w:val="clear" w:color="auto" w:fill="auto"/>
            <w:vAlign w:val="center"/>
            <w:hideMark/>
          </w:tcPr>
          <w:p w14:paraId="78F27A7C" w14:textId="77777777" w:rsidR="0010523F" w:rsidRPr="0010523F" w:rsidRDefault="0010523F" w:rsidP="0010523F">
            <w:pPr>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0951D0DA" w14:textId="77777777" w:rsidR="0010523F" w:rsidRPr="0010523F" w:rsidRDefault="0010523F" w:rsidP="0010523F">
            <w:pPr>
              <w:jc w:val="center"/>
              <w:rPr>
                <w:color w:val="000000"/>
                <w:sz w:val="18"/>
                <w:szCs w:val="18"/>
                <w:lang w:val="es-AR" w:eastAsia="es-AR"/>
              </w:rPr>
            </w:pPr>
          </w:p>
        </w:tc>
        <w:tc>
          <w:tcPr>
            <w:tcW w:w="1116" w:type="dxa"/>
            <w:tcBorders>
              <w:top w:val="nil"/>
              <w:left w:val="nil"/>
              <w:bottom w:val="nil"/>
              <w:right w:val="nil"/>
            </w:tcBorders>
            <w:shd w:val="clear" w:color="auto" w:fill="auto"/>
            <w:vAlign w:val="center"/>
            <w:hideMark/>
          </w:tcPr>
          <w:p w14:paraId="22C5F1AC" w14:textId="77777777" w:rsidR="0010523F" w:rsidRPr="0010523F" w:rsidRDefault="0010523F" w:rsidP="0010523F">
            <w:pPr>
              <w:jc w:val="center"/>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1ED508FC" w14:textId="77777777" w:rsidR="0010523F" w:rsidRPr="0010523F" w:rsidRDefault="0010523F" w:rsidP="0010523F">
            <w:pPr>
              <w:jc w:val="center"/>
              <w:rPr>
                <w:color w:val="000000"/>
                <w:sz w:val="18"/>
                <w:szCs w:val="18"/>
                <w:lang w:val="es-AR" w:eastAsia="es-AR"/>
              </w:rPr>
            </w:pPr>
          </w:p>
        </w:tc>
        <w:tc>
          <w:tcPr>
            <w:tcW w:w="974" w:type="dxa"/>
            <w:tcBorders>
              <w:top w:val="nil"/>
              <w:left w:val="nil"/>
              <w:bottom w:val="nil"/>
              <w:right w:val="nil"/>
            </w:tcBorders>
            <w:shd w:val="clear" w:color="auto" w:fill="auto"/>
            <w:vAlign w:val="center"/>
            <w:hideMark/>
          </w:tcPr>
          <w:p w14:paraId="6DC6798B" w14:textId="77777777" w:rsidR="0010523F" w:rsidRPr="0010523F" w:rsidRDefault="0010523F" w:rsidP="0010523F">
            <w:pPr>
              <w:jc w:val="center"/>
              <w:rPr>
                <w:color w:val="000000"/>
                <w:sz w:val="18"/>
                <w:szCs w:val="18"/>
                <w:lang w:val="es-AR" w:eastAsia="es-AR"/>
              </w:rPr>
            </w:pPr>
          </w:p>
        </w:tc>
        <w:tc>
          <w:tcPr>
            <w:tcW w:w="851" w:type="dxa"/>
            <w:tcBorders>
              <w:top w:val="nil"/>
              <w:left w:val="nil"/>
              <w:bottom w:val="nil"/>
              <w:right w:val="nil"/>
            </w:tcBorders>
            <w:shd w:val="clear" w:color="auto" w:fill="auto"/>
            <w:vAlign w:val="center"/>
            <w:hideMark/>
          </w:tcPr>
          <w:p w14:paraId="7231CD11" w14:textId="77777777" w:rsidR="0010523F" w:rsidRPr="0010523F" w:rsidRDefault="0010523F" w:rsidP="0010523F">
            <w:pPr>
              <w:jc w:val="center"/>
              <w:rPr>
                <w:color w:val="000000"/>
                <w:sz w:val="18"/>
                <w:szCs w:val="18"/>
                <w:lang w:val="es-AR" w:eastAsia="es-AR"/>
              </w:rPr>
            </w:pPr>
          </w:p>
        </w:tc>
        <w:tc>
          <w:tcPr>
            <w:tcW w:w="199" w:type="dxa"/>
            <w:tcBorders>
              <w:top w:val="nil"/>
              <w:left w:val="nil"/>
              <w:bottom w:val="nil"/>
              <w:right w:val="nil"/>
            </w:tcBorders>
            <w:shd w:val="clear" w:color="auto" w:fill="auto"/>
            <w:vAlign w:val="center"/>
            <w:hideMark/>
          </w:tcPr>
          <w:p w14:paraId="7B9503E0" w14:textId="77777777" w:rsidR="0010523F" w:rsidRPr="0010523F" w:rsidRDefault="0010523F" w:rsidP="0010523F">
            <w:pPr>
              <w:rPr>
                <w:color w:val="000000"/>
                <w:sz w:val="18"/>
                <w:szCs w:val="18"/>
                <w:lang w:val="es-AR" w:eastAsia="es-AR"/>
              </w:rPr>
            </w:pPr>
          </w:p>
        </w:tc>
        <w:tc>
          <w:tcPr>
            <w:tcW w:w="1076" w:type="dxa"/>
            <w:tcBorders>
              <w:top w:val="nil"/>
              <w:left w:val="nil"/>
              <w:bottom w:val="nil"/>
              <w:right w:val="nil"/>
            </w:tcBorders>
            <w:shd w:val="clear" w:color="auto" w:fill="auto"/>
            <w:vAlign w:val="center"/>
            <w:hideMark/>
          </w:tcPr>
          <w:p w14:paraId="1EC2AE93" w14:textId="77777777" w:rsidR="0010523F" w:rsidRPr="0010523F" w:rsidRDefault="0010523F" w:rsidP="0010523F">
            <w:pPr>
              <w:jc w:val="center"/>
              <w:rPr>
                <w:color w:val="000000"/>
                <w:sz w:val="18"/>
                <w:szCs w:val="18"/>
                <w:lang w:val="es-AR" w:eastAsia="es-AR"/>
              </w:rPr>
            </w:pPr>
          </w:p>
        </w:tc>
      </w:tr>
      <w:tr w:rsidR="0010523F" w:rsidRPr="0010523F" w14:paraId="4CC2C696" w14:textId="77777777" w:rsidTr="00774E7E">
        <w:trPr>
          <w:trHeight w:val="170"/>
        </w:trPr>
        <w:tc>
          <w:tcPr>
            <w:tcW w:w="3489" w:type="dxa"/>
            <w:tcBorders>
              <w:top w:val="nil"/>
              <w:left w:val="nil"/>
              <w:bottom w:val="nil"/>
              <w:right w:val="nil"/>
            </w:tcBorders>
            <w:shd w:val="clear" w:color="auto" w:fill="auto"/>
            <w:vAlign w:val="center"/>
            <w:hideMark/>
          </w:tcPr>
          <w:p w14:paraId="53902433"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PASIVO CORRIENTE</w:t>
            </w:r>
          </w:p>
        </w:tc>
        <w:tc>
          <w:tcPr>
            <w:tcW w:w="860" w:type="dxa"/>
            <w:tcBorders>
              <w:top w:val="nil"/>
              <w:left w:val="nil"/>
              <w:bottom w:val="nil"/>
              <w:right w:val="nil"/>
            </w:tcBorders>
            <w:shd w:val="clear" w:color="auto" w:fill="auto"/>
            <w:vAlign w:val="center"/>
            <w:hideMark/>
          </w:tcPr>
          <w:p w14:paraId="5BC9A09A"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center"/>
            <w:hideMark/>
          </w:tcPr>
          <w:p w14:paraId="6123193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1A8C75E8"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center"/>
            <w:hideMark/>
          </w:tcPr>
          <w:p w14:paraId="19940DF7"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5FE8778C"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center"/>
            <w:hideMark/>
          </w:tcPr>
          <w:p w14:paraId="743F2640"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35AB50C6"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center"/>
            <w:hideMark/>
          </w:tcPr>
          <w:p w14:paraId="08468896"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center"/>
            <w:hideMark/>
          </w:tcPr>
          <w:p w14:paraId="14F28F01"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center"/>
            <w:hideMark/>
          </w:tcPr>
          <w:p w14:paraId="3864C8CB"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center"/>
            <w:hideMark/>
          </w:tcPr>
          <w:p w14:paraId="0D77ECC4" w14:textId="77777777" w:rsidR="0010523F" w:rsidRPr="0010523F" w:rsidRDefault="0010523F" w:rsidP="0010523F">
            <w:pPr>
              <w:jc w:val="right"/>
              <w:rPr>
                <w:color w:val="000000"/>
                <w:sz w:val="18"/>
                <w:szCs w:val="18"/>
                <w:lang w:val="es-AR" w:eastAsia="es-AR"/>
              </w:rPr>
            </w:pPr>
          </w:p>
        </w:tc>
      </w:tr>
      <w:tr w:rsidR="0010523F" w:rsidRPr="0010523F" w14:paraId="28755E45" w14:textId="77777777" w:rsidTr="00774E7E">
        <w:trPr>
          <w:trHeight w:val="170"/>
        </w:trPr>
        <w:tc>
          <w:tcPr>
            <w:tcW w:w="3489" w:type="dxa"/>
            <w:tcBorders>
              <w:top w:val="nil"/>
              <w:left w:val="nil"/>
              <w:bottom w:val="nil"/>
              <w:right w:val="nil"/>
            </w:tcBorders>
            <w:shd w:val="clear" w:color="auto" w:fill="auto"/>
            <w:vAlign w:val="center"/>
            <w:hideMark/>
          </w:tcPr>
          <w:p w14:paraId="674948D9"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center"/>
            <w:hideMark/>
          </w:tcPr>
          <w:p w14:paraId="017C9D4E"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center"/>
            <w:hideMark/>
          </w:tcPr>
          <w:p w14:paraId="24AB5F1A"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5D6C30E7"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center"/>
            <w:hideMark/>
          </w:tcPr>
          <w:p w14:paraId="1A9CE5B3"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1024C2AC"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center"/>
            <w:hideMark/>
          </w:tcPr>
          <w:p w14:paraId="6D4CEE43"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center"/>
            <w:hideMark/>
          </w:tcPr>
          <w:p w14:paraId="3B5D7FDE"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center"/>
            <w:hideMark/>
          </w:tcPr>
          <w:p w14:paraId="0CFF477C"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center"/>
            <w:hideMark/>
          </w:tcPr>
          <w:p w14:paraId="38661FBD"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center"/>
            <w:hideMark/>
          </w:tcPr>
          <w:p w14:paraId="40DC5846"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center"/>
            <w:hideMark/>
          </w:tcPr>
          <w:p w14:paraId="60333B43" w14:textId="77777777" w:rsidR="0010523F" w:rsidRPr="0010523F" w:rsidRDefault="0010523F" w:rsidP="0010523F">
            <w:pPr>
              <w:jc w:val="right"/>
              <w:rPr>
                <w:color w:val="000000"/>
                <w:sz w:val="18"/>
                <w:szCs w:val="18"/>
                <w:lang w:val="es-AR" w:eastAsia="es-AR"/>
              </w:rPr>
            </w:pPr>
          </w:p>
        </w:tc>
      </w:tr>
      <w:tr w:rsidR="0010523F" w:rsidRPr="0010523F" w14:paraId="6E43D20B" w14:textId="77777777" w:rsidTr="00774E7E">
        <w:trPr>
          <w:trHeight w:val="170"/>
        </w:trPr>
        <w:tc>
          <w:tcPr>
            <w:tcW w:w="3489" w:type="dxa"/>
            <w:tcBorders>
              <w:top w:val="nil"/>
              <w:left w:val="nil"/>
              <w:bottom w:val="nil"/>
              <w:right w:val="nil"/>
            </w:tcBorders>
            <w:shd w:val="clear" w:color="auto" w:fill="auto"/>
            <w:vAlign w:val="center"/>
            <w:hideMark/>
          </w:tcPr>
          <w:p w14:paraId="39AE4A3E"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Cuentas por pagar</w:t>
            </w:r>
          </w:p>
        </w:tc>
        <w:tc>
          <w:tcPr>
            <w:tcW w:w="860" w:type="dxa"/>
            <w:tcBorders>
              <w:top w:val="nil"/>
              <w:left w:val="nil"/>
              <w:bottom w:val="nil"/>
              <w:right w:val="nil"/>
            </w:tcBorders>
            <w:shd w:val="clear" w:color="auto" w:fill="auto"/>
            <w:vAlign w:val="center"/>
            <w:hideMark/>
          </w:tcPr>
          <w:p w14:paraId="6E6309CF" w14:textId="77777777" w:rsidR="0010523F" w:rsidRPr="0010523F" w:rsidRDefault="0010523F" w:rsidP="0010523F">
            <w:pPr>
              <w:jc w:val="right"/>
              <w:rPr>
                <w:color w:val="000000"/>
                <w:sz w:val="18"/>
                <w:szCs w:val="18"/>
                <w:highlight w:val="yellow"/>
                <w:lang w:val="es-AR" w:eastAsia="es-AR"/>
              </w:rPr>
            </w:pPr>
          </w:p>
        </w:tc>
        <w:tc>
          <w:tcPr>
            <w:tcW w:w="841" w:type="dxa"/>
            <w:tcBorders>
              <w:top w:val="nil"/>
              <w:left w:val="nil"/>
              <w:bottom w:val="nil"/>
              <w:right w:val="nil"/>
            </w:tcBorders>
            <w:shd w:val="clear" w:color="auto" w:fill="auto"/>
            <w:vAlign w:val="center"/>
            <w:hideMark/>
          </w:tcPr>
          <w:p w14:paraId="687C2982"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center"/>
            <w:hideMark/>
          </w:tcPr>
          <w:p w14:paraId="7E513BDC" w14:textId="77777777" w:rsidR="0010523F" w:rsidRPr="0010523F" w:rsidRDefault="0010523F" w:rsidP="0010523F">
            <w:pPr>
              <w:jc w:val="right"/>
              <w:rPr>
                <w:color w:val="000000"/>
                <w:sz w:val="18"/>
                <w:szCs w:val="18"/>
                <w:highlight w:val="yellow"/>
                <w:lang w:val="es-AR" w:eastAsia="es-AR"/>
              </w:rPr>
            </w:pPr>
          </w:p>
        </w:tc>
        <w:tc>
          <w:tcPr>
            <w:tcW w:w="832" w:type="dxa"/>
            <w:tcBorders>
              <w:top w:val="nil"/>
              <w:left w:val="nil"/>
              <w:bottom w:val="nil"/>
              <w:right w:val="nil"/>
            </w:tcBorders>
            <w:shd w:val="clear" w:color="auto" w:fill="auto"/>
            <w:vAlign w:val="center"/>
            <w:hideMark/>
          </w:tcPr>
          <w:p w14:paraId="0D726CBF"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center"/>
            <w:hideMark/>
          </w:tcPr>
          <w:p w14:paraId="79C29EBE" w14:textId="77777777" w:rsidR="0010523F" w:rsidRPr="0010523F" w:rsidRDefault="0010523F" w:rsidP="0010523F">
            <w:pPr>
              <w:jc w:val="right"/>
              <w:rPr>
                <w:color w:val="000000"/>
                <w:sz w:val="18"/>
                <w:szCs w:val="18"/>
                <w:highlight w:val="yellow"/>
                <w:lang w:val="es-AR" w:eastAsia="es-AR"/>
              </w:rPr>
            </w:pPr>
          </w:p>
        </w:tc>
        <w:tc>
          <w:tcPr>
            <w:tcW w:w="1116" w:type="dxa"/>
            <w:tcBorders>
              <w:top w:val="nil"/>
              <w:left w:val="nil"/>
              <w:bottom w:val="nil"/>
              <w:right w:val="nil"/>
            </w:tcBorders>
            <w:shd w:val="clear" w:color="auto" w:fill="auto"/>
            <w:vAlign w:val="center"/>
            <w:hideMark/>
          </w:tcPr>
          <w:p w14:paraId="3A50EA8A"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center"/>
            <w:hideMark/>
          </w:tcPr>
          <w:p w14:paraId="4D42925D"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center"/>
            <w:hideMark/>
          </w:tcPr>
          <w:p w14:paraId="0DF5D8A6"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center"/>
            <w:hideMark/>
          </w:tcPr>
          <w:p w14:paraId="2B850A22"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center"/>
            <w:hideMark/>
          </w:tcPr>
          <w:p w14:paraId="29E28C2D"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center"/>
            <w:hideMark/>
          </w:tcPr>
          <w:p w14:paraId="73285B4F" w14:textId="77777777" w:rsidR="0010523F" w:rsidRPr="0010523F" w:rsidRDefault="0010523F" w:rsidP="0010523F">
            <w:pPr>
              <w:jc w:val="right"/>
              <w:rPr>
                <w:color w:val="000000"/>
                <w:sz w:val="18"/>
                <w:szCs w:val="18"/>
                <w:lang w:val="es-AR" w:eastAsia="es-AR"/>
              </w:rPr>
            </w:pPr>
          </w:p>
        </w:tc>
      </w:tr>
      <w:tr w:rsidR="0010523F" w:rsidRPr="0010523F" w14:paraId="5732FA98" w14:textId="77777777" w:rsidTr="00774E7E">
        <w:trPr>
          <w:trHeight w:val="170"/>
        </w:trPr>
        <w:tc>
          <w:tcPr>
            <w:tcW w:w="3489" w:type="dxa"/>
            <w:tcBorders>
              <w:top w:val="nil"/>
              <w:left w:val="nil"/>
              <w:bottom w:val="nil"/>
              <w:right w:val="nil"/>
            </w:tcBorders>
            <w:shd w:val="clear" w:color="auto" w:fill="auto"/>
            <w:vAlign w:val="center"/>
            <w:hideMark/>
          </w:tcPr>
          <w:p w14:paraId="3ADDE303"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 xml:space="preserve">Deudas comerciales </w:t>
            </w:r>
          </w:p>
        </w:tc>
        <w:tc>
          <w:tcPr>
            <w:tcW w:w="860" w:type="dxa"/>
            <w:tcBorders>
              <w:top w:val="nil"/>
              <w:left w:val="nil"/>
              <w:bottom w:val="nil"/>
              <w:right w:val="nil"/>
            </w:tcBorders>
            <w:shd w:val="clear" w:color="auto" w:fill="auto"/>
            <w:vAlign w:val="bottom"/>
            <w:hideMark/>
          </w:tcPr>
          <w:p w14:paraId="6D5ABD0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112.925</w:t>
            </w:r>
          </w:p>
        </w:tc>
        <w:tc>
          <w:tcPr>
            <w:tcW w:w="841" w:type="dxa"/>
            <w:tcBorders>
              <w:top w:val="nil"/>
              <w:left w:val="nil"/>
              <w:bottom w:val="nil"/>
              <w:right w:val="nil"/>
            </w:tcBorders>
            <w:shd w:val="clear" w:color="auto" w:fill="auto"/>
            <w:vAlign w:val="bottom"/>
            <w:hideMark/>
          </w:tcPr>
          <w:p w14:paraId="4D12DF0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68030AF3"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57C7EC5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2BC273D6"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5DE2B55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6.473</w:t>
            </w:r>
          </w:p>
        </w:tc>
        <w:tc>
          <w:tcPr>
            <w:tcW w:w="160" w:type="dxa"/>
            <w:tcBorders>
              <w:top w:val="nil"/>
              <w:left w:val="nil"/>
              <w:bottom w:val="nil"/>
              <w:right w:val="nil"/>
            </w:tcBorders>
            <w:shd w:val="clear" w:color="auto" w:fill="auto"/>
            <w:vAlign w:val="bottom"/>
            <w:hideMark/>
          </w:tcPr>
          <w:p w14:paraId="5D542B04"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010312D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258.191</w:t>
            </w:r>
          </w:p>
        </w:tc>
        <w:tc>
          <w:tcPr>
            <w:tcW w:w="851" w:type="dxa"/>
            <w:tcBorders>
              <w:top w:val="nil"/>
              <w:left w:val="nil"/>
              <w:bottom w:val="nil"/>
              <w:right w:val="nil"/>
            </w:tcBorders>
            <w:shd w:val="clear" w:color="auto" w:fill="auto"/>
            <w:vAlign w:val="bottom"/>
            <w:hideMark/>
          </w:tcPr>
          <w:p w14:paraId="6DF5B803"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06A12E00"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706E6C0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9.734</w:t>
            </w:r>
          </w:p>
        </w:tc>
      </w:tr>
      <w:tr w:rsidR="0010523F" w:rsidRPr="0010523F" w14:paraId="5E34F601" w14:textId="77777777" w:rsidTr="00774E7E">
        <w:trPr>
          <w:trHeight w:val="170"/>
        </w:trPr>
        <w:tc>
          <w:tcPr>
            <w:tcW w:w="3489" w:type="dxa"/>
            <w:tcBorders>
              <w:top w:val="nil"/>
              <w:left w:val="nil"/>
              <w:bottom w:val="nil"/>
              <w:right w:val="nil"/>
            </w:tcBorders>
            <w:shd w:val="clear" w:color="auto" w:fill="auto"/>
            <w:vAlign w:val="center"/>
            <w:hideMark/>
          </w:tcPr>
          <w:p w14:paraId="59C47FF2"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626D41E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41" w:type="dxa"/>
            <w:tcBorders>
              <w:top w:val="nil"/>
              <w:left w:val="nil"/>
              <w:bottom w:val="nil"/>
              <w:right w:val="nil"/>
            </w:tcBorders>
            <w:shd w:val="clear" w:color="auto" w:fill="auto"/>
            <w:vAlign w:val="bottom"/>
            <w:hideMark/>
          </w:tcPr>
          <w:p w14:paraId="14851BD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1.853</w:t>
            </w:r>
          </w:p>
        </w:tc>
        <w:tc>
          <w:tcPr>
            <w:tcW w:w="160" w:type="dxa"/>
            <w:tcBorders>
              <w:top w:val="nil"/>
              <w:left w:val="nil"/>
              <w:bottom w:val="nil"/>
              <w:right w:val="nil"/>
            </w:tcBorders>
            <w:shd w:val="clear" w:color="auto" w:fill="auto"/>
            <w:vAlign w:val="bottom"/>
            <w:hideMark/>
          </w:tcPr>
          <w:p w14:paraId="518A15C5"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3971FA6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62,7195</w:t>
            </w:r>
          </w:p>
        </w:tc>
        <w:tc>
          <w:tcPr>
            <w:tcW w:w="160" w:type="dxa"/>
            <w:tcBorders>
              <w:top w:val="nil"/>
              <w:left w:val="nil"/>
              <w:bottom w:val="nil"/>
              <w:right w:val="nil"/>
            </w:tcBorders>
            <w:shd w:val="clear" w:color="auto" w:fill="auto"/>
            <w:vAlign w:val="bottom"/>
            <w:hideMark/>
          </w:tcPr>
          <w:p w14:paraId="64A071CC"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7A3A8F4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116</w:t>
            </w:r>
          </w:p>
        </w:tc>
        <w:tc>
          <w:tcPr>
            <w:tcW w:w="160" w:type="dxa"/>
            <w:tcBorders>
              <w:top w:val="nil"/>
              <w:left w:val="nil"/>
              <w:bottom w:val="nil"/>
              <w:right w:val="nil"/>
            </w:tcBorders>
            <w:shd w:val="clear" w:color="auto" w:fill="auto"/>
            <w:vAlign w:val="bottom"/>
            <w:hideMark/>
          </w:tcPr>
          <w:p w14:paraId="33976D69"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534D2E1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51" w:type="dxa"/>
            <w:tcBorders>
              <w:top w:val="nil"/>
              <w:left w:val="nil"/>
              <w:bottom w:val="nil"/>
              <w:right w:val="nil"/>
            </w:tcBorders>
            <w:shd w:val="clear" w:color="auto" w:fill="auto"/>
            <w:vAlign w:val="bottom"/>
            <w:hideMark/>
          </w:tcPr>
          <w:p w14:paraId="52EDCCC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1.213</w:t>
            </w:r>
          </w:p>
        </w:tc>
        <w:tc>
          <w:tcPr>
            <w:tcW w:w="199" w:type="dxa"/>
            <w:tcBorders>
              <w:top w:val="nil"/>
              <w:left w:val="nil"/>
              <w:bottom w:val="nil"/>
              <w:right w:val="nil"/>
            </w:tcBorders>
            <w:shd w:val="clear" w:color="auto" w:fill="auto"/>
            <w:vAlign w:val="bottom"/>
            <w:hideMark/>
          </w:tcPr>
          <w:p w14:paraId="07D5860D"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2584441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52</w:t>
            </w:r>
          </w:p>
        </w:tc>
      </w:tr>
      <w:tr w:rsidR="0010523F" w:rsidRPr="0010523F" w14:paraId="2A50E042" w14:textId="77777777" w:rsidTr="00774E7E">
        <w:trPr>
          <w:trHeight w:val="170"/>
        </w:trPr>
        <w:tc>
          <w:tcPr>
            <w:tcW w:w="3489" w:type="dxa"/>
            <w:tcBorders>
              <w:top w:val="nil"/>
              <w:left w:val="nil"/>
              <w:bottom w:val="nil"/>
              <w:right w:val="nil"/>
            </w:tcBorders>
            <w:shd w:val="clear" w:color="auto" w:fill="auto"/>
            <w:vAlign w:val="center"/>
            <w:hideMark/>
          </w:tcPr>
          <w:p w14:paraId="30CE616D"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787C5D00"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5608B100"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67B2B56"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5E3A5004"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E1C981E"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2A04C1F8"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391FF5E"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62FE7C6F"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57F88C82"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75333D6D"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49C87582" w14:textId="77777777" w:rsidR="0010523F" w:rsidRPr="0010523F" w:rsidRDefault="0010523F" w:rsidP="0010523F">
            <w:pPr>
              <w:jc w:val="right"/>
              <w:rPr>
                <w:color w:val="000000"/>
                <w:sz w:val="18"/>
                <w:szCs w:val="18"/>
                <w:lang w:val="es-AR" w:eastAsia="es-AR"/>
              </w:rPr>
            </w:pPr>
          </w:p>
        </w:tc>
      </w:tr>
      <w:tr w:rsidR="0010523F" w:rsidRPr="0010523F" w14:paraId="6047E851" w14:textId="77777777" w:rsidTr="00774E7E">
        <w:trPr>
          <w:trHeight w:val="170"/>
        </w:trPr>
        <w:tc>
          <w:tcPr>
            <w:tcW w:w="3489" w:type="dxa"/>
            <w:tcBorders>
              <w:top w:val="nil"/>
              <w:left w:val="nil"/>
              <w:bottom w:val="nil"/>
              <w:right w:val="nil"/>
            </w:tcBorders>
            <w:shd w:val="clear" w:color="auto" w:fill="auto"/>
            <w:vAlign w:val="center"/>
            <w:hideMark/>
          </w:tcPr>
          <w:p w14:paraId="7BB80A42"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Con partes relacionadas</w:t>
            </w:r>
          </w:p>
        </w:tc>
        <w:tc>
          <w:tcPr>
            <w:tcW w:w="860" w:type="dxa"/>
            <w:tcBorders>
              <w:top w:val="nil"/>
              <w:left w:val="nil"/>
              <w:bottom w:val="nil"/>
              <w:right w:val="nil"/>
            </w:tcBorders>
            <w:shd w:val="clear" w:color="auto" w:fill="auto"/>
            <w:vAlign w:val="bottom"/>
            <w:hideMark/>
          </w:tcPr>
          <w:p w14:paraId="5E6E6E5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5.912</w:t>
            </w:r>
          </w:p>
        </w:tc>
        <w:tc>
          <w:tcPr>
            <w:tcW w:w="841" w:type="dxa"/>
            <w:tcBorders>
              <w:top w:val="nil"/>
              <w:left w:val="nil"/>
              <w:bottom w:val="nil"/>
              <w:right w:val="nil"/>
            </w:tcBorders>
            <w:shd w:val="clear" w:color="auto" w:fill="auto"/>
            <w:vAlign w:val="bottom"/>
            <w:hideMark/>
          </w:tcPr>
          <w:p w14:paraId="4D8C4D9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1A8933A2"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1C8E93E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24CD251E"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6D15B0B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339</w:t>
            </w:r>
          </w:p>
        </w:tc>
        <w:tc>
          <w:tcPr>
            <w:tcW w:w="160" w:type="dxa"/>
            <w:tcBorders>
              <w:top w:val="nil"/>
              <w:left w:val="nil"/>
              <w:bottom w:val="nil"/>
              <w:right w:val="nil"/>
            </w:tcBorders>
            <w:shd w:val="clear" w:color="auto" w:fill="auto"/>
            <w:vAlign w:val="bottom"/>
            <w:hideMark/>
          </w:tcPr>
          <w:p w14:paraId="74291486"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670553C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18.661</w:t>
            </w:r>
          </w:p>
        </w:tc>
        <w:tc>
          <w:tcPr>
            <w:tcW w:w="851" w:type="dxa"/>
            <w:tcBorders>
              <w:top w:val="nil"/>
              <w:left w:val="nil"/>
              <w:bottom w:val="nil"/>
              <w:right w:val="nil"/>
            </w:tcBorders>
            <w:shd w:val="clear" w:color="auto" w:fill="auto"/>
            <w:vAlign w:val="bottom"/>
            <w:hideMark/>
          </w:tcPr>
          <w:p w14:paraId="526C30A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1B92EFA1"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6EFFA41D"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704</w:t>
            </w:r>
          </w:p>
        </w:tc>
      </w:tr>
      <w:tr w:rsidR="0010523F" w:rsidRPr="0010523F" w14:paraId="2244DC79" w14:textId="77777777" w:rsidTr="00774E7E">
        <w:trPr>
          <w:trHeight w:val="170"/>
        </w:trPr>
        <w:tc>
          <w:tcPr>
            <w:tcW w:w="3489" w:type="dxa"/>
            <w:tcBorders>
              <w:top w:val="nil"/>
              <w:left w:val="nil"/>
              <w:bottom w:val="nil"/>
              <w:right w:val="nil"/>
            </w:tcBorders>
            <w:shd w:val="clear" w:color="auto" w:fill="auto"/>
            <w:vAlign w:val="center"/>
            <w:hideMark/>
          </w:tcPr>
          <w:p w14:paraId="41A847F6"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6FDD8EB7"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21B90755"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25AFD4D"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07B4605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DE1D77B"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4C1461A6"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4F30096"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396A47D2"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3D520826"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0F0F70E0"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5E69F766" w14:textId="77777777" w:rsidR="0010523F" w:rsidRPr="0010523F" w:rsidRDefault="0010523F" w:rsidP="0010523F">
            <w:pPr>
              <w:jc w:val="right"/>
              <w:rPr>
                <w:color w:val="000000"/>
                <w:sz w:val="18"/>
                <w:szCs w:val="18"/>
                <w:lang w:val="es-AR" w:eastAsia="es-AR"/>
              </w:rPr>
            </w:pPr>
          </w:p>
        </w:tc>
      </w:tr>
      <w:tr w:rsidR="0010523F" w:rsidRPr="0010523F" w14:paraId="2ED2F23A" w14:textId="77777777" w:rsidTr="00774E7E">
        <w:trPr>
          <w:trHeight w:val="170"/>
        </w:trPr>
        <w:tc>
          <w:tcPr>
            <w:tcW w:w="3489" w:type="dxa"/>
            <w:tcBorders>
              <w:top w:val="nil"/>
              <w:left w:val="nil"/>
              <w:bottom w:val="nil"/>
              <w:right w:val="nil"/>
            </w:tcBorders>
            <w:shd w:val="clear" w:color="auto" w:fill="auto"/>
            <w:vAlign w:val="center"/>
            <w:hideMark/>
          </w:tcPr>
          <w:p w14:paraId="46CACE52"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Pasivos de contratos</w:t>
            </w:r>
          </w:p>
        </w:tc>
        <w:tc>
          <w:tcPr>
            <w:tcW w:w="860" w:type="dxa"/>
            <w:tcBorders>
              <w:top w:val="nil"/>
              <w:left w:val="nil"/>
              <w:bottom w:val="nil"/>
              <w:right w:val="nil"/>
            </w:tcBorders>
            <w:shd w:val="clear" w:color="auto" w:fill="auto"/>
            <w:vAlign w:val="bottom"/>
            <w:hideMark/>
          </w:tcPr>
          <w:p w14:paraId="6D59FAC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1.880</w:t>
            </w:r>
          </w:p>
        </w:tc>
        <w:tc>
          <w:tcPr>
            <w:tcW w:w="841" w:type="dxa"/>
            <w:tcBorders>
              <w:top w:val="nil"/>
              <w:left w:val="nil"/>
              <w:bottom w:val="nil"/>
              <w:right w:val="nil"/>
            </w:tcBorders>
            <w:shd w:val="clear" w:color="auto" w:fill="auto"/>
            <w:vAlign w:val="bottom"/>
            <w:hideMark/>
          </w:tcPr>
          <w:p w14:paraId="2FF5853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79049DB7"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412376A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088BEA92"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7AB286D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108</w:t>
            </w:r>
          </w:p>
        </w:tc>
        <w:tc>
          <w:tcPr>
            <w:tcW w:w="160" w:type="dxa"/>
            <w:tcBorders>
              <w:top w:val="nil"/>
              <w:left w:val="nil"/>
              <w:bottom w:val="nil"/>
              <w:right w:val="nil"/>
            </w:tcBorders>
            <w:shd w:val="clear" w:color="auto" w:fill="auto"/>
            <w:vAlign w:val="bottom"/>
            <w:hideMark/>
          </w:tcPr>
          <w:p w14:paraId="2DEC52A8"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5E2BBB7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1.001</w:t>
            </w:r>
          </w:p>
        </w:tc>
        <w:tc>
          <w:tcPr>
            <w:tcW w:w="851" w:type="dxa"/>
            <w:tcBorders>
              <w:top w:val="nil"/>
              <w:left w:val="nil"/>
              <w:bottom w:val="nil"/>
              <w:right w:val="nil"/>
            </w:tcBorders>
            <w:shd w:val="clear" w:color="auto" w:fill="auto"/>
            <w:vAlign w:val="bottom"/>
            <w:hideMark/>
          </w:tcPr>
          <w:p w14:paraId="4EC2B1A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1E26E23D"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54C1EDF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38</w:t>
            </w:r>
          </w:p>
        </w:tc>
      </w:tr>
      <w:tr w:rsidR="0010523F" w:rsidRPr="0010523F" w14:paraId="71E16B68" w14:textId="77777777" w:rsidTr="00774E7E">
        <w:trPr>
          <w:trHeight w:val="170"/>
        </w:trPr>
        <w:tc>
          <w:tcPr>
            <w:tcW w:w="3489" w:type="dxa"/>
            <w:tcBorders>
              <w:top w:val="nil"/>
              <w:left w:val="nil"/>
              <w:bottom w:val="nil"/>
              <w:right w:val="nil"/>
            </w:tcBorders>
            <w:shd w:val="clear" w:color="auto" w:fill="auto"/>
            <w:vAlign w:val="center"/>
            <w:hideMark/>
          </w:tcPr>
          <w:p w14:paraId="6DA35836"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2E7BF1D9" w14:textId="77777777" w:rsidR="0010523F" w:rsidRPr="0010523F" w:rsidRDefault="0010523F" w:rsidP="0010523F">
            <w:pPr>
              <w:jc w:val="right"/>
              <w:rPr>
                <w:color w:val="000000"/>
                <w:sz w:val="18"/>
                <w:szCs w:val="18"/>
                <w:highlight w:val="yellow"/>
                <w:lang w:val="es-AR" w:eastAsia="es-AR"/>
              </w:rPr>
            </w:pPr>
          </w:p>
        </w:tc>
        <w:tc>
          <w:tcPr>
            <w:tcW w:w="841" w:type="dxa"/>
            <w:tcBorders>
              <w:top w:val="nil"/>
              <w:left w:val="nil"/>
              <w:bottom w:val="nil"/>
              <w:right w:val="nil"/>
            </w:tcBorders>
            <w:shd w:val="clear" w:color="auto" w:fill="auto"/>
            <w:vAlign w:val="bottom"/>
            <w:hideMark/>
          </w:tcPr>
          <w:p w14:paraId="63F9F0C4"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06966E5E" w14:textId="77777777" w:rsidR="0010523F" w:rsidRPr="0010523F" w:rsidRDefault="0010523F" w:rsidP="0010523F">
            <w:pPr>
              <w:jc w:val="right"/>
              <w:rPr>
                <w:color w:val="000000"/>
                <w:sz w:val="18"/>
                <w:szCs w:val="18"/>
                <w:highlight w:val="yellow"/>
                <w:lang w:val="es-AR" w:eastAsia="es-AR"/>
              </w:rPr>
            </w:pPr>
          </w:p>
        </w:tc>
        <w:tc>
          <w:tcPr>
            <w:tcW w:w="832" w:type="dxa"/>
            <w:tcBorders>
              <w:top w:val="nil"/>
              <w:left w:val="nil"/>
              <w:bottom w:val="nil"/>
              <w:right w:val="nil"/>
            </w:tcBorders>
            <w:shd w:val="clear" w:color="auto" w:fill="auto"/>
            <w:vAlign w:val="bottom"/>
            <w:hideMark/>
          </w:tcPr>
          <w:p w14:paraId="5414B37C"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393683C0" w14:textId="77777777" w:rsidR="0010523F" w:rsidRPr="0010523F" w:rsidRDefault="0010523F" w:rsidP="0010523F">
            <w:pPr>
              <w:jc w:val="right"/>
              <w:rPr>
                <w:color w:val="000000"/>
                <w:sz w:val="18"/>
                <w:szCs w:val="18"/>
                <w:highlight w:val="yellow"/>
                <w:lang w:val="es-AR" w:eastAsia="es-AR"/>
              </w:rPr>
            </w:pPr>
          </w:p>
        </w:tc>
        <w:tc>
          <w:tcPr>
            <w:tcW w:w="1116" w:type="dxa"/>
            <w:tcBorders>
              <w:top w:val="nil"/>
              <w:left w:val="nil"/>
              <w:bottom w:val="nil"/>
              <w:right w:val="nil"/>
            </w:tcBorders>
            <w:shd w:val="clear" w:color="auto" w:fill="auto"/>
            <w:vAlign w:val="bottom"/>
            <w:hideMark/>
          </w:tcPr>
          <w:p w14:paraId="7B691F35"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0ADF38E1"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3095D6B2"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7F5A4506"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4516F9A1"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1D737879" w14:textId="77777777" w:rsidR="0010523F" w:rsidRPr="0010523F" w:rsidRDefault="0010523F" w:rsidP="0010523F">
            <w:pPr>
              <w:jc w:val="right"/>
              <w:rPr>
                <w:color w:val="000000"/>
                <w:sz w:val="18"/>
                <w:szCs w:val="18"/>
                <w:lang w:val="es-AR" w:eastAsia="es-AR"/>
              </w:rPr>
            </w:pPr>
          </w:p>
        </w:tc>
      </w:tr>
      <w:tr w:rsidR="0010523F" w:rsidRPr="0010523F" w14:paraId="7826750A" w14:textId="77777777" w:rsidTr="00774E7E">
        <w:trPr>
          <w:trHeight w:val="170"/>
        </w:trPr>
        <w:tc>
          <w:tcPr>
            <w:tcW w:w="3489" w:type="dxa"/>
            <w:tcBorders>
              <w:top w:val="nil"/>
              <w:left w:val="nil"/>
              <w:bottom w:val="nil"/>
              <w:right w:val="nil"/>
            </w:tcBorders>
            <w:shd w:val="clear" w:color="auto" w:fill="auto"/>
            <w:vAlign w:val="center"/>
            <w:hideMark/>
          </w:tcPr>
          <w:p w14:paraId="6FE2707C"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Préstamos y otras deudas financieras</w:t>
            </w:r>
          </w:p>
        </w:tc>
        <w:tc>
          <w:tcPr>
            <w:tcW w:w="860" w:type="dxa"/>
            <w:tcBorders>
              <w:top w:val="nil"/>
              <w:left w:val="nil"/>
              <w:bottom w:val="nil"/>
              <w:right w:val="nil"/>
            </w:tcBorders>
            <w:shd w:val="clear" w:color="auto" w:fill="auto"/>
            <w:vAlign w:val="bottom"/>
            <w:hideMark/>
          </w:tcPr>
          <w:p w14:paraId="5D02410D" w14:textId="77777777" w:rsidR="0010523F" w:rsidRPr="0010523F" w:rsidRDefault="0010523F" w:rsidP="0010523F">
            <w:pPr>
              <w:jc w:val="right"/>
              <w:rPr>
                <w:color w:val="000000"/>
                <w:sz w:val="18"/>
                <w:szCs w:val="18"/>
                <w:highlight w:val="yellow"/>
                <w:lang w:val="es-AR" w:eastAsia="es-AR"/>
              </w:rPr>
            </w:pPr>
          </w:p>
        </w:tc>
        <w:tc>
          <w:tcPr>
            <w:tcW w:w="841" w:type="dxa"/>
            <w:tcBorders>
              <w:top w:val="nil"/>
              <w:left w:val="nil"/>
              <w:bottom w:val="nil"/>
              <w:right w:val="nil"/>
            </w:tcBorders>
            <w:shd w:val="clear" w:color="auto" w:fill="auto"/>
            <w:vAlign w:val="bottom"/>
            <w:hideMark/>
          </w:tcPr>
          <w:p w14:paraId="3A86813D"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518E21E" w14:textId="77777777" w:rsidR="0010523F" w:rsidRPr="0010523F" w:rsidRDefault="0010523F" w:rsidP="0010523F">
            <w:pPr>
              <w:jc w:val="right"/>
              <w:rPr>
                <w:color w:val="000000"/>
                <w:sz w:val="18"/>
                <w:szCs w:val="18"/>
                <w:highlight w:val="yellow"/>
                <w:lang w:val="es-AR" w:eastAsia="es-AR"/>
              </w:rPr>
            </w:pPr>
          </w:p>
        </w:tc>
        <w:tc>
          <w:tcPr>
            <w:tcW w:w="832" w:type="dxa"/>
            <w:tcBorders>
              <w:top w:val="nil"/>
              <w:left w:val="nil"/>
              <w:bottom w:val="nil"/>
              <w:right w:val="nil"/>
            </w:tcBorders>
            <w:shd w:val="clear" w:color="auto" w:fill="auto"/>
            <w:vAlign w:val="bottom"/>
            <w:hideMark/>
          </w:tcPr>
          <w:p w14:paraId="36A77463"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5128CB7C" w14:textId="77777777" w:rsidR="0010523F" w:rsidRPr="0010523F" w:rsidRDefault="0010523F" w:rsidP="0010523F">
            <w:pPr>
              <w:jc w:val="right"/>
              <w:rPr>
                <w:color w:val="000000"/>
                <w:sz w:val="18"/>
                <w:szCs w:val="18"/>
                <w:highlight w:val="yellow"/>
                <w:lang w:val="es-AR" w:eastAsia="es-AR"/>
              </w:rPr>
            </w:pPr>
          </w:p>
        </w:tc>
        <w:tc>
          <w:tcPr>
            <w:tcW w:w="1116" w:type="dxa"/>
            <w:tcBorders>
              <w:top w:val="nil"/>
              <w:left w:val="nil"/>
              <w:bottom w:val="nil"/>
              <w:right w:val="nil"/>
            </w:tcBorders>
            <w:shd w:val="clear" w:color="auto" w:fill="auto"/>
            <w:vAlign w:val="bottom"/>
            <w:hideMark/>
          </w:tcPr>
          <w:p w14:paraId="251345DD"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6F6C05C0"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1E25881E"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20E3B9FF"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5B632FF8"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0734301D" w14:textId="77777777" w:rsidR="0010523F" w:rsidRPr="0010523F" w:rsidRDefault="0010523F" w:rsidP="0010523F">
            <w:pPr>
              <w:jc w:val="right"/>
              <w:rPr>
                <w:color w:val="000000"/>
                <w:sz w:val="18"/>
                <w:szCs w:val="18"/>
                <w:lang w:val="es-AR" w:eastAsia="es-AR"/>
              </w:rPr>
            </w:pPr>
          </w:p>
        </w:tc>
      </w:tr>
      <w:tr w:rsidR="0010523F" w:rsidRPr="0010523F" w14:paraId="5ED9BD34" w14:textId="77777777" w:rsidTr="00774E7E">
        <w:trPr>
          <w:trHeight w:val="170"/>
        </w:trPr>
        <w:tc>
          <w:tcPr>
            <w:tcW w:w="3489" w:type="dxa"/>
            <w:tcBorders>
              <w:top w:val="nil"/>
              <w:left w:val="nil"/>
              <w:bottom w:val="nil"/>
              <w:right w:val="nil"/>
            </w:tcBorders>
            <w:shd w:val="clear" w:color="auto" w:fill="auto"/>
            <w:vAlign w:val="center"/>
            <w:hideMark/>
          </w:tcPr>
          <w:p w14:paraId="7664FCC9"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Obligaciones a pagar sin garantía real</w:t>
            </w:r>
          </w:p>
        </w:tc>
        <w:tc>
          <w:tcPr>
            <w:tcW w:w="860" w:type="dxa"/>
            <w:tcBorders>
              <w:top w:val="nil"/>
              <w:left w:val="nil"/>
              <w:bottom w:val="nil"/>
              <w:right w:val="nil"/>
            </w:tcBorders>
            <w:shd w:val="clear" w:color="auto" w:fill="auto"/>
            <w:vAlign w:val="bottom"/>
            <w:hideMark/>
          </w:tcPr>
          <w:p w14:paraId="1B42AA7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698.887</w:t>
            </w:r>
          </w:p>
        </w:tc>
        <w:tc>
          <w:tcPr>
            <w:tcW w:w="841" w:type="dxa"/>
            <w:tcBorders>
              <w:top w:val="nil"/>
              <w:left w:val="nil"/>
              <w:bottom w:val="nil"/>
              <w:right w:val="nil"/>
            </w:tcBorders>
            <w:shd w:val="clear" w:color="auto" w:fill="auto"/>
            <w:vAlign w:val="bottom"/>
            <w:hideMark/>
          </w:tcPr>
          <w:p w14:paraId="6792BCB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35FCE99"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0D85639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5149EDBF"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1C328F1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40.060</w:t>
            </w:r>
          </w:p>
        </w:tc>
        <w:tc>
          <w:tcPr>
            <w:tcW w:w="160" w:type="dxa"/>
            <w:tcBorders>
              <w:top w:val="nil"/>
              <w:left w:val="nil"/>
              <w:bottom w:val="nil"/>
              <w:right w:val="nil"/>
            </w:tcBorders>
            <w:shd w:val="clear" w:color="auto" w:fill="auto"/>
            <w:vAlign w:val="bottom"/>
            <w:hideMark/>
          </w:tcPr>
          <w:p w14:paraId="5AA7D22C"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7336CF01"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657.705</w:t>
            </w:r>
          </w:p>
        </w:tc>
        <w:tc>
          <w:tcPr>
            <w:tcW w:w="851" w:type="dxa"/>
            <w:tcBorders>
              <w:top w:val="nil"/>
              <w:left w:val="nil"/>
              <w:bottom w:val="nil"/>
              <w:right w:val="nil"/>
            </w:tcBorders>
            <w:shd w:val="clear" w:color="auto" w:fill="auto"/>
            <w:vAlign w:val="bottom"/>
            <w:hideMark/>
          </w:tcPr>
          <w:p w14:paraId="18B03E3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3C4FB0B4"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583AB25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24.795</w:t>
            </w:r>
          </w:p>
        </w:tc>
      </w:tr>
      <w:tr w:rsidR="0010523F" w:rsidRPr="0010523F" w14:paraId="2AF9A496" w14:textId="77777777" w:rsidTr="00774E7E">
        <w:trPr>
          <w:trHeight w:val="170"/>
        </w:trPr>
        <w:tc>
          <w:tcPr>
            <w:tcW w:w="3489" w:type="dxa"/>
            <w:tcBorders>
              <w:top w:val="nil"/>
              <w:left w:val="nil"/>
              <w:bottom w:val="nil"/>
              <w:right w:val="nil"/>
            </w:tcBorders>
            <w:shd w:val="clear" w:color="auto" w:fill="auto"/>
            <w:vAlign w:val="center"/>
            <w:hideMark/>
          </w:tcPr>
          <w:p w14:paraId="623C53CC" w14:textId="77777777" w:rsidR="0010523F" w:rsidRPr="0010523F" w:rsidRDefault="0010523F" w:rsidP="0010523F">
            <w:pPr>
              <w:ind w:left="229"/>
              <w:rPr>
                <w:color w:val="000000"/>
                <w:sz w:val="18"/>
                <w:szCs w:val="18"/>
                <w:lang w:val="es-AR" w:eastAsia="es-AR"/>
              </w:rPr>
            </w:pPr>
            <w:r w:rsidRPr="0010523F">
              <w:rPr>
                <w:color w:val="000000"/>
                <w:sz w:val="18"/>
                <w:szCs w:val="18"/>
                <w:lang w:val="es-AR" w:eastAsia="es-AR"/>
              </w:rPr>
              <w:t xml:space="preserve">Intereses devengados por obligaciones a pagar sin garantía real </w:t>
            </w:r>
          </w:p>
        </w:tc>
        <w:tc>
          <w:tcPr>
            <w:tcW w:w="860" w:type="dxa"/>
            <w:tcBorders>
              <w:top w:val="nil"/>
              <w:left w:val="nil"/>
              <w:bottom w:val="nil"/>
              <w:right w:val="nil"/>
            </w:tcBorders>
            <w:shd w:val="clear" w:color="auto" w:fill="auto"/>
            <w:vAlign w:val="bottom"/>
            <w:hideMark/>
          </w:tcPr>
          <w:p w14:paraId="3F67A621"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24.137</w:t>
            </w:r>
          </w:p>
        </w:tc>
        <w:tc>
          <w:tcPr>
            <w:tcW w:w="841" w:type="dxa"/>
            <w:tcBorders>
              <w:top w:val="nil"/>
              <w:left w:val="nil"/>
              <w:bottom w:val="nil"/>
              <w:right w:val="nil"/>
            </w:tcBorders>
            <w:shd w:val="clear" w:color="auto" w:fill="auto"/>
            <w:vAlign w:val="bottom"/>
            <w:hideMark/>
          </w:tcPr>
          <w:p w14:paraId="065D24D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3E5B38AD"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4C9A2641"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50BA6A8C"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1A965C0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1.384</w:t>
            </w:r>
          </w:p>
        </w:tc>
        <w:tc>
          <w:tcPr>
            <w:tcW w:w="160" w:type="dxa"/>
            <w:tcBorders>
              <w:top w:val="nil"/>
              <w:left w:val="nil"/>
              <w:bottom w:val="nil"/>
              <w:right w:val="nil"/>
            </w:tcBorders>
            <w:shd w:val="clear" w:color="auto" w:fill="auto"/>
            <w:vAlign w:val="bottom"/>
            <w:hideMark/>
          </w:tcPr>
          <w:p w14:paraId="1554F985"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77F524A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20.968</w:t>
            </w:r>
          </w:p>
        </w:tc>
        <w:tc>
          <w:tcPr>
            <w:tcW w:w="851" w:type="dxa"/>
            <w:tcBorders>
              <w:top w:val="nil"/>
              <w:left w:val="nil"/>
              <w:bottom w:val="nil"/>
              <w:right w:val="nil"/>
            </w:tcBorders>
            <w:shd w:val="clear" w:color="auto" w:fill="auto"/>
            <w:vAlign w:val="bottom"/>
            <w:hideMark/>
          </w:tcPr>
          <w:p w14:paraId="128C037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206ED71C"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573F1AF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790</w:t>
            </w:r>
          </w:p>
        </w:tc>
      </w:tr>
      <w:tr w:rsidR="0010523F" w:rsidRPr="0010523F" w14:paraId="64045CBF" w14:textId="77777777" w:rsidTr="00774E7E">
        <w:trPr>
          <w:trHeight w:val="170"/>
        </w:trPr>
        <w:tc>
          <w:tcPr>
            <w:tcW w:w="3489" w:type="dxa"/>
            <w:tcBorders>
              <w:top w:val="nil"/>
              <w:left w:val="nil"/>
              <w:bottom w:val="nil"/>
              <w:right w:val="nil"/>
            </w:tcBorders>
            <w:shd w:val="clear" w:color="auto" w:fill="auto"/>
            <w:vAlign w:val="center"/>
            <w:hideMark/>
          </w:tcPr>
          <w:p w14:paraId="462BCCD5" w14:textId="77777777" w:rsidR="0010523F" w:rsidRPr="0010523F" w:rsidRDefault="0010523F" w:rsidP="0010523F">
            <w:pPr>
              <w:ind w:firstLineChars="100" w:firstLine="180"/>
              <w:rPr>
                <w:color w:val="000000"/>
                <w:sz w:val="18"/>
                <w:szCs w:val="18"/>
                <w:lang w:val="es-AR" w:eastAsia="es-AR"/>
              </w:rPr>
            </w:pPr>
            <w:r w:rsidRPr="0010523F">
              <w:rPr>
                <w:color w:val="000000"/>
                <w:sz w:val="18"/>
                <w:szCs w:val="18"/>
                <w:lang w:val="es-AR" w:eastAsia="es-AR"/>
              </w:rPr>
              <w:t>Arrendamientos financieros</w:t>
            </w:r>
          </w:p>
        </w:tc>
        <w:tc>
          <w:tcPr>
            <w:tcW w:w="860" w:type="dxa"/>
            <w:tcBorders>
              <w:top w:val="nil"/>
              <w:left w:val="nil"/>
              <w:bottom w:val="nil"/>
              <w:right w:val="nil"/>
            </w:tcBorders>
            <w:shd w:val="clear" w:color="auto" w:fill="auto"/>
            <w:vAlign w:val="bottom"/>
            <w:hideMark/>
          </w:tcPr>
          <w:p w14:paraId="195DE60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41" w:type="dxa"/>
            <w:tcBorders>
              <w:top w:val="nil"/>
              <w:left w:val="nil"/>
              <w:bottom w:val="nil"/>
              <w:right w:val="nil"/>
            </w:tcBorders>
            <w:shd w:val="clear" w:color="auto" w:fill="auto"/>
            <w:vAlign w:val="bottom"/>
            <w:hideMark/>
          </w:tcPr>
          <w:p w14:paraId="424DEABD"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423332D8"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41326EA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46CC8D08"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304B4FDD"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54439099"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3F0F2A1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5.519</w:t>
            </w:r>
          </w:p>
        </w:tc>
        <w:tc>
          <w:tcPr>
            <w:tcW w:w="851" w:type="dxa"/>
            <w:tcBorders>
              <w:top w:val="nil"/>
              <w:left w:val="nil"/>
              <w:bottom w:val="nil"/>
              <w:right w:val="nil"/>
            </w:tcBorders>
            <w:shd w:val="clear" w:color="auto" w:fill="auto"/>
            <w:vAlign w:val="bottom"/>
            <w:hideMark/>
          </w:tcPr>
          <w:p w14:paraId="43CE1BB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5509AB72"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6F03133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208</w:t>
            </w:r>
          </w:p>
        </w:tc>
      </w:tr>
      <w:tr w:rsidR="0010523F" w:rsidRPr="0010523F" w14:paraId="161DC120" w14:textId="77777777" w:rsidTr="00774E7E">
        <w:trPr>
          <w:trHeight w:val="170"/>
        </w:trPr>
        <w:tc>
          <w:tcPr>
            <w:tcW w:w="3489" w:type="dxa"/>
            <w:tcBorders>
              <w:top w:val="nil"/>
              <w:left w:val="nil"/>
              <w:bottom w:val="nil"/>
              <w:right w:val="nil"/>
            </w:tcBorders>
            <w:shd w:val="clear" w:color="auto" w:fill="auto"/>
            <w:vAlign w:val="center"/>
            <w:hideMark/>
          </w:tcPr>
          <w:p w14:paraId="166707B2"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Deuda financiera por derecho a uso de activos</w:t>
            </w:r>
          </w:p>
        </w:tc>
        <w:tc>
          <w:tcPr>
            <w:tcW w:w="860" w:type="dxa"/>
            <w:tcBorders>
              <w:top w:val="nil"/>
              <w:left w:val="nil"/>
              <w:bottom w:val="nil"/>
              <w:right w:val="nil"/>
            </w:tcBorders>
            <w:shd w:val="clear" w:color="auto" w:fill="auto"/>
            <w:vAlign w:val="bottom"/>
            <w:hideMark/>
          </w:tcPr>
          <w:p w14:paraId="099EF84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37.496</w:t>
            </w:r>
          </w:p>
        </w:tc>
        <w:tc>
          <w:tcPr>
            <w:tcW w:w="841" w:type="dxa"/>
            <w:tcBorders>
              <w:top w:val="nil"/>
              <w:left w:val="nil"/>
              <w:bottom w:val="nil"/>
              <w:right w:val="nil"/>
            </w:tcBorders>
            <w:shd w:val="clear" w:color="auto" w:fill="auto"/>
            <w:vAlign w:val="bottom"/>
            <w:hideMark/>
          </w:tcPr>
          <w:p w14:paraId="32A69F1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3D332302"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6DD2C6C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4A20FCAA"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6E89D21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2.149</w:t>
            </w:r>
          </w:p>
        </w:tc>
        <w:tc>
          <w:tcPr>
            <w:tcW w:w="160" w:type="dxa"/>
            <w:tcBorders>
              <w:top w:val="nil"/>
              <w:left w:val="nil"/>
              <w:bottom w:val="nil"/>
              <w:right w:val="nil"/>
            </w:tcBorders>
            <w:shd w:val="clear" w:color="auto" w:fill="auto"/>
            <w:vAlign w:val="bottom"/>
            <w:hideMark/>
          </w:tcPr>
          <w:p w14:paraId="384E5989"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30CD9CD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51" w:type="dxa"/>
            <w:tcBorders>
              <w:top w:val="nil"/>
              <w:left w:val="nil"/>
              <w:bottom w:val="nil"/>
              <w:right w:val="nil"/>
            </w:tcBorders>
            <w:shd w:val="clear" w:color="auto" w:fill="auto"/>
            <w:vAlign w:val="bottom"/>
            <w:hideMark/>
          </w:tcPr>
          <w:p w14:paraId="5B067CD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22EFCEF9"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64E3E6E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r>
      <w:tr w:rsidR="0010523F" w:rsidRPr="0010523F" w14:paraId="2CECFDFE" w14:textId="77777777" w:rsidTr="00774E7E">
        <w:trPr>
          <w:trHeight w:val="170"/>
        </w:trPr>
        <w:tc>
          <w:tcPr>
            <w:tcW w:w="3489" w:type="dxa"/>
            <w:tcBorders>
              <w:top w:val="nil"/>
              <w:left w:val="nil"/>
              <w:bottom w:val="nil"/>
              <w:right w:val="nil"/>
            </w:tcBorders>
            <w:shd w:val="clear" w:color="auto" w:fill="auto"/>
            <w:vAlign w:val="center"/>
          </w:tcPr>
          <w:p w14:paraId="0E86AB9D" w14:textId="77777777" w:rsidR="0010523F" w:rsidRPr="0010523F" w:rsidRDefault="0010523F" w:rsidP="0010523F">
            <w:pPr>
              <w:ind w:left="164"/>
              <w:jc w:val="both"/>
              <w:rPr>
                <w:color w:val="000000"/>
                <w:sz w:val="18"/>
                <w:szCs w:val="18"/>
                <w:lang w:val="es-AR" w:eastAsia="es-AR"/>
              </w:rPr>
            </w:pPr>
            <w:r w:rsidRPr="0010523F">
              <w:rPr>
                <w:color w:val="000000"/>
                <w:sz w:val="18"/>
                <w:szCs w:val="18"/>
                <w:lang w:val="es-AR" w:eastAsia="es-AR"/>
              </w:rPr>
              <w:t xml:space="preserve"> Con partes relacionadas</w:t>
            </w:r>
          </w:p>
        </w:tc>
        <w:tc>
          <w:tcPr>
            <w:tcW w:w="860" w:type="dxa"/>
            <w:tcBorders>
              <w:top w:val="nil"/>
              <w:left w:val="nil"/>
              <w:bottom w:val="nil"/>
              <w:right w:val="nil"/>
            </w:tcBorders>
            <w:shd w:val="clear" w:color="auto" w:fill="auto"/>
            <w:vAlign w:val="bottom"/>
          </w:tcPr>
          <w:p w14:paraId="5F72685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11.376</w:t>
            </w:r>
          </w:p>
        </w:tc>
        <w:tc>
          <w:tcPr>
            <w:tcW w:w="841" w:type="dxa"/>
            <w:tcBorders>
              <w:top w:val="nil"/>
              <w:left w:val="nil"/>
              <w:bottom w:val="nil"/>
              <w:right w:val="nil"/>
            </w:tcBorders>
            <w:shd w:val="clear" w:color="auto" w:fill="auto"/>
            <w:vAlign w:val="bottom"/>
          </w:tcPr>
          <w:p w14:paraId="4319EEA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tcPr>
          <w:p w14:paraId="54E57214"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tcPr>
          <w:p w14:paraId="01565B5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tcPr>
          <w:p w14:paraId="68F9AAB5"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tcPr>
          <w:p w14:paraId="4D16C6C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652</w:t>
            </w:r>
          </w:p>
        </w:tc>
        <w:tc>
          <w:tcPr>
            <w:tcW w:w="160" w:type="dxa"/>
            <w:tcBorders>
              <w:top w:val="nil"/>
              <w:left w:val="nil"/>
              <w:bottom w:val="nil"/>
              <w:right w:val="nil"/>
            </w:tcBorders>
            <w:shd w:val="clear" w:color="auto" w:fill="auto"/>
            <w:vAlign w:val="bottom"/>
          </w:tcPr>
          <w:p w14:paraId="7DD3E015"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tcPr>
          <w:p w14:paraId="44487D2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51" w:type="dxa"/>
            <w:tcBorders>
              <w:top w:val="nil"/>
              <w:left w:val="nil"/>
              <w:bottom w:val="nil"/>
              <w:right w:val="nil"/>
            </w:tcBorders>
            <w:shd w:val="clear" w:color="auto" w:fill="auto"/>
            <w:vAlign w:val="bottom"/>
          </w:tcPr>
          <w:p w14:paraId="2BF59D21"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tcPr>
          <w:p w14:paraId="0899C6AB"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tcPr>
          <w:p w14:paraId="0E67532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r>
      <w:tr w:rsidR="0010523F" w:rsidRPr="0010523F" w14:paraId="5FA79B1B" w14:textId="77777777" w:rsidTr="00774E7E">
        <w:trPr>
          <w:trHeight w:val="170"/>
        </w:trPr>
        <w:tc>
          <w:tcPr>
            <w:tcW w:w="3489" w:type="dxa"/>
            <w:tcBorders>
              <w:top w:val="nil"/>
              <w:left w:val="nil"/>
              <w:bottom w:val="nil"/>
              <w:right w:val="nil"/>
            </w:tcBorders>
            <w:shd w:val="clear" w:color="auto" w:fill="auto"/>
            <w:vAlign w:val="center"/>
          </w:tcPr>
          <w:p w14:paraId="1AD8CD6C" w14:textId="77777777" w:rsidR="0010523F" w:rsidRPr="0010523F" w:rsidRDefault="0010523F" w:rsidP="0010523F">
            <w:pPr>
              <w:ind w:left="164"/>
              <w:jc w:val="both"/>
              <w:rPr>
                <w:color w:val="000000"/>
                <w:sz w:val="18"/>
                <w:szCs w:val="18"/>
                <w:lang w:val="es-AR" w:eastAsia="es-AR"/>
              </w:rPr>
            </w:pPr>
            <w:r w:rsidRPr="0010523F">
              <w:rPr>
                <w:color w:val="000000"/>
                <w:sz w:val="18"/>
                <w:szCs w:val="18"/>
                <w:lang w:val="es-AR" w:eastAsia="es-AR"/>
              </w:rPr>
              <w:t xml:space="preserve"> Intereses préstamos con partes relacionadas   </w:t>
            </w:r>
          </w:p>
        </w:tc>
        <w:tc>
          <w:tcPr>
            <w:tcW w:w="860" w:type="dxa"/>
            <w:tcBorders>
              <w:top w:val="nil"/>
              <w:left w:val="nil"/>
              <w:bottom w:val="nil"/>
              <w:right w:val="nil"/>
            </w:tcBorders>
            <w:shd w:val="clear" w:color="auto" w:fill="auto"/>
            <w:vAlign w:val="bottom"/>
          </w:tcPr>
          <w:p w14:paraId="0A4D5B0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56</w:t>
            </w:r>
          </w:p>
        </w:tc>
        <w:tc>
          <w:tcPr>
            <w:tcW w:w="841" w:type="dxa"/>
            <w:tcBorders>
              <w:top w:val="nil"/>
              <w:left w:val="nil"/>
              <w:bottom w:val="nil"/>
              <w:right w:val="nil"/>
            </w:tcBorders>
            <w:shd w:val="clear" w:color="auto" w:fill="auto"/>
            <w:vAlign w:val="bottom"/>
          </w:tcPr>
          <w:p w14:paraId="54AA47F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tcPr>
          <w:p w14:paraId="239733C2"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tcPr>
          <w:p w14:paraId="7AA9645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tcPr>
          <w:p w14:paraId="4F7AD5F6"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tcPr>
          <w:p w14:paraId="366F2A7D"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3</w:t>
            </w:r>
          </w:p>
        </w:tc>
        <w:tc>
          <w:tcPr>
            <w:tcW w:w="160" w:type="dxa"/>
            <w:tcBorders>
              <w:top w:val="nil"/>
              <w:left w:val="nil"/>
              <w:bottom w:val="nil"/>
              <w:right w:val="nil"/>
            </w:tcBorders>
            <w:shd w:val="clear" w:color="auto" w:fill="auto"/>
            <w:vAlign w:val="bottom"/>
          </w:tcPr>
          <w:p w14:paraId="61BDDB5E"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tcPr>
          <w:p w14:paraId="4B959CC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51" w:type="dxa"/>
            <w:tcBorders>
              <w:top w:val="nil"/>
              <w:left w:val="nil"/>
              <w:bottom w:val="nil"/>
              <w:right w:val="nil"/>
            </w:tcBorders>
            <w:shd w:val="clear" w:color="auto" w:fill="auto"/>
            <w:vAlign w:val="bottom"/>
          </w:tcPr>
          <w:p w14:paraId="45AD8E1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tcPr>
          <w:p w14:paraId="2E31AB01"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tcPr>
          <w:p w14:paraId="427A0F3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r>
      <w:tr w:rsidR="0010523F" w:rsidRPr="0010523F" w14:paraId="2E58DC4F" w14:textId="77777777" w:rsidTr="00774E7E">
        <w:trPr>
          <w:trHeight w:val="170"/>
        </w:trPr>
        <w:tc>
          <w:tcPr>
            <w:tcW w:w="3489" w:type="dxa"/>
            <w:tcBorders>
              <w:top w:val="nil"/>
              <w:left w:val="nil"/>
              <w:bottom w:val="nil"/>
              <w:right w:val="nil"/>
            </w:tcBorders>
            <w:shd w:val="clear" w:color="auto" w:fill="auto"/>
            <w:vAlign w:val="center"/>
            <w:hideMark/>
          </w:tcPr>
          <w:p w14:paraId="3BF655FE"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Obligaciones negociables</w:t>
            </w:r>
          </w:p>
        </w:tc>
        <w:tc>
          <w:tcPr>
            <w:tcW w:w="860" w:type="dxa"/>
            <w:tcBorders>
              <w:top w:val="nil"/>
              <w:left w:val="nil"/>
              <w:bottom w:val="nil"/>
              <w:right w:val="nil"/>
            </w:tcBorders>
            <w:shd w:val="clear" w:color="auto" w:fill="auto"/>
            <w:vAlign w:val="bottom"/>
            <w:hideMark/>
          </w:tcPr>
          <w:p w14:paraId="744DBC6C" w14:textId="77777777" w:rsidR="0010523F" w:rsidRPr="0010523F" w:rsidRDefault="0010523F" w:rsidP="0010523F">
            <w:pPr>
              <w:jc w:val="right"/>
              <w:rPr>
                <w:color w:val="000000"/>
                <w:sz w:val="18"/>
                <w:szCs w:val="18"/>
                <w:highlight w:val="yellow"/>
                <w:lang w:val="es-AR" w:eastAsia="es-AR"/>
              </w:rPr>
            </w:pPr>
          </w:p>
        </w:tc>
        <w:tc>
          <w:tcPr>
            <w:tcW w:w="841" w:type="dxa"/>
            <w:tcBorders>
              <w:top w:val="nil"/>
              <w:left w:val="nil"/>
              <w:bottom w:val="nil"/>
              <w:right w:val="nil"/>
            </w:tcBorders>
            <w:shd w:val="clear" w:color="auto" w:fill="auto"/>
            <w:vAlign w:val="bottom"/>
            <w:hideMark/>
          </w:tcPr>
          <w:p w14:paraId="6542828E"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3975D39" w14:textId="77777777" w:rsidR="0010523F" w:rsidRPr="0010523F" w:rsidRDefault="0010523F" w:rsidP="0010523F">
            <w:pPr>
              <w:jc w:val="right"/>
              <w:rPr>
                <w:color w:val="000000"/>
                <w:sz w:val="18"/>
                <w:szCs w:val="18"/>
                <w:highlight w:val="yellow"/>
                <w:lang w:val="es-AR" w:eastAsia="es-AR"/>
              </w:rPr>
            </w:pPr>
          </w:p>
        </w:tc>
        <w:tc>
          <w:tcPr>
            <w:tcW w:w="832" w:type="dxa"/>
            <w:tcBorders>
              <w:top w:val="nil"/>
              <w:left w:val="nil"/>
              <w:bottom w:val="nil"/>
              <w:right w:val="nil"/>
            </w:tcBorders>
            <w:shd w:val="clear" w:color="auto" w:fill="auto"/>
            <w:vAlign w:val="bottom"/>
            <w:hideMark/>
          </w:tcPr>
          <w:p w14:paraId="20E0332B"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5417BBD5" w14:textId="77777777" w:rsidR="0010523F" w:rsidRPr="0010523F" w:rsidRDefault="0010523F" w:rsidP="0010523F">
            <w:pPr>
              <w:jc w:val="right"/>
              <w:rPr>
                <w:color w:val="000000"/>
                <w:sz w:val="18"/>
                <w:szCs w:val="18"/>
                <w:highlight w:val="yellow"/>
                <w:lang w:val="es-AR" w:eastAsia="es-AR"/>
              </w:rPr>
            </w:pPr>
          </w:p>
        </w:tc>
        <w:tc>
          <w:tcPr>
            <w:tcW w:w="1116" w:type="dxa"/>
            <w:tcBorders>
              <w:top w:val="nil"/>
              <w:left w:val="nil"/>
              <w:bottom w:val="nil"/>
              <w:right w:val="nil"/>
            </w:tcBorders>
            <w:shd w:val="clear" w:color="auto" w:fill="auto"/>
            <w:vAlign w:val="bottom"/>
            <w:hideMark/>
          </w:tcPr>
          <w:p w14:paraId="2D8DB199"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2FE2FE8B"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324BEAAC"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25768999"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4F898680"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69F9C71F" w14:textId="77777777" w:rsidR="0010523F" w:rsidRPr="0010523F" w:rsidRDefault="0010523F" w:rsidP="0010523F">
            <w:pPr>
              <w:jc w:val="right"/>
              <w:rPr>
                <w:color w:val="000000"/>
                <w:sz w:val="18"/>
                <w:szCs w:val="18"/>
                <w:lang w:val="es-AR" w:eastAsia="es-AR"/>
              </w:rPr>
            </w:pPr>
          </w:p>
        </w:tc>
      </w:tr>
      <w:tr w:rsidR="0010523F" w:rsidRPr="0010523F" w14:paraId="74E40FB4" w14:textId="77777777" w:rsidTr="00774E7E">
        <w:trPr>
          <w:trHeight w:val="170"/>
        </w:trPr>
        <w:tc>
          <w:tcPr>
            <w:tcW w:w="3489" w:type="dxa"/>
            <w:tcBorders>
              <w:top w:val="nil"/>
              <w:left w:val="nil"/>
              <w:bottom w:val="nil"/>
              <w:right w:val="nil"/>
            </w:tcBorders>
            <w:shd w:val="clear" w:color="auto" w:fill="auto"/>
            <w:vAlign w:val="center"/>
            <w:hideMark/>
          </w:tcPr>
          <w:p w14:paraId="220899B1"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Obligaciones negociables</w:t>
            </w:r>
          </w:p>
        </w:tc>
        <w:tc>
          <w:tcPr>
            <w:tcW w:w="860" w:type="dxa"/>
            <w:tcBorders>
              <w:top w:val="nil"/>
              <w:left w:val="nil"/>
              <w:bottom w:val="nil"/>
              <w:right w:val="nil"/>
            </w:tcBorders>
            <w:shd w:val="clear" w:color="auto" w:fill="auto"/>
            <w:vAlign w:val="bottom"/>
            <w:hideMark/>
          </w:tcPr>
          <w:p w14:paraId="3EFCF0B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166.479</w:t>
            </w:r>
          </w:p>
        </w:tc>
        <w:tc>
          <w:tcPr>
            <w:tcW w:w="841" w:type="dxa"/>
            <w:tcBorders>
              <w:top w:val="nil"/>
              <w:left w:val="nil"/>
              <w:bottom w:val="nil"/>
              <w:right w:val="nil"/>
            </w:tcBorders>
            <w:shd w:val="clear" w:color="auto" w:fill="auto"/>
            <w:vAlign w:val="bottom"/>
            <w:hideMark/>
          </w:tcPr>
          <w:p w14:paraId="08AB9F6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3B0E3297"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2AB7A95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62E84A51"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0477EBD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9.543</w:t>
            </w:r>
          </w:p>
        </w:tc>
        <w:tc>
          <w:tcPr>
            <w:tcW w:w="160" w:type="dxa"/>
            <w:tcBorders>
              <w:top w:val="nil"/>
              <w:left w:val="nil"/>
              <w:bottom w:val="nil"/>
              <w:right w:val="nil"/>
            </w:tcBorders>
            <w:shd w:val="clear" w:color="auto" w:fill="auto"/>
            <w:vAlign w:val="bottom"/>
            <w:hideMark/>
          </w:tcPr>
          <w:p w14:paraId="079FEFA7"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1DB98AE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166.479</w:t>
            </w:r>
          </w:p>
        </w:tc>
        <w:tc>
          <w:tcPr>
            <w:tcW w:w="851" w:type="dxa"/>
            <w:tcBorders>
              <w:top w:val="nil"/>
              <w:left w:val="nil"/>
              <w:bottom w:val="nil"/>
              <w:right w:val="nil"/>
            </w:tcBorders>
            <w:shd w:val="clear" w:color="auto" w:fill="auto"/>
            <w:vAlign w:val="bottom"/>
            <w:hideMark/>
          </w:tcPr>
          <w:p w14:paraId="721259F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45134734"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0F9F7F51"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6.276</w:t>
            </w:r>
          </w:p>
        </w:tc>
      </w:tr>
      <w:tr w:rsidR="0010523F" w:rsidRPr="0010523F" w14:paraId="33FACBCB" w14:textId="77777777" w:rsidTr="00774E7E">
        <w:trPr>
          <w:trHeight w:val="170"/>
        </w:trPr>
        <w:tc>
          <w:tcPr>
            <w:tcW w:w="3489" w:type="dxa"/>
            <w:tcBorders>
              <w:top w:val="nil"/>
              <w:left w:val="nil"/>
              <w:bottom w:val="nil"/>
              <w:right w:val="nil"/>
            </w:tcBorders>
            <w:shd w:val="clear" w:color="auto" w:fill="auto"/>
            <w:vAlign w:val="center"/>
            <w:hideMark/>
          </w:tcPr>
          <w:p w14:paraId="6C3B5EF4" w14:textId="77777777" w:rsidR="0010523F" w:rsidRPr="0010523F" w:rsidRDefault="0010523F" w:rsidP="0010523F">
            <w:pPr>
              <w:ind w:left="229"/>
              <w:rPr>
                <w:color w:val="000000"/>
                <w:sz w:val="18"/>
                <w:szCs w:val="18"/>
                <w:lang w:val="es-AR" w:eastAsia="es-AR"/>
              </w:rPr>
            </w:pPr>
            <w:r w:rsidRPr="0010523F">
              <w:rPr>
                <w:color w:val="000000"/>
                <w:sz w:val="18"/>
                <w:szCs w:val="18"/>
                <w:lang w:val="es-AR" w:eastAsia="es-AR"/>
              </w:rPr>
              <w:t>Intereses devengados por obligaciones negociables</w:t>
            </w:r>
          </w:p>
        </w:tc>
        <w:tc>
          <w:tcPr>
            <w:tcW w:w="860" w:type="dxa"/>
            <w:tcBorders>
              <w:top w:val="nil"/>
              <w:left w:val="nil"/>
              <w:bottom w:val="nil"/>
              <w:right w:val="nil"/>
            </w:tcBorders>
            <w:shd w:val="clear" w:color="auto" w:fill="auto"/>
            <w:vAlign w:val="bottom"/>
            <w:hideMark/>
          </w:tcPr>
          <w:p w14:paraId="3CB6AC81"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10.707</w:t>
            </w:r>
          </w:p>
        </w:tc>
        <w:tc>
          <w:tcPr>
            <w:tcW w:w="841" w:type="dxa"/>
            <w:tcBorders>
              <w:top w:val="nil"/>
              <w:left w:val="nil"/>
              <w:bottom w:val="nil"/>
              <w:right w:val="nil"/>
            </w:tcBorders>
            <w:shd w:val="clear" w:color="auto" w:fill="auto"/>
            <w:vAlign w:val="bottom"/>
            <w:hideMark/>
          </w:tcPr>
          <w:p w14:paraId="4704A010"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hideMark/>
          </w:tcPr>
          <w:p w14:paraId="177D5F6E" w14:textId="77777777" w:rsidR="0010523F" w:rsidRPr="0010523F" w:rsidRDefault="0010523F" w:rsidP="0010523F">
            <w:pPr>
              <w:jc w:val="right"/>
              <w:rPr>
                <w:color w:val="000000"/>
                <w:sz w:val="18"/>
                <w:szCs w:val="18"/>
                <w:u w:val="single"/>
                <w:lang w:val="es-AR" w:eastAsia="es-AR"/>
              </w:rPr>
            </w:pPr>
          </w:p>
        </w:tc>
        <w:tc>
          <w:tcPr>
            <w:tcW w:w="832" w:type="dxa"/>
            <w:tcBorders>
              <w:top w:val="nil"/>
              <w:left w:val="nil"/>
              <w:bottom w:val="nil"/>
              <w:right w:val="nil"/>
            </w:tcBorders>
            <w:shd w:val="clear" w:color="auto" w:fill="auto"/>
            <w:vAlign w:val="bottom"/>
            <w:hideMark/>
          </w:tcPr>
          <w:p w14:paraId="3FC2BBB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2CA8B453" w14:textId="77777777" w:rsidR="0010523F" w:rsidRPr="0010523F" w:rsidRDefault="0010523F" w:rsidP="0010523F">
            <w:pPr>
              <w:jc w:val="right"/>
              <w:rPr>
                <w:color w:val="000000"/>
                <w:sz w:val="18"/>
                <w:szCs w:val="18"/>
                <w:u w:val="single"/>
                <w:lang w:val="es-AR" w:eastAsia="es-AR"/>
              </w:rPr>
            </w:pPr>
          </w:p>
        </w:tc>
        <w:tc>
          <w:tcPr>
            <w:tcW w:w="1116" w:type="dxa"/>
            <w:tcBorders>
              <w:top w:val="nil"/>
              <w:left w:val="nil"/>
              <w:bottom w:val="nil"/>
              <w:right w:val="nil"/>
            </w:tcBorders>
            <w:shd w:val="clear" w:color="auto" w:fill="auto"/>
            <w:vAlign w:val="bottom"/>
            <w:hideMark/>
          </w:tcPr>
          <w:p w14:paraId="5F1AA141"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614</w:t>
            </w:r>
          </w:p>
        </w:tc>
        <w:tc>
          <w:tcPr>
            <w:tcW w:w="160" w:type="dxa"/>
            <w:tcBorders>
              <w:top w:val="nil"/>
              <w:left w:val="nil"/>
              <w:bottom w:val="nil"/>
              <w:right w:val="nil"/>
            </w:tcBorders>
            <w:shd w:val="clear" w:color="auto" w:fill="auto"/>
            <w:vAlign w:val="bottom"/>
            <w:hideMark/>
          </w:tcPr>
          <w:p w14:paraId="1BA910EF" w14:textId="77777777" w:rsidR="0010523F" w:rsidRPr="0010523F" w:rsidRDefault="0010523F" w:rsidP="0010523F">
            <w:pPr>
              <w:jc w:val="right"/>
              <w:rPr>
                <w:color w:val="000000"/>
                <w:sz w:val="18"/>
                <w:szCs w:val="18"/>
                <w:highlight w:val="yellow"/>
                <w:u w:val="single"/>
                <w:lang w:val="es-AR" w:eastAsia="es-AR"/>
              </w:rPr>
            </w:pPr>
          </w:p>
        </w:tc>
        <w:tc>
          <w:tcPr>
            <w:tcW w:w="974" w:type="dxa"/>
            <w:tcBorders>
              <w:top w:val="nil"/>
              <w:left w:val="nil"/>
              <w:bottom w:val="nil"/>
              <w:right w:val="nil"/>
            </w:tcBorders>
            <w:shd w:val="clear" w:color="auto" w:fill="auto"/>
            <w:vAlign w:val="bottom"/>
            <w:hideMark/>
          </w:tcPr>
          <w:p w14:paraId="3FFB5DE4"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5.900</w:t>
            </w:r>
          </w:p>
        </w:tc>
        <w:tc>
          <w:tcPr>
            <w:tcW w:w="851" w:type="dxa"/>
            <w:tcBorders>
              <w:top w:val="nil"/>
              <w:left w:val="nil"/>
              <w:bottom w:val="nil"/>
              <w:right w:val="nil"/>
            </w:tcBorders>
            <w:shd w:val="clear" w:color="auto" w:fill="auto"/>
            <w:vAlign w:val="bottom"/>
            <w:hideMark/>
          </w:tcPr>
          <w:p w14:paraId="294DCF18"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99" w:type="dxa"/>
            <w:tcBorders>
              <w:top w:val="nil"/>
              <w:left w:val="nil"/>
              <w:bottom w:val="nil"/>
              <w:right w:val="nil"/>
            </w:tcBorders>
            <w:shd w:val="clear" w:color="auto" w:fill="auto"/>
            <w:vAlign w:val="bottom"/>
            <w:hideMark/>
          </w:tcPr>
          <w:p w14:paraId="290E8856" w14:textId="77777777" w:rsidR="0010523F" w:rsidRPr="0010523F" w:rsidRDefault="0010523F" w:rsidP="0010523F">
            <w:pPr>
              <w:jc w:val="right"/>
              <w:rPr>
                <w:color w:val="000000"/>
                <w:sz w:val="18"/>
                <w:szCs w:val="18"/>
                <w:u w:val="single"/>
                <w:lang w:val="es-AR" w:eastAsia="es-AR"/>
              </w:rPr>
            </w:pPr>
          </w:p>
        </w:tc>
        <w:tc>
          <w:tcPr>
            <w:tcW w:w="1076" w:type="dxa"/>
            <w:tcBorders>
              <w:top w:val="nil"/>
              <w:left w:val="nil"/>
              <w:bottom w:val="nil"/>
              <w:right w:val="nil"/>
            </w:tcBorders>
            <w:shd w:val="clear" w:color="auto" w:fill="auto"/>
            <w:vAlign w:val="bottom"/>
            <w:hideMark/>
          </w:tcPr>
          <w:p w14:paraId="2D91230F"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222</w:t>
            </w:r>
          </w:p>
        </w:tc>
      </w:tr>
      <w:tr w:rsidR="0010523F" w:rsidRPr="0010523F" w14:paraId="2152738B" w14:textId="77777777" w:rsidTr="00774E7E">
        <w:trPr>
          <w:trHeight w:val="170"/>
        </w:trPr>
        <w:tc>
          <w:tcPr>
            <w:tcW w:w="3489" w:type="dxa"/>
            <w:tcBorders>
              <w:top w:val="nil"/>
              <w:left w:val="nil"/>
              <w:bottom w:val="nil"/>
              <w:right w:val="nil"/>
            </w:tcBorders>
            <w:shd w:val="clear" w:color="auto" w:fill="auto"/>
            <w:vAlign w:val="center"/>
            <w:hideMark/>
          </w:tcPr>
          <w:p w14:paraId="37690051"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523DE789" w14:textId="77777777" w:rsidR="0010523F" w:rsidRPr="0010523F" w:rsidRDefault="0010523F" w:rsidP="0010523F">
            <w:pPr>
              <w:jc w:val="right"/>
              <w:rPr>
                <w:color w:val="000000"/>
                <w:sz w:val="18"/>
                <w:szCs w:val="18"/>
                <w:u w:val="single"/>
                <w:lang w:val="es-AR" w:eastAsia="es-AR"/>
              </w:rPr>
            </w:pPr>
          </w:p>
        </w:tc>
        <w:tc>
          <w:tcPr>
            <w:tcW w:w="841" w:type="dxa"/>
            <w:tcBorders>
              <w:top w:val="nil"/>
              <w:left w:val="nil"/>
              <w:bottom w:val="nil"/>
              <w:right w:val="nil"/>
            </w:tcBorders>
            <w:shd w:val="clear" w:color="auto" w:fill="auto"/>
            <w:vAlign w:val="bottom"/>
            <w:hideMark/>
          </w:tcPr>
          <w:p w14:paraId="2BE850E2" w14:textId="77777777" w:rsidR="0010523F" w:rsidRPr="0010523F" w:rsidRDefault="0010523F" w:rsidP="0010523F">
            <w:pPr>
              <w:jc w:val="right"/>
              <w:rPr>
                <w:color w:val="000000"/>
                <w:sz w:val="18"/>
                <w:szCs w:val="18"/>
                <w:u w:val="single"/>
                <w:lang w:val="es-AR" w:eastAsia="es-AR"/>
              </w:rPr>
            </w:pPr>
          </w:p>
        </w:tc>
        <w:tc>
          <w:tcPr>
            <w:tcW w:w="160" w:type="dxa"/>
            <w:tcBorders>
              <w:top w:val="nil"/>
              <w:left w:val="nil"/>
              <w:bottom w:val="nil"/>
              <w:right w:val="nil"/>
            </w:tcBorders>
            <w:shd w:val="clear" w:color="auto" w:fill="auto"/>
            <w:vAlign w:val="bottom"/>
            <w:hideMark/>
          </w:tcPr>
          <w:p w14:paraId="0A73A6FA" w14:textId="77777777" w:rsidR="0010523F" w:rsidRPr="0010523F" w:rsidRDefault="0010523F" w:rsidP="0010523F">
            <w:pPr>
              <w:jc w:val="right"/>
              <w:rPr>
                <w:color w:val="000000"/>
                <w:sz w:val="18"/>
                <w:szCs w:val="18"/>
                <w:u w:val="single"/>
                <w:lang w:val="es-AR" w:eastAsia="es-AR"/>
              </w:rPr>
            </w:pPr>
          </w:p>
        </w:tc>
        <w:tc>
          <w:tcPr>
            <w:tcW w:w="832" w:type="dxa"/>
            <w:tcBorders>
              <w:top w:val="nil"/>
              <w:left w:val="nil"/>
              <w:bottom w:val="nil"/>
              <w:right w:val="nil"/>
            </w:tcBorders>
            <w:shd w:val="clear" w:color="auto" w:fill="auto"/>
            <w:vAlign w:val="bottom"/>
            <w:hideMark/>
          </w:tcPr>
          <w:p w14:paraId="11D97321" w14:textId="77777777" w:rsidR="0010523F" w:rsidRPr="0010523F" w:rsidRDefault="0010523F" w:rsidP="0010523F">
            <w:pPr>
              <w:jc w:val="right"/>
              <w:rPr>
                <w:color w:val="000000"/>
                <w:sz w:val="18"/>
                <w:szCs w:val="18"/>
                <w:u w:val="single"/>
                <w:lang w:val="es-AR" w:eastAsia="es-AR"/>
              </w:rPr>
            </w:pPr>
          </w:p>
        </w:tc>
        <w:tc>
          <w:tcPr>
            <w:tcW w:w="160" w:type="dxa"/>
            <w:tcBorders>
              <w:top w:val="nil"/>
              <w:left w:val="nil"/>
              <w:bottom w:val="nil"/>
              <w:right w:val="nil"/>
            </w:tcBorders>
            <w:shd w:val="clear" w:color="auto" w:fill="auto"/>
            <w:vAlign w:val="bottom"/>
            <w:hideMark/>
          </w:tcPr>
          <w:p w14:paraId="5E227634" w14:textId="77777777" w:rsidR="0010523F" w:rsidRPr="0010523F" w:rsidRDefault="0010523F" w:rsidP="0010523F">
            <w:pPr>
              <w:jc w:val="right"/>
              <w:rPr>
                <w:color w:val="000000"/>
                <w:sz w:val="18"/>
                <w:szCs w:val="18"/>
                <w:u w:val="single"/>
                <w:lang w:val="es-AR" w:eastAsia="es-AR"/>
              </w:rPr>
            </w:pPr>
          </w:p>
        </w:tc>
        <w:tc>
          <w:tcPr>
            <w:tcW w:w="1116" w:type="dxa"/>
            <w:tcBorders>
              <w:top w:val="nil"/>
              <w:left w:val="nil"/>
              <w:bottom w:val="nil"/>
              <w:right w:val="nil"/>
            </w:tcBorders>
            <w:shd w:val="clear" w:color="auto" w:fill="auto"/>
            <w:vAlign w:val="bottom"/>
            <w:hideMark/>
          </w:tcPr>
          <w:p w14:paraId="6B1D9216" w14:textId="77777777" w:rsidR="0010523F" w:rsidRPr="0010523F" w:rsidRDefault="0010523F" w:rsidP="0010523F">
            <w:pPr>
              <w:jc w:val="right"/>
              <w:rPr>
                <w:color w:val="000000"/>
                <w:sz w:val="18"/>
                <w:szCs w:val="18"/>
                <w:u w:val="single"/>
                <w:lang w:val="es-AR" w:eastAsia="es-AR"/>
              </w:rPr>
            </w:pPr>
          </w:p>
        </w:tc>
        <w:tc>
          <w:tcPr>
            <w:tcW w:w="160" w:type="dxa"/>
            <w:tcBorders>
              <w:top w:val="nil"/>
              <w:left w:val="nil"/>
              <w:bottom w:val="nil"/>
              <w:right w:val="nil"/>
            </w:tcBorders>
            <w:shd w:val="clear" w:color="auto" w:fill="auto"/>
            <w:vAlign w:val="bottom"/>
            <w:hideMark/>
          </w:tcPr>
          <w:p w14:paraId="687A5717" w14:textId="77777777" w:rsidR="0010523F" w:rsidRPr="0010523F" w:rsidRDefault="0010523F" w:rsidP="0010523F">
            <w:pPr>
              <w:jc w:val="right"/>
              <w:rPr>
                <w:color w:val="000000"/>
                <w:sz w:val="18"/>
                <w:szCs w:val="18"/>
                <w:highlight w:val="yellow"/>
                <w:u w:val="single"/>
                <w:lang w:val="es-AR" w:eastAsia="es-AR"/>
              </w:rPr>
            </w:pPr>
          </w:p>
        </w:tc>
        <w:tc>
          <w:tcPr>
            <w:tcW w:w="974" w:type="dxa"/>
            <w:tcBorders>
              <w:top w:val="nil"/>
              <w:left w:val="nil"/>
              <w:bottom w:val="nil"/>
              <w:right w:val="nil"/>
            </w:tcBorders>
            <w:shd w:val="clear" w:color="auto" w:fill="auto"/>
            <w:vAlign w:val="bottom"/>
            <w:hideMark/>
          </w:tcPr>
          <w:p w14:paraId="386C0C5C" w14:textId="77777777" w:rsidR="0010523F" w:rsidRPr="0010523F" w:rsidRDefault="0010523F" w:rsidP="0010523F">
            <w:pPr>
              <w:jc w:val="right"/>
              <w:rPr>
                <w:color w:val="000000"/>
                <w:sz w:val="18"/>
                <w:szCs w:val="18"/>
                <w:u w:val="single"/>
                <w:lang w:val="es-AR" w:eastAsia="es-AR"/>
              </w:rPr>
            </w:pPr>
          </w:p>
        </w:tc>
        <w:tc>
          <w:tcPr>
            <w:tcW w:w="851" w:type="dxa"/>
            <w:tcBorders>
              <w:top w:val="nil"/>
              <w:left w:val="nil"/>
              <w:bottom w:val="nil"/>
              <w:right w:val="nil"/>
            </w:tcBorders>
            <w:shd w:val="clear" w:color="auto" w:fill="auto"/>
            <w:vAlign w:val="bottom"/>
            <w:hideMark/>
          </w:tcPr>
          <w:p w14:paraId="2422FAB1" w14:textId="77777777" w:rsidR="0010523F" w:rsidRPr="0010523F" w:rsidRDefault="0010523F" w:rsidP="0010523F">
            <w:pPr>
              <w:jc w:val="right"/>
              <w:rPr>
                <w:color w:val="000000"/>
                <w:sz w:val="18"/>
                <w:szCs w:val="18"/>
                <w:u w:val="single"/>
                <w:lang w:val="es-AR" w:eastAsia="es-AR"/>
              </w:rPr>
            </w:pPr>
          </w:p>
        </w:tc>
        <w:tc>
          <w:tcPr>
            <w:tcW w:w="199" w:type="dxa"/>
            <w:tcBorders>
              <w:top w:val="nil"/>
              <w:left w:val="nil"/>
              <w:bottom w:val="nil"/>
              <w:right w:val="nil"/>
            </w:tcBorders>
            <w:shd w:val="clear" w:color="auto" w:fill="auto"/>
            <w:vAlign w:val="bottom"/>
            <w:hideMark/>
          </w:tcPr>
          <w:p w14:paraId="6CF826E6" w14:textId="77777777" w:rsidR="0010523F" w:rsidRPr="0010523F" w:rsidRDefault="0010523F" w:rsidP="0010523F">
            <w:pPr>
              <w:jc w:val="right"/>
              <w:rPr>
                <w:color w:val="000000"/>
                <w:sz w:val="18"/>
                <w:szCs w:val="18"/>
                <w:u w:val="single"/>
                <w:lang w:val="es-AR" w:eastAsia="es-AR"/>
              </w:rPr>
            </w:pPr>
          </w:p>
        </w:tc>
        <w:tc>
          <w:tcPr>
            <w:tcW w:w="1076" w:type="dxa"/>
            <w:tcBorders>
              <w:top w:val="nil"/>
              <w:left w:val="nil"/>
              <w:bottom w:val="nil"/>
              <w:right w:val="nil"/>
            </w:tcBorders>
            <w:shd w:val="clear" w:color="auto" w:fill="auto"/>
            <w:vAlign w:val="bottom"/>
            <w:hideMark/>
          </w:tcPr>
          <w:p w14:paraId="06F93427" w14:textId="77777777" w:rsidR="0010523F" w:rsidRPr="0010523F" w:rsidRDefault="0010523F" w:rsidP="0010523F">
            <w:pPr>
              <w:jc w:val="right"/>
              <w:rPr>
                <w:color w:val="000000"/>
                <w:sz w:val="18"/>
                <w:szCs w:val="18"/>
                <w:u w:val="single"/>
                <w:lang w:val="es-AR" w:eastAsia="es-AR"/>
              </w:rPr>
            </w:pPr>
          </w:p>
        </w:tc>
      </w:tr>
      <w:tr w:rsidR="0010523F" w:rsidRPr="0010523F" w14:paraId="3A944815" w14:textId="77777777" w:rsidTr="00774E7E">
        <w:trPr>
          <w:trHeight w:val="170"/>
        </w:trPr>
        <w:tc>
          <w:tcPr>
            <w:tcW w:w="3489" w:type="dxa"/>
            <w:tcBorders>
              <w:top w:val="nil"/>
              <w:left w:val="nil"/>
              <w:bottom w:val="nil"/>
              <w:right w:val="nil"/>
            </w:tcBorders>
            <w:shd w:val="clear" w:color="auto" w:fill="auto"/>
            <w:vAlign w:val="center"/>
            <w:hideMark/>
          </w:tcPr>
          <w:p w14:paraId="732757E3"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Total del pasivo corriente</w:t>
            </w:r>
          </w:p>
        </w:tc>
        <w:tc>
          <w:tcPr>
            <w:tcW w:w="860" w:type="dxa"/>
            <w:tcBorders>
              <w:top w:val="nil"/>
              <w:left w:val="nil"/>
              <w:bottom w:val="nil"/>
              <w:right w:val="nil"/>
            </w:tcBorders>
            <w:shd w:val="clear" w:color="auto" w:fill="auto"/>
            <w:vAlign w:val="bottom"/>
            <w:hideMark/>
          </w:tcPr>
          <w:p w14:paraId="476388BD"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1.069.855</w:t>
            </w:r>
          </w:p>
        </w:tc>
        <w:tc>
          <w:tcPr>
            <w:tcW w:w="841" w:type="dxa"/>
            <w:tcBorders>
              <w:top w:val="nil"/>
              <w:left w:val="nil"/>
              <w:bottom w:val="nil"/>
              <w:right w:val="nil"/>
            </w:tcBorders>
            <w:shd w:val="clear" w:color="auto" w:fill="auto"/>
            <w:vAlign w:val="bottom"/>
            <w:hideMark/>
          </w:tcPr>
          <w:p w14:paraId="50819C71"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1.853</w:t>
            </w:r>
          </w:p>
        </w:tc>
        <w:tc>
          <w:tcPr>
            <w:tcW w:w="160" w:type="dxa"/>
            <w:tcBorders>
              <w:top w:val="nil"/>
              <w:left w:val="nil"/>
              <w:bottom w:val="nil"/>
              <w:right w:val="nil"/>
            </w:tcBorders>
            <w:shd w:val="clear" w:color="auto" w:fill="auto"/>
            <w:vAlign w:val="bottom"/>
            <w:hideMark/>
          </w:tcPr>
          <w:p w14:paraId="175B7677" w14:textId="77777777" w:rsidR="0010523F" w:rsidRPr="0010523F" w:rsidRDefault="0010523F" w:rsidP="0010523F">
            <w:pPr>
              <w:jc w:val="right"/>
              <w:rPr>
                <w:color w:val="000000"/>
                <w:sz w:val="18"/>
                <w:szCs w:val="18"/>
                <w:u w:val="single"/>
                <w:lang w:val="es-AR" w:eastAsia="es-AR"/>
              </w:rPr>
            </w:pPr>
          </w:p>
        </w:tc>
        <w:tc>
          <w:tcPr>
            <w:tcW w:w="832" w:type="dxa"/>
            <w:tcBorders>
              <w:top w:val="nil"/>
              <w:left w:val="nil"/>
              <w:bottom w:val="nil"/>
              <w:right w:val="nil"/>
            </w:tcBorders>
            <w:shd w:val="clear" w:color="auto" w:fill="auto"/>
            <w:vAlign w:val="bottom"/>
            <w:hideMark/>
          </w:tcPr>
          <w:p w14:paraId="2ADC7DC9"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67D25797"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0B773851"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61.441</w:t>
            </w:r>
          </w:p>
        </w:tc>
        <w:tc>
          <w:tcPr>
            <w:tcW w:w="160" w:type="dxa"/>
            <w:tcBorders>
              <w:top w:val="nil"/>
              <w:left w:val="nil"/>
              <w:bottom w:val="nil"/>
              <w:right w:val="nil"/>
            </w:tcBorders>
            <w:shd w:val="clear" w:color="auto" w:fill="auto"/>
            <w:vAlign w:val="bottom"/>
            <w:hideMark/>
          </w:tcPr>
          <w:p w14:paraId="77B82396" w14:textId="77777777" w:rsidR="0010523F" w:rsidRPr="0010523F" w:rsidRDefault="0010523F" w:rsidP="0010523F">
            <w:pPr>
              <w:jc w:val="right"/>
              <w:rPr>
                <w:color w:val="000000"/>
                <w:sz w:val="18"/>
                <w:szCs w:val="18"/>
                <w:highlight w:val="yellow"/>
                <w:u w:val="single"/>
                <w:lang w:val="es-AR" w:eastAsia="es-AR"/>
              </w:rPr>
            </w:pPr>
          </w:p>
        </w:tc>
        <w:tc>
          <w:tcPr>
            <w:tcW w:w="974" w:type="dxa"/>
            <w:tcBorders>
              <w:top w:val="nil"/>
              <w:left w:val="nil"/>
              <w:bottom w:val="nil"/>
              <w:right w:val="nil"/>
            </w:tcBorders>
            <w:shd w:val="clear" w:color="auto" w:fill="auto"/>
            <w:vAlign w:val="bottom"/>
            <w:hideMark/>
          </w:tcPr>
          <w:p w14:paraId="6E3A191E"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1.134.424</w:t>
            </w:r>
          </w:p>
        </w:tc>
        <w:tc>
          <w:tcPr>
            <w:tcW w:w="851" w:type="dxa"/>
            <w:tcBorders>
              <w:top w:val="nil"/>
              <w:left w:val="nil"/>
              <w:bottom w:val="nil"/>
              <w:right w:val="nil"/>
            </w:tcBorders>
            <w:shd w:val="clear" w:color="auto" w:fill="auto"/>
            <w:vAlign w:val="bottom"/>
            <w:hideMark/>
          </w:tcPr>
          <w:p w14:paraId="45E275D4"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1.213</w:t>
            </w:r>
          </w:p>
        </w:tc>
        <w:tc>
          <w:tcPr>
            <w:tcW w:w="199" w:type="dxa"/>
            <w:tcBorders>
              <w:top w:val="nil"/>
              <w:left w:val="nil"/>
              <w:bottom w:val="nil"/>
              <w:right w:val="nil"/>
            </w:tcBorders>
            <w:shd w:val="clear" w:color="auto" w:fill="auto"/>
            <w:vAlign w:val="bottom"/>
            <w:hideMark/>
          </w:tcPr>
          <w:p w14:paraId="1BCF2F71" w14:textId="77777777" w:rsidR="0010523F" w:rsidRPr="0010523F" w:rsidRDefault="0010523F" w:rsidP="0010523F">
            <w:pPr>
              <w:jc w:val="right"/>
              <w:rPr>
                <w:color w:val="000000"/>
                <w:sz w:val="18"/>
                <w:szCs w:val="18"/>
                <w:u w:val="single"/>
                <w:lang w:val="es-AR" w:eastAsia="es-AR"/>
              </w:rPr>
            </w:pPr>
          </w:p>
        </w:tc>
        <w:tc>
          <w:tcPr>
            <w:tcW w:w="1076" w:type="dxa"/>
            <w:tcBorders>
              <w:top w:val="nil"/>
              <w:left w:val="nil"/>
              <w:bottom w:val="nil"/>
              <w:right w:val="nil"/>
            </w:tcBorders>
            <w:shd w:val="clear" w:color="auto" w:fill="auto"/>
            <w:vAlign w:val="bottom"/>
            <w:hideMark/>
          </w:tcPr>
          <w:p w14:paraId="765BCB54"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42.819</w:t>
            </w:r>
          </w:p>
        </w:tc>
      </w:tr>
      <w:tr w:rsidR="0010523F" w:rsidRPr="0010523F" w14:paraId="15862E89" w14:textId="77777777" w:rsidTr="00774E7E">
        <w:trPr>
          <w:trHeight w:val="170"/>
        </w:trPr>
        <w:tc>
          <w:tcPr>
            <w:tcW w:w="3489" w:type="dxa"/>
            <w:tcBorders>
              <w:top w:val="nil"/>
              <w:left w:val="nil"/>
              <w:bottom w:val="nil"/>
              <w:right w:val="nil"/>
            </w:tcBorders>
            <w:shd w:val="clear" w:color="auto" w:fill="auto"/>
            <w:vAlign w:val="center"/>
            <w:hideMark/>
          </w:tcPr>
          <w:p w14:paraId="659E1D20"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7DD04A1C" w14:textId="77777777" w:rsidR="0010523F" w:rsidRPr="0010523F" w:rsidRDefault="0010523F" w:rsidP="0010523F">
            <w:pPr>
              <w:jc w:val="right"/>
              <w:rPr>
                <w:color w:val="000000"/>
                <w:sz w:val="18"/>
                <w:szCs w:val="18"/>
                <w:highlight w:val="yellow"/>
                <w:lang w:val="es-AR" w:eastAsia="es-AR"/>
              </w:rPr>
            </w:pPr>
          </w:p>
        </w:tc>
        <w:tc>
          <w:tcPr>
            <w:tcW w:w="841" w:type="dxa"/>
            <w:tcBorders>
              <w:top w:val="nil"/>
              <w:left w:val="nil"/>
              <w:bottom w:val="nil"/>
              <w:right w:val="nil"/>
            </w:tcBorders>
            <w:shd w:val="clear" w:color="auto" w:fill="auto"/>
            <w:vAlign w:val="bottom"/>
            <w:hideMark/>
          </w:tcPr>
          <w:p w14:paraId="3AB80D2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41DE850A" w14:textId="77777777" w:rsidR="0010523F" w:rsidRPr="0010523F" w:rsidRDefault="0010523F" w:rsidP="0010523F">
            <w:pPr>
              <w:jc w:val="right"/>
              <w:rPr>
                <w:color w:val="000000"/>
                <w:sz w:val="18"/>
                <w:szCs w:val="18"/>
                <w:highlight w:val="yellow"/>
                <w:lang w:val="es-AR" w:eastAsia="es-AR"/>
              </w:rPr>
            </w:pPr>
          </w:p>
        </w:tc>
        <w:tc>
          <w:tcPr>
            <w:tcW w:w="832" w:type="dxa"/>
            <w:tcBorders>
              <w:top w:val="nil"/>
              <w:left w:val="nil"/>
              <w:bottom w:val="nil"/>
              <w:right w:val="nil"/>
            </w:tcBorders>
            <w:shd w:val="clear" w:color="auto" w:fill="auto"/>
            <w:vAlign w:val="bottom"/>
            <w:hideMark/>
          </w:tcPr>
          <w:p w14:paraId="10A2969E"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4878F7E6" w14:textId="77777777" w:rsidR="0010523F" w:rsidRPr="0010523F" w:rsidRDefault="0010523F" w:rsidP="0010523F">
            <w:pPr>
              <w:jc w:val="right"/>
              <w:rPr>
                <w:color w:val="000000"/>
                <w:sz w:val="18"/>
                <w:szCs w:val="18"/>
                <w:highlight w:val="yellow"/>
                <w:lang w:val="es-AR" w:eastAsia="es-AR"/>
              </w:rPr>
            </w:pPr>
          </w:p>
        </w:tc>
        <w:tc>
          <w:tcPr>
            <w:tcW w:w="1116" w:type="dxa"/>
            <w:tcBorders>
              <w:top w:val="nil"/>
              <w:left w:val="nil"/>
              <w:bottom w:val="nil"/>
              <w:right w:val="nil"/>
            </w:tcBorders>
            <w:shd w:val="clear" w:color="auto" w:fill="auto"/>
            <w:vAlign w:val="bottom"/>
            <w:hideMark/>
          </w:tcPr>
          <w:p w14:paraId="63CB1DDA"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0245123C"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2ED939B3"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5E8760D1"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0A9A2C23"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579BF801" w14:textId="77777777" w:rsidR="0010523F" w:rsidRPr="0010523F" w:rsidRDefault="0010523F" w:rsidP="0010523F">
            <w:pPr>
              <w:jc w:val="right"/>
              <w:rPr>
                <w:color w:val="000000"/>
                <w:sz w:val="18"/>
                <w:szCs w:val="18"/>
                <w:lang w:val="es-AR" w:eastAsia="es-AR"/>
              </w:rPr>
            </w:pPr>
          </w:p>
        </w:tc>
      </w:tr>
      <w:tr w:rsidR="0010523F" w:rsidRPr="0010523F" w14:paraId="5AB9278C" w14:textId="77777777" w:rsidTr="00774E7E">
        <w:trPr>
          <w:trHeight w:val="170"/>
        </w:trPr>
        <w:tc>
          <w:tcPr>
            <w:tcW w:w="3489" w:type="dxa"/>
            <w:tcBorders>
              <w:top w:val="nil"/>
              <w:left w:val="nil"/>
              <w:bottom w:val="nil"/>
              <w:right w:val="nil"/>
            </w:tcBorders>
            <w:shd w:val="clear" w:color="auto" w:fill="auto"/>
            <w:vAlign w:val="center"/>
            <w:hideMark/>
          </w:tcPr>
          <w:p w14:paraId="57B3EE06"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PASIVO NO CORRIENTE</w:t>
            </w:r>
          </w:p>
        </w:tc>
        <w:tc>
          <w:tcPr>
            <w:tcW w:w="860" w:type="dxa"/>
            <w:tcBorders>
              <w:top w:val="nil"/>
              <w:left w:val="nil"/>
              <w:bottom w:val="nil"/>
              <w:right w:val="nil"/>
            </w:tcBorders>
            <w:shd w:val="clear" w:color="auto" w:fill="auto"/>
            <w:vAlign w:val="bottom"/>
            <w:hideMark/>
          </w:tcPr>
          <w:p w14:paraId="2CBF351F" w14:textId="77777777" w:rsidR="0010523F" w:rsidRPr="0010523F" w:rsidRDefault="0010523F" w:rsidP="0010523F">
            <w:pPr>
              <w:jc w:val="right"/>
              <w:rPr>
                <w:color w:val="000000"/>
                <w:sz w:val="18"/>
                <w:szCs w:val="18"/>
                <w:highlight w:val="yellow"/>
                <w:lang w:val="es-AR" w:eastAsia="es-AR"/>
              </w:rPr>
            </w:pPr>
          </w:p>
        </w:tc>
        <w:tc>
          <w:tcPr>
            <w:tcW w:w="841" w:type="dxa"/>
            <w:tcBorders>
              <w:top w:val="nil"/>
              <w:left w:val="nil"/>
              <w:bottom w:val="nil"/>
              <w:right w:val="nil"/>
            </w:tcBorders>
            <w:shd w:val="clear" w:color="auto" w:fill="auto"/>
            <w:vAlign w:val="bottom"/>
            <w:hideMark/>
          </w:tcPr>
          <w:p w14:paraId="3E65B10A"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E45B11C" w14:textId="77777777" w:rsidR="0010523F" w:rsidRPr="0010523F" w:rsidRDefault="0010523F" w:rsidP="0010523F">
            <w:pPr>
              <w:jc w:val="right"/>
              <w:rPr>
                <w:color w:val="000000"/>
                <w:sz w:val="18"/>
                <w:szCs w:val="18"/>
                <w:highlight w:val="yellow"/>
                <w:lang w:val="es-AR" w:eastAsia="es-AR"/>
              </w:rPr>
            </w:pPr>
          </w:p>
        </w:tc>
        <w:tc>
          <w:tcPr>
            <w:tcW w:w="832" w:type="dxa"/>
            <w:tcBorders>
              <w:top w:val="nil"/>
              <w:left w:val="nil"/>
              <w:bottom w:val="nil"/>
              <w:right w:val="nil"/>
            </w:tcBorders>
            <w:shd w:val="clear" w:color="auto" w:fill="auto"/>
            <w:vAlign w:val="bottom"/>
            <w:hideMark/>
          </w:tcPr>
          <w:p w14:paraId="32A86F44"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02C1535B" w14:textId="77777777" w:rsidR="0010523F" w:rsidRPr="0010523F" w:rsidRDefault="0010523F" w:rsidP="0010523F">
            <w:pPr>
              <w:jc w:val="right"/>
              <w:rPr>
                <w:color w:val="000000"/>
                <w:sz w:val="18"/>
                <w:szCs w:val="18"/>
                <w:highlight w:val="yellow"/>
                <w:lang w:val="es-AR" w:eastAsia="es-AR"/>
              </w:rPr>
            </w:pPr>
          </w:p>
        </w:tc>
        <w:tc>
          <w:tcPr>
            <w:tcW w:w="1116" w:type="dxa"/>
            <w:tcBorders>
              <w:top w:val="nil"/>
              <w:left w:val="nil"/>
              <w:bottom w:val="nil"/>
              <w:right w:val="nil"/>
            </w:tcBorders>
            <w:shd w:val="clear" w:color="auto" w:fill="auto"/>
            <w:vAlign w:val="bottom"/>
            <w:hideMark/>
          </w:tcPr>
          <w:p w14:paraId="4DA780C1"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2E035CE2"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520F22BE"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29B4A84B"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12A913D9"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7B6B340F" w14:textId="77777777" w:rsidR="0010523F" w:rsidRPr="0010523F" w:rsidRDefault="0010523F" w:rsidP="0010523F">
            <w:pPr>
              <w:jc w:val="right"/>
              <w:rPr>
                <w:color w:val="000000"/>
                <w:sz w:val="18"/>
                <w:szCs w:val="18"/>
                <w:lang w:val="es-AR" w:eastAsia="es-AR"/>
              </w:rPr>
            </w:pPr>
          </w:p>
        </w:tc>
      </w:tr>
      <w:tr w:rsidR="0010523F" w:rsidRPr="0010523F" w14:paraId="4DE230A4" w14:textId="77777777" w:rsidTr="00774E7E">
        <w:trPr>
          <w:trHeight w:val="170"/>
        </w:trPr>
        <w:tc>
          <w:tcPr>
            <w:tcW w:w="3489" w:type="dxa"/>
            <w:tcBorders>
              <w:top w:val="nil"/>
              <w:left w:val="nil"/>
              <w:bottom w:val="nil"/>
              <w:right w:val="nil"/>
            </w:tcBorders>
            <w:shd w:val="clear" w:color="auto" w:fill="auto"/>
            <w:vAlign w:val="center"/>
            <w:hideMark/>
          </w:tcPr>
          <w:p w14:paraId="0C2F08B1"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036D382F" w14:textId="77777777" w:rsidR="0010523F" w:rsidRPr="0010523F" w:rsidRDefault="0010523F" w:rsidP="0010523F">
            <w:pPr>
              <w:jc w:val="right"/>
              <w:rPr>
                <w:color w:val="000000"/>
                <w:sz w:val="18"/>
                <w:szCs w:val="18"/>
                <w:highlight w:val="yellow"/>
                <w:lang w:val="es-AR" w:eastAsia="es-AR"/>
              </w:rPr>
            </w:pPr>
          </w:p>
        </w:tc>
        <w:tc>
          <w:tcPr>
            <w:tcW w:w="841" w:type="dxa"/>
            <w:tcBorders>
              <w:top w:val="nil"/>
              <w:left w:val="nil"/>
              <w:bottom w:val="nil"/>
              <w:right w:val="nil"/>
            </w:tcBorders>
            <w:shd w:val="clear" w:color="auto" w:fill="auto"/>
            <w:vAlign w:val="bottom"/>
            <w:hideMark/>
          </w:tcPr>
          <w:p w14:paraId="10111A4D"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B2AAA6D" w14:textId="77777777" w:rsidR="0010523F" w:rsidRPr="0010523F" w:rsidRDefault="0010523F" w:rsidP="0010523F">
            <w:pPr>
              <w:jc w:val="right"/>
              <w:rPr>
                <w:color w:val="000000"/>
                <w:sz w:val="18"/>
                <w:szCs w:val="18"/>
                <w:highlight w:val="yellow"/>
                <w:lang w:val="es-AR" w:eastAsia="es-AR"/>
              </w:rPr>
            </w:pPr>
          </w:p>
        </w:tc>
        <w:tc>
          <w:tcPr>
            <w:tcW w:w="832" w:type="dxa"/>
            <w:tcBorders>
              <w:top w:val="nil"/>
              <w:left w:val="nil"/>
              <w:bottom w:val="nil"/>
              <w:right w:val="nil"/>
            </w:tcBorders>
            <w:shd w:val="clear" w:color="auto" w:fill="auto"/>
            <w:vAlign w:val="bottom"/>
            <w:hideMark/>
          </w:tcPr>
          <w:p w14:paraId="2ED9091E"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573F7E91" w14:textId="77777777" w:rsidR="0010523F" w:rsidRPr="0010523F" w:rsidRDefault="0010523F" w:rsidP="0010523F">
            <w:pPr>
              <w:jc w:val="right"/>
              <w:rPr>
                <w:color w:val="000000"/>
                <w:sz w:val="18"/>
                <w:szCs w:val="18"/>
                <w:highlight w:val="yellow"/>
                <w:lang w:val="es-AR" w:eastAsia="es-AR"/>
              </w:rPr>
            </w:pPr>
          </w:p>
        </w:tc>
        <w:tc>
          <w:tcPr>
            <w:tcW w:w="1116" w:type="dxa"/>
            <w:tcBorders>
              <w:top w:val="nil"/>
              <w:left w:val="nil"/>
              <w:bottom w:val="nil"/>
              <w:right w:val="nil"/>
            </w:tcBorders>
            <w:shd w:val="clear" w:color="auto" w:fill="auto"/>
            <w:vAlign w:val="bottom"/>
            <w:hideMark/>
          </w:tcPr>
          <w:p w14:paraId="39E76322" w14:textId="77777777" w:rsidR="0010523F" w:rsidRPr="0010523F" w:rsidRDefault="0010523F" w:rsidP="0010523F">
            <w:pPr>
              <w:jc w:val="right"/>
              <w:rPr>
                <w:color w:val="000000"/>
                <w:sz w:val="18"/>
                <w:szCs w:val="18"/>
                <w:highlight w:val="yellow"/>
                <w:lang w:val="es-AR" w:eastAsia="es-AR"/>
              </w:rPr>
            </w:pPr>
          </w:p>
        </w:tc>
        <w:tc>
          <w:tcPr>
            <w:tcW w:w="160" w:type="dxa"/>
            <w:tcBorders>
              <w:top w:val="nil"/>
              <w:left w:val="nil"/>
              <w:bottom w:val="nil"/>
              <w:right w:val="nil"/>
            </w:tcBorders>
            <w:shd w:val="clear" w:color="auto" w:fill="auto"/>
            <w:vAlign w:val="bottom"/>
            <w:hideMark/>
          </w:tcPr>
          <w:p w14:paraId="7CD2DCC0"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406BA3F1"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7C7D277E"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68610FE5"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6EABBF99" w14:textId="77777777" w:rsidR="0010523F" w:rsidRPr="0010523F" w:rsidRDefault="0010523F" w:rsidP="0010523F">
            <w:pPr>
              <w:jc w:val="right"/>
              <w:rPr>
                <w:color w:val="000000"/>
                <w:sz w:val="18"/>
                <w:szCs w:val="18"/>
                <w:lang w:val="es-AR" w:eastAsia="es-AR"/>
              </w:rPr>
            </w:pPr>
          </w:p>
        </w:tc>
      </w:tr>
      <w:tr w:rsidR="0010523F" w:rsidRPr="0010523F" w14:paraId="6C88617D" w14:textId="77777777" w:rsidTr="00774E7E">
        <w:trPr>
          <w:trHeight w:val="170"/>
        </w:trPr>
        <w:tc>
          <w:tcPr>
            <w:tcW w:w="3489" w:type="dxa"/>
            <w:tcBorders>
              <w:top w:val="nil"/>
              <w:left w:val="nil"/>
              <w:bottom w:val="nil"/>
              <w:right w:val="nil"/>
            </w:tcBorders>
            <w:shd w:val="clear" w:color="auto" w:fill="auto"/>
            <w:vAlign w:val="center"/>
            <w:hideMark/>
          </w:tcPr>
          <w:p w14:paraId="7970D852"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Cuentas por pagar</w:t>
            </w:r>
          </w:p>
        </w:tc>
        <w:tc>
          <w:tcPr>
            <w:tcW w:w="860" w:type="dxa"/>
            <w:tcBorders>
              <w:top w:val="nil"/>
              <w:left w:val="nil"/>
              <w:bottom w:val="nil"/>
              <w:right w:val="nil"/>
            </w:tcBorders>
            <w:shd w:val="clear" w:color="auto" w:fill="auto"/>
            <w:vAlign w:val="bottom"/>
            <w:hideMark/>
          </w:tcPr>
          <w:p w14:paraId="7927AC55"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020B4479"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054E98B9"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33459E9E"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0E2E0B8"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6AD3A874"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4F255C6" w14:textId="77777777" w:rsidR="0010523F" w:rsidRPr="0010523F" w:rsidRDefault="0010523F" w:rsidP="0010523F">
            <w:pPr>
              <w:jc w:val="right"/>
              <w:rPr>
                <w:color w:val="000000"/>
                <w:sz w:val="18"/>
                <w:szCs w:val="18"/>
                <w:highlight w:val="yellow"/>
                <w:lang w:val="es-AR" w:eastAsia="es-AR"/>
              </w:rPr>
            </w:pPr>
          </w:p>
        </w:tc>
        <w:tc>
          <w:tcPr>
            <w:tcW w:w="974" w:type="dxa"/>
            <w:tcBorders>
              <w:top w:val="nil"/>
              <w:left w:val="nil"/>
              <w:bottom w:val="nil"/>
              <w:right w:val="nil"/>
            </w:tcBorders>
            <w:shd w:val="clear" w:color="auto" w:fill="auto"/>
            <w:vAlign w:val="bottom"/>
            <w:hideMark/>
          </w:tcPr>
          <w:p w14:paraId="6FD17740"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51D8C8C9"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049BAEA6"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6387D1CC" w14:textId="77777777" w:rsidR="0010523F" w:rsidRPr="0010523F" w:rsidRDefault="0010523F" w:rsidP="0010523F">
            <w:pPr>
              <w:jc w:val="right"/>
              <w:rPr>
                <w:color w:val="000000"/>
                <w:sz w:val="18"/>
                <w:szCs w:val="18"/>
                <w:lang w:val="es-AR" w:eastAsia="es-AR"/>
              </w:rPr>
            </w:pPr>
          </w:p>
        </w:tc>
      </w:tr>
      <w:tr w:rsidR="0010523F" w:rsidRPr="0010523F" w14:paraId="63848FCF" w14:textId="77777777" w:rsidTr="00774E7E">
        <w:trPr>
          <w:trHeight w:val="170"/>
        </w:trPr>
        <w:tc>
          <w:tcPr>
            <w:tcW w:w="3489" w:type="dxa"/>
            <w:tcBorders>
              <w:top w:val="nil"/>
              <w:left w:val="nil"/>
              <w:bottom w:val="nil"/>
              <w:right w:val="nil"/>
            </w:tcBorders>
            <w:shd w:val="clear" w:color="auto" w:fill="auto"/>
            <w:vAlign w:val="center"/>
            <w:hideMark/>
          </w:tcPr>
          <w:p w14:paraId="4710E535"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 xml:space="preserve">Deudas diversas </w:t>
            </w:r>
          </w:p>
        </w:tc>
        <w:tc>
          <w:tcPr>
            <w:tcW w:w="860" w:type="dxa"/>
            <w:tcBorders>
              <w:top w:val="nil"/>
              <w:left w:val="nil"/>
              <w:bottom w:val="nil"/>
              <w:right w:val="nil"/>
            </w:tcBorders>
            <w:shd w:val="clear" w:color="auto" w:fill="auto"/>
            <w:vAlign w:val="bottom"/>
            <w:hideMark/>
          </w:tcPr>
          <w:p w14:paraId="6E35F233"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19.084</w:t>
            </w:r>
          </w:p>
        </w:tc>
        <w:tc>
          <w:tcPr>
            <w:tcW w:w="841" w:type="dxa"/>
            <w:tcBorders>
              <w:top w:val="nil"/>
              <w:left w:val="nil"/>
              <w:bottom w:val="nil"/>
              <w:right w:val="nil"/>
            </w:tcBorders>
            <w:shd w:val="clear" w:color="auto" w:fill="auto"/>
            <w:vAlign w:val="bottom"/>
            <w:hideMark/>
          </w:tcPr>
          <w:p w14:paraId="2699877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6AEE9A4C"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5EA24D0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13728D85"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2CABD7B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1.094</w:t>
            </w:r>
          </w:p>
        </w:tc>
        <w:tc>
          <w:tcPr>
            <w:tcW w:w="160" w:type="dxa"/>
            <w:tcBorders>
              <w:top w:val="nil"/>
              <w:left w:val="nil"/>
              <w:bottom w:val="nil"/>
              <w:right w:val="nil"/>
            </w:tcBorders>
            <w:shd w:val="clear" w:color="auto" w:fill="auto"/>
            <w:vAlign w:val="bottom"/>
            <w:hideMark/>
          </w:tcPr>
          <w:p w14:paraId="577F94B8"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54793FB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7.230</w:t>
            </w:r>
          </w:p>
        </w:tc>
        <w:tc>
          <w:tcPr>
            <w:tcW w:w="851" w:type="dxa"/>
            <w:tcBorders>
              <w:top w:val="nil"/>
              <w:left w:val="nil"/>
              <w:bottom w:val="nil"/>
              <w:right w:val="nil"/>
            </w:tcBorders>
            <w:shd w:val="clear" w:color="auto" w:fill="auto"/>
            <w:vAlign w:val="bottom"/>
            <w:hideMark/>
          </w:tcPr>
          <w:p w14:paraId="4A8F4140"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74C71D4C"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15BBDFC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273</w:t>
            </w:r>
          </w:p>
        </w:tc>
      </w:tr>
      <w:tr w:rsidR="0010523F" w:rsidRPr="0010523F" w14:paraId="1DEC308A" w14:textId="77777777" w:rsidTr="00774E7E">
        <w:trPr>
          <w:trHeight w:val="170"/>
        </w:trPr>
        <w:tc>
          <w:tcPr>
            <w:tcW w:w="3489" w:type="dxa"/>
            <w:tcBorders>
              <w:top w:val="nil"/>
              <w:left w:val="nil"/>
              <w:bottom w:val="nil"/>
              <w:right w:val="nil"/>
            </w:tcBorders>
            <w:shd w:val="clear" w:color="auto" w:fill="auto"/>
            <w:vAlign w:val="center"/>
            <w:hideMark/>
          </w:tcPr>
          <w:p w14:paraId="6F8DF314"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33B34246"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7F024294"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4C12F17"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52383AA1"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22E11F2"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4C735A7D"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006344A2"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7B4C9872"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448143F4"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2E18B724"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0536AF35" w14:textId="77777777" w:rsidR="0010523F" w:rsidRPr="0010523F" w:rsidRDefault="0010523F" w:rsidP="0010523F">
            <w:pPr>
              <w:jc w:val="right"/>
              <w:rPr>
                <w:color w:val="000000"/>
                <w:sz w:val="18"/>
                <w:szCs w:val="18"/>
                <w:lang w:val="es-AR" w:eastAsia="es-AR"/>
              </w:rPr>
            </w:pPr>
          </w:p>
        </w:tc>
      </w:tr>
      <w:tr w:rsidR="0010523F" w:rsidRPr="0010523F" w14:paraId="0DB9D71B" w14:textId="77777777" w:rsidTr="00774E7E">
        <w:trPr>
          <w:trHeight w:val="170"/>
        </w:trPr>
        <w:tc>
          <w:tcPr>
            <w:tcW w:w="3489" w:type="dxa"/>
            <w:tcBorders>
              <w:top w:val="nil"/>
              <w:left w:val="nil"/>
              <w:bottom w:val="nil"/>
              <w:right w:val="nil"/>
            </w:tcBorders>
            <w:shd w:val="clear" w:color="auto" w:fill="auto"/>
            <w:vAlign w:val="center"/>
            <w:hideMark/>
          </w:tcPr>
          <w:p w14:paraId="090EDF06"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Préstamos y otras deudas financieras</w:t>
            </w:r>
          </w:p>
        </w:tc>
        <w:tc>
          <w:tcPr>
            <w:tcW w:w="860" w:type="dxa"/>
            <w:tcBorders>
              <w:top w:val="nil"/>
              <w:left w:val="nil"/>
              <w:bottom w:val="nil"/>
              <w:right w:val="nil"/>
            </w:tcBorders>
            <w:shd w:val="clear" w:color="auto" w:fill="auto"/>
            <w:vAlign w:val="bottom"/>
            <w:hideMark/>
          </w:tcPr>
          <w:p w14:paraId="1A8EA832"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6DD756C9"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92947F0"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3FB9CA2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58E3AA0"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4C6BE5E3"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625F2688"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77560CEA"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3B3A6139"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49B0970E"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169FDBA4" w14:textId="77777777" w:rsidR="0010523F" w:rsidRPr="0010523F" w:rsidRDefault="0010523F" w:rsidP="0010523F">
            <w:pPr>
              <w:jc w:val="right"/>
              <w:rPr>
                <w:color w:val="000000"/>
                <w:sz w:val="18"/>
                <w:szCs w:val="18"/>
                <w:lang w:val="es-AR" w:eastAsia="es-AR"/>
              </w:rPr>
            </w:pPr>
          </w:p>
        </w:tc>
      </w:tr>
      <w:tr w:rsidR="0010523F" w:rsidRPr="0010523F" w14:paraId="59E2AFED" w14:textId="77777777" w:rsidTr="00774E7E">
        <w:trPr>
          <w:trHeight w:val="170"/>
        </w:trPr>
        <w:tc>
          <w:tcPr>
            <w:tcW w:w="3489" w:type="dxa"/>
            <w:tcBorders>
              <w:top w:val="nil"/>
              <w:left w:val="nil"/>
              <w:bottom w:val="nil"/>
              <w:right w:val="nil"/>
            </w:tcBorders>
            <w:shd w:val="clear" w:color="auto" w:fill="auto"/>
            <w:vAlign w:val="center"/>
            <w:hideMark/>
          </w:tcPr>
          <w:p w14:paraId="2D7DE6F3"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Obligaciones a pagar sin garantía real</w:t>
            </w:r>
          </w:p>
        </w:tc>
        <w:tc>
          <w:tcPr>
            <w:tcW w:w="860" w:type="dxa"/>
            <w:tcBorders>
              <w:top w:val="nil"/>
              <w:left w:val="nil"/>
              <w:bottom w:val="nil"/>
              <w:right w:val="nil"/>
            </w:tcBorders>
            <w:shd w:val="clear" w:color="auto" w:fill="auto"/>
            <w:vAlign w:val="bottom"/>
            <w:hideMark/>
          </w:tcPr>
          <w:p w14:paraId="5211BE5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911.532</w:t>
            </w:r>
          </w:p>
        </w:tc>
        <w:tc>
          <w:tcPr>
            <w:tcW w:w="841" w:type="dxa"/>
            <w:tcBorders>
              <w:top w:val="nil"/>
              <w:left w:val="nil"/>
              <w:bottom w:val="nil"/>
              <w:right w:val="nil"/>
            </w:tcBorders>
            <w:shd w:val="clear" w:color="auto" w:fill="auto"/>
            <w:vAlign w:val="bottom"/>
            <w:hideMark/>
          </w:tcPr>
          <w:p w14:paraId="0DBFBCB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0FB7794C"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0CB510A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194CD1C7"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3318837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52.249</w:t>
            </w:r>
          </w:p>
        </w:tc>
        <w:tc>
          <w:tcPr>
            <w:tcW w:w="160" w:type="dxa"/>
            <w:tcBorders>
              <w:top w:val="nil"/>
              <w:left w:val="nil"/>
              <w:bottom w:val="nil"/>
              <w:right w:val="nil"/>
            </w:tcBorders>
            <w:shd w:val="clear" w:color="auto" w:fill="auto"/>
            <w:vAlign w:val="bottom"/>
            <w:hideMark/>
          </w:tcPr>
          <w:p w14:paraId="4E78C466"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0A13582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1.096.032</w:t>
            </w:r>
          </w:p>
        </w:tc>
        <w:tc>
          <w:tcPr>
            <w:tcW w:w="851" w:type="dxa"/>
            <w:tcBorders>
              <w:top w:val="nil"/>
              <w:left w:val="nil"/>
              <w:bottom w:val="nil"/>
              <w:right w:val="nil"/>
            </w:tcBorders>
            <w:shd w:val="clear" w:color="auto" w:fill="auto"/>
            <w:vAlign w:val="bottom"/>
            <w:hideMark/>
          </w:tcPr>
          <w:p w14:paraId="232A3EAB"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26B2DFD1"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37412985"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41.320</w:t>
            </w:r>
          </w:p>
        </w:tc>
      </w:tr>
      <w:tr w:rsidR="0010523F" w:rsidRPr="0010523F" w14:paraId="1B3CA521" w14:textId="77777777" w:rsidTr="00774E7E">
        <w:trPr>
          <w:trHeight w:val="170"/>
        </w:trPr>
        <w:tc>
          <w:tcPr>
            <w:tcW w:w="3489" w:type="dxa"/>
            <w:tcBorders>
              <w:top w:val="nil"/>
              <w:left w:val="nil"/>
              <w:bottom w:val="nil"/>
              <w:right w:val="nil"/>
            </w:tcBorders>
            <w:shd w:val="clear" w:color="auto" w:fill="auto"/>
            <w:vAlign w:val="center"/>
            <w:hideMark/>
          </w:tcPr>
          <w:p w14:paraId="6884046A" w14:textId="77777777" w:rsidR="0010523F" w:rsidRPr="0010523F" w:rsidRDefault="0010523F" w:rsidP="0010523F">
            <w:pPr>
              <w:ind w:firstLineChars="100" w:firstLine="180"/>
              <w:rPr>
                <w:color w:val="000000"/>
                <w:sz w:val="18"/>
                <w:szCs w:val="18"/>
                <w:lang w:val="es-AR" w:eastAsia="es-AR"/>
              </w:rPr>
            </w:pPr>
            <w:r w:rsidRPr="0010523F">
              <w:rPr>
                <w:color w:val="000000"/>
                <w:sz w:val="18"/>
                <w:szCs w:val="18"/>
                <w:lang w:val="es-AR" w:eastAsia="es-AR"/>
              </w:rPr>
              <w:t>Arrendamientos financieros</w:t>
            </w:r>
          </w:p>
        </w:tc>
        <w:tc>
          <w:tcPr>
            <w:tcW w:w="860" w:type="dxa"/>
            <w:tcBorders>
              <w:top w:val="nil"/>
              <w:left w:val="nil"/>
              <w:bottom w:val="nil"/>
              <w:right w:val="nil"/>
            </w:tcBorders>
            <w:shd w:val="clear" w:color="auto" w:fill="auto"/>
            <w:vAlign w:val="bottom"/>
            <w:hideMark/>
          </w:tcPr>
          <w:p w14:paraId="2BAA573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41" w:type="dxa"/>
            <w:tcBorders>
              <w:top w:val="nil"/>
              <w:left w:val="nil"/>
              <w:bottom w:val="nil"/>
              <w:right w:val="nil"/>
            </w:tcBorders>
            <w:shd w:val="clear" w:color="auto" w:fill="auto"/>
            <w:vAlign w:val="bottom"/>
            <w:hideMark/>
          </w:tcPr>
          <w:p w14:paraId="40E174E2"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244DE502"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5B574E93"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3F6E36DE"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023BB7D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4808A11A"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0E192ECE"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24.775</w:t>
            </w:r>
          </w:p>
        </w:tc>
        <w:tc>
          <w:tcPr>
            <w:tcW w:w="851" w:type="dxa"/>
            <w:tcBorders>
              <w:top w:val="nil"/>
              <w:left w:val="nil"/>
              <w:bottom w:val="nil"/>
              <w:right w:val="nil"/>
            </w:tcBorders>
            <w:shd w:val="clear" w:color="auto" w:fill="auto"/>
            <w:vAlign w:val="bottom"/>
            <w:hideMark/>
          </w:tcPr>
          <w:p w14:paraId="77253C7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6A8DCB2A"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5CB808F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934</w:t>
            </w:r>
          </w:p>
        </w:tc>
      </w:tr>
      <w:tr w:rsidR="0010523F" w:rsidRPr="0010523F" w14:paraId="5C5C80DF" w14:textId="77777777" w:rsidTr="00774E7E">
        <w:trPr>
          <w:trHeight w:val="170"/>
        </w:trPr>
        <w:tc>
          <w:tcPr>
            <w:tcW w:w="3489" w:type="dxa"/>
            <w:tcBorders>
              <w:top w:val="nil"/>
              <w:left w:val="nil"/>
              <w:bottom w:val="nil"/>
              <w:right w:val="nil"/>
            </w:tcBorders>
            <w:shd w:val="clear" w:color="auto" w:fill="auto"/>
            <w:vAlign w:val="center"/>
            <w:hideMark/>
          </w:tcPr>
          <w:p w14:paraId="00979BB7" w14:textId="77777777" w:rsidR="0010523F" w:rsidRPr="0010523F" w:rsidRDefault="0010523F" w:rsidP="0010523F">
            <w:pPr>
              <w:ind w:left="229"/>
              <w:rPr>
                <w:color w:val="000000"/>
                <w:sz w:val="18"/>
                <w:szCs w:val="18"/>
                <w:lang w:val="es-AR" w:eastAsia="es-AR"/>
              </w:rPr>
            </w:pPr>
            <w:r w:rsidRPr="0010523F">
              <w:rPr>
                <w:color w:val="000000"/>
                <w:sz w:val="18"/>
                <w:szCs w:val="18"/>
                <w:lang w:val="es-AR" w:eastAsia="es-AR"/>
              </w:rPr>
              <w:t>Deuda financiera por derecho a uso de activos</w:t>
            </w:r>
          </w:p>
        </w:tc>
        <w:tc>
          <w:tcPr>
            <w:tcW w:w="860" w:type="dxa"/>
            <w:tcBorders>
              <w:top w:val="nil"/>
              <w:left w:val="nil"/>
              <w:bottom w:val="nil"/>
              <w:right w:val="nil"/>
            </w:tcBorders>
            <w:shd w:val="clear" w:color="auto" w:fill="auto"/>
            <w:vAlign w:val="bottom"/>
            <w:hideMark/>
          </w:tcPr>
          <w:p w14:paraId="533D5BD9"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73.258</w:t>
            </w:r>
          </w:p>
        </w:tc>
        <w:tc>
          <w:tcPr>
            <w:tcW w:w="841" w:type="dxa"/>
            <w:tcBorders>
              <w:top w:val="nil"/>
              <w:left w:val="nil"/>
              <w:bottom w:val="nil"/>
              <w:right w:val="nil"/>
            </w:tcBorders>
            <w:shd w:val="clear" w:color="auto" w:fill="auto"/>
            <w:vAlign w:val="bottom"/>
            <w:hideMark/>
          </w:tcPr>
          <w:p w14:paraId="73F97FA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60" w:type="dxa"/>
            <w:tcBorders>
              <w:top w:val="nil"/>
              <w:left w:val="nil"/>
              <w:bottom w:val="nil"/>
              <w:right w:val="nil"/>
            </w:tcBorders>
            <w:shd w:val="clear" w:color="auto" w:fill="auto"/>
            <w:vAlign w:val="bottom"/>
            <w:hideMark/>
          </w:tcPr>
          <w:p w14:paraId="45A31D95"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1DB2B6F8"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6C2219C3"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73434D9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4.199</w:t>
            </w:r>
          </w:p>
        </w:tc>
        <w:tc>
          <w:tcPr>
            <w:tcW w:w="160" w:type="dxa"/>
            <w:tcBorders>
              <w:top w:val="nil"/>
              <w:left w:val="nil"/>
              <w:bottom w:val="nil"/>
              <w:right w:val="nil"/>
            </w:tcBorders>
            <w:shd w:val="clear" w:color="auto" w:fill="auto"/>
            <w:vAlign w:val="bottom"/>
            <w:hideMark/>
          </w:tcPr>
          <w:p w14:paraId="78048E84"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61DC571C"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851" w:type="dxa"/>
            <w:tcBorders>
              <w:top w:val="nil"/>
              <w:left w:val="nil"/>
              <w:bottom w:val="nil"/>
              <w:right w:val="nil"/>
            </w:tcBorders>
            <w:shd w:val="clear" w:color="auto" w:fill="auto"/>
            <w:vAlign w:val="bottom"/>
            <w:hideMark/>
          </w:tcPr>
          <w:p w14:paraId="5D06C26F"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c>
          <w:tcPr>
            <w:tcW w:w="199" w:type="dxa"/>
            <w:tcBorders>
              <w:top w:val="nil"/>
              <w:left w:val="nil"/>
              <w:bottom w:val="nil"/>
              <w:right w:val="nil"/>
            </w:tcBorders>
            <w:shd w:val="clear" w:color="auto" w:fill="auto"/>
            <w:vAlign w:val="bottom"/>
            <w:hideMark/>
          </w:tcPr>
          <w:p w14:paraId="675E006D"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1C434937"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w:t>
            </w:r>
          </w:p>
        </w:tc>
      </w:tr>
      <w:tr w:rsidR="0010523F" w:rsidRPr="0010523F" w14:paraId="2AB3500C" w14:textId="77777777" w:rsidTr="00774E7E">
        <w:trPr>
          <w:trHeight w:val="170"/>
        </w:trPr>
        <w:tc>
          <w:tcPr>
            <w:tcW w:w="3489" w:type="dxa"/>
            <w:tcBorders>
              <w:top w:val="nil"/>
              <w:left w:val="nil"/>
              <w:bottom w:val="nil"/>
              <w:right w:val="nil"/>
            </w:tcBorders>
            <w:shd w:val="clear" w:color="auto" w:fill="auto"/>
            <w:vAlign w:val="center"/>
            <w:hideMark/>
          </w:tcPr>
          <w:p w14:paraId="63C8C633"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28686E8B"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49658012"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5EF0782"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4DFFDF51"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6C26FF23"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2F16E451"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C41C1FB"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21BB89C2"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32A0AD92"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592F8890"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0F96E3F1" w14:textId="77777777" w:rsidR="0010523F" w:rsidRPr="0010523F" w:rsidRDefault="0010523F" w:rsidP="0010523F">
            <w:pPr>
              <w:jc w:val="right"/>
              <w:rPr>
                <w:color w:val="000000"/>
                <w:sz w:val="18"/>
                <w:szCs w:val="18"/>
                <w:lang w:val="es-AR" w:eastAsia="es-AR"/>
              </w:rPr>
            </w:pPr>
          </w:p>
        </w:tc>
      </w:tr>
      <w:tr w:rsidR="0010523F" w:rsidRPr="0010523F" w14:paraId="6522B70C" w14:textId="77777777" w:rsidTr="00774E7E">
        <w:trPr>
          <w:trHeight w:val="170"/>
        </w:trPr>
        <w:tc>
          <w:tcPr>
            <w:tcW w:w="3489" w:type="dxa"/>
            <w:tcBorders>
              <w:top w:val="nil"/>
              <w:left w:val="nil"/>
              <w:bottom w:val="nil"/>
              <w:right w:val="nil"/>
            </w:tcBorders>
            <w:shd w:val="clear" w:color="auto" w:fill="auto"/>
            <w:vAlign w:val="center"/>
            <w:hideMark/>
          </w:tcPr>
          <w:p w14:paraId="3C129861"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Obligaciones negociables</w:t>
            </w:r>
          </w:p>
        </w:tc>
        <w:tc>
          <w:tcPr>
            <w:tcW w:w="860" w:type="dxa"/>
            <w:tcBorders>
              <w:top w:val="nil"/>
              <w:left w:val="nil"/>
              <w:bottom w:val="nil"/>
              <w:right w:val="nil"/>
            </w:tcBorders>
            <w:shd w:val="clear" w:color="auto" w:fill="auto"/>
            <w:vAlign w:val="bottom"/>
            <w:hideMark/>
          </w:tcPr>
          <w:p w14:paraId="306C87AC"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4E9DA16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046F1E6"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0CBABE7A"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32A1174"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2FEC85C1"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FD40546"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23DAFED6"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236F1842"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78025E83"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0DF0ACD2" w14:textId="77777777" w:rsidR="0010523F" w:rsidRPr="0010523F" w:rsidRDefault="0010523F" w:rsidP="0010523F">
            <w:pPr>
              <w:jc w:val="right"/>
              <w:rPr>
                <w:color w:val="000000"/>
                <w:sz w:val="18"/>
                <w:szCs w:val="18"/>
                <w:lang w:val="es-AR" w:eastAsia="es-AR"/>
              </w:rPr>
            </w:pPr>
          </w:p>
        </w:tc>
      </w:tr>
      <w:tr w:rsidR="0010523F" w:rsidRPr="0010523F" w14:paraId="3DCB43FA" w14:textId="77777777" w:rsidTr="00774E7E">
        <w:trPr>
          <w:trHeight w:val="170"/>
        </w:trPr>
        <w:tc>
          <w:tcPr>
            <w:tcW w:w="3489" w:type="dxa"/>
            <w:tcBorders>
              <w:top w:val="nil"/>
              <w:left w:val="nil"/>
              <w:bottom w:val="nil"/>
              <w:right w:val="nil"/>
            </w:tcBorders>
            <w:shd w:val="clear" w:color="auto" w:fill="auto"/>
            <w:vAlign w:val="center"/>
            <w:hideMark/>
          </w:tcPr>
          <w:p w14:paraId="7FD5417D" w14:textId="77777777" w:rsidR="0010523F" w:rsidRPr="0010523F" w:rsidRDefault="0010523F" w:rsidP="0010523F">
            <w:pPr>
              <w:ind w:left="229"/>
              <w:jc w:val="both"/>
              <w:rPr>
                <w:color w:val="000000"/>
                <w:sz w:val="18"/>
                <w:szCs w:val="18"/>
                <w:lang w:val="es-AR" w:eastAsia="es-AR"/>
              </w:rPr>
            </w:pPr>
            <w:r w:rsidRPr="0010523F">
              <w:rPr>
                <w:color w:val="000000"/>
                <w:sz w:val="18"/>
                <w:szCs w:val="18"/>
                <w:lang w:val="es-AR" w:eastAsia="es-AR"/>
              </w:rPr>
              <w:t xml:space="preserve">Obligaciones negociables </w:t>
            </w:r>
          </w:p>
        </w:tc>
        <w:tc>
          <w:tcPr>
            <w:tcW w:w="860" w:type="dxa"/>
            <w:tcBorders>
              <w:top w:val="nil"/>
              <w:left w:val="nil"/>
              <w:bottom w:val="nil"/>
              <w:right w:val="nil"/>
            </w:tcBorders>
            <w:shd w:val="clear" w:color="auto" w:fill="auto"/>
            <w:vAlign w:val="bottom"/>
            <w:hideMark/>
          </w:tcPr>
          <w:p w14:paraId="333E5B7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166.479</w:t>
            </w:r>
          </w:p>
        </w:tc>
        <w:tc>
          <w:tcPr>
            <w:tcW w:w="841" w:type="dxa"/>
            <w:tcBorders>
              <w:top w:val="nil"/>
              <w:left w:val="nil"/>
              <w:bottom w:val="nil"/>
              <w:right w:val="nil"/>
            </w:tcBorders>
            <w:shd w:val="clear" w:color="auto" w:fill="auto"/>
            <w:vAlign w:val="bottom"/>
            <w:hideMark/>
          </w:tcPr>
          <w:p w14:paraId="7A478BDD"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 xml:space="preserve">    -</w:t>
            </w:r>
          </w:p>
        </w:tc>
        <w:tc>
          <w:tcPr>
            <w:tcW w:w="160" w:type="dxa"/>
            <w:tcBorders>
              <w:top w:val="nil"/>
              <w:left w:val="nil"/>
              <w:bottom w:val="nil"/>
              <w:right w:val="nil"/>
            </w:tcBorders>
            <w:shd w:val="clear" w:color="auto" w:fill="auto"/>
            <w:vAlign w:val="bottom"/>
            <w:hideMark/>
          </w:tcPr>
          <w:p w14:paraId="25CDA0DC"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5CA0F043"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252E1A1A"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74AC102A"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9.543</w:t>
            </w:r>
          </w:p>
        </w:tc>
        <w:tc>
          <w:tcPr>
            <w:tcW w:w="160" w:type="dxa"/>
            <w:tcBorders>
              <w:top w:val="nil"/>
              <w:left w:val="nil"/>
              <w:bottom w:val="nil"/>
              <w:right w:val="nil"/>
            </w:tcBorders>
            <w:shd w:val="clear" w:color="auto" w:fill="auto"/>
            <w:vAlign w:val="bottom"/>
            <w:hideMark/>
          </w:tcPr>
          <w:p w14:paraId="07F5085B"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5E4E5084"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332.958</w:t>
            </w:r>
          </w:p>
        </w:tc>
        <w:tc>
          <w:tcPr>
            <w:tcW w:w="851" w:type="dxa"/>
            <w:tcBorders>
              <w:top w:val="nil"/>
              <w:left w:val="nil"/>
              <w:bottom w:val="nil"/>
              <w:right w:val="nil"/>
            </w:tcBorders>
            <w:shd w:val="clear" w:color="auto" w:fill="auto"/>
            <w:vAlign w:val="bottom"/>
            <w:hideMark/>
          </w:tcPr>
          <w:p w14:paraId="7D73C06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 xml:space="preserve">    -</w:t>
            </w:r>
          </w:p>
        </w:tc>
        <w:tc>
          <w:tcPr>
            <w:tcW w:w="199" w:type="dxa"/>
            <w:tcBorders>
              <w:top w:val="nil"/>
              <w:left w:val="nil"/>
              <w:bottom w:val="nil"/>
              <w:right w:val="nil"/>
            </w:tcBorders>
            <w:shd w:val="clear" w:color="auto" w:fill="auto"/>
            <w:vAlign w:val="bottom"/>
            <w:hideMark/>
          </w:tcPr>
          <w:p w14:paraId="5CA91133"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5D05AD03"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12.553</w:t>
            </w:r>
          </w:p>
        </w:tc>
      </w:tr>
      <w:tr w:rsidR="0010523F" w:rsidRPr="0010523F" w14:paraId="722E8006" w14:textId="77777777" w:rsidTr="00774E7E">
        <w:trPr>
          <w:trHeight w:val="170"/>
        </w:trPr>
        <w:tc>
          <w:tcPr>
            <w:tcW w:w="3489" w:type="dxa"/>
            <w:tcBorders>
              <w:top w:val="nil"/>
              <w:left w:val="nil"/>
              <w:bottom w:val="nil"/>
              <w:right w:val="nil"/>
            </w:tcBorders>
            <w:shd w:val="clear" w:color="auto" w:fill="auto"/>
            <w:vAlign w:val="center"/>
            <w:hideMark/>
          </w:tcPr>
          <w:p w14:paraId="39FB9946"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0433E8E7"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567A8A8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362262F8"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603BA7D2"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6BA21A6C"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44DC9A18"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E10641B"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35DD5466"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06FB98D0"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7D22092C"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1DC6E43B" w14:textId="77777777" w:rsidR="0010523F" w:rsidRPr="0010523F" w:rsidRDefault="0010523F" w:rsidP="0010523F">
            <w:pPr>
              <w:jc w:val="right"/>
              <w:rPr>
                <w:color w:val="000000"/>
                <w:sz w:val="18"/>
                <w:szCs w:val="18"/>
                <w:lang w:val="es-AR" w:eastAsia="es-AR"/>
              </w:rPr>
            </w:pPr>
          </w:p>
        </w:tc>
      </w:tr>
      <w:tr w:rsidR="0010523F" w:rsidRPr="0010523F" w14:paraId="581ED02F" w14:textId="77777777" w:rsidTr="00774E7E">
        <w:trPr>
          <w:trHeight w:val="170"/>
        </w:trPr>
        <w:tc>
          <w:tcPr>
            <w:tcW w:w="3489" w:type="dxa"/>
            <w:tcBorders>
              <w:top w:val="nil"/>
              <w:left w:val="nil"/>
              <w:bottom w:val="nil"/>
              <w:right w:val="nil"/>
            </w:tcBorders>
            <w:shd w:val="clear" w:color="auto" w:fill="auto"/>
            <w:vAlign w:val="center"/>
            <w:hideMark/>
          </w:tcPr>
          <w:p w14:paraId="7CF26927"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Provisiones</w:t>
            </w:r>
          </w:p>
        </w:tc>
        <w:tc>
          <w:tcPr>
            <w:tcW w:w="860" w:type="dxa"/>
            <w:tcBorders>
              <w:top w:val="nil"/>
              <w:left w:val="nil"/>
              <w:bottom w:val="nil"/>
              <w:right w:val="nil"/>
            </w:tcBorders>
            <w:shd w:val="clear" w:color="auto" w:fill="auto"/>
            <w:vAlign w:val="bottom"/>
            <w:hideMark/>
          </w:tcPr>
          <w:p w14:paraId="7AB8EA7C"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230897DA"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BB642F7"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3A33BD1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6DEB1B5C"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6F85951A"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2B5E9DF"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47DA11B6"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13E65D25"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079008BF"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3BAC329F" w14:textId="77777777" w:rsidR="0010523F" w:rsidRPr="0010523F" w:rsidRDefault="0010523F" w:rsidP="0010523F">
            <w:pPr>
              <w:jc w:val="right"/>
              <w:rPr>
                <w:color w:val="000000"/>
                <w:sz w:val="18"/>
                <w:szCs w:val="18"/>
                <w:lang w:val="es-AR" w:eastAsia="es-AR"/>
              </w:rPr>
            </w:pPr>
          </w:p>
        </w:tc>
      </w:tr>
      <w:tr w:rsidR="0010523F" w:rsidRPr="0010523F" w14:paraId="42D92DD8" w14:textId="77777777" w:rsidTr="00774E7E">
        <w:trPr>
          <w:trHeight w:val="170"/>
        </w:trPr>
        <w:tc>
          <w:tcPr>
            <w:tcW w:w="3489" w:type="dxa"/>
            <w:tcBorders>
              <w:top w:val="nil"/>
              <w:left w:val="nil"/>
              <w:bottom w:val="nil"/>
              <w:right w:val="nil"/>
            </w:tcBorders>
            <w:shd w:val="clear" w:color="auto" w:fill="auto"/>
            <w:vAlign w:val="center"/>
            <w:hideMark/>
          </w:tcPr>
          <w:p w14:paraId="31256D6C" w14:textId="77777777" w:rsidR="0010523F" w:rsidRPr="0010523F" w:rsidRDefault="0010523F" w:rsidP="0010523F">
            <w:pPr>
              <w:ind w:left="229"/>
              <w:rPr>
                <w:color w:val="000000"/>
                <w:sz w:val="18"/>
                <w:szCs w:val="18"/>
                <w:lang w:val="es-AR" w:eastAsia="es-AR"/>
              </w:rPr>
            </w:pPr>
            <w:r w:rsidRPr="0010523F">
              <w:rPr>
                <w:color w:val="000000"/>
                <w:sz w:val="18"/>
                <w:szCs w:val="18"/>
                <w:lang w:val="es-AR" w:eastAsia="es-AR"/>
              </w:rPr>
              <w:t>Provisión por acuerdo de estabilidad de precios de petróleo crudo, naftas y gas oil</w:t>
            </w:r>
          </w:p>
        </w:tc>
        <w:tc>
          <w:tcPr>
            <w:tcW w:w="860" w:type="dxa"/>
            <w:tcBorders>
              <w:top w:val="nil"/>
              <w:left w:val="nil"/>
              <w:bottom w:val="nil"/>
              <w:right w:val="nil"/>
            </w:tcBorders>
            <w:shd w:val="clear" w:color="auto" w:fill="auto"/>
            <w:vAlign w:val="bottom"/>
            <w:hideMark/>
          </w:tcPr>
          <w:p w14:paraId="03E3939E"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14.347</w:t>
            </w:r>
          </w:p>
        </w:tc>
        <w:tc>
          <w:tcPr>
            <w:tcW w:w="841" w:type="dxa"/>
            <w:tcBorders>
              <w:top w:val="nil"/>
              <w:left w:val="nil"/>
              <w:bottom w:val="nil"/>
              <w:right w:val="nil"/>
            </w:tcBorders>
            <w:shd w:val="clear" w:color="auto" w:fill="auto"/>
            <w:vAlign w:val="bottom"/>
            <w:hideMark/>
          </w:tcPr>
          <w:p w14:paraId="4CA2BD89"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hideMark/>
          </w:tcPr>
          <w:p w14:paraId="1A4DFFE5" w14:textId="77777777" w:rsidR="0010523F" w:rsidRPr="0010523F" w:rsidRDefault="0010523F" w:rsidP="0010523F">
            <w:pPr>
              <w:jc w:val="right"/>
              <w:rPr>
                <w:color w:val="000000"/>
                <w:sz w:val="18"/>
                <w:szCs w:val="18"/>
                <w:u w:val="single"/>
                <w:lang w:val="es-AR" w:eastAsia="es-AR"/>
              </w:rPr>
            </w:pPr>
          </w:p>
        </w:tc>
        <w:tc>
          <w:tcPr>
            <w:tcW w:w="832" w:type="dxa"/>
            <w:tcBorders>
              <w:top w:val="nil"/>
              <w:left w:val="nil"/>
              <w:bottom w:val="nil"/>
              <w:right w:val="nil"/>
            </w:tcBorders>
            <w:shd w:val="clear" w:color="auto" w:fill="auto"/>
            <w:vAlign w:val="bottom"/>
            <w:hideMark/>
          </w:tcPr>
          <w:p w14:paraId="3D5EC6D6" w14:textId="77777777" w:rsidR="0010523F" w:rsidRPr="0010523F" w:rsidRDefault="0010523F" w:rsidP="0010523F">
            <w:pPr>
              <w:jc w:val="right"/>
              <w:rPr>
                <w:color w:val="000000"/>
                <w:sz w:val="18"/>
                <w:szCs w:val="18"/>
                <w:lang w:val="es-AR" w:eastAsia="es-AR"/>
              </w:rPr>
            </w:pPr>
            <w:r w:rsidRPr="0010523F">
              <w:rPr>
                <w:color w:val="000000"/>
                <w:sz w:val="18"/>
                <w:szCs w:val="18"/>
                <w:lang w:val="es-AR" w:eastAsia="es-AR"/>
              </w:rPr>
              <w:t>57,3200</w:t>
            </w:r>
          </w:p>
        </w:tc>
        <w:tc>
          <w:tcPr>
            <w:tcW w:w="160" w:type="dxa"/>
            <w:tcBorders>
              <w:top w:val="nil"/>
              <w:left w:val="nil"/>
              <w:bottom w:val="nil"/>
              <w:right w:val="nil"/>
            </w:tcBorders>
            <w:shd w:val="clear" w:color="auto" w:fill="auto"/>
            <w:vAlign w:val="bottom"/>
            <w:hideMark/>
          </w:tcPr>
          <w:p w14:paraId="77FEE6FE"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08F083A8"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822</w:t>
            </w:r>
          </w:p>
        </w:tc>
        <w:tc>
          <w:tcPr>
            <w:tcW w:w="160" w:type="dxa"/>
            <w:tcBorders>
              <w:top w:val="nil"/>
              <w:left w:val="nil"/>
              <w:bottom w:val="nil"/>
              <w:right w:val="nil"/>
            </w:tcBorders>
            <w:shd w:val="clear" w:color="auto" w:fill="auto"/>
            <w:vAlign w:val="bottom"/>
            <w:hideMark/>
          </w:tcPr>
          <w:p w14:paraId="0DF76E5E" w14:textId="77777777" w:rsidR="0010523F" w:rsidRPr="0010523F" w:rsidRDefault="0010523F" w:rsidP="0010523F">
            <w:pPr>
              <w:jc w:val="right"/>
              <w:rPr>
                <w:color w:val="000000"/>
                <w:sz w:val="18"/>
                <w:szCs w:val="18"/>
                <w:u w:val="single"/>
                <w:lang w:val="es-AR" w:eastAsia="es-AR"/>
              </w:rPr>
            </w:pPr>
          </w:p>
        </w:tc>
        <w:tc>
          <w:tcPr>
            <w:tcW w:w="974" w:type="dxa"/>
            <w:tcBorders>
              <w:top w:val="nil"/>
              <w:left w:val="nil"/>
              <w:bottom w:val="nil"/>
              <w:right w:val="nil"/>
            </w:tcBorders>
            <w:shd w:val="clear" w:color="auto" w:fill="auto"/>
            <w:vAlign w:val="bottom"/>
            <w:hideMark/>
          </w:tcPr>
          <w:p w14:paraId="6851D7AD"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13.988</w:t>
            </w:r>
          </w:p>
        </w:tc>
        <w:tc>
          <w:tcPr>
            <w:tcW w:w="851" w:type="dxa"/>
            <w:tcBorders>
              <w:top w:val="nil"/>
              <w:left w:val="nil"/>
              <w:bottom w:val="nil"/>
              <w:right w:val="nil"/>
            </w:tcBorders>
            <w:shd w:val="clear" w:color="auto" w:fill="auto"/>
            <w:vAlign w:val="bottom"/>
            <w:hideMark/>
          </w:tcPr>
          <w:p w14:paraId="26CBE549"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99" w:type="dxa"/>
            <w:tcBorders>
              <w:top w:val="nil"/>
              <w:left w:val="nil"/>
              <w:bottom w:val="nil"/>
              <w:right w:val="nil"/>
            </w:tcBorders>
            <w:shd w:val="clear" w:color="auto" w:fill="auto"/>
            <w:vAlign w:val="bottom"/>
            <w:hideMark/>
          </w:tcPr>
          <w:p w14:paraId="7727E866" w14:textId="77777777" w:rsidR="0010523F" w:rsidRPr="0010523F" w:rsidRDefault="0010523F" w:rsidP="0010523F">
            <w:pPr>
              <w:jc w:val="right"/>
              <w:rPr>
                <w:color w:val="000000"/>
                <w:sz w:val="18"/>
                <w:szCs w:val="18"/>
                <w:u w:val="single"/>
                <w:lang w:val="es-AR" w:eastAsia="es-AR"/>
              </w:rPr>
            </w:pPr>
          </w:p>
        </w:tc>
        <w:tc>
          <w:tcPr>
            <w:tcW w:w="1076" w:type="dxa"/>
            <w:tcBorders>
              <w:top w:val="nil"/>
              <w:left w:val="nil"/>
              <w:bottom w:val="nil"/>
              <w:right w:val="nil"/>
            </w:tcBorders>
            <w:shd w:val="clear" w:color="auto" w:fill="auto"/>
            <w:vAlign w:val="bottom"/>
            <w:hideMark/>
          </w:tcPr>
          <w:p w14:paraId="510B8AD0"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527</w:t>
            </w:r>
          </w:p>
        </w:tc>
      </w:tr>
      <w:tr w:rsidR="0010523F" w:rsidRPr="0010523F" w14:paraId="2081E971" w14:textId="77777777" w:rsidTr="00774E7E">
        <w:trPr>
          <w:trHeight w:val="170"/>
        </w:trPr>
        <w:tc>
          <w:tcPr>
            <w:tcW w:w="3489" w:type="dxa"/>
            <w:tcBorders>
              <w:top w:val="nil"/>
              <w:left w:val="nil"/>
              <w:bottom w:val="nil"/>
              <w:right w:val="nil"/>
            </w:tcBorders>
            <w:shd w:val="clear" w:color="auto" w:fill="auto"/>
            <w:vAlign w:val="center"/>
            <w:hideMark/>
          </w:tcPr>
          <w:p w14:paraId="20C0A0F8" w14:textId="77777777" w:rsidR="0010523F" w:rsidRPr="0010523F" w:rsidRDefault="0010523F" w:rsidP="0010523F">
            <w:pPr>
              <w:spacing w:line="60" w:lineRule="exact"/>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18EC1A58" w14:textId="77777777" w:rsidR="0010523F" w:rsidRPr="0010523F" w:rsidRDefault="0010523F" w:rsidP="0010523F">
            <w:pPr>
              <w:spacing w:line="60" w:lineRule="exact"/>
              <w:jc w:val="right"/>
              <w:rPr>
                <w:color w:val="000000"/>
                <w:sz w:val="18"/>
                <w:szCs w:val="18"/>
                <w:u w:val="single"/>
                <w:lang w:val="es-AR" w:eastAsia="es-AR"/>
              </w:rPr>
            </w:pPr>
          </w:p>
        </w:tc>
        <w:tc>
          <w:tcPr>
            <w:tcW w:w="841" w:type="dxa"/>
            <w:tcBorders>
              <w:top w:val="nil"/>
              <w:left w:val="nil"/>
              <w:bottom w:val="nil"/>
              <w:right w:val="nil"/>
            </w:tcBorders>
            <w:shd w:val="clear" w:color="auto" w:fill="auto"/>
            <w:vAlign w:val="bottom"/>
            <w:hideMark/>
          </w:tcPr>
          <w:p w14:paraId="34BB6A0D" w14:textId="77777777" w:rsidR="0010523F" w:rsidRPr="0010523F" w:rsidRDefault="0010523F" w:rsidP="0010523F">
            <w:pPr>
              <w:spacing w:line="60" w:lineRule="exact"/>
              <w:jc w:val="right"/>
              <w:rPr>
                <w:color w:val="000000"/>
                <w:sz w:val="18"/>
                <w:szCs w:val="18"/>
                <w:u w:val="single"/>
                <w:lang w:val="es-AR" w:eastAsia="es-AR"/>
              </w:rPr>
            </w:pPr>
          </w:p>
        </w:tc>
        <w:tc>
          <w:tcPr>
            <w:tcW w:w="160" w:type="dxa"/>
            <w:tcBorders>
              <w:top w:val="nil"/>
              <w:left w:val="nil"/>
              <w:bottom w:val="nil"/>
              <w:right w:val="nil"/>
            </w:tcBorders>
            <w:shd w:val="clear" w:color="auto" w:fill="auto"/>
            <w:vAlign w:val="bottom"/>
            <w:hideMark/>
          </w:tcPr>
          <w:p w14:paraId="14E04486" w14:textId="77777777" w:rsidR="0010523F" w:rsidRPr="0010523F" w:rsidRDefault="0010523F" w:rsidP="0010523F">
            <w:pPr>
              <w:spacing w:line="60" w:lineRule="exact"/>
              <w:jc w:val="right"/>
              <w:rPr>
                <w:color w:val="000000"/>
                <w:sz w:val="18"/>
                <w:szCs w:val="18"/>
                <w:u w:val="single"/>
                <w:lang w:val="es-AR" w:eastAsia="es-AR"/>
              </w:rPr>
            </w:pPr>
          </w:p>
        </w:tc>
        <w:tc>
          <w:tcPr>
            <w:tcW w:w="832" w:type="dxa"/>
            <w:tcBorders>
              <w:top w:val="nil"/>
              <w:left w:val="nil"/>
              <w:bottom w:val="nil"/>
              <w:right w:val="nil"/>
            </w:tcBorders>
            <w:shd w:val="clear" w:color="auto" w:fill="auto"/>
            <w:vAlign w:val="bottom"/>
            <w:hideMark/>
          </w:tcPr>
          <w:p w14:paraId="7AB18D50" w14:textId="77777777" w:rsidR="0010523F" w:rsidRPr="0010523F" w:rsidRDefault="0010523F" w:rsidP="0010523F">
            <w:pPr>
              <w:spacing w:line="60" w:lineRule="exact"/>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08871E97" w14:textId="77777777" w:rsidR="0010523F" w:rsidRPr="0010523F" w:rsidRDefault="0010523F" w:rsidP="0010523F">
            <w:pPr>
              <w:spacing w:line="60" w:lineRule="exact"/>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42AD4951" w14:textId="77777777" w:rsidR="0010523F" w:rsidRPr="0010523F" w:rsidRDefault="0010523F" w:rsidP="0010523F">
            <w:pPr>
              <w:spacing w:line="60" w:lineRule="exact"/>
              <w:jc w:val="right"/>
              <w:rPr>
                <w:color w:val="000000"/>
                <w:sz w:val="18"/>
                <w:szCs w:val="18"/>
                <w:u w:val="single"/>
                <w:lang w:val="es-AR" w:eastAsia="es-AR"/>
              </w:rPr>
            </w:pPr>
          </w:p>
        </w:tc>
        <w:tc>
          <w:tcPr>
            <w:tcW w:w="160" w:type="dxa"/>
            <w:tcBorders>
              <w:top w:val="nil"/>
              <w:left w:val="nil"/>
              <w:bottom w:val="nil"/>
              <w:right w:val="nil"/>
            </w:tcBorders>
            <w:shd w:val="clear" w:color="auto" w:fill="auto"/>
            <w:vAlign w:val="bottom"/>
            <w:hideMark/>
          </w:tcPr>
          <w:p w14:paraId="0CE286B0" w14:textId="77777777" w:rsidR="0010523F" w:rsidRPr="0010523F" w:rsidRDefault="0010523F" w:rsidP="0010523F">
            <w:pPr>
              <w:spacing w:line="60" w:lineRule="exact"/>
              <w:jc w:val="right"/>
              <w:rPr>
                <w:color w:val="000000"/>
                <w:sz w:val="18"/>
                <w:szCs w:val="18"/>
                <w:u w:val="single"/>
                <w:lang w:val="es-AR" w:eastAsia="es-AR"/>
              </w:rPr>
            </w:pPr>
          </w:p>
        </w:tc>
        <w:tc>
          <w:tcPr>
            <w:tcW w:w="974" w:type="dxa"/>
            <w:tcBorders>
              <w:top w:val="nil"/>
              <w:left w:val="nil"/>
              <w:bottom w:val="nil"/>
              <w:right w:val="nil"/>
            </w:tcBorders>
            <w:shd w:val="clear" w:color="auto" w:fill="auto"/>
            <w:vAlign w:val="bottom"/>
            <w:hideMark/>
          </w:tcPr>
          <w:p w14:paraId="6955D4BE" w14:textId="77777777" w:rsidR="0010523F" w:rsidRPr="0010523F" w:rsidRDefault="0010523F" w:rsidP="0010523F">
            <w:pPr>
              <w:spacing w:line="60" w:lineRule="exact"/>
              <w:jc w:val="right"/>
              <w:rPr>
                <w:color w:val="000000"/>
                <w:sz w:val="18"/>
                <w:szCs w:val="18"/>
                <w:u w:val="single"/>
                <w:lang w:val="es-AR" w:eastAsia="es-AR"/>
              </w:rPr>
            </w:pPr>
          </w:p>
        </w:tc>
        <w:tc>
          <w:tcPr>
            <w:tcW w:w="851" w:type="dxa"/>
            <w:tcBorders>
              <w:top w:val="nil"/>
              <w:left w:val="nil"/>
              <w:bottom w:val="nil"/>
              <w:right w:val="nil"/>
            </w:tcBorders>
            <w:shd w:val="clear" w:color="auto" w:fill="auto"/>
            <w:vAlign w:val="bottom"/>
            <w:hideMark/>
          </w:tcPr>
          <w:p w14:paraId="1CCF6FD1" w14:textId="77777777" w:rsidR="0010523F" w:rsidRPr="0010523F" w:rsidRDefault="0010523F" w:rsidP="0010523F">
            <w:pPr>
              <w:spacing w:line="60" w:lineRule="exact"/>
              <w:jc w:val="right"/>
              <w:rPr>
                <w:color w:val="000000"/>
                <w:sz w:val="18"/>
                <w:szCs w:val="18"/>
                <w:u w:val="single"/>
                <w:lang w:val="es-AR" w:eastAsia="es-AR"/>
              </w:rPr>
            </w:pPr>
          </w:p>
        </w:tc>
        <w:tc>
          <w:tcPr>
            <w:tcW w:w="199" w:type="dxa"/>
            <w:tcBorders>
              <w:top w:val="nil"/>
              <w:left w:val="nil"/>
              <w:bottom w:val="nil"/>
              <w:right w:val="nil"/>
            </w:tcBorders>
            <w:shd w:val="clear" w:color="auto" w:fill="auto"/>
            <w:vAlign w:val="bottom"/>
            <w:hideMark/>
          </w:tcPr>
          <w:p w14:paraId="5D0162E4" w14:textId="77777777" w:rsidR="0010523F" w:rsidRPr="0010523F" w:rsidRDefault="0010523F" w:rsidP="0010523F">
            <w:pPr>
              <w:spacing w:line="60" w:lineRule="exact"/>
              <w:jc w:val="right"/>
              <w:rPr>
                <w:color w:val="000000"/>
                <w:sz w:val="18"/>
                <w:szCs w:val="18"/>
                <w:u w:val="single"/>
                <w:lang w:val="es-AR" w:eastAsia="es-AR"/>
              </w:rPr>
            </w:pPr>
          </w:p>
        </w:tc>
        <w:tc>
          <w:tcPr>
            <w:tcW w:w="1076" w:type="dxa"/>
            <w:tcBorders>
              <w:top w:val="nil"/>
              <w:left w:val="nil"/>
              <w:bottom w:val="nil"/>
              <w:right w:val="nil"/>
            </w:tcBorders>
            <w:shd w:val="clear" w:color="auto" w:fill="auto"/>
            <w:vAlign w:val="bottom"/>
            <w:hideMark/>
          </w:tcPr>
          <w:p w14:paraId="193BA6FD" w14:textId="77777777" w:rsidR="0010523F" w:rsidRPr="0010523F" w:rsidRDefault="0010523F" w:rsidP="0010523F">
            <w:pPr>
              <w:spacing w:line="60" w:lineRule="exact"/>
              <w:jc w:val="right"/>
              <w:rPr>
                <w:color w:val="000000"/>
                <w:sz w:val="18"/>
                <w:szCs w:val="18"/>
                <w:u w:val="single"/>
                <w:lang w:val="es-AR" w:eastAsia="es-AR"/>
              </w:rPr>
            </w:pPr>
          </w:p>
        </w:tc>
      </w:tr>
      <w:tr w:rsidR="0010523F" w:rsidRPr="0010523F" w14:paraId="737BEAE3" w14:textId="77777777" w:rsidTr="00774E7E">
        <w:trPr>
          <w:trHeight w:val="170"/>
        </w:trPr>
        <w:tc>
          <w:tcPr>
            <w:tcW w:w="3489" w:type="dxa"/>
            <w:tcBorders>
              <w:top w:val="nil"/>
              <w:left w:val="nil"/>
              <w:bottom w:val="nil"/>
              <w:right w:val="nil"/>
            </w:tcBorders>
            <w:shd w:val="clear" w:color="auto" w:fill="auto"/>
            <w:vAlign w:val="center"/>
            <w:hideMark/>
          </w:tcPr>
          <w:p w14:paraId="32E54A00"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Total del pasivo no corriente</w:t>
            </w:r>
          </w:p>
        </w:tc>
        <w:tc>
          <w:tcPr>
            <w:tcW w:w="860" w:type="dxa"/>
            <w:tcBorders>
              <w:top w:val="nil"/>
              <w:left w:val="nil"/>
              <w:bottom w:val="nil"/>
              <w:right w:val="nil"/>
            </w:tcBorders>
            <w:shd w:val="clear" w:color="auto" w:fill="auto"/>
            <w:vAlign w:val="bottom"/>
            <w:hideMark/>
          </w:tcPr>
          <w:p w14:paraId="2154B373"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1.184.700  </w:t>
            </w:r>
          </w:p>
        </w:tc>
        <w:tc>
          <w:tcPr>
            <w:tcW w:w="841" w:type="dxa"/>
            <w:tcBorders>
              <w:top w:val="nil"/>
              <w:left w:val="nil"/>
              <w:bottom w:val="nil"/>
              <w:right w:val="nil"/>
            </w:tcBorders>
            <w:shd w:val="clear" w:color="auto" w:fill="auto"/>
            <w:vAlign w:val="bottom"/>
            <w:hideMark/>
          </w:tcPr>
          <w:p w14:paraId="49750743"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60" w:type="dxa"/>
            <w:tcBorders>
              <w:top w:val="nil"/>
              <w:left w:val="nil"/>
              <w:bottom w:val="nil"/>
              <w:right w:val="nil"/>
            </w:tcBorders>
            <w:shd w:val="clear" w:color="auto" w:fill="auto"/>
            <w:vAlign w:val="bottom"/>
            <w:hideMark/>
          </w:tcPr>
          <w:p w14:paraId="29A46FEE" w14:textId="77777777" w:rsidR="0010523F" w:rsidRPr="0010523F" w:rsidRDefault="0010523F" w:rsidP="0010523F">
            <w:pPr>
              <w:jc w:val="right"/>
              <w:rPr>
                <w:color w:val="000000"/>
                <w:sz w:val="18"/>
                <w:szCs w:val="18"/>
                <w:u w:val="single"/>
                <w:lang w:val="es-AR" w:eastAsia="es-AR"/>
              </w:rPr>
            </w:pPr>
          </w:p>
        </w:tc>
        <w:tc>
          <w:tcPr>
            <w:tcW w:w="832" w:type="dxa"/>
            <w:tcBorders>
              <w:top w:val="nil"/>
              <w:left w:val="nil"/>
              <w:bottom w:val="nil"/>
              <w:right w:val="nil"/>
            </w:tcBorders>
            <w:shd w:val="clear" w:color="auto" w:fill="auto"/>
            <w:vAlign w:val="bottom"/>
            <w:hideMark/>
          </w:tcPr>
          <w:p w14:paraId="2466C817"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1616F0E7"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09247988"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67.907</w:t>
            </w:r>
          </w:p>
        </w:tc>
        <w:tc>
          <w:tcPr>
            <w:tcW w:w="160" w:type="dxa"/>
            <w:tcBorders>
              <w:top w:val="nil"/>
              <w:left w:val="nil"/>
              <w:bottom w:val="nil"/>
              <w:right w:val="nil"/>
            </w:tcBorders>
            <w:shd w:val="clear" w:color="auto" w:fill="auto"/>
            <w:vAlign w:val="bottom"/>
            <w:hideMark/>
          </w:tcPr>
          <w:p w14:paraId="5756FEF1" w14:textId="77777777" w:rsidR="0010523F" w:rsidRPr="0010523F" w:rsidRDefault="0010523F" w:rsidP="0010523F">
            <w:pPr>
              <w:jc w:val="right"/>
              <w:rPr>
                <w:color w:val="000000"/>
                <w:sz w:val="18"/>
                <w:szCs w:val="18"/>
                <w:u w:val="single"/>
                <w:lang w:val="es-AR" w:eastAsia="es-AR"/>
              </w:rPr>
            </w:pPr>
          </w:p>
        </w:tc>
        <w:tc>
          <w:tcPr>
            <w:tcW w:w="974" w:type="dxa"/>
            <w:tcBorders>
              <w:top w:val="nil"/>
              <w:left w:val="nil"/>
              <w:bottom w:val="nil"/>
              <w:right w:val="nil"/>
            </w:tcBorders>
            <w:shd w:val="clear" w:color="auto" w:fill="auto"/>
            <w:vAlign w:val="bottom"/>
            <w:hideMark/>
          </w:tcPr>
          <w:p w14:paraId="3F7F47A8"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1.474.983  </w:t>
            </w:r>
          </w:p>
        </w:tc>
        <w:tc>
          <w:tcPr>
            <w:tcW w:w="851" w:type="dxa"/>
            <w:tcBorders>
              <w:top w:val="nil"/>
              <w:left w:val="nil"/>
              <w:bottom w:val="nil"/>
              <w:right w:val="nil"/>
            </w:tcBorders>
            <w:shd w:val="clear" w:color="auto" w:fill="auto"/>
            <w:vAlign w:val="bottom"/>
            <w:hideMark/>
          </w:tcPr>
          <w:p w14:paraId="10ECC549"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 xml:space="preserve">        -</w:t>
            </w:r>
          </w:p>
        </w:tc>
        <w:tc>
          <w:tcPr>
            <w:tcW w:w="199" w:type="dxa"/>
            <w:tcBorders>
              <w:top w:val="nil"/>
              <w:left w:val="nil"/>
              <w:bottom w:val="nil"/>
              <w:right w:val="nil"/>
            </w:tcBorders>
            <w:shd w:val="clear" w:color="auto" w:fill="auto"/>
            <w:vAlign w:val="bottom"/>
            <w:hideMark/>
          </w:tcPr>
          <w:p w14:paraId="66593F69" w14:textId="77777777" w:rsidR="0010523F" w:rsidRPr="0010523F" w:rsidRDefault="0010523F" w:rsidP="0010523F">
            <w:pPr>
              <w:jc w:val="right"/>
              <w:rPr>
                <w:color w:val="000000"/>
                <w:sz w:val="18"/>
                <w:szCs w:val="18"/>
                <w:u w:val="single"/>
                <w:lang w:val="es-AR" w:eastAsia="es-AR"/>
              </w:rPr>
            </w:pPr>
          </w:p>
        </w:tc>
        <w:tc>
          <w:tcPr>
            <w:tcW w:w="1076" w:type="dxa"/>
            <w:tcBorders>
              <w:top w:val="nil"/>
              <w:left w:val="nil"/>
              <w:bottom w:val="nil"/>
              <w:right w:val="nil"/>
            </w:tcBorders>
            <w:shd w:val="clear" w:color="auto" w:fill="auto"/>
            <w:vAlign w:val="bottom"/>
            <w:hideMark/>
          </w:tcPr>
          <w:p w14:paraId="08E27A56" w14:textId="77777777" w:rsidR="0010523F" w:rsidRPr="0010523F" w:rsidRDefault="0010523F" w:rsidP="0010523F">
            <w:pPr>
              <w:jc w:val="right"/>
              <w:rPr>
                <w:color w:val="000000"/>
                <w:sz w:val="18"/>
                <w:szCs w:val="18"/>
                <w:u w:val="single"/>
                <w:lang w:val="es-AR" w:eastAsia="es-AR"/>
              </w:rPr>
            </w:pPr>
            <w:r w:rsidRPr="0010523F">
              <w:rPr>
                <w:color w:val="000000"/>
                <w:sz w:val="18"/>
                <w:szCs w:val="18"/>
                <w:u w:val="single"/>
                <w:lang w:val="es-AR" w:eastAsia="es-AR"/>
              </w:rPr>
              <w:t>55.607</w:t>
            </w:r>
          </w:p>
        </w:tc>
      </w:tr>
      <w:tr w:rsidR="0010523F" w:rsidRPr="0010523F" w14:paraId="6647BFA4" w14:textId="77777777" w:rsidTr="00774E7E">
        <w:trPr>
          <w:trHeight w:val="170"/>
        </w:trPr>
        <w:tc>
          <w:tcPr>
            <w:tcW w:w="3489" w:type="dxa"/>
            <w:tcBorders>
              <w:top w:val="nil"/>
              <w:left w:val="nil"/>
              <w:bottom w:val="nil"/>
              <w:right w:val="nil"/>
            </w:tcBorders>
            <w:shd w:val="clear" w:color="auto" w:fill="auto"/>
            <w:vAlign w:val="center"/>
            <w:hideMark/>
          </w:tcPr>
          <w:p w14:paraId="73EF08C3" w14:textId="77777777" w:rsidR="0010523F" w:rsidRPr="0010523F" w:rsidRDefault="0010523F" w:rsidP="0010523F">
            <w:pPr>
              <w:jc w:val="both"/>
              <w:rPr>
                <w:color w:val="000000"/>
                <w:sz w:val="18"/>
                <w:szCs w:val="18"/>
                <w:lang w:val="es-AR" w:eastAsia="es-AR"/>
              </w:rPr>
            </w:pPr>
          </w:p>
        </w:tc>
        <w:tc>
          <w:tcPr>
            <w:tcW w:w="860" w:type="dxa"/>
            <w:tcBorders>
              <w:top w:val="nil"/>
              <w:left w:val="nil"/>
              <w:bottom w:val="nil"/>
              <w:right w:val="nil"/>
            </w:tcBorders>
            <w:shd w:val="clear" w:color="auto" w:fill="auto"/>
            <w:vAlign w:val="bottom"/>
            <w:hideMark/>
          </w:tcPr>
          <w:p w14:paraId="34301C3F" w14:textId="77777777" w:rsidR="0010523F" w:rsidRPr="0010523F" w:rsidRDefault="0010523F" w:rsidP="0010523F">
            <w:pPr>
              <w:jc w:val="right"/>
              <w:rPr>
                <w:color w:val="000000"/>
                <w:sz w:val="18"/>
                <w:szCs w:val="18"/>
                <w:lang w:val="es-AR" w:eastAsia="es-AR"/>
              </w:rPr>
            </w:pPr>
          </w:p>
        </w:tc>
        <w:tc>
          <w:tcPr>
            <w:tcW w:w="841" w:type="dxa"/>
            <w:tcBorders>
              <w:top w:val="nil"/>
              <w:left w:val="nil"/>
              <w:bottom w:val="nil"/>
              <w:right w:val="nil"/>
            </w:tcBorders>
            <w:shd w:val="clear" w:color="auto" w:fill="auto"/>
            <w:vAlign w:val="bottom"/>
            <w:hideMark/>
          </w:tcPr>
          <w:p w14:paraId="34B87D05"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4A10461" w14:textId="77777777" w:rsidR="0010523F" w:rsidRPr="0010523F" w:rsidRDefault="0010523F" w:rsidP="0010523F">
            <w:pPr>
              <w:jc w:val="right"/>
              <w:rPr>
                <w:color w:val="000000"/>
                <w:sz w:val="18"/>
                <w:szCs w:val="18"/>
                <w:lang w:val="es-AR" w:eastAsia="es-AR"/>
              </w:rPr>
            </w:pPr>
          </w:p>
        </w:tc>
        <w:tc>
          <w:tcPr>
            <w:tcW w:w="832" w:type="dxa"/>
            <w:tcBorders>
              <w:top w:val="nil"/>
              <w:left w:val="nil"/>
              <w:bottom w:val="nil"/>
              <w:right w:val="nil"/>
            </w:tcBorders>
            <w:shd w:val="clear" w:color="auto" w:fill="auto"/>
            <w:vAlign w:val="bottom"/>
            <w:hideMark/>
          </w:tcPr>
          <w:p w14:paraId="5031D5BA"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22E12E44"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33B8BD8C"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514C6B57" w14:textId="77777777" w:rsidR="0010523F" w:rsidRPr="0010523F" w:rsidRDefault="0010523F" w:rsidP="0010523F">
            <w:pPr>
              <w:jc w:val="right"/>
              <w:rPr>
                <w:color w:val="000000"/>
                <w:sz w:val="18"/>
                <w:szCs w:val="18"/>
                <w:lang w:val="es-AR" w:eastAsia="es-AR"/>
              </w:rPr>
            </w:pPr>
          </w:p>
        </w:tc>
        <w:tc>
          <w:tcPr>
            <w:tcW w:w="974" w:type="dxa"/>
            <w:tcBorders>
              <w:top w:val="nil"/>
              <w:left w:val="nil"/>
              <w:bottom w:val="nil"/>
              <w:right w:val="nil"/>
            </w:tcBorders>
            <w:shd w:val="clear" w:color="auto" w:fill="auto"/>
            <w:vAlign w:val="bottom"/>
            <w:hideMark/>
          </w:tcPr>
          <w:p w14:paraId="7BBECD61" w14:textId="77777777" w:rsidR="0010523F" w:rsidRPr="0010523F" w:rsidRDefault="0010523F" w:rsidP="0010523F">
            <w:pPr>
              <w:jc w:val="right"/>
              <w:rPr>
                <w:color w:val="000000"/>
                <w:sz w:val="18"/>
                <w:szCs w:val="18"/>
                <w:lang w:val="es-AR" w:eastAsia="es-AR"/>
              </w:rPr>
            </w:pPr>
          </w:p>
        </w:tc>
        <w:tc>
          <w:tcPr>
            <w:tcW w:w="851" w:type="dxa"/>
            <w:tcBorders>
              <w:top w:val="nil"/>
              <w:left w:val="nil"/>
              <w:bottom w:val="nil"/>
              <w:right w:val="nil"/>
            </w:tcBorders>
            <w:shd w:val="clear" w:color="auto" w:fill="auto"/>
            <w:vAlign w:val="bottom"/>
            <w:hideMark/>
          </w:tcPr>
          <w:p w14:paraId="61DA0E34" w14:textId="77777777" w:rsidR="0010523F" w:rsidRPr="0010523F" w:rsidRDefault="0010523F" w:rsidP="0010523F">
            <w:pPr>
              <w:jc w:val="right"/>
              <w:rPr>
                <w:color w:val="000000"/>
                <w:sz w:val="18"/>
                <w:szCs w:val="18"/>
                <w:lang w:val="es-AR" w:eastAsia="es-AR"/>
              </w:rPr>
            </w:pPr>
          </w:p>
        </w:tc>
        <w:tc>
          <w:tcPr>
            <w:tcW w:w="199" w:type="dxa"/>
            <w:tcBorders>
              <w:top w:val="nil"/>
              <w:left w:val="nil"/>
              <w:bottom w:val="nil"/>
              <w:right w:val="nil"/>
            </w:tcBorders>
            <w:shd w:val="clear" w:color="auto" w:fill="auto"/>
            <w:vAlign w:val="bottom"/>
            <w:hideMark/>
          </w:tcPr>
          <w:p w14:paraId="055FC66C" w14:textId="77777777" w:rsidR="0010523F" w:rsidRPr="0010523F" w:rsidRDefault="0010523F" w:rsidP="0010523F">
            <w:pPr>
              <w:jc w:val="right"/>
              <w:rPr>
                <w:color w:val="000000"/>
                <w:sz w:val="18"/>
                <w:szCs w:val="18"/>
                <w:lang w:val="es-AR" w:eastAsia="es-AR"/>
              </w:rPr>
            </w:pPr>
          </w:p>
        </w:tc>
        <w:tc>
          <w:tcPr>
            <w:tcW w:w="1076" w:type="dxa"/>
            <w:tcBorders>
              <w:top w:val="nil"/>
              <w:left w:val="nil"/>
              <w:bottom w:val="nil"/>
              <w:right w:val="nil"/>
            </w:tcBorders>
            <w:shd w:val="clear" w:color="auto" w:fill="auto"/>
            <w:vAlign w:val="bottom"/>
            <w:hideMark/>
          </w:tcPr>
          <w:p w14:paraId="464BD56E" w14:textId="77777777" w:rsidR="0010523F" w:rsidRPr="0010523F" w:rsidRDefault="0010523F" w:rsidP="0010523F">
            <w:pPr>
              <w:jc w:val="right"/>
              <w:rPr>
                <w:color w:val="000000"/>
                <w:sz w:val="18"/>
                <w:szCs w:val="18"/>
                <w:lang w:val="es-AR" w:eastAsia="es-AR"/>
              </w:rPr>
            </w:pPr>
          </w:p>
        </w:tc>
      </w:tr>
      <w:tr w:rsidR="0010523F" w:rsidRPr="0010523F" w14:paraId="20ECD904" w14:textId="77777777" w:rsidTr="00774E7E">
        <w:trPr>
          <w:trHeight w:val="170"/>
        </w:trPr>
        <w:tc>
          <w:tcPr>
            <w:tcW w:w="3489" w:type="dxa"/>
            <w:tcBorders>
              <w:top w:val="nil"/>
              <w:left w:val="nil"/>
              <w:bottom w:val="nil"/>
              <w:right w:val="nil"/>
            </w:tcBorders>
            <w:shd w:val="clear" w:color="auto" w:fill="auto"/>
            <w:vAlign w:val="center"/>
            <w:hideMark/>
          </w:tcPr>
          <w:p w14:paraId="698FD8E2" w14:textId="77777777" w:rsidR="0010523F" w:rsidRPr="0010523F" w:rsidRDefault="0010523F" w:rsidP="0010523F">
            <w:pPr>
              <w:jc w:val="both"/>
              <w:rPr>
                <w:color w:val="000000"/>
                <w:sz w:val="18"/>
                <w:szCs w:val="18"/>
                <w:lang w:val="es-AR" w:eastAsia="es-AR"/>
              </w:rPr>
            </w:pPr>
            <w:r w:rsidRPr="0010523F">
              <w:rPr>
                <w:color w:val="000000"/>
                <w:sz w:val="18"/>
                <w:szCs w:val="18"/>
                <w:lang w:val="es-AR" w:eastAsia="es-AR"/>
              </w:rPr>
              <w:t>Total del pasivo</w:t>
            </w:r>
          </w:p>
        </w:tc>
        <w:tc>
          <w:tcPr>
            <w:tcW w:w="860" w:type="dxa"/>
            <w:tcBorders>
              <w:top w:val="nil"/>
              <w:left w:val="nil"/>
              <w:bottom w:val="nil"/>
              <w:right w:val="nil"/>
            </w:tcBorders>
            <w:shd w:val="clear" w:color="auto" w:fill="auto"/>
            <w:vAlign w:val="bottom"/>
            <w:hideMark/>
          </w:tcPr>
          <w:p w14:paraId="4E803BEE"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2.254.555</w:t>
            </w:r>
          </w:p>
        </w:tc>
        <w:tc>
          <w:tcPr>
            <w:tcW w:w="841" w:type="dxa"/>
            <w:tcBorders>
              <w:top w:val="nil"/>
              <w:left w:val="nil"/>
              <w:bottom w:val="nil"/>
              <w:right w:val="nil"/>
            </w:tcBorders>
            <w:shd w:val="clear" w:color="auto" w:fill="auto"/>
            <w:vAlign w:val="bottom"/>
            <w:hideMark/>
          </w:tcPr>
          <w:p w14:paraId="2887ED88"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1.853</w:t>
            </w:r>
          </w:p>
        </w:tc>
        <w:tc>
          <w:tcPr>
            <w:tcW w:w="160" w:type="dxa"/>
            <w:tcBorders>
              <w:top w:val="nil"/>
              <w:left w:val="nil"/>
              <w:bottom w:val="nil"/>
              <w:right w:val="nil"/>
            </w:tcBorders>
            <w:shd w:val="clear" w:color="auto" w:fill="auto"/>
            <w:vAlign w:val="bottom"/>
            <w:hideMark/>
          </w:tcPr>
          <w:p w14:paraId="01B04C9B" w14:textId="77777777" w:rsidR="0010523F" w:rsidRPr="0010523F" w:rsidRDefault="0010523F" w:rsidP="0010523F">
            <w:pPr>
              <w:jc w:val="right"/>
              <w:rPr>
                <w:color w:val="000000"/>
                <w:sz w:val="18"/>
                <w:szCs w:val="18"/>
                <w:u w:val="double"/>
                <w:lang w:val="es-AR" w:eastAsia="es-AR"/>
              </w:rPr>
            </w:pPr>
          </w:p>
        </w:tc>
        <w:tc>
          <w:tcPr>
            <w:tcW w:w="832" w:type="dxa"/>
            <w:tcBorders>
              <w:top w:val="nil"/>
              <w:left w:val="nil"/>
              <w:bottom w:val="nil"/>
              <w:right w:val="nil"/>
            </w:tcBorders>
            <w:shd w:val="clear" w:color="auto" w:fill="auto"/>
            <w:vAlign w:val="bottom"/>
            <w:hideMark/>
          </w:tcPr>
          <w:p w14:paraId="637793BF" w14:textId="77777777" w:rsidR="0010523F" w:rsidRPr="0010523F" w:rsidRDefault="0010523F" w:rsidP="0010523F">
            <w:pPr>
              <w:jc w:val="right"/>
              <w:rPr>
                <w:color w:val="000000"/>
                <w:sz w:val="18"/>
                <w:szCs w:val="18"/>
                <w:lang w:val="es-AR" w:eastAsia="es-AR"/>
              </w:rPr>
            </w:pPr>
          </w:p>
        </w:tc>
        <w:tc>
          <w:tcPr>
            <w:tcW w:w="160" w:type="dxa"/>
            <w:tcBorders>
              <w:top w:val="nil"/>
              <w:left w:val="nil"/>
              <w:bottom w:val="nil"/>
              <w:right w:val="nil"/>
            </w:tcBorders>
            <w:shd w:val="clear" w:color="auto" w:fill="auto"/>
            <w:vAlign w:val="bottom"/>
            <w:hideMark/>
          </w:tcPr>
          <w:p w14:paraId="7D6C047D" w14:textId="77777777" w:rsidR="0010523F" w:rsidRPr="0010523F" w:rsidRDefault="0010523F" w:rsidP="0010523F">
            <w:pPr>
              <w:jc w:val="right"/>
              <w:rPr>
                <w:color w:val="000000"/>
                <w:sz w:val="18"/>
                <w:szCs w:val="18"/>
                <w:lang w:val="es-AR" w:eastAsia="es-AR"/>
              </w:rPr>
            </w:pPr>
          </w:p>
        </w:tc>
        <w:tc>
          <w:tcPr>
            <w:tcW w:w="1116" w:type="dxa"/>
            <w:tcBorders>
              <w:top w:val="nil"/>
              <w:left w:val="nil"/>
              <w:bottom w:val="nil"/>
              <w:right w:val="nil"/>
            </w:tcBorders>
            <w:shd w:val="clear" w:color="auto" w:fill="auto"/>
            <w:vAlign w:val="bottom"/>
            <w:hideMark/>
          </w:tcPr>
          <w:p w14:paraId="33F53B27"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129.348</w:t>
            </w:r>
          </w:p>
        </w:tc>
        <w:tc>
          <w:tcPr>
            <w:tcW w:w="160" w:type="dxa"/>
            <w:tcBorders>
              <w:top w:val="nil"/>
              <w:left w:val="nil"/>
              <w:bottom w:val="nil"/>
              <w:right w:val="nil"/>
            </w:tcBorders>
            <w:shd w:val="clear" w:color="auto" w:fill="auto"/>
            <w:vAlign w:val="bottom"/>
            <w:hideMark/>
          </w:tcPr>
          <w:p w14:paraId="61EB17DD" w14:textId="77777777" w:rsidR="0010523F" w:rsidRPr="0010523F" w:rsidRDefault="0010523F" w:rsidP="0010523F">
            <w:pPr>
              <w:jc w:val="right"/>
              <w:rPr>
                <w:color w:val="000000"/>
                <w:sz w:val="18"/>
                <w:szCs w:val="18"/>
                <w:u w:val="double"/>
                <w:lang w:val="es-AR" w:eastAsia="es-AR"/>
              </w:rPr>
            </w:pPr>
          </w:p>
        </w:tc>
        <w:tc>
          <w:tcPr>
            <w:tcW w:w="974" w:type="dxa"/>
            <w:tcBorders>
              <w:top w:val="nil"/>
              <w:left w:val="nil"/>
              <w:bottom w:val="nil"/>
              <w:right w:val="nil"/>
            </w:tcBorders>
            <w:shd w:val="clear" w:color="auto" w:fill="auto"/>
            <w:vAlign w:val="bottom"/>
            <w:hideMark/>
          </w:tcPr>
          <w:p w14:paraId="12FF6B2E"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2.609.407</w:t>
            </w:r>
          </w:p>
        </w:tc>
        <w:tc>
          <w:tcPr>
            <w:tcW w:w="851" w:type="dxa"/>
            <w:tcBorders>
              <w:top w:val="nil"/>
              <w:left w:val="nil"/>
              <w:bottom w:val="nil"/>
              <w:right w:val="nil"/>
            </w:tcBorders>
            <w:shd w:val="clear" w:color="auto" w:fill="auto"/>
            <w:vAlign w:val="bottom"/>
            <w:hideMark/>
          </w:tcPr>
          <w:p w14:paraId="6BBF7AC8"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1.213</w:t>
            </w:r>
          </w:p>
        </w:tc>
        <w:tc>
          <w:tcPr>
            <w:tcW w:w="199" w:type="dxa"/>
            <w:tcBorders>
              <w:top w:val="nil"/>
              <w:left w:val="nil"/>
              <w:bottom w:val="nil"/>
              <w:right w:val="nil"/>
            </w:tcBorders>
            <w:shd w:val="clear" w:color="auto" w:fill="auto"/>
            <w:vAlign w:val="bottom"/>
            <w:hideMark/>
          </w:tcPr>
          <w:p w14:paraId="2BD637E7" w14:textId="77777777" w:rsidR="0010523F" w:rsidRPr="0010523F" w:rsidRDefault="0010523F" w:rsidP="0010523F">
            <w:pPr>
              <w:jc w:val="right"/>
              <w:rPr>
                <w:color w:val="000000"/>
                <w:sz w:val="18"/>
                <w:szCs w:val="18"/>
                <w:u w:val="double"/>
                <w:lang w:val="es-AR" w:eastAsia="es-AR"/>
              </w:rPr>
            </w:pPr>
          </w:p>
        </w:tc>
        <w:tc>
          <w:tcPr>
            <w:tcW w:w="1076" w:type="dxa"/>
            <w:tcBorders>
              <w:top w:val="nil"/>
              <w:left w:val="nil"/>
              <w:bottom w:val="nil"/>
              <w:right w:val="nil"/>
            </w:tcBorders>
            <w:shd w:val="clear" w:color="auto" w:fill="auto"/>
            <w:vAlign w:val="bottom"/>
            <w:hideMark/>
          </w:tcPr>
          <w:p w14:paraId="542B6C76" w14:textId="77777777" w:rsidR="0010523F" w:rsidRPr="0010523F" w:rsidRDefault="0010523F" w:rsidP="0010523F">
            <w:pPr>
              <w:jc w:val="right"/>
              <w:rPr>
                <w:color w:val="000000"/>
                <w:sz w:val="18"/>
                <w:szCs w:val="18"/>
                <w:u w:val="double"/>
                <w:lang w:val="es-AR" w:eastAsia="es-AR"/>
              </w:rPr>
            </w:pPr>
            <w:r w:rsidRPr="0010523F">
              <w:rPr>
                <w:color w:val="000000"/>
                <w:sz w:val="18"/>
                <w:szCs w:val="18"/>
                <w:u w:val="double"/>
                <w:lang w:val="es-AR" w:eastAsia="es-AR"/>
              </w:rPr>
              <w:t>98.426</w:t>
            </w:r>
          </w:p>
        </w:tc>
      </w:tr>
    </w:tbl>
    <w:p w14:paraId="394E2261" w14:textId="77777777" w:rsidR="0010523F" w:rsidRPr="0010523F" w:rsidRDefault="0010523F" w:rsidP="0010523F">
      <w:pPr>
        <w:widowControl w:val="0"/>
        <w:tabs>
          <w:tab w:val="center" w:pos="1980"/>
        </w:tabs>
        <w:spacing w:before="120" w:line="200" w:lineRule="exact"/>
        <w:ind w:right="11"/>
        <w:jc w:val="both"/>
        <w:rPr>
          <w:sz w:val="16"/>
          <w:szCs w:val="14"/>
          <w:lang w:val="es-AR" w:eastAsia="en-US"/>
        </w:rPr>
      </w:pPr>
      <w:r w:rsidRPr="0010523F">
        <w:rPr>
          <w:sz w:val="16"/>
          <w:szCs w:val="14"/>
          <w:lang w:val="es-AR" w:eastAsia="en-US"/>
        </w:rPr>
        <w:t>US$ = Dólar estadounidense</w:t>
      </w:r>
    </w:p>
    <w:p w14:paraId="0589B85C" w14:textId="77777777" w:rsidR="0010523F" w:rsidRPr="0010523F" w:rsidRDefault="0010523F" w:rsidP="0010523F">
      <w:pPr>
        <w:widowControl w:val="0"/>
        <w:tabs>
          <w:tab w:val="center" w:pos="1980"/>
          <w:tab w:val="center" w:pos="5584"/>
          <w:tab w:val="center" w:pos="8533"/>
        </w:tabs>
        <w:ind w:right="11"/>
        <w:jc w:val="both"/>
        <w:rPr>
          <w:sz w:val="16"/>
          <w:szCs w:val="16"/>
          <w:lang w:val="pt-BR" w:eastAsia="en-US"/>
        </w:rPr>
      </w:pPr>
    </w:p>
    <w:p w14:paraId="0F726217" w14:textId="77777777" w:rsidR="0010523F" w:rsidRPr="0010523F" w:rsidRDefault="0010523F" w:rsidP="0010523F">
      <w:pPr>
        <w:widowControl w:val="0"/>
        <w:tabs>
          <w:tab w:val="center" w:pos="1980"/>
          <w:tab w:val="center" w:pos="5584"/>
          <w:tab w:val="center" w:pos="8533"/>
        </w:tabs>
        <w:ind w:right="11"/>
        <w:jc w:val="both"/>
        <w:rPr>
          <w:sz w:val="19"/>
          <w:szCs w:val="19"/>
          <w:lang w:val="es-AR" w:eastAsia="en-US"/>
        </w:rPr>
        <w:sectPr w:rsidR="0010523F" w:rsidRPr="0010523F" w:rsidSect="006C0CFD">
          <w:headerReference w:type="even" r:id="rId68"/>
          <w:headerReference w:type="default" r:id="rId69"/>
          <w:headerReference w:type="first" r:id="rId70"/>
          <w:pgSz w:w="11907" w:h="16840" w:code="9"/>
          <w:pgMar w:top="438" w:right="454" w:bottom="1134" w:left="454" w:header="426" w:footer="521" w:gutter="0"/>
          <w:cols w:space="720"/>
          <w:docGrid w:linePitch="326"/>
        </w:sectPr>
      </w:pPr>
    </w:p>
    <w:p w14:paraId="3229B677" w14:textId="77777777" w:rsidR="0010523F" w:rsidRPr="0010523F" w:rsidRDefault="0010523F" w:rsidP="0010523F">
      <w:pPr>
        <w:keepNext/>
        <w:tabs>
          <w:tab w:val="right" w:pos="5596"/>
        </w:tabs>
        <w:spacing w:line="220" w:lineRule="exact"/>
        <w:jc w:val="right"/>
        <w:outlineLvl w:val="0"/>
        <w:rPr>
          <w:szCs w:val="20"/>
          <w:lang w:val="es-AR" w:eastAsia="en-US"/>
        </w:rPr>
      </w:pPr>
      <w:r w:rsidRPr="0010523F">
        <w:rPr>
          <w:szCs w:val="20"/>
          <w:lang w:val="es-AR" w:eastAsia="en-US"/>
        </w:rPr>
        <w:t>ANEXO I</w:t>
      </w:r>
    </w:p>
    <w:p w14:paraId="0549D038" w14:textId="77777777" w:rsidR="0010523F" w:rsidRPr="0010523F" w:rsidRDefault="0010523F" w:rsidP="0010523F">
      <w:pPr>
        <w:tabs>
          <w:tab w:val="right" w:pos="7981"/>
        </w:tabs>
        <w:spacing w:line="220" w:lineRule="exact"/>
        <w:jc w:val="both"/>
        <w:rPr>
          <w:b/>
          <w:lang w:val="es-AR" w:eastAsia="en-US"/>
        </w:rPr>
      </w:pPr>
      <w:r w:rsidRPr="0010523F">
        <w:rPr>
          <w:b/>
          <w:lang w:val="es-AR" w:eastAsia="en-US"/>
        </w:rPr>
        <w:t>PAN AMERICAN ENERGY, S.L., SUCURSAL ARGENTINA</w:t>
      </w:r>
    </w:p>
    <w:p w14:paraId="7BC5B7C7" w14:textId="77777777" w:rsidR="0010523F" w:rsidRPr="0010523F" w:rsidRDefault="0010523F" w:rsidP="0010523F">
      <w:pPr>
        <w:tabs>
          <w:tab w:val="right" w:pos="7981"/>
        </w:tabs>
        <w:spacing w:line="100" w:lineRule="exact"/>
        <w:jc w:val="both"/>
        <w:rPr>
          <w:lang w:val="es-AR" w:eastAsia="en-US"/>
        </w:rPr>
      </w:pPr>
    </w:p>
    <w:p w14:paraId="6B28396A" w14:textId="77777777" w:rsidR="0010523F" w:rsidRPr="0010523F" w:rsidRDefault="0010523F" w:rsidP="0010523F">
      <w:pPr>
        <w:jc w:val="both"/>
        <w:rPr>
          <w:sz w:val="22"/>
          <w:szCs w:val="22"/>
          <w:lang w:val="es-AR" w:eastAsia="en-US"/>
        </w:rPr>
      </w:pPr>
      <w:r w:rsidRPr="0010523F">
        <w:rPr>
          <w:b/>
          <w:sz w:val="22"/>
          <w:szCs w:val="22"/>
          <w:lang w:val="es-AR" w:eastAsia="en-US"/>
        </w:rPr>
        <w:t xml:space="preserve">PLAZOS DE INVERSIONES, CRÉDITOS, DEUDAS, PRÉSTAMOS Y OBLIGACIONES NEGOCIABLES A COBRAR O PAGAR EN MONEDA (en millones de pesos) </w:t>
      </w:r>
      <w:r w:rsidRPr="0010523F">
        <w:rPr>
          <w:sz w:val="22"/>
          <w:szCs w:val="22"/>
          <w:lang w:val="es-AR" w:eastAsia="en-US"/>
        </w:rPr>
        <w:t>al 30 de septiembre de 2019 y al 31 de diciembre de 2018</w:t>
      </w:r>
    </w:p>
    <w:p w14:paraId="012F758C" w14:textId="77777777" w:rsidR="0010523F" w:rsidRPr="0010523F" w:rsidRDefault="0010523F" w:rsidP="0010523F">
      <w:pPr>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jc w:val="both"/>
        <w:rPr>
          <w:sz w:val="19"/>
          <w:szCs w:val="19"/>
          <w:lang w:val="es-AR" w:eastAsia="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8"/>
        <w:gridCol w:w="1451"/>
        <w:gridCol w:w="1281"/>
        <w:gridCol w:w="286"/>
        <w:gridCol w:w="1269"/>
        <w:gridCol w:w="285"/>
        <w:gridCol w:w="1215"/>
        <w:gridCol w:w="236"/>
        <w:gridCol w:w="1225"/>
        <w:gridCol w:w="1259"/>
        <w:gridCol w:w="236"/>
        <w:gridCol w:w="1355"/>
        <w:gridCol w:w="1276"/>
      </w:tblGrid>
      <w:tr w:rsidR="0010523F" w:rsidRPr="0010523F" w14:paraId="5E4B527F" w14:textId="77777777" w:rsidTr="00774E7E">
        <w:tc>
          <w:tcPr>
            <w:tcW w:w="2768" w:type="dxa"/>
            <w:tcBorders>
              <w:top w:val="nil"/>
              <w:left w:val="nil"/>
              <w:bottom w:val="nil"/>
              <w:right w:val="nil"/>
            </w:tcBorders>
            <w:vAlign w:val="bottom"/>
          </w:tcPr>
          <w:p w14:paraId="14BD2DD7"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bookmarkStart w:id="174" w:name="_Hlk260988454"/>
          </w:p>
        </w:tc>
        <w:tc>
          <w:tcPr>
            <w:tcW w:w="2732" w:type="dxa"/>
            <w:gridSpan w:val="2"/>
            <w:tcBorders>
              <w:top w:val="nil"/>
              <w:left w:val="nil"/>
              <w:bottom w:val="single" w:sz="4" w:space="0" w:color="auto"/>
              <w:right w:val="nil"/>
            </w:tcBorders>
            <w:vAlign w:val="bottom"/>
          </w:tcPr>
          <w:p w14:paraId="38944A8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left="-94" w:right="-122"/>
              <w:jc w:val="center"/>
              <w:rPr>
                <w:sz w:val="21"/>
                <w:szCs w:val="21"/>
                <w:lang w:val="es-AR" w:eastAsia="en-US"/>
              </w:rPr>
            </w:pPr>
            <w:r w:rsidRPr="0010523F">
              <w:rPr>
                <w:sz w:val="21"/>
                <w:szCs w:val="21"/>
                <w:lang w:val="es-AR" w:eastAsia="en-US"/>
              </w:rPr>
              <w:t>Inversiones (1)</w:t>
            </w:r>
          </w:p>
        </w:tc>
        <w:tc>
          <w:tcPr>
            <w:tcW w:w="286" w:type="dxa"/>
            <w:tcBorders>
              <w:top w:val="nil"/>
              <w:left w:val="nil"/>
              <w:bottom w:val="nil"/>
              <w:right w:val="nil"/>
            </w:tcBorders>
          </w:tcPr>
          <w:p w14:paraId="2BFAFB16" w14:textId="77777777" w:rsidR="0010523F" w:rsidRPr="0010523F" w:rsidRDefault="0010523F" w:rsidP="0010523F">
            <w:pPr>
              <w:widowControl w:val="0"/>
              <w:tabs>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122"/>
              <w:jc w:val="center"/>
              <w:rPr>
                <w:sz w:val="21"/>
                <w:szCs w:val="21"/>
                <w:lang w:val="es-AR" w:eastAsia="en-US"/>
              </w:rPr>
            </w:pPr>
          </w:p>
        </w:tc>
        <w:tc>
          <w:tcPr>
            <w:tcW w:w="2769" w:type="dxa"/>
            <w:gridSpan w:val="3"/>
            <w:tcBorders>
              <w:top w:val="nil"/>
              <w:left w:val="nil"/>
              <w:bottom w:val="single" w:sz="4" w:space="0" w:color="auto"/>
              <w:right w:val="nil"/>
            </w:tcBorders>
            <w:vAlign w:val="bottom"/>
          </w:tcPr>
          <w:p w14:paraId="567F5069" w14:textId="77777777" w:rsidR="0010523F" w:rsidRPr="0010523F" w:rsidRDefault="0010523F" w:rsidP="0010523F">
            <w:pPr>
              <w:widowControl w:val="0"/>
              <w:tabs>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122"/>
              <w:jc w:val="center"/>
              <w:rPr>
                <w:sz w:val="21"/>
                <w:szCs w:val="21"/>
                <w:lang w:val="es-AR" w:eastAsia="en-US"/>
              </w:rPr>
            </w:pPr>
            <w:r w:rsidRPr="0010523F">
              <w:rPr>
                <w:sz w:val="21"/>
                <w:szCs w:val="21"/>
                <w:lang w:val="es-AR" w:eastAsia="en-US"/>
              </w:rPr>
              <w:t>Créditos</w:t>
            </w:r>
          </w:p>
        </w:tc>
        <w:tc>
          <w:tcPr>
            <w:tcW w:w="236" w:type="dxa"/>
            <w:tcBorders>
              <w:top w:val="nil"/>
              <w:left w:val="nil"/>
              <w:bottom w:val="nil"/>
              <w:right w:val="nil"/>
            </w:tcBorders>
          </w:tcPr>
          <w:p w14:paraId="6D3CA8AE"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left="-20"/>
              <w:jc w:val="center"/>
              <w:rPr>
                <w:sz w:val="21"/>
                <w:szCs w:val="21"/>
                <w:lang w:val="es-AR" w:eastAsia="en-US"/>
              </w:rPr>
            </w:pPr>
          </w:p>
        </w:tc>
        <w:tc>
          <w:tcPr>
            <w:tcW w:w="2484" w:type="dxa"/>
            <w:gridSpan w:val="2"/>
            <w:tcBorders>
              <w:top w:val="nil"/>
              <w:left w:val="nil"/>
              <w:bottom w:val="single" w:sz="4" w:space="0" w:color="auto"/>
              <w:right w:val="nil"/>
            </w:tcBorders>
            <w:vAlign w:val="bottom"/>
          </w:tcPr>
          <w:p w14:paraId="4B200190"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left="-20"/>
              <w:jc w:val="center"/>
              <w:rPr>
                <w:sz w:val="21"/>
                <w:szCs w:val="21"/>
                <w:lang w:val="es-AR" w:eastAsia="en-US"/>
              </w:rPr>
            </w:pPr>
            <w:r w:rsidRPr="0010523F">
              <w:rPr>
                <w:sz w:val="21"/>
                <w:szCs w:val="21"/>
                <w:lang w:val="es-AR" w:eastAsia="en-US"/>
              </w:rPr>
              <w:t>Deudas (3)</w:t>
            </w:r>
          </w:p>
        </w:tc>
        <w:tc>
          <w:tcPr>
            <w:tcW w:w="236" w:type="dxa"/>
            <w:tcBorders>
              <w:top w:val="nil"/>
              <w:left w:val="nil"/>
              <w:bottom w:val="nil"/>
              <w:right w:val="nil"/>
            </w:tcBorders>
          </w:tcPr>
          <w:p w14:paraId="25E8CFF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7"/>
              <w:jc w:val="center"/>
              <w:rPr>
                <w:sz w:val="21"/>
                <w:szCs w:val="21"/>
                <w:lang w:val="es-AR" w:eastAsia="en-US"/>
              </w:rPr>
            </w:pPr>
          </w:p>
        </w:tc>
        <w:tc>
          <w:tcPr>
            <w:tcW w:w="2631" w:type="dxa"/>
            <w:gridSpan w:val="2"/>
            <w:tcBorders>
              <w:top w:val="nil"/>
              <w:left w:val="nil"/>
              <w:bottom w:val="single" w:sz="4" w:space="0" w:color="auto"/>
              <w:right w:val="nil"/>
            </w:tcBorders>
            <w:vAlign w:val="bottom"/>
          </w:tcPr>
          <w:p w14:paraId="6F7E608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7"/>
              <w:jc w:val="center"/>
              <w:rPr>
                <w:sz w:val="21"/>
                <w:szCs w:val="21"/>
                <w:lang w:val="es-AR" w:eastAsia="en-US"/>
              </w:rPr>
            </w:pPr>
            <w:r w:rsidRPr="0010523F">
              <w:rPr>
                <w:sz w:val="21"/>
                <w:szCs w:val="21"/>
                <w:lang w:val="es-AR" w:eastAsia="en-US"/>
              </w:rPr>
              <w:t>Obligaciones negociables, préstamos y otras deudas financieras</w:t>
            </w:r>
          </w:p>
        </w:tc>
      </w:tr>
      <w:tr w:rsidR="0010523F" w:rsidRPr="0010523F" w14:paraId="5BF617A1" w14:textId="77777777" w:rsidTr="00774E7E">
        <w:tc>
          <w:tcPr>
            <w:tcW w:w="2768" w:type="dxa"/>
            <w:tcBorders>
              <w:top w:val="nil"/>
              <w:left w:val="nil"/>
              <w:bottom w:val="nil"/>
              <w:right w:val="nil"/>
            </w:tcBorders>
            <w:vAlign w:val="bottom"/>
          </w:tcPr>
          <w:p w14:paraId="0AA8B86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p>
        </w:tc>
        <w:tc>
          <w:tcPr>
            <w:tcW w:w="1451" w:type="dxa"/>
            <w:tcBorders>
              <w:top w:val="single" w:sz="4" w:space="0" w:color="auto"/>
              <w:left w:val="nil"/>
              <w:bottom w:val="nil"/>
              <w:right w:val="nil"/>
            </w:tcBorders>
            <w:vAlign w:val="bottom"/>
          </w:tcPr>
          <w:p w14:paraId="05B79207"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r w:rsidRPr="0010523F">
              <w:rPr>
                <w:sz w:val="21"/>
                <w:szCs w:val="21"/>
                <w:u w:val="single"/>
                <w:lang w:val="es-AR" w:eastAsia="en-US"/>
              </w:rPr>
              <w:t>30/09/2019</w:t>
            </w:r>
          </w:p>
        </w:tc>
        <w:tc>
          <w:tcPr>
            <w:tcW w:w="1281" w:type="dxa"/>
            <w:tcBorders>
              <w:top w:val="single" w:sz="4" w:space="0" w:color="auto"/>
              <w:left w:val="nil"/>
              <w:bottom w:val="nil"/>
              <w:right w:val="nil"/>
            </w:tcBorders>
            <w:vAlign w:val="bottom"/>
          </w:tcPr>
          <w:p w14:paraId="6E69D00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r w:rsidRPr="0010523F">
              <w:rPr>
                <w:sz w:val="21"/>
                <w:szCs w:val="21"/>
                <w:u w:val="single"/>
                <w:lang w:val="es-AR" w:eastAsia="en-US"/>
              </w:rPr>
              <w:t>31/12/2018</w:t>
            </w:r>
          </w:p>
        </w:tc>
        <w:tc>
          <w:tcPr>
            <w:tcW w:w="286" w:type="dxa"/>
            <w:tcBorders>
              <w:top w:val="nil"/>
              <w:left w:val="nil"/>
              <w:bottom w:val="nil"/>
              <w:right w:val="nil"/>
            </w:tcBorders>
          </w:tcPr>
          <w:p w14:paraId="6C5DE92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u w:val="single"/>
                <w:lang w:val="es-AR" w:eastAsia="en-US"/>
              </w:rPr>
            </w:pPr>
          </w:p>
        </w:tc>
        <w:tc>
          <w:tcPr>
            <w:tcW w:w="1269" w:type="dxa"/>
            <w:tcBorders>
              <w:top w:val="single" w:sz="4" w:space="0" w:color="auto"/>
              <w:left w:val="nil"/>
              <w:bottom w:val="nil"/>
              <w:right w:val="nil"/>
            </w:tcBorders>
            <w:vAlign w:val="bottom"/>
          </w:tcPr>
          <w:p w14:paraId="69C5F33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r w:rsidRPr="0010523F">
              <w:rPr>
                <w:sz w:val="21"/>
                <w:szCs w:val="21"/>
                <w:u w:val="single"/>
                <w:lang w:val="es-AR" w:eastAsia="en-US"/>
              </w:rPr>
              <w:t>30/09/2019</w:t>
            </w:r>
          </w:p>
        </w:tc>
        <w:tc>
          <w:tcPr>
            <w:tcW w:w="285" w:type="dxa"/>
            <w:tcBorders>
              <w:top w:val="single" w:sz="4" w:space="0" w:color="auto"/>
              <w:left w:val="nil"/>
              <w:bottom w:val="nil"/>
              <w:right w:val="nil"/>
            </w:tcBorders>
          </w:tcPr>
          <w:p w14:paraId="6A0FE5B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u w:val="single"/>
                <w:lang w:val="es-AR" w:eastAsia="en-US"/>
              </w:rPr>
            </w:pPr>
          </w:p>
        </w:tc>
        <w:tc>
          <w:tcPr>
            <w:tcW w:w="1215" w:type="dxa"/>
            <w:tcBorders>
              <w:top w:val="single" w:sz="4" w:space="0" w:color="auto"/>
              <w:left w:val="nil"/>
              <w:bottom w:val="nil"/>
              <w:right w:val="nil"/>
            </w:tcBorders>
            <w:vAlign w:val="bottom"/>
          </w:tcPr>
          <w:p w14:paraId="7EED40F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r w:rsidRPr="0010523F">
              <w:rPr>
                <w:sz w:val="21"/>
                <w:szCs w:val="21"/>
                <w:u w:val="single"/>
                <w:lang w:val="es-AR" w:eastAsia="en-US"/>
              </w:rPr>
              <w:t>31/12/2018</w:t>
            </w:r>
          </w:p>
        </w:tc>
        <w:tc>
          <w:tcPr>
            <w:tcW w:w="236" w:type="dxa"/>
            <w:tcBorders>
              <w:top w:val="nil"/>
              <w:left w:val="nil"/>
              <w:bottom w:val="nil"/>
              <w:right w:val="nil"/>
            </w:tcBorders>
          </w:tcPr>
          <w:p w14:paraId="6EE19A7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u w:val="single"/>
                <w:lang w:val="es-AR" w:eastAsia="en-US"/>
              </w:rPr>
            </w:pPr>
          </w:p>
        </w:tc>
        <w:tc>
          <w:tcPr>
            <w:tcW w:w="1225" w:type="dxa"/>
            <w:tcBorders>
              <w:top w:val="single" w:sz="4" w:space="0" w:color="auto"/>
              <w:left w:val="nil"/>
              <w:bottom w:val="nil"/>
              <w:right w:val="nil"/>
            </w:tcBorders>
            <w:vAlign w:val="bottom"/>
          </w:tcPr>
          <w:p w14:paraId="5FEEDE1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r w:rsidRPr="0010523F">
              <w:rPr>
                <w:sz w:val="21"/>
                <w:szCs w:val="21"/>
                <w:u w:val="single"/>
                <w:lang w:val="es-AR" w:eastAsia="en-US"/>
              </w:rPr>
              <w:t>30/09/2019</w:t>
            </w:r>
          </w:p>
        </w:tc>
        <w:tc>
          <w:tcPr>
            <w:tcW w:w="1259" w:type="dxa"/>
            <w:tcBorders>
              <w:top w:val="single" w:sz="4" w:space="0" w:color="auto"/>
              <w:left w:val="nil"/>
              <w:bottom w:val="nil"/>
              <w:right w:val="nil"/>
            </w:tcBorders>
            <w:vAlign w:val="bottom"/>
          </w:tcPr>
          <w:p w14:paraId="69CB91CA"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r w:rsidRPr="0010523F">
              <w:rPr>
                <w:sz w:val="21"/>
                <w:szCs w:val="21"/>
                <w:u w:val="single"/>
                <w:lang w:val="es-AR" w:eastAsia="en-US"/>
              </w:rPr>
              <w:t>31/12/2018</w:t>
            </w:r>
          </w:p>
        </w:tc>
        <w:tc>
          <w:tcPr>
            <w:tcW w:w="236" w:type="dxa"/>
            <w:tcBorders>
              <w:top w:val="nil"/>
              <w:left w:val="nil"/>
              <w:bottom w:val="nil"/>
              <w:right w:val="nil"/>
            </w:tcBorders>
          </w:tcPr>
          <w:p w14:paraId="41A4E65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u w:val="single"/>
                <w:lang w:val="es-AR" w:eastAsia="en-US"/>
              </w:rPr>
            </w:pPr>
          </w:p>
        </w:tc>
        <w:tc>
          <w:tcPr>
            <w:tcW w:w="1355" w:type="dxa"/>
            <w:tcBorders>
              <w:top w:val="single" w:sz="4" w:space="0" w:color="auto"/>
              <w:left w:val="nil"/>
              <w:bottom w:val="nil"/>
              <w:right w:val="nil"/>
            </w:tcBorders>
            <w:vAlign w:val="bottom"/>
          </w:tcPr>
          <w:p w14:paraId="6E26AB3E"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r w:rsidRPr="0010523F">
              <w:rPr>
                <w:sz w:val="21"/>
                <w:szCs w:val="21"/>
                <w:u w:val="single"/>
                <w:lang w:val="es-AR" w:eastAsia="en-US"/>
              </w:rPr>
              <w:t>30/09/2019</w:t>
            </w:r>
          </w:p>
        </w:tc>
        <w:tc>
          <w:tcPr>
            <w:tcW w:w="1276" w:type="dxa"/>
            <w:tcBorders>
              <w:top w:val="single" w:sz="4" w:space="0" w:color="auto"/>
              <w:left w:val="nil"/>
              <w:bottom w:val="nil"/>
              <w:right w:val="nil"/>
            </w:tcBorders>
            <w:vAlign w:val="bottom"/>
          </w:tcPr>
          <w:p w14:paraId="5C845678"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center"/>
              <w:rPr>
                <w:sz w:val="21"/>
                <w:szCs w:val="21"/>
                <w:lang w:val="es-AR" w:eastAsia="en-US"/>
              </w:rPr>
            </w:pPr>
            <w:r w:rsidRPr="0010523F">
              <w:rPr>
                <w:sz w:val="21"/>
                <w:szCs w:val="21"/>
                <w:u w:val="single"/>
                <w:lang w:val="es-AR" w:eastAsia="en-US"/>
              </w:rPr>
              <w:t>31/12/2018</w:t>
            </w:r>
          </w:p>
        </w:tc>
      </w:tr>
      <w:tr w:rsidR="0010523F" w:rsidRPr="0010523F" w14:paraId="5AAD1086" w14:textId="77777777" w:rsidTr="00774E7E">
        <w:trPr>
          <w:trHeight w:val="80"/>
        </w:trPr>
        <w:tc>
          <w:tcPr>
            <w:tcW w:w="2768" w:type="dxa"/>
            <w:tcBorders>
              <w:top w:val="nil"/>
              <w:left w:val="nil"/>
              <w:bottom w:val="nil"/>
              <w:right w:val="nil"/>
            </w:tcBorders>
            <w:vAlign w:val="bottom"/>
          </w:tcPr>
          <w:p w14:paraId="0AF553C2"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1451" w:type="dxa"/>
            <w:tcBorders>
              <w:top w:val="nil"/>
              <w:left w:val="nil"/>
              <w:bottom w:val="nil"/>
              <w:right w:val="nil"/>
            </w:tcBorders>
            <w:vAlign w:val="bottom"/>
          </w:tcPr>
          <w:p w14:paraId="009AEBE8"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1281" w:type="dxa"/>
            <w:tcBorders>
              <w:top w:val="nil"/>
              <w:left w:val="nil"/>
              <w:bottom w:val="nil"/>
              <w:right w:val="nil"/>
            </w:tcBorders>
            <w:vAlign w:val="bottom"/>
          </w:tcPr>
          <w:p w14:paraId="5258E01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286" w:type="dxa"/>
            <w:tcBorders>
              <w:top w:val="nil"/>
              <w:left w:val="nil"/>
              <w:bottom w:val="nil"/>
              <w:right w:val="nil"/>
            </w:tcBorders>
          </w:tcPr>
          <w:p w14:paraId="369AF1F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1269" w:type="dxa"/>
            <w:tcBorders>
              <w:top w:val="nil"/>
              <w:left w:val="nil"/>
              <w:bottom w:val="nil"/>
              <w:right w:val="nil"/>
            </w:tcBorders>
            <w:vAlign w:val="bottom"/>
          </w:tcPr>
          <w:p w14:paraId="714224FD"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285" w:type="dxa"/>
            <w:tcBorders>
              <w:top w:val="nil"/>
              <w:left w:val="nil"/>
              <w:bottom w:val="nil"/>
              <w:right w:val="nil"/>
            </w:tcBorders>
          </w:tcPr>
          <w:p w14:paraId="1191F2F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1215" w:type="dxa"/>
            <w:tcBorders>
              <w:top w:val="nil"/>
              <w:left w:val="nil"/>
              <w:bottom w:val="nil"/>
              <w:right w:val="nil"/>
            </w:tcBorders>
            <w:vAlign w:val="bottom"/>
          </w:tcPr>
          <w:p w14:paraId="272223A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236" w:type="dxa"/>
            <w:tcBorders>
              <w:top w:val="nil"/>
              <w:left w:val="nil"/>
              <w:bottom w:val="nil"/>
              <w:right w:val="nil"/>
            </w:tcBorders>
          </w:tcPr>
          <w:p w14:paraId="63BD98AD"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1225" w:type="dxa"/>
            <w:tcBorders>
              <w:top w:val="nil"/>
              <w:left w:val="nil"/>
              <w:bottom w:val="nil"/>
              <w:right w:val="nil"/>
            </w:tcBorders>
            <w:vAlign w:val="bottom"/>
          </w:tcPr>
          <w:p w14:paraId="7B96FFB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1259" w:type="dxa"/>
            <w:tcBorders>
              <w:top w:val="nil"/>
              <w:left w:val="nil"/>
              <w:bottom w:val="nil"/>
              <w:right w:val="nil"/>
            </w:tcBorders>
            <w:vAlign w:val="bottom"/>
          </w:tcPr>
          <w:p w14:paraId="6ADDB5C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236" w:type="dxa"/>
            <w:tcBorders>
              <w:top w:val="nil"/>
              <w:left w:val="nil"/>
              <w:bottom w:val="nil"/>
              <w:right w:val="nil"/>
            </w:tcBorders>
          </w:tcPr>
          <w:p w14:paraId="56943F88"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1355" w:type="dxa"/>
            <w:tcBorders>
              <w:top w:val="nil"/>
              <w:left w:val="nil"/>
              <w:bottom w:val="nil"/>
              <w:right w:val="nil"/>
            </w:tcBorders>
            <w:vAlign w:val="bottom"/>
          </w:tcPr>
          <w:p w14:paraId="105617F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c>
          <w:tcPr>
            <w:tcW w:w="1276" w:type="dxa"/>
            <w:tcBorders>
              <w:top w:val="nil"/>
              <w:left w:val="nil"/>
              <w:bottom w:val="nil"/>
              <w:right w:val="nil"/>
            </w:tcBorders>
            <w:vAlign w:val="bottom"/>
          </w:tcPr>
          <w:p w14:paraId="51E1B36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highlight w:val="yellow"/>
                <w:lang w:val="es-AR" w:eastAsia="en-US"/>
              </w:rPr>
            </w:pPr>
          </w:p>
        </w:tc>
      </w:tr>
      <w:tr w:rsidR="0010523F" w:rsidRPr="0010523F" w14:paraId="22CDE338" w14:textId="77777777" w:rsidTr="00774E7E">
        <w:tc>
          <w:tcPr>
            <w:tcW w:w="2768" w:type="dxa"/>
            <w:tcBorders>
              <w:top w:val="nil"/>
              <w:left w:val="nil"/>
              <w:bottom w:val="nil"/>
              <w:right w:val="nil"/>
            </w:tcBorders>
            <w:vAlign w:val="bottom"/>
          </w:tcPr>
          <w:p w14:paraId="3C5FB9C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Monto total de plazo vencido</w:t>
            </w:r>
          </w:p>
        </w:tc>
        <w:tc>
          <w:tcPr>
            <w:tcW w:w="1451" w:type="dxa"/>
            <w:tcBorders>
              <w:top w:val="nil"/>
              <w:left w:val="nil"/>
              <w:bottom w:val="nil"/>
              <w:right w:val="nil"/>
            </w:tcBorders>
            <w:vAlign w:val="bottom"/>
          </w:tcPr>
          <w:p w14:paraId="3F67AE23"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81" w:type="dxa"/>
            <w:tcBorders>
              <w:top w:val="nil"/>
              <w:left w:val="nil"/>
              <w:bottom w:val="nil"/>
              <w:right w:val="nil"/>
            </w:tcBorders>
            <w:vAlign w:val="bottom"/>
          </w:tcPr>
          <w:p w14:paraId="07904531"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286" w:type="dxa"/>
            <w:tcBorders>
              <w:top w:val="nil"/>
              <w:left w:val="nil"/>
              <w:bottom w:val="nil"/>
              <w:right w:val="nil"/>
            </w:tcBorders>
            <w:vAlign w:val="bottom"/>
          </w:tcPr>
          <w:p w14:paraId="44BB1F6C" w14:textId="77777777" w:rsidR="0010523F" w:rsidRPr="0010523F" w:rsidDel="00D628D8" w:rsidRDefault="0010523F" w:rsidP="0010523F">
            <w:pPr>
              <w:widowControl w:val="0"/>
              <w:spacing w:line="200" w:lineRule="exact"/>
              <w:ind w:left="-113" w:right="62"/>
              <w:jc w:val="right"/>
              <w:rPr>
                <w:sz w:val="21"/>
                <w:szCs w:val="21"/>
                <w:highlight w:val="yellow"/>
                <w:lang w:val="es-AR" w:eastAsia="en-US"/>
              </w:rPr>
            </w:pPr>
          </w:p>
        </w:tc>
        <w:tc>
          <w:tcPr>
            <w:tcW w:w="1269" w:type="dxa"/>
            <w:tcBorders>
              <w:top w:val="nil"/>
              <w:left w:val="nil"/>
              <w:bottom w:val="nil"/>
              <w:right w:val="nil"/>
            </w:tcBorders>
            <w:vAlign w:val="bottom"/>
          </w:tcPr>
          <w:p w14:paraId="59B15C08" w14:textId="77777777" w:rsidR="0010523F" w:rsidRPr="0010523F" w:rsidRDefault="0010523F" w:rsidP="0010523F">
            <w:pPr>
              <w:widowControl w:val="0"/>
              <w:spacing w:line="200" w:lineRule="exact"/>
              <w:ind w:left="-113" w:right="62"/>
              <w:jc w:val="right"/>
              <w:rPr>
                <w:sz w:val="21"/>
                <w:szCs w:val="21"/>
                <w:lang w:val="es-AR" w:eastAsia="en-US"/>
              </w:rPr>
            </w:pPr>
            <w:r w:rsidRPr="0010523F">
              <w:rPr>
                <w:sz w:val="21"/>
                <w:szCs w:val="21"/>
                <w:lang w:val="es-AR" w:eastAsia="en-US"/>
              </w:rPr>
              <w:t>5.057</w:t>
            </w:r>
          </w:p>
        </w:tc>
        <w:tc>
          <w:tcPr>
            <w:tcW w:w="285" w:type="dxa"/>
            <w:tcBorders>
              <w:top w:val="nil"/>
              <w:left w:val="nil"/>
              <w:bottom w:val="nil"/>
              <w:right w:val="nil"/>
            </w:tcBorders>
            <w:vAlign w:val="bottom"/>
          </w:tcPr>
          <w:p w14:paraId="04248B08" w14:textId="77777777" w:rsidR="0010523F" w:rsidRPr="0010523F" w:rsidRDefault="0010523F" w:rsidP="0010523F">
            <w:pPr>
              <w:widowControl w:val="0"/>
              <w:spacing w:line="200" w:lineRule="exact"/>
              <w:ind w:left="-113" w:right="-95"/>
              <w:jc w:val="right"/>
              <w:rPr>
                <w:sz w:val="21"/>
                <w:szCs w:val="21"/>
                <w:lang w:val="es-AR" w:eastAsia="en-US"/>
              </w:rPr>
            </w:pPr>
            <w:r w:rsidRPr="0010523F">
              <w:rPr>
                <w:sz w:val="21"/>
                <w:szCs w:val="21"/>
                <w:lang w:val="es-AR" w:eastAsia="en-US"/>
              </w:rPr>
              <w:t>(2)</w:t>
            </w:r>
          </w:p>
        </w:tc>
        <w:tc>
          <w:tcPr>
            <w:tcW w:w="1215" w:type="dxa"/>
            <w:tcBorders>
              <w:top w:val="nil"/>
              <w:left w:val="nil"/>
              <w:bottom w:val="nil"/>
              <w:right w:val="nil"/>
            </w:tcBorders>
            <w:vAlign w:val="bottom"/>
          </w:tcPr>
          <w:p w14:paraId="08F66982" w14:textId="77777777" w:rsidR="0010523F" w:rsidRPr="0010523F" w:rsidRDefault="0010523F" w:rsidP="0010523F">
            <w:pPr>
              <w:widowControl w:val="0"/>
              <w:spacing w:line="200" w:lineRule="exact"/>
              <w:ind w:left="-113" w:right="34"/>
              <w:jc w:val="right"/>
              <w:rPr>
                <w:sz w:val="21"/>
                <w:szCs w:val="21"/>
                <w:highlight w:val="yellow"/>
                <w:lang w:val="es-AR" w:eastAsia="en-US"/>
              </w:rPr>
            </w:pPr>
            <w:r w:rsidRPr="0010523F">
              <w:rPr>
                <w:sz w:val="21"/>
                <w:szCs w:val="21"/>
                <w:lang w:val="es-AR" w:eastAsia="en-US"/>
              </w:rPr>
              <w:t>3.937</w:t>
            </w:r>
          </w:p>
        </w:tc>
        <w:tc>
          <w:tcPr>
            <w:tcW w:w="236" w:type="dxa"/>
            <w:tcBorders>
              <w:top w:val="nil"/>
              <w:left w:val="nil"/>
              <w:bottom w:val="nil"/>
              <w:right w:val="nil"/>
            </w:tcBorders>
            <w:vAlign w:val="bottom"/>
          </w:tcPr>
          <w:p w14:paraId="703A4B28" w14:textId="77777777" w:rsidR="0010523F" w:rsidRPr="0010523F"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076240CF"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951</w:t>
            </w:r>
          </w:p>
        </w:tc>
        <w:tc>
          <w:tcPr>
            <w:tcW w:w="1259" w:type="dxa"/>
            <w:tcBorders>
              <w:top w:val="nil"/>
              <w:left w:val="nil"/>
              <w:bottom w:val="nil"/>
              <w:right w:val="nil"/>
            </w:tcBorders>
            <w:vAlign w:val="bottom"/>
          </w:tcPr>
          <w:p w14:paraId="5F5D01AA"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236" w:type="dxa"/>
            <w:tcBorders>
              <w:top w:val="nil"/>
              <w:left w:val="nil"/>
              <w:bottom w:val="nil"/>
              <w:right w:val="nil"/>
            </w:tcBorders>
            <w:vAlign w:val="bottom"/>
          </w:tcPr>
          <w:p w14:paraId="0E15C701" w14:textId="77777777" w:rsidR="0010523F" w:rsidRPr="0010523F" w:rsidRDefault="0010523F" w:rsidP="0010523F">
            <w:pPr>
              <w:widowControl w:val="0"/>
              <w:spacing w:line="200" w:lineRule="exact"/>
              <w:ind w:right="32"/>
              <w:jc w:val="right"/>
              <w:rPr>
                <w:sz w:val="21"/>
                <w:szCs w:val="21"/>
                <w:lang w:val="es-AR" w:eastAsia="en-US"/>
              </w:rPr>
            </w:pPr>
          </w:p>
        </w:tc>
        <w:tc>
          <w:tcPr>
            <w:tcW w:w="1355" w:type="dxa"/>
            <w:tcBorders>
              <w:top w:val="nil"/>
              <w:left w:val="nil"/>
              <w:bottom w:val="nil"/>
              <w:right w:val="nil"/>
            </w:tcBorders>
            <w:vAlign w:val="bottom"/>
          </w:tcPr>
          <w:p w14:paraId="74802895"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76" w:type="dxa"/>
            <w:tcBorders>
              <w:top w:val="nil"/>
              <w:left w:val="nil"/>
              <w:bottom w:val="nil"/>
              <w:right w:val="nil"/>
            </w:tcBorders>
            <w:vAlign w:val="bottom"/>
          </w:tcPr>
          <w:p w14:paraId="73A1D74F"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r>
      <w:tr w:rsidR="0010523F" w:rsidRPr="0010523F" w14:paraId="68A9EC66" w14:textId="77777777" w:rsidTr="00774E7E">
        <w:tc>
          <w:tcPr>
            <w:tcW w:w="2768" w:type="dxa"/>
            <w:tcBorders>
              <w:top w:val="nil"/>
              <w:left w:val="nil"/>
              <w:bottom w:val="nil"/>
              <w:right w:val="nil"/>
            </w:tcBorders>
            <w:vAlign w:val="bottom"/>
          </w:tcPr>
          <w:p w14:paraId="4F92960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lang w:val="es-AR" w:eastAsia="en-US"/>
              </w:rPr>
            </w:pPr>
          </w:p>
        </w:tc>
        <w:tc>
          <w:tcPr>
            <w:tcW w:w="1451" w:type="dxa"/>
            <w:tcBorders>
              <w:top w:val="nil"/>
              <w:left w:val="nil"/>
              <w:bottom w:val="nil"/>
              <w:right w:val="nil"/>
            </w:tcBorders>
            <w:vAlign w:val="bottom"/>
          </w:tcPr>
          <w:p w14:paraId="4591D38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81" w:type="dxa"/>
            <w:tcBorders>
              <w:top w:val="nil"/>
              <w:left w:val="nil"/>
              <w:bottom w:val="nil"/>
              <w:right w:val="nil"/>
            </w:tcBorders>
            <w:vAlign w:val="bottom"/>
          </w:tcPr>
          <w:p w14:paraId="066D6F4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286" w:type="dxa"/>
            <w:tcBorders>
              <w:top w:val="nil"/>
              <w:left w:val="nil"/>
              <w:bottom w:val="nil"/>
              <w:right w:val="nil"/>
            </w:tcBorders>
            <w:vAlign w:val="bottom"/>
          </w:tcPr>
          <w:p w14:paraId="2F52292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62"/>
              <w:jc w:val="right"/>
              <w:rPr>
                <w:sz w:val="21"/>
                <w:szCs w:val="21"/>
                <w:highlight w:val="yellow"/>
                <w:lang w:val="es-AR" w:eastAsia="en-US"/>
              </w:rPr>
            </w:pPr>
          </w:p>
        </w:tc>
        <w:tc>
          <w:tcPr>
            <w:tcW w:w="1269" w:type="dxa"/>
            <w:tcBorders>
              <w:top w:val="nil"/>
              <w:left w:val="nil"/>
              <w:bottom w:val="nil"/>
              <w:right w:val="nil"/>
            </w:tcBorders>
            <w:vAlign w:val="bottom"/>
          </w:tcPr>
          <w:p w14:paraId="7E022990"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62"/>
              <w:jc w:val="right"/>
              <w:rPr>
                <w:sz w:val="21"/>
                <w:szCs w:val="21"/>
                <w:lang w:val="es-AR" w:eastAsia="en-US"/>
              </w:rPr>
            </w:pPr>
          </w:p>
        </w:tc>
        <w:tc>
          <w:tcPr>
            <w:tcW w:w="285" w:type="dxa"/>
            <w:tcBorders>
              <w:top w:val="nil"/>
              <w:left w:val="nil"/>
              <w:bottom w:val="nil"/>
              <w:right w:val="nil"/>
            </w:tcBorders>
            <w:vAlign w:val="bottom"/>
          </w:tcPr>
          <w:p w14:paraId="34017C70"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15" w:type="dxa"/>
            <w:tcBorders>
              <w:top w:val="nil"/>
              <w:left w:val="nil"/>
              <w:bottom w:val="nil"/>
              <w:right w:val="nil"/>
            </w:tcBorders>
            <w:vAlign w:val="bottom"/>
          </w:tcPr>
          <w:p w14:paraId="380FA9B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4BEF4AFE"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25" w:type="dxa"/>
            <w:tcBorders>
              <w:top w:val="nil"/>
              <w:left w:val="nil"/>
              <w:bottom w:val="nil"/>
              <w:right w:val="nil"/>
            </w:tcBorders>
            <w:vAlign w:val="bottom"/>
          </w:tcPr>
          <w:p w14:paraId="361CC6DE"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59" w:type="dxa"/>
            <w:tcBorders>
              <w:top w:val="nil"/>
              <w:left w:val="nil"/>
              <w:bottom w:val="nil"/>
              <w:right w:val="nil"/>
            </w:tcBorders>
            <w:vAlign w:val="bottom"/>
          </w:tcPr>
          <w:p w14:paraId="09060F4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236" w:type="dxa"/>
            <w:tcBorders>
              <w:top w:val="nil"/>
              <w:left w:val="nil"/>
              <w:bottom w:val="nil"/>
              <w:right w:val="nil"/>
            </w:tcBorders>
            <w:vAlign w:val="bottom"/>
          </w:tcPr>
          <w:p w14:paraId="4884444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355" w:type="dxa"/>
            <w:tcBorders>
              <w:top w:val="nil"/>
              <w:left w:val="nil"/>
              <w:bottom w:val="nil"/>
              <w:right w:val="nil"/>
            </w:tcBorders>
            <w:vAlign w:val="bottom"/>
          </w:tcPr>
          <w:p w14:paraId="153CF1FA"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76" w:type="dxa"/>
            <w:tcBorders>
              <w:top w:val="nil"/>
              <w:left w:val="nil"/>
              <w:bottom w:val="nil"/>
              <w:right w:val="nil"/>
            </w:tcBorders>
            <w:vAlign w:val="bottom"/>
          </w:tcPr>
          <w:p w14:paraId="5E1BB98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r>
      <w:tr w:rsidR="0010523F" w:rsidRPr="0010523F" w14:paraId="5F3821BC" w14:textId="77777777" w:rsidTr="00774E7E">
        <w:tc>
          <w:tcPr>
            <w:tcW w:w="2768" w:type="dxa"/>
            <w:tcBorders>
              <w:top w:val="nil"/>
              <w:left w:val="nil"/>
              <w:bottom w:val="nil"/>
              <w:right w:val="nil"/>
            </w:tcBorders>
            <w:vAlign w:val="bottom"/>
          </w:tcPr>
          <w:p w14:paraId="59DEFC4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rPr>
                <w:sz w:val="21"/>
                <w:szCs w:val="21"/>
                <w:lang w:val="es-AR" w:eastAsia="en-US"/>
              </w:rPr>
            </w:pPr>
            <w:r w:rsidRPr="0010523F">
              <w:rPr>
                <w:sz w:val="21"/>
                <w:szCs w:val="21"/>
                <w:lang w:val="es-AR" w:eastAsia="en-US"/>
              </w:rPr>
              <w:t>Monto total sin plazo establecido a la vista</w:t>
            </w:r>
          </w:p>
        </w:tc>
        <w:tc>
          <w:tcPr>
            <w:tcW w:w="1451" w:type="dxa"/>
            <w:tcBorders>
              <w:top w:val="nil"/>
              <w:left w:val="nil"/>
              <w:bottom w:val="nil"/>
              <w:right w:val="nil"/>
            </w:tcBorders>
            <w:vAlign w:val="bottom"/>
          </w:tcPr>
          <w:p w14:paraId="5A80962B"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81" w:type="dxa"/>
            <w:tcBorders>
              <w:top w:val="nil"/>
              <w:left w:val="nil"/>
              <w:bottom w:val="nil"/>
              <w:right w:val="nil"/>
            </w:tcBorders>
            <w:vAlign w:val="bottom"/>
          </w:tcPr>
          <w:p w14:paraId="120DC4D1"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286" w:type="dxa"/>
            <w:tcBorders>
              <w:top w:val="nil"/>
              <w:left w:val="nil"/>
              <w:bottom w:val="nil"/>
              <w:right w:val="nil"/>
            </w:tcBorders>
            <w:vAlign w:val="bottom"/>
          </w:tcPr>
          <w:p w14:paraId="35444D8F" w14:textId="77777777" w:rsidR="0010523F" w:rsidRPr="0010523F" w:rsidDel="00D628D8" w:rsidRDefault="0010523F" w:rsidP="0010523F">
            <w:pPr>
              <w:widowControl w:val="0"/>
              <w:spacing w:line="200" w:lineRule="exact"/>
              <w:ind w:left="-113" w:right="62"/>
              <w:jc w:val="right"/>
              <w:rPr>
                <w:sz w:val="21"/>
                <w:szCs w:val="21"/>
                <w:highlight w:val="yellow"/>
                <w:lang w:val="es-AR" w:eastAsia="en-US"/>
              </w:rPr>
            </w:pPr>
          </w:p>
        </w:tc>
        <w:tc>
          <w:tcPr>
            <w:tcW w:w="1269" w:type="dxa"/>
            <w:tcBorders>
              <w:top w:val="nil"/>
              <w:left w:val="nil"/>
              <w:bottom w:val="nil"/>
              <w:right w:val="nil"/>
            </w:tcBorders>
            <w:vAlign w:val="bottom"/>
          </w:tcPr>
          <w:p w14:paraId="1860334E" w14:textId="77777777" w:rsidR="0010523F" w:rsidRPr="0010523F" w:rsidRDefault="0010523F" w:rsidP="0010523F">
            <w:pPr>
              <w:widowControl w:val="0"/>
              <w:spacing w:line="200" w:lineRule="exact"/>
              <w:ind w:left="-113" w:right="62"/>
              <w:jc w:val="right"/>
              <w:rPr>
                <w:sz w:val="21"/>
                <w:szCs w:val="21"/>
                <w:lang w:val="es-AR" w:eastAsia="en-US"/>
              </w:rPr>
            </w:pPr>
            <w:r w:rsidRPr="0010523F">
              <w:rPr>
                <w:sz w:val="21"/>
                <w:szCs w:val="21"/>
                <w:lang w:val="es-AR" w:eastAsia="en-US"/>
              </w:rPr>
              <w:t>17</w:t>
            </w:r>
          </w:p>
        </w:tc>
        <w:tc>
          <w:tcPr>
            <w:tcW w:w="285" w:type="dxa"/>
            <w:tcBorders>
              <w:top w:val="nil"/>
              <w:left w:val="nil"/>
              <w:bottom w:val="nil"/>
              <w:right w:val="nil"/>
            </w:tcBorders>
            <w:vAlign w:val="bottom"/>
          </w:tcPr>
          <w:p w14:paraId="3D9CEE55" w14:textId="77777777" w:rsidR="0010523F" w:rsidRPr="0010523F" w:rsidRDefault="0010523F" w:rsidP="0010523F">
            <w:pPr>
              <w:widowControl w:val="0"/>
              <w:spacing w:line="200" w:lineRule="exact"/>
              <w:ind w:left="-113" w:right="-95"/>
              <w:jc w:val="right"/>
              <w:rPr>
                <w:sz w:val="21"/>
                <w:szCs w:val="21"/>
                <w:highlight w:val="yellow"/>
                <w:lang w:val="es-AR" w:eastAsia="en-US"/>
              </w:rPr>
            </w:pPr>
          </w:p>
        </w:tc>
        <w:tc>
          <w:tcPr>
            <w:tcW w:w="1215" w:type="dxa"/>
            <w:tcBorders>
              <w:top w:val="nil"/>
              <w:left w:val="nil"/>
              <w:bottom w:val="nil"/>
              <w:right w:val="nil"/>
            </w:tcBorders>
            <w:vAlign w:val="bottom"/>
          </w:tcPr>
          <w:p w14:paraId="48701928" w14:textId="77777777" w:rsidR="0010523F" w:rsidRPr="0010523F" w:rsidRDefault="0010523F" w:rsidP="0010523F">
            <w:pPr>
              <w:widowControl w:val="0"/>
              <w:spacing w:line="200" w:lineRule="exact"/>
              <w:ind w:left="-113" w:right="34"/>
              <w:jc w:val="right"/>
              <w:rPr>
                <w:sz w:val="21"/>
                <w:szCs w:val="21"/>
                <w:highlight w:val="yellow"/>
                <w:lang w:val="es-AR" w:eastAsia="en-US"/>
              </w:rPr>
            </w:pPr>
            <w:r w:rsidRPr="0010523F">
              <w:rPr>
                <w:sz w:val="21"/>
                <w:szCs w:val="21"/>
                <w:lang w:val="es-AR" w:eastAsia="en-US"/>
              </w:rPr>
              <w:t>11</w:t>
            </w:r>
          </w:p>
        </w:tc>
        <w:tc>
          <w:tcPr>
            <w:tcW w:w="236" w:type="dxa"/>
            <w:tcBorders>
              <w:top w:val="nil"/>
              <w:left w:val="nil"/>
              <w:bottom w:val="nil"/>
              <w:right w:val="nil"/>
            </w:tcBorders>
            <w:vAlign w:val="bottom"/>
          </w:tcPr>
          <w:p w14:paraId="0F81EB0D"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06230B32"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1.684</w:t>
            </w:r>
          </w:p>
        </w:tc>
        <w:tc>
          <w:tcPr>
            <w:tcW w:w="1259" w:type="dxa"/>
            <w:tcBorders>
              <w:top w:val="nil"/>
              <w:left w:val="nil"/>
              <w:bottom w:val="nil"/>
              <w:right w:val="nil"/>
            </w:tcBorders>
            <w:vAlign w:val="bottom"/>
          </w:tcPr>
          <w:p w14:paraId="09713CDB"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384</w:t>
            </w:r>
          </w:p>
        </w:tc>
        <w:tc>
          <w:tcPr>
            <w:tcW w:w="236" w:type="dxa"/>
            <w:tcBorders>
              <w:top w:val="nil"/>
              <w:left w:val="nil"/>
              <w:bottom w:val="nil"/>
              <w:right w:val="nil"/>
            </w:tcBorders>
            <w:vAlign w:val="bottom"/>
          </w:tcPr>
          <w:p w14:paraId="5838602B" w14:textId="77777777" w:rsidR="0010523F" w:rsidRPr="0010523F" w:rsidRDefault="0010523F" w:rsidP="0010523F">
            <w:pPr>
              <w:widowControl w:val="0"/>
              <w:spacing w:line="200" w:lineRule="exact"/>
              <w:ind w:right="32"/>
              <w:jc w:val="right"/>
              <w:rPr>
                <w:sz w:val="21"/>
                <w:szCs w:val="21"/>
                <w:lang w:val="es-AR" w:eastAsia="en-US"/>
              </w:rPr>
            </w:pPr>
          </w:p>
        </w:tc>
        <w:tc>
          <w:tcPr>
            <w:tcW w:w="1355" w:type="dxa"/>
            <w:tcBorders>
              <w:top w:val="nil"/>
              <w:left w:val="nil"/>
              <w:bottom w:val="nil"/>
              <w:right w:val="nil"/>
            </w:tcBorders>
            <w:vAlign w:val="bottom"/>
          </w:tcPr>
          <w:p w14:paraId="05CE3DD2"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76" w:type="dxa"/>
            <w:tcBorders>
              <w:top w:val="nil"/>
              <w:left w:val="nil"/>
              <w:bottom w:val="nil"/>
              <w:right w:val="nil"/>
            </w:tcBorders>
            <w:vAlign w:val="bottom"/>
          </w:tcPr>
          <w:p w14:paraId="54265FDA"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r>
      <w:tr w:rsidR="0010523F" w:rsidRPr="0010523F" w14:paraId="6962EF6D" w14:textId="77777777" w:rsidTr="00774E7E">
        <w:tc>
          <w:tcPr>
            <w:tcW w:w="2768" w:type="dxa"/>
            <w:tcBorders>
              <w:top w:val="nil"/>
              <w:left w:val="nil"/>
              <w:bottom w:val="nil"/>
              <w:right w:val="nil"/>
            </w:tcBorders>
            <w:vAlign w:val="bottom"/>
          </w:tcPr>
          <w:p w14:paraId="07730696"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lang w:val="es-AR" w:eastAsia="en-US"/>
              </w:rPr>
            </w:pPr>
          </w:p>
        </w:tc>
        <w:tc>
          <w:tcPr>
            <w:tcW w:w="1451" w:type="dxa"/>
            <w:tcBorders>
              <w:top w:val="nil"/>
              <w:left w:val="nil"/>
              <w:bottom w:val="nil"/>
              <w:right w:val="nil"/>
            </w:tcBorders>
            <w:vAlign w:val="bottom"/>
          </w:tcPr>
          <w:p w14:paraId="62D06170"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81" w:type="dxa"/>
            <w:tcBorders>
              <w:top w:val="nil"/>
              <w:left w:val="nil"/>
              <w:bottom w:val="nil"/>
              <w:right w:val="nil"/>
            </w:tcBorders>
            <w:vAlign w:val="bottom"/>
          </w:tcPr>
          <w:p w14:paraId="6F36E152"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86" w:type="dxa"/>
            <w:tcBorders>
              <w:top w:val="nil"/>
              <w:left w:val="nil"/>
              <w:bottom w:val="nil"/>
              <w:right w:val="nil"/>
            </w:tcBorders>
            <w:vAlign w:val="bottom"/>
          </w:tcPr>
          <w:p w14:paraId="276F0C9D"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69" w:type="dxa"/>
            <w:tcBorders>
              <w:top w:val="nil"/>
              <w:left w:val="nil"/>
              <w:bottom w:val="nil"/>
              <w:right w:val="nil"/>
            </w:tcBorders>
            <w:vAlign w:val="bottom"/>
          </w:tcPr>
          <w:p w14:paraId="6A43A665"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285" w:type="dxa"/>
            <w:tcBorders>
              <w:top w:val="nil"/>
              <w:left w:val="nil"/>
              <w:bottom w:val="nil"/>
              <w:right w:val="nil"/>
            </w:tcBorders>
            <w:vAlign w:val="bottom"/>
          </w:tcPr>
          <w:p w14:paraId="405355D8"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15" w:type="dxa"/>
            <w:tcBorders>
              <w:top w:val="nil"/>
              <w:left w:val="nil"/>
              <w:bottom w:val="nil"/>
              <w:right w:val="nil"/>
            </w:tcBorders>
            <w:vAlign w:val="bottom"/>
          </w:tcPr>
          <w:p w14:paraId="5811218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2440EF26"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25" w:type="dxa"/>
            <w:tcBorders>
              <w:top w:val="nil"/>
              <w:left w:val="nil"/>
              <w:bottom w:val="nil"/>
              <w:right w:val="nil"/>
            </w:tcBorders>
            <w:vAlign w:val="bottom"/>
          </w:tcPr>
          <w:p w14:paraId="6A233ED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59" w:type="dxa"/>
            <w:tcBorders>
              <w:top w:val="nil"/>
              <w:left w:val="nil"/>
              <w:bottom w:val="nil"/>
              <w:right w:val="nil"/>
            </w:tcBorders>
            <w:vAlign w:val="bottom"/>
          </w:tcPr>
          <w:p w14:paraId="652FE872"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79F54BC8"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355" w:type="dxa"/>
            <w:tcBorders>
              <w:top w:val="nil"/>
              <w:left w:val="nil"/>
              <w:bottom w:val="nil"/>
              <w:right w:val="nil"/>
            </w:tcBorders>
            <w:vAlign w:val="bottom"/>
          </w:tcPr>
          <w:p w14:paraId="526926D9"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76" w:type="dxa"/>
            <w:tcBorders>
              <w:top w:val="nil"/>
              <w:left w:val="nil"/>
              <w:bottom w:val="nil"/>
              <w:right w:val="nil"/>
            </w:tcBorders>
            <w:vAlign w:val="bottom"/>
          </w:tcPr>
          <w:p w14:paraId="270441F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r>
      <w:tr w:rsidR="0010523F" w:rsidRPr="0010523F" w14:paraId="03E87776" w14:textId="77777777" w:rsidTr="00774E7E">
        <w:tc>
          <w:tcPr>
            <w:tcW w:w="2768" w:type="dxa"/>
            <w:tcBorders>
              <w:top w:val="nil"/>
              <w:left w:val="nil"/>
              <w:bottom w:val="nil"/>
              <w:right w:val="nil"/>
            </w:tcBorders>
            <w:vAlign w:val="bottom"/>
          </w:tcPr>
          <w:p w14:paraId="138814D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ind w:right="32"/>
              <w:jc w:val="both"/>
              <w:rPr>
                <w:sz w:val="21"/>
                <w:szCs w:val="21"/>
                <w:lang w:val="es-AR" w:eastAsia="en-US"/>
              </w:rPr>
            </w:pPr>
            <w:r w:rsidRPr="0010523F">
              <w:rPr>
                <w:sz w:val="21"/>
                <w:szCs w:val="21"/>
                <w:lang w:val="es-AR" w:eastAsia="en-US"/>
              </w:rPr>
              <w:t>A vencer:</w:t>
            </w:r>
          </w:p>
        </w:tc>
        <w:tc>
          <w:tcPr>
            <w:tcW w:w="1451" w:type="dxa"/>
            <w:tcBorders>
              <w:top w:val="nil"/>
              <w:left w:val="nil"/>
              <w:bottom w:val="nil"/>
              <w:right w:val="nil"/>
            </w:tcBorders>
            <w:vAlign w:val="bottom"/>
          </w:tcPr>
          <w:p w14:paraId="6695748B" w14:textId="77777777" w:rsidR="0010523F" w:rsidRPr="0010523F" w:rsidRDefault="0010523F" w:rsidP="0010523F">
            <w:pPr>
              <w:widowControl w:val="0"/>
              <w:ind w:right="32"/>
              <w:jc w:val="right"/>
              <w:rPr>
                <w:sz w:val="21"/>
                <w:szCs w:val="21"/>
                <w:lang w:val="es-AR" w:eastAsia="en-US"/>
              </w:rPr>
            </w:pPr>
          </w:p>
        </w:tc>
        <w:tc>
          <w:tcPr>
            <w:tcW w:w="1281" w:type="dxa"/>
            <w:tcBorders>
              <w:top w:val="nil"/>
              <w:left w:val="nil"/>
              <w:bottom w:val="nil"/>
              <w:right w:val="nil"/>
            </w:tcBorders>
            <w:vAlign w:val="bottom"/>
          </w:tcPr>
          <w:p w14:paraId="0EA4E7EB" w14:textId="77777777" w:rsidR="0010523F" w:rsidRPr="0010523F" w:rsidRDefault="0010523F" w:rsidP="0010523F">
            <w:pPr>
              <w:widowControl w:val="0"/>
              <w:ind w:right="32"/>
              <w:jc w:val="right"/>
              <w:rPr>
                <w:sz w:val="21"/>
                <w:szCs w:val="21"/>
                <w:highlight w:val="yellow"/>
                <w:lang w:val="es-AR" w:eastAsia="en-US"/>
              </w:rPr>
            </w:pPr>
          </w:p>
        </w:tc>
        <w:tc>
          <w:tcPr>
            <w:tcW w:w="286" w:type="dxa"/>
            <w:tcBorders>
              <w:top w:val="nil"/>
              <w:left w:val="nil"/>
              <w:bottom w:val="nil"/>
              <w:right w:val="nil"/>
            </w:tcBorders>
            <w:vAlign w:val="bottom"/>
          </w:tcPr>
          <w:p w14:paraId="6761D9AB" w14:textId="77777777" w:rsidR="0010523F" w:rsidRPr="0010523F" w:rsidRDefault="0010523F" w:rsidP="0010523F">
            <w:pPr>
              <w:widowControl w:val="0"/>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2FE850E9" w14:textId="77777777" w:rsidR="0010523F" w:rsidRPr="0010523F" w:rsidRDefault="0010523F" w:rsidP="0010523F">
            <w:pPr>
              <w:widowControl w:val="0"/>
              <w:ind w:left="-113" w:right="32"/>
              <w:jc w:val="right"/>
              <w:rPr>
                <w:sz w:val="21"/>
                <w:szCs w:val="21"/>
                <w:lang w:val="es-AR" w:eastAsia="en-US"/>
              </w:rPr>
            </w:pPr>
          </w:p>
        </w:tc>
        <w:tc>
          <w:tcPr>
            <w:tcW w:w="285" w:type="dxa"/>
            <w:tcBorders>
              <w:top w:val="nil"/>
              <w:left w:val="nil"/>
              <w:bottom w:val="nil"/>
              <w:right w:val="nil"/>
            </w:tcBorders>
            <w:vAlign w:val="bottom"/>
          </w:tcPr>
          <w:p w14:paraId="7E74C1AC" w14:textId="77777777" w:rsidR="0010523F" w:rsidRPr="0010523F" w:rsidRDefault="0010523F" w:rsidP="0010523F">
            <w:pPr>
              <w:widowControl w:val="0"/>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6036EB2E" w14:textId="77777777" w:rsidR="0010523F" w:rsidRPr="0010523F" w:rsidRDefault="0010523F" w:rsidP="0010523F">
            <w:pPr>
              <w:widowControl w:val="0"/>
              <w:ind w:left="-113" w:right="32"/>
              <w:jc w:val="right"/>
              <w:rPr>
                <w:sz w:val="21"/>
                <w:szCs w:val="21"/>
                <w:highlight w:val="yellow"/>
                <w:lang w:val="es-AR" w:eastAsia="en-US"/>
              </w:rPr>
            </w:pPr>
          </w:p>
        </w:tc>
        <w:tc>
          <w:tcPr>
            <w:tcW w:w="236" w:type="dxa"/>
            <w:tcBorders>
              <w:top w:val="nil"/>
              <w:left w:val="nil"/>
              <w:bottom w:val="nil"/>
              <w:right w:val="nil"/>
            </w:tcBorders>
            <w:vAlign w:val="bottom"/>
          </w:tcPr>
          <w:p w14:paraId="35E91BC1" w14:textId="77777777" w:rsidR="0010523F" w:rsidRPr="0010523F" w:rsidRDefault="0010523F" w:rsidP="0010523F">
            <w:pPr>
              <w:widowControl w:val="0"/>
              <w:ind w:right="32"/>
              <w:jc w:val="right"/>
              <w:rPr>
                <w:sz w:val="21"/>
                <w:szCs w:val="21"/>
                <w:highlight w:val="yellow"/>
                <w:lang w:val="es-AR" w:eastAsia="en-US"/>
              </w:rPr>
            </w:pPr>
          </w:p>
        </w:tc>
        <w:tc>
          <w:tcPr>
            <w:tcW w:w="1225" w:type="dxa"/>
            <w:tcBorders>
              <w:top w:val="nil"/>
              <w:left w:val="nil"/>
              <w:bottom w:val="nil"/>
              <w:right w:val="nil"/>
            </w:tcBorders>
            <w:vAlign w:val="bottom"/>
          </w:tcPr>
          <w:p w14:paraId="4ADA7EFF" w14:textId="77777777" w:rsidR="0010523F" w:rsidRPr="0010523F" w:rsidRDefault="0010523F" w:rsidP="0010523F">
            <w:pPr>
              <w:widowControl w:val="0"/>
              <w:ind w:right="32"/>
              <w:jc w:val="right"/>
              <w:rPr>
                <w:sz w:val="21"/>
                <w:szCs w:val="21"/>
                <w:highlight w:val="yellow"/>
                <w:lang w:val="es-AR" w:eastAsia="en-US"/>
              </w:rPr>
            </w:pPr>
          </w:p>
        </w:tc>
        <w:tc>
          <w:tcPr>
            <w:tcW w:w="1259" w:type="dxa"/>
            <w:tcBorders>
              <w:top w:val="nil"/>
              <w:left w:val="nil"/>
              <w:bottom w:val="nil"/>
              <w:right w:val="nil"/>
            </w:tcBorders>
            <w:vAlign w:val="bottom"/>
          </w:tcPr>
          <w:p w14:paraId="3B46EC35" w14:textId="77777777" w:rsidR="0010523F" w:rsidRPr="0010523F" w:rsidRDefault="0010523F" w:rsidP="0010523F">
            <w:pPr>
              <w:widowControl w:val="0"/>
              <w:ind w:right="32"/>
              <w:jc w:val="right"/>
              <w:rPr>
                <w:sz w:val="21"/>
                <w:szCs w:val="21"/>
                <w:highlight w:val="yellow"/>
                <w:lang w:val="es-AR" w:eastAsia="en-US"/>
              </w:rPr>
            </w:pPr>
          </w:p>
        </w:tc>
        <w:tc>
          <w:tcPr>
            <w:tcW w:w="236" w:type="dxa"/>
            <w:tcBorders>
              <w:top w:val="nil"/>
              <w:left w:val="nil"/>
              <w:bottom w:val="nil"/>
              <w:right w:val="nil"/>
            </w:tcBorders>
            <w:vAlign w:val="bottom"/>
          </w:tcPr>
          <w:p w14:paraId="2AE0727D" w14:textId="77777777" w:rsidR="0010523F" w:rsidRPr="0010523F" w:rsidRDefault="0010523F" w:rsidP="0010523F">
            <w:pPr>
              <w:widowControl w:val="0"/>
              <w:tabs>
                <w:tab w:val="decimal" w:pos="1211"/>
              </w:tabs>
              <w:ind w:right="32"/>
              <w:jc w:val="right"/>
              <w:rPr>
                <w:sz w:val="21"/>
                <w:szCs w:val="21"/>
                <w:highlight w:val="yellow"/>
                <w:lang w:val="es-AR" w:eastAsia="en-US"/>
              </w:rPr>
            </w:pPr>
          </w:p>
        </w:tc>
        <w:tc>
          <w:tcPr>
            <w:tcW w:w="1355" w:type="dxa"/>
            <w:tcBorders>
              <w:top w:val="nil"/>
              <w:left w:val="nil"/>
              <w:bottom w:val="nil"/>
              <w:right w:val="nil"/>
            </w:tcBorders>
            <w:vAlign w:val="bottom"/>
          </w:tcPr>
          <w:p w14:paraId="7F94F8F4" w14:textId="77777777" w:rsidR="0010523F" w:rsidRPr="0010523F" w:rsidRDefault="0010523F" w:rsidP="0010523F">
            <w:pPr>
              <w:widowControl w:val="0"/>
              <w:tabs>
                <w:tab w:val="decimal" w:pos="1211"/>
              </w:tabs>
              <w:ind w:right="32"/>
              <w:jc w:val="right"/>
              <w:rPr>
                <w:sz w:val="21"/>
                <w:szCs w:val="21"/>
                <w:highlight w:val="yellow"/>
                <w:lang w:val="es-AR" w:eastAsia="en-US"/>
              </w:rPr>
            </w:pPr>
          </w:p>
        </w:tc>
        <w:tc>
          <w:tcPr>
            <w:tcW w:w="1276" w:type="dxa"/>
            <w:tcBorders>
              <w:top w:val="nil"/>
              <w:left w:val="nil"/>
              <w:bottom w:val="nil"/>
              <w:right w:val="nil"/>
            </w:tcBorders>
            <w:vAlign w:val="bottom"/>
          </w:tcPr>
          <w:p w14:paraId="111F96CA" w14:textId="77777777" w:rsidR="0010523F" w:rsidRPr="0010523F" w:rsidRDefault="0010523F" w:rsidP="0010523F">
            <w:pPr>
              <w:widowControl w:val="0"/>
              <w:tabs>
                <w:tab w:val="decimal" w:pos="1112"/>
                <w:tab w:val="decimal" w:pos="1211"/>
              </w:tabs>
              <w:ind w:right="32"/>
              <w:jc w:val="right"/>
              <w:rPr>
                <w:sz w:val="21"/>
                <w:szCs w:val="21"/>
                <w:highlight w:val="yellow"/>
                <w:lang w:val="es-AR" w:eastAsia="en-US"/>
              </w:rPr>
            </w:pPr>
          </w:p>
        </w:tc>
      </w:tr>
      <w:tr w:rsidR="0010523F" w:rsidRPr="0010523F" w14:paraId="2C07A03E" w14:textId="77777777" w:rsidTr="00774E7E">
        <w:trPr>
          <w:trHeight w:val="80"/>
        </w:trPr>
        <w:tc>
          <w:tcPr>
            <w:tcW w:w="2768" w:type="dxa"/>
            <w:tcBorders>
              <w:top w:val="nil"/>
              <w:left w:val="nil"/>
              <w:bottom w:val="nil"/>
              <w:right w:val="nil"/>
            </w:tcBorders>
            <w:vAlign w:val="bottom"/>
          </w:tcPr>
          <w:p w14:paraId="083BA690"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lang w:val="es-AR" w:eastAsia="en-US"/>
              </w:rPr>
            </w:pPr>
          </w:p>
        </w:tc>
        <w:tc>
          <w:tcPr>
            <w:tcW w:w="1451" w:type="dxa"/>
            <w:tcBorders>
              <w:top w:val="nil"/>
              <w:left w:val="nil"/>
              <w:bottom w:val="nil"/>
              <w:right w:val="nil"/>
            </w:tcBorders>
            <w:vAlign w:val="bottom"/>
          </w:tcPr>
          <w:p w14:paraId="73719AB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81" w:type="dxa"/>
            <w:tcBorders>
              <w:top w:val="nil"/>
              <w:left w:val="nil"/>
              <w:bottom w:val="nil"/>
              <w:right w:val="nil"/>
            </w:tcBorders>
            <w:vAlign w:val="bottom"/>
          </w:tcPr>
          <w:p w14:paraId="6849EF8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86" w:type="dxa"/>
            <w:tcBorders>
              <w:top w:val="nil"/>
              <w:left w:val="nil"/>
              <w:bottom w:val="nil"/>
              <w:right w:val="nil"/>
            </w:tcBorders>
            <w:vAlign w:val="bottom"/>
          </w:tcPr>
          <w:p w14:paraId="77769742"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69" w:type="dxa"/>
            <w:tcBorders>
              <w:top w:val="nil"/>
              <w:left w:val="nil"/>
              <w:bottom w:val="nil"/>
              <w:right w:val="nil"/>
            </w:tcBorders>
            <w:vAlign w:val="bottom"/>
          </w:tcPr>
          <w:p w14:paraId="1B95A5EE"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285" w:type="dxa"/>
            <w:tcBorders>
              <w:top w:val="nil"/>
              <w:left w:val="nil"/>
              <w:bottom w:val="nil"/>
              <w:right w:val="nil"/>
            </w:tcBorders>
            <w:vAlign w:val="bottom"/>
          </w:tcPr>
          <w:p w14:paraId="570B651D"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15" w:type="dxa"/>
            <w:tcBorders>
              <w:top w:val="nil"/>
              <w:left w:val="nil"/>
              <w:bottom w:val="nil"/>
              <w:right w:val="nil"/>
            </w:tcBorders>
            <w:vAlign w:val="bottom"/>
          </w:tcPr>
          <w:p w14:paraId="6B32F89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1D7726F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25" w:type="dxa"/>
            <w:tcBorders>
              <w:top w:val="nil"/>
              <w:left w:val="nil"/>
              <w:bottom w:val="nil"/>
              <w:right w:val="nil"/>
            </w:tcBorders>
            <w:vAlign w:val="bottom"/>
          </w:tcPr>
          <w:p w14:paraId="7F1E026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59" w:type="dxa"/>
            <w:tcBorders>
              <w:top w:val="nil"/>
              <w:left w:val="nil"/>
              <w:bottom w:val="nil"/>
              <w:right w:val="nil"/>
            </w:tcBorders>
            <w:vAlign w:val="bottom"/>
          </w:tcPr>
          <w:p w14:paraId="3D4E35B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7C700F6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355" w:type="dxa"/>
            <w:tcBorders>
              <w:top w:val="nil"/>
              <w:left w:val="nil"/>
              <w:bottom w:val="nil"/>
              <w:right w:val="nil"/>
            </w:tcBorders>
            <w:vAlign w:val="bottom"/>
          </w:tcPr>
          <w:p w14:paraId="720B3B9A"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76" w:type="dxa"/>
            <w:tcBorders>
              <w:top w:val="nil"/>
              <w:left w:val="nil"/>
              <w:bottom w:val="nil"/>
              <w:right w:val="nil"/>
            </w:tcBorders>
            <w:vAlign w:val="bottom"/>
          </w:tcPr>
          <w:p w14:paraId="33FA7FDA"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r>
      <w:tr w:rsidR="0010523F" w:rsidRPr="0010523F" w14:paraId="06C76D07" w14:textId="77777777" w:rsidTr="00774E7E">
        <w:tc>
          <w:tcPr>
            <w:tcW w:w="2768" w:type="dxa"/>
            <w:tcBorders>
              <w:top w:val="nil"/>
              <w:left w:val="nil"/>
              <w:bottom w:val="nil"/>
              <w:right w:val="nil"/>
            </w:tcBorders>
            <w:vAlign w:val="bottom"/>
          </w:tcPr>
          <w:p w14:paraId="3B9B406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Hasta 3 meses</w:t>
            </w:r>
          </w:p>
        </w:tc>
        <w:tc>
          <w:tcPr>
            <w:tcW w:w="1451" w:type="dxa"/>
            <w:tcBorders>
              <w:top w:val="nil"/>
              <w:left w:val="nil"/>
              <w:bottom w:val="nil"/>
              <w:right w:val="nil"/>
            </w:tcBorders>
            <w:vAlign w:val="bottom"/>
          </w:tcPr>
          <w:p w14:paraId="4E021C50"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8.384</w:t>
            </w:r>
          </w:p>
        </w:tc>
        <w:tc>
          <w:tcPr>
            <w:tcW w:w="1281" w:type="dxa"/>
            <w:tcBorders>
              <w:top w:val="nil"/>
              <w:left w:val="nil"/>
              <w:bottom w:val="nil"/>
              <w:right w:val="nil"/>
            </w:tcBorders>
            <w:vAlign w:val="bottom"/>
          </w:tcPr>
          <w:p w14:paraId="4204F6B0"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16.165</w:t>
            </w:r>
          </w:p>
        </w:tc>
        <w:tc>
          <w:tcPr>
            <w:tcW w:w="286" w:type="dxa"/>
            <w:tcBorders>
              <w:top w:val="nil"/>
              <w:left w:val="nil"/>
              <w:bottom w:val="nil"/>
              <w:right w:val="nil"/>
            </w:tcBorders>
            <w:vAlign w:val="bottom"/>
          </w:tcPr>
          <w:p w14:paraId="53789EAB" w14:textId="77777777" w:rsidR="0010523F" w:rsidRPr="0010523F" w:rsidDel="00D628D8" w:rsidRDefault="0010523F" w:rsidP="0010523F">
            <w:pPr>
              <w:widowControl w:val="0"/>
              <w:spacing w:line="200" w:lineRule="exact"/>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556BF311" w14:textId="77777777" w:rsidR="0010523F" w:rsidRPr="0010523F" w:rsidRDefault="0010523F" w:rsidP="0010523F">
            <w:pPr>
              <w:widowControl w:val="0"/>
              <w:spacing w:line="200" w:lineRule="exact"/>
              <w:ind w:left="-113" w:right="32"/>
              <w:jc w:val="right"/>
              <w:rPr>
                <w:sz w:val="21"/>
                <w:szCs w:val="21"/>
                <w:lang w:val="es-AR" w:eastAsia="en-US"/>
              </w:rPr>
            </w:pPr>
            <w:r w:rsidRPr="0010523F">
              <w:rPr>
                <w:sz w:val="21"/>
                <w:szCs w:val="21"/>
                <w:lang w:val="es-AR" w:eastAsia="en-US"/>
              </w:rPr>
              <w:t>16.937</w:t>
            </w:r>
          </w:p>
        </w:tc>
        <w:tc>
          <w:tcPr>
            <w:tcW w:w="285" w:type="dxa"/>
            <w:tcBorders>
              <w:top w:val="nil"/>
              <w:left w:val="nil"/>
              <w:bottom w:val="nil"/>
              <w:right w:val="nil"/>
            </w:tcBorders>
            <w:vAlign w:val="bottom"/>
          </w:tcPr>
          <w:p w14:paraId="2958B110"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4A8D7D24" w14:textId="77777777" w:rsidR="0010523F" w:rsidRPr="0010523F" w:rsidRDefault="0010523F" w:rsidP="0010523F">
            <w:pPr>
              <w:widowControl w:val="0"/>
              <w:spacing w:line="200" w:lineRule="exact"/>
              <w:ind w:left="-113" w:right="32"/>
              <w:jc w:val="right"/>
              <w:rPr>
                <w:sz w:val="21"/>
                <w:szCs w:val="21"/>
                <w:highlight w:val="yellow"/>
                <w:lang w:val="es-AR" w:eastAsia="en-US"/>
              </w:rPr>
            </w:pPr>
            <w:r w:rsidRPr="0010523F">
              <w:rPr>
                <w:sz w:val="21"/>
                <w:szCs w:val="21"/>
                <w:lang w:val="es-AR" w:eastAsia="en-US"/>
              </w:rPr>
              <w:t>14.329</w:t>
            </w:r>
          </w:p>
        </w:tc>
        <w:tc>
          <w:tcPr>
            <w:tcW w:w="236" w:type="dxa"/>
            <w:tcBorders>
              <w:top w:val="nil"/>
              <w:left w:val="nil"/>
              <w:bottom w:val="nil"/>
              <w:right w:val="nil"/>
            </w:tcBorders>
            <w:vAlign w:val="bottom"/>
          </w:tcPr>
          <w:p w14:paraId="3106AF1D"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6878A7A0"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36.284</w:t>
            </w:r>
          </w:p>
        </w:tc>
        <w:tc>
          <w:tcPr>
            <w:tcW w:w="1259" w:type="dxa"/>
            <w:tcBorders>
              <w:top w:val="nil"/>
              <w:left w:val="nil"/>
              <w:bottom w:val="nil"/>
              <w:right w:val="nil"/>
            </w:tcBorders>
            <w:vAlign w:val="bottom"/>
          </w:tcPr>
          <w:p w14:paraId="77C398E3"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29.146</w:t>
            </w:r>
          </w:p>
        </w:tc>
        <w:tc>
          <w:tcPr>
            <w:tcW w:w="236" w:type="dxa"/>
            <w:tcBorders>
              <w:top w:val="nil"/>
              <w:left w:val="nil"/>
              <w:bottom w:val="nil"/>
              <w:right w:val="nil"/>
            </w:tcBorders>
            <w:vAlign w:val="bottom"/>
          </w:tcPr>
          <w:p w14:paraId="25CD2EA8"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355" w:type="dxa"/>
            <w:tcBorders>
              <w:top w:val="nil"/>
              <w:left w:val="nil"/>
              <w:bottom w:val="nil"/>
              <w:right w:val="nil"/>
            </w:tcBorders>
            <w:vAlign w:val="bottom"/>
          </w:tcPr>
          <w:p w14:paraId="4B83B5FA" w14:textId="77777777" w:rsidR="0010523F" w:rsidRPr="0010523F" w:rsidRDefault="0010523F" w:rsidP="0010523F">
            <w:pPr>
              <w:widowControl w:val="0"/>
              <w:spacing w:line="200" w:lineRule="exact"/>
              <w:ind w:right="32"/>
              <w:jc w:val="right"/>
              <w:rPr>
                <w:sz w:val="21"/>
                <w:szCs w:val="21"/>
                <w:lang w:val="es-AR" w:eastAsia="en-US"/>
              </w:rPr>
            </w:pPr>
            <w:r w:rsidRPr="0010523F">
              <w:rPr>
                <w:color w:val="000000"/>
                <w:sz w:val="21"/>
                <w:szCs w:val="21"/>
                <w:lang w:val="es-AR" w:eastAsia="en-US"/>
              </w:rPr>
              <w:t xml:space="preserve">19.743 </w:t>
            </w:r>
          </w:p>
        </w:tc>
        <w:tc>
          <w:tcPr>
            <w:tcW w:w="1276" w:type="dxa"/>
            <w:tcBorders>
              <w:top w:val="nil"/>
              <w:left w:val="nil"/>
              <w:bottom w:val="nil"/>
              <w:right w:val="nil"/>
            </w:tcBorders>
            <w:vAlign w:val="bottom"/>
          </w:tcPr>
          <w:p w14:paraId="16E91496"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7.080</w:t>
            </w:r>
          </w:p>
        </w:tc>
      </w:tr>
      <w:tr w:rsidR="0010523F" w:rsidRPr="0010523F" w14:paraId="747910DC" w14:textId="77777777" w:rsidTr="00774E7E">
        <w:tc>
          <w:tcPr>
            <w:tcW w:w="2768" w:type="dxa"/>
            <w:tcBorders>
              <w:top w:val="nil"/>
              <w:left w:val="nil"/>
              <w:bottom w:val="nil"/>
              <w:right w:val="nil"/>
            </w:tcBorders>
            <w:vAlign w:val="bottom"/>
          </w:tcPr>
          <w:p w14:paraId="2BAE514D"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Entre 3 y 6 meses</w:t>
            </w:r>
          </w:p>
        </w:tc>
        <w:tc>
          <w:tcPr>
            <w:tcW w:w="1451" w:type="dxa"/>
            <w:tcBorders>
              <w:top w:val="nil"/>
              <w:left w:val="nil"/>
              <w:bottom w:val="nil"/>
              <w:right w:val="nil"/>
            </w:tcBorders>
            <w:vAlign w:val="bottom"/>
          </w:tcPr>
          <w:p w14:paraId="5971D3CF"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81" w:type="dxa"/>
            <w:tcBorders>
              <w:top w:val="nil"/>
              <w:left w:val="nil"/>
              <w:bottom w:val="nil"/>
              <w:right w:val="nil"/>
            </w:tcBorders>
            <w:vAlign w:val="bottom"/>
          </w:tcPr>
          <w:p w14:paraId="7ED7880F"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86" w:type="dxa"/>
            <w:tcBorders>
              <w:top w:val="nil"/>
              <w:left w:val="nil"/>
              <w:bottom w:val="nil"/>
              <w:right w:val="nil"/>
            </w:tcBorders>
            <w:vAlign w:val="bottom"/>
          </w:tcPr>
          <w:p w14:paraId="2D8B9BD0" w14:textId="77777777" w:rsidR="0010523F" w:rsidRPr="0010523F" w:rsidDel="00D628D8" w:rsidRDefault="0010523F" w:rsidP="0010523F">
            <w:pPr>
              <w:widowControl w:val="0"/>
              <w:spacing w:line="200" w:lineRule="exact"/>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5FE557D9" w14:textId="77777777" w:rsidR="0010523F" w:rsidRPr="0010523F" w:rsidRDefault="0010523F" w:rsidP="0010523F">
            <w:pPr>
              <w:widowControl w:val="0"/>
              <w:spacing w:line="200" w:lineRule="exact"/>
              <w:ind w:left="-113" w:right="32"/>
              <w:jc w:val="right"/>
              <w:rPr>
                <w:sz w:val="21"/>
                <w:szCs w:val="21"/>
                <w:lang w:val="es-AR" w:eastAsia="en-US"/>
              </w:rPr>
            </w:pPr>
            <w:r w:rsidRPr="0010523F">
              <w:rPr>
                <w:sz w:val="21"/>
                <w:szCs w:val="21"/>
                <w:lang w:val="es-AR" w:eastAsia="en-US"/>
              </w:rPr>
              <w:t>466</w:t>
            </w:r>
          </w:p>
        </w:tc>
        <w:tc>
          <w:tcPr>
            <w:tcW w:w="285" w:type="dxa"/>
            <w:tcBorders>
              <w:top w:val="nil"/>
              <w:left w:val="nil"/>
              <w:bottom w:val="nil"/>
              <w:right w:val="nil"/>
            </w:tcBorders>
            <w:vAlign w:val="bottom"/>
          </w:tcPr>
          <w:p w14:paraId="7C67FF23"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3CB3E3B7" w14:textId="77777777" w:rsidR="0010523F" w:rsidRPr="0010523F" w:rsidRDefault="0010523F" w:rsidP="0010523F">
            <w:pPr>
              <w:widowControl w:val="0"/>
              <w:spacing w:line="200" w:lineRule="exact"/>
              <w:ind w:left="-113" w:right="32"/>
              <w:jc w:val="right"/>
              <w:rPr>
                <w:sz w:val="21"/>
                <w:szCs w:val="21"/>
                <w:highlight w:val="yellow"/>
                <w:lang w:val="es-AR" w:eastAsia="en-US"/>
              </w:rPr>
            </w:pPr>
            <w:r w:rsidRPr="0010523F">
              <w:rPr>
                <w:sz w:val="21"/>
                <w:szCs w:val="21"/>
                <w:lang w:val="es-AR" w:eastAsia="en-US"/>
              </w:rPr>
              <w:t>53</w:t>
            </w:r>
          </w:p>
        </w:tc>
        <w:tc>
          <w:tcPr>
            <w:tcW w:w="236" w:type="dxa"/>
            <w:tcBorders>
              <w:top w:val="nil"/>
              <w:left w:val="nil"/>
              <w:bottom w:val="nil"/>
              <w:right w:val="nil"/>
            </w:tcBorders>
            <w:vAlign w:val="bottom"/>
          </w:tcPr>
          <w:p w14:paraId="5C33C303" w14:textId="77777777" w:rsidR="0010523F" w:rsidRPr="0010523F"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48CD3AA2"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59" w:type="dxa"/>
            <w:tcBorders>
              <w:top w:val="nil"/>
              <w:left w:val="nil"/>
              <w:bottom w:val="nil"/>
              <w:right w:val="nil"/>
            </w:tcBorders>
            <w:vAlign w:val="bottom"/>
          </w:tcPr>
          <w:p w14:paraId="044F2BF3"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36" w:type="dxa"/>
            <w:tcBorders>
              <w:top w:val="nil"/>
              <w:left w:val="nil"/>
              <w:bottom w:val="nil"/>
              <w:right w:val="nil"/>
            </w:tcBorders>
            <w:vAlign w:val="bottom"/>
          </w:tcPr>
          <w:p w14:paraId="6C55CD9C"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355" w:type="dxa"/>
            <w:tcBorders>
              <w:top w:val="nil"/>
              <w:left w:val="nil"/>
              <w:bottom w:val="nil"/>
              <w:right w:val="nil"/>
            </w:tcBorders>
            <w:vAlign w:val="bottom"/>
          </w:tcPr>
          <w:p w14:paraId="32BDCCB0" w14:textId="77777777" w:rsidR="0010523F" w:rsidRPr="0010523F" w:rsidRDefault="0010523F" w:rsidP="0010523F">
            <w:pPr>
              <w:widowControl w:val="0"/>
              <w:spacing w:line="200" w:lineRule="exact"/>
              <w:ind w:right="32"/>
              <w:jc w:val="right"/>
              <w:rPr>
                <w:sz w:val="21"/>
                <w:szCs w:val="21"/>
                <w:lang w:val="es-AR" w:eastAsia="en-US"/>
              </w:rPr>
            </w:pPr>
            <w:r w:rsidRPr="0010523F">
              <w:rPr>
                <w:color w:val="000000"/>
                <w:sz w:val="21"/>
                <w:szCs w:val="21"/>
                <w:lang w:val="es-AR" w:eastAsia="en-US"/>
              </w:rPr>
              <w:t xml:space="preserve">   11.725 </w:t>
            </w:r>
          </w:p>
        </w:tc>
        <w:tc>
          <w:tcPr>
            <w:tcW w:w="1276" w:type="dxa"/>
            <w:tcBorders>
              <w:top w:val="nil"/>
              <w:left w:val="nil"/>
              <w:bottom w:val="nil"/>
              <w:right w:val="nil"/>
            </w:tcBorders>
            <w:vAlign w:val="bottom"/>
          </w:tcPr>
          <w:p w14:paraId="36624EE2"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11.707</w:t>
            </w:r>
          </w:p>
        </w:tc>
      </w:tr>
      <w:tr w:rsidR="0010523F" w:rsidRPr="0010523F" w14:paraId="492496A4" w14:textId="77777777" w:rsidTr="00774E7E">
        <w:tc>
          <w:tcPr>
            <w:tcW w:w="2768" w:type="dxa"/>
            <w:tcBorders>
              <w:top w:val="nil"/>
              <w:left w:val="nil"/>
              <w:bottom w:val="nil"/>
              <w:right w:val="nil"/>
            </w:tcBorders>
            <w:vAlign w:val="bottom"/>
          </w:tcPr>
          <w:p w14:paraId="6388C32D"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Entre 6 y 9 meses</w:t>
            </w:r>
          </w:p>
        </w:tc>
        <w:tc>
          <w:tcPr>
            <w:tcW w:w="1451" w:type="dxa"/>
            <w:tcBorders>
              <w:top w:val="nil"/>
              <w:left w:val="nil"/>
              <w:bottom w:val="nil"/>
              <w:right w:val="nil"/>
            </w:tcBorders>
            <w:vAlign w:val="bottom"/>
          </w:tcPr>
          <w:p w14:paraId="10B48DE9"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81" w:type="dxa"/>
            <w:tcBorders>
              <w:top w:val="nil"/>
              <w:left w:val="nil"/>
              <w:bottom w:val="nil"/>
              <w:right w:val="nil"/>
            </w:tcBorders>
            <w:vAlign w:val="bottom"/>
          </w:tcPr>
          <w:p w14:paraId="79B4E115"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86" w:type="dxa"/>
            <w:tcBorders>
              <w:top w:val="nil"/>
              <w:left w:val="nil"/>
              <w:bottom w:val="nil"/>
              <w:right w:val="nil"/>
            </w:tcBorders>
            <w:vAlign w:val="bottom"/>
          </w:tcPr>
          <w:p w14:paraId="2B2BE0BC" w14:textId="77777777" w:rsidR="0010523F" w:rsidRPr="0010523F" w:rsidDel="00D628D8" w:rsidRDefault="0010523F" w:rsidP="0010523F">
            <w:pPr>
              <w:widowControl w:val="0"/>
              <w:spacing w:line="200" w:lineRule="exact"/>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4D595ABF" w14:textId="77777777" w:rsidR="0010523F" w:rsidRPr="0010523F" w:rsidRDefault="0010523F" w:rsidP="0010523F">
            <w:pPr>
              <w:widowControl w:val="0"/>
              <w:spacing w:line="200" w:lineRule="exact"/>
              <w:ind w:left="-113" w:right="32"/>
              <w:jc w:val="right"/>
              <w:rPr>
                <w:sz w:val="21"/>
                <w:szCs w:val="21"/>
                <w:lang w:val="es-AR" w:eastAsia="en-US"/>
              </w:rPr>
            </w:pPr>
            <w:r w:rsidRPr="0010523F">
              <w:rPr>
                <w:sz w:val="21"/>
                <w:szCs w:val="21"/>
                <w:lang w:val="es-AR" w:eastAsia="en-US"/>
              </w:rPr>
              <w:t>707</w:t>
            </w:r>
          </w:p>
        </w:tc>
        <w:tc>
          <w:tcPr>
            <w:tcW w:w="285" w:type="dxa"/>
            <w:tcBorders>
              <w:top w:val="nil"/>
              <w:left w:val="nil"/>
              <w:bottom w:val="nil"/>
              <w:right w:val="nil"/>
            </w:tcBorders>
            <w:vAlign w:val="bottom"/>
          </w:tcPr>
          <w:p w14:paraId="77FB320B"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7ABBB5F8" w14:textId="77777777" w:rsidR="0010523F" w:rsidRPr="0010523F" w:rsidRDefault="0010523F" w:rsidP="0010523F">
            <w:pPr>
              <w:widowControl w:val="0"/>
              <w:spacing w:line="200" w:lineRule="exact"/>
              <w:ind w:left="-113" w:right="32"/>
              <w:jc w:val="right"/>
              <w:rPr>
                <w:sz w:val="21"/>
                <w:szCs w:val="21"/>
                <w:highlight w:val="yellow"/>
                <w:lang w:val="es-AR" w:eastAsia="en-US"/>
              </w:rPr>
            </w:pPr>
            <w:r w:rsidRPr="0010523F">
              <w:rPr>
                <w:sz w:val="21"/>
                <w:szCs w:val="21"/>
                <w:lang w:val="es-AR" w:eastAsia="en-US"/>
              </w:rPr>
              <w:t>1.860</w:t>
            </w:r>
          </w:p>
        </w:tc>
        <w:tc>
          <w:tcPr>
            <w:tcW w:w="236" w:type="dxa"/>
            <w:tcBorders>
              <w:top w:val="nil"/>
              <w:left w:val="nil"/>
              <w:bottom w:val="nil"/>
              <w:right w:val="nil"/>
            </w:tcBorders>
            <w:vAlign w:val="bottom"/>
          </w:tcPr>
          <w:p w14:paraId="0E40F38B" w14:textId="77777777" w:rsidR="0010523F" w:rsidRPr="0010523F"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6CCBC621"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59" w:type="dxa"/>
            <w:tcBorders>
              <w:top w:val="nil"/>
              <w:left w:val="nil"/>
              <w:bottom w:val="nil"/>
              <w:right w:val="nil"/>
            </w:tcBorders>
            <w:vAlign w:val="bottom"/>
          </w:tcPr>
          <w:p w14:paraId="607CC763"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36" w:type="dxa"/>
            <w:tcBorders>
              <w:top w:val="nil"/>
              <w:left w:val="nil"/>
              <w:bottom w:val="nil"/>
              <w:right w:val="nil"/>
            </w:tcBorders>
            <w:vAlign w:val="bottom"/>
          </w:tcPr>
          <w:p w14:paraId="2DFA1448"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355" w:type="dxa"/>
            <w:tcBorders>
              <w:top w:val="nil"/>
              <w:left w:val="nil"/>
              <w:bottom w:val="nil"/>
              <w:right w:val="nil"/>
            </w:tcBorders>
            <w:vAlign w:val="bottom"/>
          </w:tcPr>
          <w:p w14:paraId="6DE8D689" w14:textId="77777777" w:rsidR="0010523F" w:rsidRPr="0010523F" w:rsidRDefault="0010523F" w:rsidP="0010523F">
            <w:pPr>
              <w:widowControl w:val="0"/>
              <w:spacing w:line="200" w:lineRule="exact"/>
              <w:ind w:right="32"/>
              <w:jc w:val="right"/>
              <w:rPr>
                <w:sz w:val="21"/>
                <w:szCs w:val="21"/>
                <w:lang w:val="es-AR" w:eastAsia="en-US"/>
              </w:rPr>
            </w:pPr>
            <w:r w:rsidRPr="0010523F">
              <w:rPr>
                <w:color w:val="000000"/>
                <w:sz w:val="21"/>
                <w:szCs w:val="21"/>
                <w:lang w:val="es-AR" w:eastAsia="en-US"/>
              </w:rPr>
              <w:t xml:space="preserve">   16.722 </w:t>
            </w:r>
          </w:p>
        </w:tc>
        <w:tc>
          <w:tcPr>
            <w:tcW w:w="1276" w:type="dxa"/>
            <w:tcBorders>
              <w:top w:val="nil"/>
              <w:left w:val="nil"/>
              <w:bottom w:val="nil"/>
              <w:right w:val="nil"/>
            </w:tcBorders>
            <w:vAlign w:val="bottom"/>
          </w:tcPr>
          <w:p w14:paraId="187B3172"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6.898</w:t>
            </w:r>
          </w:p>
        </w:tc>
      </w:tr>
      <w:tr w:rsidR="0010523F" w:rsidRPr="0010523F" w14:paraId="7D12AF28" w14:textId="77777777" w:rsidTr="00774E7E">
        <w:tc>
          <w:tcPr>
            <w:tcW w:w="2768" w:type="dxa"/>
            <w:tcBorders>
              <w:top w:val="nil"/>
              <w:left w:val="nil"/>
              <w:bottom w:val="nil"/>
              <w:right w:val="nil"/>
            </w:tcBorders>
            <w:vAlign w:val="bottom"/>
          </w:tcPr>
          <w:p w14:paraId="1BB3DC36"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Entre 9 y 12 meses</w:t>
            </w:r>
          </w:p>
        </w:tc>
        <w:tc>
          <w:tcPr>
            <w:tcW w:w="1451" w:type="dxa"/>
            <w:tcBorders>
              <w:top w:val="nil"/>
              <w:left w:val="nil"/>
              <w:bottom w:val="nil"/>
              <w:right w:val="nil"/>
            </w:tcBorders>
            <w:vAlign w:val="bottom"/>
          </w:tcPr>
          <w:p w14:paraId="5E13B3CB"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81" w:type="dxa"/>
            <w:tcBorders>
              <w:top w:val="nil"/>
              <w:left w:val="nil"/>
              <w:bottom w:val="nil"/>
              <w:right w:val="nil"/>
            </w:tcBorders>
            <w:vAlign w:val="bottom"/>
          </w:tcPr>
          <w:p w14:paraId="34E56B15"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86" w:type="dxa"/>
            <w:tcBorders>
              <w:top w:val="nil"/>
              <w:left w:val="nil"/>
              <w:bottom w:val="nil"/>
              <w:right w:val="nil"/>
            </w:tcBorders>
            <w:vAlign w:val="bottom"/>
          </w:tcPr>
          <w:p w14:paraId="6049D387" w14:textId="77777777" w:rsidR="0010523F" w:rsidRPr="0010523F" w:rsidDel="00D628D8" w:rsidRDefault="0010523F" w:rsidP="0010523F">
            <w:pPr>
              <w:widowControl w:val="0"/>
              <w:spacing w:line="200" w:lineRule="exact"/>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0B44C627" w14:textId="77777777" w:rsidR="0010523F" w:rsidRPr="0010523F" w:rsidRDefault="0010523F" w:rsidP="0010523F">
            <w:pPr>
              <w:widowControl w:val="0"/>
              <w:spacing w:line="200" w:lineRule="exact"/>
              <w:ind w:left="-113" w:right="32"/>
              <w:jc w:val="right"/>
              <w:rPr>
                <w:sz w:val="21"/>
                <w:szCs w:val="21"/>
                <w:lang w:val="es-AR" w:eastAsia="en-US"/>
              </w:rPr>
            </w:pPr>
            <w:r w:rsidRPr="0010523F">
              <w:rPr>
                <w:sz w:val="21"/>
                <w:szCs w:val="21"/>
                <w:lang w:val="es-AR" w:eastAsia="en-US"/>
              </w:rPr>
              <w:t>1.643</w:t>
            </w:r>
          </w:p>
        </w:tc>
        <w:tc>
          <w:tcPr>
            <w:tcW w:w="285" w:type="dxa"/>
            <w:tcBorders>
              <w:top w:val="nil"/>
              <w:left w:val="nil"/>
              <w:bottom w:val="nil"/>
              <w:right w:val="nil"/>
            </w:tcBorders>
            <w:vAlign w:val="bottom"/>
          </w:tcPr>
          <w:p w14:paraId="68726D0E"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08CE9658" w14:textId="77777777" w:rsidR="0010523F" w:rsidRPr="0010523F" w:rsidRDefault="0010523F" w:rsidP="0010523F">
            <w:pPr>
              <w:widowControl w:val="0"/>
              <w:spacing w:line="200" w:lineRule="exact"/>
              <w:ind w:left="-113" w:right="32"/>
              <w:jc w:val="right"/>
              <w:rPr>
                <w:sz w:val="21"/>
                <w:szCs w:val="21"/>
                <w:highlight w:val="yellow"/>
                <w:lang w:val="es-AR" w:eastAsia="en-US"/>
              </w:rPr>
            </w:pPr>
            <w:r w:rsidRPr="0010523F">
              <w:rPr>
                <w:sz w:val="21"/>
                <w:szCs w:val="21"/>
                <w:lang w:val="es-AR" w:eastAsia="en-US"/>
              </w:rPr>
              <w:t>51</w:t>
            </w:r>
          </w:p>
        </w:tc>
        <w:tc>
          <w:tcPr>
            <w:tcW w:w="236" w:type="dxa"/>
            <w:tcBorders>
              <w:top w:val="nil"/>
              <w:left w:val="nil"/>
              <w:bottom w:val="nil"/>
              <w:right w:val="nil"/>
            </w:tcBorders>
            <w:vAlign w:val="bottom"/>
          </w:tcPr>
          <w:p w14:paraId="786A62CA"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245CE1C3"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3.445</w:t>
            </w:r>
          </w:p>
        </w:tc>
        <w:tc>
          <w:tcPr>
            <w:tcW w:w="1259" w:type="dxa"/>
            <w:tcBorders>
              <w:top w:val="nil"/>
              <w:left w:val="nil"/>
              <w:bottom w:val="nil"/>
              <w:right w:val="nil"/>
            </w:tcBorders>
            <w:vAlign w:val="bottom"/>
          </w:tcPr>
          <w:p w14:paraId="1A4DAB6B"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36" w:type="dxa"/>
            <w:tcBorders>
              <w:top w:val="nil"/>
              <w:left w:val="nil"/>
              <w:bottom w:val="nil"/>
              <w:right w:val="nil"/>
            </w:tcBorders>
            <w:vAlign w:val="bottom"/>
          </w:tcPr>
          <w:p w14:paraId="30B5D67A"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355" w:type="dxa"/>
            <w:tcBorders>
              <w:top w:val="nil"/>
              <w:left w:val="nil"/>
              <w:bottom w:val="nil"/>
              <w:right w:val="nil"/>
            </w:tcBorders>
            <w:vAlign w:val="bottom"/>
          </w:tcPr>
          <w:p w14:paraId="4AF1DF69" w14:textId="77777777" w:rsidR="0010523F" w:rsidRPr="0010523F" w:rsidRDefault="0010523F" w:rsidP="0010523F">
            <w:pPr>
              <w:widowControl w:val="0"/>
              <w:spacing w:line="200" w:lineRule="exact"/>
              <w:ind w:right="32"/>
              <w:jc w:val="right"/>
              <w:rPr>
                <w:sz w:val="21"/>
                <w:szCs w:val="21"/>
                <w:lang w:val="es-AR" w:eastAsia="en-US"/>
              </w:rPr>
            </w:pPr>
            <w:r w:rsidRPr="0010523F">
              <w:rPr>
                <w:color w:val="000000"/>
                <w:sz w:val="21"/>
                <w:szCs w:val="21"/>
                <w:lang w:val="es-AR" w:eastAsia="en-US"/>
              </w:rPr>
              <w:t xml:space="preserve"> 11.233 </w:t>
            </w:r>
          </w:p>
        </w:tc>
        <w:tc>
          <w:tcPr>
            <w:tcW w:w="1276" w:type="dxa"/>
            <w:tcBorders>
              <w:top w:val="nil"/>
              <w:left w:val="nil"/>
              <w:bottom w:val="nil"/>
              <w:right w:val="nil"/>
            </w:tcBorders>
            <w:vAlign w:val="bottom"/>
          </w:tcPr>
          <w:p w14:paraId="3C1497DC"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7.615</w:t>
            </w:r>
          </w:p>
        </w:tc>
      </w:tr>
      <w:tr w:rsidR="0010523F" w:rsidRPr="0010523F" w14:paraId="28538AC2" w14:textId="77777777" w:rsidTr="00774E7E">
        <w:trPr>
          <w:trHeight w:val="74"/>
        </w:trPr>
        <w:tc>
          <w:tcPr>
            <w:tcW w:w="2768" w:type="dxa"/>
            <w:tcBorders>
              <w:top w:val="nil"/>
              <w:left w:val="nil"/>
              <w:bottom w:val="nil"/>
              <w:right w:val="nil"/>
            </w:tcBorders>
            <w:vAlign w:val="bottom"/>
          </w:tcPr>
          <w:p w14:paraId="50D6825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Entre 1 y 2 años</w:t>
            </w:r>
          </w:p>
        </w:tc>
        <w:tc>
          <w:tcPr>
            <w:tcW w:w="1451" w:type="dxa"/>
            <w:tcBorders>
              <w:top w:val="nil"/>
              <w:left w:val="nil"/>
              <w:bottom w:val="nil"/>
              <w:right w:val="nil"/>
            </w:tcBorders>
            <w:vAlign w:val="bottom"/>
          </w:tcPr>
          <w:p w14:paraId="505465A1"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23</w:t>
            </w:r>
          </w:p>
        </w:tc>
        <w:tc>
          <w:tcPr>
            <w:tcW w:w="1281" w:type="dxa"/>
            <w:tcBorders>
              <w:top w:val="nil"/>
              <w:left w:val="nil"/>
              <w:bottom w:val="nil"/>
              <w:right w:val="nil"/>
            </w:tcBorders>
            <w:vAlign w:val="bottom"/>
          </w:tcPr>
          <w:p w14:paraId="50CBB9A3"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42</w:t>
            </w:r>
          </w:p>
        </w:tc>
        <w:tc>
          <w:tcPr>
            <w:tcW w:w="286" w:type="dxa"/>
            <w:tcBorders>
              <w:top w:val="nil"/>
              <w:left w:val="nil"/>
              <w:bottom w:val="nil"/>
              <w:right w:val="nil"/>
            </w:tcBorders>
            <w:vAlign w:val="bottom"/>
          </w:tcPr>
          <w:p w14:paraId="329D8E7D" w14:textId="77777777" w:rsidR="0010523F" w:rsidRPr="0010523F" w:rsidDel="00D628D8" w:rsidRDefault="0010523F" w:rsidP="0010523F">
            <w:pPr>
              <w:widowControl w:val="0"/>
              <w:spacing w:line="200" w:lineRule="exact"/>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617016F1" w14:textId="77777777" w:rsidR="0010523F" w:rsidRPr="0010523F" w:rsidRDefault="0010523F" w:rsidP="0010523F">
            <w:pPr>
              <w:widowControl w:val="0"/>
              <w:spacing w:line="200" w:lineRule="exact"/>
              <w:ind w:left="-113" w:right="32"/>
              <w:jc w:val="right"/>
              <w:rPr>
                <w:sz w:val="21"/>
                <w:szCs w:val="21"/>
                <w:lang w:val="es-AR" w:eastAsia="en-US"/>
              </w:rPr>
            </w:pPr>
            <w:r w:rsidRPr="0010523F">
              <w:rPr>
                <w:sz w:val="21"/>
                <w:szCs w:val="21"/>
                <w:lang w:val="es-AR" w:eastAsia="en-US"/>
              </w:rPr>
              <w:t>721</w:t>
            </w:r>
          </w:p>
        </w:tc>
        <w:tc>
          <w:tcPr>
            <w:tcW w:w="285" w:type="dxa"/>
            <w:tcBorders>
              <w:top w:val="nil"/>
              <w:left w:val="nil"/>
              <w:bottom w:val="nil"/>
              <w:right w:val="nil"/>
            </w:tcBorders>
            <w:vAlign w:val="bottom"/>
          </w:tcPr>
          <w:p w14:paraId="242D0AF9"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6F0AA9C0" w14:textId="77777777" w:rsidR="0010523F" w:rsidRPr="0010523F" w:rsidRDefault="0010523F" w:rsidP="0010523F">
            <w:pPr>
              <w:widowControl w:val="0"/>
              <w:spacing w:line="200" w:lineRule="exact"/>
              <w:ind w:left="-113" w:right="32"/>
              <w:jc w:val="right"/>
              <w:rPr>
                <w:sz w:val="21"/>
                <w:szCs w:val="21"/>
                <w:highlight w:val="yellow"/>
                <w:lang w:val="es-AR" w:eastAsia="en-US"/>
              </w:rPr>
            </w:pPr>
            <w:r w:rsidRPr="0010523F">
              <w:rPr>
                <w:sz w:val="21"/>
                <w:szCs w:val="21"/>
                <w:lang w:val="es-AR" w:eastAsia="en-US"/>
              </w:rPr>
              <w:t>566</w:t>
            </w:r>
          </w:p>
        </w:tc>
        <w:tc>
          <w:tcPr>
            <w:tcW w:w="236" w:type="dxa"/>
            <w:tcBorders>
              <w:top w:val="nil"/>
              <w:left w:val="nil"/>
              <w:bottom w:val="nil"/>
              <w:right w:val="nil"/>
            </w:tcBorders>
            <w:vAlign w:val="bottom"/>
          </w:tcPr>
          <w:p w14:paraId="071F2CE7"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520A6106"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59" w:type="dxa"/>
            <w:tcBorders>
              <w:top w:val="nil"/>
              <w:left w:val="nil"/>
              <w:bottom w:val="nil"/>
              <w:right w:val="nil"/>
            </w:tcBorders>
            <w:vAlign w:val="bottom"/>
          </w:tcPr>
          <w:p w14:paraId="73390B7A"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36" w:type="dxa"/>
            <w:tcBorders>
              <w:top w:val="nil"/>
              <w:left w:val="nil"/>
              <w:bottom w:val="nil"/>
              <w:right w:val="nil"/>
            </w:tcBorders>
            <w:vAlign w:val="bottom"/>
          </w:tcPr>
          <w:p w14:paraId="6E7A4187"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355" w:type="dxa"/>
            <w:tcBorders>
              <w:top w:val="nil"/>
              <w:left w:val="nil"/>
              <w:bottom w:val="nil"/>
              <w:right w:val="nil"/>
            </w:tcBorders>
            <w:vAlign w:val="bottom"/>
          </w:tcPr>
          <w:p w14:paraId="6330BBC5" w14:textId="77777777" w:rsidR="0010523F" w:rsidRPr="0010523F" w:rsidRDefault="0010523F" w:rsidP="0010523F">
            <w:pPr>
              <w:widowControl w:val="0"/>
              <w:spacing w:line="200" w:lineRule="exact"/>
              <w:ind w:right="32"/>
              <w:jc w:val="right"/>
              <w:rPr>
                <w:sz w:val="21"/>
                <w:szCs w:val="21"/>
                <w:lang w:val="es-AR" w:eastAsia="en-US"/>
              </w:rPr>
            </w:pPr>
            <w:r w:rsidRPr="0010523F">
              <w:rPr>
                <w:color w:val="000000"/>
                <w:sz w:val="21"/>
                <w:szCs w:val="21"/>
                <w:lang w:val="es-AR" w:eastAsia="en-US"/>
              </w:rPr>
              <w:t xml:space="preserve"> 43.077 </w:t>
            </w:r>
          </w:p>
        </w:tc>
        <w:tc>
          <w:tcPr>
            <w:tcW w:w="1276" w:type="dxa"/>
            <w:tcBorders>
              <w:top w:val="nil"/>
              <w:left w:val="nil"/>
              <w:bottom w:val="nil"/>
              <w:right w:val="nil"/>
            </w:tcBorders>
            <w:vAlign w:val="bottom"/>
          </w:tcPr>
          <w:p w14:paraId="5FA06BC7"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25.848</w:t>
            </w:r>
          </w:p>
        </w:tc>
      </w:tr>
      <w:tr w:rsidR="0010523F" w:rsidRPr="0010523F" w14:paraId="05BE1B62" w14:textId="77777777" w:rsidTr="00774E7E">
        <w:tc>
          <w:tcPr>
            <w:tcW w:w="2768" w:type="dxa"/>
            <w:tcBorders>
              <w:top w:val="nil"/>
              <w:left w:val="nil"/>
              <w:bottom w:val="nil"/>
              <w:right w:val="nil"/>
            </w:tcBorders>
            <w:vAlign w:val="bottom"/>
          </w:tcPr>
          <w:p w14:paraId="27FF09A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Entre 2 y 3 años</w:t>
            </w:r>
          </w:p>
        </w:tc>
        <w:tc>
          <w:tcPr>
            <w:tcW w:w="1451" w:type="dxa"/>
            <w:tcBorders>
              <w:top w:val="nil"/>
              <w:left w:val="nil"/>
              <w:bottom w:val="nil"/>
              <w:right w:val="nil"/>
            </w:tcBorders>
            <w:vAlign w:val="bottom"/>
          </w:tcPr>
          <w:p w14:paraId="7E22D31D"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81" w:type="dxa"/>
            <w:tcBorders>
              <w:top w:val="nil"/>
              <w:left w:val="nil"/>
              <w:bottom w:val="nil"/>
              <w:right w:val="nil"/>
            </w:tcBorders>
            <w:vAlign w:val="bottom"/>
          </w:tcPr>
          <w:p w14:paraId="1909F241"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86" w:type="dxa"/>
            <w:tcBorders>
              <w:top w:val="nil"/>
              <w:left w:val="nil"/>
              <w:bottom w:val="nil"/>
              <w:right w:val="nil"/>
            </w:tcBorders>
            <w:vAlign w:val="bottom"/>
          </w:tcPr>
          <w:p w14:paraId="2D9F5EB0" w14:textId="77777777" w:rsidR="0010523F" w:rsidRPr="0010523F" w:rsidDel="00D628D8" w:rsidRDefault="0010523F" w:rsidP="0010523F">
            <w:pPr>
              <w:widowControl w:val="0"/>
              <w:spacing w:line="200" w:lineRule="exact"/>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56004CD2" w14:textId="77777777" w:rsidR="0010523F" w:rsidRPr="0010523F" w:rsidRDefault="0010523F" w:rsidP="0010523F">
            <w:pPr>
              <w:widowControl w:val="0"/>
              <w:spacing w:line="200" w:lineRule="exact"/>
              <w:ind w:left="-113" w:right="32"/>
              <w:jc w:val="right"/>
              <w:rPr>
                <w:sz w:val="21"/>
                <w:szCs w:val="21"/>
                <w:lang w:val="es-AR" w:eastAsia="en-US"/>
              </w:rPr>
            </w:pPr>
            <w:r w:rsidRPr="0010523F">
              <w:rPr>
                <w:sz w:val="21"/>
                <w:szCs w:val="21"/>
                <w:lang w:val="es-AR" w:eastAsia="en-US"/>
              </w:rPr>
              <w:t>214</w:t>
            </w:r>
          </w:p>
        </w:tc>
        <w:tc>
          <w:tcPr>
            <w:tcW w:w="285" w:type="dxa"/>
            <w:tcBorders>
              <w:top w:val="nil"/>
              <w:left w:val="nil"/>
              <w:bottom w:val="nil"/>
              <w:right w:val="nil"/>
            </w:tcBorders>
            <w:vAlign w:val="bottom"/>
          </w:tcPr>
          <w:p w14:paraId="648FE7AF"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7FB804C7" w14:textId="77777777" w:rsidR="0010523F" w:rsidRPr="0010523F" w:rsidRDefault="0010523F" w:rsidP="0010523F">
            <w:pPr>
              <w:widowControl w:val="0"/>
              <w:spacing w:line="200" w:lineRule="exact"/>
              <w:ind w:left="-113" w:right="32"/>
              <w:jc w:val="right"/>
              <w:rPr>
                <w:sz w:val="21"/>
                <w:szCs w:val="21"/>
                <w:highlight w:val="yellow"/>
                <w:lang w:val="es-AR" w:eastAsia="en-US"/>
              </w:rPr>
            </w:pPr>
            <w:r w:rsidRPr="0010523F">
              <w:rPr>
                <w:sz w:val="21"/>
                <w:szCs w:val="21"/>
                <w:lang w:val="es-AR" w:eastAsia="en-US"/>
              </w:rPr>
              <w:t>269</w:t>
            </w:r>
          </w:p>
        </w:tc>
        <w:tc>
          <w:tcPr>
            <w:tcW w:w="236" w:type="dxa"/>
            <w:tcBorders>
              <w:top w:val="nil"/>
              <w:left w:val="nil"/>
              <w:bottom w:val="nil"/>
              <w:right w:val="nil"/>
            </w:tcBorders>
            <w:vAlign w:val="bottom"/>
          </w:tcPr>
          <w:p w14:paraId="519C4F30" w14:textId="77777777" w:rsidR="0010523F" w:rsidRPr="0010523F"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7496B8E1"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59" w:type="dxa"/>
            <w:tcBorders>
              <w:top w:val="nil"/>
              <w:left w:val="nil"/>
              <w:bottom w:val="nil"/>
              <w:right w:val="nil"/>
            </w:tcBorders>
            <w:vAlign w:val="bottom"/>
          </w:tcPr>
          <w:p w14:paraId="553F84C6"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36" w:type="dxa"/>
            <w:tcBorders>
              <w:top w:val="nil"/>
              <w:left w:val="nil"/>
              <w:bottom w:val="nil"/>
              <w:right w:val="nil"/>
            </w:tcBorders>
            <w:vAlign w:val="bottom"/>
          </w:tcPr>
          <w:p w14:paraId="00D595A5"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355" w:type="dxa"/>
            <w:tcBorders>
              <w:top w:val="nil"/>
              <w:left w:val="nil"/>
              <w:bottom w:val="nil"/>
              <w:right w:val="nil"/>
            </w:tcBorders>
            <w:vAlign w:val="bottom"/>
          </w:tcPr>
          <w:p w14:paraId="1CDA9C22" w14:textId="77777777" w:rsidR="0010523F" w:rsidRPr="0010523F" w:rsidRDefault="0010523F" w:rsidP="0010523F">
            <w:pPr>
              <w:widowControl w:val="0"/>
              <w:spacing w:line="200" w:lineRule="exact"/>
              <w:ind w:right="32"/>
              <w:jc w:val="right"/>
              <w:rPr>
                <w:sz w:val="21"/>
                <w:szCs w:val="21"/>
                <w:lang w:val="es-AR" w:eastAsia="en-US"/>
              </w:rPr>
            </w:pPr>
            <w:r w:rsidRPr="0010523F">
              <w:rPr>
                <w:color w:val="000000"/>
                <w:sz w:val="21"/>
                <w:szCs w:val="21"/>
                <w:lang w:val="es-AR" w:eastAsia="en-US"/>
              </w:rPr>
              <w:t xml:space="preserve">15.100 </w:t>
            </w:r>
          </w:p>
        </w:tc>
        <w:tc>
          <w:tcPr>
            <w:tcW w:w="1276" w:type="dxa"/>
            <w:tcBorders>
              <w:top w:val="nil"/>
              <w:left w:val="nil"/>
              <w:bottom w:val="nil"/>
              <w:right w:val="nil"/>
            </w:tcBorders>
            <w:vAlign w:val="bottom"/>
          </w:tcPr>
          <w:p w14:paraId="09A478E2"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22.427</w:t>
            </w:r>
          </w:p>
        </w:tc>
      </w:tr>
      <w:tr w:rsidR="0010523F" w:rsidRPr="0010523F" w14:paraId="01ABD169" w14:textId="77777777" w:rsidTr="00774E7E">
        <w:tc>
          <w:tcPr>
            <w:tcW w:w="2768" w:type="dxa"/>
            <w:tcBorders>
              <w:top w:val="nil"/>
              <w:left w:val="nil"/>
              <w:bottom w:val="nil"/>
              <w:right w:val="nil"/>
            </w:tcBorders>
            <w:vAlign w:val="bottom"/>
          </w:tcPr>
          <w:p w14:paraId="692D2CF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Entre 3 y 4 años</w:t>
            </w:r>
          </w:p>
        </w:tc>
        <w:tc>
          <w:tcPr>
            <w:tcW w:w="1451" w:type="dxa"/>
            <w:tcBorders>
              <w:top w:val="nil"/>
              <w:left w:val="nil"/>
              <w:bottom w:val="nil"/>
              <w:right w:val="nil"/>
            </w:tcBorders>
            <w:vAlign w:val="bottom"/>
          </w:tcPr>
          <w:p w14:paraId="052213CD"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81" w:type="dxa"/>
            <w:tcBorders>
              <w:top w:val="nil"/>
              <w:left w:val="nil"/>
              <w:bottom w:val="nil"/>
              <w:right w:val="nil"/>
            </w:tcBorders>
            <w:vAlign w:val="bottom"/>
          </w:tcPr>
          <w:p w14:paraId="075E4D08"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86" w:type="dxa"/>
            <w:tcBorders>
              <w:top w:val="nil"/>
              <w:left w:val="nil"/>
              <w:bottom w:val="nil"/>
              <w:right w:val="nil"/>
            </w:tcBorders>
            <w:vAlign w:val="bottom"/>
          </w:tcPr>
          <w:p w14:paraId="47BDF02A"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5CB3674E" w14:textId="77777777" w:rsidR="0010523F" w:rsidRPr="0010523F" w:rsidRDefault="0010523F" w:rsidP="0010523F">
            <w:pPr>
              <w:widowControl w:val="0"/>
              <w:spacing w:line="200" w:lineRule="exact"/>
              <w:ind w:left="-113" w:right="32"/>
              <w:jc w:val="right"/>
              <w:rPr>
                <w:sz w:val="21"/>
                <w:szCs w:val="21"/>
                <w:lang w:val="es-AR" w:eastAsia="en-US"/>
              </w:rPr>
            </w:pPr>
            <w:r w:rsidRPr="0010523F">
              <w:rPr>
                <w:sz w:val="21"/>
                <w:szCs w:val="21"/>
                <w:lang w:val="es-AR" w:eastAsia="en-US"/>
              </w:rPr>
              <w:t>7</w:t>
            </w:r>
          </w:p>
        </w:tc>
        <w:tc>
          <w:tcPr>
            <w:tcW w:w="285" w:type="dxa"/>
            <w:tcBorders>
              <w:top w:val="nil"/>
              <w:left w:val="nil"/>
              <w:bottom w:val="nil"/>
              <w:right w:val="nil"/>
            </w:tcBorders>
            <w:vAlign w:val="bottom"/>
          </w:tcPr>
          <w:p w14:paraId="698EF253"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2BF355EF" w14:textId="77777777" w:rsidR="0010523F" w:rsidRPr="0010523F" w:rsidRDefault="0010523F" w:rsidP="0010523F">
            <w:pPr>
              <w:widowControl w:val="0"/>
              <w:spacing w:line="200" w:lineRule="exact"/>
              <w:ind w:left="-113" w:right="32"/>
              <w:jc w:val="right"/>
              <w:rPr>
                <w:sz w:val="21"/>
                <w:szCs w:val="21"/>
                <w:highlight w:val="yellow"/>
                <w:lang w:val="es-AR" w:eastAsia="en-US"/>
              </w:rPr>
            </w:pPr>
            <w:r w:rsidRPr="0010523F">
              <w:rPr>
                <w:sz w:val="21"/>
                <w:szCs w:val="21"/>
                <w:lang w:val="es-AR" w:eastAsia="en-US"/>
              </w:rPr>
              <w:t>3</w:t>
            </w:r>
          </w:p>
        </w:tc>
        <w:tc>
          <w:tcPr>
            <w:tcW w:w="236" w:type="dxa"/>
            <w:tcBorders>
              <w:top w:val="nil"/>
              <w:left w:val="nil"/>
              <w:bottom w:val="nil"/>
              <w:right w:val="nil"/>
            </w:tcBorders>
            <w:vAlign w:val="bottom"/>
          </w:tcPr>
          <w:p w14:paraId="31348E5D" w14:textId="77777777" w:rsidR="0010523F" w:rsidRPr="0010523F"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484645C6"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w:t>
            </w:r>
          </w:p>
        </w:tc>
        <w:tc>
          <w:tcPr>
            <w:tcW w:w="1259" w:type="dxa"/>
            <w:tcBorders>
              <w:top w:val="nil"/>
              <w:left w:val="nil"/>
              <w:bottom w:val="nil"/>
              <w:right w:val="nil"/>
            </w:tcBorders>
            <w:vAlign w:val="bottom"/>
          </w:tcPr>
          <w:p w14:paraId="4AEF9B6A"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w:t>
            </w:r>
          </w:p>
        </w:tc>
        <w:tc>
          <w:tcPr>
            <w:tcW w:w="236" w:type="dxa"/>
            <w:tcBorders>
              <w:top w:val="nil"/>
              <w:left w:val="nil"/>
              <w:bottom w:val="nil"/>
              <w:right w:val="nil"/>
            </w:tcBorders>
            <w:vAlign w:val="bottom"/>
          </w:tcPr>
          <w:p w14:paraId="652A0D38" w14:textId="77777777" w:rsidR="0010523F" w:rsidRPr="0010523F" w:rsidDel="00D628D8" w:rsidRDefault="0010523F" w:rsidP="0010523F">
            <w:pPr>
              <w:widowControl w:val="0"/>
              <w:spacing w:line="200" w:lineRule="exact"/>
              <w:ind w:right="32"/>
              <w:jc w:val="right"/>
              <w:rPr>
                <w:sz w:val="21"/>
                <w:szCs w:val="21"/>
                <w:highlight w:val="yellow"/>
                <w:lang w:val="es-AR" w:eastAsia="en-US"/>
              </w:rPr>
            </w:pPr>
          </w:p>
        </w:tc>
        <w:tc>
          <w:tcPr>
            <w:tcW w:w="1355" w:type="dxa"/>
            <w:tcBorders>
              <w:top w:val="nil"/>
              <w:left w:val="nil"/>
              <w:bottom w:val="nil"/>
              <w:right w:val="nil"/>
            </w:tcBorders>
            <w:vAlign w:val="bottom"/>
          </w:tcPr>
          <w:p w14:paraId="194A03C6" w14:textId="77777777" w:rsidR="0010523F" w:rsidRPr="0010523F" w:rsidRDefault="0010523F" w:rsidP="0010523F">
            <w:pPr>
              <w:widowControl w:val="0"/>
              <w:spacing w:line="200" w:lineRule="exact"/>
              <w:ind w:right="32"/>
              <w:jc w:val="right"/>
              <w:rPr>
                <w:sz w:val="21"/>
                <w:szCs w:val="21"/>
                <w:lang w:val="es-AR" w:eastAsia="en-US"/>
              </w:rPr>
            </w:pPr>
            <w:r w:rsidRPr="0010523F">
              <w:rPr>
                <w:color w:val="000000"/>
                <w:sz w:val="21"/>
                <w:szCs w:val="21"/>
                <w:lang w:val="es-AR" w:eastAsia="en-US"/>
              </w:rPr>
              <w:t xml:space="preserve">  3.016 </w:t>
            </w:r>
          </w:p>
        </w:tc>
        <w:tc>
          <w:tcPr>
            <w:tcW w:w="1276" w:type="dxa"/>
            <w:tcBorders>
              <w:top w:val="nil"/>
              <w:left w:val="nil"/>
              <w:bottom w:val="nil"/>
              <w:right w:val="nil"/>
            </w:tcBorders>
            <w:vAlign w:val="bottom"/>
          </w:tcPr>
          <w:p w14:paraId="477F8205"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7.434</w:t>
            </w:r>
          </w:p>
        </w:tc>
      </w:tr>
      <w:tr w:rsidR="0010523F" w:rsidRPr="0010523F" w14:paraId="7D9D491E" w14:textId="77777777" w:rsidTr="00774E7E">
        <w:tc>
          <w:tcPr>
            <w:tcW w:w="2768" w:type="dxa"/>
            <w:tcBorders>
              <w:top w:val="nil"/>
              <w:left w:val="nil"/>
              <w:bottom w:val="nil"/>
              <w:right w:val="nil"/>
            </w:tcBorders>
            <w:vAlign w:val="bottom"/>
          </w:tcPr>
          <w:p w14:paraId="378D6995"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Entre 4 y 5 años</w:t>
            </w:r>
          </w:p>
        </w:tc>
        <w:tc>
          <w:tcPr>
            <w:tcW w:w="1451" w:type="dxa"/>
            <w:tcBorders>
              <w:top w:val="nil"/>
              <w:left w:val="nil"/>
              <w:bottom w:val="nil"/>
              <w:right w:val="nil"/>
            </w:tcBorders>
            <w:vAlign w:val="bottom"/>
          </w:tcPr>
          <w:p w14:paraId="47185B10"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 xml:space="preserve">        -</w:t>
            </w:r>
          </w:p>
        </w:tc>
        <w:tc>
          <w:tcPr>
            <w:tcW w:w="1281" w:type="dxa"/>
            <w:tcBorders>
              <w:top w:val="nil"/>
              <w:left w:val="nil"/>
              <w:bottom w:val="nil"/>
              <w:right w:val="nil"/>
            </w:tcBorders>
            <w:vAlign w:val="bottom"/>
          </w:tcPr>
          <w:p w14:paraId="0C6A4ECE"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 xml:space="preserve">        -</w:t>
            </w:r>
          </w:p>
        </w:tc>
        <w:tc>
          <w:tcPr>
            <w:tcW w:w="286" w:type="dxa"/>
            <w:tcBorders>
              <w:top w:val="nil"/>
              <w:left w:val="nil"/>
              <w:bottom w:val="nil"/>
              <w:right w:val="nil"/>
            </w:tcBorders>
            <w:vAlign w:val="bottom"/>
          </w:tcPr>
          <w:p w14:paraId="655DEE14"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69" w:type="dxa"/>
            <w:tcBorders>
              <w:top w:val="nil"/>
              <w:left w:val="nil"/>
              <w:bottom w:val="nil"/>
              <w:right w:val="nil"/>
            </w:tcBorders>
            <w:vAlign w:val="bottom"/>
          </w:tcPr>
          <w:p w14:paraId="5F836CC6" w14:textId="77777777" w:rsidR="0010523F" w:rsidRPr="0010523F" w:rsidRDefault="0010523F" w:rsidP="0010523F">
            <w:pPr>
              <w:widowControl w:val="0"/>
              <w:spacing w:line="200" w:lineRule="exact"/>
              <w:ind w:left="-113" w:right="32"/>
              <w:jc w:val="right"/>
              <w:rPr>
                <w:sz w:val="21"/>
                <w:szCs w:val="21"/>
                <w:lang w:val="es-AR" w:eastAsia="en-US"/>
              </w:rPr>
            </w:pPr>
            <w:r w:rsidRPr="0010523F">
              <w:rPr>
                <w:sz w:val="21"/>
                <w:szCs w:val="21"/>
                <w:lang w:val="es-AR" w:eastAsia="en-US"/>
              </w:rPr>
              <w:t xml:space="preserve">       3</w:t>
            </w:r>
          </w:p>
        </w:tc>
        <w:tc>
          <w:tcPr>
            <w:tcW w:w="285" w:type="dxa"/>
            <w:tcBorders>
              <w:top w:val="nil"/>
              <w:left w:val="nil"/>
              <w:bottom w:val="nil"/>
              <w:right w:val="nil"/>
            </w:tcBorders>
            <w:vAlign w:val="bottom"/>
          </w:tcPr>
          <w:p w14:paraId="4FF0DD44" w14:textId="77777777" w:rsidR="0010523F" w:rsidRPr="0010523F" w:rsidRDefault="0010523F" w:rsidP="0010523F">
            <w:pPr>
              <w:widowControl w:val="0"/>
              <w:spacing w:line="200" w:lineRule="exact"/>
              <w:ind w:left="-113" w:right="32"/>
              <w:jc w:val="right"/>
              <w:rPr>
                <w:sz w:val="21"/>
                <w:szCs w:val="21"/>
                <w:highlight w:val="yellow"/>
                <w:lang w:val="es-AR" w:eastAsia="en-US"/>
              </w:rPr>
            </w:pPr>
          </w:p>
        </w:tc>
        <w:tc>
          <w:tcPr>
            <w:tcW w:w="1215" w:type="dxa"/>
            <w:tcBorders>
              <w:top w:val="nil"/>
              <w:left w:val="nil"/>
              <w:bottom w:val="nil"/>
              <w:right w:val="nil"/>
            </w:tcBorders>
            <w:vAlign w:val="bottom"/>
          </w:tcPr>
          <w:p w14:paraId="666564C6" w14:textId="77777777" w:rsidR="0010523F" w:rsidRPr="0010523F" w:rsidRDefault="0010523F" w:rsidP="0010523F">
            <w:pPr>
              <w:widowControl w:val="0"/>
              <w:spacing w:line="200" w:lineRule="exact"/>
              <w:ind w:left="-113" w:right="32"/>
              <w:jc w:val="right"/>
              <w:rPr>
                <w:sz w:val="21"/>
                <w:szCs w:val="21"/>
                <w:highlight w:val="yellow"/>
                <w:lang w:val="es-AR" w:eastAsia="en-US"/>
              </w:rPr>
            </w:pPr>
            <w:r w:rsidRPr="0010523F">
              <w:rPr>
                <w:sz w:val="21"/>
                <w:szCs w:val="21"/>
                <w:lang w:val="es-AR" w:eastAsia="en-US"/>
              </w:rPr>
              <w:t xml:space="preserve">       1</w:t>
            </w:r>
          </w:p>
        </w:tc>
        <w:tc>
          <w:tcPr>
            <w:tcW w:w="236" w:type="dxa"/>
            <w:tcBorders>
              <w:top w:val="nil"/>
              <w:left w:val="nil"/>
              <w:bottom w:val="nil"/>
              <w:right w:val="nil"/>
            </w:tcBorders>
            <w:vAlign w:val="bottom"/>
          </w:tcPr>
          <w:p w14:paraId="5AD7EF6C" w14:textId="77777777" w:rsidR="0010523F" w:rsidRPr="0010523F" w:rsidRDefault="0010523F" w:rsidP="0010523F">
            <w:pPr>
              <w:widowControl w:val="0"/>
              <w:spacing w:line="200" w:lineRule="exact"/>
              <w:ind w:right="32"/>
              <w:jc w:val="right"/>
              <w:rPr>
                <w:sz w:val="21"/>
                <w:szCs w:val="21"/>
                <w:highlight w:val="yellow"/>
                <w:lang w:val="es-AR" w:eastAsia="en-US"/>
              </w:rPr>
            </w:pPr>
          </w:p>
        </w:tc>
        <w:tc>
          <w:tcPr>
            <w:tcW w:w="1225" w:type="dxa"/>
            <w:tcBorders>
              <w:top w:val="nil"/>
              <w:left w:val="nil"/>
              <w:bottom w:val="nil"/>
              <w:right w:val="nil"/>
            </w:tcBorders>
            <w:vAlign w:val="bottom"/>
          </w:tcPr>
          <w:p w14:paraId="2908E6DD" w14:textId="77777777" w:rsidR="0010523F" w:rsidRPr="0010523F" w:rsidRDefault="0010523F" w:rsidP="0010523F">
            <w:pPr>
              <w:widowControl w:val="0"/>
              <w:spacing w:line="200" w:lineRule="exact"/>
              <w:ind w:right="32"/>
              <w:jc w:val="right"/>
              <w:rPr>
                <w:sz w:val="21"/>
                <w:szCs w:val="21"/>
                <w:lang w:val="es-AR" w:eastAsia="en-US"/>
              </w:rPr>
            </w:pPr>
            <w:r w:rsidRPr="0010523F">
              <w:rPr>
                <w:sz w:val="21"/>
                <w:szCs w:val="21"/>
                <w:lang w:val="es-AR" w:eastAsia="en-US"/>
              </w:rPr>
              <w:t xml:space="preserve">          -</w:t>
            </w:r>
          </w:p>
        </w:tc>
        <w:tc>
          <w:tcPr>
            <w:tcW w:w="1259" w:type="dxa"/>
            <w:tcBorders>
              <w:top w:val="nil"/>
              <w:left w:val="nil"/>
              <w:bottom w:val="nil"/>
              <w:right w:val="nil"/>
            </w:tcBorders>
            <w:vAlign w:val="bottom"/>
          </w:tcPr>
          <w:p w14:paraId="558D83F3"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 xml:space="preserve">          -</w:t>
            </w:r>
          </w:p>
        </w:tc>
        <w:tc>
          <w:tcPr>
            <w:tcW w:w="236" w:type="dxa"/>
            <w:tcBorders>
              <w:top w:val="nil"/>
              <w:left w:val="nil"/>
              <w:bottom w:val="nil"/>
              <w:right w:val="nil"/>
            </w:tcBorders>
            <w:vAlign w:val="bottom"/>
          </w:tcPr>
          <w:p w14:paraId="310BEF0C" w14:textId="77777777" w:rsidR="0010523F" w:rsidRPr="0010523F" w:rsidRDefault="0010523F" w:rsidP="0010523F">
            <w:pPr>
              <w:widowControl w:val="0"/>
              <w:spacing w:line="200" w:lineRule="exact"/>
              <w:ind w:right="32"/>
              <w:jc w:val="right"/>
              <w:rPr>
                <w:sz w:val="21"/>
                <w:szCs w:val="21"/>
                <w:highlight w:val="yellow"/>
                <w:lang w:val="es-AR" w:eastAsia="en-US"/>
              </w:rPr>
            </w:pPr>
          </w:p>
        </w:tc>
        <w:tc>
          <w:tcPr>
            <w:tcW w:w="1355" w:type="dxa"/>
            <w:tcBorders>
              <w:top w:val="nil"/>
              <w:left w:val="nil"/>
              <w:bottom w:val="nil"/>
              <w:right w:val="nil"/>
            </w:tcBorders>
            <w:vAlign w:val="bottom"/>
          </w:tcPr>
          <w:p w14:paraId="31DE7D2C" w14:textId="77777777" w:rsidR="0010523F" w:rsidRPr="0010523F" w:rsidRDefault="0010523F" w:rsidP="0010523F">
            <w:pPr>
              <w:widowControl w:val="0"/>
              <w:spacing w:line="200" w:lineRule="exact"/>
              <w:ind w:right="32"/>
              <w:jc w:val="right"/>
              <w:rPr>
                <w:sz w:val="21"/>
                <w:szCs w:val="21"/>
                <w:lang w:val="es-AR" w:eastAsia="en-US"/>
              </w:rPr>
            </w:pPr>
            <w:r w:rsidRPr="0010523F">
              <w:rPr>
                <w:color w:val="000000"/>
                <w:sz w:val="21"/>
                <w:szCs w:val="21"/>
                <w:lang w:val="es-AR" w:eastAsia="en-US"/>
              </w:rPr>
              <w:t xml:space="preserve">  8.157 </w:t>
            </w:r>
          </w:p>
        </w:tc>
        <w:tc>
          <w:tcPr>
            <w:tcW w:w="1276" w:type="dxa"/>
            <w:tcBorders>
              <w:top w:val="nil"/>
              <w:left w:val="nil"/>
              <w:bottom w:val="nil"/>
              <w:right w:val="nil"/>
            </w:tcBorders>
            <w:vAlign w:val="bottom"/>
          </w:tcPr>
          <w:p w14:paraId="3F74C458" w14:textId="77777777" w:rsidR="0010523F" w:rsidRPr="0010523F" w:rsidRDefault="0010523F" w:rsidP="0010523F">
            <w:pPr>
              <w:widowControl w:val="0"/>
              <w:spacing w:line="200" w:lineRule="exact"/>
              <w:ind w:right="32"/>
              <w:jc w:val="right"/>
              <w:rPr>
                <w:sz w:val="21"/>
                <w:szCs w:val="21"/>
                <w:highlight w:val="yellow"/>
                <w:lang w:val="es-AR" w:eastAsia="en-US"/>
              </w:rPr>
            </w:pPr>
            <w:r w:rsidRPr="0010523F">
              <w:rPr>
                <w:sz w:val="21"/>
                <w:szCs w:val="21"/>
                <w:lang w:val="es-AR" w:eastAsia="en-US"/>
              </w:rPr>
              <w:t xml:space="preserve">  1.092</w:t>
            </w:r>
          </w:p>
        </w:tc>
      </w:tr>
      <w:tr w:rsidR="0010523F" w:rsidRPr="0010523F" w14:paraId="5D6E1820" w14:textId="77777777" w:rsidTr="00774E7E">
        <w:tc>
          <w:tcPr>
            <w:tcW w:w="2768" w:type="dxa"/>
            <w:tcBorders>
              <w:top w:val="nil"/>
              <w:left w:val="nil"/>
              <w:bottom w:val="nil"/>
              <w:right w:val="nil"/>
            </w:tcBorders>
            <w:vAlign w:val="bottom"/>
          </w:tcPr>
          <w:p w14:paraId="160B0C59"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2"/>
              <w:jc w:val="both"/>
              <w:rPr>
                <w:sz w:val="21"/>
                <w:szCs w:val="21"/>
                <w:lang w:val="es-AR" w:eastAsia="en-US"/>
              </w:rPr>
            </w:pPr>
            <w:r w:rsidRPr="0010523F">
              <w:rPr>
                <w:sz w:val="21"/>
                <w:szCs w:val="21"/>
                <w:lang w:val="es-AR" w:eastAsia="en-US"/>
              </w:rPr>
              <w:t>Más de 5 años</w:t>
            </w:r>
          </w:p>
        </w:tc>
        <w:tc>
          <w:tcPr>
            <w:tcW w:w="1451" w:type="dxa"/>
            <w:tcBorders>
              <w:top w:val="nil"/>
              <w:left w:val="nil"/>
              <w:bottom w:val="nil"/>
              <w:right w:val="nil"/>
            </w:tcBorders>
            <w:vAlign w:val="bottom"/>
          </w:tcPr>
          <w:p w14:paraId="40E55CF7" w14:textId="77777777" w:rsidR="0010523F" w:rsidRPr="0010523F" w:rsidRDefault="0010523F" w:rsidP="0010523F">
            <w:pPr>
              <w:widowControl w:val="0"/>
              <w:spacing w:line="200" w:lineRule="exact"/>
              <w:ind w:right="32"/>
              <w:jc w:val="right"/>
              <w:rPr>
                <w:sz w:val="21"/>
                <w:szCs w:val="21"/>
                <w:u w:val="single"/>
                <w:lang w:val="es-AR" w:eastAsia="en-US"/>
              </w:rPr>
            </w:pPr>
            <w:r w:rsidRPr="0010523F">
              <w:rPr>
                <w:sz w:val="21"/>
                <w:szCs w:val="21"/>
                <w:u w:val="single"/>
                <w:lang w:val="es-AR" w:eastAsia="en-US"/>
              </w:rPr>
              <w:t xml:space="preserve">        -</w:t>
            </w:r>
          </w:p>
        </w:tc>
        <w:tc>
          <w:tcPr>
            <w:tcW w:w="1281" w:type="dxa"/>
            <w:tcBorders>
              <w:top w:val="nil"/>
              <w:left w:val="nil"/>
              <w:bottom w:val="nil"/>
              <w:right w:val="nil"/>
            </w:tcBorders>
            <w:vAlign w:val="bottom"/>
          </w:tcPr>
          <w:p w14:paraId="3A2C5722" w14:textId="77777777" w:rsidR="0010523F" w:rsidRPr="0010523F" w:rsidRDefault="0010523F" w:rsidP="0010523F">
            <w:pPr>
              <w:widowControl w:val="0"/>
              <w:spacing w:line="200" w:lineRule="exact"/>
              <w:ind w:right="32"/>
              <w:jc w:val="right"/>
              <w:rPr>
                <w:sz w:val="21"/>
                <w:szCs w:val="21"/>
                <w:highlight w:val="yellow"/>
                <w:u w:val="single"/>
                <w:lang w:val="es-AR" w:eastAsia="en-US"/>
              </w:rPr>
            </w:pPr>
            <w:r w:rsidRPr="0010523F">
              <w:rPr>
                <w:sz w:val="21"/>
                <w:szCs w:val="21"/>
                <w:u w:val="single"/>
                <w:lang w:val="es-AR" w:eastAsia="en-US"/>
              </w:rPr>
              <w:t xml:space="preserve">        -</w:t>
            </w:r>
          </w:p>
        </w:tc>
        <w:tc>
          <w:tcPr>
            <w:tcW w:w="286" w:type="dxa"/>
            <w:tcBorders>
              <w:top w:val="nil"/>
              <w:left w:val="nil"/>
              <w:bottom w:val="nil"/>
              <w:right w:val="nil"/>
            </w:tcBorders>
            <w:vAlign w:val="bottom"/>
          </w:tcPr>
          <w:p w14:paraId="5217804D" w14:textId="77777777" w:rsidR="0010523F" w:rsidRPr="0010523F" w:rsidRDefault="0010523F" w:rsidP="0010523F">
            <w:pPr>
              <w:widowControl w:val="0"/>
              <w:spacing w:line="200" w:lineRule="exact"/>
              <w:ind w:left="-113" w:right="32"/>
              <w:jc w:val="right"/>
              <w:rPr>
                <w:sz w:val="21"/>
                <w:szCs w:val="21"/>
                <w:highlight w:val="yellow"/>
                <w:u w:val="single"/>
                <w:lang w:val="es-AR" w:eastAsia="en-US"/>
              </w:rPr>
            </w:pPr>
          </w:p>
        </w:tc>
        <w:tc>
          <w:tcPr>
            <w:tcW w:w="1269" w:type="dxa"/>
            <w:tcBorders>
              <w:top w:val="nil"/>
              <w:left w:val="nil"/>
              <w:bottom w:val="nil"/>
              <w:right w:val="nil"/>
            </w:tcBorders>
            <w:vAlign w:val="bottom"/>
          </w:tcPr>
          <w:p w14:paraId="6AA1F8B7" w14:textId="77777777" w:rsidR="0010523F" w:rsidRPr="0010523F" w:rsidRDefault="0010523F" w:rsidP="0010523F">
            <w:pPr>
              <w:widowControl w:val="0"/>
              <w:spacing w:line="200" w:lineRule="exact"/>
              <w:ind w:left="-113" w:right="32"/>
              <w:jc w:val="right"/>
              <w:rPr>
                <w:sz w:val="21"/>
                <w:szCs w:val="21"/>
                <w:u w:val="single"/>
                <w:lang w:val="es-AR" w:eastAsia="en-US"/>
              </w:rPr>
            </w:pPr>
            <w:r w:rsidRPr="0010523F">
              <w:rPr>
                <w:sz w:val="21"/>
                <w:szCs w:val="21"/>
                <w:u w:val="single"/>
                <w:lang w:val="es-AR" w:eastAsia="en-US"/>
              </w:rPr>
              <w:t xml:space="preserve">         -</w:t>
            </w:r>
          </w:p>
        </w:tc>
        <w:tc>
          <w:tcPr>
            <w:tcW w:w="285" w:type="dxa"/>
            <w:tcBorders>
              <w:top w:val="nil"/>
              <w:left w:val="nil"/>
              <w:bottom w:val="nil"/>
              <w:right w:val="nil"/>
            </w:tcBorders>
            <w:vAlign w:val="bottom"/>
          </w:tcPr>
          <w:p w14:paraId="62CF7027" w14:textId="77777777" w:rsidR="0010523F" w:rsidRPr="0010523F" w:rsidRDefault="0010523F" w:rsidP="0010523F">
            <w:pPr>
              <w:widowControl w:val="0"/>
              <w:spacing w:line="200" w:lineRule="exact"/>
              <w:ind w:left="-113" w:right="32"/>
              <w:jc w:val="right"/>
              <w:rPr>
                <w:sz w:val="21"/>
                <w:szCs w:val="21"/>
                <w:highlight w:val="yellow"/>
                <w:u w:val="single"/>
                <w:lang w:val="es-AR" w:eastAsia="en-US"/>
              </w:rPr>
            </w:pPr>
          </w:p>
        </w:tc>
        <w:tc>
          <w:tcPr>
            <w:tcW w:w="1215" w:type="dxa"/>
            <w:tcBorders>
              <w:top w:val="nil"/>
              <w:left w:val="nil"/>
              <w:bottom w:val="nil"/>
              <w:right w:val="nil"/>
            </w:tcBorders>
            <w:vAlign w:val="bottom"/>
          </w:tcPr>
          <w:p w14:paraId="4B0E62AE" w14:textId="77777777" w:rsidR="0010523F" w:rsidRPr="0010523F" w:rsidRDefault="0010523F" w:rsidP="0010523F">
            <w:pPr>
              <w:widowControl w:val="0"/>
              <w:spacing w:line="200" w:lineRule="exact"/>
              <w:ind w:left="-113" w:right="32"/>
              <w:jc w:val="right"/>
              <w:rPr>
                <w:sz w:val="21"/>
                <w:szCs w:val="21"/>
                <w:highlight w:val="yellow"/>
                <w:u w:val="single"/>
                <w:lang w:val="es-AR" w:eastAsia="en-US"/>
              </w:rPr>
            </w:pPr>
            <w:r w:rsidRPr="0010523F">
              <w:rPr>
                <w:sz w:val="21"/>
                <w:szCs w:val="21"/>
                <w:u w:val="single"/>
                <w:lang w:val="es-AR" w:eastAsia="en-US"/>
              </w:rPr>
              <w:t xml:space="preserve">         -</w:t>
            </w:r>
          </w:p>
        </w:tc>
        <w:tc>
          <w:tcPr>
            <w:tcW w:w="236" w:type="dxa"/>
            <w:tcBorders>
              <w:top w:val="nil"/>
              <w:left w:val="nil"/>
              <w:bottom w:val="nil"/>
              <w:right w:val="nil"/>
            </w:tcBorders>
            <w:vAlign w:val="bottom"/>
          </w:tcPr>
          <w:p w14:paraId="01EC973D" w14:textId="77777777" w:rsidR="0010523F" w:rsidRPr="0010523F" w:rsidRDefault="0010523F" w:rsidP="0010523F">
            <w:pPr>
              <w:widowControl w:val="0"/>
              <w:spacing w:line="200" w:lineRule="exact"/>
              <w:ind w:right="32"/>
              <w:jc w:val="right"/>
              <w:rPr>
                <w:sz w:val="21"/>
                <w:szCs w:val="21"/>
                <w:highlight w:val="yellow"/>
                <w:u w:val="single"/>
                <w:lang w:val="es-AR" w:eastAsia="en-US"/>
              </w:rPr>
            </w:pPr>
          </w:p>
        </w:tc>
        <w:tc>
          <w:tcPr>
            <w:tcW w:w="1225" w:type="dxa"/>
            <w:tcBorders>
              <w:top w:val="nil"/>
              <w:left w:val="nil"/>
              <w:bottom w:val="nil"/>
              <w:right w:val="nil"/>
            </w:tcBorders>
            <w:vAlign w:val="bottom"/>
          </w:tcPr>
          <w:p w14:paraId="6C72B375" w14:textId="77777777" w:rsidR="0010523F" w:rsidRPr="0010523F" w:rsidRDefault="0010523F" w:rsidP="0010523F">
            <w:pPr>
              <w:widowControl w:val="0"/>
              <w:spacing w:line="200" w:lineRule="exact"/>
              <w:ind w:right="32"/>
              <w:jc w:val="right"/>
              <w:rPr>
                <w:sz w:val="21"/>
                <w:szCs w:val="21"/>
                <w:u w:val="single"/>
                <w:lang w:val="es-AR" w:eastAsia="en-US"/>
              </w:rPr>
            </w:pPr>
            <w:r w:rsidRPr="0010523F">
              <w:rPr>
                <w:sz w:val="21"/>
                <w:szCs w:val="21"/>
                <w:u w:val="single"/>
                <w:lang w:val="es-AR" w:eastAsia="en-US"/>
              </w:rPr>
              <w:t xml:space="preserve">          -</w:t>
            </w:r>
          </w:p>
        </w:tc>
        <w:tc>
          <w:tcPr>
            <w:tcW w:w="1259" w:type="dxa"/>
            <w:tcBorders>
              <w:top w:val="nil"/>
              <w:left w:val="nil"/>
              <w:bottom w:val="nil"/>
              <w:right w:val="nil"/>
            </w:tcBorders>
            <w:vAlign w:val="bottom"/>
          </w:tcPr>
          <w:p w14:paraId="075B8778" w14:textId="77777777" w:rsidR="0010523F" w:rsidRPr="0010523F" w:rsidRDefault="0010523F" w:rsidP="0010523F">
            <w:pPr>
              <w:widowControl w:val="0"/>
              <w:spacing w:line="200" w:lineRule="exact"/>
              <w:ind w:right="32"/>
              <w:jc w:val="right"/>
              <w:rPr>
                <w:sz w:val="21"/>
                <w:szCs w:val="21"/>
                <w:highlight w:val="yellow"/>
                <w:u w:val="single"/>
                <w:lang w:val="es-AR" w:eastAsia="en-US"/>
              </w:rPr>
            </w:pPr>
            <w:r w:rsidRPr="0010523F">
              <w:rPr>
                <w:sz w:val="21"/>
                <w:szCs w:val="21"/>
                <w:u w:val="single"/>
                <w:lang w:val="es-AR" w:eastAsia="en-US"/>
              </w:rPr>
              <w:t xml:space="preserve">          -</w:t>
            </w:r>
          </w:p>
        </w:tc>
        <w:tc>
          <w:tcPr>
            <w:tcW w:w="236" w:type="dxa"/>
            <w:tcBorders>
              <w:top w:val="nil"/>
              <w:left w:val="nil"/>
              <w:bottom w:val="nil"/>
              <w:right w:val="nil"/>
            </w:tcBorders>
            <w:vAlign w:val="bottom"/>
          </w:tcPr>
          <w:p w14:paraId="5D68C9A7" w14:textId="77777777" w:rsidR="0010523F" w:rsidRPr="0010523F" w:rsidRDefault="0010523F" w:rsidP="0010523F">
            <w:pPr>
              <w:widowControl w:val="0"/>
              <w:spacing w:line="200" w:lineRule="exact"/>
              <w:ind w:right="32"/>
              <w:jc w:val="right"/>
              <w:rPr>
                <w:sz w:val="21"/>
                <w:szCs w:val="21"/>
                <w:highlight w:val="yellow"/>
                <w:u w:val="single"/>
                <w:lang w:val="es-AR" w:eastAsia="en-US"/>
              </w:rPr>
            </w:pPr>
          </w:p>
        </w:tc>
        <w:tc>
          <w:tcPr>
            <w:tcW w:w="1355" w:type="dxa"/>
            <w:tcBorders>
              <w:top w:val="nil"/>
              <w:left w:val="nil"/>
              <w:bottom w:val="nil"/>
              <w:right w:val="nil"/>
            </w:tcBorders>
            <w:vAlign w:val="bottom"/>
          </w:tcPr>
          <w:p w14:paraId="180CFB50" w14:textId="77777777" w:rsidR="0010523F" w:rsidRPr="0010523F" w:rsidRDefault="0010523F" w:rsidP="0010523F">
            <w:pPr>
              <w:widowControl w:val="0"/>
              <w:spacing w:line="200" w:lineRule="exact"/>
              <w:ind w:right="32"/>
              <w:jc w:val="right"/>
              <w:rPr>
                <w:sz w:val="21"/>
                <w:szCs w:val="21"/>
                <w:u w:val="single"/>
                <w:lang w:val="es-AR" w:eastAsia="en-US"/>
              </w:rPr>
            </w:pPr>
            <w:r w:rsidRPr="0010523F">
              <w:rPr>
                <w:color w:val="000000"/>
                <w:sz w:val="21"/>
                <w:szCs w:val="21"/>
                <w:u w:val="single"/>
                <w:lang w:val="es-AR" w:eastAsia="en-US"/>
              </w:rPr>
              <w:t xml:space="preserve">   2.748 </w:t>
            </w:r>
          </w:p>
        </w:tc>
        <w:tc>
          <w:tcPr>
            <w:tcW w:w="1276" w:type="dxa"/>
            <w:tcBorders>
              <w:top w:val="nil"/>
              <w:left w:val="nil"/>
              <w:bottom w:val="nil"/>
              <w:right w:val="nil"/>
            </w:tcBorders>
            <w:vAlign w:val="bottom"/>
          </w:tcPr>
          <w:p w14:paraId="4511F844" w14:textId="77777777" w:rsidR="0010523F" w:rsidRPr="0010523F" w:rsidRDefault="0010523F" w:rsidP="0010523F">
            <w:pPr>
              <w:widowControl w:val="0"/>
              <w:spacing w:line="200" w:lineRule="exact"/>
              <w:ind w:right="32"/>
              <w:jc w:val="right"/>
              <w:rPr>
                <w:sz w:val="21"/>
                <w:szCs w:val="21"/>
                <w:highlight w:val="yellow"/>
                <w:u w:val="single"/>
                <w:lang w:val="es-AR" w:eastAsia="en-US"/>
              </w:rPr>
            </w:pPr>
            <w:r w:rsidRPr="0010523F">
              <w:rPr>
                <w:sz w:val="21"/>
                <w:szCs w:val="21"/>
                <w:u w:val="single"/>
                <w:lang w:val="es-AR" w:eastAsia="en-US"/>
              </w:rPr>
              <w:t xml:space="preserve">     506</w:t>
            </w:r>
          </w:p>
        </w:tc>
      </w:tr>
      <w:tr w:rsidR="0010523F" w:rsidRPr="0010523F" w14:paraId="00EF4707" w14:textId="77777777" w:rsidTr="00774E7E">
        <w:tc>
          <w:tcPr>
            <w:tcW w:w="2768" w:type="dxa"/>
            <w:tcBorders>
              <w:top w:val="nil"/>
              <w:left w:val="nil"/>
              <w:bottom w:val="nil"/>
              <w:right w:val="nil"/>
            </w:tcBorders>
            <w:vAlign w:val="bottom"/>
          </w:tcPr>
          <w:p w14:paraId="63A0722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lang w:val="es-AR" w:eastAsia="en-US"/>
              </w:rPr>
            </w:pPr>
          </w:p>
        </w:tc>
        <w:tc>
          <w:tcPr>
            <w:tcW w:w="1451" w:type="dxa"/>
            <w:tcBorders>
              <w:top w:val="nil"/>
              <w:left w:val="nil"/>
              <w:bottom w:val="nil"/>
              <w:right w:val="nil"/>
            </w:tcBorders>
            <w:vAlign w:val="bottom"/>
          </w:tcPr>
          <w:p w14:paraId="1D47CC36"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81" w:type="dxa"/>
            <w:tcBorders>
              <w:top w:val="nil"/>
              <w:left w:val="nil"/>
              <w:bottom w:val="nil"/>
              <w:right w:val="nil"/>
            </w:tcBorders>
            <w:vAlign w:val="bottom"/>
          </w:tcPr>
          <w:p w14:paraId="6671F42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86" w:type="dxa"/>
            <w:tcBorders>
              <w:top w:val="nil"/>
              <w:left w:val="nil"/>
              <w:bottom w:val="nil"/>
              <w:right w:val="nil"/>
            </w:tcBorders>
            <w:vAlign w:val="bottom"/>
          </w:tcPr>
          <w:p w14:paraId="3CAF7EE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69" w:type="dxa"/>
            <w:tcBorders>
              <w:top w:val="nil"/>
              <w:left w:val="nil"/>
              <w:bottom w:val="nil"/>
              <w:right w:val="nil"/>
            </w:tcBorders>
            <w:vAlign w:val="bottom"/>
          </w:tcPr>
          <w:p w14:paraId="33A3AFB2"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285" w:type="dxa"/>
            <w:tcBorders>
              <w:top w:val="nil"/>
              <w:left w:val="nil"/>
              <w:bottom w:val="nil"/>
              <w:right w:val="nil"/>
            </w:tcBorders>
            <w:vAlign w:val="bottom"/>
          </w:tcPr>
          <w:p w14:paraId="2998025A"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15" w:type="dxa"/>
            <w:tcBorders>
              <w:top w:val="nil"/>
              <w:left w:val="nil"/>
              <w:bottom w:val="nil"/>
              <w:right w:val="nil"/>
            </w:tcBorders>
            <w:vAlign w:val="bottom"/>
          </w:tcPr>
          <w:p w14:paraId="479F037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3A55FFF2"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25" w:type="dxa"/>
            <w:tcBorders>
              <w:top w:val="nil"/>
              <w:left w:val="nil"/>
              <w:bottom w:val="nil"/>
              <w:right w:val="nil"/>
            </w:tcBorders>
            <w:vAlign w:val="bottom"/>
          </w:tcPr>
          <w:p w14:paraId="1048B478"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59" w:type="dxa"/>
            <w:tcBorders>
              <w:top w:val="nil"/>
              <w:left w:val="nil"/>
              <w:bottom w:val="nil"/>
              <w:right w:val="nil"/>
            </w:tcBorders>
            <w:vAlign w:val="bottom"/>
          </w:tcPr>
          <w:p w14:paraId="504012FE"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45258B57"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355" w:type="dxa"/>
            <w:tcBorders>
              <w:top w:val="nil"/>
              <w:left w:val="nil"/>
              <w:bottom w:val="nil"/>
              <w:right w:val="nil"/>
            </w:tcBorders>
            <w:vAlign w:val="bottom"/>
          </w:tcPr>
          <w:p w14:paraId="4C5F661E"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76" w:type="dxa"/>
            <w:tcBorders>
              <w:top w:val="nil"/>
              <w:left w:val="nil"/>
              <w:bottom w:val="nil"/>
              <w:right w:val="nil"/>
            </w:tcBorders>
            <w:vAlign w:val="bottom"/>
          </w:tcPr>
          <w:p w14:paraId="02DD5AC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r>
      <w:tr w:rsidR="0010523F" w:rsidRPr="0010523F" w14:paraId="0F8FD9F4" w14:textId="77777777" w:rsidTr="00774E7E">
        <w:tc>
          <w:tcPr>
            <w:tcW w:w="2768" w:type="dxa"/>
            <w:tcBorders>
              <w:top w:val="nil"/>
              <w:left w:val="nil"/>
              <w:bottom w:val="nil"/>
              <w:right w:val="nil"/>
            </w:tcBorders>
            <w:vAlign w:val="bottom"/>
          </w:tcPr>
          <w:p w14:paraId="768491C3"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4"/>
              <w:jc w:val="both"/>
              <w:rPr>
                <w:sz w:val="21"/>
                <w:szCs w:val="21"/>
                <w:lang w:val="es-AR" w:eastAsia="en-US"/>
              </w:rPr>
            </w:pPr>
            <w:bookmarkStart w:id="175" w:name="_Hlk86810619"/>
            <w:r w:rsidRPr="0010523F">
              <w:rPr>
                <w:sz w:val="21"/>
                <w:szCs w:val="21"/>
                <w:lang w:val="es-AR" w:eastAsia="en-US"/>
              </w:rPr>
              <w:t>Subtotal</w:t>
            </w:r>
          </w:p>
        </w:tc>
        <w:tc>
          <w:tcPr>
            <w:tcW w:w="1451" w:type="dxa"/>
            <w:tcBorders>
              <w:top w:val="nil"/>
              <w:left w:val="nil"/>
              <w:bottom w:val="nil"/>
              <w:right w:val="nil"/>
            </w:tcBorders>
            <w:vAlign w:val="bottom"/>
          </w:tcPr>
          <w:p w14:paraId="56D8DBD8" w14:textId="77777777" w:rsidR="0010523F" w:rsidRPr="0010523F" w:rsidRDefault="0010523F" w:rsidP="0010523F">
            <w:pPr>
              <w:widowControl w:val="0"/>
              <w:spacing w:line="200" w:lineRule="exact"/>
              <w:ind w:right="34"/>
              <w:jc w:val="right"/>
              <w:rPr>
                <w:sz w:val="21"/>
                <w:szCs w:val="21"/>
                <w:lang w:val="es-AR" w:eastAsia="en-US"/>
              </w:rPr>
            </w:pPr>
            <w:r w:rsidRPr="0010523F">
              <w:rPr>
                <w:sz w:val="21"/>
                <w:szCs w:val="21"/>
                <w:lang w:val="es-AR" w:eastAsia="en-US"/>
              </w:rPr>
              <w:t>8.407</w:t>
            </w:r>
          </w:p>
        </w:tc>
        <w:tc>
          <w:tcPr>
            <w:tcW w:w="1281" w:type="dxa"/>
            <w:tcBorders>
              <w:top w:val="nil"/>
              <w:left w:val="nil"/>
              <w:bottom w:val="nil"/>
              <w:right w:val="nil"/>
            </w:tcBorders>
            <w:vAlign w:val="bottom"/>
          </w:tcPr>
          <w:p w14:paraId="5876DDC9" w14:textId="77777777" w:rsidR="0010523F" w:rsidRPr="0010523F" w:rsidRDefault="0010523F" w:rsidP="0010523F">
            <w:pPr>
              <w:widowControl w:val="0"/>
              <w:spacing w:line="200" w:lineRule="exact"/>
              <w:ind w:right="34"/>
              <w:jc w:val="right"/>
              <w:rPr>
                <w:sz w:val="21"/>
                <w:szCs w:val="21"/>
                <w:highlight w:val="yellow"/>
                <w:lang w:val="es-AR" w:eastAsia="en-US"/>
              </w:rPr>
            </w:pPr>
            <w:r w:rsidRPr="0010523F">
              <w:rPr>
                <w:sz w:val="21"/>
                <w:szCs w:val="21"/>
                <w:lang w:val="es-AR" w:eastAsia="en-US"/>
              </w:rPr>
              <w:t>16.207</w:t>
            </w:r>
          </w:p>
        </w:tc>
        <w:tc>
          <w:tcPr>
            <w:tcW w:w="286" w:type="dxa"/>
            <w:tcBorders>
              <w:top w:val="nil"/>
              <w:left w:val="nil"/>
              <w:bottom w:val="nil"/>
              <w:right w:val="nil"/>
            </w:tcBorders>
            <w:vAlign w:val="bottom"/>
          </w:tcPr>
          <w:p w14:paraId="63274C92" w14:textId="77777777" w:rsidR="0010523F" w:rsidRPr="0010523F" w:rsidRDefault="0010523F" w:rsidP="0010523F">
            <w:pPr>
              <w:widowControl w:val="0"/>
              <w:spacing w:line="200" w:lineRule="exact"/>
              <w:ind w:left="-113" w:right="34"/>
              <w:jc w:val="right"/>
              <w:rPr>
                <w:sz w:val="21"/>
                <w:szCs w:val="21"/>
                <w:highlight w:val="yellow"/>
                <w:lang w:val="es-AR" w:eastAsia="en-US"/>
              </w:rPr>
            </w:pPr>
          </w:p>
        </w:tc>
        <w:tc>
          <w:tcPr>
            <w:tcW w:w="1269" w:type="dxa"/>
            <w:tcBorders>
              <w:top w:val="nil"/>
              <w:left w:val="nil"/>
              <w:bottom w:val="nil"/>
              <w:right w:val="nil"/>
            </w:tcBorders>
            <w:vAlign w:val="bottom"/>
          </w:tcPr>
          <w:p w14:paraId="75B17419" w14:textId="77777777" w:rsidR="0010523F" w:rsidRPr="0010523F" w:rsidRDefault="0010523F" w:rsidP="0010523F">
            <w:pPr>
              <w:widowControl w:val="0"/>
              <w:spacing w:line="200" w:lineRule="exact"/>
              <w:ind w:left="-113" w:right="34"/>
              <w:jc w:val="right"/>
              <w:rPr>
                <w:sz w:val="21"/>
                <w:szCs w:val="21"/>
                <w:lang w:val="es-AR" w:eastAsia="en-US"/>
              </w:rPr>
            </w:pPr>
            <w:r w:rsidRPr="0010523F">
              <w:rPr>
                <w:sz w:val="21"/>
                <w:szCs w:val="21"/>
                <w:lang w:val="es-AR" w:eastAsia="en-US"/>
              </w:rPr>
              <w:t>25.772</w:t>
            </w:r>
          </w:p>
        </w:tc>
        <w:tc>
          <w:tcPr>
            <w:tcW w:w="285" w:type="dxa"/>
            <w:tcBorders>
              <w:top w:val="nil"/>
              <w:left w:val="nil"/>
              <w:bottom w:val="nil"/>
              <w:right w:val="nil"/>
            </w:tcBorders>
            <w:vAlign w:val="bottom"/>
          </w:tcPr>
          <w:p w14:paraId="33BFD4F9" w14:textId="77777777" w:rsidR="0010523F" w:rsidRPr="0010523F" w:rsidRDefault="0010523F" w:rsidP="0010523F">
            <w:pPr>
              <w:widowControl w:val="0"/>
              <w:spacing w:line="200" w:lineRule="exact"/>
              <w:ind w:left="-113" w:right="34"/>
              <w:jc w:val="right"/>
              <w:rPr>
                <w:sz w:val="21"/>
                <w:szCs w:val="21"/>
                <w:highlight w:val="yellow"/>
                <w:lang w:val="es-AR" w:eastAsia="en-US"/>
              </w:rPr>
            </w:pPr>
          </w:p>
        </w:tc>
        <w:tc>
          <w:tcPr>
            <w:tcW w:w="1215" w:type="dxa"/>
            <w:tcBorders>
              <w:top w:val="nil"/>
              <w:left w:val="nil"/>
              <w:bottom w:val="nil"/>
              <w:right w:val="nil"/>
            </w:tcBorders>
            <w:vAlign w:val="bottom"/>
          </w:tcPr>
          <w:p w14:paraId="615A31E4" w14:textId="77777777" w:rsidR="0010523F" w:rsidRPr="0010523F" w:rsidRDefault="0010523F" w:rsidP="0010523F">
            <w:pPr>
              <w:widowControl w:val="0"/>
              <w:spacing w:line="200" w:lineRule="exact"/>
              <w:ind w:left="-113" w:right="34"/>
              <w:jc w:val="right"/>
              <w:rPr>
                <w:sz w:val="21"/>
                <w:szCs w:val="21"/>
                <w:highlight w:val="yellow"/>
                <w:lang w:val="es-AR" w:eastAsia="en-US"/>
              </w:rPr>
            </w:pPr>
            <w:r w:rsidRPr="0010523F">
              <w:rPr>
                <w:sz w:val="21"/>
                <w:szCs w:val="21"/>
                <w:lang w:val="es-AR" w:eastAsia="en-US"/>
              </w:rPr>
              <w:t>21.080</w:t>
            </w:r>
          </w:p>
        </w:tc>
        <w:tc>
          <w:tcPr>
            <w:tcW w:w="236" w:type="dxa"/>
            <w:tcBorders>
              <w:top w:val="nil"/>
              <w:left w:val="nil"/>
              <w:bottom w:val="nil"/>
              <w:right w:val="nil"/>
            </w:tcBorders>
            <w:vAlign w:val="bottom"/>
          </w:tcPr>
          <w:p w14:paraId="5C38E512" w14:textId="77777777" w:rsidR="0010523F" w:rsidRPr="0010523F" w:rsidDel="00D628D8" w:rsidRDefault="0010523F" w:rsidP="0010523F">
            <w:pPr>
              <w:widowControl w:val="0"/>
              <w:spacing w:line="200" w:lineRule="exact"/>
              <w:ind w:right="34"/>
              <w:jc w:val="right"/>
              <w:rPr>
                <w:sz w:val="21"/>
                <w:szCs w:val="21"/>
                <w:highlight w:val="yellow"/>
                <w:lang w:val="es-AR" w:eastAsia="en-US"/>
              </w:rPr>
            </w:pPr>
          </w:p>
        </w:tc>
        <w:tc>
          <w:tcPr>
            <w:tcW w:w="1225" w:type="dxa"/>
            <w:tcBorders>
              <w:top w:val="nil"/>
              <w:left w:val="nil"/>
              <w:bottom w:val="nil"/>
              <w:right w:val="nil"/>
            </w:tcBorders>
            <w:vAlign w:val="bottom"/>
          </w:tcPr>
          <w:p w14:paraId="0DB8DD4D" w14:textId="77777777" w:rsidR="0010523F" w:rsidRPr="0010523F" w:rsidRDefault="0010523F" w:rsidP="0010523F">
            <w:pPr>
              <w:widowControl w:val="0"/>
              <w:spacing w:line="200" w:lineRule="exact"/>
              <w:ind w:right="34"/>
              <w:jc w:val="right"/>
              <w:rPr>
                <w:sz w:val="21"/>
                <w:szCs w:val="21"/>
                <w:lang w:val="es-AR" w:eastAsia="en-US"/>
              </w:rPr>
            </w:pPr>
            <w:r w:rsidRPr="0010523F">
              <w:rPr>
                <w:sz w:val="21"/>
                <w:szCs w:val="21"/>
                <w:lang w:val="es-AR" w:eastAsia="en-US"/>
              </w:rPr>
              <w:t>42.364</w:t>
            </w:r>
          </w:p>
        </w:tc>
        <w:tc>
          <w:tcPr>
            <w:tcW w:w="1259" w:type="dxa"/>
            <w:tcBorders>
              <w:top w:val="nil"/>
              <w:left w:val="nil"/>
              <w:bottom w:val="nil"/>
              <w:right w:val="nil"/>
            </w:tcBorders>
            <w:vAlign w:val="bottom"/>
          </w:tcPr>
          <w:p w14:paraId="080E8CD2" w14:textId="77777777" w:rsidR="0010523F" w:rsidRPr="0010523F" w:rsidRDefault="0010523F" w:rsidP="0010523F">
            <w:pPr>
              <w:widowControl w:val="0"/>
              <w:spacing w:line="200" w:lineRule="exact"/>
              <w:ind w:right="34"/>
              <w:jc w:val="right"/>
              <w:rPr>
                <w:sz w:val="21"/>
                <w:szCs w:val="21"/>
                <w:highlight w:val="yellow"/>
                <w:lang w:val="es-AR" w:eastAsia="en-US"/>
              </w:rPr>
            </w:pPr>
            <w:r w:rsidRPr="0010523F">
              <w:rPr>
                <w:sz w:val="21"/>
                <w:szCs w:val="21"/>
                <w:lang w:val="es-AR" w:eastAsia="en-US"/>
              </w:rPr>
              <w:t>29.530</w:t>
            </w:r>
          </w:p>
        </w:tc>
        <w:tc>
          <w:tcPr>
            <w:tcW w:w="236" w:type="dxa"/>
            <w:tcBorders>
              <w:top w:val="nil"/>
              <w:left w:val="nil"/>
              <w:bottom w:val="nil"/>
              <w:right w:val="nil"/>
            </w:tcBorders>
            <w:vAlign w:val="bottom"/>
          </w:tcPr>
          <w:p w14:paraId="313D1075" w14:textId="77777777" w:rsidR="0010523F" w:rsidRPr="0010523F" w:rsidDel="00D628D8" w:rsidRDefault="0010523F" w:rsidP="0010523F">
            <w:pPr>
              <w:widowControl w:val="0"/>
              <w:spacing w:line="200" w:lineRule="exact"/>
              <w:ind w:right="34"/>
              <w:jc w:val="right"/>
              <w:rPr>
                <w:sz w:val="21"/>
                <w:szCs w:val="21"/>
                <w:highlight w:val="yellow"/>
                <w:lang w:val="es-AR" w:eastAsia="en-US"/>
              </w:rPr>
            </w:pPr>
          </w:p>
        </w:tc>
        <w:tc>
          <w:tcPr>
            <w:tcW w:w="1355" w:type="dxa"/>
            <w:tcBorders>
              <w:top w:val="nil"/>
              <w:left w:val="nil"/>
              <w:bottom w:val="nil"/>
              <w:right w:val="nil"/>
            </w:tcBorders>
            <w:vAlign w:val="bottom"/>
          </w:tcPr>
          <w:p w14:paraId="0EAD2CE0" w14:textId="77777777" w:rsidR="0010523F" w:rsidRPr="0010523F" w:rsidRDefault="0010523F" w:rsidP="0010523F">
            <w:pPr>
              <w:widowControl w:val="0"/>
              <w:spacing w:line="200" w:lineRule="exact"/>
              <w:ind w:right="34"/>
              <w:jc w:val="right"/>
              <w:rPr>
                <w:sz w:val="21"/>
                <w:szCs w:val="21"/>
                <w:lang w:val="es-AR" w:eastAsia="en-US"/>
              </w:rPr>
            </w:pPr>
            <w:r w:rsidRPr="0010523F">
              <w:rPr>
                <w:sz w:val="21"/>
                <w:szCs w:val="21"/>
                <w:lang w:val="es-AR" w:eastAsia="en-US"/>
              </w:rPr>
              <w:t>131.521</w:t>
            </w:r>
          </w:p>
        </w:tc>
        <w:tc>
          <w:tcPr>
            <w:tcW w:w="1276" w:type="dxa"/>
            <w:tcBorders>
              <w:top w:val="nil"/>
              <w:left w:val="nil"/>
              <w:bottom w:val="nil"/>
              <w:right w:val="nil"/>
            </w:tcBorders>
            <w:vAlign w:val="bottom"/>
          </w:tcPr>
          <w:p w14:paraId="249F5515" w14:textId="77777777" w:rsidR="0010523F" w:rsidRPr="0010523F" w:rsidRDefault="0010523F" w:rsidP="0010523F">
            <w:pPr>
              <w:widowControl w:val="0"/>
              <w:spacing w:line="200" w:lineRule="exact"/>
              <w:ind w:right="34"/>
              <w:jc w:val="right"/>
              <w:rPr>
                <w:sz w:val="21"/>
                <w:szCs w:val="21"/>
                <w:highlight w:val="yellow"/>
                <w:lang w:val="es-AR" w:eastAsia="en-US"/>
              </w:rPr>
            </w:pPr>
            <w:r w:rsidRPr="0010523F">
              <w:rPr>
                <w:sz w:val="21"/>
                <w:szCs w:val="21"/>
                <w:lang w:val="es-AR" w:eastAsia="en-US"/>
              </w:rPr>
              <w:t>90.607</w:t>
            </w:r>
          </w:p>
        </w:tc>
      </w:tr>
      <w:bookmarkEnd w:id="175"/>
      <w:tr w:rsidR="0010523F" w:rsidRPr="0010523F" w14:paraId="208B8FCE" w14:textId="77777777" w:rsidTr="00774E7E">
        <w:tc>
          <w:tcPr>
            <w:tcW w:w="2768" w:type="dxa"/>
            <w:tcBorders>
              <w:top w:val="nil"/>
              <w:left w:val="nil"/>
              <w:bottom w:val="nil"/>
              <w:right w:val="nil"/>
            </w:tcBorders>
            <w:vAlign w:val="bottom"/>
          </w:tcPr>
          <w:p w14:paraId="1CA91885"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lang w:val="es-AR" w:eastAsia="en-US"/>
              </w:rPr>
            </w:pPr>
          </w:p>
        </w:tc>
        <w:tc>
          <w:tcPr>
            <w:tcW w:w="1451" w:type="dxa"/>
            <w:tcBorders>
              <w:top w:val="nil"/>
              <w:left w:val="nil"/>
              <w:bottom w:val="nil"/>
              <w:right w:val="nil"/>
            </w:tcBorders>
            <w:vAlign w:val="bottom"/>
          </w:tcPr>
          <w:p w14:paraId="1E1E669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81" w:type="dxa"/>
            <w:tcBorders>
              <w:top w:val="nil"/>
              <w:left w:val="nil"/>
              <w:bottom w:val="nil"/>
              <w:right w:val="nil"/>
            </w:tcBorders>
            <w:vAlign w:val="bottom"/>
          </w:tcPr>
          <w:p w14:paraId="0F531C4E"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86" w:type="dxa"/>
            <w:tcBorders>
              <w:top w:val="nil"/>
              <w:left w:val="nil"/>
              <w:bottom w:val="nil"/>
              <w:right w:val="nil"/>
            </w:tcBorders>
            <w:vAlign w:val="bottom"/>
          </w:tcPr>
          <w:p w14:paraId="0271A79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69" w:type="dxa"/>
            <w:tcBorders>
              <w:top w:val="nil"/>
              <w:left w:val="nil"/>
              <w:bottom w:val="nil"/>
              <w:right w:val="nil"/>
            </w:tcBorders>
            <w:vAlign w:val="bottom"/>
          </w:tcPr>
          <w:p w14:paraId="5D36273D"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285" w:type="dxa"/>
            <w:tcBorders>
              <w:top w:val="nil"/>
              <w:left w:val="nil"/>
              <w:bottom w:val="nil"/>
              <w:right w:val="nil"/>
            </w:tcBorders>
            <w:vAlign w:val="bottom"/>
          </w:tcPr>
          <w:p w14:paraId="018C2688"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15" w:type="dxa"/>
            <w:tcBorders>
              <w:top w:val="nil"/>
              <w:left w:val="nil"/>
              <w:bottom w:val="nil"/>
              <w:right w:val="nil"/>
            </w:tcBorders>
            <w:vAlign w:val="bottom"/>
          </w:tcPr>
          <w:p w14:paraId="78AEF1F0"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6A848FC7"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25" w:type="dxa"/>
            <w:tcBorders>
              <w:top w:val="nil"/>
              <w:left w:val="nil"/>
              <w:bottom w:val="nil"/>
              <w:right w:val="nil"/>
            </w:tcBorders>
            <w:vAlign w:val="bottom"/>
          </w:tcPr>
          <w:p w14:paraId="7A8CB9F4"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59" w:type="dxa"/>
            <w:tcBorders>
              <w:top w:val="nil"/>
              <w:left w:val="nil"/>
              <w:bottom w:val="nil"/>
              <w:right w:val="nil"/>
            </w:tcBorders>
            <w:vAlign w:val="bottom"/>
          </w:tcPr>
          <w:p w14:paraId="03C6BEB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7A8FAD6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355" w:type="dxa"/>
            <w:tcBorders>
              <w:top w:val="nil"/>
              <w:left w:val="nil"/>
              <w:bottom w:val="nil"/>
              <w:right w:val="nil"/>
            </w:tcBorders>
            <w:vAlign w:val="bottom"/>
          </w:tcPr>
          <w:p w14:paraId="74FD0FDA"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76" w:type="dxa"/>
            <w:tcBorders>
              <w:top w:val="nil"/>
              <w:left w:val="nil"/>
              <w:bottom w:val="nil"/>
              <w:right w:val="nil"/>
            </w:tcBorders>
            <w:vAlign w:val="bottom"/>
          </w:tcPr>
          <w:p w14:paraId="2B5615B5"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r>
      <w:tr w:rsidR="0010523F" w:rsidRPr="0010523F" w14:paraId="02BA2E56" w14:textId="77777777" w:rsidTr="00774E7E">
        <w:tc>
          <w:tcPr>
            <w:tcW w:w="2768" w:type="dxa"/>
            <w:tcBorders>
              <w:top w:val="nil"/>
              <w:left w:val="nil"/>
              <w:bottom w:val="nil"/>
              <w:right w:val="nil"/>
            </w:tcBorders>
            <w:vAlign w:val="bottom"/>
          </w:tcPr>
          <w:p w14:paraId="25189D84" w14:textId="77777777" w:rsidR="0010523F" w:rsidRPr="0010523F" w:rsidRDefault="0010523F" w:rsidP="0010523F">
            <w:pPr>
              <w:widowControl w:val="0"/>
              <w:tabs>
                <w:tab w:val="decimal" w:pos="4111"/>
                <w:tab w:val="decimal" w:pos="5670"/>
                <w:tab w:val="decimal" w:pos="7230"/>
                <w:tab w:val="decimal" w:pos="8789"/>
                <w:tab w:val="decimal" w:pos="10206"/>
                <w:tab w:val="decimal" w:pos="11482"/>
                <w:tab w:val="decimal" w:pos="12900"/>
                <w:tab w:val="decimal" w:pos="14175"/>
                <w:tab w:val="right" w:pos="15593"/>
                <w:tab w:val="right" w:pos="17436"/>
              </w:tabs>
              <w:spacing w:line="200" w:lineRule="exact"/>
              <w:ind w:right="34"/>
              <w:jc w:val="both"/>
              <w:rPr>
                <w:sz w:val="21"/>
                <w:szCs w:val="21"/>
                <w:lang w:val="es-AR" w:eastAsia="en-US"/>
              </w:rPr>
            </w:pPr>
            <w:r w:rsidRPr="0010523F">
              <w:rPr>
                <w:sz w:val="21"/>
                <w:szCs w:val="21"/>
                <w:lang w:val="es-AR" w:eastAsia="en-US"/>
              </w:rPr>
              <w:t>Otras partidas que no son a cobrar o pagar en moneda (4)</w:t>
            </w:r>
          </w:p>
        </w:tc>
        <w:tc>
          <w:tcPr>
            <w:tcW w:w="1451" w:type="dxa"/>
            <w:tcBorders>
              <w:top w:val="nil"/>
              <w:left w:val="nil"/>
              <w:bottom w:val="nil"/>
              <w:right w:val="nil"/>
            </w:tcBorders>
            <w:vAlign w:val="bottom"/>
          </w:tcPr>
          <w:p w14:paraId="3C5F95F6" w14:textId="77777777" w:rsidR="0010523F" w:rsidRPr="0010523F" w:rsidRDefault="0010523F" w:rsidP="0010523F">
            <w:pPr>
              <w:widowControl w:val="0"/>
              <w:spacing w:line="200" w:lineRule="exact"/>
              <w:ind w:right="34"/>
              <w:jc w:val="right"/>
              <w:rPr>
                <w:sz w:val="21"/>
                <w:szCs w:val="21"/>
                <w:u w:val="single"/>
                <w:lang w:val="es-AR" w:eastAsia="en-US"/>
              </w:rPr>
            </w:pPr>
            <w:r w:rsidRPr="0010523F">
              <w:rPr>
                <w:sz w:val="21"/>
                <w:szCs w:val="21"/>
                <w:u w:val="single"/>
                <w:lang w:val="es-AR" w:eastAsia="en-US"/>
              </w:rPr>
              <w:t xml:space="preserve">        -</w:t>
            </w:r>
          </w:p>
        </w:tc>
        <w:tc>
          <w:tcPr>
            <w:tcW w:w="1281" w:type="dxa"/>
            <w:tcBorders>
              <w:top w:val="nil"/>
              <w:left w:val="nil"/>
              <w:bottom w:val="nil"/>
              <w:right w:val="nil"/>
            </w:tcBorders>
            <w:vAlign w:val="bottom"/>
          </w:tcPr>
          <w:p w14:paraId="3A08E35F" w14:textId="77777777" w:rsidR="0010523F" w:rsidRPr="0010523F" w:rsidRDefault="0010523F" w:rsidP="0010523F">
            <w:pPr>
              <w:widowControl w:val="0"/>
              <w:spacing w:line="200" w:lineRule="exact"/>
              <w:ind w:right="34"/>
              <w:jc w:val="right"/>
              <w:rPr>
                <w:sz w:val="21"/>
                <w:szCs w:val="21"/>
                <w:highlight w:val="yellow"/>
                <w:u w:val="single"/>
                <w:lang w:val="es-AR" w:eastAsia="en-US"/>
              </w:rPr>
            </w:pPr>
            <w:r w:rsidRPr="0010523F">
              <w:rPr>
                <w:sz w:val="21"/>
                <w:szCs w:val="21"/>
                <w:u w:val="single"/>
                <w:lang w:val="es-AR" w:eastAsia="en-US"/>
              </w:rPr>
              <w:t xml:space="preserve">        -</w:t>
            </w:r>
          </w:p>
        </w:tc>
        <w:tc>
          <w:tcPr>
            <w:tcW w:w="286" w:type="dxa"/>
            <w:tcBorders>
              <w:top w:val="nil"/>
              <w:left w:val="nil"/>
              <w:bottom w:val="nil"/>
              <w:right w:val="nil"/>
            </w:tcBorders>
            <w:vAlign w:val="bottom"/>
          </w:tcPr>
          <w:p w14:paraId="020787A9" w14:textId="77777777" w:rsidR="0010523F" w:rsidRPr="0010523F" w:rsidRDefault="0010523F" w:rsidP="0010523F">
            <w:pPr>
              <w:widowControl w:val="0"/>
              <w:spacing w:line="200" w:lineRule="exact"/>
              <w:ind w:left="-113" w:right="34"/>
              <w:jc w:val="right"/>
              <w:rPr>
                <w:sz w:val="21"/>
                <w:szCs w:val="21"/>
                <w:highlight w:val="yellow"/>
                <w:u w:val="single"/>
                <w:lang w:val="es-AR" w:eastAsia="en-US"/>
              </w:rPr>
            </w:pPr>
          </w:p>
        </w:tc>
        <w:tc>
          <w:tcPr>
            <w:tcW w:w="1269" w:type="dxa"/>
            <w:tcBorders>
              <w:top w:val="nil"/>
              <w:left w:val="nil"/>
              <w:bottom w:val="nil"/>
              <w:right w:val="nil"/>
            </w:tcBorders>
            <w:vAlign w:val="bottom"/>
          </w:tcPr>
          <w:p w14:paraId="75EC1131" w14:textId="77777777" w:rsidR="0010523F" w:rsidRPr="0010523F" w:rsidRDefault="0010523F" w:rsidP="0010523F">
            <w:pPr>
              <w:widowControl w:val="0"/>
              <w:spacing w:line="200" w:lineRule="exact"/>
              <w:ind w:left="-113" w:right="34"/>
              <w:jc w:val="right"/>
              <w:rPr>
                <w:sz w:val="21"/>
                <w:szCs w:val="21"/>
                <w:u w:val="single"/>
                <w:lang w:val="es-AR" w:eastAsia="en-US"/>
              </w:rPr>
            </w:pPr>
            <w:r w:rsidRPr="0010523F">
              <w:rPr>
                <w:sz w:val="21"/>
                <w:szCs w:val="21"/>
                <w:u w:val="single"/>
                <w:lang w:val="es-AR" w:eastAsia="en-US"/>
              </w:rPr>
              <w:t xml:space="preserve">  5.354</w:t>
            </w:r>
          </w:p>
        </w:tc>
        <w:tc>
          <w:tcPr>
            <w:tcW w:w="285" w:type="dxa"/>
            <w:tcBorders>
              <w:top w:val="nil"/>
              <w:left w:val="nil"/>
              <w:bottom w:val="nil"/>
              <w:right w:val="nil"/>
            </w:tcBorders>
            <w:vAlign w:val="bottom"/>
          </w:tcPr>
          <w:p w14:paraId="7C5C8AD9" w14:textId="77777777" w:rsidR="0010523F" w:rsidRPr="0010523F" w:rsidRDefault="0010523F" w:rsidP="0010523F">
            <w:pPr>
              <w:widowControl w:val="0"/>
              <w:spacing w:line="200" w:lineRule="exact"/>
              <w:ind w:left="-113" w:right="34"/>
              <w:jc w:val="right"/>
              <w:rPr>
                <w:sz w:val="21"/>
                <w:szCs w:val="21"/>
                <w:highlight w:val="yellow"/>
                <w:u w:val="single"/>
                <w:lang w:val="es-AR" w:eastAsia="en-US"/>
              </w:rPr>
            </w:pPr>
          </w:p>
        </w:tc>
        <w:tc>
          <w:tcPr>
            <w:tcW w:w="1215" w:type="dxa"/>
            <w:tcBorders>
              <w:top w:val="nil"/>
              <w:left w:val="nil"/>
              <w:bottom w:val="nil"/>
              <w:right w:val="nil"/>
            </w:tcBorders>
            <w:vAlign w:val="bottom"/>
          </w:tcPr>
          <w:p w14:paraId="054795F4" w14:textId="77777777" w:rsidR="0010523F" w:rsidRPr="0010523F" w:rsidRDefault="0010523F" w:rsidP="0010523F">
            <w:pPr>
              <w:widowControl w:val="0"/>
              <w:spacing w:line="200" w:lineRule="exact"/>
              <w:ind w:left="-113" w:right="34"/>
              <w:jc w:val="right"/>
              <w:rPr>
                <w:sz w:val="21"/>
                <w:szCs w:val="21"/>
                <w:highlight w:val="yellow"/>
                <w:u w:val="single"/>
                <w:lang w:val="es-AR" w:eastAsia="en-US"/>
              </w:rPr>
            </w:pPr>
            <w:r w:rsidRPr="0010523F">
              <w:rPr>
                <w:sz w:val="21"/>
                <w:szCs w:val="21"/>
                <w:u w:val="single"/>
                <w:lang w:val="es-AR" w:eastAsia="en-US"/>
              </w:rPr>
              <w:t xml:space="preserve">  4.095</w:t>
            </w:r>
          </w:p>
        </w:tc>
        <w:tc>
          <w:tcPr>
            <w:tcW w:w="236" w:type="dxa"/>
            <w:tcBorders>
              <w:top w:val="nil"/>
              <w:left w:val="nil"/>
              <w:bottom w:val="nil"/>
              <w:right w:val="nil"/>
            </w:tcBorders>
            <w:vAlign w:val="bottom"/>
          </w:tcPr>
          <w:p w14:paraId="26507381" w14:textId="77777777" w:rsidR="0010523F" w:rsidRPr="0010523F" w:rsidRDefault="0010523F" w:rsidP="0010523F">
            <w:pPr>
              <w:widowControl w:val="0"/>
              <w:spacing w:line="200" w:lineRule="exact"/>
              <w:ind w:right="34"/>
              <w:jc w:val="right"/>
              <w:rPr>
                <w:sz w:val="21"/>
                <w:szCs w:val="21"/>
                <w:highlight w:val="yellow"/>
                <w:u w:val="single"/>
                <w:lang w:val="es-AR" w:eastAsia="en-US"/>
              </w:rPr>
            </w:pPr>
          </w:p>
        </w:tc>
        <w:tc>
          <w:tcPr>
            <w:tcW w:w="1225" w:type="dxa"/>
            <w:tcBorders>
              <w:top w:val="nil"/>
              <w:left w:val="nil"/>
              <w:bottom w:val="nil"/>
              <w:right w:val="nil"/>
            </w:tcBorders>
            <w:vAlign w:val="bottom"/>
          </w:tcPr>
          <w:p w14:paraId="776BE8BD" w14:textId="77777777" w:rsidR="0010523F" w:rsidRPr="0010523F" w:rsidRDefault="0010523F" w:rsidP="0010523F">
            <w:pPr>
              <w:widowControl w:val="0"/>
              <w:spacing w:line="200" w:lineRule="exact"/>
              <w:ind w:right="34"/>
              <w:jc w:val="right"/>
              <w:rPr>
                <w:sz w:val="21"/>
                <w:szCs w:val="21"/>
                <w:u w:val="single"/>
                <w:lang w:val="es-AR" w:eastAsia="en-US"/>
              </w:rPr>
            </w:pPr>
            <w:r w:rsidRPr="0010523F">
              <w:rPr>
                <w:sz w:val="21"/>
                <w:szCs w:val="21"/>
                <w:u w:val="single"/>
                <w:lang w:val="es-AR" w:eastAsia="en-US"/>
              </w:rPr>
              <w:t xml:space="preserve">         -</w:t>
            </w:r>
          </w:p>
        </w:tc>
        <w:tc>
          <w:tcPr>
            <w:tcW w:w="1259" w:type="dxa"/>
            <w:tcBorders>
              <w:top w:val="nil"/>
              <w:left w:val="nil"/>
              <w:bottom w:val="nil"/>
              <w:right w:val="nil"/>
            </w:tcBorders>
            <w:vAlign w:val="bottom"/>
          </w:tcPr>
          <w:p w14:paraId="01CC8271" w14:textId="77777777" w:rsidR="0010523F" w:rsidRPr="0010523F" w:rsidRDefault="0010523F" w:rsidP="0010523F">
            <w:pPr>
              <w:widowControl w:val="0"/>
              <w:spacing w:line="200" w:lineRule="exact"/>
              <w:ind w:right="34"/>
              <w:jc w:val="right"/>
              <w:rPr>
                <w:sz w:val="21"/>
                <w:szCs w:val="21"/>
                <w:highlight w:val="yellow"/>
                <w:u w:val="single"/>
                <w:lang w:val="es-AR" w:eastAsia="en-US"/>
              </w:rPr>
            </w:pPr>
            <w:r w:rsidRPr="0010523F">
              <w:rPr>
                <w:sz w:val="21"/>
                <w:szCs w:val="21"/>
                <w:u w:val="single"/>
                <w:lang w:val="es-AR" w:eastAsia="en-US"/>
              </w:rPr>
              <w:t xml:space="preserve">         -</w:t>
            </w:r>
          </w:p>
        </w:tc>
        <w:tc>
          <w:tcPr>
            <w:tcW w:w="236" w:type="dxa"/>
            <w:tcBorders>
              <w:top w:val="nil"/>
              <w:left w:val="nil"/>
              <w:bottom w:val="nil"/>
              <w:right w:val="nil"/>
            </w:tcBorders>
            <w:vAlign w:val="bottom"/>
          </w:tcPr>
          <w:p w14:paraId="1DB4CC32" w14:textId="77777777" w:rsidR="0010523F" w:rsidRPr="0010523F" w:rsidRDefault="0010523F" w:rsidP="0010523F">
            <w:pPr>
              <w:widowControl w:val="0"/>
              <w:spacing w:line="200" w:lineRule="exact"/>
              <w:ind w:right="34"/>
              <w:jc w:val="right"/>
              <w:rPr>
                <w:sz w:val="21"/>
                <w:szCs w:val="21"/>
                <w:highlight w:val="yellow"/>
                <w:lang w:val="es-AR" w:eastAsia="en-US"/>
              </w:rPr>
            </w:pPr>
          </w:p>
        </w:tc>
        <w:tc>
          <w:tcPr>
            <w:tcW w:w="1355" w:type="dxa"/>
            <w:tcBorders>
              <w:top w:val="nil"/>
              <w:left w:val="nil"/>
              <w:bottom w:val="nil"/>
              <w:right w:val="nil"/>
            </w:tcBorders>
            <w:vAlign w:val="bottom"/>
          </w:tcPr>
          <w:p w14:paraId="3C0A54E9" w14:textId="77777777" w:rsidR="0010523F" w:rsidRPr="0010523F" w:rsidRDefault="0010523F" w:rsidP="0010523F">
            <w:pPr>
              <w:widowControl w:val="0"/>
              <w:spacing w:line="200" w:lineRule="exact"/>
              <w:ind w:right="34"/>
              <w:jc w:val="right"/>
              <w:rPr>
                <w:sz w:val="21"/>
                <w:szCs w:val="21"/>
                <w:lang w:val="es-AR" w:eastAsia="en-US"/>
              </w:rPr>
            </w:pPr>
            <w:r w:rsidRPr="0010523F">
              <w:rPr>
                <w:sz w:val="21"/>
                <w:szCs w:val="21"/>
                <w:lang w:val="es-AR" w:eastAsia="en-US"/>
              </w:rPr>
              <w:t>(</w:t>
            </w:r>
            <w:r w:rsidRPr="0010523F">
              <w:rPr>
                <w:sz w:val="21"/>
                <w:szCs w:val="21"/>
                <w:u w:val="single"/>
                <w:lang w:val="es-AR" w:eastAsia="en-US"/>
              </w:rPr>
              <w:t xml:space="preserve">   1.850</w:t>
            </w:r>
            <w:r w:rsidRPr="0010523F">
              <w:rPr>
                <w:sz w:val="21"/>
                <w:szCs w:val="21"/>
                <w:lang w:val="es-AR" w:eastAsia="en-US"/>
              </w:rPr>
              <w:t>)</w:t>
            </w:r>
          </w:p>
        </w:tc>
        <w:tc>
          <w:tcPr>
            <w:tcW w:w="1276" w:type="dxa"/>
            <w:tcBorders>
              <w:top w:val="nil"/>
              <w:left w:val="nil"/>
              <w:bottom w:val="nil"/>
              <w:right w:val="nil"/>
            </w:tcBorders>
            <w:vAlign w:val="bottom"/>
          </w:tcPr>
          <w:p w14:paraId="736848B5" w14:textId="77777777" w:rsidR="0010523F" w:rsidRPr="0010523F" w:rsidRDefault="0010523F" w:rsidP="0010523F">
            <w:pPr>
              <w:widowControl w:val="0"/>
              <w:spacing w:line="200" w:lineRule="exact"/>
              <w:ind w:right="34"/>
              <w:jc w:val="right"/>
              <w:rPr>
                <w:sz w:val="21"/>
                <w:szCs w:val="21"/>
                <w:highlight w:val="yellow"/>
                <w:u w:val="single"/>
                <w:lang w:val="es-AR" w:eastAsia="en-US"/>
              </w:rPr>
            </w:pPr>
            <w:r w:rsidRPr="0010523F">
              <w:rPr>
                <w:sz w:val="21"/>
                <w:szCs w:val="21"/>
                <w:lang w:val="es-AR" w:eastAsia="en-US"/>
              </w:rPr>
              <w:t>(</w:t>
            </w:r>
            <w:r w:rsidRPr="0010523F">
              <w:rPr>
                <w:sz w:val="21"/>
                <w:szCs w:val="21"/>
                <w:u w:val="single"/>
                <w:lang w:val="es-AR" w:eastAsia="en-US"/>
              </w:rPr>
              <w:t xml:space="preserve"> 826</w:t>
            </w:r>
            <w:r w:rsidRPr="0010523F">
              <w:rPr>
                <w:sz w:val="21"/>
                <w:szCs w:val="21"/>
                <w:lang w:val="es-AR" w:eastAsia="en-US"/>
              </w:rPr>
              <w:t>)</w:t>
            </w:r>
          </w:p>
        </w:tc>
      </w:tr>
      <w:tr w:rsidR="0010523F" w:rsidRPr="0010523F" w14:paraId="4FB57C9B" w14:textId="77777777" w:rsidTr="00774E7E">
        <w:tc>
          <w:tcPr>
            <w:tcW w:w="2768" w:type="dxa"/>
            <w:tcBorders>
              <w:top w:val="nil"/>
              <w:left w:val="nil"/>
              <w:bottom w:val="nil"/>
              <w:right w:val="nil"/>
            </w:tcBorders>
            <w:vAlign w:val="bottom"/>
          </w:tcPr>
          <w:p w14:paraId="3B903FFB"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both"/>
              <w:rPr>
                <w:sz w:val="21"/>
                <w:szCs w:val="21"/>
                <w:lang w:val="es-AR" w:eastAsia="en-US"/>
              </w:rPr>
            </w:pPr>
          </w:p>
        </w:tc>
        <w:tc>
          <w:tcPr>
            <w:tcW w:w="1451" w:type="dxa"/>
            <w:tcBorders>
              <w:top w:val="nil"/>
              <w:left w:val="nil"/>
              <w:bottom w:val="nil"/>
              <w:right w:val="nil"/>
            </w:tcBorders>
            <w:vAlign w:val="bottom"/>
          </w:tcPr>
          <w:p w14:paraId="27F3568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81" w:type="dxa"/>
            <w:tcBorders>
              <w:top w:val="nil"/>
              <w:left w:val="nil"/>
              <w:bottom w:val="nil"/>
              <w:right w:val="nil"/>
            </w:tcBorders>
            <w:vAlign w:val="bottom"/>
          </w:tcPr>
          <w:p w14:paraId="3D4A66E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86" w:type="dxa"/>
            <w:tcBorders>
              <w:top w:val="nil"/>
              <w:left w:val="nil"/>
              <w:bottom w:val="nil"/>
              <w:right w:val="nil"/>
            </w:tcBorders>
            <w:vAlign w:val="bottom"/>
          </w:tcPr>
          <w:p w14:paraId="6A5BB105"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69" w:type="dxa"/>
            <w:tcBorders>
              <w:top w:val="nil"/>
              <w:left w:val="nil"/>
              <w:bottom w:val="nil"/>
              <w:right w:val="nil"/>
            </w:tcBorders>
            <w:vAlign w:val="bottom"/>
          </w:tcPr>
          <w:p w14:paraId="5AA2F09F"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285" w:type="dxa"/>
            <w:tcBorders>
              <w:top w:val="nil"/>
              <w:left w:val="nil"/>
              <w:bottom w:val="nil"/>
              <w:right w:val="nil"/>
            </w:tcBorders>
            <w:vAlign w:val="bottom"/>
          </w:tcPr>
          <w:p w14:paraId="37F5DB81"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15" w:type="dxa"/>
            <w:tcBorders>
              <w:top w:val="nil"/>
              <w:left w:val="nil"/>
              <w:bottom w:val="nil"/>
              <w:right w:val="nil"/>
            </w:tcBorders>
            <w:vAlign w:val="bottom"/>
          </w:tcPr>
          <w:p w14:paraId="6DF2B23C"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12ACA7DA"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225" w:type="dxa"/>
            <w:tcBorders>
              <w:top w:val="nil"/>
              <w:left w:val="nil"/>
              <w:bottom w:val="nil"/>
              <w:right w:val="nil"/>
            </w:tcBorders>
            <w:vAlign w:val="bottom"/>
          </w:tcPr>
          <w:p w14:paraId="04B01A02"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59" w:type="dxa"/>
            <w:tcBorders>
              <w:top w:val="nil"/>
              <w:left w:val="nil"/>
              <w:bottom w:val="nil"/>
              <w:right w:val="nil"/>
            </w:tcBorders>
            <w:vAlign w:val="bottom"/>
          </w:tcPr>
          <w:p w14:paraId="72E280F6"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236" w:type="dxa"/>
            <w:tcBorders>
              <w:top w:val="nil"/>
              <w:left w:val="nil"/>
              <w:bottom w:val="nil"/>
              <w:right w:val="nil"/>
            </w:tcBorders>
            <w:vAlign w:val="bottom"/>
          </w:tcPr>
          <w:p w14:paraId="767A4D15"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c>
          <w:tcPr>
            <w:tcW w:w="1355" w:type="dxa"/>
            <w:tcBorders>
              <w:top w:val="nil"/>
              <w:left w:val="nil"/>
              <w:bottom w:val="nil"/>
              <w:right w:val="nil"/>
            </w:tcBorders>
            <w:vAlign w:val="bottom"/>
          </w:tcPr>
          <w:p w14:paraId="4CEC183D"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lang w:val="es-AR" w:eastAsia="en-US"/>
              </w:rPr>
            </w:pPr>
          </w:p>
        </w:tc>
        <w:tc>
          <w:tcPr>
            <w:tcW w:w="1276" w:type="dxa"/>
            <w:tcBorders>
              <w:top w:val="nil"/>
              <w:left w:val="nil"/>
              <w:bottom w:val="nil"/>
              <w:right w:val="nil"/>
            </w:tcBorders>
            <w:vAlign w:val="bottom"/>
          </w:tcPr>
          <w:p w14:paraId="186AAE82"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140" w:lineRule="exact"/>
              <w:ind w:right="34"/>
              <w:jc w:val="right"/>
              <w:rPr>
                <w:sz w:val="21"/>
                <w:szCs w:val="21"/>
                <w:highlight w:val="yellow"/>
                <w:lang w:val="es-AR" w:eastAsia="en-US"/>
              </w:rPr>
            </w:pPr>
          </w:p>
        </w:tc>
      </w:tr>
      <w:tr w:rsidR="0010523F" w:rsidRPr="0010523F" w14:paraId="3F69B77D" w14:textId="77777777" w:rsidTr="00774E7E">
        <w:tc>
          <w:tcPr>
            <w:tcW w:w="2768" w:type="dxa"/>
            <w:tcBorders>
              <w:top w:val="nil"/>
              <w:left w:val="nil"/>
              <w:bottom w:val="nil"/>
              <w:right w:val="nil"/>
            </w:tcBorders>
            <w:vAlign w:val="bottom"/>
          </w:tcPr>
          <w:p w14:paraId="007A15D0" w14:textId="77777777" w:rsidR="0010523F" w:rsidRPr="0010523F" w:rsidRDefault="0010523F" w:rsidP="0010523F">
            <w:pPr>
              <w:widowControl w:val="0"/>
              <w:tabs>
                <w:tab w:val="left" w:pos="3261"/>
                <w:tab w:val="center" w:pos="4536"/>
                <w:tab w:val="right" w:pos="5812"/>
                <w:tab w:val="left" w:pos="6379"/>
                <w:tab w:val="center" w:pos="7655"/>
                <w:tab w:val="right" w:pos="8789"/>
                <w:tab w:val="left" w:pos="9214"/>
                <w:tab w:val="center" w:pos="10348"/>
                <w:tab w:val="right" w:pos="11482"/>
                <w:tab w:val="left" w:pos="11907"/>
                <w:tab w:val="center" w:pos="13183"/>
                <w:tab w:val="right" w:pos="14175"/>
                <w:tab w:val="center" w:pos="15168"/>
                <w:tab w:val="center" w:pos="17010"/>
              </w:tabs>
              <w:spacing w:line="200" w:lineRule="exact"/>
              <w:ind w:right="34"/>
              <w:jc w:val="both"/>
              <w:rPr>
                <w:sz w:val="21"/>
                <w:szCs w:val="21"/>
                <w:lang w:val="es-AR" w:eastAsia="en-US"/>
              </w:rPr>
            </w:pPr>
            <w:r w:rsidRPr="0010523F">
              <w:rPr>
                <w:sz w:val="21"/>
                <w:szCs w:val="21"/>
                <w:lang w:val="es-AR" w:eastAsia="en-US"/>
              </w:rPr>
              <w:t>Total</w:t>
            </w:r>
          </w:p>
        </w:tc>
        <w:tc>
          <w:tcPr>
            <w:tcW w:w="1451" w:type="dxa"/>
            <w:tcBorders>
              <w:top w:val="nil"/>
              <w:left w:val="nil"/>
              <w:bottom w:val="nil"/>
              <w:right w:val="nil"/>
            </w:tcBorders>
            <w:vAlign w:val="bottom"/>
          </w:tcPr>
          <w:p w14:paraId="66A37552" w14:textId="77777777" w:rsidR="0010523F" w:rsidRPr="0010523F" w:rsidRDefault="0010523F" w:rsidP="0010523F">
            <w:pPr>
              <w:widowControl w:val="0"/>
              <w:spacing w:line="200" w:lineRule="exact"/>
              <w:ind w:right="32"/>
              <w:jc w:val="right"/>
              <w:rPr>
                <w:sz w:val="21"/>
                <w:szCs w:val="21"/>
                <w:u w:val="double"/>
                <w:lang w:val="es-AR" w:eastAsia="en-US"/>
              </w:rPr>
            </w:pPr>
            <w:r w:rsidRPr="0010523F">
              <w:rPr>
                <w:sz w:val="21"/>
                <w:szCs w:val="21"/>
                <w:u w:val="double"/>
                <w:lang w:val="es-AR" w:eastAsia="en-US"/>
              </w:rPr>
              <w:t>8.407</w:t>
            </w:r>
          </w:p>
        </w:tc>
        <w:tc>
          <w:tcPr>
            <w:tcW w:w="1281" w:type="dxa"/>
            <w:tcBorders>
              <w:top w:val="nil"/>
              <w:left w:val="nil"/>
              <w:bottom w:val="nil"/>
              <w:right w:val="nil"/>
            </w:tcBorders>
            <w:vAlign w:val="bottom"/>
          </w:tcPr>
          <w:p w14:paraId="27D8C3CD" w14:textId="77777777" w:rsidR="0010523F" w:rsidRPr="0010523F" w:rsidRDefault="0010523F" w:rsidP="0010523F">
            <w:pPr>
              <w:widowControl w:val="0"/>
              <w:spacing w:line="200" w:lineRule="exact"/>
              <w:ind w:right="32"/>
              <w:jc w:val="right"/>
              <w:rPr>
                <w:sz w:val="21"/>
                <w:szCs w:val="21"/>
                <w:highlight w:val="yellow"/>
                <w:u w:val="double"/>
                <w:lang w:val="es-AR" w:eastAsia="en-US"/>
              </w:rPr>
            </w:pPr>
            <w:r w:rsidRPr="0010523F">
              <w:rPr>
                <w:sz w:val="21"/>
                <w:szCs w:val="21"/>
                <w:u w:val="double"/>
                <w:lang w:val="es-AR" w:eastAsia="en-US"/>
              </w:rPr>
              <w:t>16.207</w:t>
            </w:r>
          </w:p>
        </w:tc>
        <w:tc>
          <w:tcPr>
            <w:tcW w:w="286" w:type="dxa"/>
            <w:tcBorders>
              <w:top w:val="nil"/>
              <w:left w:val="nil"/>
              <w:bottom w:val="nil"/>
              <w:right w:val="nil"/>
            </w:tcBorders>
            <w:vAlign w:val="bottom"/>
          </w:tcPr>
          <w:p w14:paraId="41DC5BD3" w14:textId="77777777" w:rsidR="0010523F" w:rsidRPr="0010523F" w:rsidRDefault="0010523F" w:rsidP="0010523F">
            <w:pPr>
              <w:widowControl w:val="0"/>
              <w:spacing w:line="200" w:lineRule="exact"/>
              <w:ind w:left="-113" w:right="34"/>
              <w:jc w:val="right"/>
              <w:rPr>
                <w:sz w:val="21"/>
                <w:szCs w:val="21"/>
                <w:highlight w:val="yellow"/>
                <w:u w:val="double"/>
                <w:lang w:val="es-AR" w:eastAsia="en-US"/>
              </w:rPr>
            </w:pPr>
          </w:p>
        </w:tc>
        <w:tc>
          <w:tcPr>
            <w:tcW w:w="1269" w:type="dxa"/>
            <w:tcBorders>
              <w:top w:val="nil"/>
              <w:left w:val="nil"/>
              <w:bottom w:val="nil"/>
              <w:right w:val="nil"/>
            </w:tcBorders>
            <w:vAlign w:val="bottom"/>
          </w:tcPr>
          <w:p w14:paraId="3DBB8B03" w14:textId="77777777" w:rsidR="0010523F" w:rsidRPr="0010523F" w:rsidRDefault="0010523F" w:rsidP="0010523F">
            <w:pPr>
              <w:widowControl w:val="0"/>
              <w:spacing w:line="200" w:lineRule="exact"/>
              <w:ind w:left="-113" w:right="34"/>
              <w:jc w:val="right"/>
              <w:rPr>
                <w:sz w:val="21"/>
                <w:szCs w:val="21"/>
                <w:u w:val="double"/>
                <w:lang w:val="es-AR" w:eastAsia="en-US"/>
              </w:rPr>
            </w:pPr>
            <w:r w:rsidRPr="0010523F">
              <w:rPr>
                <w:sz w:val="21"/>
                <w:szCs w:val="21"/>
                <w:u w:val="double"/>
                <w:lang w:val="es-AR" w:eastAsia="en-US"/>
              </w:rPr>
              <w:t>31.126</w:t>
            </w:r>
          </w:p>
        </w:tc>
        <w:tc>
          <w:tcPr>
            <w:tcW w:w="285" w:type="dxa"/>
            <w:tcBorders>
              <w:top w:val="nil"/>
              <w:left w:val="nil"/>
              <w:bottom w:val="nil"/>
              <w:right w:val="nil"/>
            </w:tcBorders>
            <w:vAlign w:val="bottom"/>
          </w:tcPr>
          <w:p w14:paraId="5ED0D85E" w14:textId="77777777" w:rsidR="0010523F" w:rsidRPr="0010523F" w:rsidRDefault="0010523F" w:rsidP="0010523F">
            <w:pPr>
              <w:widowControl w:val="0"/>
              <w:spacing w:line="200" w:lineRule="exact"/>
              <w:ind w:left="-113" w:right="34"/>
              <w:jc w:val="right"/>
              <w:rPr>
                <w:sz w:val="21"/>
                <w:szCs w:val="21"/>
                <w:highlight w:val="yellow"/>
                <w:u w:val="double"/>
                <w:lang w:val="es-AR" w:eastAsia="en-US"/>
              </w:rPr>
            </w:pPr>
          </w:p>
        </w:tc>
        <w:tc>
          <w:tcPr>
            <w:tcW w:w="1215" w:type="dxa"/>
            <w:tcBorders>
              <w:top w:val="nil"/>
              <w:left w:val="nil"/>
              <w:bottom w:val="nil"/>
              <w:right w:val="nil"/>
            </w:tcBorders>
            <w:vAlign w:val="bottom"/>
          </w:tcPr>
          <w:p w14:paraId="0D0965AB" w14:textId="77777777" w:rsidR="0010523F" w:rsidRPr="0010523F" w:rsidRDefault="0010523F" w:rsidP="0010523F">
            <w:pPr>
              <w:widowControl w:val="0"/>
              <w:spacing w:line="200" w:lineRule="exact"/>
              <w:ind w:left="-113" w:right="34"/>
              <w:jc w:val="right"/>
              <w:rPr>
                <w:sz w:val="21"/>
                <w:szCs w:val="21"/>
                <w:highlight w:val="yellow"/>
                <w:u w:val="double"/>
                <w:lang w:val="es-AR" w:eastAsia="en-US"/>
              </w:rPr>
            </w:pPr>
            <w:r w:rsidRPr="0010523F">
              <w:rPr>
                <w:sz w:val="21"/>
                <w:szCs w:val="21"/>
                <w:u w:val="double"/>
                <w:lang w:val="es-AR" w:eastAsia="en-US"/>
              </w:rPr>
              <w:t>25.175</w:t>
            </w:r>
          </w:p>
        </w:tc>
        <w:tc>
          <w:tcPr>
            <w:tcW w:w="236" w:type="dxa"/>
            <w:tcBorders>
              <w:top w:val="nil"/>
              <w:left w:val="nil"/>
              <w:bottom w:val="nil"/>
              <w:right w:val="nil"/>
            </w:tcBorders>
            <w:vAlign w:val="bottom"/>
          </w:tcPr>
          <w:p w14:paraId="3C8E0A97" w14:textId="77777777" w:rsidR="0010523F" w:rsidRPr="0010523F" w:rsidDel="00D628D8" w:rsidRDefault="0010523F" w:rsidP="0010523F">
            <w:pPr>
              <w:widowControl w:val="0"/>
              <w:spacing w:line="200" w:lineRule="exact"/>
              <w:ind w:right="32"/>
              <w:jc w:val="right"/>
              <w:rPr>
                <w:sz w:val="21"/>
                <w:szCs w:val="21"/>
                <w:highlight w:val="yellow"/>
                <w:u w:val="double"/>
                <w:lang w:val="es-AR" w:eastAsia="en-US"/>
              </w:rPr>
            </w:pPr>
          </w:p>
        </w:tc>
        <w:tc>
          <w:tcPr>
            <w:tcW w:w="1225" w:type="dxa"/>
            <w:tcBorders>
              <w:top w:val="nil"/>
              <w:left w:val="nil"/>
              <w:bottom w:val="nil"/>
              <w:right w:val="nil"/>
            </w:tcBorders>
            <w:vAlign w:val="bottom"/>
          </w:tcPr>
          <w:p w14:paraId="303928E9" w14:textId="77777777" w:rsidR="0010523F" w:rsidRPr="0010523F" w:rsidRDefault="0010523F" w:rsidP="0010523F">
            <w:pPr>
              <w:widowControl w:val="0"/>
              <w:spacing w:line="200" w:lineRule="exact"/>
              <w:ind w:right="32"/>
              <w:jc w:val="right"/>
              <w:rPr>
                <w:sz w:val="21"/>
                <w:szCs w:val="21"/>
                <w:u w:val="double"/>
                <w:lang w:val="es-AR" w:eastAsia="en-US"/>
              </w:rPr>
            </w:pPr>
            <w:r w:rsidRPr="0010523F">
              <w:rPr>
                <w:sz w:val="21"/>
                <w:szCs w:val="21"/>
                <w:u w:val="double"/>
                <w:lang w:val="es-AR" w:eastAsia="en-US"/>
              </w:rPr>
              <w:t>42.364</w:t>
            </w:r>
          </w:p>
        </w:tc>
        <w:tc>
          <w:tcPr>
            <w:tcW w:w="1259" w:type="dxa"/>
            <w:tcBorders>
              <w:top w:val="nil"/>
              <w:left w:val="nil"/>
              <w:bottom w:val="nil"/>
              <w:right w:val="nil"/>
            </w:tcBorders>
            <w:vAlign w:val="bottom"/>
          </w:tcPr>
          <w:p w14:paraId="1BE33542" w14:textId="77777777" w:rsidR="0010523F" w:rsidRPr="0010523F" w:rsidRDefault="0010523F" w:rsidP="0010523F">
            <w:pPr>
              <w:widowControl w:val="0"/>
              <w:spacing w:line="200" w:lineRule="exact"/>
              <w:ind w:right="32"/>
              <w:jc w:val="right"/>
              <w:rPr>
                <w:sz w:val="21"/>
                <w:szCs w:val="21"/>
                <w:highlight w:val="yellow"/>
                <w:u w:val="double"/>
                <w:lang w:val="es-AR" w:eastAsia="en-US"/>
              </w:rPr>
            </w:pPr>
            <w:r w:rsidRPr="0010523F">
              <w:rPr>
                <w:sz w:val="21"/>
                <w:szCs w:val="21"/>
                <w:u w:val="double"/>
                <w:lang w:val="es-AR" w:eastAsia="en-US"/>
              </w:rPr>
              <w:t>29.530</w:t>
            </w:r>
          </w:p>
        </w:tc>
        <w:tc>
          <w:tcPr>
            <w:tcW w:w="236" w:type="dxa"/>
            <w:tcBorders>
              <w:top w:val="nil"/>
              <w:left w:val="nil"/>
              <w:bottom w:val="nil"/>
              <w:right w:val="nil"/>
            </w:tcBorders>
            <w:vAlign w:val="bottom"/>
          </w:tcPr>
          <w:p w14:paraId="767EEACF" w14:textId="77777777" w:rsidR="0010523F" w:rsidRPr="0010523F" w:rsidDel="00D628D8" w:rsidRDefault="0010523F" w:rsidP="0010523F">
            <w:pPr>
              <w:widowControl w:val="0"/>
              <w:spacing w:line="200" w:lineRule="exact"/>
              <w:ind w:right="34"/>
              <w:jc w:val="right"/>
              <w:rPr>
                <w:sz w:val="21"/>
                <w:szCs w:val="21"/>
                <w:highlight w:val="yellow"/>
                <w:u w:val="double"/>
                <w:lang w:val="es-AR" w:eastAsia="en-US"/>
              </w:rPr>
            </w:pPr>
          </w:p>
        </w:tc>
        <w:tc>
          <w:tcPr>
            <w:tcW w:w="1355" w:type="dxa"/>
            <w:tcBorders>
              <w:top w:val="nil"/>
              <w:left w:val="nil"/>
              <w:bottom w:val="nil"/>
              <w:right w:val="nil"/>
            </w:tcBorders>
            <w:vAlign w:val="bottom"/>
          </w:tcPr>
          <w:p w14:paraId="7E02EC20" w14:textId="77777777" w:rsidR="0010523F" w:rsidRPr="0010523F" w:rsidRDefault="0010523F" w:rsidP="0010523F">
            <w:pPr>
              <w:widowControl w:val="0"/>
              <w:spacing w:line="200" w:lineRule="exact"/>
              <w:ind w:right="34"/>
              <w:jc w:val="right"/>
              <w:rPr>
                <w:sz w:val="21"/>
                <w:szCs w:val="21"/>
                <w:u w:val="double"/>
                <w:lang w:val="es-AR" w:eastAsia="en-US"/>
              </w:rPr>
            </w:pPr>
            <w:r w:rsidRPr="0010523F">
              <w:rPr>
                <w:sz w:val="21"/>
                <w:szCs w:val="21"/>
                <w:u w:val="double"/>
                <w:lang w:val="es-AR" w:eastAsia="en-US"/>
              </w:rPr>
              <w:t xml:space="preserve"> 129.671</w:t>
            </w:r>
          </w:p>
        </w:tc>
        <w:tc>
          <w:tcPr>
            <w:tcW w:w="1276" w:type="dxa"/>
            <w:tcBorders>
              <w:top w:val="nil"/>
              <w:left w:val="nil"/>
              <w:bottom w:val="nil"/>
              <w:right w:val="nil"/>
            </w:tcBorders>
            <w:vAlign w:val="bottom"/>
          </w:tcPr>
          <w:p w14:paraId="51297B3D" w14:textId="77777777" w:rsidR="0010523F" w:rsidRPr="0010523F" w:rsidRDefault="0010523F" w:rsidP="0010523F">
            <w:pPr>
              <w:widowControl w:val="0"/>
              <w:spacing w:line="200" w:lineRule="exact"/>
              <w:ind w:right="34"/>
              <w:jc w:val="right"/>
              <w:rPr>
                <w:sz w:val="21"/>
                <w:szCs w:val="21"/>
                <w:u w:val="double"/>
                <w:lang w:val="es-AR" w:eastAsia="en-US"/>
              </w:rPr>
            </w:pPr>
            <w:r w:rsidRPr="0010523F">
              <w:rPr>
                <w:sz w:val="21"/>
                <w:szCs w:val="21"/>
                <w:u w:val="double"/>
                <w:lang w:val="es-AR" w:eastAsia="en-US"/>
              </w:rPr>
              <w:t>89.781</w:t>
            </w:r>
          </w:p>
        </w:tc>
      </w:tr>
    </w:tbl>
    <w:bookmarkEnd w:id="174"/>
    <w:p w14:paraId="55B11891" w14:textId="77777777" w:rsidR="0010523F" w:rsidRPr="0010523F" w:rsidRDefault="0010523F" w:rsidP="0010523F">
      <w:pPr>
        <w:widowControl w:val="0"/>
        <w:tabs>
          <w:tab w:val="center" w:pos="15168"/>
          <w:tab w:val="center" w:pos="17010"/>
        </w:tabs>
        <w:spacing w:before="120" w:line="220" w:lineRule="exact"/>
        <w:ind w:left="284" w:right="34" w:hanging="284"/>
        <w:jc w:val="both"/>
        <w:rPr>
          <w:sz w:val="18"/>
          <w:szCs w:val="18"/>
          <w:lang w:val="es-AR" w:eastAsia="en-US"/>
        </w:rPr>
      </w:pPr>
      <w:r w:rsidRPr="0010523F">
        <w:rPr>
          <w:sz w:val="18"/>
          <w:szCs w:val="18"/>
          <w:lang w:val="es-AR" w:eastAsia="en-US"/>
        </w:rPr>
        <w:t>(1)</w:t>
      </w:r>
      <w:r w:rsidRPr="0010523F">
        <w:rPr>
          <w:sz w:val="18"/>
          <w:szCs w:val="18"/>
          <w:lang w:val="es-AR" w:eastAsia="en-US"/>
        </w:rPr>
        <w:tab/>
        <w:t>Incluye inversiones equivalentes de efectivo.</w:t>
      </w:r>
    </w:p>
    <w:p w14:paraId="06084A92" w14:textId="77777777" w:rsidR="0010523F" w:rsidRPr="0010523F" w:rsidRDefault="0010523F" w:rsidP="0010523F">
      <w:pPr>
        <w:widowControl w:val="0"/>
        <w:tabs>
          <w:tab w:val="center" w:pos="15168"/>
          <w:tab w:val="center" w:pos="17010"/>
        </w:tabs>
        <w:spacing w:line="220" w:lineRule="exact"/>
        <w:ind w:left="284" w:right="-313" w:hanging="284"/>
        <w:jc w:val="both"/>
        <w:rPr>
          <w:sz w:val="18"/>
          <w:szCs w:val="18"/>
          <w:lang w:val="es-AR" w:eastAsia="en-US"/>
        </w:rPr>
      </w:pPr>
      <w:r w:rsidRPr="0010523F">
        <w:rPr>
          <w:sz w:val="18"/>
          <w:szCs w:val="18"/>
          <w:lang w:val="es-AR" w:eastAsia="en-US"/>
        </w:rPr>
        <w:t>(2)</w:t>
      </w:r>
      <w:r w:rsidRPr="0010523F">
        <w:rPr>
          <w:sz w:val="18"/>
          <w:szCs w:val="18"/>
          <w:lang w:val="es-AR" w:eastAsia="en-US"/>
        </w:rPr>
        <w:tab/>
        <w:t xml:space="preserve">Ver detalle de los créditos vencidos en el punto 2.a) de la información adicional a los estados financieros intermedios condensados requerida por el art. 12 del capítulo III, título IV del TO 2013. </w:t>
      </w:r>
    </w:p>
    <w:p w14:paraId="072178FE" w14:textId="77777777" w:rsidR="0010523F" w:rsidRPr="0010523F" w:rsidRDefault="0010523F" w:rsidP="0010523F">
      <w:pPr>
        <w:widowControl w:val="0"/>
        <w:tabs>
          <w:tab w:val="center" w:pos="15168"/>
          <w:tab w:val="center" w:pos="17010"/>
        </w:tabs>
        <w:spacing w:line="220" w:lineRule="exact"/>
        <w:ind w:left="284" w:right="32" w:hanging="284"/>
        <w:jc w:val="both"/>
        <w:rPr>
          <w:sz w:val="18"/>
          <w:szCs w:val="18"/>
          <w:lang w:val="es-AR" w:eastAsia="en-US"/>
        </w:rPr>
      </w:pPr>
      <w:r w:rsidRPr="0010523F">
        <w:rPr>
          <w:sz w:val="18"/>
          <w:szCs w:val="18"/>
          <w:lang w:val="es-AR" w:eastAsia="en-US"/>
        </w:rPr>
        <w:t xml:space="preserve">(3) </w:t>
      </w:r>
      <w:r w:rsidRPr="0010523F">
        <w:rPr>
          <w:sz w:val="18"/>
          <w:szCs w:val="18"/>
          <w:lang w:val="es-AR" w:eastAsia="en-US"/>
        </w:rPr>
        <w:tab/>
        <w:t xml:space="preserve">Incluye los pasivos por deudas fiscales, remuneraciones y cargas sociales, pasivos de contratos y cuentas por pagar. </w:t>
      </w:r>
    </w:p>
    <w:p w14:paraId="2A2B535C" w14:textId="77777777" w:rsidR="0010523F" w:rsidRPr="0010523F" w:rsidRDefault="0010523F" w:rsidP="0010523F">
      <w:pPr>
        <w:widowControl w:val="0"/>
        <w:tabs>
          <w:tab w:val="center" w:pos="15168"/>
          <w:tab w:val="center" w:pos="17010"/>
        </w:tabs>
        <w:spacing w:line="220" w:lineRule="exact"/>
        <w:ind w:left="284" w:right="32" w:hanging="284"/>
        <w:jc w:val="both"/>
        <w:rPr>
          <w:sz w:val="18"/>
          <w:szCs w:val="18"/>
          <w:lang w:val="es-AR" w:eastAsia="en-US"/>
        </w:rPr>
      </w:pPr>
      <w:r w:rsidRPr="0010523F">
        <w:rPr>
          <w:sz w:val="18"/>
          <w:szCs w:val="18"/>
          <w:lang w:val="es-AR" w:eastAsia="en-US"/>
        </w:rPr>
        <w:t xml:space="preserve">(4) </w:t>
      </w:r>
      <w:r w:rsidRPr="0010523F">
        <w:rPr>
          <w:sz w:val="18"/>
          <w:szCs w:val="18"/>
          <w:lang w:val="es-AR" w:eastAsia="en-US"/>
        </w:rPr>
        <w:tab/>
        <w:t xml:space="preserve">En créditos incluye gastos pagados por adelantado y anticipos a proveedores y en préstamos y obligaciones negociables incluye los costos de emisión asociados. </w:t>
      </w:r>
    </w:p>
    <w:p w14:paraId="5B29B4E8" w14:textId="77777777" w:rsidR="0010523F" w:rsidRPr="0010523F" w:rsidRDefault="0010523F" w:rsidP="0010523F">
      <w:pPr>
        <w:widowControl w:val="0"/>
        <w:tabs>
          <w:tab w:val="center" w:pos="1701"/>
          <w:tab w:val="center" w:pos="8080"/>
          <w:tab w:val="center" w:pos="12474"/>
        </w:tabs>
        <w:spacing w:line="160" w:lineRule="exact"/>
        <w:ind w:right="11"/>
        <w:jc w:val="both"/>
        <w:rPr>
          <w:sz w:val="16"/>
          <w:szCs w:val="16"/>
          <w:lang w:val="es-AR" w:eastAsia="en-US"/>
        </w:rPr>
        <w:sectPr w:rsidR="0010523F" w:rsidRPr="0010523F" w:rsidSect="00D811CD">
          <w:headerReference w:type="even" r:id="rId71"/>
          <w:headerReference w:type="default" r:id="rId72"/>
          <w:headerReference w:type="first" r:id="rId73"/>
          <w:footerReference w:type="first" r:id="rId74"/>
          <w:pgSz w:w="16839" w:h="11907" w:orient="landscape" w:code="9"/>
          <w:pgMar w:top="567" w:right="1134" w:bottom="567" w:left="1134" w:header="567" w:footer="567" w:gutter="0"/>
          <w:paperSrc w:first="7" w:other="7"/>
          <w:cols w:space="720"/>
          <w:titlePg/>
          <w:docGrid w:linePitch="326"/>
        </w:sectPr>
      </w:pPr>
    </w:p>
    <w:p w14:paraId="6A0E02DE" w14:textId="77777777" w:rsidR="0010523F" w:rsidRPr="0010523F" w:rsidRDefault="0010523F" w:rsidP="0010523F">
      <w:pPr>
        <w:spacing w:line="220" w:lineRule="exact"/>
        <w:jc w:val="both"/>
        <w:rPr>
          <w:b/>
          <w:lang w:val="es-AR" w:eastAsia="en-US"/>
        </w:rPr>
      </w:pPr>
      <w:r w:rsidRPr="0010523F">
        <w:rPr>
          <w:b/>
          <w:lang w:val="es-AR" w:eastAsia="en-US"/>
        </w:rPr>
        <w:t>PAN AMERICAN ENERGY, S.L., SUCURSAL ARGENTINA</w:t>
      </w:r>
    </w:p>
    <w:p w14:paraId="3690EFA4" w14:textId="77777777" w:rsidR="0010523F" w:rsidRPr="0010523F" w:rsidRDefault="0010523F" w:rsidP="0010523F">
      <w:pPr>
        <w:spacing w:line="220" w:lineRule="exact"/>
        <w:jc w:val="both"/>
        <w:rPr>
          <w:b/>
          <w:lang w:val="es-AR" w:eastAsia="en-US"/>
        </w:rPr>
      </w:pPr>
    </w:p>
    <w:p w14:paraId="71463D1E" w14:textId="77777777" w:rsidR="0010523F" w:rsidRPr="0010523F" w:rsidRDefault="0010523F" w:rsidP="0010523F">
      <w:pPr>
        <w:spacing w:line="220" w:lineRule="exact"/>
        <w:jc w:val="both"/>
        <w:rPr>
          <w:b/>
          <w:lang w:val="es-AR" w:eastAsia="en-US"/>
        </w:rPr>
      </w:pPr>
      <w:r w:rsidRPr="0010523F">
        <w:rPr>
          <w:b/>
          <w:lang w:val="es-AR" w:eastAsia="en-US"/>
        </w:rPr>
        <w:t>ESTADOS FINANCIEROS INTERMEDIOS CONDENSADOS AL 30 DE SEPTIEMBRE DE 2019</w:t>
      </w:r>
    </w:p>
    <w:p w14:paraId="2EA3A03C" w14:textId="77777777" w:rsidR="0010523F" w:rsidRPr="0010523F" w:rsidRDefault="0010523F" w:rsidP="0010523F">
      <w:pPr>
        <w:spacing w:line="220" w:lineRule="exact"/>
        <w:jc w:val="both"/>
        <w:rPr>
          <w:b/>
          <w:lang w:val="es-AR" w:eastAsia="en-US"/>
        </w:rPr>
      </w:pPr>
    </w:p>
    <w:p w14:paraId="5646ECD8"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RESEÑA INFORMATIVA REQUERIDA POR EL ARTÍCULO 4 DEL CAPÍTULO III, TÍTULO IV DEL TEXTO ORDENADO EN 2013 DE LAS NORMAS DE LA COMISIÓN NACIONAL DE VALORES</w:t>
      </w:r>
    </w:p>
    <w:p w14:paraId="79F90C82" w14:textId="77777777" w:rsidR="0010523F" w:rsidRPr="0010523F" w:rsidRDefault="0010523F" w:rsidP="0010523F">
      <w:pPr>
        <w:spacing w:line="220" w:lineRule="exact"/>
        <w:jc w:val="both"/>
        <w:rPr>
          <w:b/>
          <w:lang w:val="es-AR" w:eastAsia="en-US"/>
        </w:rPr>
      </w:pPr>
    </w:p>
    <w:p w14:paraId="6261C299" w14:textId="77777777" w:rsidR="0010523F" w:rsidRPr="0010523F" w:rsidRDefault="0010523F" w:rsidP="0010523F">
      <w:pPr>
        <w:spacing w:line="220" w:lineRule="exact"/>
        <w:jc w:val="both"/>
        <w:rPr>
          <w:b/>
          <w:lang w:val="es-AR" w:eastAsia="en-US"/>
        </w:rPr>
      </w:pPr>
      <w:r w:rsidRPr="0010523F">
        <w:rPr>
          <w:b/>
          <w:lang w:val="es-AR" w:eastAsia="en-US"/>
        </w:rPr>
        <w:t>1. Comentario sobre la actividad de la Sucursal</w:t>
      </w:r>
    </w:p>
    <w:p w14:paraId="5B734CA9" w14:textId="77777777" w:rsidR="0010523F" w:rsidRPr="0010523F" w:rsidRDefault="0010523F" w:rsidP="0010523F">
      <w:pPr>
        <w:spacing w:line="220" w:lineRule="exact"/>
        <w:jc w:val="both"/>
        <w:rPr>
          <w:b/>
          <w:lang w:val="es-AR" w:eastAsia="en-US"/>
        </w:rPr>
      </w:pPr>
    </w:p>
    <w:p w14:paraId="7150CA81" w14:textId="77777777" w:rsidR="0010523F" w:rsidRPr="0010523F" w:rsidRDefault="0010523F" w:rsidP="0010523F">
      <w:pPr>
        <w:spacing w:line="220" w:lineRule="exact"/>
        <w:jc w:val="both"/>
        <w:rPr>
          <w:lang w:val="es-AR" w:eastAsia="en-US"/>
        </w:rPr>
      </w:pPr>
      <w:r w:rsidRPr="0010523F">
        <w:rPr>
          <w:lang w:val="es-AR" w:eastAsia="en-US"/>
        </w:rPr>
        <w:t>Actividades operativas:</w:t>
      </w:r>
    </w:p>
    <w:p w14:paraId="4375B245" w14:textId="77777777" w:rsidR="0010523F" w:rsidRPr="0010523F" w:rsidRDefault="0010523F" w:rsidP="0010523F">
      <w:pPr>
        <w:spacing w:line="220" w:lineRule="exact"/>
        <w:jc w:val="both"/>
        <w:rPr>
          <w:lang w:val="es-AR" w:eastAsia="en-US"/>
        </w:rPr>
      </w:pPr>
    </w:p>
    <w:p w14:paraId="1544E134" w14:textId="77777777" w:rsidR="0010523F" w:rsidRPr="0010523F" w:rsidRDefault="0010523F" w:rsidP="0010523F">
      <w:pPr>
        <w:jc w:val="both"/>
        <w:rPr>
          <w:lang w:val="es-AR" w:eastAsia="en-US"/>
        </w:rPr>
      </w:pPr>
      <w:r w:rsidRPr="0010523F">
        <w:rPr>
          <w:lang w:val="es-AR" w:eastAsia="en-US"/>
        </w:rPr>
        <w:t>La Sucursal tiene como actividad principal la exploración, desarrollo y producción de petróleo y gas, refinación y comercialización de hidrocarburos y subproductos. La Casa Matriz de la Sucursal es Pan American Energy, S.L.</w:t>
      </w:r>
    </w:p>
    <w:p w14:paraId="0E803D18" w14:textId="77777777" w:rsidR="0010523F" w:rsidRPr="0010523F" w:rsidRDefault="0010523F" w:rsidP="0010523F">
      <w:pPr>
        <w:jc w:val="both"/>
        <w:rPr>
          <w:lang w:val="es-AR" w:eastAsia="en-US"/>
        </w:rPr>
      </w:pPr>
    </w:p>
    <w:p w14:paraId="68B473D8" w14:textId="77777777" w:rsidR="0010523F" w:rsidRPr="0010523F" w:rsidRDefault="0010523F" w:rsidP="0010523F">
      <w:pPr>
        <w:jc w:val="both"/>
        <w:rPr>
          <w:lang w:val="es-AR" w:eastAsia="en-US"/>
        </w:rPr>
      </w:pPr>
      <w:r w:rsidRPr="0010523F">
        <w:rPr>
          <w:lang w:val="es-AR" w:eastAsia="en-US"/>
        </w:rPr>
        <w:t xml:space="preserve">La Sucursal en conjunto con las subsidiarias de la Casa Matriz que actúan en el país ocupa el segundo lugar en la producción de petróleo y gas natural de Argentina. Adicionalmente, y a partir de la TFC mencionada en la Nota 1 a los estados financieros intermedios condensados, la Sucursal ocupa el tercer lugar en el negocio de refinación y comercialización de combustibles y lubricantes en Argentina. </w:t>
      </w:r>
    </w:p>
    <w:p w14:paraId="6DCD1329" w14:textId="77777777" w:rsidR="0010523F" w:rsidRPr="0010523F" w:rsidRDefault="0010523F" w:rsidP="0010523F">
      <w:pPr>
        <w:spacing w:line="200" w:lineRule="exact"/>
        <w:jc w:val="both"/>
        <w:rPr>
          <w:lang w:val="es-AR" w:eastAsia="en-US"/>
        </w:rPr>
      </w:pPr>
    </w:p>
    <w:p w14:paraId="6F650919" w14:textId="77777777" w:rsidR="0010523F" w:rsidRPr="0010523F" w:rsidRDefault="0010523F" w:rsidP="0010523F">
      <w:pPr>
        <w:spacing w:line="200" w:lineRule="exact"/>
        <w:jc w:val="both"/>
        <w:rPr>
          <w:b/>
          <w:lang w:val="es-AR" w:eastAsia="en-US"/>
        </w:rPr>
      </w:pPr>
      <w:r w:rsidRPr="0010523F">
        <w:rPr>
          <w:b/>
          <w:lang w:val="es-AR" w:eastAsia="en-US"/>
        </w:rPr>
        <w:t>2. Estructura patrimonial (en millones de pesos)</w:t>
      </w:r>
    </w:p>
    <w:p w14:paraId="121AF201" w14:textId="77777777" w:rsidR="0010523F" w:rsidRPr="0010523F" w:rsidRDefault="0010523F" w:rsidP="0010523F">
      <w:pPr>
        <w:spacing w:line="200" w:lineRule="exact"/>
        <w:jc w:val="both"/>
        <w:rPr>
          <w:b/>
          <w:lang w:val="es-AR" w:eastAsia="en-US"/>
        </w:rPr>
      </w:pPr>
    </w:p>
    <w:tbl>
      <w:tblPr>
        <w:tblW w:w="9356" w:type="dxa"/>
        <w:tblLayout w:type="fixed"/>
        <w:tblLook w:val="0000" w:firstRow="0" w:lastRow="0" w:firstColumn="0" w:lastColumn="0" w:noHBand="0" w:noVBand="0"/>
      </w:tblPr>
      <w:tblGrid>
        <w:gridCol w:w="2802"/>
        <w:gridCol w:w="1309"/>
        <w:gridCol w:w="1276"/>
        <w:gridCol w:w="1417"/>
        <w:gridCol w:w="1276"/>
        <w:gridCol w:w="1276"/>
      </w:tblGrid>
      <w:tr w:rsidR="0010523F" w:rsidRPr="0010523F" w14:paraId="09C25172" w14:textId="77777777" w:rsidTr="00774E7E">
        <w:tc>
          <w:tcPr>
            <w:tcW w:w="2802" w:type="dxa"/>
            <w:vAlign w:val="bottom"/>
          </w:tcPr>
          <w:p w14:paraId="2EC2D5D3" w14:textId="77777777" w:rsidR="0010523F" w:rsidRPr="0010523F" w:rsidRDefault="0010523F" w:rsidP="0010523F">
            <w:pPr>
              <w:spacing w:line="200" w:lineRule="exact"/>
              <w:jc w:val="both"/>
              <w:rPr>
                <w:sz w:val="22"/>
                <w:szCs w:val="22"/>
                <w:lang w:val="es-AR" w:eastAsia="en-US"/>
              </w:rPr>
            </w:pPr>
          </w:p>
        </w:tc>
        <w:tc>
          <w:tcPr>
            <w:tcW w:w="6554" w:type="dxa"/>
            <w:gridSpan w:val="5"/>
            <w:tcBorders>
              <w:bottom w:val="single" w:sz="4" w:space="0" w:color="auto"/>
            </w:tcBorders>
            <w:vAlign w:val="bottom"/>
          </w:tcPr>
          <w:p w14:paraId="0391C1BE" w14:textId="77777777" w:rsidR="0010523F" w:rsidRPr="0010523F" w:rsidRDefault="0010523F" w:rsidP="0010523F">
            <w:pPr>
              <w:ind w:left="-68"/>
              <w:jc w:val="center"/>
              <w:rPr>
                <w:sz w:val="22"/>
                <w:szCs w:val="22"/>
                <w:lang w:val="es-AR" w:eastAsia="en-US"/>
              </w:rPr>
            </w:pPr>
            <w:r w:rsidRPr="0010523F">
              <w:rPr>
                <w:sz w:val="22"/>
                <w:szCs w:val="22"/>
                <w:lang w:val="es-AR" w:eastAsia="en-US"/>
              </w:rPr>
              <w:t>Estado de situación financiera al</w:t>
            </w:r>
          </w:p>
        </w:tc>
      </w:tr>
      <w:tr w:rsidR="0010523F" w:rsidRPr="0010523F" w14:paraId="79FF3624" w14:textId="77777777" w:rsidTr="00774E7E">
        <w:tc>
          <w:tcPr>
            <w:tcW w:w="2802" w:type="dxa"/>
            <w:vAlign w:val="bottom"/>
          </w:tcPr>
          <w:p w14:paraId="7EBB3776" w14:textId="77777777" w:rsidR="0010523F" w:rsidRPr="0010523F" w:rsidRDefault="0010523F" w:rsidP="0010523F">
            <w:pPr>
              <w:jc w:val="both"/>
              <w:rPr>
                <w:sz w:val="22"/>
                <w:szCs w:val="22"/>
                <w:lang w:val="es-AR" w:eastAsia="en-US"/>
              </w:rPr>
            </w:pPr>
          </w:p>
        </w:tc>
        <w:tc>
          <w:tcPr>
            <w:tcW w:w="1309" w:type="dxa"/>
            <w:tcBorders>
              <w:top w:val="single" w:sz="4" w:space="0" w:color="auto"/>
            </w:tcBorders>
            <w:vAlign w:val="bottom"/>
          </w:tcPr>
          <w:p w14:paraId="6F4B9AC8" w14:textId="77777777" w:rsidR="0010523F" w:rsidRPr="0010523F" w:rsidRDefault="0010523F" w:rsidP="0010523F">
            <w:pPr>
              <w:ind w:left="-70"/>
              <w:jc w:val="center"/>
              <w:rPr>
                <w:sz w:val="22"/>
                <w:szCs w:val="22"/>
                <w:lang w:val="es-AR" w:eastAsia="en-US"/>
              </w:rPr>
            </w:pPr>
            <w:r w:rsidRPr="0010523F">
              <w:rPr>
                <w:sz w:val="22"/>
                <w:szCs w:val="22"/>
                <w:u w:val="single"/>
                <w:lang w:val="es-AR" w:eastAsia="en-US"/>
              </w:rPr>
              <w:t>30/09/2019</w:t>
            </w:r>
          </w:p>
        </w:tc>
        <w:tc>
          <w:tcPr>
            <w:tcW w:w="1276" w:type="dxa"/>
            <w:tcBorders>
              <w:top w:val="single" w:sz="4" w:space="0" w:color="auto"/>
            </w:tcBorders>
            <w:vAlign w:val="bottom"/>
          </w:tcPr>
          <w:p w14:paraId="427DE0AB" w14:textId="77777777" w:rsidR="0010523F" w:rsidRPr="0010523F" w:rsidRDefault="0010523F" w:rsidP="0010523F">
            <w:pPr>
              <w:ind w:left="-70"/>
              <w:jc w:val="center"/>
              <w:rPr>
                <w:sz w:val="22"/>
                <w:szCs w:val="22"/>
                <w:lang w:val="es-AR" w:eastAsia="en-US"/>
              </w:rPr>
            </w:pPr>
            <w:r w:rsidRPr="0010523F">
              <w:rPr>
                <w:sz w:val="22"/>
                <w:szCs w:val="22"/>
                <w:u w:val="single"/>
                <w:lang w:val="es-AR" w:eastAsia="en-US"/>
              </w:rPr>
              <w:t>30/09/2018</w:t>
            </w:r>
          </w:p>
        </w:tc>
        <w:tc>
          <w:tcPr>
            <w:tcW w:w="1417" w:type="dxa"/>
            <w:tcBorders>
              <w:top w:val="single" w:sz="4" w:space="0" w:color="auto"/>
            </w:tcBorders>
            <w:vAlign w:val="bottom"/>
          </w:tcPr>
          <w:p w14:paraId="7220DD41" w14:textId="77777777" w:rsidR="0010523F" w:rsidRPr="0010523F" w:rsidRDefault="0010523F" w:rsidP="0010523F">
            <w:pPr>
              <w:ind w:left="-70"/>
              <w:jc w:val="center"/>
              <w:rPr>
                <w:sz w:val="22"/>
                <w:szCs w:val="22"/>
                <w:lang w:val="es-AR" w:eastAsia="en-US"/>
              </w:rPr>
            </w:pPr>
            <w:r w:rsidRPr="0010523F">
              <w:rPr>
                <w:sz w:val="22"/>
                <w:szCs w:val="22"/>
                <w:u w:val="single"/>
                <w:lang w:val="es-AR" w:eastAsia="en-US"/>
              </w:rPr>
              <w:t>30/09/2017</w:t>
            </w:r>
          </w:p>
        </w:tc>
        <w:tc>
          <w:tcPr>
            <w:tcW w:w="1276" w:type="dxa"/>
            <w:tcBorders>
              <w:top w:val="single" w:sz="4" w:space="0" w:color="auto"/>
            </w:tcBorders>
            <w:vAlign w:val="bottom"/>
          </w:tcPr>
          <w:p w14:paraId="71D4FE59" w14:textId="77777777" w:rsidR="0010523F" w:rsidRPr="0010523F" w:rsidRDefault="0010523F" w:rsidP="0010523F">
            <w:pPr>
              <w:ind w:left="-70" w:right="-108"/>
              <w:jc w:val="center"/>
              <w:rPr>
                <w:sz w:val="22"/>
                <w:szCs w:val="22"/>
                <w:lang w:val="es-AR" w:eastAsia="en-US"/>
              </w:rPr>
            </w:pPr>
            <w:r w:rsidRPr="0010523F">
              <w:rPr>
                <w:sz w:val="22"/>
                <w:szCs w:val="22"/>
                <w:u w:val="single"/>
                <w:lang w:val="es-AR" w:eastAsia="en-US"/>
              </w:rPr>
              <w:t>30/09/2016</w:t>
            </w:r>
          </w:p>
        </w:tc>
        <w:tc>
          <w:tcPr>
            <w:tcW w:w="1276" w:type="dxa"/>
            <w:tcBorders>
              <w:top w:val="single" w:sz="4" w:space="0" w:color="auto"/>
            </w:tcBorders>
            <w:vAlign w:val="bottom"/>
          </w:tcPr>
          <w:p w14:paraId="132E805D" w14:textId="77777777" w:rsidR="0010523F" w:rsidRPr="0010523F" w:rsidRDefault="0010523F" w:rsidP="0010523F">
            <w:pPr>
              <w:jc w:val="center"/>
              <w:rPr>
                <w:sz w:val="22"/>
                <w:szCs w:val="22"/>
                <w:lang w:val="es-AR" w:eastAsia="en-US"/>
              </w:rPr>
            </w:pPr>
            <w:r w:rsidRPr="0010523F">
              <w:rPr>
                <w:sz w:val="22"/>
                <w:szCs w:val="22"/>
                <w:u w:val="single"/>
                <w:lang w:val="es-AR" w:eastAsia="en-US"/>
              </w:rPr>
              <w:t>30/09/2015</w:t>
            </w:r>
          </w:p>
        </w:tc>
      </w:tr>
      <w:tr w:rsidR="0010523F" w:rsidRPr="0010523F" w14:paraId="56C0E73A" w14:textId="77777777" w:rsidTr="00774E7E">
        <w:tc>
          <w:tcPr>
            <w:tcW w:w="2802" w:type="dxa"/>
            <w:vAlign w:val="bottom"/>
          </w:tcPr>
          <w:p w14:paraId="4ECCF26C" w14:textId="77777777" w:rsidR="0010523F" w:rsidRPr="0010523F" w:rsidRDefault="0010523F" w:rsidP="0010523F">
            <w:pPr>
              <w:spacing w:line="200" w:lineRule="exact"/>
              <w:jc w:val="both"/>
              <w:rPr>
                <w:sz w:val="22"/>
                <w:szCs w:val="22"/>
                <w:highlight w:val="yellow"/>
                <w:lang w:val="es-AR" w:eastAsia="en-US"/>
              </w:rPr>
            </w:pPr>
          </w:p>
        </w:tc>
        <w:tc>
          <w:tcPr>
            <w:tcW w:w="1309" w:type="dxa"/>
            <w:vAlign w:val="bottom"/>
          </w:tcPr>
          <w:p w14:paraId="277CF014" w14:textId="77777777" w:rsidR="0010523F" w:rsidRPr="0010523F" w:rsidRDefault="0010523F" w:rsidP="0010523F">
            <w:pPr>
              <w:spacing w:line="200" w:lineRule="exact"/>
              <w:jc w:val="both"/>
              <w:rPr>
                <w:sz w:val="22"/>
                <w:szCs w:val="22"/>
                <w:highlight w:val="yellow"/>
                <w:lang w:val="es-AR" w:eastAsia="en-US"/>
              </w:rPr>
            </w:pPr>
          </w:p>
        </w:tc>
        <w:tc>
          <w:tcPr>
            <w:tcW w:w="1276" w:type="dxa"/>
            <w:vAlign w:val="bottom"/>
          </w:tcPr>
          <w:p w14:paraId="7F12F6BE" w14:textId="77777777" w:rsidR="0010523F" w:rsidRPr="0010523F" w:rsidRDefault="0010523F" w:rsidP="0010523F">
            <w:pPr>
              <w:spacing w:line="200" w:lineRule="exact"/>
              <w:jc w:val="both"/>
              <w:rPr>
                <w:sz w:val="22"/>
                <w:szCs w:val="22"/>
                <w:highlight w:val="yellow"/>
                <w:lang w:val="es-AR" w:eastAsia="en-US"/>
              </w:rPr>
            </w:pPr>
          </w:p>
        </w:tc>
        <w:tc>
          <w:tcPr>
            <w:tcW w:w="1417" w:type="dxa"/>
            <w:vAlign w:val="bottom"/>
          </w:tcPr>
          <w:p w14:paraId="1590E22B" w14:textId="77777777" w:rsidR="0010523F" w:rsidRPr="0010523F" w:rsidRDefault="0010523F" w:rsidP="0010523F">
            <w:pPr>
              <w:spacing w:line="200" w:lineRule="exact"/>
              <w:jc w:val="both"/>
              <w:rPr>
                <w:sz w:val="22"/>
                <w:szCs w:val="22"/>
                <w:highlight w:val="yellow"/>
                <w:lang w:val="es-AR" w:eastAsia="en-US"/>
              </w:rPr>
            </w:pPr>
          </w:p>
        </w:tc>
        <w:tc>
          <w:tcPr>
            <w:tcW w:w="1276" w:type="dxa"/>
            <w:vAlign w:val="bottom"/>
          </w:tcPr>
          <w:p w14:paraId="72414AEF" w14:textId="77777777" w:rsidR="0010523F" w:rsidRPr="0010523F" w:rsidRDefault="0010523F" w:rsidP="0010523F">
            <w:pPr>
              <w:spacing w:line="200" w:lineRule="exact"/>
              <w:jc w:val="both"/>
              <w:rPr>
                <w:sz w:val="22"/>
                <w:szCs w:val="22"/>
                <w:highlight w:val="yellow"/>
                <w:lang w:val="es-AR" w:eastAsia="en-US"/>
              </w:rPr>
            </w:pPr>
          </w:p>
        </w:tc>
        <w:tc>
          <w:tcPr>
            <w:tcW w:w="1276" w:type="dxa"/>
            <w:vAlign w:val="bottom"/>
          </w:tcPr>
          <w:p w14:paraId="4DE49F52" w14:textId="77777777" w:rsidR="0010523F" w:rsidRPr="0010523F" w:rsidRDefault="0010523F" w:rsidP="0010523F">
            <w:pPr>
              <w:spacing w:line="200" w:lineRule="exact"/>
              <w:jc w:val="both"/>
              <w:rPr>
                <w:sz w:val="22"/>
                <w:szCs w:val="22"/>
                <w:highlight w:val="yellow"/>
                <w:lang w:val="es-AR" w:eastAsia="en-US"/>
              </w:rPr>
            </w:pPr>
          </w:p>
        </w:tc>
      </w:tr>
      <w:tr w:rsidR="0010523F" w:rsidRPr="0010523F" w14:paraId="5F32AFE4" w14:textId="77777777" w:rsidTr="00774E7E">
        <w:tc>
          <w:tcPr>
            <w:tcW w:w="2802" w:type="dxa"/>
            <w:vAlign w:val="bottom"/>
          </w:tcPr>
          <w:p w14:paraId="41737F20" w14:textId="77777777" w:rsidR="0010523F" w:rsidRPr="0010523F" w:rsidRDefault="0010523F" w:rsidP="0010523F">
            <w:pPr>
              <w:jc w:val="both"/>
              <w:rPr>
                <w:sz w:val="22"/>
                <w:szCs w:val="22"/>
                <w:lang w:val="es-AR" w:eastAsia="en-US"/>
              </w:rPr>
            </w:pPr>
            <w:r w:rsidRPr="0010523F">
              <w:rPr>
                <w:sz w:val="22"/>
                <w:szCs w:val="22"/>
                <w:lang w:val="es-AR" w:eastAsia="en-US"/>
              </w:rPr>
              <w:t>Activo no corriente</w:t>
            </w:r>
          </w:p>
        </w:tc>
        <w:tc>
          <w:tcPr>
            <w:tcW w:w="1309" w:type="dxa"/>
            <w:vAlign w:val="bottom"/>
          </w:tcPr>
          <w:p w14:paraId="06E0CD6A" w14:textId="77777777" w:rsidR="0010523F" w:rsidRPr="0010523F" w:rsidRDefault="0010523F" w:rsidP="0010523F">
            <w:pPr>
              <w:tabs>
                <w:tab w:val="decimal" w:pos="835"/>
              </w:tabs>
              <w:jc w:val="right"/>
              <w:rPr>
                <w:sz w:val="22"/>
                <w:szCs w:val="22"/>
                <w:lang w:val="es-AR" w:eastAsia="en-US"/>
              </w:rPr>
            </w:pPr>
            <w:r w:rsidRPr="0010523F">
              <w:rPr>
                <w:sz w:val="22"/>
                <w:szCs w:val="22"/>
                <w:lang w:val="es-AR" w:eastAsia="en-US"/>
              </w:rPr>
              <w:t>644.295</w:t>
            </w:r>
          </w:p>
        </w:tc>
        <w:tc>
          <w:tcPr>
            <w:tcW w:w="1276" w:type="dxa"/>
            <w:vAlign w:val="bottom"/>
          </w:tcPr>
          <w:p w14:paraId="7935065D" w14:textId="77777777" w:rsidR="0010523F" w:rsidRPr="0010523F" w:rsidRDefault="0010523F" w:rsidP="0010523F">
            <w:pPr>
              <w:tabs>
                <w:tab w:val="decimal" w:pos="835"/>
              </w:tabs>
              <w:jc w:val="right"/>
              <w:rPr>
                <w:sz w:val="22"/>
                <w:szCs w:val="22"/>
                <w:highlight w:val="yellow"/>
                <w:lang w:val="es-AR" w:eastAsia="en-US"/>
              </w:rPr>
            </w:pPr>
            <w:r w:rsidRPr="0010523F">
              <w:rPr>
                <w:sz w:val="22"/>
                <w:szCs w:val="22"/>
                <w:lang w:val="es-AR" w:eastAsia="en-US"/>
              </w:rPr>
              <w:t>441.233</w:t>
            </w:r>
          </w:p>
        </w:tc>
        <w:tc>
          <w:tcPr>
            <w:tcW w:w="1417" w:type="dxa"/>
            <w:vAlign w:val="bottom"/>
          </w:tcPr>
          <w:p w14:paraId="02421A18" w14:textId="77777777" w:rsidR="0010523F" w:rsidRPr="0010523F" w:rsidRDefault="0010523F" w:rsidP="0010523F">
            <w:pPr>
              <w:tabs>
                <w:tab w:val="decimal" w:pos="933"/>
              </w:tabs>
              <w:jc w:val="right"/>
              <w:rPr>
                <w:sz w:val="22"/>
                <w:szCs w:val="22"/>
                <w:highlight w:val="yellow"/>
                <w:lang w:val="es-AR" w:eastAsia="en-US"/>
              </w:rPr>
            </w:pPr>
            <w:r w:rsidRPr="0010523F">
              <w:rPr>
                <w:sz w:val="22"/>
                <w:szCs w:val="22"/>
                <w:lang w:val="es-AR" w:eastAsia="en-US"/>
              </w:rPr>
              <w:t>152.560</w:t>
            </w:r>
          </w:p>
        </w:tc>
        <w:tc>
          <w:tcPr>
            <w:tcW w:w="1276" w:type="dxa"/>
            <w:vAlign w:val="bottom"/>
          </w:tcPr>
          <w:p w14:paraId="3CEFCB62" w14:textId="77777777" w:rsidR="0010523F" w:rsidRPr="0010523F" w:rsidRDefault="0010523F" w:rsidP="0010523F">
            <w:pPr>
              <w:tabs>
                <w:tab w:val="decimal" w:pos="947"/>
              </w:tabs>
              <w:jc w:val="right"/>
              <w:rPr>
                <w:sz w:val="22"/>
                <w:szCs w:val="22"/>
                <w:highlight w:val="yellow"/>
                <w:lang w:val="es-AR" w:eastAsia="en-US"/>
              </w:rPr>
            </w:pPr>
            <w:r w:rsidRPr="0010523F">
              <w:rPr>
                <w:sz w:val="22"/>
                <w:szCs w:val="22"/>
                <w:lang w:val="es-AR" w:eastAsia="en-US"/>
              </w:rPr>
              <w:t>131.897</w:t>
            </w:r>
          </w:p>
        </w:tc>
        <w:tc>
          <w:tcPr>
            <w:tcW w:w="1276" w:type="dxa"/>
            <w:vAlign w:val="bottom"/>
          </w:tcPr>
          <w:p w14:paraId="565A3F13" w14:textId="77777777" w:rsidR="0010523F" w:rsidRPr="0010523F" w:rsidRDefault="0010523F" w:rsidP="0010523F">
            <w:pPr>
              <w:tabs>
                <w:tab w:val="decimal" w:pos="886"/>
              </w:tabs>
              <w:ind w:left="-70"/>
              <w:jc w:val="right"/>
              <w:rPr>
                <w:sz w:val="22"/>
                <w:szCs w:val="22"/>
                <w:highlight w:val="yellow"/>
                <w:lang w:val="es-AR" w:eastAsia="en-US"/>
              </w:rPr>
            </w:pPr>
            <w:r w:rsidRPr="0010523F">
              <w:rPr>
                <w:sz w:val="22"/>
                <w:szCs w:val="22"/>
                <w:lang w:val="es-AR" w:eastAsia="en-US"/>
              </w:rPr>
              <w:t>85.557</w:t>
            </w:r>
          </w:p>
        </w:tc>
      </w:tr>
      <w:tr w:rsidR="0010523F" w:rsidRPr="0010523F" w14:paraId="66AAD627" w14:textId="77777777" w:rsidTr="00774E7E">
        <w:tc>
          <w:tcPr>
            <w:tcW w:w="2802" w:type="dxa"/>
            <w:vAlign w:val="bottom"/>
          </w:tcPr>
          <w:p w14:paraId="36929E90" w14:textId="77777777" w:rsidR="0010523F" w:rsidRPr="0010523F" w:rsidRDefault="0010523F" w:rsidP="0010523F">
            <w:pPr>
              <w:spacing w:line="200" w:lineRule="exact"/>
              <w:jc w:val="both"/>
              <w:rPr>
                <w:sz w:val="22"/>
                <w:szCs w:val="22"/>
                <w:lang w:val="es-AR" w:eastAsia="en-US"/>
              </w:rPr>
            </w:pPr>
          </w:p>
        </w:tc>
        <w:tc>
          <w:tcPr>
            <w:tcW w:w="1309" w:type="dxa"/>
            <w:vAlign w:val="bottom"/>
          </w:tcPr>
          <w:p w14:paraId="31D9C0E5" w14:textId="77777777" w:rsidR="0010523F" w:rsidRPr="0010523F" w:rsidRDefault="0010523F" w:rsidP="0010523F">
            <w:pPr>
              <w:spacing w:line="200" w:lineRule="exact"/>
              <w:jc w:val="both"/>
              <w:rPr>
                <w:sz w:val="22"/>
                <w:szCs w:val="22"/>
                <w:lang w:val="es-AR" w:eastAsia="en-US"/>
              </w:rPr>
            </w:pPr>
          </w:p>
        </w:tc>
        <w:tc>
          <w:tcPr>
            <w:tcW w:w="1276" w:type="dxa"/>
            <w:vAlign w:val="bottom"/>
          </w:tcPr>
          <w:p w14:paraId="09C9EF15" w14:textId="77777777" w:rsidR="0010523F" w:rsidRPr="0010523F" w:rsidRDefault="0010523F" w:rsidP="0010523F">
            <w:pPr>
              <w:spacing w:line="200" w:lineRule="exact"/>
              <w:jc w:val="right"/>
              <w:rPr>
                <w:sz w:val="22"/>
                <w:szCs w:val="22"/>
                <w:highlight w:val="yellow"/>
                <w:lang w:val="es-AR" w:eastAsia="en-US"/>
              </w:rPr>
            </w:pPr>
          </w:p>
        </w:tc>
        <w:tc>
          <w:tcPr>
            <w:tcW w:w="1417" w:type="dxa"/>
            <w:vAlign w:val="bottom"/>
          </w:tcPr>
          <w:p w14:paraId="22E59C99"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5DB55440"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106DFDB6" w14:textId="77777777" w:rsidR="0010523F" w:rsidRPr="0010523F" w:rsidRDefault="0010523F" w:rsidP="0010523F">
            <w:pPr>
              <w:spacing w:line="200" w:lineRule="exact"/>
              <w:jc w:val="right"/>
              <w:rPr>
                <w:sz w:val="22"/>
                <w:szCs w:val="22"/>
                <w:highlight w:val="yellow"/>
                <w:lang w:val="es-AR" w:eastAsia="en-US"/>
              </w:rPr>
            </w:pPr>
          </w:p>
        </w:tc>
      </w:tr>
      <w:tr w:rsidR="0010523F" w:rsidRPr="0010523F" w14:paraId="79B78AA3" w14:textId="77777777" w:rsidTr="00774E7E">
        <w:tc>
          <w:tcPr>
            <w:tcW w:w="2802" w:type="dxa"/>
            <w:vAlign w:val="bottom"/>
          </w:tcPr>
          <w:p w14:paraId="42E6885C" w14:textId="77777777" w:rsidR="0010523F" w:rsidRPr="0010523F" w:rsidRDefault="0010523F" w:rsidP="0010523F">
            <w:pPr>
              <w:jc w:val="both"/>
              <w:rPr>
                <w:sz w:val="22"/>
                <w:szCs w:val="22"/>
                <w:lang w:val="es-AR" w:eastAsia="en-US"/>
              </w:rPr>
            </w:pPr>
            <w:r w:rsidRPr="0010523F">
              <w:rPr>
                <w:sz w:val="22"/>
                <w:szCs w:val="22"/>
                <w:lang w:val="es-AR" w:eastAsia="en-US"/>
              </w:rPr>
              <w:t>Activo corriente</w:t>
            </w:r>
          </w:p>
        </w:tc>
        <w:tc>
          <w:tcPr>
            <w:tcW w:w="1309" w:type="dxa"/>
            <w:vAlign w:val="bottom"/>
          </w:tcPr>
          <w:p w14:paraId="210A045F" w14:textId="77777777" w:rsidR="0010523F" w:rsidRPr="0010523F" w:rsidRDefault="0010523F" w:rsidP="0010523F">
            <w:pPr>
              <w:tabs>
                <w:tab w:val="decimal" w:pos="835"/>
              </w:tabs>
              <w:jc w:val="right"/>
              <w:rPr>
                <w:sz w:val="22"/>
                <w:szCs w:val="22"/>
                <w:u w:val="single"/>
                <w:lang w:val="es-AR" w:eastAsia="en-US"/>
              </w:rPr>
            </w:pPr>
            <w:r w:rsidRPr="0010523F">
              <w:rPr>
                <w:sz w:val="22"/>
                <w:szCs w:val="22"/>
                <w:u w:val="single"/>
                <w:lang w:val="es-AR" w:eastAsia="en-US"/>
              </w:rPr>
              <w:t xml:space="preserve">  67.831</w:t>
            </w:r>
          </w:p>
        </w:tc>
        <w:tc>
          <w:tcPr>
            <w:tcW w:w="1276" w:type="dxa"/>
            <w:vAlign w:val="bottom"/>
          </w:tcPr>
          <w:p w14:paraId="185666EA" w14:textId="77777777" w:rsidR="0010523F" w:rsidRPr="0010523F" w:rsidRDefault="0010523F" w:rsidP="0010523F">
            <w:pPr>
              <w:tabs>
                <w:tab w:val="decimal" w:pos="835"/>
              </w:tabs>
              <w:jc w:val="right"/>
              <w:rPr>
                <w:sz w:val="22"/>
                <w:szCs w:val="22"/>
                <w:highlight w:val="yellow"/>
                <w:u w:val="single"/>
                <w:lang w:val="es-AR" w:eastAsia="en-US"/>
              </w:rPr>
            </w:pPr>
            <w:r w:rsidRPr="0010523F">
              <w:rPr>
                <w:sz w:val="22"/>
                <w:szCs w:val="22"/>
                <w:u w:val="single"/>
                <w:lang w:val="es-AR" w:eastAsia="en-US"/>
              </w:rPr>
              <w:t xml:space="preserve">  66.677</w:t>
            </w:r>
          </w:p>
        </w:tc>
        <w:tc>
          <w:tcPr>
            <w:tcW w:w="1417" w:type="dxa"/>
            <w:vAlign w:val="bottom"/>
          </w:tcPr>
          <w:p w14:paraId="45B6CD8A" w14:textId="77777777" w:rsidR="0010523F" w:rsidRPr="0010523F" w:rsidRDefault="0010523F" w:rsidP="0010523F">
            <w:pPr>
              <w:tabs>
                <w:tab w:val="decimal" w:pos="933"/>
              </w:tabs>
              <w:jc w:val="right"/>
              <w:rPr>
                <w:sz w:val="22"/>
                <w:szCs w:val="22"/>
                <w:highlight w:val="yellow"/>
                <w:u w:val="single"/>
                <w:lang w:val="es-AR" w:eastAsia="en-US"/>
              </w:rPr>
            </w:pPr>
            <w:r w:rsidRPr="0010523F">
              <w:rPr>
                <w:sz w:val="22"/>
                <w:szCs w:val="22"/>
                <w:u w:val="single"/>
                <w:lang w:val="es-AR" w:eastAsia="en-US"/>
              </w:rPr>
              <w:t xml:space="preserve">  13.505</w:t>
            </w:r>
          </w:p>
        </w:tc>
        <w:tc>
          <w:tcPr>
            <w:tcW w:w="1276" w:type="dxa"/>
            <w:vAlign w:val="bottom"/>
          </w:tcPr>
          <w:p w14:paraId="10F7F942" w14:textId="77777777" w:rsidR="0010523F" w:rsidRPr="0010523F" w:rsidRDefault="0010523F" w:rsidP="0010523F">
            <w:pPr>
              <w:tabs>
                <w:tab w:val="decimal" w:pos="947"/>
              </w:tabs>
              <w:jc w:val="right"/>
              <w:rPr>
                <w:sz w:val="22"/>
                <w:szCs w:val="22"/>
                <w:highlight w:val="yellow"/>
                <w:u w:val="single"/>
                <w:lang w:val="es-AR" w:eastAsia="en-US"/>
              </w:rPr>
            </w:pPr>
            <w:r w:rsidRPr="0010523F">
              <w:rPr>
                <w:sz w:val="22"/>
                <w:szCs w:val="22"/>
                <w:u w:val="single"/>
                <w:lang w:val="es-AR" w:eastAsia="en-US"/>
              </w:rPr>
              <w:t xml:space="preserve">  13.324</w:t>
            </w:r>
          </w:p>
        </w:tc>
        <w:tc>
          <w:tcPr>
            <w:tcW w:w="1276" w:type="dxa"/>
            <w:vAlign w:val="bottom"/>
          </w:tcPr>
          <w:p w14:paraId="14220F74" w14:textId="77777777" w:rsidR="0010523F" w:rsidRPr="0010523F" w:rsidRDefault="0010523F" w:rsidP="0010523F">
            <w:pPr>
              <w:tabs>
                <w:tab w:val="decimal" w:pos="886"/>
              </w:tabs>
              <w:ind w:left="-70"/>
              <w:jc w:val="right"/>
              <w:rPr>
                <w:sz w:val="22"/>
                <w:szCs w:val="22"/>
                <w:highlight w:val="yellow"/>
                <w:u w:val="single"/>
                <w:lang w:val="es-AR" w:eastAsia="en-US"/>
              </w:rPr>
            </w:pPr>
            <w:r w:rsidRPr="0010523F">
              <w:rPr>
                <w:sz w:val="22"/>
                <w:szCs w:val="22"/>
                <w:u w:val="single"/>
                <w:lang w:val="es-AR" w:eastAsia="en-US"/>
              </w:rPr>
              <w:t xml:space="preserve">  6.914</w:t>
            </w:r>
          </w:p>
        </w:tc>
      </w:tr>
      <w:tr w:rsidR="0010523F" w:rsidRPr="0010523F" w14:paraId="377B0E3D" w14:textId="77777777" w:rsidTr="00774E7E">
        <w:tc>
          <w:tcPr>
            <w:tcW w:w="2802" w:type="dxa"/>
            <w:vAlign w:val="bottom"/>
          </w:tcPr>
          <w:p w14:paraId="114E8395" w14:textId="77777777" w:rsidR="0010523F" w:rsidRPr="0010523F" w:rsidRDefault="0010523F" w:rsidP="0010523F">
            <w:pPr>
              <w:spacing w:line="200" w:lineRule="exact"/>
              <w:jc w:val="both"/>
              <w:rPr>
                <w:sz w:val="22"/>
                <w:szCs w:val="22"/>
                <w:lang w:val="es-AR" w:eastAsia="en-US"/>
              </w:rPr>
            </w:pPr>
          </w:p>
        </w:tc>
        <w:tc>
          <w:tcPr>
            <w:tcW w:w="1309" w:type="dxa"/>
            <w:vAlign w:val="bottom"/>
          </w:tcPr>
          <w:p w14:paraId="0C1AA20E" w14:textId="77777777" w:rsidR="0010523F" w:rsidRPr="0010523F" w:rsidRDefault="0010523F" w:rsidP="0010523F">
            <w:pPr>
              <w:spacing w:line="200" w:lineRule="exact"/>
              <w:jc w:val="both"/>
              <w:rPr>
                <w:sz w:val="22"/>
                <w:szCs w:val="22"/>
                <w:lang w:val="es-AR" w:eastAsia="en-US"/>
              </w:rPr>
            </w:pPr>
          </w:p>
        </w:tc>
        <w:tc>
          <w:tcPr>
            <w:tcW w:w="1276" w:type="dxa"/>
            <w:vAlign w:val="bottom"/>
          </w:tcPr>
          <w:p w14:paraId="74C7AC07" w14:textId="77777777" w:rsidR="0010523F" w:rsidRPr="0010523F" w:rsidRDefault="0010523F" w:rsidP="0010523F">
            <w:pPr>
              <w:spacing w:line="200" w:lineRule="exact"/>
              <w:jc w:val="right"/>
              <w:rPr>
                <w:sz w:val="22"/>
                <w:szCs w:val="22"/>
                <w:highlight w:val="yellow"/>
                <w:lang w:val="es-AR" w:eastAsia="en-US"/>
              </w:rPr>
            </w:pPr>
          </w:p>
        </w:tc>
        <w:tc>
          <w:tcPr>
            <w:tcW w:w="1417" w:type="dxa"/>
            <w:vAlign w:val="bottom"/>
          </w:tcPr>
          <w:p w14:paraId="2B1F8A8C"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7412D607"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11A9BB17" w14:textId="77777777" w:rsidR="0010523F" w:rsidRPr="0010523F" w:rsidRDefault="0010523F" w:rsidP="0010523F">
            <w:pPr>
              <w:spacing w:line="200" w:lineRule="exact"/>
              <w:jc w:val="right"/>
              <w:rPr>
                <w:sz w:val="22"/>
                <w:szCs w:val="22"/>
                <w:highlight w:val="yellow"/>
                <w:lang w:val="es-AR" w:eastAsia="en-US"/>
              </w:rPr>
            </w:pPr>
          </w:p>
        </w:tc>
      </w:tr>
      <w:tr w:rsidR="0010523F" w:rsidRPr="0010523F" w14:paraId="1C932CB9" w14:textId="77777777" w:rsidTr="00774E7E">
        <w:tc>
          <w:tcPr>
            <w:tcW w:w="2802" w:type="dxa"/>
            <w:vAlign w:val="bottom"/>
          </w:tcPr>
          <w:p w14:paraId="06DE0C6F" w14:textId="77777777" w:rsidR="0010523F" w:rsidRPr="0010523F" w:rsidRDefault="0010523F" w:rsidP="0010523F">
            <w:pPr>
              <w:jc w:val="both"/>
              <w:rPr>
                <w:sz w:val="22"/>
                <w:szCs w:val="22"/>
                <w:lang w:val="es-AR" w:eastAsia="en-US"/>
              </w:rPr>
            </w:pPr>
            <w:r w:rsidRPr="0010523F">
              <w:rPr>
                <w:sz w:val="22"/>
                <w:szCs w:val="22"/>
                <w:lang w:val="es-AR" w:eastAsia="en-US"/>
              </w:rPr>
              <w:t>Total del activo</w:t>
            </w:r>
          </w:p>
        </w:tc>
        <w:tc>
          <w:tcPr>
            <w:tcW w:w="1309" w:type="dxa"/>
            <w:vAlign w:val="bottom"/>
          </w:tcPr>
          <w:p w14:paraId="0F8FC2BD" w14:textId="77777777" w:rsidR="0010523F" w:rsidRPr="0010523F" w:rsidRDefault="0010523F" w:rsidP="0010523F">
            <w:pPr>
              <w:tabs>
                <w:tab w:val="decimal" w:pos="835"/>
              </w:tabs>
              <w:jc w:val="right"/>
              <w:rPr>
                <w:sz w:val="22"/>
                <w:szCs w:val="22"/>
                <w:u w:val="double"/>
                <w:lang w:val="es-AR" w:eastAsia="en-US"/>
              </w:rPr>
            </w:pPr>
            <w:r w:rsidRPr="0010523F">
              <w:rPr>
                <w:sz w:val="22"/>
                <w:szCs w:val="22"/>
                <w:u w:val="double"/>
                <w:lang w:val="es-AR" w:eastAsia="en-US"/>
              </w:rPr>
              <w:t>712.126</w:t>
            </w:r>
          </w:p>
        </w:tc>
        <w:tc>
          <w:tcPr>
            <w:tcW w:w="1276" w:type="dxa"/>
            <w:vAlign w:val="bottom"/>
          </w:tcPr>
          <w:p w14:paraId="192E79EB" w14:textId="77777777" w:rsidR="0010523F" w:rsidRPr="0010523F" w:rsidRDefault="0010523F" w:rsidP="0010523F">
            <w:pPr>
              <w:tabs>
                <w:tab w:val="decimal" w:pos="835"/>
              </w:tabs>
              <w:jc w:val="right"/>
              <w:rPr>
                <w:sz w:val="22"/>
                <w:szCs w:val="22"/>
                <w:highlight w:val="yellow"/>
                <w:u w:val="double"/>
                <w:lang w:val="es-AR" w:eastAsia="en-US"/>
              </w:rPr>
            </w:pPr>
            <w:r w:rsidRPr="0010523F">
              <w:rPr>
                <w:sz w:val="22"/>
                <w:szCs w:val="22"/>
                <w:u w:val="double"/>
                <w:lang w:val="es-AR" w:eastAsia="en-US"/>
              </w:rPr>
              <w:t>507.910</w:t>
            </w:r>
          </w:p>
        </w:tc>
        <w:tc>
          <w:tcPr>
            <w:tcW w:w="1417" w:type="dxa"/>
            <w:vAlign w:val="bottom"/>
          </w:tcPr>
          <w:p w14:paraId="2707FB1F" w14:textId="77777777" w:rsidR="0010523F" w:rsidRPr="0010523F" w:rsidRDefault="0010523F" w:rsidP="0010523F">
            <w:pPr>
              <w:tabs>
                <w:tab w:val="decimal" w:pos="933"/>
              </w:tabs>
              <w:jc w:val="right"/>
              <w:rPr>
                <w:sz w:val="22"/>
                <w:szCs w:val="22"/>
                <w:highlight w:val="yellow"/>
                <w:u w:val="double"/>
                <w:lang w:val="es-AR" w:eastAsia="en-US"/>
              </w:rPr>
            </w:pPr>
            <w:r w:rsidRPr="0010523F">
              <w:rPr>
                <w:sz w:val="22"/>
                <w:szCs w:val="22"/>
                <w:u w:val="double"/>
                <w:lang w:val="es-AR" w:eastAsia="en-US"/>
              </w:rPr>
              <w:t>166.065</w:t>
            </w:r>
          </w:p>
        </w:tc>
        <w:tc>
          <w:tcPr>
            <w:tcW w:w="1276" w:type="dxa"/>
            <w:vAlign w:val="bottom"/>
          </w:tcPr>
          <w:p w14:paraId="7839AA6D" w14:textId="77777777" w:rsidR="0010523F" w:rsidRPr="0010523F" w:rsidRDefault="0010523F" w:rsidP="0010523F">
            <w:pPr>
              <w:tabs>
                <w:tab w:val="decimal" w:pos="947"/>
              </w:tabs>
              <w:jc w:val="right"/>
              <w:rPr>
                <w:sz w:val="22"/>
                <w:szCs w:val="22"/>
                <w:highlight w:val="yellow"/>
                <w:u w:val="double"/>
                <w:lang w:val="es-AR" w:eastAsia="en-US"/>
              </w:rPr>
            </w:pPr>
            <w:r w:rsidRPr="0010523F">
              <w:rPr>
                <w:sz w:val="22"/>
                <w:szCs w:val="22"/>
                <w:u w:val="double"/>
                <w:lang w:val="es-AR" w:eastAsia="en-US"/>
              </w:rPr>
              <w:t>145.221</w:t>
            </w:r>
          </w:p>
        </w:tc>
        <w:tc>
          <w:tcPr>
            <w:tcW w:w="1276" w:type="dxa"/>
            <w:vAlign w:val="bottom"/>
          </w:tcPr>
          <w:p w14:paraId="574C1374" w14:textId="77777777" w:rsidR="0010523F" w:rsidRPr="0010523F" w:rsidRDefault="0010523F" w:rsidP="0010523F">
            <w:pPr>
              <w:tabs>
                <w:tab w:val="decimal" w:pos="886"/>
              </w:tabs>
              <w:ind w:left="-70"/>
              <w:jc w:val="right"/>
              <w:rPr>
                <w:sz w:val="22"/>
                <w:szCs w:val="22"/>
                <w:highlight w:val="yellow"/>
                <w:u w:val="double"/>
                <w:lang w:val="es-AR" w:eastAsia="en-US"/>
              </w:rPr>
            </w:pPr>
            <w:r w:rsidRPr="0010523F">
              <w:rPr>
                <w:sz w:val="22"/>
                <w:szCs w:val="22"/>
                <w:u w:val="double"/>
                <w:lang w:val="es-AR" w:eastAsia="en-US"/>
              </w:rPr>
              <w:t>92.471</w:t>
            </w:r>
          </w:p>
        </w:tc>
      </w:tr>
      <w:tr w:rsidR="0010523F" w:rsidRPr="0010523F" w14:paraId="684350FF" w14:textId="77777777" w:rsidTr="00774E7E">
        <w:tc>
          <w:tcPr>
            <w:tcW w:w="2802" w:type="dxa"/>
            <w:vAlign w:val="bottom"/>
          </w:tcPr>
          <w:p w14:paraId="5527780B" w14:textId="77777777" w:rsidR="0010523F" w:rsidRPr="0010523F" w:rsidRDefault="0010523F" w:rsidP="0010523F">
            <w:pPr>
              <w:spacing w:line="200" w:lineRule="exact"/>
              <w:jc w:val="both"/>
              <w:rPr>
                <w:sz w:val="22"/>
                <w:szCs w:val="22"/>
                <w:lang w:val="es-AR" w:eastAsia="en-US"/>
              </w:rPr>
            </w:pPr>
          </w:p>
        </w:tc>
        <w:tc>
          <w:tcPr>
            <w:tcW w:w="1309" w:type="dxa"/>
            <w:vAlign w:val="bottom"/>
          </w:tcPr>
          <w:p w14:paraId="663518BB" w14:textId="77777777" w:rsidR="0010523F" w:rsidRPr="0010523F" w:rsidRDefault="0010523F" w:rsidP="0010523F">
            <w:pPr>
              <w:spacing w:line="200" w:lineRule="exact"/>
              <w:jc w:val="both"/>
              <w:rPr>
                <w:sz w:val="22"/>
                <w:szCs w:val="22"/>
                <w:lang w:val="es-AR" w:eastAsia="en-US"/>
              </w:rPr>
            </w:pPr>
          </w:p>
        </w:tc>
        <w:tc>
          <w:tcPr>
            <w:tcW w:w="1276" w:type="dxa"/>
            <w:vAlign w:val="bottom"/>
          </w:tcPr>
          <w:p w14:paraId="1E02BCDD" w14:textId="77777777" w:rsidR="0010523F" w:rsidRPr="0010523F" w:rsidRDefault="0010523F" w:rsidP="0010523F">
            <w:pPr>
              <w:spacing w:line="200" w:lineRule="exact"/>
              <w:jc w:val="right"/>
              <w:rPr>
                <w:sz w:val="22"/>
                <w:szCs w:val="22"/>
                <w:highlight w:val="yellow"/>
                <w:lang w:val="es-AR" w:eastAsia="en-US"/>
              </w:rPr>
            </w:pPr>
          </w:p>
        </w:tc>
        <w:tc>
          <w:tcPr>
            <w:tcW w:w="1417" w:type="dxa"/>
            <w:vAlign w:val="bottom"/>
          </w:tcPr>
          <w:p w14:paraId="6A143895"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24CBA537"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338DF6D6" w14:textId="77777777" w:rsidR="0010523F" w:rsidRPr="0010523F" w:rsidRDefault="0010523F" w:rsidP="0010523F">
            <w:pPr>
              <w:spacing w:line="200" w:lineRule="exact"/>
              <w:jc w:val="right"/>
              <w:rPr>
                <w:sz w:val="22"/>
                <w:szCs w:val="22"/>
                <w:highlight w:val="yellow"/>
                <w:lang w:val="es-AR" w:eastAsia="en-US"/>
              </w:rPr>
            </w:pPr>
          </w:p>
        </w:tc>
      </w:tr>
      <w:tr w:rsidR="0010523F" w:rsidRPr="0010523F" w14:paraId="59BA1104" w14:textId="77777777" w:rsidTr="00774E7E">
        <w:tc>
          <w:tcPr>
            <w:tcW w:w="2802" w:type="dxa"/>
            <w:vAlign w:val="bottom"/>
          </w:tcPr>
          <w:p w14:paraId="79873DFF" w14:textId="77777777" w:rsidR="0010523F" w:rsidRPr="0010523F" w:rsidRDefault="0010523F" w:rsidP="0010523F">
            <w:pPr>
              <w:jc w:val="both"/>
              <w:rPr>
                <w:sz w:val="22"/>
                <w:szCs w:val="22"/>
                <w:lang w:val="es-AR" w:eastAsia="en-US"/>
              </w:rPr>
            </w:pPr>
            <w:r w:rsidRPr="0010523F">
              <w:rPr>
                <w:sz w:val="22"/>
                <w:szCs w:val="22"/>
                <w:lang w:val="es-AR" w:eastAsia="en-US"/>
              </w:rPr>
              <w:t xml:space="preserve">Total del patrimonio </w:t>
            </w:r>
          </w:p>
        </w:tc>
        <w:tc>
          <w:tcPr>
            <w:tcW w:w="1309" w:type="dxa"/>
            <w:vAlign w:val="bottom"/>
          </w:tcPr>
          <w:p w14:paraId="54624709" w14:textId="77777777" w:rsidR="0010523F" w:rsidRPr="0010523F" w:rsidRDefault="0010523F" w:rsidP="0010523F">
            <w:pPr>
              <w:tabs>
                <w:tab w:val="decimal" w:pos="835"/>
              </w:tabs>
              <w:jc w:val="right"/>
              <w:rPr>
                <w:sz w:val="22"/>
                <w:szCs w:val="22"/>
                <w:u w:val="single"/>
                <w:lang w:val="es-AR" w:eastAsia="en-US"/>
              </w:rPr>
            </w:pPr>
            <w:r w:rsidRPr="0010523F">
              <w:rPr>
                <w:sz w:val="22"/>
                <w:szCs w:val="22"/>
                <w:u w:val="single"/>
                <w:lang w:val="es-AR" w:eastAsia="en-US"/>
              </w:rPr>
              <w:t>402.267</w:t>
            </w:r>
          </w:p>
        </w:tc>
        <w:tc>
          <w:tcPr>
            <w:tcW w:w="1276" w:type="dxa"/>
            <w:vAlign w:val="bottom"/>
          </w:tcPr>
          <w:p w14:paraId="594C1795" w14:textId="77777777" w:rsidR="0010523F" w:rsidRPr="0010523F" w:rsidRDefault="0010523F" w:rsidP="0010523F">
            <w:pPr>
              <w:tabs>
                <w:tab w:val="decimal" w:pos="835"/>
              </w:tabs>
              <w:jc w:val="right"/>
              <w:rPr>
                <w:sz w:val="22"/>
                <w:szCs w:val="22"/>
                <w:highlight w:val="yellow"/>
                <w:u w:val="single"/>
                <w:lang w:val="es-AR" w:eastAsia="en-US"/>
              </w:rPr>
            </w:pPr>
            <w:r w:rsidRPr="0010523F">
              <w:rPr>
                <w:sz w:val="22"/>
                <w:szCs w:val="22"/>
                <w:u w:val="single"/>
                <w:lang w:val="es-AR" w:eastAsia="en-US"/>
              </w:rPr>
              <w:t>282.022</w:t>
            </w:r>
          </w:p>
        </w:tc>
        <w:tc>
          <w:tcPr>
            <w:tcW w:w="1417" w:type="dxa"/>
            <w:vAlign w:val="bottom"/>
          </w:tcPr>
          <w:p w14:paraId="57319DDF" w14:textId="77777777" w:rsidR="0010523F" w:rsidRPr="0010523F" w:rsidRDefault="0010523F" w:rsidP="0010523F">
            <w:pPr>
              <w:tabs>
                <w:tab w:val="decimal" w:pos="933"/>
              </w:tabs>
              <w:jc w:val="right"/>
              <w:rPr>
                <w:sz w:val="22"/>
                <w:szCs w:val="22"/>
                <w:highlight w:val="yellow"/>
                <w:u w:val="single"/>
                <w:lang w:val="es-AR" w:eastAsia="en-US"/>
              </w:rPr>
            </w:pPr>
            <w:r w:rsidRPr="0010523F">
              <w:rPr>
                <w:sz w:val="22"/>
                <w:szCs w:val="22"/>
                <w:u w:val="single"/>
                <w:lang w:val="es-AR" w:eastAsia="en-US"/>
              </w:rPr>
              <w:t xml:space="preserve">  87.877</w:t>
            </w:r>
          </w:p>
        </w:tc>
        <w:tc>
          <w:tcPr>
            <w:tcW w:w="1276" w:type="dxa"/>
            <w:vAlign w:val="bottom"/>
          </w:tcPr>
          <w:p w14:paraId="25825FB0" w14:textId="77777777" w:rsidR="0010523F" w:rsidRPr="0010523F" w:rsidRDefault="0010523F" w:rsidP="0010523F">
            <w:pPr>
              <w:tabs>
                <w:tab w:val="decimal" w:pos="947"/>
              </w:tabs>
              <w:jc w:val="right"/>
              <w:rPr>
                <w:sz w:val="22"/>
                <w:szCs w:val="22"/>
                <w:highlight w:val="yellow"/>
                <w:u w:val="single"/>
                <w:lang w:val="es-AR" w:eastAsia="en-US"/>
              </w:rPr>
            </w:pPr>
            <w:r w:rsidRPr="0010523F">
              <w:rPr>
                <w:sz w:val="22"/>
                <w:szCs w:val="22"/>
                <w:u w:val="single"/>
                <w:lang w:val="es-AR" w:eastAsia="en-US"/>
              </w:rPr>
              <w:t xml:space="preserve">  72.457</w:t>
            </w:r>
          </w:p>
        </w:tc>
        <w:tc>
          <w:tcPr>
            <w:tcW w:w="1276" w:type="dxa"/>
            <w:vAlign w:val="bottom"/>
          </w:tcPr>
          <w:p w14:paraId="159D9717" w14:textId="77777777" w:rsidR="0010523F" w:rsidRPr="0010523F" w:rsidRDefault="0010523F" w:rsidP="0010523F">
            <w:pPr>
              <w:tabs>
                <w:tab w:val="decimal" w:pos="886"/>
              </w:tabs>
              <w:ind w:left="-70"/>
              <w:jc w:val="right"/>
              <w:rPr>
                <w:sz w:val="22"/>
                <w:szCs w:val="22"/>
                <w:highlight w:val="yellow"/>
                <w:u w:val="single"/>
                <w:lang w:val="es-AR" w:eastAsia="en-US"/>
              </w:rPr>
            </w:pPr>
            <w:r w:rsidRPr="0010523F">
              <w:rPr>
                <w:sz w:val="22"/>
                <w:szCs w:val="22"/>
                <w:u w:val="single"/>
                <w:lang w:val="es-AR" w:eastAsia="en-US"/>
              </w:rPr>
              <w:t>45.172</w:t>
            </w:r>
          </w:p>
        </w:tc>
      </w:tr>
      <w:tr w:rsidR="0010523F" w:rsidRPr="0010523F" w14:paraId="792DE144" w14:textId="77777777" w:rsidTr="00774E7E">
        <w:tc>
          <w:tcPr>
            <w:tcW w:w="2802" w:type="dxa"/>
            <w:vAlign w:val="bottom"/>
          </w:tcPr>
          <w:p w14:paraId="522BA11E" w14:textId="77777777" w:rsidR="0010523F" w:rsidRPr="0010523F" w:rsidRDefault="0010523F" w:rsidP="0010523F">
            <w:pPr>
              <w:spacing w:line="200" w:lineRule="exact"/>
              <w:jc w:val="both"/>
              <w:rPr>
                <w:sz w:val="22"/>
                <w:szCs w:val="22"/>
                <w:lang w:val="es-AR" w:eastAsia="en-US"/>
              </w:rPr>
            </w:pPr>
          </w:p>
        </w:tc>
        <w:tc>
          <w:tcPr>
            <w:tcW w:w="1309" w:type="dxa"/>
            <w:vAlign w:val="bottom"/>
          </w:tcPr>
          <w:p w14:paraId="6ED0CD7E" w14:textId="77777777" w:rsidR="0010523F" w:rsidRPr="0010523F" w:rsidRDefault="0010523F" w:rsidP="0010523F">
            <w:pPr>
              <w:spacing w:line="200" w:lineRule="exact"/>
              <w:jc w:val="both"/>
              <w:rPr>
                <w:sz w:val="22"/>
                <w:szCs w:val="22"/>
                <w:highlight w:val="yellow"/>
                <w:lang w:val="es-AR" w:eastAsia="en-US"/>
              </w:rPr>
            </w:pPr>
          </w:p>
        </w:tc>
        <w:tc>
          <w:tcPr>
            <w:tcW w:w="1276" w:type="dxa"/>
            <w:vAlign w:val="bottom"/>
          </w:tcPr>
          <w:p w14:paraId="5B68538E" w14:textId="77777777" w:rsidR="0010523F" w:rsidRPr="0010523F" w:rsidRDefault="0010523F" w:rsidP="0010523F">
            <w:pPr>
              <w:spacing w:line="200" w:lineRule="exact"/>
              <w:jc w:val="right"/>
              <w:rPr>
                <w:sz w:val="22"/>
                <w:szCs w:val="22"/>
                <w:highlight w:val="yellow"/>
                <w:lang w:val="es-AR" w:eastAsia="en-US"/>
              </w:rPr>
            </w:pPr>
          </w:p>
        </w:tc>
        <w:tc>
          <w:tcPr>
            <w:tcW w:w="1417" w:type="dxa"/>
            <w:vAlign w:val="bottom"/>
          </w:tcPr>
          <w:p w14:paraId="4C5A674C"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433999FD"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13D54E69" w14:textId="77777777" w:rsidR="0010523F" w:rsidRPr="0010523F" w:rsidRDefault="0010523F" w:rsidP="0010523F">
            <w:pPr>
              <w:spacing w:line="200" w:lineRule="exact"/>
              <w:jc w:val="right"/>
              <w:rPr>
                <w:sz w:val="22"/>
                <w:szCs w:val="22"/>
                <w:highlight w:val="yellow"/>
                <w:lang w:val="es-AR" w:eastAsia="en-US"/>
              </w:rPr>
            </w:pPr>
          </w:p>
        </w:tc>
      </w:tr>
      <w:tr w:rsidR="0010523F" w:rsidRPr="0010523F" w14:paraId="31CCCF5A" w14:textId="77777777" w:rsidTr="00774E7E">
        <w:tc>
          <w:tcPr>
            <w:tcW w:w="2802" w:type="dxa"/>
            <w:vAlign w:val="bottom"/>
          </w:tcPr>
          <w:p w14:paraId="7027E6B6" w14:textId="77777777" w:rsidR="0010523F" w:rsidRPr="0010523F" w:rsidRDefault="0010523F" w:rsidP="0010523F">
            <w:pPr>
              <w:jc w:val="both"/>
              <w:rPr>
                <w:sz w:val="22"/>
                <w:szCs w:val="22"/>
                <w:lang w:val="es-AR" w:eastAsia="en-US"/>
              </w:rPr>
            </w:pPr>
            <w:r w:rsidRPr="0010523F">
              <w:rPr>
                <w:sz w:val="22"/>
                <w:szCs w:val="22"/>
                <w:lang w:val="es-AR" w:eastAsia="en-US"/>
              </w:rPr>
              <w:t>Pasivo no corriente</w:t>
            </w:r>
          </w:p>
        </w:tc>
        <w:tc>
          <w:tcPr>
            <w:tcW w:w="1309" w:type="dxa"/>
            <w:vAlign w:val="bottom"/>
          </w:tcPr>
          <w:p w14:paraId="45CABB71" w14:textId="77777777" w:rsidR="0010523F" w:rsidRPr="0010523F" w:rsidRDefault="0010523F" w:rsidP="0010523F">
            <w:pPr>
              <w:tabs>
                <w:tab w:val="decimal" w:pos="835"/>
              </w:tabs>
              <w:jc w:val="right"/>
              <w:rPr>
                <w:sz w:val="22"/>
                <w:szCs w:val="22"/>
                <w:lang w:val="es-AR" w:eastAsia="en-US"/>
              </w:rPr>
            </w:pPr>
            <w:r w:rsidRPr="0010523F">
              <w:rPr>
                <w:sz w:val="22"/>
                <w:szCs w:val="22"/>
                <w:lang w:val="es-AR" w:eastAsia="en-US"/>
              </w:rPr>
              <w:t>209.755</w:t>
            </w:r>
          </w:p>
        </w:tc>
        <w:tc>
          <w:tcPr>
            <w:tcW w:w="1276" w:type="dxa"/>
            <w:vAlign w:val="bottom"/>
          </w:tcPr>
          <w:p w14:paraId="0D85CA7A" w14:textId="77777777" w:rsidR="0010523F" w:rsidRPr="0010523F" w:rsidRDefault="0010523F" w:rsidP="0010523F">
            <w:pPr>
              <w:tabs>
                <w:tab w:val="decimal" w:pos="835"/>
              </w:tabs>
              <w:jc w:val="right"/>
              <w:rPr>
                <w:sz w:val="22"/>
                <w:szCs w:val="22"/>
                <w:highlight w:val="yellow"/>
                <w:lang w:val="es-AR" w:eastAsia="en-US"/>
              </w:rPr>
            </w:pPr>
            <w:r w:rsidRPr="0010523F">
              <w:rPr>
                <w:sz w:val="22"/>
                <w:szCs w:val="22"/>
                <w:lang w:val="es-AR" w:eastAsia="en-US"/>
              </w:rPr>
              <w:t>157.970</w:t>
            </w:r>
          </w:p>
        </w:tc>
        <w:tc>
          <w:tcPr>
            <w:tcW w:w="1417" w:type="dxa"/>
            <w:vAlign w:val="bottom"/>
          </w:tcPr>
          <w:p w14:paraId="60B5576D" w14:textId="77777777" w:rsidR="0010523F" w:rsidRPr="0010523F" w:rsidRDefault="0010523F" w:rsidP="0010523F">
            <w:pPr>
              <w:tabs>
                <w:tab w:val="decimal" w:pos="933"/>
              </w:tabs>
              <w:jc w:val="right"/>
              <w:rPr>
                <w:sz w:val="22"/>
                <w:szCs w:val="22"/>
                <w:highlight w:val="yellow"/>
                <w:lang w:val="es-AR" w:eastAsia="en-US"/>
              </w:rPr>
            </w:pPr>
            <w:r w:rsidRPr="0010523F">
              <w:rPr>
                <w:sz w:val="22"/>
                <w:szCs w:val="22"/>
                <w:lang w:val="es-AR" w:eastAsia="en-US"/>
              </w:rPr>
              <w:t>59.033</w:t>
            </w:r>
          </w:p>
        </w:tc>
        <w:tc>
          <w:tcPr>
            <w:tcW w:w="1276" w:type="dxa"/>
            <w:vAlign w:val="bottom"/>
          </w:tcPr>
          <w:p w14:paraId="27E7D7C7" w14:textId="77777777" w:rsidR="0010523F" w:rsidRPr="0010523F" w:rsidRDefault="0010523F" w:rsidP="0010523F">
            <w:pPr>
              <w:tabs>
                <w:tab w:val="decimal" w:pos="947"/>
              </w:tabs>
              <w:jc w:val="right"/>
              <w:rPr>
                <w:sz w:val="22"/>
                <w:szCs w:val="22"/>
                <w:highlight w:val="yellow"/>
                <w:lang w:val="es-AR" w:eastAsia="en-US"/>
              </w:rPr>
            </w:pPr>
            <w:r w:rsidRPr="0010523F">
              <w:rPr>
                <w:sz w:val="22"/>
                <w:szCs w:val="22"/>
                <w:lang w:val="es-AR" w:eastAsia="en-US"/>
              </w:rPr>
              <w:t>51.993</w:t>
            </w:r>
          </w:p>
        </w:tc>
        <w:tc>
          <w:tcPr>
            <w:tcW w:w="1276" w:type="dxa"/>
            <w:vAlign w:val="bottom"/>
          </w:tcPr>
          <w:p w14:paraId="044DA558" w14:textId="77777777" w:rsidR="0010523F" w:rsidRPr="0010523F" w:rsidRDefault="0010523F" w:rsidP="0010523F">
            <w:pPr>
              <w:tabs>
                <w:tab w:val="decimal" w:pos="886"/>
              </w:tabs>
              <w:ind w:left="-70"/>
              <w:jc w:val="right"/>
              <w:rPr>
                <w:sz w:val="22"/>
                <w:szCs w:val="22"/>
                <w:highlight w:val="yellow"/>
                <w:lang w:val="es-AR" w:eastAsia="en-US"/>
              </w:rPr>
            </w:pPr>
            <w:r w:rsidRPr="0010523F">
              <w:rPr>
                <w:sz w:val="22"/>
                <w:szCs w:val="22"/>
                <w:lang w:val="es-AR" w:eastAsia="en-US"/>
              </w:rPr>
              <w:t>28.699</w:t>
            </w:r>
          </w:p>
        </w:tc>
      </w:tr>
      <w:tr w:rsidR="0010523F" w:rsidRPr="0010523F" w14:paraId="3022D9FD" w14:textId="77777777" w:rsidTr="00774E7E">
        <w:tc>
          <w:tcPr>
            <w:tcW w:w="2802" w:type="dxa"/>
            <w:vAlign w:val="bottom"/>
          </w:tcPr>
          <w:p w14:paraId="193B73E2" w14:textId="77777777" w:rsidR="0010523F" w:rsidRPr="0010523F" w:rsidRDefault="0010523F" w:rsidP="0010523F">
            <w:pPr>
              <w:spacing w:line="200" w:lineRule="exact"/>
              <w:jc w:val="both"/>
              <w:rPr>
                <w:sz w:val="22"/>
                <w:szCs w:val="22"/>
                <w:lang w:val="es-AR" w:eastAsia="en-US"/>
              </w:rPr>
            </w:pPr>
          </w:p>
        </w:tc>
        <w:tc>
          <w:tcPr>
            <w:tcW w:w="1309" w:type="dxa"/>
            <w:vAlign w:val="bottom"/>
          </w:tcPr>
          <w:p w14:paraId="18D963D2" w14:textId="77777777" w:rsidR="0010523F" w:rsidRPr="0010523F" w:rsidRDefault="0010523F" w:rsidP="0010523F">
            <w:pPr>
              <w:spacing w:line="200" w:lineRule="exact"/>
              <w:jc w:val="both"/>
              <w:rPr>
                <w:sz w:val="22"/>
                <w:szCs w:val="22"/>
                <w:lang w:val="es-AR" w:eastAsia="en-US"/>
              </w:rPr>
            </w:pPr>
          </w:p>
        </w:tc>
        <w:tc>
          <w:tcPr>
            <w:tcW w:w="1276" w:type="dxa"/>
            <w:vAlign w:val="bottom"/>
          </w:tcPr>
          <w:p w14:paraId="66D72409" w14:textId="77777777" w:rsidR="0010523F" w:rsidRPr="0010523F" w:rsidRDefault="0010523F" w:rsidP="0010523F">
            <w:pPr>
              <w:spacing w:line="200" w:lineRule="exact"/>
              <w:jc w:val="right"/>
              <w:rPr>
                <w:sz w:val="22"/>
                <w:szCs w:val="22"/>
                <w:highlight w:val="yellow"/>
                <w:lang w:val="es-AR" w:eastAsia="en-US"/>
              </w:rPr>
            </w:pPr>
          </w:p>
        </w:tc>
        <w:tc>
          <w:tcPr>
            <w:tcW w:w="1417" w:type="dxa"/>
            <w:vAlign w:val="bottom"/>
          </w:tcPr>
          <w:p w14:paraId="668E68AD"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005294E9"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7B275CDF" w14:textId="77777777" w:rsidR="0010523F" w:rsidRPr="0010523F" w:rsidRDefault="0010523F" w:rsidP="0010523F">
            <w:pPr>
              <w:spacing w:line="200" w:lineRule="exact"/>
              <w:jc w:val="right"/>
              <w:rPr>
                <w:sz w:val="22"/>
                <w:szCs w:val="22"/>
                <w:highlight w:val="yellow"/>
                <w:lang w:val="es-AR" w:eastAsia="en-US"/>
              </w:rPr>
            </w:pPr>
          </w:p>
        </w:tc>
      </w:tr>
      <w:tr w:rsidR="0010523F" w:rsidRPr="0010523F" w14:paraId="23D639EF" w14:textId="77777777" w:rsidTr="00774E7E">
        <w:tc>
          <w:tcPr>
            <w:tcW w:w="2802" w:type="dxa"/>
            <w:vAlign w:val="bottom"/>
          </w:tcPr>
          <w:p w14:paraId="44119441" w14:textId="77777777" w:rsidR="0010523F" w:rsidRPr="0010523F" w:rsidRDefault="0010523F" w:rsidP="0010523F">
            <w:pPr>
              <w:jc w:val="both"/>
              <w:rPr>
                <w:sz w:val="22"/>
                <w:szCs w:val="22"/>
                <w:lang w:val="es-AR" w:eastAsia="en-US"/>
              </w:rPr>
            </w:pPr>
            <w:r w:rsidRPr="0010523F">
              <w:rPr>
                <w:sz w:val="22"/>
                <w:szCs w:val="22"/>
                <w:lang w:val="es-AR" w:eastAsia="en-US"/>
              </w:rPr>
              <w:t>Pasivo corriente</w:t>
            </w:r>
          </w:p>
        </w:tc>
        <w:tc>
          <w:tcPr>
            <w:tcW w:w="1309" w:type="dxa"/>
            <w:vAlign w:val="bottom"/>
          </w:tcPr>
          <w:p w14:paraId="7171572E" w14:textId="77777777" w:rsidR="0010523F" w:rsidRPr="0010523F" w:rsidRDefault="0010523F" w:rsidP="0010523F">
            <w:pPr>
              <w:tabs>
                <w:tab w:val="decimal" w:pos="835"/>
              </w:tabs>
              <w:jc w:val="right"/>
              <w:rPr>
                <w:sz w:val="22"/>
                <w:szCs w:val="22"/>
                <w:u w:val="single"/>
                <w:lang w:val="es-AR" w:eastAsia="en-US"/>
              </w:rPr>
            </w:pPr>
            <w:r w:rsidRPr="0010523F">
              <w:rPr>
                <w:sz w:val="22"/>
                <w:szCs w:val="22"/>
                <w:u w:val="single"/>
                <w:lang w:val="es-AR" w:eastAsia="en-US"/>
              </w:rPr>
              <w:t>100.104</w:t>
            </w:r>
          </w:p>
        </w:tc>
        <w:tc>
          <w:tcPr>
            <w:tcW w:w="1276" w:type="dxa"/>
            <w:vAlign w:val="bottom"/>
          </w:tcPr>
          <w:p w14:paraId="242A6A30" w14:textId="77777777" w:rsidR="0010523F" w:rsidRPr="0010523F" w:rsidRDefault="0010523F" w:rsidP="0010523F">
            <w:pPr>
              <w:tabs>
                <w:tab w:val="decimal" w:pos="835"/>
              </w:tabs>
              <w:jc w:val="right"/>
              <w:rPr>
                <w:sz w:val="22"/>
                <w:szCs w:val="22"/>
                <w:highlight w:val="yellow"/>
                <w:u w:val="single"/>
                <w:lang w:val="es-AR" w:eastAsia="en-US"/>
              </w:rPr>
            </w:pPr>
            <w:r w:rsidRPr="0010523F">
              <w:rPr>
                <w:sz w:val="22"/>
                <w:szCs w:val="22"/>
                <w:u w:val="single"/>
                <w:lang w:val="es-AR" w:eastAsia="en-US"/>
              </w:rPr>
              <w:t xml:space="preserve">  67.918</w:t>
            </w:r>
          </w:p>
        </w:tc>
        <w:tc>
          <w:tcPr>
            <w:tcW w:w="1417" w:type="dxa"/>
            <w:vAlign w:val="bottom"/>
          </w:tcPr>
          <w:p w14:paraId="0A386B43" w14:textId="77777777" w:rsidR="0010523F" w:rsidRPr="0010523F" w:rsidRDefault="0010523F" w:rsidP="0010523F">
            <w:pPr>
              <w:tabs>
                <w:tab w:val="decimal" w:pos="933"/>
              </w:tabs>
              <w:jc w:val="right"/>
              <w:rPr>
                <w:sz w:val="22"/>
                <w:szCs w:val="22"/>
                <w:highlight w:val="yellow"/>
                <w:u w:val="single"/>
                <w:lang w:val="es-AR" w:eastAsia="en-US"/>
              </w:rPr>
            </w:pPr>
            <w:r w:rsidRPr="0010523F">
              <w:rPr>
                <w:sz w:val="22"/>
                <w:szCs w:val="22"/>
                <w:u w:val="single"/>
                <w:lang w:val="es-AR" w:eastAsia="en-US"/>
              </w:rPr>
              <w:t xml:space="preserve">  19.155</w:t>
            </w:r>
          </w:p>
        </w:tc>
        <w:tc>
          <w:tcPr>
            <w:tcW w:w="1276" w:type="dxa"/>
            <w:vAlign w:val="bottom"/>
          </w:tcPr>
          <w:p w14:paraId="3177A92E" w14:textId="77777777" w:rsidR="0010523F" w:rsidRPr="0010523F" w:rsidRDefault="0010523F" w:rsidP="0010523F">
            <w:pPr>
              <w:tabs>
                <w:tab w:val="decimal" w:pos="947"/>
              </w:tabs>
              <w:jc w:val="right"/>
              <w:rPr>
                <w:sz w:val="22"/>
                <w:szCs w:val="22"/>
                <w:highlight w:val="yellow"/>
                <w:u w:val="single"/>
                <w:lang w:val="es-AR" w:eastAsia="en-US"/>
              </w:rPr>
            </w:pPr>
            <w:r w:rsidRPr="0010523F">
              <w:rPr>
                <w:sz w:val="22"/>
                <w:szCs w:val="22"/>
                <w:u w:val="single"/>
                <w:lang w:val="es-AR" w:eastAsia="en-US"/>
              </w:rPr>
              <w:t xml:space="preserve">  20.771</w:t>
            </w:r>
          </w:p>
        </w:tc>
        <w:tc>
          <w:tcPr>
            <w:tcW w:w="1276" w:type="dxa"/>
            <w:vAlign w:val="bottom"/>
          </w:tcPr>
          <w:p w14:paraId="56A21A42" w14:textId="77777777" w:rsidR="0010523F" w:rsidRPr="0010523F" w:rsidRDefault="0010523F" w:rsidP="0010523F">
            <w:pPr>
              <w:tabs>
                <w:tab w:val="decimal" w:pos="886"/>
              </w:tabs>
              <w:ind w:left="-70"/>
              <w:jc w:val="right"/>
              <w:rPr>
                <w:sz w:val="22"/>
                <w:szCs w:val="22"/>
                <w:highlight w:val="yellow"/>
                <w:u w:val="single"/>
                <w:lang w:val="es-AR" w:eastAsia="en-US"/>
              </w:rPr>
            </w:pPr>
            <w:r w:rsidRPr="0010523F">
              <w:rPr>
                <w:sz w:val="22"/>
                <w:szCs w:val="22"/>
                <w:u w:val="single"/>
                <w:lang w:val="es-AR" w:eastAsia="en-US"/>
              </w:rPr>
              <w:t>18.600</w:t>
            </w:r>
          </w:p>
        </w:tc>
      </w:tr>
      <w:tr w:rsidR="0010523F" w:rsidRPr="0010523F" w14:paraId="5A07C92B" w14:textId="77777777" w:rsidTr="00774E7E">
        <w:tc>
          <w:tcPr>
            <w:tcW w:w="2802" w:type="dxa"/>
            <w:vAlign w:val="bottom"/>
          </w:tcPr>
          <w:p w14:paraId="6C794523" w14:textId="77777777" w:rsidR="0010523F" w:rsidRPr="0010523F" w:rsidRDefault="0010523F" w:rsidP="0010523F">
            <w:pPr>
              <w:spacing w:line="200" w:lineRule="exact"/>
              <w:jc w:val="both"/>
              <w:rPr>
                <w:sz w:val="22"/>
                <w:szCs w:val="22"/>
                <w:lang w:val="es-AR" w:eastAsia="en-US"/>
              </w:rPr>
            </w:pPr>
          </w:p>
        </w:tc>
        <w:tc>
          <w:tcPr>
            <w:tcW w:w="1309" w:type="dxa"/>
            <w:vAlign w:val="bottom"/>
          </w:tcPr>
          <w:p w14:paraId="035E3C37" w14:textId="77777777" w:rsidR="0010523F" w:rsidRPr="0010523F" w:rsidRDefault="0010523F" w:rsidP="0010523F">
            <w:pPr>
              <w:spacing w:line="200" w:lineRule="exact"/>
              <w:jc w:val="both"/>
              <w:rPr>
                <w:sz w:val="22"/>
                <w:szCs w:val="22"/>
                <w:lang w:val="es-AR" w:eastAsia="en-US"/>
              </w:rPr>
            </w:pPr>
          </w:p>
        </w:tc>
        <w:tc>
          <w:tcPr>
            <w:tcW w:w="1276" w:type="dxa"/>
            <w:vAlign w:val="bottom"/>
          </w:tcPr>
          <w:p w14:paraId="5138BE0E" w14:textId="77777777" w:rsidR="0010523F" w:rsidRPr="0010523F" w:rsidRDefault="0010523F" w:rsidP="0010523F">
            <w:pPr>
              <w:spacing w:line="200" w:lineRule="exact"/>
              <w:jc w:val="right"/>
              <w:rPr>
                <w:sz w:val="22"/>
                <w:szCs w:val="22"/>
                <w:highlight w:val="yellow"/>
                <w:lang w:val="es-AR" w:eastAsia="en-US"/>
              </w:rPr>
            </w:pPr>
          </w:p>
        </w:tc>
        <w:tc>
          <w:tcPr>
            <w:tcW w:w="1417" w:type="dxa"/>
            <w:vAlign w:val="bottom"/>
          </w:tcPr>
          <w:p w14:paraId="08E00225"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14BEFDDE"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7E1DD881" w14:textId="77777777" w:rsidR="0010523F" w:rsidRPr="0010523F" w:rsidRDefault="0010523F" w:rsidP="0010523F">
            <w:pPr>
              <w:spacing w:line="200" w:lineRule="exact"/>
              <w:jc w:val="right"/>
              <w:rPr>
                <w:sz w:val="22"/>
                <w:szCs w:val="22"/>
                <w:highlight w:val="yellow"/>
                <w:lang w:val="es-AR" w:eastAsia="en-US"/>
              </w:rPr>
            </w:pPr>
          </w:p>
        </w:tc>
      </w:tr>
      <w:tr w:rsidR="0010523F" w:rsidRPr="0010523F" w14:paraId="2F838DB1" w14:textId="77777777" w:rsidTr="00774E7E">
        <w:tc>
          <w:tcPr>
            <w:tcW w:w="2802" w:type="dxa"/>
            <w:vAlign w:val="bottom"/>
          </w:tcPr>
          <w:p w14:paraId="77BD5DA5" w14:textId="77777777" w:rsidR="0010523F" w:rsidRPr="0010523F" w:rsidRDefault="0010523F" w:rsidP="0010523F">
            <w:pPr>
              <w:jc w:val="both"/>
              <w:rPr>
                <w:sz w:val="22"/>
                <w:szCs w:val="22"/>
                <w:lang w:val="es-AR" w:eastAsia="en-US"/>
              </w:rPr>
            </w:pPr>
            <w:r w:rsidRPr="0010523F">
              <w:rPr>
                <w:sz w:val="22"/>
                <w:szCs w:val="22"/>
                <w:lang w:val="es-AR" w:eastAsia="en-US"/>
              </w:rPr>
              <w:t>Total del pasivo</w:t>
            </w:r>
          </w:p>
        </w:tc>
        <w:tc>
          <w:tcPr>
            <w:tcW w:w="1309" w:type="dxa"/>
            <w:vAlign w:val="bottom"/>
          </w:tcPr>
          <w:p w14:paraId="36BE79C7" w14:textId="77777777" w:rsidR="0010523F" w:rsidRPr="0010523F" w:rsidRDefault="0010523F" w:rsidP="0010523F">
            <w:pPr>
              <w:tabs>
                <w:tab w:val="decimal" w:pos="835"/>
              </w:tabs>
              <w:jc w:val="right"/>
              <w:rPr>
                <w:sz w:val="22"/>
                <w:szCs w:val="22"/>
                <w:u w:val="single"/>
                <w:lang w:val="es-AR" w:eastAsia="en-US"/>
              </w:rPr>
            </w:pPr>
            <w:r w:rsidRPr="0010523F">
              <w:rPr>
                <w:sz w:val="22"/>
                <w:szCs w:val="22"/>
                <w:u w:val="single"/>
                <w:lang w:val="es-AR" w:eastAsia="en-US"/>
              </w:rPr>
              <w:t>309.859</w:t>
            </w:r>
          </w:p>
        </w:tc>
        <w:tc>
          <w:tcPr>
            <w:tcW w:w="1276" w:type="dxa"/>
            <w:vAlign w:val="bottom"/>
          </w:tcPr>
          <w:p w14:paraId="4452A46E" w14:textId="77777777" w:rsidR="0010523F" w:rsidRPr="0010523F" w:rsidRDefault="0010523F" w:rsidP="0010523F">
            <w:pPr>
              <w:tabs>
                <w:tab w:val="decimal" w:pos="835"/>
              </w:tabs>
              <w:jc w:val="right"/>
              <w:rPr>
                <w:sz w:val="22"/>
                <w:szCs w:val="22"/>
                <w:highlight w:val="yellow"/>
                <w:u w:val="single"/>
                <w:lang w:val="es-AR" w:eastAsia="en-US"/>
              </w:rPr>
            </w:pPr>
            <w:r w:rsidRPr="0010523F">
              <w:rPr>
                <w:sz w:val="22"/>
                <w:szCs w:val="22"/>
                <w:u w:val="single"/>
                <w:lang w:val="es-AR" w:eastAsia="en-US"/>
              </w:rPr>
              <w:t>225.888</w:t>
            </w:r>
          </w:p>
        </w:tc>
        <w:tc>
          <w:tcPr>
            <w:tcW w:w="1417" w:type="dxa"/>
            <w:vAlign w:val="bottom"/>
          </w:tcPr>
          <w:p w14:paraId="317AE156" w14:textId="77777777" w:rsidR="0010523F" w:rsidRPr="0010523F" w:rsidRDefault="0010523F" w:rsidP="0010523F">
            <w:pPr>
              <w:tabs>
                <w:tab w:val="decimal" w:pos="933"/>
              </w:tabs>
              <w:jc w:val="right"/>
              <w:rPr>
                <w:sz w:val="22"/>
                <w:szCs w:val="22"/>
                <w:highlight w:val="yellow"/>
                <w:u w:val="single"/>
                <w:lang w:val="es-AR" w:eastAsia="en-US"/>
              </w:rPr>
            </w:pPr>
            <w:r w:rsidRPr="0010523F">
              <w:rPr>
                <w:sz w:val="22"/>
                <w:szCs w:val="22"/>
                <w:u w:val="single"/>
                <w:lang w:val="es-AR" w:eastAsia="en-US"/>
              </w:rPr>
              <w:t xml:space="preserve">  78.188</w:t>
            </w:r>
          </w:p>
        </w:tc>
        <w:tc>
          <w:tcPr>
            <w:tcW w:w="1276" w:type="dxa"/>
            <w:vAlign w:val="bottom"/>
          </w:tcPr>
          <w:p w14:paraId="52235DC2" w14:textId="77777777" w:rsidR="0010523F" w:rsidRPr="0010523F" w:rsidRDefault="0010523F" w:rsidP="0010523F">
            <w:pPr>
              <w:tabs>
                <w:tab w:val="decimal" w:pos="947"/>
              </w:tabs>
              <w:jc w:val="right"/>
              <w:rPr>
                <w:sz w:val="22"/>
                <w:szCs w:val="22"/>
                <w:highlight w:val="yellow"/>
                <w:u w:val="single"/>
                <w:lang w:val="es-AR" w:eastAsia="en-US"/>
              </w:rPr>
            </w:pPr>
            <w:r w:rsidRPr="0010523F">
              <w:rPr>
                <w:sz w:val="22"/>
                <w:szCs w:val="22"/>
                <w:u w:val="single"/>
                <w:lang w:val="es-AR" w:eastAsia="en-US"/>
              </w:rPr>
              <w:t xml:space="preserve">  72.764</w:t>
            </w:r>
          </w:p>
        </w:tc>
        <w:tc>
          <w:tcPr>
            <w:tcW w:w="1276" w:type="dxa"/>
            <w:vAlign w:val="bottom"/>
          </w:tcPr>
          <w:p w14:paraId="31D0BA30" w14:textId="77777777" w:rsidR="0010523F" w:rsidRPr="0010523F" w:rsidRDefault="0010523F" w:rsidP="0010523F">
            <w:pPr>
              <w:tabs>
                <w:tab w:val="decimal" w:pos="886"/>
              </w:tabs>
              <w:ind w:left="-70"/>
              <w:jc w:val="right"/>
              <w:rPr>
                <w:sz w:val="22"/>
                <w:szCs w:val="22"/>
                <w:highlight w:val="yellow"/>
                <w:u w:val="single"/>
                <w:lang w:val="es-AR" w:eastAsia="en-US"/>
              </w:rPr>
            </w:pPr>
            <w:r w:rsidRPr="0010523F">
              <w:rPr>
                <w:sz w:val="22"/>
                <w:szCs w:val="22"/>
                <w:u w:val="single"/>
                <w:lang w:val="es-AR" w:eastAsia="en-US"/>
              </w:rPr>
              <w:t>47.299</w:t>
            </w:r>
          </w:p>
        </w:tc>
      </w:tr>
      <w:tr w:rsidR="0010523F" w:rsidRPr="0010523F" w14:paraId="630E3CF7" w14:textId="77777777" w:rsidTr="00774E7E">
        <w:tc>
          <w:tcPr>
            <w:tcW w:w="2802" w:type="dxa"/>
            <w:vAlign w:val="bottom"/>
          </w:tcPr>
          <w:p w14:paraId="64DF995D" w14:textId="77777777" w:rsidR="0010523F" w:rsidRPr="0010523F" w:rsidRDefault="0010523F" w:rsidP="0010523F">
            <w:pPr>
              <w:spacing w:line="200" w:lineRule="exact"/>
              <w:jc w:val="both"/>
              <w:rPr>
                <w:sz w:val="22"/>
                <w:szCs w:val="22"/>
                <w:lang w:val="es-AR" w:eastAsia="en-US"/>
              </w:rPr>
            </w:pPr>
          </w:p>
        </w:tc>
        <w:tc>
          <w:tcPr>
            <w:tcW w:w="1309" w:type="dxa"/>
            <w:vAlign w:val="bottom"/>
          </w:tcPr>
          <w:p w14:paraId="710B6B5C" w14:textId="77777777" w:rsidR="0010523F" w:rsidRPr="0010523F" w:rsidRDefault="0010523F" w:rsidP="0010523F">
            <w:pPr>
              <w:spacing w:line="200" w:lineRule="exact"/>
              <w:jc w:val="both"/>
              <w:rPr>
                <w:sz w:val="22"/>
                <w:szCs w:val="22"/>
                <w:lang w:val="es-AR" w:eastAsia="en-US"/>
              </w:rPr>
            </w:pPr>
          </w:p>
        </w:tc>
        <w:tc>
          <w:tcPr>
            <w:tcW w:w="1276" w:type="dxa"/>
            <w:vAlign w:val="bottom"/>
          </w:tcPr>
          <w:p w14:paraId="5E229BCF" w14:textId="77777777" w:rsidR="0010523F" w:rsidRPr="0010523F" w:rsidRDefault="0010523F" w:rsidP="0010523F">
            <w:pPr>
              <w:spacing w:line="200" w:lineRule="exact"/>
              <w:jc w:val="right"/>
              <w:rPr>
                <w:sz w:val="22"/>
                <w:szCs w:val="22"/>
                <w:highlight w:val="yellow"/>
                <w:lang w:val="es-AR" w:eastAsia="en-US"/>
              </w:rPr>
            </w:pPr>
          </w:p>
        </w:tc>
        <w:tc>
          <w:tcPr>
            <w:tcW w:w="1417" w:type="dxa"/>
            <w:vAlign w:val="bottom"/>
          </w:tcPr>
          <w:p w14:paraId="70C049E9"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1BE05733" w14:textId="77777777" w:rsidR="0010523F" w:rsidRPr="0010523F" w:rsidRDefault="0010523F" w:rsidP="0010523F">
            <w:pPr>
              <w:spacing w:line="200" w:lineRule="exact"/>
              <w:jc w:val="right"/>
              <w:rPr>
                <w:sz w:val="22"/>
                <w:szCs w:val="22"/>
                <w:highlight w:val="yellow"/>
                <w:lang w:val="es-AR" w:eastAsia="en-US"/>
              </w:rPr>
            </w:pPr>
          </w:p>
        </w:tc>
        <w:tc>
          <w:tcPr>
            <w:tcW w:w="1276" w:type="dxa"/>
            <w:vAlign w:val="bottom"/>
          </w:tcPr>
          <w:p w14:paraId="087DF435" w14:textId="77777777" w:rsidR="0010523F" w:rsidRPr="0010523F" w:rsidRDefault="0010523F" w:rsidP="0010523F">
            <w:pPr>
              <w:spacing w:line="200" w:lineRule="exact"/>
              <w:jc w:val="right"/>
              <w:rPr>
                <w:sz w:val="22"/>
                <w:szCs w:val="22"/>
                <w:highlight w:val="yellow"/>
                <w:lang w:val="es-AR" w:eastAsia="en-US"/>
              </w:rPr>
            </w:pPr>
          </w:p>
        </w:tc>
      </w:tr>
      <w:tr w:rsidR="0010523F" w:rsidRPr="0010523F" w14:paraId="2DBD1D06" w14:textId="77777777" w:rsidTr="00774E7E">
        <w:tc>
          <w:tcPr>
            <w:tcW w:w="2802" w:type="dxa"/>
            <w:vAlign w:val="bottom"/>
          </w:tcPr>
          <w:p w14:paraId="3445B3E9" w14:textId="77777777" w:rsidR="0010523F" w:rsidRPr="0010523F" w:rsidRDefault="0010523F" w:rsidP="0010523F">
            <w:pPr>
              <w:ind w:right="-108"/>
              <w:rPr>
                <w:sz w:val="22"/>
                <w:szCs w:val="22"/>
                <w:lang w:val="es-AR" w:eastAsia="en-US"/>
              </w:rPr>
            </w:pPr>
            <w:r w:rsidRPr="0010523F">
              <w:rPr>
                <w:sz w:val="22"/>
                <w:szCs w:val="22"/>
                <w:lang w:val="es-AR" w:eastAsia="en-US"/>
              </w:rPr>
              <w:t xml:space="preserve">Total del patrimonio y del pasivo </w:t>
            </w:r>
          </w:p>
        </w:tc>
        <w:tc>
          <w:tcPr>
            <w:tcW w:w="1309" w:type="dxa"/>
            <w:vAlign w:val="bottom"/>
          </w:tcPr>
          <w:p w14:paraId="7113C5DC" w14:textId="77777777" w:rsidR="0010523F" w:rsidRPr="0010523F" w:rsidRDefault="0010523F" w:rsidP="0010523F">
            <w:pPr>
              <w:tabs>
                <w:tab w:val="decimal" w:pos="835"/>
              </w:tabs>
              <w:jc w:val="right"/>
              <w:rPr>
                <w:sz w:val="22"/>
                <w:szCs w:val="22"/>
                <w:u w:val="double"/>
                <w:lang w:val="es-AR" w:eastAsia="en-US"/>
              </w:rPr>
            </w:pPr>
            <w:r w:rsidRPr="0010523F">
              <w:rPr>
                <w:sz w:val="22"/>
                <w:szCs w:val="22"/>
                <w:u w:val="double"/>
                <w:lang w:val="es-AR" w:eastAsia="en-US"/>
              </w:rPr>
              <w:t>712.126</w:t>
            </w:r>
          </w:p>
        </w:tc>
        <w:tc>
          <w:tcPr>
            <w:tcW w:w="1276" w:type="dxa"/>
            <w:vAlign w:val="bottom"/>
          </w:tcPr>
          <w:p w14:paraId="1E9A8F6C" w14:textId="77777777" w:rsidR="0010523F" w:rsidRPr="0010523F" w:rsidRDefault="0010523F" w:rsidP="0010523F">
            <w:pPr>
              <w:tabs>
                <w:tab w:val="decimal" w:pos="835"/>
              </w:tabs>
              <w:jc w:val="right"/>
              <w:rPr>
                <w:sz w:val="22"/>
                <w:szCs w:val="22"/>
                <w:highlight w:val="yellow"/>
                <w:u w:val="double"/>
                <w:lang w:val="es-AR" w:eastAsia="en-US"/>
              </w:rPr>
            </w:pPr>
            <w:r w:rsidRPr="0010523F">
              <w:rPr>
                <w:sz w:val="22"/>
                <w:szCs w:val="22"/>
                <w:u w:val="double"/>
                <w:lang w:val="es-AR" w:eastAsia="en-US"/>
              </w:rPr>
              <w:t>507.910</w:t>
            </w:r>
          </w:p>
        </w:tc>
        <w:tc>
          <w:tcPr>
            <w:tcW w:w="1417" w:type="dxa"/>
            <w:vAlign w:val="bottom"/>
          </w:tcPr>
          <w:p w14:paraId="2A7CD783" w14:textId="77777777" w:rsidR="0010523F" w:rsidRPr="0010523F" w:rsidRDefault="0010523F" w:rsidP="0010523F">
            <w:pPr>
              <w:tabs>
                <w:tab w:val="decimal" w:pos="933"/>
              </w:tabs>
              <w:jc w:val="right"/>
              <w:rPr>
                <w:sz w:val="22"/>
                <w:szCs w:val="22"/>
                <w:highlight w:val="yellow"/>
                <w:u w:val="double"/>
                <w:lang w:val="es-AR" w:eastAsia="en-US"/>
              </w:rPr>
            </w:pPr>
            <w:r w:rsidRPr="0010523F">
              <w:rPr>
                <w:sz w:val="22"/>
                <w:szCs w:val="22"/>
                <w:u w:val="double"/>
                <w:lang w:val="es-AR" w:eastAsia="en-US"/>
              </w:rPr>
              <w:t>166.065</w:t>
            </w:r>
          </w:p>
        </w:tc>
        <w:tc>
          <w:tcPr>
            <w:tcW w:w="1276" w:type="dxa"/>
            <w:vAlign w:val="bottom"/>
          </w:tcPr>
          <w:p w14:paraId="126475B0" w14:textId="77777777" w:rsidR="0010523F" w:rsidRPr="0010523F" w:rsidRDefault="0010523F" w:rsidP="0010523F">
            <w:pPr>
              <w:tabs>
                <w:tab w:val="decimal" w:pos="947"/>
              </w:tabs>
              <w:jc w:val="right"/>
              <w:rPr>
                <w:sz w:val="22"/>
                <w:szCs w:val="22"/>
                <w:highlight w:val="yellow"/>
                <w:u w:val="double"/>
                <w:lang w:val="es-AR" w:eastAsia="en-US"/>
              </w:rPr>
            </w:pPr>
            <w:r w:rsidRPr="0010523F">
              <w:rPr>
                <w:sz w:val="22"/>
                <w:szCs w:val="22"/>
                <w:u w:val="double"/>
                <w:lang w:val="es-AR" w:eastAsia="en-US"/>
              </w:rPr>
              <w:t>145.221</w:t>
            </w:r>
          </w:p>
        </w:tc>
        <w:tc>
          <w:tcPr>
            <w:tcW w:w="1276" w:type="dxa"/>
            <w:vAlign w:val="bottom"/>
          </w:tcPr>
          <w:p w14:paraId="3303A426" w14:textId="77777777" w:rsidR="0010523F" w:rsidRPr="0010523F" w:rsidRDefault="0010523F" w:rsidP="0010523F">
            <w:pPr>
              <w:tabs>
                <w:tab w:val="decimal" w:pos="886"/>
              </w:tabs>
              <w:jc w:val="right"/>
              <w:rPr>
                <w:sz w:val="22"/>
                <w:szCs w:val="22"/>
                <w:u w:val="double"/>
                <w:lang w:val="es-AR" w:eastAsia="en-US"/>
              </w:rPr>
            </w:pPr>
            <w:r w:rsidRPr="0010523F">
              <w:rPr>
                <w:sz w:val="22"/>
                <w:szCs w:val="22"/>
                <w:u w:val="double"/>
                <w:lang w:val="es-AR" w:eastAsia="en-US"/>
              </w:rPr>
              <w:t>92.471</w:t>
            </w:r>
          </w:p>
        </w:tc>
      </w:tr>
    </w:tbl>
    <w:p w14:paraId="4B0F3324" w14:textId="77777777" w:rsidR="0010523F" w:rsidRPr="0010523F" w:rsidRDefault="0010523F" w:rsidP="0010523F">
      <w:pPr>
        <w:tabs>
          <w:tab w:val="center" w:pos="5739"/>
          <w:tab w:val="center" w:pos="9072"/>
        </w:tabs>
        <w:spacing w:line="200" w:lineRule="exact"/>
        <w:jc w:val="both"/>
        <w:rPr>
          <w:b/>
          <w:bCs/>
          <w:sz w:val="22"/>
          <w:szCs w:val="22"/>
          <w:lang w:val="es-AR" w:eastAsia="en-US"/>
        </w:rPr>
      </w:pPr>
      <w:r w:rsidRPr="0010523F">
        <w:rPr>
          <w:bCs/>
          <w:sz w:val="22"/>
          <w:szCs w:val="22"/>
          <w:lang w:val="es-AR" w:eastAsia="en-US"/>
        </w:rPr>
        <w:br w:type="page"/>
      </w:r>
    </w:p>
    <w:p w14:paraId="2129BC41" w14:textId="77777777" w:rsidR="0010523F" w:rsidRPr="0010523F" w:rsidRDefault="0010523F" w:rsidP="0010523F">
      <w:pPr>
        <w:spacing w:line="220" w:lineRule="exact"/>
        <w:ind w:left="360" w:hanging="360"/>
        <w:jc w:val="both"/>
        <w:rPr>
          <w:b/>
          <w:bCs/>
          <w:lang w:val="es-AR" w:eastAsia="en-US"/>
        </w:rPr>
      </w:pPr>
      <w:r w:rsidRPr="0010523F">
        <w:rPr>
          <w:b/>
          <w:bCs/>
          <w:lang w:val="es-AR" w:eastAsia="en-US"/>
        </w:rPr>
        <w:t>3. Estructura de resultados (en millones de pesos)</w:t>
      </w:r>
    </w:p>
    <w:p w14:paraId="5927CABA" w14:textId="77777777" w:rsidR="0010523F" w:rsidRPr="0010523F" w:rsidRDefault="0010523F" w:rsidP="0010523F">
      <w:pPr>
        <w:spacing w:line="120" w:lineRule="exact"/>
        <w:rPr>
          <w:sz w:val="20"/>
          <w:szCs w:val="20"/>
          <w:lang w:val="es-AR" w:eastAsia="en-US"/>
        </w:rPr>
      </w:pPr>
    </w:p>
    <w:tbl>
      <w:tblPr>
        <w:tblW w:w="9497" w:type="dxa"/>
        <w:tblLayout w:type="fixed"/>
        <w:tblLook w:val="0000" w:firstRow="0" w:lastRow="0" w:firstColumn="0" w:lastColumn="0" w:noHBand="0" w:noVBand="0"/>
      </w:tblPr>
      <w:tblGrid>
        <w:gridCol w:w="3544"/>
        <w:gridCol w:w="1134"/>
        <w:gridCol w:w="1134"/>
        <w:gridCol w:w="1276"/>
        <w:gridCol w:w="1275"/>
        <w:gridCol w:w="1134"/>
      </w:tblGrid>
      <w:tr w:rsidR="0010523F" w:rsidRPr="0010523F" w14:paraId="65E3E9F3" w14:textId="77777777" w:rsidTr="00774E7E">
        <w:tc>
          <w:tcPr>
            <w:tcW w:w="3544" w:type="dxa"/>
            <w:vAlign w:val="bottom"/>
          </w:tcPr>
          <w:p w14:paraId="6699157D" w14:textId="77777777" w:rsidR="0010523F" w:rsidRPr="0010523F" w:rsidRDefault="0010523F" w:rsidP="0010523F">
            <w:pPr>
              <w:tabs>
                <w:tab w:val="decimal" w:pos="3828"/>
                <w:tab w:val="decimal" w:pos="5670"/>
                <w:tab w:val="decimal" w:pos="7371"/>
                <w:tab w:val="decimal" w:pos="9356"/>
              </w:tabs>
              <w:spacing w:line="200" w:lineRule="exact"/>
              <w:jc w:val="both"/>
              <w:rPr>
                <w:sz w:val="22"/>
                <w:szCs w:val="22"/>
                <w:lang w:val="es-AR" w:eastAsia="en-US"/>
              </w:rPr>
            </w:pPr>
          </w:p>
        </w:tc>
        <w:tc>
          <w:tcPr>
            <w:tcW w:w="5953" w:type="dxa"/>
            <w:gridSpan w:val="5"/>
            <w:tcBorders>
              <w:bottom w:val="single" w:sz="4" w:space="0" w:color="auto"/>
            </w:tcBorders>
            <w:vAlign w:val="bottom"/>
          </w:tcPr>
          <w:p w14:paraId="19DA4709" w14:textId="77777777" w:rsidR="0010523F" w:rsidRPr="0010523F" w:rsidRDefault="0010523F" w:rsidP="0010523F">
            <w:pPr>
              <w:ind w:left="-108" w:right="-96"/>
              <w:jc w:val="center"/>
              <w:rPr>
                <w:sz w:val="22"/>
                <w:szCs w:val="22"/>
                <w:lang w:val="es-AR" w:eastAsia="en-US"/>
              </w:rPr>
            </w:pPr>
            <w:r w:rsidRPr="0010523F">
              <w:rPr>
                <w:sz w:val="22"/>
                <w:szCs w:val="22"/>
                <w:lang w:val="es-AR" w:eastAsia="en-US"/>
              </w:rPr>
              <w:t>Por el período de nueve meses finalizado el</w:t>
            </w:r>
          </w:p>
        </w:tc>
      </w:tr>
      <w:tr w:rsidR="0010523F" w:rsidRPr="0010523F" w14:paraId="3EE24597" w14:textId="77777777" w:rsidTr="00774E7E">
        <w:tc>
          <w:tcPr>
            <w:tcW w:w="3544" w:type="dxa"/>
            <w:vAlign w:val="bottom"/>
          </w:tcPr>
          <w:p w14:paraId="73930CA1" w14:textId="77777777" w:rsidR="0010523F" w:rsidRPr="0010523F" w:rsidRDefault="0010523F" w:rsidP="0010523F">
            <w:pPr>
              <w:tabs>
                <w:tab w:val="decimal" w:pos="3828"/>
                <w:tab w:val="decimal" w:pos="5670"/>
                <w:tab w:val="decimal" w:pos="7371"/>
                <w:tab w:val="decimal" w:pos="9356"/>
              </w:tabs>
              <w:jc w:val="both"/>
              <w:rPr>
                <w:sz w:val="22"/>
                <w:szCs w:val="22"/>
                <w:lang w:val="es-AR" w:eastAsia="en-US"/>
              </w:rPr>
            </w:pPr>
          </w:p>
        </w:tc>
        <w:tc>
          <w:tcPr>
            <w:tcW w:w="1134" w:type="dxa"/>
            <w:vAlign w:val="bottom"/>
          </w:tcPr>
          <w:p w14:paraId="6B587844" w14:textId="77777777" w:rsidR="0010523F" w:rsidRPr="0010523F" w:rsidRDefault="0010523F" w:rsidP="0010523F">
            <w:pPr>
              <w:ind w:left="-169" w:right="-108"/>
              <w:jc w:val="both"/>
              <w:rPr>
                <w:sz w:val="22"/>
                <w:szCs w:val="22"/>
                <w:lang w:val="es-AR" w:eastAsia="en-US"/>
              </w:rPr>
            </w:pPr>
            <w:r w:rsidRPr="0010523F">
              <w:rPr>
                <w:sz w:val="22"/>
                <w:szCs w:val="22"/>
                <w:u w:val="single"/>
                <w:lang w:val="es-AR" w:eastAsia="en-US"/>
              </w:rPr>
              <w:t> 30/09/2019  </w:t>
            </w:r>
          </w:p>
        </w:tc>
        <w:tc>
          <w:tcPr>
            <w:tcW w:w="1134" w:type="dxa"/>
            <w:vAlign w:val="bottom"/>
          </w:tcPr>
          <w:p w14:paraId="3C0ACB9A"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 30/09/2018  </w:t>
            </w:r>
          </w:p>
        </w:tc>
        <w:tc>
          <w:tcPr>
            <w:tcW w:w="1276" w:type="dxa"/>
            <w:vAlign w:val="bottom"/>
          </w:tcPr>
          <w:p w14:paraId="0531B960"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 30/09/2017  </w:t>
            </w:r>
          </w:p>
        </w:tc>
        <w:tc>
          <w:tcPr>
            <w:tcW w:w="1275" w:type="dxa"/>
            <w:vAlign w:val="bottom"/>
          </w:tcPr>
          <w:p w14:paraId="5FA156F7"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30/09/2016  </w:t>
            </w:r>
          </w:p>
        </w:tc>
        <w:tc>
          <w:tcPr>
            <w:tcW w:w="1134" w:type="dxa"/>
            <w:vAlign w:val="bottom"/>
          </w:tcPr>
          <w:p w14:paraId="4B921952"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30/09/2015  </w:t>
            </w:r>
          </w:p>
        </w:tc>
      </w:tr>
      <w:tr w:rsidR="0010523F" w:rsidRPr="0010523F" w14:paraId="25133D2F" w14:textId="77777777" w:rsidTr="00774E7E">
        <w:trPr>
          <w:trHeight w:val="283"/>
        </w:trPr>
        <w:tc>
          <w:tcPr>
            <w:tcW w:w="3544" w:type="dxa"/>
            <w:vAlign w:val="bottom"/>
          </w:tcPr>
          <w:p w14:paraId="099493CA" w14:textId="77777777" w:rsidR="0010523F" w:rsidRPr="0010523F" w:rsidRDefault="0010523F" w:rsidP="0010523F">
            <w:pPr>
              <w:tabs>
                <w:tab w:val="decimal" w:pos="3828"/>
                <w:tab w:val="decimal" w:pos="5670"/>
                <w:tab w:val="decimal" w:pos="7371"/>
                <w:tab w:val="decimal" w:pos="9356"/>
              </w:tabs>
              <w:jc w:val="both"/>
              <w:rPr>
                <w:sz w:val="22"/>
                <w:szCs w:val="22"/>
                <w:lang w:val="es-AR" w:eastAsia="en-US"/>
              </w:rPr>
            </w:pPr>
            <w:r w:rsidRPr="0010523F">
              <w:rPr>
                <w:sz w:val="22"/>
                <w:szCs w:val="22"/>
                <w:lang w:val="es-AR" w:eastAsia="en-US"/>
              </w:rPr>
              <w:t>Resultado operativo - ganancia</w:t>
            </w:r>
            <w:r w:rsidRPr="0010523F">
              <w:rPr>
                <w:sz w:val="22"/>
                <w:szCs w:val="22"/>
                <w:lang w:val="es-AR" w:eastAsia="en-US"/>
              </w:rPr>
              <w:tab/>
            </w:r>
          </w:p>
        </w:tc>
        <w:tc>
          <w:tcPr>
            <w:tcW w:w="1134" w:type="dxa"/>
            <w:vAlign w:val="bottom"/>
          </w:tcPr>
          <w:p w14:paraId="23F66F5F" w14:textId="77777777" w:rsidR="0010523F" w:rsidRPr="0010523F" w:rsidRDefault="0010523F" w:rsidP="0010523F">
            <w:pPr>
              <w:ind w:left="-169" w:right="33"/>
              <w:jc w:val="right"/>
              <w:rPr>
                <w:sz w:val="22"/>
                <w:szCs w:val="22"/>
                <w:lang w:val="es-AR" w:eastAsia="en-US"/>
              </w:rPr>
            </w:pPr>
            <w:r w:rsidRPr="0010523F">
              <w:rPr>
                <w:sz w:val="22"/>
                <w:szCs w:val="22"/>
                <w:lang w:val="es-AR" w:eastAsia="en-US"/>
              </w:rPr>
              <w:t>23.180</w:t>
            </w:r>
          </w:p>
        </w:tc>
        <w:tc>
          <w:tcPr>
            <w:tcW w:w="1134" w:type="dxa"/>
            <w:vAlign w:val="bottom"/>
          </w:tcPr>
          <w:p w14:paraId="401B51D3"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14.926</w:t>
            </w:r>
          </w:p>
        </w:tc>
        <w:tc>
          <w:tcPr>
            <w:tcW w:w="1276" w:type="dxa"/>
            <w:vAlign w:val="bottom"/>
          </w:tcPr>
          <w:p w14:paraId="731EDBF9" w14:textId="77777777" w:rsidR="0010523F" w:rsidRPr="0010523F" w:rsidRDefault="0010523F" w:rsidP="0010523F">
            <w:pPr>
              <w:ind w:right="34"/>
              <w:jc w:val="right"/>
              <w:rPr>
                <w:sz w:val="22"/>
                <w:szCs w:val="22"/>
                <w:highlight w:val="yellow"/>
                <w:lang w:val="es-AR" w:eastAsia="en-US"/>
              </w:rPr>
            </w:pPr>
            <w:r w:rsidRPr="0010523F">
              <w:rPr>
                <w:sz w:val="22"/>
                <w:szCs w:val="22"/>
                <w:lang w:val="es-AR" w:eastAsia="en-US"/>
              </w:rPr>
              <w:t>5.210</w:t>
            </w:r>
          </w:p>
        </w:tc>
        <w:tc>
          <w:tcPr>
            <w:tcW w:w="1275" w:type="dxa"/>
            <w:vAlign w:val="bottom"/>
          </w:tcPr>
          <w:p w14:paraId="01E9D4E0" w14:textId="77777777" w:rsidR="0010523F" w:rsidRPr="0010523F" w:rsidRDefault="0010523F" w:rsidP="0010523F">
            <w:pPr>
              <w:ind w:right="33"/>
              <w:jc w:val="right"/>
              <w:rPr>
                <w:sz w:val="22"/>
                <w:szCs w:val="22"/>
                <w:highlight w:val="yellow"/>
                <w:lang w:val="es-AR" w:eastAsia="en-US"/>
              </w:rPr>
            </w:pPr>
            <w:r w:rsidRPr="0010523F">
              <w:rPr>
                <w:sz w:val="22"/>
                <w:szCs w:val="22"/>
                <w:lang w:val="es-AR" w:eastAsia="en-US"/>
              </w:rPr>
              <w:t>6.664</w:t>
            </w:r>
          </w:p>
        </w:tc>
        <w:tc>
          <w:tcPr>
            <w:tcW w:w="1134" w:type="dxa"/>
            <w:vAlign w:val="bottom"/>
          </w:tcPr>
          <w:p w14:paraId="02983AC5" w14:textId="77777777" w:rsidR="0010523F" w:rsidRPr="0010523F" w:rsidRDefault="0010523F" w:rsidP="0010523F">
            <w:pPr>
              <w:ind w:right="33"/>
              <w:jc w:val="right"/>
              <w:rPr>
                <w:sz w:val="22"/>
                <w:szCs w:val="22"/>
                <w:highlight w:val="yellow"/>
                <w:lang w:val="es-AR" w:eastAsia="en-US"/>
              </w:rPr>
            </w:pPr>
            <w:r w:rsidRPr="0010523F">
              <w:rPr>
                <w:sz w:val="22"/>
                <w:szCs w:val="22"/>
                <w:lang w:val="es-AR" w:eastAsia="en-US"/>
              </w:rPr>
              <w:t>8.992</w:t>
            </w:r>
          </w:p>
        </w:tc>
      </w:tr>
      <w:tr w:rsidR="0010523F" w:rsidRPr="0010523F" w14:paraId="5E1891C4" w14:textId="77777777" w:rsidTr="00774E7E">
        <w:tc>
          <w:tcPr>
            <w:tcW w:w="3544" w:type="dxa"/>
            <w:vAlign w:val="bottom"/>
          </w:tcPr>
          <w:p w14:paraId="6E1F0597"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37265C08" w14:textId="77777777" w:rsidR="0010523F" w:rsidRPr="0010523F" w:rsidRDefault="0010523F" w:rsidP="0010523F">
            <w:pPr>
              <w:tabs>
                <w:tab w:val="decimal" w:pos="1054"/>
              </w:tabs>
              <w:spacing w:line="180" w:lineRule="exact"/>
              <w:ind w:left="-169" w:right="-92"/>
              <w:jc w:val="right"/>
              <w:rPr>
                <w:sz w:val="22"/>
                <w:szCs w:val="22"/>
                <w:lang w:val="es-AR" w:eastAsia="en-US"/>
              </w:rPr>
            </w:pPr>
          </w:p>
        </w:tc>
        <w:tc>
          <w:tcPr>
            <w:tcW w:w="1134" w:type="dxa"/>
            <w:vAlign w:val="bottom"/>
          </w:tcPr>
          <w:p w14:paraId="55A56137" w14:textId="77777777" w:rsidR="0010523F" w:rsidRPr="0010523F" w:rsidRDefault="0010523F" w:rsidP="0010523F">
            <w:pPr>
              <w:spacing w:line="180" w:lineRule="exact"/>
              <w:ind w:left="-169" w:right="34"/>
              <w:jc w:val="right"/>
              <w:rPr>
                <w:sz w:val="22"/>
                <w:szCs w:val="22"/>
                <w:highlight w:val="yellow"/>
                <w:lang w:val="es-AR" w:eastAsia="en-US"/>
              </w:rPr>
            </w:pPr>
          </w:p>
        </w:tc>
        <w:tc>
          <w:tcPr>
            <w:tcW w:w="1276" w:type="dxa"/>
            <w:vAlign w:val="bottom"/>
          </w:tcPr>
          <w:p w14:paraId="448F71AB" w14:textId="77777777" w:rsidR="0010523F" w:rsidRPr="0010523F" w:rsidRDefault="0010523F" w:rsidP="0010523F">
            <w:pPr>
              <w:spacing w:line="180" w:lineRule="exact"/>
              <w:ind w:left="-169" w:right="34"/>
              <w:jc w:val="right"/>
              <w:rPr>
                <w:sz w:val="22"/>
                <w:szCs w:val="22"/>
                <w:highlight w:val="yellow"/>
                <w:lang w:val="es-AR" w:eastAsia="en-US"/>
              </w:rPr>
            </w:pPr>
          </w:p>
        </w:tc>
        <w:tc>
          <w:tcPr>
            <w:tcW w:w="1275" w:type="dxa"/>
            <w:vAlign w:val="bottom"/>
          </w:tcPr>
          <w:p w14:paraId="4E087C2B" w14:textId="77777777" w:rsidR="0010523F" w:rsidRPr="0010523F" w:rsidRDefault="0010523F" w:rsidP="0010523F">
            <w:pPr>
              <w:spacing w:line="180" w:lineRule="exact"/>
              <w:ind w:left="-169" w:right="33"/>
              <w:jc w:val="right"/>
              <w:rPr>
                <w:sz w:val="22"/>
                <w:szCs w:val="22"/>
                <w:highlight w:val="yellow"/>
                <w:lang w:val="es-AR" w:eastAsia="en-US"/>
              </w:rPr>
            </w:pPr>
          </w:p>
        </w:tc>
        <w:tc>
          <w:tcPr>
            <w:tcW w:w="1134" w:type="dxa"/>
            <w:vAlign w:val="bottom"/>
          </w:tcPr>
          <w:p w14:paraId="36906FAA" w14:textId="77777777" w:rsidR="0010523F" w:rsidRPr="0010523F" w:rsidRDefault="0010523F" w:rsidP="0010523F">
            <w:pPr>
              <w:spacing w:line="180" w:lineRule="exact"/>
              <w:ind w:left="-169" w:right="33"/>
              <w:jc w:val="right"/>
              <w:rPr>
                <w:sz w:val="22"/>
                <w:szCs w:val="22"/>
                <w:highlight w:val="yellow"/>
                <w:lang w:val="es-AR" w:eastAsia="en-US"/>
              </w:rPr>
            </w:pPr>
          </w:p>
        </w:tc>
      </w:tr>
      <w:tr w:rsidR="0010523F" w:rsidRPr="0010523F" w14:paraId="01C66DFC" w14:textId="77777777" w:rsidTr="00774E7E">
        <w:tc>
          <w:tcPr>
            <w:tcW w:w="3544" w:type="dxa"/>
            <w:vAlign w:val="bottom"/>
          </w:tcPr>
          <w:p w14:paraId="6F9CF134" w14:textId="77777777" w:rsidR="0010523F" w:rsidRPr="0010523F" w:rsidRDefault="0010523F" w:rsidP="0010523F">
            <w:pPr>
              <w:ind w:right="-129"/>
              <w:jc w:val="both"/>
              <w:rPr>
                <w:sz w:val="22"/>
                <w:szCs w:val="22"/>
                <w:lang w:val="es-AR" w:eastAsia="en-US"/>
              </w:rPr>
            </w:pPr>
            <w:r w:rsidRPr="0010523F">
              <w:rPr>
                <w:sz w:val="22"/>
                <w:szCs w:val="22"/>
                <w:lang w:val="es-AR" w:eastAsia="en-US"/>
              </w:rPr>
              <w:t>Resultados financieros</w:t>
            </w:r>
          </w:p>
        </w:tc>
        <w:tc>
          <w:tcPr>
            <w:tcW w:w="1134" w:type="dxa"/>
            <w:vAlign w:val="bottom"/>
          </w:tcPr>
          <w:p w14:paraId="72DE5265" w14:textId="77777777" w:rsidR="0010523F" w:rsidRPr="0010523F" w:rsidRDefault="0010523F" w:rsidP="0010523F">
            <w:pPr>
              <w:ind w:left="-169" w:right="33"/>
              <w:jc w:val="right"/>
              <w:rPr>
                <w:sz w:val="22"/>
                <w:szCs w:val="22"/>
                <w:lang w:val="es-AR" w:eastAsia="en-US"/>
              </w:rPr>
            </w:pPr>
            <w:r w:rsidRPr="0010523F">
              <w:rPr>
                <w:sz w:val="22"/>
                <w:szCs w:val="22"/>
                <w:lang w:val="es-AR" w:eastAsia="en-US"/>
              </w:rPr>
              <w:t>( 4.257)</w:t>
            </w:r>
          </w:p>
        </w:tc>
        <w:tc>
          <w:tcPr>
            <w:tcW w:w="1134" w:type="dxa"/>
            <w:vAlign w:val="bottom"/>
          </w:tcPr>
          <w:p w14:paraId="560BEC4B"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2.503</w:t>
            </w:r>
          </w:p>
        </w:tc>
        <w:tc>
          <w:tcPr>
            <w:tcW w:w="1276" w:type="dxa"/>
            <w:vAlign w:val="bottom"/>
          </w:tcPr>
          <w:p w14:paraId="2274DFFA"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  1.228)</w:t>
            </w:r>
          </w:p>
        </w:tc>
        <w:tc>
          <w:tcPr>
            <w:tcW w:w="1275" w:type="dxa"/>
            <w:vAlign w:val="bottom"/>
          </w:tcPr>
          <w:p w14:paraId="78C12E6B"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     950)</w:t>
            </w:r>
          </w:p>
        </w:tc>
        <w:tc>
          <w:tcPr>
            <w:tcW w:w="1134" w:type="dxa"/>
            <w:vAlign w:val="bottom"/>
          </w:tcPr>
          <w:p w14:paraId="261EAC58"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    905)</w:t>
            </w:r>
          </w:p>
        </w:tc>
      </w:tr>
      <w:tr w:rsidR="0010523F" w:rsidRPr="0010523F" w14:paraId="066D8120" w14:textId="77777777" w:rsidTr="00774E7E">
        <w:tc>
          <w:tcPr>
            <w:tcW w:w="3544" w:type="dxa"/>
            <w:vAlign w:val="bottom"/>
          </w:tcPr>
          <w:p w14:paraId="347610FF"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3076E62D"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5C69072A" w14:textId="77777777" w:rsidR="0010523F" w:rsidRPr="0010523F" w:rsidRDefault="0010523F" w:rsidP="0010523F">
            <w:pPr>
              <w:spacing w:line="180" w:lineRule="exact"/>
              <w:ind w:right="-129"/>
              <w:rPr>
                <w:sz w:val="22"/>
                <w:szCs w:val="22"/>
                <w:highlight w:val="yellow"/>
                <w:lang w:val="es-AR" w:eastAsia="en-US"/>
              </w:rPr>
            </w:pPr>
          </w:p>
        </w:tc>
        <w:tc>
          <w:tcPr>
            <w:tcW w:w="1276" w:type="dxa"/>
            <w:vAlign w:val="bottom"/>
          </w:tcPr>
          <w:p w14:paraId="4444C6A6" w14:textId="77777777" w:rsidR="0010523F" w:rsidRPr="0010523F" w:rsidRDefault="0010523F" w:rsidP="0010523F">
            <w:pPr>
              <w:spacing w:line="180" w:lineRule="exact"/>
              <w:ind w:right="-129"/>
              <w:jc w:val="right"/>
              <w:rPr>
                <w:sz w:val="22"/>
                <w:szCs w:val="22"/>
                <w:highlight w:val="yellow"/>
                <w:lang w:val="es-AR" w:eastAsia="en-US"/>
              </w:rPr>
            </w:pPr>
          </w:p>
        </w:tc>
        <w:tc>
          <w:tcPr>
            <w:tcW w:w="1275" w:type="dxa"/>
            <w:vAlign w:val="bottom"/>
          </w:tcPr>
          <w:p w14:paraId="1D85B9D4" w14:textId="77777777" w:rsidR="0010523F" w:rsidRPr="0010523F" w:rsidRDefault="0010523F" w:rsidP="0010523F">
            <w:pPr>
              <w:spacing w:line="180" w:lineRule="exact"/>
              <w:ind w:right="-129"/>
              <w:jc w:val="right"/>
              <w:rPr>
                <w:sz w:val="22"/>
                <w:szCs w:val="22"/>
                <w:highlight w:val="yellow"/>
                <w:lang w:val="es-AR" w:eastAsia="en-US"/>
              </w:rPr>
            </w:pPr>
          </w:p>
        </w:tc>
        <w:tc>
          <w:tcPr>
            <w:tcW w:w="1134" w:type="dxa"/>
            <w:vAlign w:val="bottom"/>
          </w:tcPr>
          <w:p w14:paraId="2E36C698" w14:textId="77777777" w:rsidR="0010523F" w:rsidRPr="0010523F" w:rsidRDefault="0010523F" w:rsidP="0010523F">
            <w:pPr>
              <w:spacing w:line="180" w:lineRule="exact"/>
              <w:ind w:right="-129"/>
              <w:jc w:val="right"/>
              <w:rPr>
                <w:sz w:val="22"/>
                <w:szCs w:val="22"/>
                <w:highlight w:val="yellow"/>
                <w:lang w:val="es-AR" w:eastAsia="en-US"/>
              </w:rPr>
            </w:pPr>
          </w:p>
        </w:tc>
      </w:tr>
      <w:tr w:rsidR="0010523F" w:rsidRPr="0010523F" w14:paraId="152EE6F1" w14:textId="77777777" w:rsidTr="00774E7E">
        <w:tc>
          <w:tcPr>
            <w:tcW w:w="3544" w:type="dxa"/>
            <w:vAlign w:val="bottom"/>
          </w:tcPr>
          <w:p w14:paraId="31FF5C2D" w14:textId="77777777" w:rsidR="0010523F" w:rsidRPr="0010523F" w:rsidRDefault="0010523F" w:rsidP="0010523F">
            <w:pPr>
              <w:ind w:right="34"/>
              <w:jc w:val="both"/>
              <w:rPr>
                <w:sz w:val="22"/>
                <w:szCs w:val="22"/>
                <w:lang w:val="es-AR" w:eastAsia="en-US"/>
              </w:rPr>
            </w:pPr>
            <w:r w:rsidRPr="0010523F">
              <w:rPr>
                <w:sz w:val="22"/>
                <w:szCs w:val="22"/>
                <w:lang w:val="es-AR" w:eastAsia="en-US"/>
              </w:rPr>
              <w:t>Recupero (deterioro) neto de activos financieros</w:t>
            </w:r>
          </w:p>
        </w:tc>
        <w:tc>
          <w:tcPr>
            <w:tcW w:w="1134" w:type="dxa"/>
            <w:vAlign w:val="bottom"/>
          </w:tcPr>
          <w:p w14:paraId="2C8002FD" w14:textId="77777777" w:rsidR="0010523F" w:rsidRPr="0010523F" w:rsidRDefault="0010523F" w:rsidP="0010523F">
            <w:pPr>
              <w:ind w:left="-169" w:right="33"/>
              <w:jc w:val="right"/>
              <w:rPr>
                <w:sz w:val="22"/>
                <w:szCs w:val="22"/>
                <w:lang w:val="es-AR" w:eastAsia="en-US"/>
              </w:rPr>
            </w:pPr>
            <w:r w:rsidRPr="0010523F">
              <w:rPr>
                <w:sz w:val="22"/>
                <w:szCs w:val="22"/>
                <w:lang w:val="es-AR" w:eastAsia="en-US"/>
              </w:rPr>
              <w:t>38</w:t>
            </w:r>
          </w:p>
        </w:tc>
        <w:tc>
          <w:tcPr>
            <w:tcW w:w="1134" w:type="dxa"/>
            <w:vAlign w:val="bottom"/>
          </w:tcPr>
          <w:p w14:paraId="45FF792E"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    512)</w:t>
            </w:r>
          </w:p>
        </w:tc>
        <w:tc>
          <w:tcPr>
            <w:tcW w:w="1276" w:type="dxa"/>
            <w:vAlign w:val="bottom"/>
          </w:tcPr>
          <w:p w14:paraId="74D8A84F"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w:t>
            </w:r>
          </w:p>
        </w:tc>
        <w:tc>
          <w:tcPr>
            <w:tcW w:w="1275" w:type="dxa"/>
            <w:vAlign w:val="bottom"/>
          </w:tcPr>
          <w:p w14:paraId="36BDCD4B"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w:t>
            </w:r>
          </w:p>
        </w:tc>
        <w:tc>
          <w:tcPr>
            <w:tcW w:w="1134" w:type="dxa"/>
            <w:vAlign w:val="bottom"/>
          </w:tcPr>
          <w:p w14:paraId="2A7993FC"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w:t>
            </w:r>
          </w:p>
        </w:tc>
      </w:tr>
      <w:tr w:rsidR="0010523F" w:rsidRPr="0010523F" w14:paraId="6A959FBF" w14:textId="77777777" w:rsidTr="00774E7E">
        <w:tc>
          <w:tcPr>
            <w:tcW w:w="3544" w:type="dxa"/>
            <w:vAlign w:val="bottom"/>
          </w:tcPr>
          <w:p w14:paraId="435E6E76"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18C08694"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2CF789D9" w14:textId="77777777" w:rsidR="0010523F" w:rsidRPr="0010523F" w:rsidRDefault="0010523F" w:rsidP="0010523F">
            <w:pPr>
              <w:spacing w:line="180" w:lineRule="exact"/>
              <w:ind w:right="-129"/>
              <w:rPr>
                <w:sz w:val="22"/>
                <w:szCs w:val="22"/>
                <w:highlight w:val="yellow"/>
                <w:lang w:val="es-AR" w:eastAsia="en-US"/>
              </w:rPr>
            </w:pPr>
          </w:p>
        </w:tc>
        <w:tc>
          <w:tcPr>
            <w:tcW w:w="1276" w:type="dxa"/>
            <w:vAlign w:val="bottom"/>
          </w:tcPr>
          <w:p w14:paraId="2F701882" w14:textId="77777777" w:rsidR="0010523F" w:rsidRPr="0010523F" w:rsidRDefault="0010523F" w:rsidP="0010523F">
            <w:pPr>
              <w:spacing w:line="180" w:lineRule="exact"/>
              <w:ind w:right="-129"/>
              <w:jc w:val="right"/>
              <w:rPr>
                <w:sz w:val="22"/>
                <w:szCs w:val="22"/>
                <w:highlight w:val="yellow"/>
                <w:lang w:val="es-AR" w:eastAsia="en-US"/>
              </w:rPr>
            </w:pPr>
          </w:p>
        </w:tc>
        <w:tc>
          <w:tcPr>
            <w:tcW w:w="1275" w:type="dxa"/>
            <w:vAlign w:val="bottom"/>
          </w:tcPr>
          <w:p w14:paraId="7A69026C" w14:textId="77777777" w:rsidR="0010523F" w:rsidRPr="0010523F" w:rsidRDefault="0010523F" w:rsidP="0010523F">
            <w:pPr>
              <w:spacing w:line="180" w:lineRule="exact"/>
              <w:ind w:right="-129"/>
              <w:jc w:val="right"/>
              <w:rPr>
                <w:sz w:val="22"/>
                <w:szCs w:val="22"/>
                <w:highlight w:val="yellow"/>
                <w:lang w:val="es-AR" w:eastAsia="en-US"/>
              </w:rPr>
            </w:pPr>
          </w:p>
        </w:tc>
        <w:tc>
          <w:tcPr>
            <w:tcW w:w="1134" w:type="dxa"/>
            <w:vAlign w:val="bottom"/>
          </w:tcPr>
          <w:p w14:paraId="298EE937" w14:textId="77777777" w:rsidR="0010523F" w:rsidRPr="0010523F" w:rsidRDefault="0010523F" w:rsidP="0010523F">
            <w:pPr>
              <w:spacing w:line="180" w:lineRule="exact"/>
              <w:ind w:right="-129"/>
              <w:jc w:val="right"/>
              <w:rPr>
                <w:sz w:val="22"/>
                <w:szCs w:val="22"/>
                <w:highlight w:val="yellow"/>
                <w:lang w:val="es-AR" w:eastAsia="en-US"/>
              </w:rPr>
            </w:pPr>
          </w:p>
        </w:tc>
      </w:tr>
      <w:tr w:rsidR="0010523F" w:rsidRPr="0010523F" w14:paraId="14BB628C" w14:textId="77777777" w:rsidTr="00774E7E">
        <w:tc>
          <w:tcPr>
            <w:tcW w:w="3544" w:type="dxa"/>
            <w:vAlign w:val="bottom"/>
          </w:tcPr>
          <w:p w14:paraId="091E4825" w14:textId="77777777" w:rsidR="0010523F" w:rsidRPr="0010523F" w:rsidRDefault="0010523F" w:rsidP="0010523F">
            <w:pPr>
              <w:jc w:val="both"/>
              <w:rPr>
                <w:sz w:val="22"/>
                <w:szCs w:val="22"/>
                <w:lang w:val="es-AR" w:eastAsia="en-US"/>
              </w:rPr>
            </w:pPr>
            <w:r w:rsidRPr="0010523F">
              <w:rPr>
                <w:sz w:val="22"/>
                <w:szCs w:val="22"/>
                <w:lang w:val="es-AR" w:eastAsia="en-US"/>
              </w:rPr>
              <w:t xml:space="preserve">Otros ingresos y (egresos) - neto </w:t>
            </w:r>
          </w:p>
        </w:tc>
        <w:tc>
          <w:tcPr>
            <w:tcW w:w="1134" w:type="dxa"/>
            <w:vAlign w:val="bottom"/>
          </w:tcPr>
          <w:p w14:paraId="69C25A2D" w14:textId="77777777" w:rsidR="0010523F" w:rsidRPr="0010523F" w:rsidRDefault="0010523F" w:rsidP="0010523F">
            <w:pPr>
              <w:ind w:left="-169" w:right="33"/>
              <w:jc w:val="right"/>
              <w:rPr>
                <w:sz w:val="22"/>
                <w:szCs w:val="22"/>
                <w:u w:val="single"/>
                <w:lang w:val="es-AR" w:eastAsia="en-US"/>
              </w:rPr>
            </w:pPr>
            <w:r w:rsidRPr="0010523F">
              <w:rPr>
                <w:sz w:val="22"/>
                <w:szCs w:val="22"/>
                <w:lang w:val="es-AR" w:eastAsia="en-US"/>
              </w:rPr>
              <w:t>(</w:t>
            </w:r>
            <w:r w:rsidRPr="0010523F">
              <w:rPr>
                <w:sz w:val="22"/>
                <w:szCs w:val="22"/>
                <w:u w:val="single"/>
                <w:lang w:val="es-AR" w:eastAsia="en-US"/>
              </w:rPr>
              <w:t xml:space="preserve">     446</w:t>
            </w:r>
            <w:r w:rsidRPr="0010523F">
              <w:rPr>
                <w:sz w:val="22"/>
                <w:szCs w:val="22"/>
                <w:lang w:val="es-AR" w:eastAsia="en-US"/>
              </w:rPr>
              <w:t>)</w:t>
            </w:r>
          </w:p>
        </w:tc>
        <w:tc>
          <w:tcPr>
            <w:tcW w:w="1134" w:type="dxa"/>
            <w:vAlign w:val="bottom"/>
          </w:tcPr>
          <w:p w14:paraId="600A6D07" w14:textId="77777777" w:rsidR="0010523F" w:rsidRPr="0010523F" w:rsidRDefault="0010523F" w:rsidP="0010523F">
            <w:pPr>
              <w:ind w:left="-169" w:right="34"/>
              <w:jc w:val="right"/>
              <w:rPr>
                <w:sz w:val="22"/>
                <w:szCs w:val="22"/>
                <w:highlight w:val="yellow"/>
                <w:u w:val="single"/>
                <w:lang w:val="es-AR" w:eastAsia="en-US"/>
              </w:rPr>
            </w:pPr>
            <w:r w:rsidRPr="0010523F">
              <w:rPr>
                <w:sz w:val="22"/>
                <w:szCs w:val="22"/>
                <w:u w:val="single"/>
                <w:lang w:val="es-AR" w:eastAsia="en-US"/>
              </w:rPr>
              <w:t xml:space="preserve">     825</w:t>
            </w:r>
          </w:p>
        </w:tc>
        <w:tc>
          <w:tcPr>
            <w:tcW w:w="1276" w:type="dxa"/>
            <w:vAlign w:val="bottom"/>
          </w:tcPr>
          <w:p w14:paraId="0B0588FA" w14:textId="77777777" w:rsidR="0010523F" w:rsidRPr="0010523F" w:rsidRDefault="0010523F" w:rsidP="0010523F">
            <w:pPr>
              <w:ind w:left="-169" w:right="34"/>
              <w:jc w:val="right"/>
              <w:rPr>
                <w:sz w:val="22"/>
                <w:szCs w:val="22"/>
                <w:highlight w:val="yellow"/>
                <w:u w:val="single"/>
                <w:lang w:val="es-AR" w:eastAsia="en-US"/>
              </w:rPr>
            </w:pPr>
            <w:r w:rsidRPr="0010523F">
              <w:rPr>
                <w:sz w:val="22"/>
                <w:szCs w:val="22"/>
                <w:u w:val="single"/>
                <w:lang w:val="es-AR" w:eastAsia="en-US"/>
              </w:rPr>
              <w:t xml:space="preserve">     503</w:t>
            </w:r>
          </w:p>
        </w:tc>
        <w:tc>
          <w:tcPr>
            <w:tcW w:w="1275" w:type="dxa"/>
            <w:vAlign w:val="bottom"/>
          </w:tcPr>
          <w:p w14:paraId="6E6493B8" w14:textId="77777777" w:rsidR="0010523F" w:rsidRPr="0010523F" w:rsidRDefault="0010523F" w:rsidP="0010523F">
            <w:pPr>
              <w:ind w:left="-169" w:right="33"/>
              <w:jc w:val="right"/>
              <w:rPr>
                <w:sz w:val="22"/>
                <w:szCs w:val="22"/>
                <w:highlight w:val="yellow"/>
                <w:u w:val="single"/>
                <w:lang w:val="es-AR" w:eastAsia="en-US"/>
              </w:rPr>
            </w:pPr>
            <w:r w:rsidRPr="0010523F">
              <w:rPr>
                <w:sz w:val="22"/>
                <w:szCs w:val="22"/>
                <w:u w:val="single"/>
                <w:lang w:val="es-AR" w:eastAsia="en-US"/>
              </w:rPr>
              <w:t xml:space="preserve">       148</w:t>
            </w:r>
          </w:p>
        </w:tc>
        <w:tc>
          <w:tcPr>
            <w:tcW w:w="1134" w:type="dxa"/>
            <w:vAlign w:val="bottom"/>
          </w:tcPr>
          <w:p w14:paraId="2383DCD3" w14:textId="77777777" w:rsidR="0010523F" w:rsidRPr="0010523F" w:rsidRDefault="0010523F" w:rsidP="0010523F">
            <w:pPr>
              <w:ind w:left="-169" w:right="33"/>
              <w:jc w:val="right"/>
              <w:rPr>
                <w:sz w:val="22"/>
                <w:szCs w:val="22"/>
                <w:highlight w:val="yellow"/>
                <w:u w:val="single"/>
                <w:lang w:val="es-AR" w:eastAsia="en-US"/>
              </w:rPr>
            </w:pPr>
            <w:r w:rsidRPr="0010523F">
              <w:rPr>
                <w:sz w:val="22"/>
                <w:szCs w:val="22"/>
                <w:u w:val="single"/>
                <w:lang w:val="es-AR" w:eastAsia="en-US"/>
              </w:rPr>
              <w:t xml:space="preserve">   184</w:t>
            </w:r>
          </w:p>
        </w:tc>
      </w:tr>
      <w:tr w:rsidR="0010523F" w:rsidRPr="0010523F" w14:paraId="355B951C" w14:textId="77777777" w:rsidTr="00774E7E">
        <w:tc>
          <w:tcPr>
            <w:tcW w:w="3544" w:type="dxa"/>
            <w:vAlign w:val="bottom"/>
          </w:tcPr>
          <w:p w14:paraId="73C04ACE"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3302B8A6"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0A727CDE" w14:textId="77777777" w:rsidR="0010523F" w:rsidRPr="0010523F" w:rsidRDefault="0010523F" w:rsidP="0010523F">
            <w:pPr>
              <w:spacing w:line="180" w:lineRule="exact"/>
              <w:ind w:right="-129"/>
              <w:rPr>
                <w:sz w:val="22"/>
                <w:szCs w:val="22"/>
                <w:highlight w:val="yellow"/>
                <w:lang w:val="es-AR" w:eastAsia="en-US"/>
              </w:rPr>
            </w:pPr>
          </w:p>
        </w:tc>
        <w:tc>
          <w:tcPr>
            <w:tcW w:w="1276" w:type="dxa"/>
            <w:vAlign w:val="bottom"/>
          </w:tcPr>
          <w:p w14:paraId="652D0BD7" w14:textId="77777777" w:rsidR="0010523F" w:rsidRPr="0010523F" w:rsidRDefault="0010523F" w:rsidP="0010523F">
            <w:pPr>
              <w:spacing w:line="180" w:lineRule="exact"/>
              <w:ind w:right="-129"/>
              <w:jc w:val="right"/>
              <w:rPr>
                <w:sz w:val="22"/>
                <w:szCs w:val="22"/>
                <w:highlight w:val="yellow"/>
                <w:lang w:val="es-AR" w:eastAsia="en-US"/>
              </w:rPr>
            </w:pPr>
          </w:p>
        </w:tc>
        <w:tc>
          <w:tcPr>
            <w:tcW w:w="1275" w:type="dxa"/>
            <w:vAlign w:val="bottom"/>
          </w:tcPr>
          <w:p w14:paraId="0C2C23FB" w14:textId="77777777" w:rsidR="0010523F" w:rsidRPr="0010523F" w:rsidRDefault="0010523F" w:rsidP="0010523F">
            <w:pPr>
              <w:spacing w:line="180" w:lineRule="exact"/>
              <w:ind w:right="-129"/>
              <w:jc w:val="right"/>
              <w:rPr>
                <w:sz w:val="22"/>
                <w:szCs w:val="22"/>
                <w:highlight w:val="yellow"/>
                <w:lang w:val="es-AR" w:eastAsia="en-US"/>
              </w:rPr>
            </w:pPr>
          </w:p>
        </w:tc>
        <w:tc>
          <w:tcPr>
            <w:tcW w:w="1134" w:type="dxa"/>
            <w:vAlign w:val="bottom"/>
          </w:tcPr>
          <w:p w14:paraId="146D04BD" w14:textId="77777777" w:rsidR="0010523F" w:rsidRPr="0010523F" w:rsidRDefault="0010523F" w:rsidP="0010523F">
            <w:pPr>
              <w:spacing w:line="180" w:lineRule="exact"/>
              <w:ind w:right="-129"/>
              <w:jc w:val="right"/>
              <w:rPr>
                <w:sz w:val="22"/>
                <w:szCs w:val="22"/>
                <w:highlight w:val="yellow"/>
                <w:lang w:val="es-AR" w:eastAsia="en-US"/>
              </w:rPr>
            </w:pPr>
          </w:p>
        </w:tc>
      </w:tr>
      <w:tr w:rsidR="0010523F" w:rsidRPr="0010523F" w14:paraId="4B567524" w14:textId="77777777" w:rsidTr="00774E7E">
        <w:tc>
          <w:tcPr>
            <w:tcW w:w="3544" w:type="dxa"/>
            <w:vAlign w:val="bottom"/>
          </w:tcPr>
          <w:p w14:paraId="157433D5" w14:textId="77777777" w:rsidR="0010523F" w:rsidRPr="0010523F" w:rsidRDefault="0010523F" w:rsidP="0010523F">
            <w:pPr>
              <w:tabs>
                <w:tab w:val="decimal" w:pos="3828"/>
                <w:tab w:val="decimal" w:pos="5670"/>
                <w:tab w:val="decimal" w:pos="7513"/>
                <w:tab w:val="decimal" w:pos="9356"/>
              </w:tabs>
              <w:ind w:right="-129"/>
              <w:jc w:val="both"/>
              <w:rPr>
                <w:sz w:val="22"/>
                <w:szCs w:val="22"/>
                <w:lang w:val="es-AR" w:eastAsia="en-US"/>
              </w:rPr>
            </w:pPr>
            <w:r w:rsidRPr="0010523F">
              <w:rPr>
                <w:sz w:val="22"/>
                <w:szCs w:val="22"/>
                <w:lang w:val="es-AR" w:eastAsia="en-US"/>
              </w:rPr>
              <w:t xml:space="preserve">Resultado antes de impuesto a </w:t>
            </w:r>
          </w:p>
          <w:p w14:paraId="25F531FF" w14:textId="77777777" w:rsidR="0010523F" w:rsidRPr="0010523F" w:rsidRDefault="0010523F" w:rsidP="0010523F">
            <w:pPr>
              <w:ind w:right="-129"/>
              <w:jc w:val="both"/>
              <w:rPr>
                <w:sz w:val="22"/>
                <w:szCs w:val="22"/>
                <w:lang w:val="es-AR" w:eastAsia="en-US"/>
              </w:rPr>
            </w:pPr>
            <w:r w:rsidRPr="0010523F">
              <w:rPr>
                <w:sz w:val="22"/>
                <w:szCs w:val="22"/>
                <w:lang w:val="es-AR" w:eastAsia="en-US"/>
              </w:rPr>
              <w:t xml:space="preserve">  las ganancias </w:t>
            </w:r>
          </w:p>
        </w:tc>
        <w:tc>
          <w:tcPr>
            <w:tcW w:w="1134" w:type="dxa"/>
            <w:vAlign w:val="bottom"/>
          </w:tcPr>
          <w:p w14:paraId="4A8BBF48" w14:textId="77777777" w:rsidR="0010523F" w:rsidRPr="0010523F" w:rsidRDefault="0010523F" w:rsidP="0010523F">
            <w:pPr>
              <w:ind w:left="-169" w:right="33"/>
              <w:jc w:val="right"/>
              <w:rPr>
                <w:sz w:val="22"/>
                <w:szCs w:val="22"/>
                <w:lang w:val="es-AR" w:eastAsia="en-US"/>
              </w:rPr>
            </w:pPr>
            <w:r w:rsidRPr="0010523F">
              <w:rPr>
                <w:sz w:val="22"/>
                <w:szCs w:val="22"/>
                <w:lang w:val="es-AR" w:eastAsia="en-US"/>
              </w:rPr>
              <w:t>18.515</w:t>
            </w:r>
          </w:p>
        </w:tc>
        <w:tc>
          <w:tcPr>
            <w:tcW w:w="1134" w:type="dxa"/>
            <w:vAlign w:val="bottom"/>
          </w:tcPr>
          <w:p w14:paraId="6E35F71C"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17.742</w:t>
            </w:r>
          </w:p>
        </w:tc>
        <w:tc>
          <w:tcPr>
            <w:tcW w:w="1276" w:type="dxa"/>
            <w:vAlign w:val="bottom"/>
          </w:tcPr>
          <w:p w14:paraId="2755D1BA"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4.485</w:t>
            </w:r>
          </w:p>
        </w:tc>
        <w:tc>
          <w:tcPr>
            <w:tcW w:w="1275" w:type="dxa"/>
            <w:vAlign w:val="bottom"/>
          </w:tcPr>
          <w:p w14:paraId="225B9D6C" w14:textId="77777777" w:rsidR="0010523F" w:rsidRPr="0010523F" w:rsidRDefault="0010523F" w:rsidP="0010523F">
            <w:pPr>
              <w:ind w:left="-169" w:right="34"/>
              <w:jc w:val="right"/>
              <w:rPr>
                <w:sz w:val="22"/>
                <w:szCs w:val="22"/>
                <w:lang w:val="es-AR" w:eastAsia="en-US"/>
              </w:rPr>
            </w:pPr>
          </w:p>
          <w:p w14:paraId="2FB2EB56"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5.862</w:t>
            </w:r>
          </w:p>
        </w:tc>
        <w:tc>
          <w:tcPr>
            <w:tcW w:w="1134" w:type="dxa"/>
            <w:vAlign w:val="bottom"/>
          </w:tcPr>
          <w:p w14:paraId="7DFB176F" w14:textId="77777777" w:rsidR="0010523F" w:rsidRPr="0010523F" w:rsidRDefault="0010523F" w:rsidP="0010523F">
            <w:pPr>
              <w:ind w:left="-169" w:right="33"/>
              <w:jc w:val="right"/>
              <w:rPr>
                <w:sz w:val="22"/>
                <w:szCs w:val="22"/>
                <w:lang w:val="es-AR" w:eastAsia="en-US"/>
              </w:rPr>
            </w:pPr>
          </w:p>
          <w:p w14:paraId="24BEEB52"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8.271</w:t>
            </w:r>
          </w:p>
        </w:tc>
      </w:tr>
      <w:tr w:rsidR="0010523F" w:rsidRPr="0010523F" w14:paraId="0CD2FD75" w14:textId="77777777" w:rsidTr="00774E7E">
        <w:tc>
          <w:tcPr>
            <w:tcW w:w="3544" w:type="dxa"/>
            <w:vAlign w:val="bottom"/>
          </w:tcPr>
          <w:p w14:paraId="4ED8C370"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6CCE85F6"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49F62C3F" w14:textId="77777777" w:rsidR="0010523F" w:rsidRPr="0010523F" w:rsidRDefault="0010523F" w:rsidP="0010523F">
            <w:pPr>
              <w:spacing w:line="180" w:lineRule="exact"/>
              <w:ind w:right="-129"/>
              <w:rPr>
                <w:sz w:val="22"/>
                <w:szCs w:val="22"/>
                <w:highlight w:val="yellow"/>
                <w:lang w:val="es-AR" w:eastAsia="en-US"/>
              </w:rPr>
            </w:pPr>
          </w:p>
        </w:tc>
        <w:tc>
          <w:tcPr>
            <w:tcW w:w="1276" w:type="dxa"/>
            <w:vAlign w:val="bottom"/>
          </w:tcPr>
          <w:p w14:paraId="040C4CB9" w14:textId="77777777" w:rsidR="0010523F" w:rsidRPr="0010523F" w:rsidRDefault="0010523F" w:rsidP="0010523F">
            <w:pPr>
              <w:spacing w:line="180" w:lineRule="exact"/>
              <w:ind w:right="-129"/>
              <w:jc w:val="right"/>
              <w:rPr>
                <w:sz w:val="22"/>
                <w:szCs w:val="22"/>
                <w:highlight w:val="yellow"/>
                <w:lang w:val="es-AR" w:eastAsia="en-US"/>
              </w:rPr>
            </w:pPr>
          </w:p>
        </w:tc>
        <w:tc>
          <w:tcPr>
            <w:tcW w:w="1275" w:type="dxa"/>
            <w:vAlign w:val="bottom"/>
          </w:tcPr>
          <w:p w14:paraId="66E814E5" w14:textId="77777777" w:rsidR="0010523F" w:rsidRPr="0010523F" w:rsidRDefault="0010523F" w:rsidP="0010523F">
            <w:pPr>
              <w:spacing w:line="180" w:lineRule="exact"/>
              <w:ind w:right="-129"/>
              <w:jc w:val="right"/>
              <w:rPr>
                <w:sz w:val="22"/>
                <w:szCs w:val="22"/>
                <w:highlight w:val="yellow"/>
                <w:lang w:val="es-AR" w:eastAsia="en-US"/>
              </w:rPr>
            </w:pPr>
          </w:p>
        </w:tc>
        <w:tc>
          <w:tcPr>
            <w:tcW w:w="1134" w:type="dxa"/>
            <w:vAlign w:val="bottom"/>
          </w:tcPr>
          <w:p w14:paraId="70767E2A" w14:textId="77777777" w:rsidR="0010523F" w:rsidRPr="0010523F" w:rsidRDefault="0010523F" w:rsidP="0010523F">
            <w:pPr>
              <w:spacing w:line="180" w:lineRule="exact"/>
              <w:ind w:right="-129"/>
              <w:jc w:val="right"/>
              <w:rPr>
                <w:sz w:val="22"/>
                <w:szCs w:val="22"/>
                <w:highlight w:val="yellow"/>
                <w:lang w:val="es-AR" w:eastAsia="en-US"/>
              </w:rPr>
            </w:pPr>
          </w:p>
        </w:tc>
      </w:tr>
      <w:tr w:rsidR="0010523F" w:rsidRPr="0010523F" w14:paraId="614AAB9D" w14:textId="77777777" w:rsidTr="00774E7E">
        <w:tc>
          <w:tcPr>
            <w:tcW w:w="3544" w:type="dxa"/>
            <w:vAlign w:val="bottom"/>
          </w:tcPr>
          <w:p w14:paraId="15523012" w14:textId="77777777" w:rsidR="0010523F" w:rsidRPr="0010523F" w:rsidRDefault="0010523F" w:rsidP="0010523F">
            <w:pPr>
              <w:ind w:right="34"/>
              <w:jc w:val="both"/>
              <w:rPr>
                <w:sz w:val="22"/>
                <w:szCs w:val="22"/>
                <w:lang w:val="es-AR" w:eastAsia="en-US"/>
              </w:rPr>
            </w:pPr>
            <w:r w:rsidRPr="0010523F">
              <w:rPr>
                <w:sz w:val="22"/>
                <w:szCs w:val="22"/>
                <w:lang w:val="es-AR" w:eastAsia="en-US"/>
              </w:rPr>
              <w:t>Impuesto a las ganancias - corriente</w:t>
            </w:r>
          </w:p>
        </w:tc>
        <w:tc>
          <w:tcPr>
            <w:tcW w:w="1134" w:type="dxa"/>
            <w:vAlign w:val="bottom"/>
          </w:tcPr>
          <w:p w14:paraId="0D0AEFB8" w14:textId="77777777" w:rsidR="0010523F" w:rsidRPr="0010523F" w:rsidRDefault="0010523F" w:rsidP="0010523F">
            <w:pPr>
              <w:ind w:left="-169" w:right="33"/>
              <w:jc w:val="right"/>
              <w:rPr>
                <w:sz w:val="22"/>
                <w:szCs w:val="22"/>
                <w:lang w:val="es-AR" w:eastAsia="en-US"/>
              </w:rPr>
            </w:pPr>
            <w:r w:rsidRPr="0010523F">
              <w:rPr>
                <w:sz w:val="22"/>
                <w:szCs w:val="22"/>
                <w:lang w:val="es-AR" w:eastAsia="en-US"/>
              </w:rPr>
              <w:t>( 4.356)</w:t>
            </w:r>
          </w:p>
        </w:tc>
        <w:tc>
          <w:tcPr>
            <w:tcW w:w="1134" w:type="dxa"/>
            <w:vAlign w:val="bottom"/>
          </w:tcPr>
          <w:p w14:paraId="779B1CC3"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w:t>
            </w:r>
          </w:p>
        </w:tc>
        <w:tc>
          <w:tcPr>
            <w:tcW w:w="1276" w:type="dxa"/>
            <w:vAlign w:val="bottom"/>
          </w:tcPr>
          <w:p w14:paraId="14AB6A84"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  2.081)</w:t>
            </w:r>
          </w:p>
        </w:tc>
        <w:tc>
          <w:tcPr>
            <w:tcW w:w="1275" w:type="dxa"/>
            <w:vAlign w:val="bottom"/>
          </w:tcPr>
          <w:p w14:paraId="0F21FF3B"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  2.300)</w:t>
            </w:r>
          </w:p>
        </w:tc>
        <w:tc>
          <w:tcPr>
            <w:tcW w:w="1134" w:type="dxa"/>
            <w:vAlign w:val="bottom"/>
          </w:tcPr>
          <w:p w14:paraId="26493388"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( 3.205)</w:t>
            </w:r>
          </w:p>
        </w:tc>
      </w:tr>
      <w:tr w:rsidR="0010523F" w:rsidRPr="0010523F" w14:paraId="179E2F48" w14:textId="77777777" w:rsidTr="00774E7E">
        <w:tc>
          <w:tcPr>
            <w:tcW w:w="3544" w:type="dxa"/>
            <w:vAlign w:val="bottom"/>
          </w:tcPr>
          <w:p w14:paraId="08A6A39E"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7BDFA85B"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4E4AA198" w14:textId="77777777" w:rsidR="0010523F" w:rsidRPr="0010523F" w:rsidRDefault="0010523F" w:rsidP="0010523F">
            <w:pPr>
              <w:spacing w:line="180" w:lineRule="exact"/>
              <w:ind w:right="-129"/>
              <w:rPr>
                <w:sz w:val="22"/>
                <w:szCs w:val="22"/>
                <w:highlight w:val="yellow"/>
                <w:lang w:val="es-AR" w:eastAsia="en-US"/>
              </w:rPr>
            </w:pPr>
          </w:p>
        </w:tc>
        <w:tc>
          <w:tcPr>
            <w:tcW w:w="1276" w:type="dxa"/>
            <w:vAlign w:val="bottom"/>
          </w:tcPr>
          <w:p w14:paraId="20262BD9" w14:textId="77777777" w:rsidR="0010523F" w:rsidRPr="0010523F" w:rsidRDefault="0010523F" w:rsidP="0010523F">
            <w:pPr>
              <w:spacing w:line="180" w:lineRule="exact"/>
              <w:ind w:right="-129"/>
              <w:jc w:val="right"/>
              <w:rPr>
                <w:sz w:val="22"/>
                <w:szCs w:val="22"/>
                <w:highlight w:val="yellow"/>
                <w:lang w:val="es-AR" w:eastAsia="en-US"/>
              </w:rPr>
            </w:pPr>
          </w:p>
        </w:tc>
        <w:tc>
          <w:tcPr>
            <w:tcW w:w="1275" w:type="dxa"/>
            <w:vAlign w:val="bottom"/>
          </w:tcPr>
          <w:p w14:paraId="736CDF53" w14:textId="77777777" w:rsidR="0010523F" w:rsidRPr="0010523F" w:rsidRDefault="0010523F" w:rsidP="0010523F">
            <w:pPr>
              <w:spacing w:line="180" w:lineRule="exact"/>
              <w:ind w:right="-129"/>
              <w:jc w:val="right"/>
              <w:rPr>
                <w:sz w:val="22"/>
                <w:szCs w:val="22"/>
                <w:highlight w:val="yellow"/>
                <w:lang w:val="es-AR" w:eastAsia="en-US"/>
              </w:rPr>
            </w:pPr>
          </w:p>
        </w:tc>
        <w:tc>
          <w:tcPr>
            <w:tcW w:w="1134" w:type="dxa"/>
            <w:vAlign w:val="bottom"/>
          </w:tcPr>
          <w:p w14:paraId="32C05589" w14:textId="77777777" w:rsidR="0010523F" w:rsidRPr="0010523F" w:rsidRDefault="0010523F" w:rsidP="0010523F">
            <w:pPr>
              <w:spacing w:line="180" w:lineRule="exact"/>
              <w:ind w:right="-129"/>
              <w:jc w:val="right"/>
              <w:rPr>
                <w:sz w:val="22"/>
                <w:szCs w:val="22"/>
                <w:highlight w:val="yellow"/>
                <w:lang w:val="es-AR" w:eastAsia="en-US"/>
              </w:rPr>
            </w:pPr>
          </w:p>
        </w:tc>
      </w:tr>
      <w:tr w:rsidR="0010523F" w:rsidRPr="0010523F" w14:paraId="44AD820B" w14:textId="77777777" w:rsidTr="00774E7E">
        <w:tc>
          <w:tcPr>
            <w:tcW w:w="3544" w:type="dxa"/>
            <w:vAlign w:val="bottom"/>
          </w:tcPr>
          <w:p w14:paraId="2A888DB6" w14:textId="77777777" w:rsidR="0010523F" w:rsidRPr="0010523F" w:rsidRDefault="0010523F" w:rsidP="0010523F">
            <w:pPr>
              <w:jc w:val="both"/>
              <w:rPr>
                <w:sz w:val="22"/>
                <w:szCs w:val="22"/>
                <w:lang w:val="es-AR" w:eastAsia="en-US"/>
              </w:rPr>
            </w:pPr>
            <w:r w:rsidRPr="0010523F">
              <w:rPr>
                <w:sz w:val="22"/>
                <w:szCs w:val="22"/>
                <w:lang w:val="es-AR" w:eastAsia="en-US"/>
              </w:rPr>
              <w:t>Impuesto a las ganancias - diferido</w:t>
            </w:r>
          </w:p>
        </w:tc>
        <w:tc>
          <w:tcPr>
            <w:tcW w:w="1134" w:type="dxa"/>
            <w:vAlign w:val="bottom"/>
          </w:tcPr>
          <w:p w14:paraId="53B14D91" w14:textId="77777777" w:rsidR="0010523F" w:rsidRPr="0010523F" w:rsidRDefault="0010523F" w:rsidP="0010523F">
            <w:pPr>
              <w:ind w:left="-169"/>
              <w:jc w:val="right"/>
              <w:rPr>
                <w:sz w:val="22"/>
                <w:szCs w:val="22"/>
                <w:u w:val="single"/>
                <w:lang w:val="es-AR" w:eastAsia="en-US"/>
              </w:rPr>
            </w:pPr>
            <w:r w:rsidRPr="0010523F">
              <w:rPr>
                <w:sz w:val="22"/>
                <w:szCs w:val="22"/>
                <w:lang w:val="es-AR" w:eastAsia="en-US"/>
              </w:rPr>
              <w:t>(</w:t>
            </w:r>
            <w:r w:rsidRPr="0010523F">
              <w:rPr>
                <w:sz w:val="22"/>
                <w:szCs w:val="22"/>
                <w:u w:val="single"/>
                <w:lang w:val="es-AR" w:eastAsia="en-US"/>
              </w:rPr>
              <w:t xml:space="preserve">  8.238</w:t>
            </w:r>
            <w:r w:rsidRPr="0010523F">
              <w:rPr>
                <w:sz w:val="22"/>
                <w:szCs w:val="22"/>
                <w:lang w:val="es-AR" w:eastAsia="en-US"/>
              </w:rPr>
              <w:t>)</w:t>
            </w:r>
          </w:p>
        </w:tc>
        <w:tc>
          <w:tcPr>
            <w:tcW w:w="1134" w:type="dxa"/>
            <w:vAlign w:val="bottom"/>
          </w:tcPr>
          <w:p w14:paraId="53F99455"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w:t>
            </w:r>
            <w:r w:rsidRPr="0010523F">
              <w:rPr>
                <w:sz w:val="22"/>
                <w:szCs w:val="22"/>
                <w:u w:val="single"/>
                <w:lang w:val="es-AR" w:eastAsia="en-US"/>
              </w:rPr>
              <w:t>10.027</w:t>
            </w:r>
            <w:r w:rsidRPr="0010523F">
              <w:rPr>
                <w:sz w:val="22"/>
                <w:szCs w:val="22"/>
                <w:lang w:val="es-AR" w:eastAsia="en-US"/>
              </w:rPr>
              <w:t>)</w:t>
            </w:r>
          </w:p>
        </w:tc>
        <w:tc>
          <w:tcPr>
            <w:tcW w:w="1276" w:type="dxa"/>
            <w:vAlign w:val="bottom"/>
          </w:tcPr>
          <w:p w14:paraId="28BC66DC"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w:t>
            </w:r>
            <w:r w:rsidRPr="0010523F">
              <w:rPr>
                <w:sz w:val="22"/>
                <w:szCs w:val="22"/>
                <w:u w:val="single"/>
                <w:lang w:val="es-AR" w:eastAsia="en-US"/>
              </w:rPr>
              <w:t xml:space="preserve">     766</w:t>
            </w:r>
            <w:r w:rsidRPr="0010523F">
              <w:rPr>
                <w:sz w:val="22"/>
                <w:szCs w:val="22"/>
                <w:lang w:val="es-AR" w:eastAsia="en-US"/>
              </w:rPr>
              <w:t>)</w:t>
            </w:r>
          </w:p>
        </w:tc>
        <w:tc>
          <w:tcPr>
            <w:tcW w:w="1275" w:type="dxa"/>
            <w:vAlign w:val="bottom"/>
          </w:tcPr>
          <w:p w14:paraId="5EC2C190"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w:t>
            </w:r>
            <w:r w:rsidRPr="0010523F">
              <w:rPr>
                <w:sz w:val="22"/>
                <w:szCs w:val="22"/>
                <w:u w:val="single"/>
                <w:lang w:val="es-AR" w:eastAsia="en-US"/>
              </w:rPr>
              <w:t xml:space="preserve">     628</w:t>
            </w:r>
            <w:r w:rsidRPr="0010523F">
              <w:rPr>
                <w:sz w:val="22"/>
                <w:szCs w:val="22"/>
                <w:lang w:val="es-AR" w:eastAsia="en-US"/>
              </w:rPr>
              <w:t>)</w:t>
            </w:r>
          </w:p>
        </w:tc>
        <w:tc>
          <w:tcPr>
            <w:tcW w:w="1134" w:type="dxa"/>
            <w:vAlign w:val="bottom"/>
          </w:tcPr>
          <w:p w14:paraId="7088A1A1"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w:t>
            </w:r>
            <w:r w:rsidRPr="0010523F">
              <w:rPr>
                <w:sz w:val="22"/>
                <w:szCs w:val="22"/>
                <w:u w:val="single"/>
                <w:lang w:val="es-AR" w:eastAsia="en-US"/>
              </w:rPr>
              <w:t xml:space="preserve">    266</w:t>
            </w:r>
            <w:r w:rsidRPr="0010523F">
              <w:rPr>
                <w:sz w:val="22"/>
                <w:szCs w:val="22"/>
                <w:lang w:val="es-AR" w:eastAsia="en-US"/>
              </w:rPr>
              <w:t>)</w:t>
            </w:r>
          </w:p>
        </w:tc>
      </w:tr>
      <w:tr w:rsidR="0010523F" w:rsidRPr="0010523F" w14:paraId="05E8FB9D" w14:textId="77777777" w:rsidTr="00774E7E">
        <w:tc>
          <w:tcPr>
            <w:tcW w:w="3544" w:type="dxa"/>
            <w:vAlign w:val="bottom"/>
          </w:tcPr>
          <w:p w14:paraId="4F62B0D8"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182727F0"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3133D105" w14:textId="77777777" w:rsidR="0010523F" w:rsidRPr="0010523F" w:rsidRDefault="0010523F" w:rsidP="0010523F">
            <w:pPr>
              <w:spacing w:line="180" w:lineRule="exact"/>
              <w:ind w:right="-129"/>
              <w:rPr>
                <w:sz w:val="22"/>
                <w:szCs w:val="22"/>
                <w:highlight w:val="yellow"/>
                <w:lang w:val="es-AR" w:eastAsia="en-US"/>
              </w:rPr>
            </w:pPr>
          </w:p>
        </w:tc>
        <w:tc>
          <w:tcPr>
            <w:tcW w:w="1276" w:type="dxa"/>
            <w:vAlign w:val="bottom"/>
          </w:tcPr>
          <w:p w14:paraId="2BE67473" w14:textId="77777777" w:rsidR="0010523F" w:rsidRPr="0010523F" w:rsidRDefault="0010523F" w:rsidP="0010523F">
            <w:pPr>
              <w:spacing w:line="180" w:lineRule="exact"/>
              <w:ind w:right="-129"/>
              <w:jc w:val="right"/>
              <w:rPr>
                <w:sz w:val="22"/>
                <w:szCs w:val="22"/>
                <w:highlight w:val="yellow"/>
                <w:lang w:val="es-AR" w:eastAsia="en-US"/>
              </w:rPr>
            </w:pPr>
          </w:p>
        </w:tc>
        <w:tc>
          <w:tcPr>
            <w:tcW w:w="1275" w:type="dxa"/>
            <w:vAlign w:val="bottom"/>
          </w:tcPr>
          <w:p w14:paraId="430E2C21" w14:textId="77777777" w:rsidR="0010523F" w:rsidRPr="0010523F" w:rsidRDefault="0010523F" w:rsidP="0010523F">
            <w:pPr>
              <w:spacing w:line="180" w:lineRule="exact"/>
              <w:ind w:right="-129"/>
              <w:jc w:val="right"/>
              <w:rPr>
                <w:sz w:val="22"/>
                <w:szCs w:val="22"/>
                <w:highlight w:val="yellow"/>
                <w:lang w:val="es-AR" w:eastAsia="en-US"/>
              </w:rPr>
            </w:pPr>
          </w:p>
        </w:tc>
        <w:tc>
          <w:tcPr>
            <w:tcW w:w="1134" w:type="dxa"/>
            <w:vAlign w:val="bottom"/>
          </w:tcPr>
          <w:p w14:paraId="11BFCB5A" w14:textId="77777777" w:rsidR="0010523F" w:rsidRPr="0010523F" w:rsidRDefault="0010523F" w:rsidP="0010523F">
            <w:pPr>
              <w:spacing w:line="180" w:lineRule="exact"/>
              <w:ind w:right="-129"/>
              <w:jc w:val="right"/>
              <w:rPr>
                <w:sz w:val="22"/>
                <w:szCs w:val="22"/>
                <w:highlight w:val="yellow"/>
                <w:lang w:val="es-AR" w:eastAsia="en-US"/>
              </w:rPr>
            </w:pPr>
          </w:p>
        </w:tc>
      </w:tr>
      <w:tr w:rsidR="0010523F" w:rsidRPr="0010523F" w14:paraId="06048141" w14:textId="77777777" w:rsidTr="00774E7E">
        <w:tc>
          <w:tcPr>
            <w:tcW w:w="3544" w:type="dxa"/>
            <w:vAlign w:val="bottom"/>
          </w:tcPr>
          <w:p w14:paraId="56096730" w14:textId="77777777" w:rsidR="0010523F" w:rsidRPr="0010523F" w:rsidRDefault="0010523F" w:rsidP="0010523F">
            <w:pPr>
              <w:tabs>
                <w:tab w:val="decimal" w:pos="3828"/>
                <w:tab w:val="decimal" w:pos="5670"/>
                <w:tab w:val="decimal" w:pos="7513"/>
                <w:tab w:val="decimal" w:pos="9356"/>
              </w:tabs>
              <w:ind w:right="-129"/>
              <w:jc w:val="both"/>
              <w:rPr>
                <w:sz w:val="22"/>
                <w:szCs w:val="22"/>
                <w:lang w:val="es-AR" w:eastAsia="en-US"/>
              </w:rPr>
            </w:pPr>
            <w:r w:rsidRPr="0010523F">
              <w:rPr>
                <w:sz w:val="22"/>
                <w:szCs w:val="22"/>
                <w:lang w:val="es-AR" w:eastAsia="en-US"/>
              </w:rPr>
              <w:t>Ganancia neta del período</w:t>
            </w:r>
          </w:p>
        </w:tc>
        <w:tc>
          <w:tcPr>
            <w:tcW w:w="1134" w:type="dxa"/>
            <w:vAlign w:val="bottom"/>
          </w:tcPr>
          <w:p w14:paraId="41C87C45" w14:textId="77777777" w:rsidR="0010523F" w:rsidRPr="0010523F" w:rsidRDefault="0010523F" w:rsidP="0010523F">
            <w:pPr>
              <w:ind w:left="-169" w:right="33"/>
              <w:jc w:val="right"/>
              <w:rPr>
                <w:sz w:val="22"/>
                <w:szCs w:val="22"/>
                <w:lang w:val="es-AR" w:eastAsia="en-US"/>
              </w:rPr>
            </w:pPr>
            <w:r w:rsidRPr="0010523F">
              <w:rPr>
                <w:sz w:val="22"/>
                <w:szCs w:val="22"/>
                <w:lang w:val="es-AR" w:eastAsia="en-US"/>
              </w:rPr>
              <w:t>5.921</w:t>
            </w:r>
          </w:p>
        </w:tc>
        <w:tc>
          <w:tcPr>
            <w:tcW w:w="1134" w:type="dxa"/>
            <w:vAlign w:val="bottom"/>
          </w:tcPr>
          <w:p w14:paraId="4354491E"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7.715</w:t>
            </w:r>
          </w:p>
        </w:tc>
        <w:tc>
          <w:tcPr>
            <w:tcW w:w="1276" w:type="dxa"/>
            <w:vAlign w:val="bottom"/>
          </w:tcPr>
          <w:p w14:paraId="1385ECE0" w14:textId="77777777" w:rsidR="0010523F" w:rsidRPr="0010523F" w:rsidRDefault="0010523F" w:rsidP="0010523F">
            <w:pPr>
              <w:ind w:left="-169" w:right="34"/>
              <w:jc w:val="right"/>
              <w:rPr>
                <w:sz w:val="22"/>
                <w:szCs w:val="22"/>
                <w:highlight w:val="yellow"/>
                <w:lang w:val="es-AR" w:eastAsia="en-US"/>
              </w:rPr>
            </w:pPr>
            <w:r w:rsidRPr="0010523F">
              <w:rPr>
                <w:sz w:val="22"/>
                <w:szCs w:val="22"/>
                <w:lang w:val="es-AR" w:eastAsia="en-US"/>
              </w:rPr>
              <w:t>1.638</w:t>
            </w:r>
          </w:p>
        </w:tc>
        <w:tc>
          <w:tcPr>
            <w:tcW w:w="1275" w:type="dxa"/>
            <w:vAlign w:val="bottom"/>
          </w:tcPr>
          <w:p w14:paraId="13DD1336"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2.934</w:t>
            </w:r>
          </w:p>
        </w:tc>
        <w:tc>
          <w:tcPr>
            <w:tcW w:w="1134" w:type="dxa"/>
            <w:vAlign w:val="bottom"/>
          </w:tcPr>
          <w:p w14:paraId="2336BD2F" w14:textId="77777777" w:rsidR="0010523F" w:rsidRPr="0010523F" w:rsidRDefault="0010523F" w:rsidP="0010523F">
            <w:pPr>
              <w:ind w:left="-169" w:right="33"/>
              <w:jc w:val="right"/>
              <w:rPr>
                <w:sz w:val="22"/>
                <w:szCs w:val="22"/>
                <w:highlight w:val="yellow"/>
                <w:lang w:val="es-AR" w:eastAsia="en-US"/>
              </w:rPr>
            </w:pPr>
            <w:r w:rsidRPr="0010523F">
              <w:rPr>
                <w:sz w:val="22"/>
                <w:szCs w:val="22"/>
                <w:lang w:val="es-AR" w:eastAsia="en-US"/>
              </w:rPr>
              <w:t>4.800</w:t>
            </w:r>
          </w:p>
        </w:tc>
      </w:tr>
      <w:tr w:rsidR="0010523F" w:rsidRPr="0010523F" w14:paraId="21C1DF99" w14:textId="77777777" w:rsidTr="00774E7E">
        <w:tc>
          <w:tcPr>
            <w:tcW w:w="3544" w:type="dxa"/>
            <w:vAlign w:val="bottom"/>
          </w:tcPr>
          <w:p w14:paraId="75DF5188"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1347D415"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459FDEE7" w14:textId="77777777" w:rsidR="0010523F" w:rsidRPr="0010523F" w:rsidRDefault="0010523F" w:rsidP="0010523F">
            <w:pPr>
              <w:spacing w:line="180" w:lineRule="exact"/>
              <w:ind w:right="-129"/>
              <w:rPr>
                <w:sz w:val="22"/>
                <w:szCs w:val="22"/>
                <w:highlight w:val="yellow"/>
                <w:lang w:val="es-AR" w:eastAsia="en-US"/>
              </w:rPr>
            </w:pPr>
          </w:p>
        </w:tc>
        <w:tc>
          <w:tcPr>
            <w:tcW w:w="1276" w:type="dxa"/>
            <w:vAlign w:val="bottom"/>
          </w:tcPr>
          <w:p w14:paraId="21372361" w14:textId="77777777" w:rsidR="0010523F" w:rsidRPr="0010523F" w:rsidRDefault="0010523F" w:rsidP="0010523F">
            <w:pPr>
              <w:spacing w:line="180" w:lineRule="exact"/>
              <w:ind w:right="-129"/>
              <w:jc w:val="right"/>
              <w:rPr>
                <w:sz w:val="22"/>
                <w:szCs w:val="22"/>
                <w:highlight w:val="yellow"/>
                <w:lang w:val="es-AR" w:eastAsia="en-US"/>
              </w:rPr>
            </w:pPr>
          </w:p>
        </w:tc>
        <w:tc>
          <w:tcPr>
            <w:tcW w:w="1275" w:type="dxa"/>
            <w:vAlign w:val="bottom"/>
          </w:tcPr>
          <w:p w14:paraId="5B550373" w14:textId="77777777" w:rsidR="0010523F" w:rsidRPr="0010523F" w:rsidRDefault="0010523F" w:rsidP="0010523F">
            <w:pPr>
              <w:spacing w:line="180" w:lineRule="exact"/>
              <w:ind w:right="-129"/>
              <w:jc w:val="right"/>
              <w:rPr>
                <w:sz w:val="22"/>
                <w:szCs w:val="22"/>
                <w:highlight w:val="yellow"/>
                <w:lang w:val="es-AR" w:eastAsia="en-US"/>
              </w:rPr>
            </w:pPr>
          </w:p>
        </w:tc>
        <w:tc>
          <w:tcPr>
            <w:tcW w:w="1134" w:type="dxa"/>
            <w:vAlign w:val="bottom"/>
          </w:tcPr>
          <w:p w14:paraId="677229FE" w14:textId="77777777" w:rsidR="0010523F" w:rsidRPr="0010523F" w:rsidRDefault="0010523F" w:rsidP="0010523F">
            <w:pPr>
              <w:spacing w:line="180" w:lineRule="exact"/>
              <w:ind w:right="-129"/>
              <w:jc w:val="right"/>
              <w:rPr>
                <w:sz w:val="22"/>
                <w:szCs w:val="22"/>
                <w:highlight w:val="yellow"/>
                <w:lang w:val="es-AR" w:eastAsia="en-US"/>
              </w:rPr>
            </w:pPr>
          </w:p>
        </w:tc>
      </w:tr>
      <w:tr w:rsidR="0010523F" w:rsidRPr="0010523F" w14:paraId="22B8B8DF" w14:textId="77777777" w:rsidTr="00774E7E">
        <w:tc>
          <w:tcPr>
            <w:tcW w:w="3544" w:type="dxa"/>
            <w:vAlign w:val="bottom"/>
          </w:tcPr>
          <w:p w14:paraId="25ABC0C2" w14:textId="77777777" w:rsidR="0010523F" w:rsidRPr="0010523F" w:rsidRDefault="0010523F" w:rsidP="0010523F">
            <w:pPr>
              <w:tabs>
                <w:tab w:val="decimal" w:pos="3828"/>
                <w:tab w:val="decimal" w:pos="5670"/>
                <w:tab w:val="decimal" w:pos="7513"/>
                <w:tab w:val="decimal" w:pos="9356"/>
              </w:tabs>
              <w:ind w:right="-108"/>
              <w:rPr>
                <w:sz w:val="22"/>
                <w:szCs w:val="22"/>
                <w:lang w:val="es-AR" w:eastAsia="en-US"/>
              </w:rPr>
            </w:pPr>
            <w:r w:rsidRPr="0010523F">
              <w:rPr>
                <w:sz w:val="22"/>
                <w:szCs w:val="22"/>
                <w:lang w:val="es-AR" w:eastAsia="en-US"/>
              </w:rPr>
              <w:t xml:space="preserve">Otro resultado integral </w:t>
            </w:r>
          </w:p>
        </w:tc>
        <w:tc>
          <w:tcPr>
            <w:tcW w:w="1134" w:type="dxa"/>
            <w:vAlign w:val="bottom"/>
          </w:tcPr>
          <w:p w14:paraId="490E9397" w14:textId="77777777" w:rsidR="0010523F" w:rsidRPr="0010523F" w:rsidRDefault="0010523F" w:rsidP="0010523F">
            <w:pPr>
              <w:ind w:left="-169"/>
              <w:jc w:val="right"/>
              <w:rPr>
                <w:sz w:val="22"/>
                <w:szCs w:val="22"/>
                <w:u w:val="single"/>
                <w:lang w:val="es-AR" w:eastAsia="en-US"/>
              </w:rPr>
            </w:pPr>
            <w:r w:rsidRPr="0010523F">
              <w:rPr>
                <w:sz w:val="22"/>
                <w:szCs w:val="22"/>
                <w:u w:val="single"/>
                <w:lang w:val="es-AR" w:eastAsia="en-US"/>
              </w:rPr>
              <w:t>135.999</w:t>
            </w:r>
          </w:p>
        </w:tc>
        <w:tc>
          <w:tcPr>
            <w:tcW w:w="1134" w:type="dxa"/>
            <w:vAlign w:val="bottom"/>
          </w:tcPr>
          <w:p w14:paraId="4F40DBC6" w14:textId="77777777" w:rsidR="0010523F" w:rsidRPr="0010523F" w:rsidRDefault="0010523F" w:rsidP="0010523F">
            <w:pPr>
              <w:ind w:left="-169" w:right="34"/>
              <w:jc w:val="right"/>
              <w:rPr>
                <w:sz w:val="22"/>
                <w:szCs w:val="22"/>
                <w:highlight w:val="yellow"/>
                <w:u w:val="single"/>
                <w:lang w:val="es-AR" w:eastAsia="en-US"/>
              </w:rPr>
            </w:pPr>
            <w:r w:rsidRPr="0010523F">
              <w:rPr>
                <w:sz w:val="22"/>
                <w:szCs w:val="22"/>
                <w:u w:val="single"/>
                <w:lang w:val="es-AR" w:eastAsia="en-US"/>
              </w:rPr>
              <w:t>149.378</w:t>
            </w:r>
          </w:p>
        </w:tc>
        <w:tc>
          <w:tcPr>
            <w:tcW w:w="1276" w:type="dxa"/>
            <w:vAlign w:val="bottom"/>
          </w:tcPr>
          <w:p w14:paraId="063C258E" w14:textId="77777777" w:rsidR="0010523F" w:rsidRPr="0010523F" w:rsidRDefault="0010523F" w:rsidP="0010523F">
            <w:pPr>
              <w:ind w:right="34"/>
              <w:jc w:val="right"/>
              <w:rPr>
                <w:sz w:val="22"/>
                <w:szCs w:val="22"/>
                <w:highlight w:val="yellow"/>
                <w:u w:val="single"/>
                <w:lang w:val="es-AR" w:eastAsia="en-US"/>
              </w:rPr>
            </w:pPr>
            <w:r w:rsidRPr="0010523F">
              <w:rPr>
                <w:sz w:val="22"/>
                <w:szCs w:val="22"/>
                <w:u w:val="single"/>
                <w:lang w:val="es-AR" w:eastAsia="en-US"/>
              </w:rPr>
              <w:t xml:space="preserve">  7.393</w:t>
            </w:r>
          </w:p>
        </w:tc>
        <w:tc>
          <w:tcPr>
            <w:tcW w:w="1275" w:type="dxa"/>
            <w:vAlign w:val="bottom"/>
          </w:tcPr>
          <w:p w14:paraId="4C797E45" w14:textId="77777777" w:rsidR="0010523F" w:rsidRPr="0010523F" w:rsidRDefault="0010523F" w:rsidP="0010523F">
            <w:pPr>
              <w:ind w:right="33"/>
              <w:jc w:val="right"/>
              <w:rPr>
                <w:sz w:val="22"/>
                <w:szCs w:val="22"/>
                <w:highlight w:val="yellow"/>
                <w:u w:val="single"/>
                <w:lang w:val="es-AR" w:eastAsia="en-US"/>
              </w:rPr>
            </w:pPr>
            <w:r w:rsidRPr="0010523F">
              <w:rPr>
                <w:sz w:val="22"/>
                <w:szCs w:val="22"/>
                <w:u w:val="single"/>
                <w:lang w:val="es-AR" w:eastAsia="en-US"/>
              </w:rPr>
              <w:t xml:space="preserve"> 9.953</w:t>
            </w:r>
          </w:p>
        </w:tc>
        <w:tc>
          <w:tcPr>
            <w:tcW w:w="1134" w:type="dxa"/>
            <w:vAlign w:val="bottom"/>
          </w:tcPr>
          <w:p w14:paraId="6BEDF40E" w14:textId="77777777" w:rsidR="0010523F" w:rsidRPr="0010523F" w:rsidRDefault="0010523F" w:rsidP="0010523F">
            <w:pPr>
              <w:ind w:right="33"/>
              <w:jc w:val="right"/>
              <w:rPr>
                <w:sz w:val="22"/>
                <w:szCs w:val="22"/>
                <w:highlight w:val="yellow"/>
                <w:u w:val="single"/>
                <w:lang w:val="es-AR" w:eastAsia="en-US"/>
              </w:rPr>
            </w:pPr>
            <w:r w:rsidRPr="0010523F">
              <w:rPr>
                <w:sz w:val="22"/>
                <w:szCs w:val="22"/>
                <w:u w:val="single"/>
                <w:lang w:val="es-AR" w:eastAsia="en-US"/>
              </w:rPr>
              <w:t>3.686</w:t>
            </w:r>
          </w:p>
        </w:tc>
      </w:tr>
      <w:tr w:rsidR="0010523F" w:rsidRPr="0010523F" w14:paraId="67E4B029" w14:textId="77777777" w:rsidTr="00774E7E">
        <w:tc>
          <w:tcPr>
            <w:tcW w:w="3544" w:type="dxa"/>
            <w:vAlign w:val="bottom"/>
          </w:tcPr>
          <w:p w14:paraId="2398F930"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3E9C666D" w14:textId="77777777" w:rsidR="0010523F" w:rsidRPr="0010523F" w:rsidRDefault="0010523F" w:rsidP="0010523F">
            <w:pPr>
              <w:spacing w:line="180" w:lineRule="exact"/>
              <w:ind w:right="-129"/>
              <w:rPr>
                <w:sz w:val="22"/>
                <w:szCs w:val="22"/>
                <w:lang w:val="es-AR" w:eastAsia="en-US"/>
              </w:rPr>
            </w:pPr>
          </w:p>
        </w:tc>
        <w:tc>
          <w:tcPr>
            <w:tcW w:w="1134" w:type="dxa"/>
            <w:vAlign w:val="bottom"/>
          </w:tcPr>
          <w:p w14:paraId="11124216" w14:textId="77777777" w:rsidR="0010523F" w:rsidRPr="0010523F" w:rsidRDefault="0010523F" w:rsidP="0010523F">
            <w:pPr>
              <w:spacing w:line="180" w:lineRule="exact"/>
              <w:ind w:right="-129"/>
              <w:rPr>
                <w:sz w:val="22"/>
                <w:szCs w:val="22"/>
                <w:highlight w:val="yellow"/>
                <w:lang w:val="es-AR" w:eastAsia="en-US"/>
              </w:rPr>
            </w:pPr>
          </w:p>
        </w:tc>
        <w:tc>
          <w:tcPr>
            <w:tcW w:w="1276" w:type="dxa"/>
            <w:vAlign w:val="bottom"/>
          </w:tcPr>
          <w:p w14:paraId="047DFB58" w14:textId="77777777" w:rsidR="0010523F" w:rsidRPr="0010523F" w:rsidRDefault="0010523F" w:rsidP="0010523F">
            <w:pPr>
              <w:spacing w:line="180" w:lineRule="exact"/>
              <w:ind w:right="-129"/>
              <w:jc w:val="right"/>
              <w:rPr>
                <w:sz w:val="22"/>
                <w:szCs w:val="22"/>
                <w:highlight w:val="yellow"/>
                <w:lang w:val="es-AR" w:eastAsia="en-US"/>
              </w:rPr>
            </w:pPr>
          </w:p>
        </w:tc>
        <w:tc>
          <w:tcPr>
            <w:tcW w:w="1275" w:type="dxa"/>
            <w:vAlign w:val="bottom"/>
          </w:tcPr>
          <w:p w14:paraId="70201F08" w14:textId="77777777" w:rsidR="0010523F" w:rsidRPr="0010523F" w:rsidRDefault="0010523F" w:rsidP="0010523F">
            <w:pPr>
              <w:spacing w:line="180" w:lineRule="exact"/>
              <w:ind w:right="-129"/>
              <w:jc w:val="right"/>
              <w:rPr>
                <w:sz w:val="22"/>
                <w:szCs w:val="22"/>
                <w:highlight w:val="yellow"/>
                <w:lang w:val="es-AR" w:eastAsia="en-US"/>
              </w:rPr>
            </w:pPr>
          </w:p>
        </w:tc>
        <w:tc>
          <w:tcPr>
            <w:tcW w:w="1134" w:type="dxa"/>
            <w:vAlign w:val="bottom"/>
          </w:tcPr>
          <w:p w14:paraId="1B535B5D" w14:textId="77777777" w:rsidR="0010523F" w:rsidRPr="0010523F" w:rsidRDefault="0010523F" w:rsidP="0010523F">
            <w:pPr>
              <w:spacing w:line="180" w:lineRule="exact"/>
              <w:ind w:right="-129"/>
              <w:jc w:val="right"/>
              <w:rPr>
                <w:sz w:val="22"/>
                <w:szCs w:val="22"/>
                <w:highlight w:val="yellow"/>
                <w:lang w:val="es-AR" w:eastAsia="en-US"/>
              </w:rPr>
            </w:pPr>
          </w:p>
        </w:tc>
      </w:tr>
      <w:tr w:rsidR="0010523F" w:rsidRPr="0010523F" w14:paraId="03F61A02" w14:textId="77777777" w:rsidTr="00774E7E">
        <w:tc>
          <w:tcPr>
            <w:tcW w:w="3544" w:type="dxa"/>
            <w:vAlign w:val="bottom"/>
          </w:tcPr>
          <w:p w14:paraId="4B4709A2" w14:textId="77777777" w:rsidR="0010523F" w:rsidRPr="0010523F" w:rsidRDefault="0010523F" w:rsidP="0010523F">
            <w:pPr>
              <w:tabs>
                <w:tab w:val="decimal" w:pos="3828"/>
                <w:tab w:val="decimal" w:pos="5670"/>
                <w:tab w:val="decimal" w:pos="7513"/>
                <w:tab w:val="decimal" w:pos="9356"/>
              </w:tabs>
              <w:ind w:right="-108"/>
              <w:rPr>
                <w:sz w:val="22"/>
                <w:szCs w:val="22"/>
                <w:lang w:val="es-AR" w:eastAsia="en-US"/>
              </w:rPr>
            </w:pPr>
            <w:r w:rsidRPr="0010523F">
              <w:rPr>
                <w:sz w:val="22"/>
                <w:szCs w:val="22"/>
                <w:lang w:val="es-AR" w:eastAsia="en-US"/>
              </w:rPr>
              <w:t xml:space="preserve">Resultado integral del período - </w:t>
            </w:r>
          </w:p>
          <w:p w14:paraId="7F49658A" w14:textId="77777777" w:rsidR="0010523F" w:rsidRPr="0010523F" w:rsidRDefault="0010523F" w:rsidP="0010523F">
            <w:pPr>
              <w:tabs>
                <w:tab w:val="decimal" w:pos="3828"/>
                <w:tab w:val="decimal" w:pos="5670"/>
                <w:tab w:val="decimal" w:pos="7513"/>
                <w:tab w:val="decimal" w:pos="9356"/>
              </w:tabs>
              <w:ind w:right="-108"/>
              <w:rPr>
                <w:sz w:val="22"/>
                <w:szCs w:val="22"/>
                <w:lang w:val="es-AR" w:eastAsia="en-US"/>
              </w:rPr>
            </w:pPr>
            <w:r w:rsidRPr="0010523F">
              <w:rPr>
                <w:sz w:val="22"/>
                <w:szCs w:val="22"/>
                <w:lang w:val="es-AR" w:eastAsia="en-US"/>
              </w:rPr>
              <w:t>Ganancia</w:t>
            </w:r>
          </w:p>
        </w:tc>
        <w:tc>
          <w:tcPr>
            <w:tcW w:w="1134" w:type="dxa"/>
            <w:vAlign w:val="bottom"/>
          </w:tcPr>
          <w:p w14:paraId="3DC9493B" w14:textId="77777777" w:rsidR="0010523F" w:rsidRPr="0010523F" w:rsidRDefault="0010523F" w:rsidP="0010523F">
            <w:pPr>
              <w:ind w:left="-169" w:right="33"/>
              <w:jc w:val="right"/>
              <w:rPr>
                <w:sz w:val="22"/>
                <w:szCs w:val="22"/>
                <w:u w:val="double"/>
                <w:lang w:val="es-AR" w:eastAsia="en-US"/>
              </w:rPr>
            </w:pPr>
            <w:r w:rsidRPr="0010523F">
              <w:rPr>
                <w:sz w:val="22"/>
                <w:szCs w:val="22"/>
                <w:u w:val="double"/>
                <w:lang w:val="es-AR" w:eastAsia="en-US"/>
              </w:rPr>
              <w:t>141.920</w:t>
            </w:r>
          </w:p>
        </w:tc>
        <w:tc>
          <w:tcPr>
            <w:tcW w:w="1134" w:type="dxa"/>
            <w:vAlign w:val="bottom"/>
          </w:tcPr>
          <w:p w14:paraId="6E0B3E10" w14:textId="77777777" w:rsidR="0010523F" w:rsidRPr="0010523F" w:rsidRDefault="0010523F" w:rsidP="0010523F">
            <w:pPr>
              <w:ind w:left="-169" w:right="34"/>
              <w:jc w:val="right"/>
              <w:rPr>
                <w:sz w:val="22"/>
                <w:szCs w:val="22"/>
                <w:highlight w:val="yellow"/>
                <w:u w:val="double"/>
                <w:lang w:val="es-AR" w:eastAsia="en-US"/>
              </w:rPr>
            </w:pPr>
            <w:r w:rsidRPr="0010523F">
              <w:rPr>
                <w:sz w:val="22"/>
                <w:szCs w:val="22"/>
                <w:u w:val="double"/>
                <w:lang w:val="es-AR" w:eastAsia="en-US"/>
              </w:rPr>
              <w:t>157.093</w:t>
            </w:r>
          </w:p>
        </w:tc>
        <w:tc>
          <w:tcPr>
            <w:tcW w:w="1276" w:type="dxa"/>
            <w:vAlign w:val="bottom"/>
          </w:tcPr>
          <w:p w14:paraId="4058DFA7" w14:textId="77777777" w:rsidR="0010523F" w:rsidRPr="0010523F" w:rsidRDefault="0010523F" w:rsidP="0010523F">
            <w:pPr>
              <w:ind w:left="-169" w:right="34"/>
              <w:jc w:val="right"/>
              <w:rPr>
                <w:sz w:val="22"/>
                <w:szCs w:val="22"/>
                <w:highlight w:val="yellow"/>
                <w:u w:val="double"/>
                <w:lang w:val="es-AR" w:eastAsia="en-US"/>
              </w:rPr>
            </w:pPr>
            <w:r w:rsidRPr="0010523F">
              <w:rPr>
                <w:sz w:val="22"/>
                <w:szCs w:val="22"/>
                <w:u w:val="double"/>
                <w:lang w:val="es-AR" w:eastAsia="en-US"/>
              </w:rPr>
              <w:t xml:space="preserve">  9.031</w:t>
            </w:r>
          </w:p>
        </w:tc>
        <w:tc>
          <w:tcPr>
            <w:tcW w:w="1275" w:type="dxa"/>
            <w:vAlign w:val="bottom"/>
          </w:tcPr>
          <w:p w14:paraId="2C88DC9D" w14:textId="77777777" w:rsidR="0010523F" w:rsidRPr="0010523F" w:rsidRDefault="0010523F" w:rsidP="0010523F">
            <w:pPr>
              <w:ind w:left="-169" w:right="33"/>
              <w:jc w:val="right"/>
              <w:rPr>
                <w:sz w:val="22"/>
                <w:szCs w:val="22"/>
                <w:highlight w:val="yellow"/>
                <w:u w:val="double"/>
                <w:lang w:val="es-AR" w:eastAsia="en-US"/>
              </w:rPr>
            </w:pPr>
            <w:r w:rsidRPr="0010523F">
              <w:rPr>
                <w:sz w:val="22"/>
                <w:szCs w:val="22"/>
                <w:u w:val="double"/>
                <w:lang w:val="es-AR" w:eastAsia="en-US"/>
              </w:rPr>
              <w:t>12.887</w:t>
            </w:r>
          </w:p>
        </w:tc>
        <w:tc>
          <w:tcPr>
            <w:tcW w:w="1134" w:type="dxa"/>
            <w:vAlign w:val="bottom"/>
          </w:tcPr>
          <w:p w14:paraId="19844FCD" w14:textId="77777777" w:rsidR="0010523F" w:rsidRPr="0010523F" w:rsidRDefault="0010523F" w:rsidP="0010523F">
            <w:pPr>
              <w:ind w:left="-169" w:right="33"/>
              <w:jc w:val="right"/>
              <w:rPr>
                <w:sz w:val="22"/>
                <w:szCs w:val="22"/>
                <w:u w:val="double"/>
                <w:lang w:val="es-AR" w:eastAsia="en-US"/>
              </w:rPr>
            </w:pPr>
            <w:r w:rsidRPr="0010523F">
              <w:rPr>
                <w:sz w:val="22"/>
                <w:szCs w:val="22"/>
                <w:u w:val="double"/>
                <w:lang w:val="es-AR" w:eastAsia="en-US"/>
              </w:rPr>
              <w:t>8.486</w:t>
            </w:r>
          </w:p>
        </w:tc>
      </w:tr>
    </w:tbl>
    <w:p w14:paraId="13506A7D" w14:textId="77777777" w:rsidR="0010523F" w:rsidRPr="0010523F" w:rsidRDefault="0010523F" w:rsidP="0010523F">
      <w:pPr>
        <w:tabs>
          <w:tab w:val="decimal" w:pos="8647"/>
        </w:tabs>
        <w:spacing w:line="220" w:lineRule="exact"/>
        <w:jc w:val="both"/>
        <w:rPr>
          <w:b/>
          <w:szCs w:val="20"/>
          <w:lang w:val="es-AR" w:eastAsia="en-US"/>
        </w:rPr>
      </w:pPr>
    </w:p>
    <w:p w14:paraId="0F11F3E3" w14:textId="77777777" w:rsidR="0010523F" w:rsidRPr="0010523F" w:rsidRDefault="0010523F" w:rsidP="0010523F">
      <w:pPr>
        <w:tabs>
          <w:tab w:val="decimal" w:pos="8647"/>
        </w:tabs>
        <w:spacing w:line="220" w:lineRule="exact"/>
        <w:jc w:val="both"/>
        <w:rPr>
          <w:b/>
          <w:szCs w:val="20"/>
          <w:lang w:val="es-AR" w:eastAsia="en-US"/>
        </w:rPr>
      </w:pPr>
      <w:r w:rsidRPr="0010523F">
        <w:rPr>
          <w:b/>
          <w:szCs w:val="20"/>
          <w:lang w:val="es-AR" w:eastAsia="en-US"/>
        </w:rPr>
        <w:t>4. Estructura de flujos de efectivo (en millones de pesos)</w:t>
      </w:r>
    </w:p>
    <w:p w14:paraId="3EC600F7" w14:textId="77777777" w:rsidR="0010523F" w:rsidRPr="0010523F" w:rsidRDefault="0010523F" w:rsidP="0010523F">
      <w:pPr>
        <w:tabs>
          <w:tab w:val="decimal" w:pos="8647"/>
        </w:tabs>
        <w:spacing w:line="220" w:lineRule="exact"/>
        <w:jc w:val="both"/>
        <w:rPr>
          <w:b/>
          <w:szCs w:val="20"/>
          <w:lang w:val="es-AR" w:eastAsia="en-US"/>
        </w:rPr>
      </w:pPr>
    </w:p>
    <w:tbl>
      <w:tblPr>
        <w:tblW w:w="9697" w:type="dxa"/>
        <w:tblLayout w:type="fixed"/>
        <w:tblLook w:val="0000" w:firstRow="0" w:lastRow="0" w:firstColumn="0" w:lastColumn="0" w:noHBand="0" w:noVBand="0"/>
      </w:tblPr>
      <w:tblGrid>
        <w:gridCol w:w="3686"/>
        <w:gridCol w:w="56"/>
        <w:gridCol w:w="1191"/>
        <w:gridCol w:w="1191"/>
        <w:gridCol w:w="1191"/>
        <w:gridCol w:w="1191"/>
        <w:gridCol w:w="1175"/>
        <w:gridCol w:w="16"/>
      </w:tblGrid>
      <w:tr w:rsidR="0010523F" w:rsidRPr="0010523F" w14:paraId="04E6F3C9" w14:textId="77777777" w:rsidTr="00774E7E">
        <w:trPr>
          <w:gridAfter w:val="1"/>
          <w:wAfter w:w="16" w:type="dxa"/>
        </w:trPr>
        <w:tc>
          <w:tcPr>
            <w:tcW w:w="3686" w:type="dxa"/>
            <w:vAlign w:val="bottom"/>
          </w:tcPr>
          <w:p w14:paraId="4D1FD1BB" w14:textId="77777777" w:rsidR="0010523F" w:rsidRPr="0010523F" w:rsidRDefault="0010523F" w:rsidP="0010523F">
            <w:pPr>
              <w:tabs>
                <w:tab w:val="decimal" w:pos="3828"/>
                <w:tab w:val="decimal" w:pos="5670"/>
                <w:tab w:val="decimal" w:pos="7371"/>
                <w:tab w:val="decimal" w:pos="9356"/>
              </w:tabs>
              <w:jc w:val="both"/>
              <w:rPr>
                <w:sz w:val="22"/>
                <w:szCs w:val="22"/>
                <w:lang w:val="es-AR" w:eastAsia="en-US"/>
              </w:rPr>
            </w:pPr>
          </w:p>
        </w:tc>
        <w:tc>
          <w:tcPr>
            <w:tcW w:w="5995" w:type="dxa"/>
            <w:gridSpan w:val="6"/>
            <w:tcBorders>
              <w:bottom w:val="single" w:sz="4" w:space="0" w:color="auto"/>
            </w:tcBorders>
            <w:vAlign w:val="bottom"/>
          </w:tcPr>
          <w:p w14:paraId="58BDD025" w14:textId="77777777" w:rsidR="0010523F" w:rsidRPr="0010523F" w:rsidRDefault="0010523F" w:rsidP="0010523F">
            <w:pPr>
              <w:ind w:right="-99"/>
              <w:jc w:val="center"/>
              <w:rPr>
                <w:sz w:val="22"/>
                <w:szCs w:val="22"/>
                <w:lang w:val="es-AR" w:eastAsia="en-US"/>
              </w:rPr>
            </w:pPr>
            <w:r w:rsidRPr="0010523F">
              <w:rPr>
                <w:sz w:val="22"/>
                <w:szCs w:val="22"/>
                <w:lang w:val="es-AR" w:eastAsia="en-US"/>
              </w:rPr>
              <w:t>Por el período de nueve meses finalizado el</w:t>
            </w:r>
          </w:p>
        </w:tc>
      </w:tr>
      <w:tr w:rsidR="0010523F" w:rsidRPr="0010523F" w14:paraId="555A01D9" w14:textId="77777777" w:rsidTr="00774E7E">
        <w:tc>
          <w:tcPr>
            <w:tcW w:w="3742" w:type="dxa"/>
            <w:gridSpan w:val="2"/>
            <w:vAlign w:val="bottom"/>
          </w:tcPr>
          <w:p w14:paraId="2B231F6B" w14:textId="77777777" w:rsidR="0010523F" w:rsidRPr="0010523F" w:rsidRDefault="0010523F" w:rsidP="0010523F">
            <w:pPr>
              <w:tabs>
                <w:tab w:val="decimal" w:pos="8931"/>
              </w:tabs>
              <w:jc w:val="both"/>
              <w:rPr>
                <w:sz w:val="22"/>
                <w:szCs w:val="22"/>
                <w:lang w:val="es-AR" w:eastAsia="en-US"/>
              </w:rPr>
            </w:pPr>
          </w:p>
        </w:tc>
        <w:tc>
          <w:tcPr>
            <w:tcW w:w="1191" w:type="dxa"/>
            <w:tcBorders>
              <w:top w:val="single" w:sz="4" w:space="0" w:color="auto"/>
            </w:tcBorders>
            <w:vAlign w:val="bottom"/>
          </w:tcPr>
          <w:p w14:paraId="7D790497"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 30/09/2019  </w:t>
            </w:r>
          </w:p>
        </w:tc>
        <w:tc>
          <w:tcPr>
            <w:tcW w:w="1191" w:type="dxa"/>
            <w:tcBorders>
              <w:top w:val="single" w:sz="4" w:space="0" w:color="auto"/>
            </w:tcBorders>
            <w:vAlign w:val="bottom"/>
          </w:tcPr>
          <w:p w14:paraId="26B201F4"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 30/09/2018  </w:t>
            </w:r>
          </w:p>
        </w:tc>
        <w:tc>
          <w:tcPr>
            <w:tcW w:w="1191" w:type="dxa"/>
            <w:tcBorders>
              <w:top w:val="single" w:sz="4" w:space="0" w:color="auto"/>
            </w:tcBorders>
            <w:vAlign w:val="bottom"/>
          </w:tcPr>
          <w:p w14:paraId="1601B31A"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30/09/2017</w:t>
            </w:r>
          </w:p>
        </w:tc>
        <w:tc>
          <w:tcPr>
            <w:tcW w:w="1191" w:type="dxa"/>
            <w:tcBorders>
              <w:top w:val="single" w:sz="4" w:space="0" w:color="auto"/>
            </w:tcBorders>
            <w:vAlign w:val="bottom"/>
          </w:tcPr>
          <w:p w14:paraId="5A40AE88"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30/09/2016  </w:t>
            </w:r>
          </w:p>
        </w:tc>
        <w:tc>
          <w:tcPr>
            <w:tcW w:w="1191" w:type="dxa"/>
            <w:gridSpan w:val="2"/>
            <w:tcBorders>
              <w:top w:val="single" w:sz="4" w:space="0" w:color="auto"/>
            </w:tcBorders>
            <w:vAlign w:val="bottom"/>
          </w:tcPr>
          <w:p w14:paraId="7E74792F" w14:textId="77777777" w:rsidR="0010523F" w:rsidRPr="0010523F" w:rsidRDefault="0010523F" w:rsidP="0010523F">
            <w:pPr>
              <w:ind w:left="-169" w:right="-346"/>
              <w:jc w:val="center"/>
              <w:rPr>
                <w:sz w:val="22"/>
                <w:szCs w:val="22"/>
                <w:lang w:val="es-AR" w:eastAsia="en-US"/>
              </w:rPr>
            </w:pPr>
            <w:r w:rsidRPr="0010523F">
              <w:rPr>
                <w:sz w:val="22"/>
                <w:szCs w:val="22"/>
                <w:u w:val="single"/>
                <w:lang w:val="es-AR" w:eastAsia="en-US"/>
              </w:rPr>
              <w:t>30/09/2015  </w:t>
            </w:r>
          </w:p>
        </w:tc>
      </w:tr>
      <w:tr w:rsidR="0010523F" w:rsidRPr="0010523F" w14:paraId="5BBF4AA1" w14:textId="77777777" w:rsidTr="00774E7E">
        <w:tc>
          <w:tcPr>
            <w:tcW w:w="3742" w:type="dxa"/>
            <w:gridSpan w:val="2"/>
            <w:vAlign w:val="bottom"/>
          </w:tcPr>
          <w:p w14:paraId="7905D2BF" w14:textId="77777777" w:rsidR="0010523F" w:rsidRPr="0010523F" w:rsidRDefault="0010523F" w:rsidP="0010523F">
            <w:pPr>
              <w:jc w:val="both"/>
              <w:rPr>
                <w:sz w:val="22"/>
                <w:szCs w:val="22"/>
                <w:lang w:val="es-AR" w:eastAsia="en-US"/>
              </w:rPr>
            </w:pPr>
            <w:r w:rsidRPr="0010523F">
              <w:rPr>
                <w:sz w:val="22"/>
                <w:szCs w:val="22"/>
                <w:lang w:val="es-AR" w:eastAsia="en-US"/>
              </w:rPr>
              <w:t>Efectivo generado por las actividades operativas</w:t>
            </w:r>
          </w:p>
        </w:tc>
        <w:tc>
          <w:tcPr>
            <w:tcW w:w="1191" w:type="dxa"/>
            <w:vAlign w:val="bottom"/>
          </w:tcPr>
          <w:p w14:paraId="6F72DF52" w14:textId="77777777" w:rsidR="0010523F" w:rsidRPr="0010523F" w:rsidRDefault="0010523F" w:rsidP="0010523F">
            <w:pPr>
              <w:tabs>
                <w:tab w:val="decimal" w:pos="1012"/>
              </w:tabs>
              <w:ind w:left="-169" w:right="-92"/>
              <w:jc w:val="both"/>
              <w:rPr>
                <w:sz w:val="22"/>
                <w:szCs w:val="22"/>
                <w:lang w:val="es-AR" w:eastAsia="en-US"/>
              </w:rPr>
            </w:pPr>
            <w:r w:rsidRPr="0010523F">
              <w:rPr>
                <w:sz w:val="22"/>
                <w:szCs w:val="22"/>
                <w:lang w:val="es-AR" w:eastAsia="en-US"/>
              </w:rPr>
              <w:t>48.072</w:t>
            </w:r>
          </w:p>
        </w:tc>
        <w:tc>
          <w:tcPr>
            <w:tcW w:w="1191" w:type="dxa"/>
            <w:vAlign w:val="bottom"/>
          </w:tcPr>
          <w:p w14:paraId="24EE4966" w14:textId="77777777" w:rsidR="0010523F" w:rsidRPr="0010523F" w:rsidRDefault="0010523F" w:rsidP="0010523F">
            <w:pPr>
              <w:ind w:left="-169"/>
              <w:jc w:val="right"/>
              <w:rPr>
                <w:sz w:val="22"/>
                <w:szCs w:val="22"/>
                <w:highlight w:val="yellow"/>
                <w:lang w:val="es-AR" w:eastAsia="en-US"/>
              </w:rPr>
            </w:pPr>
            <w:r w:rsidRPr="0010523F">
              <w:rPr>
                <w:sz w:val="22"/>
                <w:szCs w:val="22"/>
                <w:lang w:val="es-AR" w:eastAsia="en-US"/>
              </w:rPr>
              <w:t>33.677</w:t>
            </w:r>
          </w:p>
        </w:tc>
        <w:tc>
          <w:tcPr>
            <w:tcW w:w="1191" w:type="dxa"/>
            <w:vAlign w:val="bottom"/>
          </w:tcPr>
          <w:p w14:paraId="6482843A" w14:textId="77777777" w:rsidR="0010523F" w:rsidRPr="0010523F" w:rsidRDefault="0010523F" w:rsidP="0010523F">
            <w:pPr>
              <w:ind w:left="-169" w:right="77"/>
              <w:jc w:val="right"/>
              <w:rPr>
                <w:sz w:val="22"/>
                <w:szCs w:val="22"/>
                <w:highlight w:val="yellow"/>
                <w:lang w:val="es-AR" w:eastAsia="en-US"/>
              </w:rPr>
            </w:pPr>
            <w:r w:rsidRPr="0010523F">
              <w:rPr>
                <w:sz w:val="22"/>
                <w:szCs w:val="22"/>
                <w:lang w:val="es-AR" w:eastAsia="en-US"/>
              </w:rPr>
              <w:t>14.317</w:t>
            </w:r>
          </w:p>
        </w:tc>
        <w:tc>
          <w:tcPr>
            <w:tcW w:w="1191" w:type="dxa"/>
            <w:vAlign w:val="bottom"/>
          </w:tcPr>
          <w:p w14:paraId="7E178B6B" w14:textId="77777777" w:rsidR="0010523F" w:rsidRPr="0010523F" w:rsidRDefault="0010523F" w:rsidP="0010523F">
            <w:pPr>
              <w:ind w:left="-169" w:right="45"/>
              <w:jc w:val="right"/>
              <w:rPr>
                <w:sz w:val="22"/>
                <w:szCs w:val="22"/>
                <w:highlight w:val="yellow"/>
                <w:lang w:val="es-AR" w:eastAsia="en-US"/>
              </w:rPr>
            </w:pPr>
            <w:r w:rsidRPr="0010523F">
              <w:rPr>
                <w:sz w:val="22"/>
                <w:szCs w:val="22"/>
                <w:lang w:val="es-AR" w:eastAsia="en-US"/>
              </w:rPr>
              <w:t>16.179</w:t>
            </w:r>
          </w:p>
        </w:tc>
        <w:tc>
          <w:tcPr>
            <w:tcW w:w="1191" w:type="dxa"/>
            <w:gridSpan w:val="2"/>
            <w:shd w:val="clear" w:color="auto" w:fill="auto"/>
            <w:vAlign w:val="bottom"/>
          </w:tcPr>
          <w:p w14:paraId="684C8CB8" w14:textId="77777777" w:rsidR="0010523F" w:rsidRPr="0010523F" w:rsidRDefault="0010523F" w:rsidP="0010523F">
            <w:pPr>
              <w:ind w:left="-169"/>
              <w:jc w:val="right"/>
              <w:rPr>
                <w:sz w:val="22"/>
                <w:szCs w:val="22"/>
                <w:highlight w:val="yellow"/>
                <w:lang w:val="es-AR" w:eastAsia="en-US"/>
              </w:rPr>
            </w:pPr>
            <w:r w:rsidRPr="0010523F">
              <w:rPr>
                <w:sz w:val="22"/>
                <w:szCs w:val="22"/>
                <w:lang w:val="es-AR" w:eastAsia="en-US"/>
              </w:rPr>
              <w:t>7.028</w:t>
            </w:r>
          </w:p>
        </w:tc>
      </w:tr>
      <w:tr w:rsidR="0010523F" w:rsidRPr="0010523F" w14:paraId="6CC514FB" w14:textId="77777777" w:rsidTr="00774E7E">
        <w:trPr>
          <w:trHeight w:val="113"/>
        </w:trPr>
        <w:tc>
          <w:tcPr>
            <w:tcW w:w="3742" w:type="dxa"/>
            <w:gridSpan w:val="2"/>
            <w:vAlign w:val="bottom"/>
          </w:tcPr>
          <w:p w14:paraId="549EEFE2" w14:textId="77777777" w:rsidR="0010523F" w:rsidRPr="0010523F" w:rsidRDefault="0010523F" w:rsidP="0010523F">
            <w:pPr>
              <w:spacing w:line="180" w:lineRule="exact"/>
              <w:rPr>
                <w:sz w:val="22"/>
                <w:szCs w:val="22"/>
                <w:lang w:val="es-AR" w:eastAsia="en-US"/>
              </w:rPr>
            </w:pPr>
          </w:p>
        </w:tc>
        <w:tc>
          <w:tcPr>
            <w:tcW w:w="1191" w:type="dxa"/>
            <w:vAlign w:val="bottom"/>
          </w:tcPr>
          <w:p w14:paraId="7065926E" w14:textId="77777777" w:rsidR="0010523F" w:rsidRPr="0010523F" w:rsidRDefault="0010523F" w:rsidP="0010523F">
            <w:pPr>
              <w:tabs>
                <w:tab w:val="decimal" w:pos="1012"/>
              </w:tabs>
              <w:spacing w:line="180" w:lineRule="exact"/>
              <w:ind w:left="-169" w:right="-92"/>
              <w:jc w:val="both"/>
              <w:rPr>
                <w:sz w:val="22"/>
                <w:szCs w:val="22"/>
                <w:lang w:val="es-AR" w:eastAsia="en-US"/>
              </w:rPr>
            </w:pPr>
          </w:p>
        </w:tc>
        <w:tc>
          <w:tcPr>
            <w:tcW w:w="1191" w:type="dxa"/>
            <w:vAlign w:val="bottom"/>
          </w:tcPr>
          <w:p w14:paraId="03AF844B" w14:textId="77777777" w:rsidR="0010523F" w:rsidRPr="0010523F" w:rsidRDefault="0010523F" w:rsidP="0010523F">
            <w:pPr>
              <w:spacing w:line="180" w:lineRule="exact"/>
              <w:ind w:left="-169"/>
              <w:jc w:val="right"/>
              <w:rPr>
                <w:sz w:val="22"/>
                <w:szCs w:val="22"/>
                <w:highlight w:val="yellow"/>
                <w:lang w:val="es-AR" w:eastAsia="en-US"/>
              </w:rPr>
            </w:pPr>
          </w:p>
        </w:tc>
        <w:tc>
          <w:tcPr>
            <w:tcW w:w="1191" w:type="dxa"/>
            <w:vAlign w:val="bottom"/>
          </w:tcPr>
          <w:p w14:paraId="7F72EE4F" w14:textId="77777777" w:rsidR="0010523F" w:rsidRPr="0010523F" w:rsidRDefault="0010523F" w:rsidP="0010523F">
            <w:pPr>
              <w:spacing w:line="180" w:lineRule="exact"/>
              <w:ind w:left="-169" w:right="77"/>
              <w:jc w:val="right"/>
              <w:rPr>
                <w:sz w:val="22"/>
                <w:szCs w:val="22"/>
                <w:highlight w:val="yellow"/>
                <w:lang w:val="es-AR" w:eastAsia="en-US"/>
              </w:rPr>
            </w:pPr>
          </w:p>
        </w:tc>
        <w:tc>
          <w:tcPr>
            <w:tcW w:w="1191" w:type="dxa"/>
            <w:vAlign w:val="bottom"/>
          </w:tcPr>
          <w:p w14:paraId="772D4E52" w14:textId="77777777" w:rsidR="0010523F" w:rsidRPr="0010523F" w:rsidRDefault="0010523F" w:rsidP="0010523F">
            <w:pPr>
              <w:spacing w:line="180" w:lineRule="exact"/>
              <w:ind w:left="-169" w:right="45"/>
              <w:jc w:val="right"/>
              <w:rPr>
                <w:sz w:val="22"/>
                <w:szCs w:val="22"/>
                <w:highlight w:val="yellow"/>
                <w:lang w:val="es-AR" w:eastAsia="en-US"/>
              </w:rPr>
            </w:pPr>
          </w:p>
        </w:tc>
        <w:tc>
          <w:tcPr>
            <w:tcW w:w="1191" w:type="dxa"/>
            <w:gridSpan w:val="2"/>
            <w:shd w:val="clear" w:color="auto" w:fill="auto"/>
            <w:vAlign w:val="bottom"/>
          </w:tcPr>
          <w:p w14:paraId="2022A949" w14:textId="77777777" w:rsidR="0010523F" w:rsidRPr="0010523F" w:rsidRDefault="0010523F" w:rsidP="0010523F">
            <w:pPr>
              <w:spacing w:line="180" w:lineRule="exact"/>
              <w:ind w:left="-169"/>
              <w:jc w:val="right"/>
              <w:rPr>
                <w:sz w:val="22"/>
                <w:szCs w:val="22"/>
                <w:highlight w:val="yellow"/>
                <w:lang w:val="es-AR" w:eastAsia="en-US"/>
              </w:rPr>
            </w:pPr>
          </w:p>
        </w:tc>
      </w:tr>
      <w:tr w:rsidR="0010523F" w:rsidRPr="0010523F" w14:paraId="64F934D5" w14:textId="77777777" w:rsidTr="00774E7E">
        <w:tc>
          <w:tcPr>
            <w:tcW w:w="3742" w:type="dxa"/>
            <w:gridSpan w:val="2"/>
            <w:vAlign w:val="bottom"/>
          </w:tcPr>
          <w:p w14:paraId="5FC2DB9D" w14:textId="77777777" w:rsidR="0010523F" w:rsidRPr="0010523F" w:rsidRDefault="0010523F" w:rsidP="0010523F">
            <w:pPr>
              <w:jc w:val="both"/>
              <w:rPr>
                <w:sz w:val="22"/>
                <w:szCs w:val="22"/>
                <w:lang w:val="es-AR" w:eastAsia="en-US"/>
              </w:rPr>
            </w:pPr>
            <w:r w:rsidRPr="0010523F">
              <w:rPr>
                <w:sz w:val="22"/>
                <w:szCs w:val="22"/>
                <w:lang w:val="es-AR" w:eastAsia="en-US"/>
              </w:rPr>
              <w:t>Efectivo aplicado a las actividades de inversión</w:t>
            </w:r>
          </w:p>
        </w:tc>
        <w:tc>
          <w:tcPr>
            <w:tcW w:w="1191" w:type="dxa"/>
            <w:vAlign w:val="bottom"/>
          </w:tcPr>
          <w:p w14:paraId="51700EBE" w14:textId="77777777" w:rsidR="0010523F" w:rsidRPr="0010523F" w:rsidRDefault="0010523F" w:rsidP="0010523F">
            <w:pPr>
              <w:tabs>
                <w:tab w:val="decimal" w:pos="1012"/>
              </w:tabs>
              <w:ind w:left="-169" w:right="-92"/>
              <w:jc w:val="both"/>
              <w:rPr>
                <w:sz w:val="22"/>
                <w:szCs w:val="22"/>
                <w:lang w:val="es-AR" w:eastAsia="en-US"/>
              </w:rPr>
            </w:pPr>
            <w:r w:rsidRPr="0010523F">
              <w:rPr>
                <w:sz w:val="22"/>
                <w:szCs w:val="22"/>
                <w:lang w:val="es-AR" w:eastAsia="en-US"/>
              </w:rPr>
              <w:t>(45.799)</w:t>
            </w:r>
          </w:p>
        </w:tc>
        <w:tc>
          <w:tcPr>
            <w:tcW w:w="1191" w:type="dxa"/>
            <w:vAlign w:val="bottom"/>
          </w:tcPr>
          <w:p w14:paraId="52F280C4" w14:textId="77777777" w:rsidR="0010523F" w:rsidRPr="0010523F" w:rsidRDefault="0010523F" w:rsidP="0010523F">
            <w:pPr>
              <w:ind w:left="-169"/>
              <w:jc w:val="right"/>
              <w:rPr>
                <w:sz w:val="22"/>
                <w:szCs w:val="22"/>
                <w:highlight w:val="yellow"/>
                <w:lang w:val="es-AR" w:eastAsia="en-US"/>
              </w:rPr>
            </w:pPr>
            <w:r w:rsidRPr="0010523F">
              <w:rPr>
                <w:sz w:val="22"/>
                <w:szCs w:val="22"/>
                <w:lang w:val="es-AR" w:eastAsia="en-US"/>
              </w:rPr>
              <w:t>(22.299)</w:t>
            </w:r>
          </w:p>
        </w:tc>
        <w:tc>
          <w:tcPr>
            <w:tcW w:w="1191" w:type="dxa"/>
            <w:vAlign w:val="bottom"/>
          </w:tcPr>
          <w:p w14:paraId="3C42AEB4" w14:textId="77777777" w:rsidR="0010523F" w:rsidRPr="0010523F" w:rsidRDefault="0010523F" w:rsidP="0010523F">
            <w:pPr>
              <w:ind w:left="-169" w:right="77"/>
              <w:jc w:val="right"/>
              <w:rPr>
                <w:sz w:val="22"/>
                <w:szCs w:val="22"/>
                <w:highlight w:val="yellow"/>
                <w:lang w:val="es-AR" w:eastAsia="en-US"/>
              </w:rPr>
            </w:pPr>
            <w:r w:rsidRPr="0010523F">
              <w:rPr>
                <w:sz w:val="22"/>
                <w:szCs w:val="22"/>
                <w:lang w:val="es-AR" w:eastAsia="en-US"/>
              </w:rPr>
              <w:t>( 12.545)</w:t>
            </w:r>
          </w:p>
        </w:tc>
        <w:tc>
          <w:tcPr>
            <w:tcW w:w="1191" w:type="dxa"/>
            <w:vAlign w:val="bottom"/>
          </w:tcPr>
          <w:p w14:paraId="6534FE83" w14:textId="77777777" w:rsidR="0010523F" w:rsidRPr="0010523F" w:rsidRDefault="0010523F" w:rsidP="0010523F">
            <w:pPr>
              <w:ind w:left="-169" w:right="45"/>
              <w:jc w:val="right"/>
              <w:rPr>
                <w:sz w:val="22"/>
                <w:szCs w:val="22"/>
                <w:highlight w:val="yellow"/>
                <w:lang w:val="es-AR" w:eastAsia="en-US"/>
              </w:rPr>
            </w:pPr>
            <w:r w:rsidRPr="0010523F">
              <w:rPr>
                <w:sz w:val="22"/>
                <w:szCs w:val="22"/>
                <w:lang w:val="es-AR" w:eastAsia="en-US"/>
              </w:rPr>
              <w:t>(   9.017)</w:t>
            </w:r>
          </w:p>
        </w:tc>
        <w:tc>
          <w:tcPr>
            <w:tcW w:w="1191" w:type="dxa"/>
            <w:gridSpan w:val="2"/>
            <w:shd w:val="clear" w:color="auto" w:fill="auto"/>
            <w:vAlign w:val="bottom"/>
          </w:tcPr>
          <w:p w14:paraId="3D14E099" w14:textId="77777777" w:rsidR="0010523F" w:rsidRPr="0010523F" w:rsidRDefault="0010523F" w:rsidP="0010523F">
            <w:pPr>
              <w:ind w:left="-169"/>
              <w:jc w:val="right"/>
              <w:rPr>
                <w:sz w:val="22"/>
                <w:szCs w:val="22"/>
                <w:highlight w:val="yellow"/>
                <w:lang w:val="es-AR" w:eastAsia="en-US"/>
              </w:rPr>
            </w:pPr>
            <w:r w:rsidRPr="0010523F">
              <w:rPr>
                <w:sz w:val="22"/>
                <w:szCs w:val="22"/>
                <w:lang w:val="es-AR" w:eastAsia="en-US"/>
              </w:rPr>
              <w:t>(12.389)</w:t>
            </w:r>
          </w:p>
        </w:tc>
      </w:tr>
      <w:tr w:rsidR="0010523F" w:rsidRPr="0010523F" w14:paraId="0380A681" w14:textId="77777777" w:rsidTr="00774E7E">
        <w:trPr>
          <w:trHeight w:val="113"/>
        </w:trPr>
        <w:tc>
          <w:tcPr>
            <w:tcW w:w="3742" w:type="dxa"/>
            <w:gridSpan w:val="2"/>
            <w:vAlign w:val="bottom"/>
          </w:tcPr>
          <w:p w14:paraId="476CB4C2" w14:textId="77777777" w:rsidR="0010523F" w:rsidRPr="0010523F" w:rsidRDefault="0010523F" w:rsidP="0010523F">
            <w:pPr>
              <w:spacing w:line="180" w:lineRule="exact"/>
              <w:rPr>
                <w:sz w:val="22"/>
                <w:szCs w:val="22"/>
                <w:lang w:val="es-AR" w:eastAsia="en-US"/>
              </w:rPr>
            </w:pPr>
          </w:p>
        </w:tc>
        <w:tc>
          <w:tcPr>
            <w:tcW w:w="1191" w:type="dxa"/>
            <w:vAlign w:val="bottom"/>
          </w:tcPr>
          <w:p w14:paraId="305F471A" w14:textId="77777777" w:rsidR="0010523F" w:rsidRPr="0010523F" w:rsidRDefault="0010523F" w:rsidP="0010523F">
            <w:pPr>
              <w:tabs>
                <w:tab w:val="decimal" w:pos="1012"/>
              </w:tabs>
              <w:spacing w:line="180" w:lineRule="exact"/>
              <w:rPr>
                <w:sz w:val="22"/>
                <w:szCs w:val="22"/>
                <w:lang w:val="es-AR" w:eastAsia="en-US"/>
              </w:rPr>
            </w:pPr>
          </w:p>
        </w:tc>
        <w:tc>
          <w:tcPr>
            <w:tcW w:w="1191" w:type="dxa"/>
            <w:vAlign w:val="bottom"/>
          </w:tcPr>
          <w:p w14:paraId="52377501" w14:textId="77777777" w:rsidR="0010523F" w:rsidRPr="0010523F" w:rsidRDefault="0010523F" w:rsidP="0010523F">
            <w:pPr>
              <w:spacing w:line="180" w:lineRule="exact"/>
              <w:jc w:val="right"/>
              <w:rPr>
                <w:sz w:val="22"/>
                <w:szCs w:val="22"/>
                <w:highlight w:val="yellow"/>
                <w:lang w:val="es-AR" w:eastAsia="en-US"/>
              </w:rPr>
            </w:pPr>
          </w:p>
        </w:tc>
        <w:tc>
          <w:tcPr>
            <w:tcW w:w="1191" w:type="dxa"/>
            <w:vAlign w:val="bottom"/>
          </w:tcPr>
          <w:p w14:paraId="349088EC" w14:textId="77777777" w:rsidR="0010523F" w:rsidRPr="0010523F" w:rsidRDefault="0010523F" w:rsidP="0010523F">
            <w:pPr>
              <w:spacing w:line="180" w:lineRule="exact"/>
              <w:ind w:right="77"/>
              <w:jc w:val="right"/>
              <w:rPr>
                <w:sz w:val="22"/>
                <w:szCs w:val="22"/>
                <w:highlight w:val="yellow"/>
                <w:lang w:val="es-AR" w:eastAsia="en-US"/>
              </w:rPr>
            </w:pPr>
          </w:p>
        </w:tc>
        <w:tc>
          <w:tcPr>
            <w:tcW w:w="1191" w:type="dxa"/>
            <w:vAlign w:val="bottom"/>
          </w:tcPr>
          <w:p w14:paraId="27E18C3E" w14:textId="77777777" w:rsidR="0010523F" w:rsidRPr="0010523F" w:rsidRDefault="0010523F" w:rsidP="0010523F">
            <w:pPr>
              <w:spacing w:line="180" w:lineRule="exact"/>
              <w:ind w:right="45"/>
              <w:jc w:val="right"/>
              <w:rPr>
                <w:sz w:val="22"/>
                <w:szCs w:val="22"/>
                <w:highlight w:val="yellow"/>
                <w:lang w:val="es-AR" w:eastAsia="en-US"/>
              </w:rPr>
            </w:pPr>
          </w:p>
        </w:tc>
        <w:tc>
          <w:tcPr>
            <w:tcW w:w="1191" w:type="dxa"/>
            <w:gridSpan w:val="2"/>
            <w:shd w:val="clear" w:color="auto" w:fill="auto"/>
            <w:vAlign w:val="bottom"/>
          </w:tcPr>
          <w:p w14:paraId="12CDFD71" w14:textId="77777777" w:rsidR="0010523F" w:rsidRPr="0010523F" w:rsidRDefault="0010523F" w:rsidP="0010523F">
            <w:pPr>
              <w:spacing w:line="180" w:lineRule="exact"/>
              <w:jc w:val="right"/>
              <w:rPr>
                <w:sz w:val="22"/>
                <w:szCs w:val="22"/>
                <w:highlight w:val="yellow"/>
                <w:lang w:val="es-AR" w:eastAsia="en-US"/>
              </w:rPr>
            </w:pPr>
          </w:p>
        </w:tc>
      </w:tr>
      <w:tr w:rsidR="0010523F" w:rsidRPr="0010523F" w14:paraId="45B64C2B" w14:textId="77777777" w:rsidTr="00774E7E">
        <w:tc>
          <w:tcPr>
            <w:tcW w:w="3742" w:type="dxa"/>
            <w:gridSpan w:val="2"/>
            <w:vAlign w:val="bottom"/>
          </w:tcPr>
          <w:p w14:paraId="79805D28" w14:textId="77777777" w:rsidR="0010523F" w:rsidRPr="0010523F" w:rsidRDefault="0010523F" w:rsidP="0010523F">
            <w:pPr>
              <w:rPr>
                <w:sz w:val="22"/>
                <w:szCs w:val="22"/>
                <w:lang w:val="es-AR" w:eastAsia="en-US"/>
              </w:rPr>
            </w:pPr>
            <w:r w:rsidRPr="0010523F">
              <w:rPr>
                <w:sz w:val="22"/>
                <w:szCs w:val="22"/>
                <w:lang w:val="es-AR" w:eastAsia="en-US"/>
              </w:rPr>
              <w:t>Efectivo (aplicado a) generado por las actividades de financiación</w:t>
            </w:r>
          </w:p>
        </w:tc>
        <w:tc>
          <w:tcPr>
            <w:tcW w:w="1191" w:type="dxa"/>
            <w:vAlign w:val="bottom"/>
          </w:tcPr>
          <w:p w14:paraId="4C82AD82" w14:textId="77777777" w:rsidR="0010523F" w:rsidRPr="0010523F" w:rsidRDefault="0010523F" w:rsidP="0010523F">
            <w:pPr>
              <w:tabs>
                <w:tab w:val="decimal" w:pos="1012"/>
              </w:tabs>
              <w:ind w:left="-169" w:right="-92"/>
              <w:jc w:val="both"/>
              <w:rPr>
                <w:sz w:val="22"/>
                <w:szCs w:val="22"/>
                <w:lang w:val="es-AR" w:eastAsia="en-US"/>
              </w:rPr>
            </w:pPr>
            <w:r w:rsidRPr="0010523F">
              <w:rPr>
                <w:sz w:val="22"/>
                <w:szCs w:val="22"/>
                <w:lang w:val="es-AR" w:eastAsia="en-US"/>
              </w:rPr>
              <w:t>(14.335)</w:t>
            </w:r>
          </w:p>
        </w:tc>
        <w:tc>
          <w:tcPr>
            <w:tcW w:w="1191" w:type="dxa"/>
            <w:vAlign w:val="bottom"/>
          </w:tcPr>
          <w:p w14:paraId="4C47364F" w14:textId="77777777" w:rsidR="0010523F" w:rsidRPr="0010523F" w:rsidRDefault="0010523F" w:rsidP="0010523F">
            <w:pPr>
              <w:ind w:left="-169"/>
              <w:jc w:val="right"/>
              <w:rPr>
                <w:sz w:val="22"/>
                <w:szCs w:val="22"/>
                <w:highlight w:val="yellow"/>
                <w:lang w:val="es-AR" w:eastAsia="en-US"/>
              </w:rPr>
            </w:pPr>
            <w:r w:rsidRPr="0010523F">
              <w:rPr>
                <w:sz w:val="22"/>
                <w:szCs w:val="22"/>
                <w:lang w:val="es-AR" w:eastAsia="en-US"/>
              </w:rPr>
              <w:t>5.916</w:t>
            </w:r>
          </w:p>
        </w:tc>
        <w:tc>
          <w:tcPr>
            <w:tcW w:w="1191" w:type="dxa"/>
            <w:vAlign w:val="bottom"/>
          </w:tcPr>
          <w:p w14:paraId="62FB459F" w14:textId="77777777" w:rsidR="0010523F" w:rsidRPr="0010523F" w:rsidRDefault="0010523F" w:rsidP="0010523F">
            <w:pPr>
              <w:ind w:left="-169" w:right="77"/>
              <w:jc w:val="right"/>
              <w:rPr>
                <w:sz w:val="22"/>
                <w:szCs w:val="22"/>
                <w:highlight w:val="yellow"/>
                <w:lang w:val="es-AR" w:eastAsia="en-US"/>
              </w:rPr>
            </w:pPr>
            <w:r w:rsidRPr="0010523F">
              <w:rPr>
                <w:sz w:val="22"/>
                <w:szCs w:val="22"/>
                <w:lang w:val="es-AR" w:eastAsia="en-US"/>
              </w:rPr>
              <w:t>(  2.717)</w:t>
            </w:r>
          </w:p>
        </w:tc>
        <w:tc>
          <w:tcPr>
            <w:tcW w:w="1191" w:type="dxa"/>
            <w:vAlign w:val="bottom"/>
          </w:tcPr>
          <w:p w14:paraId="5CAAC531" w14:textId="77777777" w:rsidR="0010523F" w:rsidRPr="0010523F" w:rsidRDefault="0010523F" w:rsidP="0010523F">
            <w:pPr>
              <w:ind w:left="-169" w:right="45"/>
              <w:jc w:val="right"/>
              <w:rPr>
                <w:sz w:val="22"/>
                <w:szCs w:val="22"/>
                <w:highlight w:val="yellow"/>
                <w:lang w:val="es-AR" w:eastAsia="en-US"/>
              </w:rPr>
            </w:pPr>
            <w:r w:rsidRPr="0010523F">
              <w:rPr>
                <w:sz w:val="22"/>
                <w:szCs w:val="22"/>
                <w:lang w:val="es-AR" w:eastAsia="en-US"/>
              </w:rPr>
              <w:t>( 10.415)</w:t>
            </w:r>
          </w:p>
        </w:tc>
        <w:tc>
          <w:tcPr>
            <w:tcW w:w="1191" w:type="dxa"/>
            <w:gridSpan w:val="2"/>
            <w:shd w:val="clear" w:color="auto" w:fill="auto"/>
            <w:vAlign w:val="bottom"/>
          </w:tcPr>
          <w:p w14:paraId="1E5BE03D" w14:textId="77777777" w:rsidR="0010523F" w:rsidRPr="0010523F" w:rsidRDefault="0010523F" w:rsidP="0010523F">
            <w:pPr>
              <w:ind w:left="-169"/>
              <w:jc w:val="right"/>
              <w:rPr>
                <w:sz w:val="22"/>
                <w:szCs w:val="22"/>
                <w:highlight w:val="yellow"/>
                <w:lang w:val="es-AR" w:eastAsia="en-US"/>
              </w:rPr>
            </w:pPr>
            <w:r w:rsidRPr="0010523F">
              <w:rPr>
                <w:sz w:val="22"/>
                <w:szCs w:val="22"/>
                <w:lang w:val="es-AR" w:eastAsia="en-US"/>
              </w:rPr>
              <w:t>5.456</w:t>
            </w:r>
          </w:p>
        </w:tc>
      </w:tr>
      <w:tr w:rsidR="0010523F" w:rsidRPr="0010523F" w14:paraId="16F6028B" w14:textId="77777777" w:rsidTr="00774E7E">
        <w:trPr>
          <w:trHeight w:val="113"/>
        </w:trPr>
        <w:tc>
          <w:tcPr>
            <w:tcW w:w="3742" w:type="dxa"/>
            <w:gridSpan w:val="2"/>
            <w:vAlign w:val="bottom"/>
          </w:tcPr>
          <w:p w14:paraId="7D94D673" w14:textId="77777777" w:rsidR="0010523F" w:rsidRPr="0010523F" w:rsidRDefault="0010523F" w:rsidP="0010523F">
            <w:pPr>
              <w:spacing w:line="180" w:lineRule="exact"/>
              <w:rPr>
                <w:sz w:val="22"/>
                <w:szCs w:val="22"/>
                <w:lang w:val="es-AR" w:eastAsia="en-US"/>
              </w:rPr>
            </w:pPr>
          </w:p>
        </w:tc>
        <w:tc>
          <w:tcPr>
            <w:tcW w:w="1191" w:type="dxa"/>
            <w:vAlign w:val="bottom"/>
          </w:tcPr>
          <w:p w14:paraId="51F3E8E5" w14:textId="77777777" w:rsidR="0010523F" w:rsidRPr="0010523F" w:rsidRDefault="0010523F" w:rsidP="0010523F">
            <w:pPr>
              <w:tabs>
                <w:tab w:val="decimal" w:pos="1012"/>
              </w:tabs>
              <w:spacing w:line="180" w:lineRule="exact"/>
              <w:rPr>
                <w:sz w:val="22"/>
                <w:szCs w:val="22"/>
                <w:lang w:val="es-AR" w:eastAsia="en-US"/>
              </w:rPr>
            </w:pPr>
          </w:p>
        </w:tc>
        <w:tc>
          <w:tcPr>
            <w:tcW w:w="1191" w:type="dxa"/>
            <w:vAlign w:val="bottom"/>
          </w:tcPr>
          <w:p w14:paraId="153A816B" w14:textId="77777777" w:rsidR="0010523F" w:rsidRPr="0010523F" w:rsidRDefault="0010523F" w:rsidP="0010523F">
            <w:pPr>
              <w:spacing w:line="180" w:lineRule="exact"/>
              <w:jc w:val="right"/>
              <w:rPr>
                <w:sz w:val="22"/>
                <w:szCs w:val="22"/>
                <w:highlight w:val="yellow"/>
                <w:lang w:val="es-AR" w:eastAsia="en-US"/>
              </w:rPr>
            </w:pPr>
          </w:p>
        </w:tc>
        <w:tc>
          <w:tcPr>
            <w:tcW w:w="1191" w:type="dxa"/>
            <w:vAlign w:val="bottom"/>
          </w:tcPr>
          <w:p w14:paraId="0083B2C0" w14:textId="77777777" w:rsidR="0010523F" w:rsidRPr="0010523F" w:rsidRDefault="0010523F" w:rsidP="0010523F">
            <w:pPr>
              <w:spacing w:line="180" w:lineRule="exact"/>
              <w:ind w:right="77"/>
              <w:jc w:val="right"/>
              <w:rPr>
                <w:sz w:val="22"/>
                <w:szCs w:val="22"/>
                <w:highlight w:val="yellow"/>
                <w:lang w:val="es-AR" w:eastAsia="en-US"/>
              </w:rPr>
            </w:pPr>
          </w:p>
        </w:tc>
        <w:tc>
          <w:tcPr>
            <w:tcW w:w="1191" w:type="dxa"/>
            <w:vAlign w:val="bottom"/>
          </w:tcPr>
          <w:p w14:paraId="576D3129" w14:textId="77777777" w:rsidR="0010523F" w:rsidRPr="0010523F" w:rsidRDefault="0010523F" w:rsidP="0010523F">
            <w:pPr>
              <w:spacing w:line="180" w:lineRule="exact"/>
              <w:ind w:right="45"/>
              <w:jc w:val="right"/>
              <w:rPr>
                <w:sz w:val="22"/>
                <w:szCs w:val="22"/>
                <w:highlight w:val="yellow"/>
                <w:lang w:val="es-AR" w:eastAsia="en-US"/>
              </w:rPr>
            </w:pPr>
          </w:p>
        </w:tc>
        <w:tc>
          <w:tcPr>
            <w:tcW w:w="1191" w:type="dxa"/>
            <w:gridSpan w:val="2"/>
            <w:shd w:val="clear" w:color="auto" w:fill="auto"/>
            <w:vAlign w:val="bottom"/>
          </w:tcPr>
          <w:p w14:paraId="1303E1B1" w14:textId="77777777" w:rsidR="0010523F" w:rsidRPr="0010523F" w:rsidRDefault="0010523F" w:rsidP="0010523F">
            <w:pPr>
              <w:spacing w:line="180" w:lineRule="exact"/>
              <w:jc w:val="right"/>
              <w:rPr>
                <w:sz w:val="22"/>
                <w:szCs w:val="22"/>
                <w:highlight w:val="yellow"/>
                <w:lang w:val="es-AR" w:eastAsia="en-US"/>
              </w:rPr>
            </w:pPr>
          </w:p>
        </w:tc>
      </w:tr>
      <w:tr w:rsidR="0010523F" w:rsidRPr="0010523F" w14:paraId="7BA39064" w14:textId="77777777" w:rsidTr="00774E7E">
        <w:tc>
          <w:tcPr>
            <w:tcW w:w="3742" w:type="dxa"/>
            <w:gridSpan w:val="2"/>
            <w:vAlign w:val="bottom"/>
          </w:tcPr>
          <w:p w14:paraId="76CC4DA8" w14:textId="77777777" w:rsidR="0010523F" w:rsidRPr="0010523F" w:rsidRDefault="0010523F" w:rsidP="0010523F">
            <w:pPr>
              <w:rPr>
                <w:sz w:val="22"/>
                <w:szCs w:val="22"/>
                <w:lang w:val="es-AR" w:eastAsia="en-US"/>
              </w:rPr>
            </w:pPr>
            <w:r w:rsidRPr="0010523F">
              <w:rPr>
                <w:sz w:val="22"/>
                <w:szCs w:val="22"/>
                <w:lang w:val="es-AR" w:eastAsia="en-US"/>
              </w:rPr>
              <w:t>Efecto de la variación de los tipos de cambio sobre el efectivo</w:t>
            </w:r>
          </w:p>
        </w:tc>
        <w:tc>
          <w:tcPr>
            <w:tcW w:w="1191" w:type="dxa"/>
            <w:vAlign w:val="bottom"/>
          </w:tcPr>
          <w:p w14:paraId="16CC2AF5" w14:textId="77777777" w:rsidR="0010523F" w:rsidRPr="0010523F" w:rsidRDefault="0010523F" w:rsidP="0010523F">
            <w:pPr>
              <w:tabs>
                <w:tab w:val="decimal" w:pos="1012"/>
              </w:tabs>
              <w:ind w:left="-169" w:right="-92"/>
              <w:jc w:val="both"/>
              <w:rPr>
                <w:sz w:val="22"/>
                <w:szCs w:val="22"/>
                <w:u w:val="single"/>
                <w:lang w:val="es-AR" w:eastAsia="en-US"/>
              </w:rPr>
            </w:pPr>
            <w:r w:rsidRPr="0010523F">
              <w:rPr>
                <w:sz w:val="22"/>
                <w:szCs w:val="22"/>
                <w:u w:val="single"/>
                <w:lang w:val="es-AR" w:eastAsia="en-US"/>
              </w:rPr>
              <w:t xml:space="preserve">   7.891</w:t>
            </w:r>
          </w:p>
        </w:tc>
        <w:tc>
          <w:tcPr>
            <w:tcW w:w="1191" w:type="dxa"/>
            <w:vAlign w:val="bottom"/>
          </w:tcPr>
          <w:p w14:paraId="3198B579" w14:textId="77777777" w:rsidR="0010523F" w:rsidRPr="0010523F" w:rsidRDefault="0010523F" w:rsidP="0010523F">
            <w:pPr>
              <w:ind w:left="-169"/>
              <w:jc w:val="right"/>
              <w:rPr>
                <w:sz w:val="22"/>
                <w:szCs w:val="22"/>
                <w:highlight w:val="yellow"/>
                <w:u w:val="single"/>
                <w:lang w:val="es-AR" w:eastAsia="en-US"/>
              </w:rPr>
            </w:pPr>
            <w:r w:rsidRPr="0010523F">
              <w:rPr>
                <w:sz w:val="22"/>
                <w:szCs w:val="22"/>
                <w:u w:val="single"/>
                <w:lang w:val="es-AR" w:eastAsia="en-US"/>
              </w:rPr>
              <w:t xml:space="preserve">   4.564</w:t>
            </w:r>
          </w:p>
        </w:tc>
        <w:tc>
          <w:tcPr>
            <w:tcW w:w="1191" w:type="dxa"/>
            <w:vAlign w:val="bottom"/>
          </w:tcPr>
          <w:p w14:paraId="4A76ACD6" w14:textId="77777777" w:rsidR="0010523F" w:rsidRPr="0010523F" w:rsidRDefault="0010523F" w:rsidP="0010523F">
            <w:pPr>
              <w:ind w:left="-169" w:right="77"/>
              <w:jc w:val="right"/>
              <w:rPr>
                <w:sz w:val="22"/>
                <w:szCs w:val="22"/>
                <w:highlight w:val="yellow"/>
                <w:u w:val="single"/>
                <w:lang w:val="es-AR" w:eastAsia="en-US"/>
              </w:rPr>
            </w:pPr>
            <w:r w:rsidRPr="0010523F">
              <w:rPr>
                <w:sz w:val="22"/>
                <w:szCs w:val="22"/>
                <w:u w:val="single"/>
                <w:lang w:val="es-AR" w:eastAsia="en-US"/>
              </w:rPr>
              <w:t xml:space="preserve">     229</w:t>
            </w:r>
          </w:p>
        </w:tc>
        <w:tc>
          <w:tcPr>
            <w:tcW w:w="1191" w:type="dxa"/>
            <w:vAlign w:val="bottom"/>
          </w:tcPr>
          <w:p w14:paraId="45D16B54" w14:textId="77777777" w:rsidR="0010523F" w:rsidRPr="0010523F" w:rsidRDefault="0010523F" w:rsidP="0010523F">
            <w:pPr>
              <w:ind w:left="-169" w:right="45"/>
              <w:jc w:val="right"/>
              <w:rPr>
                <w:sz w:val="22"/>
                <w:szCs w:val="22"/>
                <w:highlight w:val="yellow"/>
                <w:u w:val="single"/>
                <w:lang w:val="es-AR" w:eastAsia="en-US"/>
              </w:rPr>
            </w:pPr>
            <w:r w:rsidRPr="0010523F">
              <w:rPr>
                <w:sz w:val="22"/>
                <w:szCs w:val="22"/>
                <w:u w:val="single"/>
                <w:lang w:val="es-AR" w:eastAsia="en-US"/>
              </w:rPr>
              <w:t xml:space="preserve">      186</w:t>
            </w:r>
          </w:p>
        </w:tc>
        <w:tc>
          <w:tcPr>
            <w:tcW w:w="1191" w:type="dxa"/>
            <w:gridSpan w:val="2"/>
            <w:shd w:val="clear" w:color="auto" w:fill="auto"/>
            <w:vAlign w:val="bottom"/>
          </w:tcPr>
          <w:p w14:paraId="0E0F4A56" w14:textId="77777777" w:rsidR="0010523F" w:rsidRPr="0010523F" w:rsidRDefault="0010523F" w:rsidP="0010523F">
            <w:pPr>
              <w:ind w:left="-169"/>
              <w:jc w:val="right"/>
              <w:rPr>
                <w:sz w:val="22"/>
                <w:szCs w:val="22"/>
                <w:highlight w:val="yellow"/>
                <w:u w:val="single"/>
                <w:lang w:val="es-AR" w:eastAsia="en-US"/>
              </w:rPr>
            </w:pPr>
            <w:r w:rsidRPr="0010523F">
              <w:rPr>
                <w:sz w:val="22"/>
                <w:szCs w:val="22"/>
                <w:u w:val="single"/>
                <w:lang w:val="es-AR" w:eastAsia="en-US"/>
              </w:rPr>
              <w:t xml:space="preserve">        27</w:t>
            </w:r>
          </w:p>
        </w:tc>
      </w:tr>
      <w:tr w:rsidR="0010523F" w:rsidRPr="0010523F" w14:paraId="7CBFD602" w14:textId="77777777" w:rsidTr="00774E7E">
        <w:trPr>
          <w:trHeight w:val="113"/>
        </w:trPr>
        <w:tc>
          <w:tcPr>
            <w:tcW w:w="3742" w:type="dxa"/>
            <w:gridSpan w:val="2"/>
            <w:vAlign w:val="bottom"/>
          </w:tcPr>
          <w:p w14:paraId="4CE753A6" w14:textId="77777777" w:rsidR="0010523F" w:rsidRPr="0010523F" w:rsidRDefault="0010523F" w:rsidP="0010523F">
            <w:pPr>
              <w:spacing w:line="180" w:lineRule="exact"/>
              <w:rPr>
                <w:sz w:val="22"/>
                <w:szCs w:val="22"/>
                <w:lang w:val="es-AR" w:eastAsia="en-US"/>
              </w:rPr>
            </w:pPr>
          </w:p>
        </w:tc>
        <w:tc>
          <w:tcPr>
            <w:tcW w:w="1191" w:type="dxa"/>
            <w:vAlign w:val="bottom"/>
          </w:tcPr>
          <w:p w14:paraId="6180E2F1" w14:textId="77777777" w:rsidR="0010523F" w:rsidRPr="0010523F" w:rsidRDefault="0010523F" w:rsidP="0010523F">
            <w:pPr>
              <w:tabs>
                <w:tab w:val="decimal" w:pos="1012"/>
              </w:tabs>
              <w:spacing w:line="180" w:lineRule="exact"/>
              <w:ind w:left="-169" w:right="-92"/>
              <w:jc w:val="both"/>
              <w:rPr>
                <w:sz w:val="22"/>
                <w:szCs w:val="22"/>
                <w:lang w:val="es-AR" w:eastAsia="en-US"/>
              </w:rPr>
            </w:pPr>
          </w:p>
        </w:tc>
        <w:tc>
          <w:tcPr>
            <w:tcW w:w="1191" w:type="dxa"/>
            <w:vAlign w:val="bottom"/>
          </w:tcPr>
          <w:p w14:paraId="288F1703" w14:textId="77777777" w:rsidR="0010523F" w:rsidRPr="0010523F" w:rsidRDefault="0010523F" w:rsidP="0010523F">
            <w:pPr>
              <w:spacing w:line="180" w:lineRule="exact"/>
              <w:ind w:left="-169"/>
              <w:jc w:val="right"/>
              <w:rPr>
                <w:sz w:val="22"/>
                <w:szCs w:val="22"/>
                <w:highlight w:val="yellow"/>
                <w:lang w:val="es-AR" w:eastAsia="en-US"/>
              </w:rPr>
            </w:pPr>
          </w:p>
        </w:tc>
        <w:tc>
          <w:tcPr>
            <w:tcW w:w="1191" w:type="dxa"/>
            <w:vAlign w:val="bottom"/>
          </w:tcPr>
          <w:p w14:paraId="1472914E" w14:textId="77777777" w:rsidR="0010523F" w:rsidRPr="0010523F" w:rsidRDefault="0010523F" w:rsidP="0010523F">
            <w:pPr>
              <w:spacing w:line="180" w:lineRule="exact"/>
              <w:ind w:left="-169" w:right="77"/>
              <w:jc w:val="right"/>
              <w:rPr>
                <w:sz w:val="22"/>
                <w:szCs w:val="22"/>
                <w:highlight w:val="yellow"/>
                <w:lang w:val="es-AR" w:eastAsia="en-US"/>
              </w:rPr>
            </w:pPr>
          </w:p>
        </w:tc>
        <w:tc>
          <w:tcPr>
            <w:tcW w:w="1191" w:type="dxa"/>
            <w:vAlign w:val="bottom"/>
          </w:tcPr>
          <w:p w14:paraId="0A3D0E31" w14:textId="77777777" w:rsidR="0010523F" w:rsidRPr="0010523F" w:rsidRDefault="0010523F" w:rsidP="0010523F">
            <w:pPr>
              <w:spacing w:line="180" w:lineRule="exact"/>
              <w:ind w:left="-169" w:right="45"/>
              <w:jc w:val="right"/>
              <w:rPr>
                <w:sz w:val="22"/>
                <w:szCs w:val="22"/>
                <w:highlight w:val="yellow"/>
                <w:lang w:val="es-AR" w:eastAsia="en-US"/>
              </w:rPr>
            </w:pPr>
          </w:p>
        </w:tc>
        <w:tc>
          <w:tcPr>
            <w:tcW w:w="1191" w:type="dxa"/>
            <w:gridSpan w:val="2"/>
            <w:shd w:val="clear" w:color="auto" w:fill="auto"/>
            <w:vAlign w:val="bottom"/>
          </w:tcPr>
          <w:p w14:paraId="635631C2" w14:textId="77777777" w:rsidR="0010523F" w:rsidRPr="0010523F" w:rsidRDefault="0010523F" w:rsidP="0010523F">
            <w:pPr>
              <w:spacing w:line="180" w:lineRule="exact"/>
              <w:ind w:left="-169"/>
              <w:jc w:val="right"/>
              <w:rPr>
                <w:sz w:val="22"/>
                <w:szCs w:val="22"/>
                <w:highlight w:val="yellow"/>
                <w:lang w:val="es-AR" w:eastAsia="en-US"/>
              </w:rPr>
            </w:pPr>
          </w:p>
        </w:tc>
      </w:tr>
      <w:tr w:rsidR="0010523F" w:rsidRPr="0010523F" w14:paraId="76345881" w14:textId="77777777" w:rsidTr="00774E7E">
        <w:tc>
          <w:tcPr>
            <w:tcW w:w="3742" w:type="dxa"/>
            <w:gridSpan w:val="2"/>
            <w:vAlign w:val="bottom"/>
          </w:tcPr>
          <w:p w14:paraId="66821890" w14:textId="77777777" w:rsidR="0010523F" w:rsidRPr="0010523F" w:rsidRDefault="0010523F" w:rsidP="0010523F">
            <w:pPr>
              <w:rPr>
                <w:sz w:val="22"/>
                <w:szCs w:val="22"/>
                <w:lang w:val="es-AR" w:eastAsia="en-US"/>
              </w:rPr>
            </w:pPr>
            <w:r w:rsidRPr="0010523F">
              <w:rPr>
                <w:sz w:val="22"/>
                <w:szCs w:val="22"/>
                <w:lang w:val="es-AR" w:eastAsia="en-US"/>
              </w:rPr>
              <w:t>Total neto de efectivo (aplicado) generado durante el período</w:t>
            </w:r>
          </w:p>
        </w:tc>
        <w:tc>
          <w:tcPr>
            <w:tcW w:w="1191" w:type="dxa"/>
            <w:vAlign w:val="bottom"/>
          </w:tcPr>
          <w:p w14:paraId="27F546AC" w14:textId="77777777" w:rsidR="0010523F" w:rsidRPr="0010523F" w:rsidRDefault="0010523F" w:rsidP="0010523F">
            <w:pPr>
              <w:tabs>
                <w:tab w:val="decimal" w:pos="1012"/>
              </w:tabs>
              <w:ind w:left="-169" w:right="-92"/>
              <w:jc w:val="both"/>
              <w:rPr>
                <w:sz w:val="22"/>
                <w:szCs w:val="22"/>
                <w:u w:val="double"/>
                <w:lang w:val="es-AR" w:eastAsia="en-US"/>
              </w:rPr>
            </w:pPr>
            <w:r w:rsidRPr="0010523F">
              <w:rPr>
                <w:sz w:val="22"/>
                <w:szCs w:val="22"/>
                <w:lang w:val="es-AR" w:eastAsia="en-US"/>
              </w:rPr>
              <w:t>(</w:t>
            </w:r>
            <w:r w:rsidRPr="0010523F">
              <w:rPr>
                <w:sz w:val="22"/>
                <w:szCs w:val="22"/>
                <w:u w:val="double"/>
                <w:lang w:val="es-AR" w:eastAsia="en-US"/>
              </w:rPr>
              <w:t xml:space="preserve">  4.171</w:t>
            </w:r>
            <w:r w:rsidRPr="0010523F">
              <w:rPr>
                <w:sz w:val="22"/>
                <w:szCs w:val="22"/>
                <w:lang w:val="es-AR" w:eastAsia="en-US"/>
              </w:rPr>
              <w:t>)</w:t>
            </w:r>
          </w:p>
        </w:tc>
        <w:tc>
          <w:tcPr>
            <w:tcW w:w="1191" w:type="dxa"/>
            <w:vAlign w:val="bottom"/>
          </w:tcPr>
          <w:p w14:paraId="07A4FFB7" w14:textId="77777777" w:rsidR="0010523F" w:rsidRPr="0010523F" w:rsidRDefault="0010523F" w:rsidP="0010523F">
            <w:pPr>
              <w:ind w:left="-169"/>
              <w:jc w:val="right"/>
              <w:rPr>
                <w:sz w:val="22"/>
                <w:szCs w:val="22"/>
                <w:highlight w:val="yellow"/>
                <w:u w:val="double"/>
                <w:lang w:val="es-AR" w:eastAsia="en-US"/>
              </w:rPr>
            </w:pPr>
            <w:r w:rsidRPr="0010523F">
              <w:rPr>
                <w:sz w:val="22"/>
                <w:szCs w:val="22"/>
                <w:u w:val="double"/>
                <w:lang w:val="es-AR" w:eastAsia="en-US"/>
              </w:rPr>
              <w:t>21.858</w:t>
            </w:r>
          </w:p>
        </w:tc>
        <w:tc>
          <w:tcPr>
            <w:tcW w:w="1191" w:type="dxa"/>
            <w:vAlign w:val="bottom"/>
          </w:tcPr>
          <w:p w14:paraId="5FF2D10B" w14:textId="77777777" w:rsidR="0010523F" w:rsidRPr="0010523F" w:rsidRDefault="0010523F" w:rsidP="0010523F">
            <w:pPr>
              <w:ind w:left="-169" w:right="77"/>
              <w:jc w:val="right"/>
              <w:rPr>
                <w:sz w:val="22"/>
                <w:szCs w:val="22"/>
                <w:highlight w:val="yellow"/>
                <w:u w:val="double"/>
                <w:lang w:val="es-AR" w:eastAsia="en-US"/>
              </w:rPr>
            </w:pPr>
            <w:r w:rsidRPr="0010523F">
              <w:rPr>
                <w:sz w:val="22"/>
                <w:szCs w:val="22"/>
                <w:lang w:val="es-AR" w:eastAsia="en-US"/>
              </w:rPr>
              <w:t xml:space="preserve"> (</w:t>
            </w:r>
            <w:r w:rsidRPr="0010523F">
              <w:rPr>
                <w:sz w:val="22"/>
                <w:szCs w:val="22"/>
                <w:u w:val="double"/>
                <w:lang w:val="es-AR" w:eastAsia="en-US"/>
              </w:rPr>
              <w:t xml:space="preserve">    716</w:t>
            </w:r>
            <w:r w:rsidRPr="0010523F">
              <w:rPr>
                <w:sz w:val="22"/>
                <w:szCs w:val="22"/>
                <w:lang w:val="es-AR" w:eastAsia="en-US"/>
              </w:rPr>
              <w:t>)</w:t>
            </w:r>
          </w:p>
        </w:tc>
        <w:tc>
          <w:tcPr>
            <w:tcW w:w="1191" w:type="dxa"/>
            <w:vAlign w:val="bottom"/>
          </w:tcPr>
          <w:p w14:paraId="014A6A5E" w14:textId="77777777" w:rsidR="0010523F" w:rsidRPr="0010523F" w:rsidRDefault="0010523F" w:rsidP="0010523F">
            <w:pPr>
              <w:ind w:left="-169" w:right="45"/>
              <w:jc w:val="right"/>
              <w:rPr>
                <w:sz w:val="22"/>
                <w:szCs w:val="22"/>
                <w:highlight w:val="yellow"/>
                <w:lang w:val="es-AR" w:eastAsia="en-US"/>
              </w:rPr>
            </w:pPr>
            <w:r w:rsidRPr="0010523F">
              <w:rPr>
                <w:sz w:val="22"/>
                <w:szCs w:val="22"/>
                <w:lang w:val="es-AR" w:eastAsia="en-US"/>
              </w:rPr>
              <w:t>(</w:t>
            </w:r>
            <w:r w:rsidRPr="0010523F">
              <w:rPr>
                <w:sz w:val="22"/>
                <w:szCs w:val="22"/>
                <w:u w:val="double"/>
                <w:lang w:val="es-AR" w:eastAsia="en-US"/>
              </w:rPr>
              <w:t xml:space="preserve">   3.067</w:t>
            </w:r>
            <w:r w:rsidRPr="0010523F">
              <w:rPr>
                <w:sz w:val="22"/>
                <w:szCs w:val="22"/>
                <w:lang w:val="es-AR" w:eastAsia="en-US"/>
              </w:rPr>
              <w:t>)</w:t>
            </w:r>
          </w:p>
        </w:tc>
        <w:tc>
          <w:tcPr>
            <w:tcW w:w="1191" w:type="dxa"/>
            <w:gridSpan w:val="2"/>
            <w:shd w:val="clear" w:color="auto" w:fill="auto"/>
            <w:vAlign w:val="bottom"/>
          </w:tcPr>
          <w:p w14:paraId="1EDF43AF" w14:textId="77777777" w:rsidR="0010523F" w:rsidRPr="0010523F" w:rsidRDefault="0010523F" w:rsidP="0010523F">
            <w:pPr>
              <w:ind w:left="-169"/>
              <w:jc w:val="right"/>
              <w:rPr>
                <w:sz w:val="22"/>
                <w:szCs w:val="22"/>
                <w:u w:val="double"/>
                <w:lang w:val="es-AR" w:eastAsia="en-US"/>
              </w:rPr>
            </w:pPr>
            <w:r w:rsidRPr="0010523F">
              <w:rPr>
                <w:sz w:val="22"/>
                <w:szCs w:val="22"/>
                <w:u w:val="double"/>
                <w:lang w:val="es-AR" w:eastAsia="en-US"/>
              </w:rPr>
              <w:t xml:space="preserve">      122</w:t>
            </w:r>
          </w:p>
        </w:tc>
      </w:tr>
    </w:tbl>
    <w:p w14:paraId="51344097" w14:textId="77777777" w:rsidR="0010523F" w:rsidRPr="0010523F" w:rsidRDefault="0010523F" w:rsidP="0010523F">
      <w:pPr>
        <w:tabs>
          <w:tab w:val="decimal" w:pos="8647"/>
        </w:tabs>
        <w:spacing w:line="220" w:lineRule="exact"/>
        <w:jc w:val="both"/>
        <w:rPr>
          <w:b/>
          <w:szCs w:val="20"/>
          <w:lang w:val="es-AR" w:eastAsia="en-US"/>
        </w:rPr>
      </w:pPr>
    </w:p>
    <w:p w14:paraId="5C9EBC7E" w14:textId="77777777" w:rsidR="0010523F" w:rsidRPr="0010523F" w:rsidRDefault="0010523F" w:rsidP="0010523F">
      <w:pPr>
        <w:tabs>
          <w:tab w:val="decimal" w:pos="8647"/>
        </w:tabs>
        <w:spacing w:line="220" w:lineRule="exact"/>
        <w:jc w:val="both"/>
        <w:rPr>
          <w:b/>
          <w:szCs w:val="20"/>
          <w:lang w:val="es-AR" w:eastAsia="en-US"/>
        </w:rPr>
      </w:pPr>
      <w:r w:rsidRPr="0010523F">
        <w:rPr>
          <w:b/>
          <w:szCs w:val="20"/>
          <w:lang w:val="es-AR" w:eastAsia="en-US"/>
        </w:rPr>
        <w:br w:type="page"/>
      </w:r>
    </w:p>
    <w:p w14:paraId="50B20D3B" w14:textId="77777777" w:rsidR="0010523F" w:rsidRPr="0010523F" w:rsidRDefault="0010523F" w:rsidP="0010523F">
      <w:pPr>
        <w:tabs>
          <w:tab w:val="decimal" w:pos="8647"/>
        </w:tabs>
        <w:spacing w:line="220" w:lineRule="exact"/>
        <w:jc w:val="both"/>
        <w:rPr>
          <w:b/>
          <w:lang w:val="es-AR" w:eastAsia="en-US"/>
        </w:rPr>
      </w:pPr>
      <w:r w:rsidRPr="0010523F">
        <w:rPr>
          <w:b/>
          <w:lang w:val="es-AR" w:eastAsia="en-US"/>
        </w:rPr>
        <w:t>5. Datos estadísticos</w:t>
      </w:r>
    </w:p>
    <w:p w14:paraId="59B27A02" w14:textId="77777777" w:rsidR="0010523F" w:rsidRPr="0010523F" w:rsidRDefault="0010523F" w:rsidP="0010523F">
      <w:pPr>
        <w:tabs>
          <w:tab w:val="decimal" w:pos="8647"/>
        </w:tabs>
        <w:spacing w:line="220" w:lineRule="exact"/>
        <w:jc w:val="both"/>
        <w:rPr>
          <w:b/>
          <w:lang w:val="es-AR" w:eastAsia="en-US"/>
        </w:rPr>
      </w:pPr>
    </w:p>
    <w:p w14:paraId="2EFF75F2" w14:textId="77777777" w:rsidR="0010523F" w:rsidRPr="0010523F" w:rsidRDefault="0010523F" w:rsidP="0010523F">
      <w:pPr>
        <w:tabs>
          <w:tab w:val="decimal" w:pos="8647"/>
        </w:tabs>
        <w:spacing w:line="220" w:lineRule="exact"/>
        <w:jc w:val="both"/>
        <w:rPr>
          <w:b/>
          <w:lang w:val="es-AR" w:eastAsia="en-US"/>
        </w:rPr>
      </w:pPr>
      <w:r w:rsidRPr="0010523F">
        <w:rPr>
          <w:b/>
          <w:lang w:val="es-AR" w:eastAsia="en-US"/>
        </w:rPr>
        <w:t>5.1 Upstream (en unidades físicas)</w:t>
      </w:r>
    </w:p>
    <w:p w14:paraId="195C88E0" w14:textId="77777777" w:rsidR="0010523F" w:rsidRPr="0010523F" w:rsidRDefault="0010523F" w:rsidP="0010523F">
      <w:pPr>
        <w:tabs>
          <w:tab w:val="decimal" w:pos="8647"/>
        </w:tabs>
        <w:spacing w:line="220" w:lineRule="exact"/>
        <w:jc w:val="both"/>
        <w:rPr>
          <w:b/>
          <w:sz w:val="22"/>
          <w:szCs w:val="22"/>
          <w:lang w:val="es-AR" w:eastAsia="en-US"/>
        </w:rPr>
      </w:pPr>
    </w:p>
    <w:tbl>
      <w:tblPr>
        <w:tblW w:w="9923" w:type="dxa"/>
        <w:tblInd w:w="-34" w:type="dxa"/>
        <w:tblLayout w:type="fixed"/>
        <w:tblLook w:val="0000" w:firstRow="0" w:lastRow="0" w:firstColumn="0" w:lastColumn="0" w:noHBand="0" w:noVBand="0"/>
      </w:tblPr>
      <w:tblGrid>
        <w:gridCol w:w="2721"/>
        <w:gridCol w:w="1247"/>
        <w:gridCol w:w="236"/>
        <w:gridCol w:w="1247"/>
        <w:gridCol w:w="238"/>
        <w:gridCol w:w="1247"/>
        <w:gridCol w:w="236"/>
        <w:gridCol w:w="1247"/>
        <w:gridCol w:w="236"/>
        <w:gridCol w:w="1247"/>
        <w:gridCol w:w="21"/>
      </w:tblGrid>
      <w:tr w:rsidR="0010523F" w:rsidRPr="0010523F" w14:paraId="530AA229" w14:textId="77777777" w:rsidTr="00774E7E">
        <w:trPr>
          <w:trHeight w:val="247"/>
        </w:trPr>
        <w:tc>
          <w:tcPr>
            <w:tcW w:w="2721" w:type="dxa"/>
            <w:vAlign w:val="bottom"/>
          </w:tcPr>
          <w:p w14:paraId="0DFBC98D" w14:textId="77777777" w:rsidR="0010523F" w:rsidRPr="0010523F" w:rsidRDefault="0010523F" w:rsidP="0010523F">
            <w:pPr>
              <w:jc w:val="center"/>
              <w:rPr>
                <w:sz w:val="18"/>
                <w:szCs w:val="18"/>
                <w:lang w:val="es-AR" w:eastAsia="en-US"/>
              </w:rPr>
            </w:pPr>
          </w:p>
        </w:tc>
        <w:tc>
          <w:tcPr>
            <w:tcW w:w="7202" w:type="dxa"/>
            <w:gridSpan w:val="10"/>
            <w:tcBorders>
              <w:bottom w:val="single" w:sz="4" w:space="0" w:color="auto"/>
            </w:tcBorders>
            <w:vAlign w:val="bottom"/>
          </w:tcPr>
          <w:p w14:paraId="0F6FE757" w14:textId="77777777" w:rsidR="0010523F" w:rsidRPr="0010523F" w:rsidRDefault="0010523F" w:rsidP="0010523F">
            <w:pPr>
              <w:ind w:left="-108"/>
              <w:jc w:val="center"/>
              <w:rPr>
                <w:sz w:val="18"/>
                <w:szCs w:val="18"/>
                <w:lang w:val="es-AR" w:eastAsia="en-US"/>
              </w:rPr>
            </w:pPr>
            <w:r w:rsidRPr="0010523F">
              <w:rPr>
                <w:sz w:val="18"/>
                <w:szCs w:val="18"/>
                <w:lang w:val="es-AR" w:eastAsia="en-US"/>
              </w:rPr>
              <w:t>Por el período de nueve meses finalizado el</w:t>
            </w:r>
          </w:p>
        </w:tc>
      </w:tr>
      <w:tr w:rsidR="0010523F" w:rsidRPr="0010523F" w14:paraId="34378579" w14:textId="77777777" w:rsidTr="00774E7E">
        <w:trPr>
          <w:gridAfter w:val="1"/>
          <w:wAfter w:w="21" w:type="dxa"/>
        </w:trPr>
        <w:tc>
          <w:tcPr>
            <w:tcW w:w="2721" w:type="dxa"/>
            <w:vAlign w:val="bottom"/>
          </w:tcPr>
          <w:p w14:paraId="59FBE984" w14:textId="77777777" w:rsidR="0010523F" w:rsidRPr="0010523F" w:rsidRDefault="0010523F" w:rsidP="0010523F">
            <w:pPr>
              <w:keepNext/>
              <w:jc w:val="center"/>
              <w:outlineLvl w:val="5"/>
              <w:rPr>
                <w:sz w:val="18"/>
                <w:szCs w:val="18"/>
                <w:highlight w:val="yellow"/>
                <w:u w:val="single"/>
                <w:lang w:val="es-AR" w:eastAsia="en-US"/>
              </w:rPr>
            </w:pPr>
          </w:p>
        </w:tc>
        <w:tc>
          <w:tcPr>
            <w:tcW w:w="1247" w:type="dxa"/>
            <w:tcBorders>
              <w:top w:val="single" w:sz="4" w:space="0" w:color="auto"/>
              <w:bottom w:val="single" w:sz="4" w:space="0" w:color="auto"/>
            </w:tcBorders>
            <w:vAlign w:val="bottom"/>
          </w:tcPr>
          <w:p w14:paraId="303A5900" w14:textId="77777777" w:rsidR="0010523F" w:rsidRPr="0010523F" w:rsidRDefault="0010523F" w:rsidP="0010523F">
            <w:pPr>
              <w:ind w:left="-108"/>
              <w:jc w:val="center"/>
              <w:rPr>
                <w:sz w:val="18"/>
                <w:szCs w:val="18"/>
                <w:lang w:val="es-AR" w:eastAsia="en-US"/>
              </w:rPr>
            </w:pPr>
            <w:r w:rsidRPr="0010523F">
              <w:rPr>
                <w:sz w:val="18"/>
                <w:szCs w:val="18"/>
                <w:lang w:val="es-AR" w:eastAsia="en-US"/>
              </w:rPr>
              <w:t>30/09/2019</w:t>
            </w:r>
          </w:p>
        </w:tc>
        <w:tc>
          <w:tcPr>
            <w:tcW w:w="236" w:type="dxa"/>
            <w:tcBorders>
              <w:top w:val="single" w:sz="4" w:space="0" w:color="auto"/>
            </w:tcBorders>
            <w:vAlign w:val="bottom"/>
          </w:tcPr>
          <w:p w14:paraId="49752BFE" w14:textId="77777777" w:rsidR="0010523F" w:rsidRPr="0010523F" w:rsidRDefault="0010523F" w:rsidP="0010523F">
            <w:pPr>
              <w:ind w:left="-108"/>
              <w:jc w:val="center"/>
              <w:rPr>
                <w:sz w:val="18"/>
                <w:szCs w:val="18"/>
                <w:lang w:val="es-AR" w:eastAsia="en-US"/>
              </w:rPr>
            </w:pPr>
          </w:p>
        </w:tc>
        <w:tc>
          <w:tcPr>
            <w:tcW w:w="1247" w:type="dxa"/>
            <w:tcBorders>
              <w:top w:val="single" w:sz="4" w:space="0" w:color="auto"/>
              <w:bottom w:val="single" w:sz="4" w:space="0" w:color="auto"/>
            </w:tcBorders>
            <w:vAlign w:val="bottom"/>
          </w:tcPr>
          <w:p w14:paraId="2F2584B1" w14:textId="77777777" w:rsidR="0010523F" w:rsidRPr="0010523F" w:rsidRDefault="0010523F" w:rsidP="0010523F">
            <w:pPr>
              <w:ind w:left="-108"/>
              <w:jc w:val="center"/>
              <w:rPr>
                <w:sz w:val="18"/>
                <w:szCs w:val="18"/>
                <w:lang w:val="es-AR" w:eastAsia="en-US"/>
              </w:rPr>
            </w:pPr>
            <w:r w:rsidRPr="0010523F">
              <w:rPr>
                <w:sz w:val="18"/>
                <w:szCs w:val="18"/>
                <w:lang w:val="es-AR" w:eastAsia="en-US"/>
              </w:rPr>
              <w:t>30/09/2018</w:t>
            </w:r>
          </w:p>
        </w:tc>
        <w:tc>
          <w:tcPr>
            <w:tcW w:w="238" w:type="dxa"/>
            <w:tcBorders>
              <w:top w:val="single" w:sz="4" w:space="0" w:color="auto"/>
            </w:tcBorders>
            <w:vAlign w:val="bottom"/>
          </w:tcPr>
          <w:p w14:paraId="4D6056D6" w14:textId="77777777" w:rsidR="0010523F" w:rsidRPr="0010523F" w:rsidRDefault="0010523F" w:rsidP="0010523F">
            <w:pPr>
              <w:ind w:left="-108"/>
              <w:jc w:val="center"/>
              <w:rPr>
                <w:sz w:val="18"/>
                <w:szCs w:val="18"/>
                <w:highlight w:val="yellow"/>
                <w:lang w:val="es-AR" w:eastAsia="en-US"/>
              </w:rPr>
            </w:pPr>
          </w:p>
        </w:tc>
        <w:tc>
          <w:tcPr>
            <w:tcW w:w="1247" w:type="dxa"/>
            <w:tcBorders>
              <w:top w:val="single" w:sz="4" w:space="0" w:color="auto"/>
              <w:bottom w:val="single" w:sz="4" w:space="0" w:color="auto"/>
            </w:tcBorders>
            <w:vAlign w:val="bottom"/>
          </w:tcPr>
          <w:p w14:paraId="03F03619" w14:textId="77777777" w:rsidR="0010523F" w:rsidRPr="0010523F" w:rsidRDefault="0010523F" w:rsidP="0010523F">
            <w:pPr>
              <w:ind w:left="-108"/>
              <w:jc w:val="center"/>
              <w:rPr>
                <w:sz w:val="18"/>
                <w:szCs w:val="18"/>
                <w:lang w:val="es-AR" w:eastAsia="en-US"/>
              </w:rPr>
            </w:pPr>
            <w:r w:rsidRPr="0010523F">
              <w:rPr>
                <w:sz w:val="18"/>
                <w:szCs w:val="18"/>
                <w:lang w:val="es-AR" w:eastAsia="en-US"/>
              </w:rPr>
              <w:t>30/09/2017</w:t>
            </w:r>
          </w:p>
        </w:tc>
        <w:tc>
          <w:tcPr>
            <w:tcW w:w="236" w:type="dxa"/>
            <w:tcBorders>
              <w:top w:val="single" w:sz="4" w:space="0" w:color="auto"/>
            </w:tcBorders>
            <w:vAlign w:val="bottom"/>
          </w:tcPr>
          <w:p w14:paraId="31581534" w14:textId="77777777" w:rsidR="0010523F" w:rsidRPr="0010523F" w:rsidRDefault="0010523F" w:rsidP="0010523F">
            <w:pPr>
              <w:ind w:left="-108"/>
              <w:jc w:val="center"/>
              <w:rPr>
                <w:sz w:val="18"/>
                <w:szCs w:val="18"/>
                <w:lang w:val="es-AR" w:eastAsia="en-US"/>
              </w:rPr>
            </w:pPr>
          </w:p>
        </w:tc>
        <w:tc>
          <w:tcPr>
            <w:tcW w:w="1247" w:type="dxa"/>
            <w:tcBorders>
              <w:top w:val="single" w:sz="4" w:space="0" w:color="auto"/>
              <w:bottom w:val="single" w:sz="4" w:space="0" w:color="auto"/>
            </w:tcBorders>
            <w:vAlign w:val="bottom"/>
          </w:tcPr>
          <w:p w14:paraId="1B32479B" w14:textId="77777777" w:rsidR="0010523F" w:rsidRPr="0010523F" w:rsidRDefault="0010523F" w:rsidP="0010523F">
            <w:pPr>
              <w:ind w:left="-108"/>
              <w:jc w:val="center"/>
              <w:rPr>
                <w:sz w:val="18"/>
                <w:szCs w:val="18"/>
                <w:lang w:val="es-AR" w:eastAsia="en-US"/>
              </w:rPr>
            </w:pPr>
            <w:r w:rsidRPr="0010523F">
              <w:rPr>
                <w:sz w:val="18"/>
                <w:szCs w:val="18"/>
                <w:lang w:val="es-AR" w:eastAsia="en-US"/>
              </w:rPr>
              <w:t>30/09/2016</w:t>
            </w:r>
          </w:p>
        </w:tc>
        <w:tc>
          <w:tcPr>
            <w:tcW w:w="236" w:type="dxa"/>
            <w:tcBorders>
              <w:top w:val="single" w:sz="4" w:space="0" w:color="auto"/>
            </w:tcBorders>
            <w:vAlign w:val="bottom"/>
          </w:tcPr>
          <w:p w14:paraId="72F1C55F" w14:textId="77777777" w:rsidR="0010523F" w:rsidRPr="0010523F" w:rsidRDefault="0010523F" w:rsidP="0010523F">
            <w:pPr>
              <w:ind w:left="-108"/>
              <w:jc w:val="center"/>
              <w:rPr>
                <w:sz w:val="18"/>
                <w:szCs w:val="18"/>
                <w:lang w:val="es-AR" w:eastAsia="en-US"/>
              </w:rPr>
            </w:pPr>
          </w:p>
        </w:tc>
        <w:tc>
          <w:tcPr>
            <w:tcW w:w="1247" w:type="dxa"/>
            <w:tcBorders>
              <w:top w:val="single" w:sz="4" w:space="0" w:color="auto"/>
              <w:bottom w:val="single" w:sz="4" w:space="0" w:color="auto"/>
            </w:tcBorders>
            <w:vAlign w:val="bottom"/>
          </w:tcPr>
          <w:p w14:paraId="402DB2F7" w14:textId="77777777" w:rsidR="0010523F" w:rsidRPr="0010523F" w:rsidRDefault="0010523F" w:rsidP="0010523F">
            <w:pPr>
              <w:ind w:left="-108"/>
              <w:jc w:val="center"/>
              <w:rPr>
                <w:sz w:val="18"/>
                <w:szCs w:val="18"/>
                <w:lang w:val="es-AR" w:eastAsia="en-US"/>
              </w:rPr>
            </w:pPr>
            <w:r w:rsidRPr="0010523F">
              <w:rPr>
                <w:sz w:val="18"/>
                <w:szCs w:val="18"/>
                <w:lang w:val="es-AR" w:eastAsia="en-US"/>
              </w:rPr>
              <w:t>30/09/2015</w:t>
            </w:r>
          </w:p>
        </w:tc>
      </w:tr>
      <w:tr w:rsidR="0010523F" w:rsidRPr="0010523F" w14:paraId="7474FCB8" w14:textId="77777777" w:rsidTr="00774E7E">
        <w:trPr>
          <w:gridAfter w:val="1"/>
          <w:wAfter w:w="21" w:type="dxa"/>
        </w:trPr>
        <w:tc>
          <w:tcPr>
            <w:tcW w:w="2721" w:type="dxa"/>
            <w:vAlign w:val="bottom"/>
          </w:tcPr>
          <w:p w14:paraId="51084155" w14:textId="77777777" w:rsidR="0010523F" w:rsidRPr="0010523F" w:rsidRDefault="0010523F" w:rsidP="0010523F">
            <w:pPr>
              <w:jc w:val="both"/>
              <w:rPr>
                <w:sz w:val="18"/>
                <w:szCs w:val="18"/>
                <w:highlight w:val="yellow"/>
                <w:lang w:val="es-AR" w:eastAsia="en-US"/>
              </w:rPr>
            </w:pPr>
          </w:p>
        </w:tc>
        <w:tc>
          <w:tcPr>
            <w:tcW w:w="1247" w:type="dxa"/>
            <w:tcBorders>
              <w:top w:val="single" w:sz="4" w:space="0" w:color="auto"/>
              <w:bottom w:val="single" w:sz="4" w:space="0" w:color="auto"/>
            </w:tcBorders>
            <w:vAlign w:val="bottom"/>
          </w:tcPr>
          <w:p w14:paraId="44BF3391" w14:textId="77777777" w:rsidR="0010523F" w:rsidRPr="0010523F" w:rsidRDefault="0010523F" w:rsidP="0010523F">
            <w:pPr>
              <w:ind w:left="-108"/>
              <w:jc w:val="center"/>
              <w:rPr>
                <w:sz w:val="18"/>
                <w:szCs w:val="18"/>
                <w:lang w:val="es-AR" w:eastAsia="en-US"/>
              </w:rPr>
            </w:pPr>
            <w:r w:rsidRPr="0010523F">
              <w:rPr>
                <w:sz w:val="18"/>
                <w:szCs w:val="18"/>
                <w:lang w:val="es-AR" w:eastAsia="en-US"/>
              </w:rPr>
              <w:t>en m3</w:t>
            </w:r>
          </w:p>
        </w:tc>
        <w:tc>
          <w:tcPr>
            <w:tcW w:w="236" w:type="dxa"/>
            <w:vAlign w:val="bottom"/>
          </w:tcPr>
          <w:p w14:paraId="762A2BC5" w14:textId="77777777" w:rsidR="0010523F" w:rsidRPr="0010523F" w:rsidRDefault="0010523F" w:rsidP="0010523F">
            <w:pPr>
              <w:ind w:left="-108"/>
              <w:jc w:val="center"/>
              <w:rPr>
                <w:sz w:val="18"/>
                <w:szCs w:val="18"/>
                <w:lang w:val="es-AR" w:eastAsia="en-US"/>
              </w:rPr>
            </w:pPr>
          </w:p>
        </w:tc>
        <w:tc>
          <w:tcPr>
            <w:tcW w:w="1247" w:type="dxa"/>
            <w:tcBorders>
              <w:top w:val="single" w:sz="4" w:space="0" w:color="auto"/>
              <w:bottom w:val="single" w:sz="4" w:space="0" w:color="auto"/>
            </w:tcBorders>
            <w:vAlign w:val="bottom"/>
          </w:tcPr>
          <w:p w14:paraId="4ADE2C90" w14:textId="77777777" w:rsidR="0010523F" w:rsidRPr="0010523F" w:rsidRDefault="0010523F" w:rsidP="0010523F">
            <w:pPr>
              <w:ind w:left="-108"/>
              <w:jc w:val="center"/>
              <w:rPr>
                <w:sz w:val="18"/>
                <w:szCs w:val="18"/>
                <w:lang w:val="es-AR" w:eastAsia="en-US"/>
              </w:rPr>
            </w:pPr>
            <w:r w:rsidRPr="0010523F">
              <w:rPr>
                <w:sz w:val="18"/>
                <w:szCs w:val="18"/>
                <w:lang w:val="es-AR" w:eastAsia="en-US"/>
              </w:rPr>
              <w:t>en m3</w:t>
            </w:r>
          </w:p>
        </w:tc>
        <w:tc>
          <w:tcPr>
            <w:tcW w:w="238" w:type="dxa"/>
            <w:vAlign w:val="bottom"/>
          </w:tcPr>
          <w:p w14:paraId="48605DDD" w14:textId="77777777" w:rsidR="0010523F" w:rsidRPr="0010523F" w:rsidRDefault="0010523F" w:rsidP="0010523F">
            <w:pPr>
              <w:ind w:left="-108"/>
              <w:jc w:val="center"/>
              <w:rPr>
                <w:sz w:val="18"/>
                <w:szCs w:val="18"/>
                <w:highlight w:val="yellow"/>
                <w:lang w:val="es-AR" w:eastAsia="en-US"/>
              </w:rPr>
            </w:pPr>
          </w:p>
        </w:tc>
        <w:tc>
          <w:tcPr>
            <w:tcW w:w="1247" w:type="dxa"/>
            <w:tcBorders>
              <w:top w:val="single" w:sz="4" w:space="0" w:color="auto"/>
              <w:bottom w:val="single" w:sz="4" w:space="0" w:color="auto"/>
            </w:tcBorders>
            <w:vAlign w:val="bottom"/>
          </w:tcPr>
          <w:p w14:paraId="33FDC10D" w14:textId="77777777" w:rsidR="0010523F" w:rsidRPr="0010523F" w:rsidRDefault="0010523F" w:rsidP="0010523F">
            <w:pPr>
              <w:ind w:left="-108"/>
              <w:jc w:val="center"/>
              <w:rPr>
                <w:sz w:val="18"/>
                <w:szCs w:val="18"/>
                <w:lang w:val="es-AR" w:eastAsia="en-US"/>
              </w:rPr>
            </w:pPr>
            <w:r w:rsidRPr="0010523F">
              <w:rPr>
                <w:sz w:val="18"/>
                <w:szCs w:val="18"/>
                <w:lang w:val="es-AR" w:eastAsia="en-US"/>
              </w:rPr>
              <w:t>en m3</w:t>
            </w:r>
          </w:p>
        </w:tc>
        <w:tc>
          <w:tcPr>
            <w:tcW w:w="236" w:type="dxa"/>
            <w:vAlign w:val="bottom"/>
          </w:tcPr>
          <w:p w14:paraId="28E3DA6E" w14:textId="77777777" w:rsidR="0010523F" w:rsidRPr="0010523F" w:rsidRDefault="0010523F" w:rsidP="0010523F">
            <w:pPr>
              <w:ind w:left="-108"/>
              <w:jc w:val="center"/>
              <w:rPr>
                <w:sz w:val="18"/>
                <w:szCs w:val="18"/>
                <w:lang w:val="es-AR" w:eastAsia="en-US"/>
              </w:rPr>
            </w:pPr>
          </w:p>
        </w:tc>
        <w:tc>
          <w:tcPr>
            <w:tcW w:w="1247" w:type="dxa"/>
            <w:tcBorders>
              <w:top w:val="single" w:sz="4" w:space="0" w:color="auto"/>
              <w:bottom w:val="single" w:sz="4" w:space="0" w:color="auto"/>
            </w:tcBorders>
            <w:vAlign w:val="bottom"/>
          </w:tcPr>
          <w:p w14:paraId="483F651C" w14:textId="77777777" w:rsidR="0010523F" w:rsidRPr="0010523F" w:rsidRDefault="0010523F" w:rsidP="0010523F">
            <w:pPr>
              <w:ind w:left="-108"/>
              <w:jc w:val="center"/>
              <w:rPr>
                <w:sz w:val="18"/>
                <w:szCs w:val="18"/>
                <w:lang w:val="es-AR" w:eastAsia="en-US"/>
              </w:rPr>
            </w:pPr>
            <w:r w:rsidRPr="0010523F">
              <w:rPr>
                <w:sz w:val="18"/>
                <w:szCs w:val="18"/>
                <w:lang w:val="es-AR" w:eastAsia="en-US"/>
              </w:rPr>
              <w:t>en m3</w:t>
            </w:r>
          </w:p>
        </w:tc>
        <w:tc>
          <w:tcPr>
            <w:tcW w:w="236" w:type="dxa"/>
            <w:vAlign w:val="bottom"/>
          </w:tcPr>
          <w:p w14:paraId="4316B106" w14:textId="77777777" w:rsidR="0010523F" w:rsidRPr="0010523F" w:rsidRDefault="0010523F" w:rsidP="0010523F">
            <w:pPr>
              <w:ind w:left="-108"/>
              <w:jc w:val="center"/>
              <w:rPr>
                <w:sz w:val="18"/>
                <w:szCs w:val="18"/>
                <w:lang w:val="es-AR" w:eastAsia="en-US"/>
              </w:rPr>
            </w:pPr>
          </w:p>
        </w:tc>
        <w:tc>
          <w:tcPr>
            <w:tcW w:w="1247" w:type="dxa"/>
            <w:tcBorders>
              <w:top w:val="single" w:sz="4" w:space="0" w:color="auto"/>
              <w:bottom w:val="single" w:sz="4" w:space="0" w:color="auto"/>
            </w:tcBorders>
            <w:vAlign w:val="bottom"/>
          </w:tcPr>
          <w:p w14:paraId="58920274" w14:textId="77777777" w:rsidR="0010523F" w:rsidRPr="0010523F" w:rsidRDefault="0010523F" w:rsidP="0010523F">
            <w:pPr>
              <w:ind w:left="-108"/>
              <w:jc w:val="center"/>
              <w:rPr>
                <w:sz w:val="18"/>
                <w:szCs w:val="18"/>
                <w:lang w:val="es-AR" w:eastAsia="en-US"/>
              </w:rPr>
            </w:pPr>
            <w:r w:rsidRPr="0010523F">
              <w:rPr>
                <w:sz w:val="18"/>
                <w:szCs w:val="18"/>
                <w:lang w:val="es-AR" w:eastAsia="en-US"/>
              </w:rPr>
              <w:t>en m3</w:t>
            </w:r>
          </w:p>
        </w:tc>
      </w:tr>
      <w:tr w:rsidR="0010523F" w:rsidRPr="0010523F" w14:paraId="6A503F8D" w14:textId="77777777" w:rsidTr="00774E7E">
        <w:trPr>
          <w:gridAfter w:val="1"/>
          <w:wAfter w:w="21" w:type="dxa"/>
        </w:trPr>
        <w:tc>
          <w:tcPr>
            <w:tcW w:w="2721" w:type="dxa"/>
            <w:vAlign w:val="bottom"/>
          </w:tcPr>
          <w:p w14:paraId="47102437" w14:textId="77777777" w:rsidR="0010523F" w:rsidRPr="0010523F" w:rsidRDefault="0010523F" w:rsidP="0010523F">
            <w:pPr>
              <w:rPr>
                <w:sz w:val="18"/>
                <w:szCs w:val="18"/>
                <w:lang w:val="es-AR" w:eastAsia="en-US"/>
              </w:rPr>
            </w:pPr>
            <w:r w:rsidRPr="0010523F">
              <w:rPr>
                <w:sz w:val="18"/>
                <w:szCs w:val="18"/>
                <w:lang w:val="es-AR" w:eastAsia="en-US"/>
              </w:rPr>
              <w:t xml:space="preserve">Producción de petróleo crudo (1) </w:t>
            </w:r>
          </w:p>
        </w:tc>
        <w:tc>
          <w:tcPr>
            <w:tcW w:w="1247" w:type="dxa"/>
            <w:tcBorders>
              <w:top w:val="single" w:sz="4" w:space="0" w:color="auto"/>
            </w:tcBorders>
            <w:vAlign w:val="bottom"/>
          </w:tcPr>
          <w:p w14:paraId="514A381B" w14:textId="77777777" w:rsidR="0010523F" w:rsidRPr="0010523F" w:rsidRDefault="0010523F" w:rsidP="0010523F">
            <w:pPr>
              <w:spacing w:line="180" w:lineRule="exact"/>
              <w:ind w:left="-108"/>
              <w:jc w:val="right"/>
              <w:rPr>
                <w:sz w:val="18"/>
                <w:szCs w:val="18"/>
                <w:lang w:val="es-AR" w:eastAsia="en-US"/>
              </w:rPr>
            </w:pPr>
            <w:r w:rsidRPr="0010523F">
              <w:rPr>
                <w:sz w:val="18"/>
                <w:szCs w:val="18"/>
                <w:lang w:val="es-AR" w:eastAsia="en-US"/>
              </w:rPr>
              <w:t>4.568.831</w:t>
            </w:r>
          </w:p>
        </w:tc>
        <w:tc>
          <w:tcPr>
            <w:tcW w:w="236" w:type="dxa"/>
            <w:vAlign w:val="bottom"/>
          </w:tcPr>
          <w:p w14:paraId="275753C1" w14:textId="77777777" w:rsidR="0010523F" w:rsidRPr="0010523F" w:rsidRDefault="0010523F" w:rsidP="0010523F">
            <w:pPr>
              <w:tabs>
                <w:tab w:val="decimal" w:pos="1026"/>
              </w:tabs>
              <w:spacing w:line="180" w:lineRule="exact"/>
              <w:ind w:left="-108"/>
              <w:jc w:val="both"/>
              <w:rPr>
                <w:sz w:val="18"/>
                <w:szCs w:val="18"/>
                <w:highlight w:val="yellow"/>
                <w:lang w:val="es-AR" w:eastAsia="en-US"/>
              </w:rPr>
            </w:pPr>
          </w:p>
        </w:tc>
        <w:tc>
          <w:tcPr>
            <w:tcW w:w="1247" w:type="dxa"/>
            <w:tcBorders>
              <w:top w:val="single" w:sz="4" w:space="0" w:color="auto"/>
            </w:tcBorders>
            <w:vAlign w:val="bottom"/>
          </w:tcPr>
          <w:p w14:paraId="5C34D4D3" w14:textId="77777777" w:rsidR="0010523F" w:rsidRPr="0010523F" w:rsidRDefault="0010523F" w:rsidP="0010523F">
            <w:pPr>
              <w:spacing w:line="180" w:lineRule="exact"/>
              <w:ind w:left="-108"/>
              <w:jc w:val="right"/>
              <w:rPr>
                <w:sz w:val="18"/>
                <w:szCs w:val="18"/>
                <w:highlight w:val="yellow"/>
                <w:lang w:val="es-AR" w:eastAsia="en-US"/>
              </w:rPr>
            </w:pPr>
            <w:r w:rsidRPr="0010523F">
              <w:rPr>
                <w:sz w:val="18"/>
                <w:szCs w:val="18"/>
                <w:lang w:val="es-AR" w:eastAsia="en-US"/>
              </w:rPr>
              <w:t>4.426.526</w:t>
            </w:r>
          </w:p>
        </w:tc>
        <w:tc>
          <w:tcPr>
            <w:tcW w:w="238" w:type="dxa"/>
            <w:vAlign w:val="bottom"/>
          </w:tcPr>
          <w:p w14:paraId="71D587F4" w14:textId="77777777" w:rsidR="0010523F" w:rsidRPr="0010523F" w:rsidRDefault="0010523F" w:rsidP="0010523F">
            <w:pPr>
              <w:tabs>
                <w:tab w:val="decimal" w:pos="1026"/>
              </w:tabs>
              <w:spacing w:line="180" w:lineRule="exact"/>
              <w:ind w:left="-108"/>
              <w:jc w:val="both"/>
              <w:rPr>
                <w:sz w:val="18"/>
                <w:szCs w:val="18"/>
                <w:highlight w:val="yellow"/>
                <w:lang w:val="es-AR" w:eastAsia="en-US"/>
              </w:rPr>
            </w:pPr>
          </w:p>
        </w:tc>
        <w:tc>
          <w:tcPr>
            <w:tcW w:w="1247" w:type="dxa"/>
            <w:tcBorders>
              <w:top w:val="single" w:sz="4" w:space="0" w:color="auto"/>
            </w:tcBorders>
            <w:vAlign w:val="bottom"/>
          </w:tcPr>
          <w:p w14:paraId="27CD8BA9" w14:textId="77777777" w:rsidR="0010523F" w:rsidRPr="0010523F" w:rsidRDefault="0010523F" w:rsidP="0010523F">
            <w:pPr>
              <w:spacing w:line="180" w:lineRule="exact"/>
              <w:ind w:left="-108"/>
              <w:jc w:val="right"/>
              <w:rPr>
                <w:sz w:val="18"/>
                <w:szCs w:val="18"/>
                <w:highlight w:val="yellow"/>
                <w:lang w:val="es-AR" w:eastAsia="en-US"/>
              </w:rPr>
            </w:pPr>
            <w:r w:rsidRPr="0010523F">
              <w:rPr>
                <w:sz w:val="18"/>
                <w:szCs w:val="18"/>
                <w:lang w:val="es-AR" w:eastAsia="en-US"/>
              </w:rPr>
              <w:t>4.223.088</w:t>
            </w:r>
          </w:p>
        </w:tc>
        <w:tc>
          <w:tcPr>
            <w:tcW w:w="236" w:type="dxa"/>
            <w:vAlign w:val="bottom"/>
          </w:tcPr>
          <w:p w14:paraId="13739B27" w14:textId="77777777" w:rsidR="0010523F" w:rsidRPr="0010523F" w:rsidRDefault="0010523F" w:rsidP="0010523F">
            <w:pPr>
              <w:tabs>
                <w:tab w:val="decimal" w:pos="1026"/>
              </w:tabs>
              <w:spacing w:line="180" w:lineRule="exact"/>
              <w:ind w:left="-108"/>
              <w:jc w:val="both"/>
              <w:rPr>
                <w:sz w:val="18"/>
                <w:szCs w:val="18"/>
                <w:highlight w:val="yellow"/>
                <w:lang w:val="es-AR" w:eastAsia="en-US"/>
              </w:rPr>
            </w:pPr>
          </w:p>
        </w:tc>
        <w:tc>
          <w:tcPr>
            <w:tcW w:w="1247" w:type="dxa"/>
            <w:tcBorders>
              <w:top w:val="single" w:sz="4" w:space="0" w:color="auto"/>
            </w:tcBorders>
            <w:vAlign w:val="bottom"/>
          </w:tcPr>
          <w:p w14:paraId="5513E8F4" w14:textId="77777777" w:rsidR="0010523F" w:rsidRPr="0010523F" w:rsidRDefault="0010523F" w:rsidP="0010523F">
            <w:pPr>
              <w:spacing w:line="180" w:lineRule="exact"/>
              <w:ind w:left="-108"/>
              <w:jc w:val="right"/>
              <w:rPr>
                <w:sz w:val="18"/>
                <w:szCs w:val="18"/>
                <w:highlight w:val="yellow"/>
                <w:lang w:val="es-AR" w:eastAsia="en-US"/>
              </w:rPr>
            </w:pPr>
            <w:r w:rsidRPr="0010523F">
              <w:rPr>
                <w:sz w:val="18"/>
                <w:szCs w:val="18"/>
                <w:lang w:val="es-AR" w:eastAsia="en-US"/>
              </w:rPr>
              <w:t>4.367.306</w:t>
            </w:r>
          </w:p>
        </w:tc>
        <w:tc>
          <w:tcPr>
            <w:tcW w:w="236" w:type="dxa"/>
            <w:vAlign w:val="bottom"/>
          </w:tcPr>
          <w:p w14:paraId="77DCC4E9" w14:textId="77777777" w:rsidR="0010523F" w:rsidRPr="0010523F" w:rsidRDefault="0010523F" w:rsidP="0010523F">
            <w:pPr>
              <w:tabs>
                <w:tab w:val="decimal" w:pos="1026"/>
              </w:tabs>
              <w:spacing w:line="180" w:lineRule="exact"/>
              <w:ind w:left="-108"/>
              <w:jc w:val="both"/>
              <w:rPr>
                <w:sz w:val="18"/>
                <w:szCs w:val="18"/>
                <w:highlight w:val="yellow"/>
                <w:lang w:val="es-AR" w:eastAsia="en-US"/>
              </w:rPr>
            </w:pPr>
          </w:p>
        </w:tc>
        <w:tc>
          <w:tcPr>
            <w:tcW w:w="1247" w:type="dxa"/>
            <w:tcBorders>
              <w:top w:val="single" w:sz="4" w:space="0" w:color="auto"/>
            </w:tcBorders>
            <w:vAlign w:val="bottom"/>
          </w:tcPr>
          <w:p w14:paraId="6B7B0A8A" w14:textId="77777777" w:rsidR="0010523F" w:rsidRPr="0010523F" w:rsidRDefault="0010523F" w:rsidP="0010523F">
            <w:pPr>
              <w:spacing w:line="180" w:lineRule="exact"/>
              <w:ind w:left="-108"/>
              <w:jc w:val="right"/>
              <w:rPr>
                <w:sz w:val="18"/>
                <w:szCs w:val="18"/>
                <w:highlight w:val="yellow"/>
                <w:lang w:val="es-AR" w:eastAsia="en-US"/>
              </w:rPr>
            </w:pPr>
            <w:r w:rsidRPr="0010523F">
              <w:rPr>
                <w:sz w:val="18"/>
                <w:szCs w:val="18"/>
                <w:lang w:val="es-AR" w:eastAsia="en-US"/>
              </w:rPr>
              <w:t>4.557.909</w:t>
            </w:r>
          </w:p>
        </w:tc>
      </w:tr>
      <w:tr w:rsidR="0010523F" w:rsidRPr="0010523F" w14:paraId="5327A3B8" w14:textId="77777777" w:rsidTr="00774E7E">
        <w:trPr>
          <w:gridAfter w:val="1"/>
          <w:wAfter w:w="21" w:type="dxa"/>
        </w:trPr>
        <w:tc>
          <w:tcPr>
            <w:tcW w:w="2721" w:type="dxa"/>
            <w:vAlign w:val="bottom"/>
          </w:tcPr>
          <w:p w14:paraId="23A2E1F6" w14:textId="77777777" w:rsidR="0010523F" w:rsidRPr="0010523F" w:rsidRDefault="0010523F" w:rsidP="0010523F">
            <w:pPr>
              <w:jc w:val="both"/>
              <w:rPr>
                <w:sz w:val="18"/>
                <w:szCs w:val="18"/>
                <w:lang w:val="es-AR" w:eastAsia="en-US"/>
              </w:rPr>
            </w:pPr>
            <w:r w:rsidRPr="0010523F">
              <w:rPr>
                <w:sz w:val="18"/>
                <w:szCs w:val="18"/>
                <w:lang w:val="es-AR" w:eastAsia="en-US"/>
              </w:rPr>
              <w:t>Venta de petróleo crudo:</w:t>
            </w:r>
          </w:p>
        </w:tc>
        <w:tc>
          <w:tcPr>
            <w:tcW w:w="1247" w:type="dxa"/>
            <w:vAlign w:val="bottom"/>
          </w:tcPr>
          <w:p w14:paraId="3AC356C3" w14:textId="77777777" w:rsidR="0010523F" w:rsidRPr="0010523F" w:rsidRDefault="0010523F" w:rsidP="0010523F">
            <w:pPr>
              <w:spacing w:line="180" w:lineRule="exact"/>
              <w:ind w:left="-108"/>
              <w:jc w:val="right"/>
              <w:rPr>
                <w:sz w:val="18"/>
                <w:szCs w:val="18"/>
                <w:lang w:val="es-AR" w:eastAsia="en-US"/>
              </w:rPr>
            </w:pPr>
          </w:p>
        </w:tc>
        <w:tc>
          <w:tcPr>
            <w:tcW w:w="236" w:type="dxa"/>
            <w:vAlign w:val="bottom"/>
          </w:tcPr>
          <w:p w14:paraId="72E439BF" w14:textId="77777777" w:rsidR="0010523F" w:rsidRPr="0010523F" w:rsidRDefault="0010523F" w:rsidP="0010523F">
            <w:pPr>
              <w:tabs>
                <w:tab w:val="decimal" w:pos="1026"/>
              </w:tabs>
              <w:spacing w:line="180" w:lineRule="exact"/>
              <w:ind w:left="-108"/>
              <w:jc w:val="both"/>
              <w:rPr>
                <w:sz w:val="18"/>
                <w:szCs w:val="18"/>
                <w:highlight w:val="yellow"/>
                <w:lang w:val="es-AR" w:eastAsia="en-US"/>
              </w:rPr>
            </w:pPr>
          </w:p>
        </w:tc>
        <w:tc>
          <w:tcPr>
            <w:tcW w:w="1247" w:type="dxa"/>
            <w:vAlign w:val="bottom"/>
          </w:tcPr>
          <w:p w14:paraId="38885C75" w14:textId="77777777" w:rsidR="0010523F" w:rsidRPr="0010523F" w:rsidRDefault="0010523F" w:rsidP="0010523F">
            <w:pPr>
              <w:spacing w:line="180" w:lineRule="exact"/>
              <w:ind w:left="-108"/>
              <w:jc w:val="right"/>
              <w:rPr>
                <w:sz w:val="18"/>
                <w:szCs w:val="18"/>
                <w:highlight w:val="yellow"/>
                <w:lang w:val="es-AR" w:eastAsia="en-US"/>
              </w:rPr>
            </w:pPr>
          </w:p>
        </w:tc>
        <w:tc>
          <w:tcPr>
            <w:tcW w:w="238" w:type="dxa"/>
            <w:vAlign w:val="bottom"/>
          </w:tcPr>
          <w:p w14:paraId="624FC8F2" w14:textId="77777777" w:rsidR="0010523F" w:rsidRPr="0010523F" w:rsidRDefault="0010523F" w:rsidP="0010523F">
            <w:pPr>
              <w:tabs>
                <w:tab w:val="decimal" w:pos="1026"/>
              </w:tabs>
              <w:spacing w:line="180" w:lineRule="exact"/>
              <w:ind w:left="-108"/>
              <w:jc w:val="both"/>
              <w:rPr>
                <w:sz w:val="18"/>
                <w:szCs w:val="18"/>
                <w:highlight w:val="yellow"/>
                <w:lang w:val="es-AR" w:eastAsia="en-US"/>
              </w:rPr>
            </w:pPr>
          </w:p>
        </w:tc>
        <w:tc>
          <w:tcPr>
            <w:tcW w:w="1247" w:type="dxa"/>
            <w:vAlign w:val="bottom"/>
          </w:tcPr>
          <w:p w14:paraId="29DCE0F4" w14:textId="77777777" w:rsidR="0010523F" w:rsidRPr="0010523F" w:rsidRDefault="0010523F" w:rsidP="0010523F">
            <w:pPr>
              <w:spacing w:line="180" w:lineRule="exact"/>
              <w:ind w:left="-108"/>
              <w:jc w:val="right"/>
              <w:rPr>
                <w:sz w:val="18"/>
                <w:szCs w:val="18"/>
                <w:highlight w:val="yellow"/>
                <w:lang w:val="es-AR" w:eastAsia="en-US"/>
              </w:rPr>
            </w:pPr>
          </w:p>
        </w:tc>
        <w:tc>
          <w:tcPr>
            <w:tcW w:w="236" w:type="dxa"/>
            <w:vAlign w:val="bottom"/>
          </w:tcPr>
          <w:p w14:paraId="19AEBFD8" w14:textId="77777777" w:rsidR="0010523F" w:rsidRPr="0010523F" w:rsidRDefault="0010523F" w:rsidP="0010523F">
            <w:pPr>
              <w:tabs>
                <w:tab w:val="decimal" w:pos="1026"/>
              </w:tabs>
              <w:spacing w:line="180" w:lineRule="exact"/>
              <w:ind w:left="-108"/>
              <w:jc w:val="both"/>
              <w:rPr>
                <w:sz w:val="18"/>
                <w:szCs w:val="18"/>
                <w:highlight w:val="yellow"/>
                <w:lang w:val="es-AR" w:eastAsia="en-US"/>
              </w:rPr>
            </w:pPr>
          </w:p>
        </w:tc>
        <w:tc>
          <w:tcPr>
            <w:tcW w:w="1247" w:type="dxa"/>
            <w:vAlign w:val="bottom"/>
          </w:tcPr>
          <w:p w14:paraId="600274B8" w14:textId="77777777" w:rsidR="0010523F" w:rsidRPr="0010523F" w:rsidRDefault="0010523F" w:rsidP="0010523F">
            <w:pPr>
              <w:spacing w:line="180" w:lineRule="exact"/>
              <w:ind w:left="-108"/>
              <w:jc w:val="right"/>
              <w:rPr>
                <w:sz w:val="18"/>
                <w:szCs w:val="18"/>
                <w:highlight w:val="yellow"/>
                <w:lang w:val="es-AR" w:eastAsia="en-US"/>
              </w:rPr>
            </w:pPr>
          </w:p>
        </w:tc>
        <w:tc>
          <w:tcPr>
            <w:tcW w:w="236" w:type="dxa"/>
            <w:vAlign w:val="bottom"/>
          </w:tcPr>
          <w:p w14:paraId="594499F9" w14:textId="77777777" w:rsidR="0010523F" w:rsidRPr="0010523F" w:rsidRDefault="0010523F" w:rsidP="0010523F">
            <w:pPr>
              <w:tabs>
                <w:tab w:val="decimal" w:pos="1026"/>
              </w:tabs>
              <w:spacing w:line="180" w:lineRule="exact"/>
              <w:ind w:left="-108"/>
              <w:jc w:val="both"/>
              <w:rPr>
                <w:sz w:val="18"/>
                <w:szCs w:val="18"/>
                <w:highlight w:val="yellow"/>
                <w:lang w:val="es-AR" w:eastAsia="en-US"/>
              </w:rPr>
            </w:pPr>
          </w:p>
        </w:tc>
        <w:tc>
          <w:tcPr>
            <w:tcW w:w="1247" w:type="dxa"/>
            <w:vAlign w:val="bottom"/>
          </w:tcPr>
          <w:p w14:paraId="37D3CB36" w14:textId="77777777" w:rsidR="0010523F" w:rsidRPr="0010523F" w:rsidRDefault="0010523F" w:rsidP="0010523F">
            <w:pPr>
              <w:spacing w:line="180" w:lineRule="exact"/>
              <w:ind w:left="-108"/>
              <w:jc w:val="right"/>
              <w:rPr>
                <w:sz w:val="18"/>
                <w:szCs w:val="18"/>
                <w:highlight w:val="yellow"/>
                <w:lang w:val="es-AR" w:eastAsia="en-US"/>
              </w:rPr>
            </w:pPr>
          </w:p>
        </w:tc>
      </w:tr>
      <w:tr w:rsidR="0010523F" w:rsidRPr="0010523F" w14:paraId="1F803354" w14:textId="77777777" w:rsidTr="00774E7E">
        <w:trPr>
          <w:gridAfter w:val="1"/>
          <w:wAfter w:w="21" w:type="dxa"/>
        </w:trPr>
        <w:tc>
          <w:tcPr>
            <w:tcW w:w="2721" w:type="dxa"/>
            <w:vAlign w:val="bottom"/>
          </w:tcPr>
          <w:p w14:paraId="32C0A02A" w14:textId="77777777" w:rsidR="0010523F" w:rsidRPr="0010523F" w:rsidRDefault="0010523F" w:rsidP="0010523F">
            <w:pPr>
              <w:jc w:val="both"/>
              <w:rPr>
                <w:sz w:val="18"/>
                <w:szCs w:val="18"/>
                <w:lang w:val="es-AR" w:eastAsia="en-US"/>
              </w:rPr>
            </w:pPr>
            <w:r w:rsidRPr="0010523F">
              <w:rPr>
                <w:sz w:val="18"/>
                <w:szCs w:val="18"/>
                <w:lang w:val="es-AR" w:eastAsia="en-US"/>
              </w:rPr>
              <w:t>(a) en el mercado local (2)</w:t>
            </w:r>
          </w:p>
        </w:tc>
        <w:tc>
          <w:tcPr>
            <w:tcW w:w="1247" w:type="dxa"/>
            <w:vAlign w:val="bottom"/>
          </w:tcPr>
          <w:p w14:paraId="22CD2854" w14:textId="77777777" w:rsidR="0010523F" w:rsidRPr="0010523F" w:rsidRDefault="0010523F" w:rsidP="0010523F">
            <w:pPr>
              <w:spacing w:line="180" w:lineRule="exact"/>
              <w:ind w:left="-108"/>
              <w:jc w:val="right"/>
              <w:rPr>
                <w:sz w:val="18"/>
                <w:szCs w:val="18"/>
                <w:lang w:val="es-AR" w:eastAsia="en-US"/>
              </w:rPr>
            </w:pPr>
            <w:r w:rsidRPr="0010523F">
              <w:rPr>
                <w:sz w:val="18"/>
                <w:szCs w:val="18"/>
                <w:lang w:val="es-AR" w:eastAsia="en-US"/>
              </w:rPr>
              <w:t>34.557</w:t>
            </w:r>
          </w:p>
        </w:tc>
        <w:tc>
          <w:tcPr>
            <w:tcW w:w="236" w:type="dxa"/>
            <w:vAlign w:val="bottom"/>
          </w:tcPr>
          <w:p w14:paraId="3390D36B"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560B6C7D" w14:textId="77777777" w:rsidR="0010523F" w:rsidRPr="0010523F" w:rsidRDefault="0010523F" w:rsidP="0010523F">
            <w:pPr>
              <w:spacing w:line="180" w:lineRule="exact"/>
              <w:ind w:left="-108"/>
              <w:jc w:val="right"/>
              <w:rPr>
                <w:sz w:val="18"/>
                <w:szCs w:val="18"/>
                <w:highlight w:val="yellow"/>
                <w:lang w:val="es-AR" w:eastAsia="en-US"/>
              </w:rPr>
            </w:pPr>
            <w:r w:rsidRPr="0010523F">
              <w:rPr>
                <w:sz w:val="18"/>
                <w:szCs w:val="18"/>
                <w:lang w:val="es-AR" w:eastAsia="en-US"/>
              </w:rPr>
              <w:t>868.143</w:t>
            </w:r>
          </w:p>
        </w:tc>
        <w:tc>
          <w:tcPr>
            <w:tcW w:w="238" w:type="dxa"/>
            <w:vAlign w:val="bottom"/>
          </w:tcPr>
          <w:p w14:paraId="0F4DCF3B"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3713B96A" w14:textId="77777777" w:rsidR="0010523F" w:rsidRPr="0010523F" w:rsidRDefault="0010523F" w:rsidP="0010523F">
            <w:pPr>
              <w:spacing w:line="180" w:lineRule="exact"/>
              <w:ind w:left="-108"/>
              <w:jc w:val="right"/>
              <w:rPr>
                <w:sz w:val="18"/>
                <w:szCs w:val="18"/>
                <w:highlight w:val="yellow"/>
                <w:lang w:val="es-AR" w:eastAsia="en-US"/>
              </w:rPr>
            </w:pPr>
            <w:r w:rsidRPr="0010523F">
              <w:rPr>
                <w:sz w:val="18"/>
                <w:szCs w:val="18"/>
                <w:lang w:val="es-AR" w:eastAsia="en-US"/>
              </w:rPr>
              <w:t>3.512.735</w:t>
            </w:r>
          </w:p>
        </w:tc>
        <w:tc>
          <w:tcPr>
            <w:tcW w:w="236" w:type="dxa"/>
            <w:vAlign w:val="bottom"/>
          </w:tcPr>
          <w:p w14:paraId="0ABCED14"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0CDFDC61" w14:textId="77777777" w:rsidR="0010523F" w:rsidRPr="0010523F" w:rsidRDefault="0010523F" w:rsidP="0010523F">
            <w:pPr>
              <w:ind w:left="-108"/>
              <w:jc w:val="right"/>
              <w:rPr>
                <w:sz w:val="18"/>
                <w:szCs w:val="18"/>
                <w:highlight w:val="yellow"/>
                <w:lang w:val="es-AR" w:eastAsia="en-US"/>
              </w:rPr>
            </w:pPr>
            <w:r w:rsidRPr="0010523F">
              <w:rPr>
                <w:sz w:val="18"/>
                <w:szCs w:val="18"/>
                <w:lang w:val="es-AR" w:eastAsia="en-US"/>
              </w:rPr>
              <w:t>3.033.522</w:t>
            </w:r>
          </w:p>
        </w:tc>
        <w:tc>
          <w:tcPr>
            <w:tcW w:w="236" w:type="dxa"/>
            <w:vAlign w:val="bottom"/>
          </w:tcPr>
          <w:p w14:paraId="03162CFD"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04C89EC9" w14:textId="77777777" w:rsidR="0010523F" w:rsidRPr="0010523F" w:rsidRDefault="0010523F" w:rsidP="0010523F">
            <w:pPr>
              <w:ind w:left="-108"/>
              <w:jc w:val="right"/>
              <w:rPr>
                <w:sz w:val="18"/>
                <w:szCs w:val="18"/>
                <w:highlight w:val="yellow"/>
                <w:lang w:val="es-AR" w:eastAsia="en-US"/>
              </w:rPr>
            </w:pPr>
            <w:r w:rsidRPr="0010523F">
              <w:rPr>
                <w:sz w:val="18"/>
                <w:szCs w:val="18"/>
                <w:lang w:val="es-AR" w:eastAsia="en-US"/>
              </w:rPr>
              <w:t>3.098.259</w:t>
            </w:r>
          </w:p>
        </w:tc>
      </w:tr>
      <w:tr w:rsidR="0010523F" w:rsidRPr="0010523F" w14:paraId="77F85B14" w14:textId="77777777" w:rsidTr="00774E7E">
        <w:trPr>
          <w:gridAfter w:val="1"/>
          <w:wAfter w:w="21" w:type="dxa"/>
        </w:trPr>
        <w:tc>
          <w:tcPr>
            <w:tcW w:w="2721" w:type="dxa"/>
            <w:vAlign w:val="bottom"/>
          </w:tcPr>
          <w:p w14:paraId="143DF1BB" w14:textId="77777777" w:rsidR="0010523F" w:rsidRPr="0010523F" w:rsidRDefault="0010523F" w:rsidP="0010523F">
            <w:pPr>
              <w:jc w:val="both"/>
              <w:rPr>
                <w:sz w:val="18"/>
                <w:szCs w:val="18"/>
                <w:lang w:val="es-AR" w:eastAsia="en-US"/>
              </w:rPr>
            </w:pPr>
            <w:r w:rsidRPr="0010523F">
              <w:rPr>
                <w:sz w:val="18"/>
                <w:szCs w:val="18"/>
                <w:lang w:val="es-AR" w:eastAsia="en-US"/>
              </w:rPr>
              <w:t>(b) en el mercado externo</w:t>
            </w:r>
          </w:p>
        </w:tc>
        <w:tc>
          <w:tcPr>
            <w:tcW w:w="1247" w:type="dxa"/>
            <w:vAlign w:val="bottom"/>
          </w:tcPr>
          <w:p w14:paraId="276F3D75" w14:textId="77777777" w:rsidR="0010523F" w:rsidRPr="0010523F" w:rsidRDefault="0010523F" w:rsidP="0010523F">
            <w:pPr>
              <w:ind w:left="-108"/>
              <w:jc w:val="right"/>
              <w:rPr>
                <w:sz w:val="18"/>
                <w:szCs w:val="18"/>
                <w:u w:val="single"/>
                <w:lang w:val="es-AR" w:eastAsia="en-US"/>
              </w:rPr>
            </w:pPr>
            <w:r w:rsidRPr="0010523F">
              <w:rPr>
                <w:sz w:val="18"/>
                <w:szCs w:val="18"/>
                <w:u w:val="single"/>
                <w:lang w:val="es-AR" w:eastAsia="en-US"/>
              </w:rPr>
              <w:t xml:space="preserve"> 1.629.989</w:t>
            </w:r>
          </w:p>
        </w:tc>
        <w:tc>
          <w:tcPr>
            <w:tcW w:w="236" w:type="dxa"/>
            <w:vAlign w:val="bottom"/>
          </w:tcPr>
          <w:p w14:paraId="71957B45"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0EA6EC62" w14:textId="77777777" w:rsidR="0010523F" w:rsidRPr="0010523F" w:rsidRDefault="0010523F" w:rsidP="0010523F">
            <w:pPr>
              <w:ind w:left="-108"/>
              <w:jc w:val="right"/>
              <w:rPr>
                <w:sz w:val="18"/>
                <w:szCs w:val="18"/>
                <w:highlight w:val="yellow"/>
                <w:u w:val="single"/>
                <w:lang w:val="es-AR" w:eastAsia="en-US"/>
              </w:rPr>
            </w:pPr>
            <w:r w:rsidRPr="0010523F">
              <w:rPr>
                <w:sz w:val="18"/>
                <w:szCs w:val="18"/>
                <w:u w:val="single"/>
                <w:lang w:val="es-AR" w:eastAsia="en-US"/>
              </w:rPr>
              <w:t>1.867.572</w:t>
            </w:r>
          </w:p>
        </w:tc>
        <w:tc>
          <w:tcPr>
            <w:tcW w:w="238" w:type="dxa"/>
            <w:vAlign w:val="bottom"/>
          </w:tcPr>
          <w:p w14:paraId="34C73375"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590DF0C2" w14:textId="77777777" w:rsidR="0010523F" w:rsidRPr="0010523F" w:rsidRDefault="0010523F" w:rsidP="0010523F">
            <w:pPr>
              <w:ind w:left="-108"/>
              <w:jc w:val="right"/>
              <w:rPr>
                <w:sz w:val="18"/>
                <w:szCs w:val="18"/>
                <w:highlight w:val="yellow"/>
                <w:u w:val="single"/>
                <w:lang w:val="es-AR" w:eastAsia="en-US"/>
              </w:rPr>
            </w:pPr>
            <w:r w:rsidRPr="0010523F">
              <w:rPr>
                <w:sz w:val="18"/>
                <w:szCs w:val="18"/>
                <w:u w:val="single"/>
                <w:lang w:val="es-AR" w:eastAsia="en-US"/>
              </w:rPr>
              <w:t xml:space="preserve">   639.632</w:t>
            </w:r>
          </w:p>
        </w:tc>
        <w:tc>
          <w:tcPr>
            <w:tcW w:w="236" w:type="dxa"/>
            <w:vAlign w:val="bottom"/>
          </w:tcPr>
          <w:p w14:paraId="06DA39D7"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7CE9AE24" w14:textId="77777777" w:rsidR="0010523F" w:rsidRPr="0010523F" w:rsidRDefault="0010523F" w:rsidP="0010523F">
            <w:pPr>
              <w:ind w:left="-108"/>
              <w:jc w:val="right"/>
              <w:rPr>
                <w:sz w:val="18"/>
                <w:szCs w:val="18"/>
                <w:highlight w:val="yellow"/>
                <w:u w:val="single"/>
                <w:lang w:val="es-AR" w:eastAsia="en-US"/>
              </w:rPr>
            </w:pPr>
            <w:r w:rsidRPr="0010523F">
              <w:rPr>
                <w:sz w:val="18"/>
                <w:szCs w:val="18"/>
                <w:u w:val="single"/>
                <w:lang w:val="es-AR" w:eastAsia="en-US"/>
              </w:rPr>
              <w:t>1.424.540</w:t>
            </w:r>
          </w:p>
        </w:tc>
        <w:tc>
          <w:tcPr>
            <w:tcW w:w="236" w:type="dxa"/>
            <w:vAlign w:val="bottom"/>
          </w:tcPr>
          <w:p w14:paraId="2BCA8E65"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14C58126" w14:textId="77777777" w:rsidR="0010523F" w:rsidRPr="0010523F" w:rsidRDefault="0010523F" w:rsidP="0010523F">
            <w:pPr>
              <w:ind w:left="-108"/>
              <w:jc w:val="right"/>
              <w:rPr>
                <w:sz w:val="18"/>
                <w:szCs w:val="18"/>
                <w:highlight w:val="yellow"/>
                <w:u w:val="single"/>
                <w:lang w:val="es-AR" w:eastAsia="en-US"/>
              </w:rPr>
            </w:pPr>
            <w:r w:rsidRPr="0010523F">
              <w:rPr>
                <w:sz w:val="18"/>
                <w:szCs w:val="18"/>
                <w:u w:val="single"/>
                <w:lang w:val="es-AR" w:eastAsia="en-US"/>
              </w:rPr>
              <w:t>1.218.069</w:t>
            </w:r>
          </w:p>
        </w:tc>
      </w:tr>
      <w:tr w:rsidR="0010523F" w:rsidRPr="0010523F" w14:paraId="3B89F040" w14:textId="77777777" w:rsidTr="00774E7E">
        <w:trPr>
          <w:gridAfter w:val="1"/>
          <w:wAfter w:w="21" w:type="dxa"/>
        </w:trPr>
        <w:tc>
          <w:tcPr>
            <w:tcW w:w="2721" w:type="dxa"/>
            <w:vAlign w:val="bottom"/>
          </w:tcPr>
          <w:p w14:paraId="0DCB0B06" w14:textId="77777777" w:rsidR="0010523F" w:rsidRPr="0010523F" w:rsidRDefault="0010523F" w:rsidP="0010523F">
            <w:pPr>
              <w:jc w:val="both"/>
              <w:rPr>
                <w:sz w:val="18"/>
                <w:szCs w:val="18"/>
                <w:lang w:val="es-AR" w:eastAsia="en-US"/>
              </w:rPr>
            </w:pPr>
            <w:r w:rsidRPr="0010523F">
              <w:rPr>
                <w:sz w:val="18"/>
                <w:szCs w:val="18"/>
                <w:lang w:val="es-AR" w:eastAsia="en-US"/>
              </w:rPr>
              <w:t>Total de (a) + (b)</w:t>
            </w:r>
          </w:p>
        </w:tc>
        <w:tc>
          <w:tcPr>
            <w:tcW w:w="1247" w:type="dxa"/>
            <w:vAlign w:val="bottom"/>
          </w:tcPr>
          <w:p w14:paraId="4172A94A" w14:textId="77777777" w:rsidR="0010523F" w:rsidRPr="0010523F" w:rsidRDefault="0010523F" w:rsidP="0010523F">
            <w:pPr>
              <w:ind w:left="-108"/>
              <w:jc w:val="right"/>
              <w:rPr>
                <w:sz w:val="18"/>
                <w:szCs w:val="18"/>
                <w:u w:val="double"/>
                <w:lang w:val="es-AR" w:eastAsia="en-US"/>
              </w:rPr>
            </w:pPr>
            <w:r w:rsidRPr="0010523F">
              <w:rPr>
                <w:sz w:val="18"/>
                <w:szCs w:val="18"/>
                <w:u w:val="double"/>
                <w:lang w:val="es-AR" w:eastAsia="en-US"/>
              </w:rPr>
              <w:t xml:space="preserve"> 1.664.546</w:t>
            </w:r>
          </w:p>
        </w:tc>
        <w:tc>
          <w:tcPr>
            <w:tcW w:w="236" w:type="dxa"/>
            <w:vAlign w:val="bottom"/>
          </w:tcPr>
          <w:p w14:paraId="66D559FE"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21EA4482" w14:textId="77777777" w:rsidR="0010523F" w:rsidRPr="0010523F" w:rsidRDefault="0010523F" w:rsidP="0010523F">
            <w:pPr>
              <w:ind w:left="-108"/>
              <w:jc w:val="right"/>
              <w:rPr>
                <w:sz w:val="18"/>
                <w:szCs w:val="18"/>
                <w:highlight w:val="yellow"/>
                <w:u w:val="double"/>
                <w:lang w:val="es-AR" w:eastAsia="en-US"/>
              </w:rPr>
            </w:pPr>
            <w:r w:rsidRPr="0010523F">
              <w:rPr>
                <w:sz w:val="18"/>
                <w:szCs w:val="18"/>
                <w:u w:val="double"/>
                <w:lang w:val="es-AR" w:eastAsia="en-US"/>
              </w:rPr>
              <w:t>2.735.715</w:t>
            </w:r>
          </w:p>
        </w:tc>
        <w:tc>
          <w:tcPr>
            <w:tcW w:w="238" w:type="dxa"/>
            <w:vAlign w:val="bottom"/>
          </w:tcPr>
          <w:p w14:paraId="335303E6"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12C94BC6" w14:textId="77777777" w:rsidR="0010523F" w:rsidRPr="0010523F" w:rsidRDefault="0010523F" w:rsidP="0010523F">
            <w:pPr>
              <w:ind w:left="-108"/>
              <w:jc w:val="right"/>
              <w:rPr>
                <w:sz w:val="18"/>
                <w:szCs w:val="18"/>
                <w:highlight w:val="yellow"/>
                <w:u w:val="double"/>
                <w:lang w:val="es-AR" w:eastAsia="en-US"/>
              </w:rPr>
            </w:pPr>
            <w:r w:rsidRPr="0010523F">
              <w:rPr>
                <w:sz w:val="18"/>
                <w:szCs w:val="18"/>
                <w:u w:val="double"/>
                <w:lang w:val="es-AR" w:eastAsia="en-US"/>
              </w:rPr>
              <w:t>4.152.367</w:t>
            </w:r>
          </w:p>
        </w:tc>
        <w:tc>
          <w:tcPr>
            <w:tcW w:w="236" w:type="dxa"/>
            <w:vAlign w:val="bottom"/>
          </w:tcPr>
          <w:p w14:paraId="4F6CADC4"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175312F2" w14:textId="77777777" w:rsidR="0010523F" w:rsidRPr="0010523F" w:rsidRDefault="0010523F" w:rsidP="0010523F">
            <w:pPr>
              <w:ind w:left="-108"/>
              <w:jc w:val="right"/>
              <w:rPr>
                <w:sz w:val="18"/>
                <w:szCs w:val="18"/>
                <w:highlight w:val="yellow"/>
                <w:u w:val="double"/>
                <w:lang w:val="es-AR" w:eastAsia="en-US"/>
              </w:rPr>
            </w:pPr>
            <w:r w:rsidRPr="0010523F">
              <w:rPr>
                <w:sz w:val="18"/>
                <w:szCs w:val="18"/>
                <w:u w:val="double"/>
                <w:lang w:val="es-AR" w:eastAsia="en-US"/>
              </w:rPr>
              <w:t>4.458.062</w:t>
            </w:r>
          </w:p>
        </w:tc>
        <w:tc>
          <w:tcPr>
            <w:tcW w:w="236" w:type="dxa"/>
            <w:vAlign w:val="bottom"/>
          </w:tcPr>
          <w:p w14:paraId="690A801D" w14:textId="77777777" w:rsidR="0010523F" w:rsidRPr="0010523F" w:rsidRDefault="0010523F" w:rsidP="0010523F">
            <w:pPr>
              <w:tabs>
                <w:tab w:val="decimal" w:pos="1026"/>
              </w:tabs>
              <w:ind w:left="-108"/>
              <w:jc w:val="both"/>
              <w:rPr>
                <w:sz w:val="18"/>
                <w:szCs w:val="18"/>
                <w:highlight w:val="yellow"/>
                <w:u w:val="double"/>
                <w:lang w:val="es-AR" w:eastAsia="en-US"/>
              </w:rPr>
            </w:pPr>
          </w:p>
        </w:tc>
        <w:tc>
          <w:tcPr>
            <w:tcW w:w="1247" w:type="dxa"/>
            <w:vAlign w:val="bottom"/>
          </w:tcPr>
          <w:p w14:paraId="52E1CD33" w14:textId="77777777" w:rsidR="0010523F" w:rsidRPr="0010523F" w:rsidRDefault="0010523F" w:rsidP="0010523F">
            <w:pPr>
              <w:ind w:left="-108"/>
              <w:jc w:val="right"/>
              <w:rPr>
                <w:sz w:val="18"/>
                <w:szCs w:val="18"/>
                <w:highlight w:val="yellow"/>
                <w:u w:val="double"/>
                <w:lang w:val="es-AR" w:eastAsia="en-US"/>
              </w:rPr>
            </w:pPr>
            <w:r w:rsidRPr="0010523F">
              <w:rPr>
                <w:sz w:val="18"/>
                <w:szCs w:val="18"/>
                <w:u w:val="double"/>
                <w:lang w:val="es-AR" w:eastAsia="en-US"/>
              </w:rPr>
              <w:t>4.316.328</w:t>
            </w:r>
          </w:p>
        </w:tc>
      </w:tr>
      <w:tr w:rsidR="0010523F" w:rsidRPr="0010523F" w14:paraId="42B66F89" w14:textId="77777777" w:rsidTr="00774E7E">
        <w:trPr>
          <w:gridAfter w:val="1"/>
          <w:wAfter w:w="21" w:type="dxa"/>
        </w:trPr>
        <w:tc>
          <w:tcPr>
            <w:tcW w:w="2721" w:type="dxa"/>
            <w:vAlign w:val="bottom"/>
          </w:tcPr>
          <w:p w14:paraId="35D28F1B" w14:textId="77777777" w:rsidR="0010523F" w:rsidRPr="0010523F" w:rsidRDefault="0010523F" w:rsidP="0010523F">
            <w:pPr>
              <w:rPr>
                <w:sz w:val="18"/>
                <w:szCs w:val="18"/>
                <w:lang w:val="es-AR" w:eastAsia="en-US"/>
              </w:rPr>
            </w:pPr>
          </w:p>
        </w:tc>
        <w:tc>
          <w:tcPr>
            <w:tcW w:w="1247" w:type="dxa"/>
            <w:vAlign w:val="bottom"/>
          </w:tcPr>
          <w:p w14:paraId="69C8E010" w14:textId="77777777" w:rsidR="0010523F" w:rsidRPr="0010523F" w:rsidRDefault="0010523F" w:rsidP="0010523F">
            <w:pPr>
              <w:rPr>
                <w:sz w:val="18"/>
                <w:szCs w:val="18"/>
                <w:highlight w:val="yellow"/>
                <w:lang w:val="es-AR" w:eastAsia="en-US"/>
              </w:rPr>
            </w:pPr>
          </w:p>
        </w:tc>
        <w:tc>
          <w:tcPr>
            <w:tcW w:w="236" w:type="dxa"/>
            <w:vAlign w:val="bottom"/>
          </w:tcPr>
          <w:p w14:paraId="5A48BD2C" w14:textId="77777777" w:rsidR="0010523F" w:rsidRPr="0010523F" w:rsidRDefault="0010523F" w:rsidP="0010523F">
            <w:pPr>
              <w:rPr>
                <w:sz w:val="18"/>
                <w:szCs w:val="18"/>
                <w:highlight w:val="yellow"/>
                <w:lang w:val="es-AR" w:eastAsia="en-US"/>
              </w:rPr>
            </w:pPr>
          </w:p>
        </w:tc>
        <w:tc>
          <w:tcPr>
            <w:tcW w:w="1247" w:type="dxa"/>
            <w:vAlign w:val="bottom"/>
          </w:tcPr>
          <w:p w14:paraId="338E2863" w14:textId="77777777" w:rsidR="0010523F" w:rsidRPr="0010523F" w:rsidRDefault="0010523F" w:rsidP="0010523F">
            <w:pPr>
              <w:rPr>
                <w:sz w:val="18"/>
                <w:szCs w:val="18"/>
                <w:highlight w:val="yellow"/>
                <w:lang w:val="es-AR" w:eastAsia="en-US"/>
              </w:rPr>
            </w:pPr>
          </w:p>
        </w:tc>
        <w:tc>
          <w:tcPr>
            <w:tcW w:w="238" w:type="dxa"/>
            <w:vAlign w:val="bottom"/>
          </w:tcPr>
          <w:p w14:paraId="6FB02AEA" w14:textId="77777777" w:rsidR="0010523F" w:rsidRPr="0010523F" w:rsidRDefault="0010523F" w:rsidP="0010523F">
            <w:pPr>
              <w:rPr>
                <w:sz w:val="18"/>
                <w:szCs w:val="18"/>
                <w:highlight w:val="yellow"/>
                <w:lang w:val="es-AR" w:eastAsia="en-US"/>
              </w:rPr>
            </w:pPr>
          </w:p>
        </w:tc>
        <w:tc>
          <w:tcPr>
            <w:tcW w:w="1247" w:type="dxa"/>
            <w:vAlign w:val="bottom"/>
          </w:tcPr>
          <w:p w14:paraId="546B41C0" w14:textId="77777777" w:rsidR="0010523F" w:rsidRPr="0010523F" w:rsidRDefault="0010523F" w:rsidP="0010523F">
            <w:pPr>
              <w:rPr>
                <w:sz w:val="18"/>
                <w:szCs w:val="18"/>
                <w:highlight w:val="yellow"/>
                <w:lang w:val="es-AR" w:eastAsia="en-US"/>
              </w:rPr>
            </w:pPr>
          </w:p>
        </w:tc>
        <w:tc>
          <w:tcPr>
            <w:tcW w:w="236" w:type="dxa"/>
            <w:vAlign w:val="bottom"/>
          </w:tcPr>
          <w:p w14:paraId="31C64E93" w14:textId="77777777" w:rsidR="0010523F" w:rsidRPr="0010523F" w:rsidRDefault="0010523F" w:rsidP="0010523F">
            <w:pPr>
              <w:rPr>
                <w:sz w:val="18"/>
                <w:szCs w:val="18"/>
                <w:highlight w:val="yellow"/>
                <w:lang w:val="es-AR" w:eastAsia="en-US"/>
              </w:rPr>
            </w:pPr>
          </w:p>
        </w:tc>
        <w:tc>
          <w:tcPr>
            <w:tcW w:w="1247" w:type="dxa"/>
            <w:vAlign w:val="bottom"/>
          </w:tcPr>
          <w:p w14:paraId="1FC11F7E" w14:textId="77777777" w:rsidR="0010523F" w:rsidRPr="0010523F" w:rsidRDefault="0010523F" w:rsidP="0010523F">
            <w:pPr>
              <w:rPr>
                <w:sz w:val="18"/>
                <w:szCs w:val="18"/>
                <w:highlight w:val="yellow"/>
                <w:lang w:val="es-AR" w:eastAsia="en-US"/>
              </w:rPr>
            </w:pPr>
          </w:p>
        </w:tc>
        <w:tc>
          <w:tcPr>
            <w:tcW w:w="236" w:type="dxa"/>
            <w:vAlign w:val="bottom"/>
          </w:tcPr>
          <w:p w14:paraId="4EE1E031" w14:textId="77777777" w:rsidR="0010523F" w:rsidRPr="0010523F" w:rsidRDefault="0010523F" w:rsidP="0010523F">
            <w:pPr>
              <w:rPr>
                <w:sz w:val="18"/>
                <w:szCs w:val="18"/>
                <w:highlight w:val="yellow"/>
                <w:lang w:val="es-AR" w:eastAsia="en-US"/>
              </w:rPr>
            </w:pPr>
          </w:p>
        </w:tc>
        <w:tc>
          <w:tcPr>
            <w:tcW w:w="1247" w:type="dxa"/>
            <w:vAlign w:val="bottom"/>
          </w:tcPr>
          <w:p w14:paraId="4A629337" w14:textId="77777777" w:rsidR="0010523F" w:rsidRPr="0010523F" w:rsidRDefault="0010523F" w:rsidP="0010523F">
            <w:pPr>
              <w:rPr>
                <w:sz w:val="18"/>
                <w:szCs w:val="18"/>
                <w:highlight w:val="yellow"/>
                <w:lang w:val="es-AR" w:eastAsia="en-US"/>
              </w:rPr>
            </w:pPr>
          </w:p>
        </w:tc>
      </w:tr>
      <w:tr w:rsidR="0010523F" w:rsidRPr="0010523F" w14:paraId="3928B6C7" w14:textId="77777777" w:rsidTr="00774E7E">
        <w:trPr>
          <w:gridAfter w:val="1"/>
          <w:wAfter w:w="21" w:type="dxa"/>
        </w:trPr>
        <w:tc>
          <w:tcPr>
            <w:tcW w:w="2721" w:type="dxa"/>
            <w:vAlign w:val="bottom"/>
          </w:tcPr>
          <w:p w14:paraId="6BE1AA57" w14:textId="77777777" w:rsidR="0010523F" w:rsidRPr="0010523F" w:rsidRDefault="0010523F" w:rsidP="0010523F">
            <w:pPr>
              <w:jc w:val="both"/>
              <w:rPr>
                <w:sz w:val="18"/>
                <w:szCs w:val="18"/>
                <w:lang w:val="es-AR" w:eastAsia="en-US"/>
              </w:rPr>
            </w:pPr>
          </w:p>
        </w:tc>
        <w:tc>
          <w:tcPr>
            <w:tcW w:w="1247" w:type="dxa"/>
            <w:tcBorders>
              <w:bottom w:val="single" w:sz="4" w:space="0" w:color="auto"/>
            </w:tcBorders>
            <w:vAlign w:val="bottom"/>
          </w:tcPr>
          <w:p w14:paraId="4B50C810" w14:textId="77777777" w:rsidR="0010523F" w:rsidRPr="0010523F" w:rsidRDefault="0010523F" w:rsidP="0010523F">
            <w:pPr>
              <w:ind w:left="-108"/>
              <w:jc w:val="center"/>
              <w:rPr>
                <w:sz w:val="18"/>
                <w:szCs w:val="18"/>
                <w:lang w:val="es-AR" w:eastAsia="en-US"/>
              </w:rPr>
            </w:pPr>
            <w:r w:rsidRPr="0010523F">
              <w:rPr>
                <w:sz w:val="18"/>
                <w:szCs w:val="18"/>
                <w:lang w:val="es-AR" w:eastAsia="en-US"/>
              </w:rPr>
              <w:t>en miles de m3</w:t>
            </w:r>
          </w:p>
        </w:tc>
        <w:tc>
          <w:tcPr>
            <w:tcW w:w="236" w:type="dxa"/>
            <w:vAlign w:val="bottom"/>
          </w:tcPr>
          <w:p w14:paraId="7517DC69" w14:textId="77777777" w:rsidR="0010523F" w:rsidRPr="0010523F" w:rsidRDefault="0010523F" w:rsidP="0010523F">
            <w:pPr>
              <w:ind w:left="-108"/>
              <w:jc w:val="center"/>
              <w:rPr>
                <w:sz w:val="18"/>
                <w:szCs w:val="18"/>
                <w:highlight w:val="yellow"/>
                <w:lang w:val="es-AR" w:eastAsia="en-US"/>
              </w:rPr>
            </w:pPr>
          </w:p>
        </w:tc>
        <w:tc>
          <w:tcPr>
            <w:tcW w:w="1247" w:type="dxa"/>
            <w:tcBorders>
              <w:bottom w:val="single" w:sz="4" w:space="0" w:color="auto"/>
            </w:tcBorders>
            <w:vAlign w:val="bottom"/>
          </w:tcPr>
          <w:p w14:paraId="2F6F96BD" w14:textId="77777777" w:rsidR="0010523F" w:rsidRPr="0010523F" w:rsidRDefault="0010523F" w:rsidP="0010523F">
            <w:pPr>
              <w:ind w:left="-108"/>
              <w:jc w:val="center"/>
              <w:rPr>
                <w:sz w:val="18"/>
                <w:szCs w:val="18"/>
                <w:lang w:val="es-AR" w:eastAsia="en-US"/>
              </w:rPr>
            </w:pPr>
            <w:r w:rsidRPr="0010523F">
              <w:rPr>
                <w:sz w:val="18"/>
                <w:szCs w:val="18"/>
                <w:lang w:val="es-AR" w:eastAsia="en-US"/>
              </w:rPr>
              <w:t>en miles de m3</w:t>
            </w:r>
          </w:p>
        </w:tc>
        <w:tc>
          <w:tcPr>
            <w:tcW w:w="238" w:type="dxa"/>
            <w:vAlign w:val="bottom"/>
          </w:tcPr>
          <w:p w14:paraId="66F6AE65" w14:textId="77777777" w:rsidR="0010523F" w:rsidRPr="0010523F" w:rsidRDefault="0010523F" w:rsidP="0010523F">
            <w:pPr>
              <w:ind w:left="-108"/>
              <w:jc w:val="center"/>
              <w:rPr>
                <w:sz w:val="18"/>
                <w:szCs w:val="18"/>
                <w:lang w:val="es-AR" w:eastAsia="en-US"/>
              </w:rPr>
            </w:pPr>
          </w:p>
        </w:tc>
        <w:tc>
          <w:tcPr>
            <w:tcW w:w="1247" w:type="dxa"/>
            <w:tcBorders>
              <w:bottom w:val="single" w:sz="4" w:space="0" w:color="auto"/>
            </w:tcBorders>
            <w:vAlign w:val="bottom"/>
          </w:tcPr>
          <w:p w14:paraId="208D3B73" w14:textId="77777777" w:rsidR="0010523F" w:rsidRPr="0010523F" w:rsidRDefault="0010523F" w:rsidP="0010523F">
            <w:pPr>
              <w:ind w:left="-108"/>
              <w:jc w:val="center"/>
              <w:rPr>
                <w:sz w:val="18"/>
                <w:szCs w:val="18"/>
                <w:lang w:val="es-AR" w:eastAsia="en-US"/>
              </w:rPr>
            </w:pPr>
            <w:r w:rsidRPr="0010523F">
              <w:rPr>
                <w:sz w:val="18"/>
                <w:szCs w:val="18"/>
                <w:lang w:val="es-AR" w:eastAsia="en-US"/>
              </w:rPr>
              <w:t>en miles de m3</w:t>
            </w:r>
          </w:p>
        </w:tc>
        <w:tc>
          <w:tcPr>
            <w:tcW w:w="236" w:type="dxa"/>
            <w:vAlign w:val="bottom"/>
          </w:tcPr>
          <w:p w14:paraId="652E6DB0" w14:textId="77777777" w:rsidR="0010523F" w:rsidRPr="0010523F" w:rsidRDefault="0010523F" w:rsidP="0010523F">
            <w:pPr>
              <w:ind w:left="-108"/>
              <w:jc w:val="center"/>
              <w:rPr>
                <w:sz w:val="18"/>
                <w:szCs w:val="18"/>
                <w:lang w:val="es-AR" w:eastAsia="en-US"/>
              </w:rPr>
            </w:pPr>
          </w:p>
        </w:tc>
        <w:tc>
          <w:tcPr>
            <w:tcW w:w="1247" w:type="dxa"/>
            <w:tcBorders>
              <w:bottom w:val="single" w:sz="4" w:space="0" w:color="auto"/>
            </w:tcBorders>
            <w:vAlign w:val="bottom"/>
          </w:tcPr>
          <w:p w14:paraId="4132DAA5" w14:textId="77777777" w:rsidR="0010523F" w:rsidRPr="0010523F" w:rsidRDefault="0010523F" w:rsidP="0010523F">
            <w:pPr>
              <w:ind w:left="-108"/>
              <w:jc w:val="center"/>
              <w:rPr>
                <w:sz w:val="18"/>
                <w:szCs w:val="18"/>
                <w:lang w:val="es-AR" w:eastAsia="en-US"/>
              </w:rPr>
            </w:pPr>
            <w:r w:rsidRPr="0010523F">
              <w:rPr>
                <w:sz w:val="18"/>
                <w:szCs w:val="18"/>
                <w:lang w:val="es-AR" w:eastAsia="en-US"/>
              </w:rPr>
              <w:t>en miles de m3</w:t>
            </w:r>
          </w:p>
        </w:tc>
        <w:tc>
          <w:tcPr>
            <w:tcW w:w="236" w:type="dxa"/>
            <w:vAlign w:val="bottom"/>
          </w:tcPr>
          <w:p w14:paraId="56FAC062" w14:textId="77777777" w:rsidR="0010523F" w:rsidRPr="0010523F" w:rsidRDefault="0010523F" w:rsidP="0010523F">
            <w:pPr>
              <w:ind w:left="-108"/>
              <w:jc w:val="center"/>
              <w:rPr>
                <w:sz w:val="18"/>
                <w:szCs w:val="18"/>
                <w:lang w:val="es-AR" w:eastAsia="en-US"/>
              </w:rPr>
            </w:pPr>
          </w:p>
        </w:tc>
        <w:tc>
          <w:tcPr>
            <w:tcW w:w="1247" w:type="dxa"/>
            <w:tcBorders>
              <w:bottom w:val="single" w:sz="4" w:space="0" w:color="auto"/>
            </w:tcBorders>
            <w:vAlign w:val="bottom"/>
          </w:tcPr>
          <w:p w14:paraId="6CB364A3" w14:textId="77777777" w:rsidR="0010523F" w:rsidRPr="0010523F" w:rsidRDefault="0010523F" w:rsidP="0010523F">
            <w:pPr>
              <w:ind w:left="-108"/>
              <w:jc w:val="center"/>
              <w:rPr>
                <w:sz w:val="18"/>
                <w:szCs w:val="18"/>
                <w:lang w:val="es-AR" w:eastAsia="en-US"/>
              </w:rPr>
            </w:pPr>
            <w:r w:rsidRPr="0010523F">
              <w:rPr>
                <w:sz w:val="18"/>
                <w:szCs w:val="18"/>
                <w:lang w:val="es-AR" w:eastAsia="en-US"/>
              </w:rPr>
              <w:t>en miles de m3</w:t>
            </w:r>
          </w:p>
        </w:tc>
      </w:tr>
      <w:tr w:rsidR="0010523F" w:rsidRPr="0010523F" w14:paraId="47BC09AD" w14:textId="77777777" w:rsidTr="00774E7E">
        <w:trPr>
          <w:gridAfter w:val="1"/>
          <w:wAfter w:w="21" w:type="dxa"/>
        </w:trPr>
        <w:tc>
          <w:tcPr>
            <w:tcW w:w="2721" w:type="dxa"/>
            <w:vAlign w:val="bottom"/>
          </w:tcPr>
          <w:p w14:paraId="69F8C9FB" w14:textId="77777777" w:rsidR="0010523F" w:rsidRPr="0010523F" w:rsidRDefault="0010523F" w:rsidP="0010523F">
            <w:pPr>
              <w:rPr>
                <w:sz w:val="18"/>
                <w:szCs w:val="18"/>
                <w:lang w:val="es-AR" w:eastAsia="en-US"/>
              </w:rPr>
            </w:pPr>
            <w:r w:rsidRPr="0010523F">
              <w:rPr>
                <w:sz w:val="18"/>
                <w:szCs w:val="18"/>
                <w:lang w:val="es-AR" w:eastAsia="en-US"/>
              </w:rPr>
              <w:t>Producción de gas natural (3)</w:t>
            </w:r>
          </w:p>
        </w:tc>
        <w:tc>
          <w:tcPr>
            <w:tcW w:w="1247" w:type="dxa"/>
            <w:tcBorders>
              <w:top w:val="single" w:sz="4" w:space="0" w:color="auto"/>
            </w:tcBorders>
            <w:vAlign w:val="bottom"/>
          </w:tcPr>
          <w:p w14:paraId="08698C49"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2.589.856</w:t>
            </w:r>
          </w:p>
        </w:tc>
        <w:tc>
          <w:tcPr>
            <w:tcW w:w="236" w:type="dxa"/>
            <w:vAlign w:val="bottom"/>
          </w:tcPr>
          <w:p w14:paraId="543787C9" w14:textId="77777777" w:rsidR="0010523F" w:rsidRPr="0010523F" w:rsidRDefault="0010523F" w:rsidP="0010523F">
            <w:pPr>
              <w:tabs>
                <w:tab w:val="decimal" w:pos="1026"/>
              </w:tabs>
              <w:spacing w:line="180" w:lineRule="exact"/>
              <w:jc w:val="both"/>
              <w:rPr>
                <w:sz w:val="18"/>
                <w:szCs w:val="18"/>
                <w:highlight w:val="yellow"/>
                <w:lang w:val="es-AR" w:eastAsia="en-US"/>
              </w:rPr>
            </w:pPr>
          </w:p>
        </w:tc>
        <w:tc>
          <w:tcPr>
            <w:tcW w:w="1247" w:type="dxa"/>
            <w:tcBorders>
              <w:top w:val="single" w:sz="4" w:space="0" w:color="auto"/>
            </w:tcBorders>
            <w:vAlign w:val="bottom"/>
          </w:tcPr>
          <w:p w14:paraId="71611DDB"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2.719.994</w:t>
            </w:r>
          </w:p>
        </w:tc>
        <w:tc>
          <w:tcPr>
            <w:tcW w:w="238" w:type="dxa"/>
            <w:vAlign w:val="bottom"/>
          </w:tcPr>
          <w:p w14:paraId="35C353B8" w14:textId="77777777" w:rsidR="0010523F" w:rsidRPr="0010523F" w:rsidRDefault="0010523F" w:rsidP="0010523F">
            <w:pPr>
              <w:tabs>
                <w:tab w:val="decimal" w:pos="1026"/>
              </w:tabs>
              <w:spacing w:line="180" w:lineRule="exact"/>
              <w:jc w:val="both"/>
              <w:rPr>
                <w:sz w:val="18"/>
                <w:szCs w:val="18"/>
                <w:lang w:val="es-AR" w:eastAsia="en-US"/>
              </w:rPr>
            </w:pPr>
          </w:p>
        </w:tc>
        <w:tc>
          <w:tcPr>
            <w:tcW w:w="1247" w:type="dxa"/>
            <w:tcBorders>
              <w:top w:val="single" w:sz="4" w:space="0" w:color="auto"/>
            </w:tcBorders>
            <w:vAlign w:val="bottom"/>
          </w:tcPr>
          <w:p w14:paraId="216F88BF"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2.919.379</w:t>
            </w:r>
          </w:p>
        </w:tc>
        <w:tc>
          <w:tcPr>
            <w:tcW w:w="236" w:type="dxa"/>
            <w:vAlign w:val="bottom"/>
          </w:tcPr>
          <w:p w14:paraId="4EDDC521" w14:textId="77777777" w:rsidR="0010523F" w:rsidRPr="0010523F" w:rsidRDefault="0010523F" w:rsidP="0010523F">
            <w:pPr>
              <w:tabs>
                <w:tab w:val="decimal" w:pos="1026"/>
              </w:tabs>
              <w:spacing w:line="180" w:lineRule="exact"/>
              <w:jc w:val="both"/>
              <w:rPr>
                <w:sz w:val="18"/>
                <w:szCs w:val="18"/>
                <w:lang w:val="es-AR" w:eastAsia="en-US"/>
              </w:rPr>
            </w:pPr>
          </w:p>
        </w:tc>
        <w:tc>
          <w:tcPr>
            <w:tcW w:w="1247" w:type="dxa"/>
            <w:tcBorders>
              <w:top w:val="single" w:sz="4" w:space="0" w:color="auto"/>
            </w:tcBorders>
            <w:vAlign w:val="bottom"/>
          </w:tcPr>
          <w:p w14:paraId="2CE0503E"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3.135.320</w:t>
            </w:r>
          </w:p>
        </w:tc>
        <w:tc>
          <w:tcPr>
            <w:tcW w:w="236" w:type="dxa"/>
            <w:vAlign w:val="bottom"/>
          </w:tcPr>
          <w:p w14:paraId="3473186A" w14:textId="77777777" w:rsidR="0010523F" w:rsidRPr="0010523F" w:rsidRDefault="0010523F" w:rsidP="0010523F">
            <w:pPr>
              <w:tabs>
                <w:tab w:val="decimal" w:pos="1026"/>
              </w:tabs>
              <w:spacing w:line="180" w:lineRule="exact"/>
              <w:jc w:val="both"/>
              <w:rPr>
                <w:sz w:val="18"/>
                <w:szCs w:val="18"/>
                <w:lang w:val="es-AR" w:eastAsia="en-US"/>
              </w:rPr>
            </w:pPr>
          </w:p>
        </w:tc>
        <w:tc>
          <w:tcPr>
            <w:tcW w:w="1247" w:type="dxa"/>
            <w:tcBorders>
              <w:top w:val="single" w:sz="4" w:space="0" w:color="auto"/>
            </w:tcBorders>
            <w:vAlign w:val="bottom"/>
          </w:tcPr>
          <w:p w14:paraId="3E7C75B2"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3.131.381</w:t>
            </w:r>
          </w:p>
        </w:tc>
      </w:tr>
      <w:tr w:rsidR="0010523F" w:rsidRPr="0010523F" w14:paraId="3489E232" w14:textId="77777777" w:rsidTr="00774E7E">
        <w:trPr>
          <w:gridAfter w:val="1"/>
          <w:wAfter w:w="21" w:type="dxa"/>
        </w:trPr>
        <w:tc>
          <w:tcPr>
            <w:tcW w:w="2721" w:type="dxa"/>
            <w:vAlign w:val="bottom"/>
          </w:tcPr>
          <w:p w14:paraId="13CC0DCA" w14:textId="77777777" w:rsidR="0010523F" w:rsidRPr="0010523F" w:rsidRDefault="0010523F" w:rsidP="0010523F">
            <w:pPr>
              <w:jc w:val="both"/>
              <w:rPr>
                <w:sz w:val="18"/>
                <w:szCs w:val="18"/>
                <w:lang w:val="es-AR" w:eastAsia="en-US"/>
              </w:rPr>
            </w:pPr>
            <w:r w:rsidRPr="0010523F">
              <w:rPr>
                <w:sz w:val="18"/>
                <w:szCs w:val="18"/>
                <w:lang w:val="es-AR" w:eastAsia="en-US"/>
              </w:rPr>
              <w:t>Venta de gas natural (4):</w:t>
            </w:r>
          </w:p>
        </w:tc>
        <w:tc>
          <w:tcPr>
            <w:tcW w:w="1247" w:type="dxa"/>
            <w:vAlign w:val="bottom"/>
          </w:tcPr>
          <w:p w14:paraId="1639ACFE" w14:textId="77777777" w:rsidR="0010523F" w:rsidRPr="0010523F" w:rsidRDefault="0010523F" w:rsidP="0010523F">
            <w:pPr>
              <w:spacing w:line="180" w:lineRule="exact"/>
              <w:jc w:val="right"/>
              <w:rPr>
                <w:sz w:val="18"/>
                <w:szCs w:val="18"/>
                <w:lang w:val="es-AR" w:eastAsia="en-US"/>
              </w:rPr>
            </w:pPr>
          </w:p>
        </w:tc>
        <w:tc>
          <w:tcPr>
            <w:tcW w:w="236" w:type="dxa"/>
            <w:vAlign w:val="bottom"/>
          </w:tcPr>
          <w:p w14:paraId="3DAE3F00" w14:textId="77777777" w:rsidR="0010523F" w:rsidRPr="0010523F" w:rsidRDefault="0010523F" w:rsidP="0010523F">
            <w:pPr>
              <w:tabs>
                <w:tab w:val="decimal" w:pos="1026"/>
              </w:tabs>
              <w:spacing w:line="180" w:lineRule="exact"/>
              <w:jc w:val="both"/>
              <w:rPr>
                <w:sz w:val="18"/>
                <w:szCs w:val="18"/>
                <w:highlight w:val="yellow"/>
                <w:lang w:val="es-AR" w:eastAsia="en-US"/>
              </w:rPr>
            </w:pPr>
          </w:p>
        </w:tc>
        <w:tc>
          <w:tcPr>
            <w:tcW w:w="1247" w:type="dxa"/>
            <w:vAlign w:val="bottom"/>
          </w:tcPr>
          <w:p w14:paraId="60B3BBB7" w14:textId="77777777" w:rsidR="0010523F" w:rsidRPr="0010523F" w:rsidRDefault="0010523F" w:rsidP="0010523F">
            <w:pPr>
              <w:spacing w:line="180" w:lineRule="exact"/>
              <w:jc w:val="right"/>
              <w:rPr>
                <w:sz w:val="18"/>
                <w:szCs w:val="18"/>
                <w:lang w:val="es-AR" w:eastAsia="en-US"/>
              </w:rPr>
            </w:pPr>
          </w:p>
        </w:tc>
        <w:tc>
          <w:tcPr>
            <w:tcW w:w="238" w:type="dxa"/>
            <w:vAlign w:val="bottom"/>
          </w:tcPr>
          <w:p w14:paraId="6A3537B7" w14:textId="77777777" w:rsidR="0010523F" w:rsidRPr="0010523F" w:rsidRDefault="0010523F" w:rsidP="0010523F">
            <w:pPr>
              <w:tabs>
                <w:tab w:val="decimal" w:pos="1026"/>
              </w:tabs>
              <w:spacing w:line="180" w:lineRule="exact"/>
              <w:jc w:val="both"/>
              <w:rPr>
                <w:sz w:val="18"/>
                <w:szCs w:val="18"/>
                <w:lang w:val="es-AR" w:eastAsia="en-US"/>
              </w:rPr>
            </w:pPr>
          </w:p>
        </w:tc>
        <w:tc>
          <w:tcPr>
            <w:tcW w:w="1247" w:type="dxa"/>
            <w:vAlign w:val="bottom"/>
          </w:tcPr>
          <w:p w14:paraId="16A75853" w14:textId="77777777" w:rsidR="0010523F" w:rsidRPr="0010523F" w:rsidRDefault="0010523F" w:rsidP="0010523F">
            <w:pPr>
              <w:spacing w:line="180" w:lineRule="exact"/>
              <w:jc w:val="right"/>
              <w:rPr>
                <w:sz w:val="18"/>
                <w:szCs w:val="18"/>
                <w:lang w:val="es-AR" w:eastAsia="en-US"/>
              </w:rPr>
            </w:pPr>
          </w:p>
        </w:tc>
        <w:tc>
          <w:tcPr>
            <w:tcW w:w="236" w:type="dxa"/>
            <w:vAlign w:val="bottom"/>
          </w:tcPr>
          <w:p w14:paraId="2CF430C2" w14:textId="77777777" w:rsidR="0010523F" w:rsidRPr="0010523F" w:rsidRDefault="0010523F" w:rsidP="0010523F">
            <w:pPr>
              <w:tabs>
                <w:tab w:val="decimal" w:pos="1026"/>
              </w:tabs>
              <w:spacing w:line="180" w:lineRule="exact"/>
              <w:jc w:val="both"/>
              <w:rPr>
                <w:sz w:val="18"/>
                <w:szCs w:val="18"/>
                <w:lang w:val="es-AR" w:eastAsia="en-US"/>
              </w:rPr>
            </w:pPr>
          </w:p>
        </w:tc>
        <w:tc>
          <w:tcPr>
            <w:tcW w:w="1247" w:type="dxa"/>
            <w:vAlign w:val="bottom"/>
          </w:tcPr>
          <w:p w14:paraId="2EFF5CB1" w14:textId="77777777" w:rsidR="0010523F" w:rsidRPr="0010523F" w:rsidRDefault="0010523F" w:rsidP="0010523F">
            <w:pPr>
              <w:spacing w:line="180" w:lineRule="exact"/>
              <w:jc w:val="right"/>
              <w:rPr>
                <w:sz w:val="18"/>
                <w:szCs w:val="18"/>
                <w:lang w:val="es-AR" w:eastAsia="en-US"/>
              </w:rPr>
            </w:pPr>
          </w:p>
        </w:tc>
        <w:tc>
          <w:tcPr>
            <w:tcW w:w="236" w:type="dxa"/>
            <w:vAlign w:val="bottom"/>
          </w:tcPr>
          <w:p w14:paraId="1593C074" w14:textId="77777777" w:rsidR="0010523F" w:rsidRPr="0010523F" w:rsidRDefault="0010523F" w:rsidP="0010523F">
            <w:pPr>
              <w:tabs>
                <w:tab w:val="decimal" w:pos="1026"/>
              </w:tabs>
              <w:spacing w:line="180" w:lineRule="exact"/>
              <w:jc w:val="both"/>
              <w:rPr>
                <w:sz w:val="18"/>
                <w:szCs w:val="18"/>
                <w:lang w:val="es-AR" w:eastAsia="en-US"/>
              </w:rPr>
            </w:pPr>
          </w:p>
        </w:tc>
        <w:tc>
          <w:tcPr>
            <w:tcW w:w="1247" w:type="dxa"/>
            <w:vAlign w:val="bottom"/>
          </w:tcPr>
          <w:p w14:paraId="604AE6EC" w14:textId="77777777" w:rsidR="0010523F" w:rsidRPr="0010523F" w:rsidRDefault="0010523F" w:rsidP="0010523F">
            <w:pPr>
              <w:spacing w:line="180" w:lineRule="exact"/>
              <w:jc w:val="right"/>
              <w:rPr>
                <w:sz w:val="18"/>
                <w:szCs w:val="18"/>
                <w:lang w:val="es-AR" w:eastAsia="en-US"/>
              </w:rPr>
            </w:pPr>
          </w:p>
        </w:tc>
      </w:tr>
      <w:tr w:rsidR="0010523F" w:rsidRPr="0010523F" w14:paraId="3CFC6A17" w14:textId="77777777" w:rsidTr="00774E7E">
        <w:trPr>
          <w:gridAfter w:val="1"/>
          <w:wAfter w:w="21" w:type="dxa"/>
        </w:trPr>
        <w:tc>
          <w:tcPr>
            <w:tcW w:w="2721" w:type="dxa"/>
            <w:vAlign w:val="bottom"/>
          </w:tcPr>
          <w:p w14:paraId="28B778AC" w14:textId="77777777" w:rsidR="0010523F" w:rsidRPr="0010523F" w:rsidRDefault="0010523F" w:rsidP="0010523F">
            <w:pPr>
              <w:jc w:val="both"/>
              <w:rPr>
                <w:sz w:val="18"/>
                <w:szCs w:val="18"/>
                <w:lang w:val="es-AR" w:eastAsia="en-US"/>
              </w:rPr>
            </w:pPr>
            <w:r w:rsidRPr="0010523F">
              <w:rPr>
                <w:sz w:val="18"/>
                <w:szCs w:val="18"/>
                <w:lang w:val="es-AR" w:eastAsia="en-US"/>
              </w:rPr>
              <w:t>(a) en el mercado local</w:t>
            </w:r>
          </w:p>
        </w:tc>
        <w:tc>
          <w:tcPr>
            <w:tcW w:w="1247" w:type="dxa"/>
            <w:vAlign w:val="bottom"/>
          </w:tcPr>
          <w:p w14:paraId="219D3687"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2.476.712</w:t>
            </w:r>
          </w:p>
        </w:tc>
        <w:tc>
          <w:tcPr>
            <w:tcW w:w="236" w:type="dxa"/>
            <w:vAlign w:val="bottom"/>
          </w:tcPr>
          <w:p w14:paraId="27419CEE"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1B2E1FAB"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2.667.264</w:t>
            </w:r>
          </w:p>
        </w:tc>
        <w:tc>
          <w:tcPr>
            <w:tcW w:w="238" w:type="dxa"/>
            <w:vAlign w:val="bottom"/>
          </w:tcPr>
          <w:p w14:paraId="5381A85B" w14:textId="77777777" w:rsidR="0010523F" w:rsidRPr="0010523F" w:rsidRDefault="0010523F" w:rsidP="0010523F">
            <w:pPr>
              <w:tabs>
                <w:tab w:val="decimal" w:pos="1026"/>
              </w:tabs>
              <w:ind w:left="-108"/>
              <w:jc w:val="both"/>
              <w:rPr>
                <w:sz w:val="18"/>
                <w:szCs w:val="18"/>
                <w:lang w:val="es-AR" w:eastAsia="en-US"/>
              </w:rPr>
            </w:pPr>
          </w:p>
        </w:tc>
        <w:tc>
          <w:tcPr>
            <w:tcW w:w="1247" w:type="dxa"/>
            <w:vAlign w:val="bottom"/>
          </w:tcPr>
          <w:p w14:paraId="30247E9B"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2.942.419</w:t>
            </w:r>
          </w:p>
        </w:tc>
        <w:tc>
          <w:tcPr>
            <w:tcW w:w="236" w:type="dxa"/>
            <w:vAlign w:val="bottom"/>
          </w:tcPr>
          <w:p w14:paraId="0319C818" w14:textId="77777777" w:rsidR="0010523F" w:rsidRPr="0010523F" w:rsidRDefault="0010523F" w:rsidP="0010523F">
            <w:pPr>
              <w:tabs>
                <w:tab w:val="decimal" w:pos="1026"/>
              </w:tabs>
              <w:ind w:left="-108"/>
              <w:jc w:val="both"/>
              <w:rPr>
                <w:sz w:val="18"/>
                <w:szCs w:val="18"/>
                <w:lang w:val="es-AR" w:eastAsia="en-US"/>
              </w:rPr>
            </w:pPr>
          </w:p>
        </w:tc>
        <w:tc>
          <w:tcPr>
            <w:tcW w:w="1247" w:type="dxa"/>
            <w:vAlign w:val="bottom"/>
          </w:tcPr>
          <w:p w14:paraId="0F1DF4A6" w14:textId="77777777" w:rsidR="0010523F" w:rsidRPr="0010523F" w:rsidRDefault="0010523F" w:rsidP="0010523F">
            <w:pPr>
              <w:ind w:left="-108"/>
              <w:jc w:val="right"/>
              <w:rPr>
                <w:sz w:val="18"/>
                <w:szCs w:val="18"/>
                <w:lang w:val="es-AR" w:eastAsia="en-US"/>
              </w:rPr>
            </w:pPr>
            <w:r w:rsidRPr="0010523F">
              <w:rPr>
                <w:sz w:val="18"/>
                <w:szCs w:val="18"/>
                <w:lang w:val="es-AR" w:eastAsia="en-US"/>
              </w:rPr>
              <w:t>3.137.485</w:t>
            </w:r>
          </w:p>
        </w:tc>
        <w:tc>
          <w:tcPr>
            <w:tcW w:w="236" w:type="dxa"/>
            <w:vAlign w:val="bottom"/>
          </w:tcPr>
          <w:p w14:paraId="0B3F3311" w14:textId="77777777" w:rsidR="0010523F" w:rsidRPr="0010523F" w:rsidRDefault="0010523F" w:rsidP="0010523F">
            <w:pPr>
              <w:tabs>
                <w:tab w:val="decimal" w:pos="1026"/>
              </w:tabs>
              <w:spacing w:line="180" w:lineRule="exact"/>
              <w:jc w:val="both"/>
              <w:rPr>
                <w:sz w:val="18"/>
                <w:szCs w:val="18"/>
                <w:lang w:val="es-AR" w:eastAsia="en-US"/>
              </w:rPr>
            </w:pPr>
          </w:p>
        </w:tc>
        <w:tc>
          <w:tcPr>
            <w:tcW w:w="1247" w:type="dxa"/>
            <w:vAlign w:val="bottom"/>
          </w:tcPr>
          <w:p w14:paraId="1296C47B" w14:textId="77777777" w:rsidR="0010523F" w:rsidRPr="0010523F" w:rsidRDefault="0010523F" w:rsidP="0010523F">
            <w:pPr>
              <w:ind w:left="-108"/>
              <w:jc w:val="right"/>
              <w:rPr>
                <w:sz w:val="18"/>
                <w:szCs w:val="18"/>
                <w:lang w:val="es-AR" w:eastAsia="en-US"/>
              </w:rPr>
            </w:pPr>
            <w:r w:rsidRPr="0010523F">
              <w:rPr>
                <w:sz w:val="18"/>
                <w:szCs w:val="18"/>
                <w:lang w:val="es-AR" w:eastAsia="en-US"/>
              </w:rPr>
              <w:t>2.999.420</w:t>
            </w:r>
          </w:p>
        </w:tc>
      </w:tr>
      <w:tr w:rsidR="0010523F" w:rsidRPr="0010523F" w14:paraId="084F20E5" w14:textId="77777777" w:rsidTr="00774E7E">
        <w:trPr>
          <w:gridAfter w:val="1"/>
          <w:wAfter w:w="21" w:type="dxa"/>
        </w:trPr>
        <w:tc>
          <w:tcPr>
            <w:tcW w:w="2721" w:type="dxa"/>
            <w:vAlign w:val="bottom"/>
          </w:tcPr>
          <w:p w14:paraId="3A7ED22B" w14:textId="77777777" w:rsidR="0010523F" w:rsidRPr="0010523F" w:rsidRDefault="0010523F" w:rsidP="0010523F">
            <w:pPr>
              <w:jc w:val="both"/>
              <w:rPr>
                <w:sz w:val="18"/>
                <w:szCs w:val="18"/>
                <w:lang w:val="es-AR" w:eastAsia="en-US"/>
              </w:rPr>
            </w:pPr>
            <w:r w:rsidRPr="0010523F">
              <w:rPr>
                <w:sz w:val="18"/>
                <w:szCs w:val="18"/>
                <w:lang w:val="es-AR" w:eastAsia="en-US"/>
              </w:rPr>
              <w:t>(b) en el mercado externo</w:t>
            </w:r>
          </w:p>
        </w:tc>
        <w:tc>
          <w:tcPr>
            <w:tcW w:w="1247" w:type="dxa"/>
            <w:vAlign w:val="bottom"/>
          </w:tcPr>
          <w:p w14:paraId="2E517EFC" w14:textId="77777777" w:rsidR="0010523F" w:rsidRPr="0010523F" w:rsidRDefault="0010523F" w:rsidP="0010523F">
            <w:pPr>
              <w:ind w:left="-108"/>
              <w:jc w:val="right"/>
              <w:rPr>
                <w:sz w:val="18"/>
                <w:szCs w:val="18"/>
                <w:u w:val="single"/>
                <w:lang w:val="es-AR" w:eastAsia="en-US"/>
              </w:rPr>
            </w:pPr>
            <w:r w:rsidRPr="0010523F">
              <w:rPr>
                <w:sz w:val="18"/>
                <w:szCs w:val="18"/>
                <w:u w:val="single"/>
                <w:lang w:val="es-AR" w:eastAsia="en-US"/>
              </w:rPr>
              <w:t xml:space="preserve">   208.844</w:t>
            </w:r>
          </w:p>
        </w:tc>
        <w:tc>
          <w:tcPr>
            <w:tcW w:w="236" w:type="dxa"/>
            <w:vAlign w:val="bottom"/>
          </w:tcPr>
          <w:p w14:paraId="07814857"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05C0ED54" w14:textId="77777777" w:rsidR="0010523F" w:rsidRPr="0010523F" w:rsidRDefault="0010523F" w:rsidP="0010523F">
            <w:pPr>
              <w:ind w:left="-108"/>
              <w:jc w:val="right"/>
              <w:rPr>
                <w:sz w:val="18"/>
                <w:szCs w:val="18"/>
                <w:u w:val="single"/>
                <w:lang w:val="es-AR" w:eastAsia="en-US"/>
              </w:rPr>
            </w:pPr>
            <w:r w:rsidRPr="0010523F">
              <w:rPr>
                <w:sz w:val="18"/>
                <w:szCs w:val="18"/>
                <w:u w:val="single"/>
                <w:lang w:val="es-AR" w:eastAsia="en-US"/>
              </w:rPr>
              <w:t xml:space="preserve">                -</w:t>
            </w:r>
          </w:p>
        </w:tc>
        <w:tc>
          <w:tcPr>
            <w:tcW w:w="238" w:type="dxa"/>
            <w:vAlign w:val="bottom"/>
          </w:tcPr>
          <w:p w14:paraId="555D5A13" w14:textId="77777777" w:rsidR="0010523F" w:rsidRPr="0010523F" w:rsidRDefault="0010523F" w:rsidP="0010523F">
            <w:pPr>
              <w:tabs>
                <w:tab w:val="decimal" w:pos="1026"/>
              </w:tabs>
              <w:ind w:left="-108"/>
              <w:jc w:val="both"/>
              <w:rPr>
                <w:sz w:val="18"/>
                <w:szCs w:val="18"/>
                <w:u w:val="single"/>
                <w:lang w:val="es-AR" w:eastAsia="en-US"/>
              </w:rPr>
            </w:pPr>
          </w:p>
        </w:tc>
        <w:tc>
          <w:tcPr>
            <w:tcW w:w="1247" w:type="dxa"/>
            <w:vAlign w:val="bottom"/>
          </w:tcPr>
          <w:p w14:paraId="79556B55" w14:textId="77777777" w:rsidR="0010523F" w:rsidRPr="0010523F" w:rsidRDefault="0010523F" w:rsidP="0010523F">
            <w:pPr>
              <w:ind w:left="-108"/>
              <w:jc w:val="right"/>
              <w:rPr>
                <w:sz w:val="18"/>
                <w:szCs w:val="18"/>
                <w:u w:val="single"/>
                <w:lang w:val="es-AR" w:eastAsia="en-US"/>
              </w:rPr>
            </w:pPr>
            <w:r w:rsidRPr="0010523F">
              <w:rPr>
                <w:sz w:val="18"/>
                <w:szCs w:val="18"/>
                <w:u w:val="single"/>
                <w:lang w:val="es-AR" w:eastAsia="en-US"/>
              </w:rPr>
              <w:t xml:space="preserve">               -</w:t>
            </w:r>
          </w:p>
        </w:tc>
        <w:tc>
          <w:tcPr>
            <w:tcW w:w="236" w:type="dxa"/>
            <w:vAlign w:val="bottom"/>
          </w:tcPr>
          <w:p w14:paraId="5D039350" w14:textId="77777777" w:rsidR="0010523F" w:rsidRPr="0010523F" w:rsidRDefault="0010523F" w:rsidP="0010523F">
            <w:pPr>
              <w:tabs>
                <w:tab w:val="decimal" w:pos="1026"/>
              </w:tabs>
              <w:ind w:left="-108"/>
              <w:jc w:val="both"/>
              <w:rPr>
                <w:sz w:val="18"/>
                <w:szCs w:val="18"/>
                <w:u w:val="single"/>
                <w:lang w:val="es-AR" w:eastAsia="en-US"/>
              </w:rPr>
            </w:pPr>
          </w:p>
        </w:tc>
        <w:tc>
          <w:tcPr>
            <w:tcW w:w="1247" w:type="dxa"/>
            <w:vAlign w:val="bottom"/>
          </w:tcPr>
          <w:p w14:paraId="6D375294" w14:textId="77777777" w:rsidR="0010523F" w:rsidRPr="0010523F" w:rsidRDefault="0010523F" w:rsidP="0010523F">
            <w:pPr>
              <w:ind w:left="-108"/>
              <w:jc w:val="right"/>
              <w:rPr>
                <w:sz w:val="18"/>
                <w:szCs w:val="18"/>
                <w:u w:val="single"/>
                <w:lang w:val="es-AR" w:eastAsia="en-US"/>
              </w:rPr>
            </w:pPr>
            <w:r w:rsidRPr="0010523F">
              <w:rPr>
                <w:sz w:val="18"/>
                <w:szCs w:val="18"/>
                <w:u w:val="single"/>
                <w:lang w:val="es-AR" w:eastAsia="en-US"/>
              </w:rPr>
              <w:t xml:space="preserve">               -</w:t>
            </w:r>
          </w:p>
        </w:tc>
        <w:tc>
          <w:tcPr>
            <w:tcW w:w="236" w:type="dxa"/>
            <w:vAlign w:val="bottom"/>
          </w:tcPr>
          <w:p w14:paraId="7E67F4E4" w14:textId="77777777" w:rsidR="0010523F" w:rsidRPr="0010523F" w:rsidRDefault="0010523F" w:rsidP="0010523F">
            <w:pPr>
              <w:tabs>
                <w:tab w:val="decimal" w:pos="1026"/>
              </w:tabs>
              <w:ind w:left="-108"/>
              <w:jc w:val="both"/>
              <w:rPr>
                <w:sz w:val="18"/>
                <w:szCs w:val="18"/>
                <w:u w:val="single"/>
                <w:lang w:val="es-AR" w:eastAsia="en-US"/>
              </w:rPr>
            </w:pPr>
          </w:p>
        </w:tc>
        <w:tc>
          <w:tcPr>
            <w:tcW w:w="1247" w:type="dxa"/>
            <w:vAlign w:val="bottom"/>
          </w:tcPr>
          <w:p w14:paraId="752ADC37" w14:textId="77777777" w:rsidR="0010523F" w:rsidRPr="0010523F" w:rsidRDefault="0010523F" w:rsidP="0010523F">
            <w:pPr>
              <w:ind w:left="-108"/>
              <w:jc w:val="right"/>
              <w:rPr>
                <w:sz w:val="18"/>
                <w:szCs w:val="18"/>
                <w:u w:val="single"/>
                <w:lang w:val="es-AR" w:eastAsia="en-US"/>
              </w:rPr>
            </w:pPr>
            <w:r w:rsidRPr="0010523F">
              <w:rPr>
                <w:sz w:val="18"/>
                <w:szCs w:val="18"/>
                <w:u w:val="single"/>
                <w:lang w:val="es-AR" w:eastAsia="en-US"/>
              </w:rPr>
              <w:t xml:space="preserve">               -</w:t>
            </w:r>
          </w:p>
        </w:tc>
      </w:tr>
      <w:tr w:rsidR="0010523F" w:rsidRPr="0010523F" w14:paraId="5AF96ECF" w14:textId="77777777" w:rsidTr="00774E7E">
        <w:trPr>
          <w:gridAfter w:val="1"/>
          <w:wAfter w:w="21" w:type="dxa"/>
        </w:trPr>
        <w:tc>
          <w:tcPr>
            <w:tcW w:w="2721" w:type="dxa"/>
            <w:vAlign w:val="bottom"/>
          </w:tcPr>
          <w:p w14:paraId="5EADAEDB" w14:textId="77777777" w:rsidR="0010523F" w:rsidRPr="0010523F" w:rsidRDefault="0010523F" w:rsidP="0010523F">
            <w:pPr>
              <w:jc w:val="both"/>
              <w:rPr>
                <w:sz w:val="18"/>
                <w:szCs w:val="18"/>
                <w:lang w:val="es-AR" w:eastAsia="en-US"/>
              </w:rPr>
            </w:pPr>
            <w:r w:rsidRPr="0010523F">
              <w:rPr>
                <w:sz w:val="18"/>
                <w:szCs w:val="18"/>
                <w:lang w:val="es-AR" w:eastAsia="en-US"/>
              </w:rPr>
              <w:t>Total de (a) + (b)</w:t>
            </w:r>
          </w:p>
        </w:tc>
        <w:tc>
          <w:tcPr>
            <w:tcW w:w="1247" w:type="dxa"/>
            <w:vAlign w:val="bottom"/>
          </w:tcPr>
          <w:p w14:paraId="4819F434" w14:textId="77777777" w:rsidR="0010523F" w:rsidRPr="0010523F" w:rsidRDefault="0010523F" w:rsidP="0010523F">
            <w:pPr>
              <w:ind w:left="-108"/>
              <w:jc w:val="right"/>
              <w:rPr>
                <w:sz w:val="18"/>
                <w:szCs w:val="18"/>
                <w:u w:val="double"/>
                <w:lang w:val="es-AR" w:eastAsia="en-US"/>
              </w:rPr>
            </w:pPr>
            <w:r w:rsidRPr="0010523F">
              <w:rPr>
                <w:sz w:val="18"/>
                <w:szCs w:val="18"/>
                <w:u w:val="double"/>
                <w:lang w:val="es-AR" w:eastAsia="en-US"/>
              </w:rPr>
              <w:t>2.685.556</w:t>
            </w:r>
          </w:p>
        </w:tc>
        <w:tc>
          <w:tcPr>
            <w:tcW w:w="236" w:type="dxa"/>
            <w:vAlign w:val="bottom"/>
          </w:tcPr>
          <w:p w14:paraId="26BA5745" w14:textId="77777777" w:rsidR="0010523F" w:rsidRPr="0010523F" w:rsidRDefault="0010523F" w:rsidP="0010523F">
            <w:pPr>
              <w:tabs>
                <w:tab w:val="decimal" w:pos="1026"/>
              </w:tabs>
              <w:ind w:left="-108"/>
              <w:jc w:val="both"/>
              <w:rPr>
                <w:sz w:val="18"/>
                <w:szCs w:val="18"/>
                <w:highlight w:val="yellow"/>
                <w:lang w:val="es-AR" w:eastAsia="en-US"/>
              </w:rPr>
            </w:pPr>
          </w:p>
        </w:tc>
        <w:tc>
          <w:tcPr>
            <w:tcW w:w="1247" w:type="dxa"/>
            <w:vAlign w:val="bottom"/>
          </w:tcPr>
          <w:p w14:paraId="55B2A684" w14:textId="77777777" w:rsidR="0010523F" w:rsidRPr="0010523F" w:rsidRDefault="0010523F" w:rsidP="0010523F">
            <w:pPr>
              <w:ind w:left="-108"/>
              <w:jc w:val="right"/>
              <w:rPr>
                <w:sz w:val="18"/>
                <w:szCs w:val="18"/>
                <w:u w:val="double"/>
                <w:lang w:val="es-AR" w:eastAsia="en-US"/>
              </w:rPr>
            </w:pPr>
            <w:r w:rsidRPr="0010523F">
              <w:rPr>
                <w:sz w:val="18"/>
                <w:szCs w:val="18"/>
                <w:u w:val="double"/>
                <w:lang w:val="es-AR" w:eastAsia="en-US"/>
              </w:rPr>
              <w:t>2.667.264</w:t>
            </w:r>
          </w:p>
        </w:tc>
        <w:tc>
          <w:tcPr>
            <w:tcW w:w="238" w:type="dxa"/>
            <w:vAlign w:val="bottom"/>
          </w:tcPr>
          <w:p w14:paraId="41AAF57D" w14:textId="77777777" w:rsidR="0010523F" w:rsidRPr="0010523F" w:rsidRDefault="0010523F" w:rsidP="0010523F">
            <w:pPr>
              <w:tabs>
                <w:tab w:val="decimal" w:pos="1026"/>
              </w:tabs>
              <w:ind w:left="-108"/>
              <w:jc w:val="both"/>
              <w:rPr>
                <w:sz w:val="18"/>
                <w:szCs w:val="18"/>
                <w:lang w:val="es-AR" w:eastAsia="en-US"/>
              </w:rPr>
            </w:pPr>
          </w:p>
        </w:tc>
        <w:tc>
          <w:tcPr>
            <w:tcW w:w="1247" w:type="dxa"/>
            <w:vAlign w:val="bottom"/>
          </w:tcPr>
          <w:p w14:paraId="56988697" w14:textId="77777777" w:rsidR="0010523F" w:rsidRPr="0010523F" w:rsidRDefault="0010523F" w:rsidP="0010523F">
            <w:pPr>
              <w:ind w:left="-108"/>
              <w:jc w:val="right"/>
              <w:rPr>
                <w:sz w:val="18"/>
                <w:szCs w:val="18"/>
                <w:u w:val="double"/>
                <w:lang w:val="es-AR" w:eastAsia="en-US"/>
              </w:rPr>
            </w:pPr>
            <w:r w:rsidRPr="0010523F">
              <w:rPr>
                <w:sz w:val="18"/>
                <w:szCs w:val="18"/>
                <w:u w:val="double"/>
                <w:lang w:val="es-AR" w:eastAsia="en-US"/>
              </w:rPr>
              <w:t>2.942.419</w:t>
            </w:r>
          </w:p>
        </w:tc>
        <w:tc>
          <w:tcPr>
            <w:tcW w:w="236" w:type="dxa"/>
            <w:vAlign w:val="bottom"/>
          </w:tcPr>
          <w:p w14:paraId="347021F4" w14:textId="77777777" w:rsidR="0010523F" w:rsidRPr="0010523F" w:rsidRDefault="0010523F" w:rsidP="0010523F">
            <w:pPr>
              <w:tabs>
                <w:tab w:val="decimal" w:pos="1026"/>
              </w:tabs>
              <w:ind w:left="-108"/>
              <w:jc w:val="both"/>
              <w:rPr>
                <w:sz w:val="18"/>
                <w:szCs w:val="18"/>
                <w:lang w:val="es-AR" w:eastAsia="en-US"/>
              </w:rPr>
            </w:pPr>
          </w:p>
        </w:tc>
        <w:tc>
          <w:tcPr>
            <w:tcW w:w="1247" w:type="dxa"/>
            <w:vAlign w:val="bottom"/>
          </w:tcPr>
          <w:p w14:paraId="4CD351FA" w14:textId="77777777" w:rsidR="0010523F" w:rsidRPr="0010523F" w:rsidRDefault="0010523F" w:rsidP="0010523F">
            <w:pPr>
              <w:ind w:left="-108"/>
              <w:jc w:val="right"/>
              <w:rPr>
                <w:sz w:val="18"/>
                <w:szCs w:val="18"/>
                <w:u w:val="double"/>
                <w:lang w:val="es-AR" w:eastAsia="en-US"/>
              </w:rPr>
            </w:pPr>
            <w:r w:rsidRPr="0010523F">
              <w:rPr>
                <w:sz w:val="18"/>
                <w:szCs w:val="18"/>
                <w:u w:val="double"/>
                <w:lang w:val="es-AR" w:eastAsia="en-US"/>
              </w:rPr>
              <w:t>3.137.485</w:t>
            </w:r>
          </w:p>
        </w:tc>
        <w:tc>
          <w:tcPr>
            <w:tcW w:w="236" w:type="dxa"/>
            <w:vAlign w:val="bottom"/>
          </w:tcPr>
          <w:p w14:paraId="61FCB078" w14:textId="77777777" w:rsidR="0010523F" w:rsidRPr="0010523F" w:rsidRDefault="0010523F" w:rsidP="0010523F">
            <w:pPr>
              <w:tabs>
                <w:tab w:val="decimal" w:pos="1026"/>
              </w:tabs>
              <w:jc w:val="both"/>
              <w:rPr>
                <w:sz w:val="18"/>
                <w:szCs w:val="18"/>
                <w:lang w:val="es-AR" w:eastAsia="en-US"/>
              </w:rPr>
            </w:pPr>
          </w:p>
        </w:tc>
        <w:tc>
          <w:tcPr>
            <w:tcW w:w="1247" w:type="dxa"/>
            <w:vAlign w:val="bottom"/>
          </w:tcPr>
          <w:p w14:paraId="360AE4D4" w14:textId="77777777" w:rsidR="0010523F" w:rsidRPr="0010523F" w:rsidRDefault="0010523F" w:rsidP="0010523F">
            <w:pPr>
              <w:ind w:left="-108"/>
              <w:jc w:val="right"/>
              <w:rPr>
                <w:sz w:val="18"/>
                <w:szCs w:val="18"/>
                <w:u w:val="double"/>
                <w:lang w:val="es-AR" w:eastAsia="en-US"/>
              </w:rPr>
            </w:pPr>
            <w:r w:rsidRPr="0010523F">
              <w:rPr>
                <w:sz w:val="18"/>
                <w:szCs w:val="18"/>
                <w:u w:val="double"/>
                <w:lang w:val="es-AR" w:eastAsia="en-US"/>
              </w:rPr>
              <w:t>2.999.420</w:t>
            </w:r>
          </w:p>
        </w:tc>
      </w:tr>
      <w:tr w:rsidR="0010523F" w:rsidRPr="0010523F" w14:paraId="0E4C411E" w14:textId="77777777" w:rsidTr="00774E7E">
        <w:trPr>
          <w:gridAfter w:val="1"/>
          <w:wAfter w:w="21" w:type="dxa"/>
        </w:trPr>
        <w:tc>
          <w:tcPr>
            <w:tcW w:w="2721" w:type="dxa"/>
            <w:vAlign w:val="bottom"/>
          </w:tcPr>
          <w:p w14:paraId="2E1CD437" w14:textId="77777777" w:rsidR="0010523F" w:rsidRPr="0010523F" w:rsidRDefault="0010523F" w:rsidP="0010523F">
            <w:pPr>
              <w:rPr>
                <w:sz w:val="18"/>
                <w:szCs w:val="18"/>
                <w:lang w:val="es-AR" w:eastAsia="en-US"/>
              </w:rPr>
            </w:pPr>
          </w:p>
        </w:tc>
        <w:tc>
          <w:tcPr>
            <w:tcW w:w="1247" w:type="dxa"/>
            <w:vAlign w:val="bottom"/>
          </w:tcPr>
          <w:p w14:paraId="230613BB" w14:textId="77777777" w:rsidR="0010523F" w:rsidRPr="0010523F" w:rsidRDefault="0010523F" w:rsidP="0010523F">
            <w:pPr>
              <w:rPr>
                <w:sz w:val="18"/>
                <w:szCs w:val="18"/>
                <w:lang w:val="es-AR" w:eastAsia="en-US"/>
              </w:rPr>
            </w:pPr>
          </w:p>
        </w:tc>
        <w:tc>
          <w:tcPr>
            <w:tcW w:w="236" w:type="dxa"/>
            <w:vAlign w:val="bottom"/>
          </w:tcPr>
          <w:p w14:paraId="3B2FA6EE" w14:textId="77777777" w:rsidR="0010523F" w:rsidRPr="0010523F" w:rsidRDefault="0010523F" w:rsidP="0010523F">
            <w:pPr>
              <w:rPr>
                <w:sz w:val="18"/>
                <w:szCs w:val="18"/>
                <w:highlight w:val="yellow"/>
                <w:lang w:val="es-AR" w:eastAsia="en-US"/>
              </w:rPr>
            </w:pPr>
          </w:p>
        </w:tc>
        <w:tc>
          <w:tcPr>
            <w:tcW w:w="1247" w:type="dxa"/>
            <w:vAlign w:val="bottom"/>
          </w:tcPr>
          <w:p w14:paraId="2E23C291" w14:textId="77777777" w:rsidR="0010523F" w:rsidRPr="0010523F" w:rsidRDefault="0010523F" w:rsidP="0010523F">
            <w:pPr>
              <w:rPr>
                <w:sz w:val="18"/>
                <w:szCs w:val="18"/>
                <w:lang w:val="es-AR" w:eastAsia="en-US"/>
              </w:rPr>
            </w:pPr>
          </w:p>
        </w:tc>
        <w:tc>
          <w:tcPr>
            <w:tcW w:w="238" w:type="dxa"/>
            <w:vAlign w:val="bottom"/>
          </w:tcPr>
          <w:p w14:paraId="2CEC00CE" w14:textId="77777777" w:rsidR="0010523F" w:rsidRPr="0010523F" w:rsidRDefault="0010523F" w:rsidP="0010523F">
            <w:pPr>
              <w:rPr>
                <w:sz w:val="18"/>
                <w:szCs w:val="18"/>
                <w:lang w:val="es-AR" w:eastAsia="en-US"/>
              </w:rPr>
            </w:pPr>
          </w:p>
        </w:tc>
        <w:tc>
          <w:tcPr>
            <w:tcW w:w="1247" w:type="dxa"/>
            <w:vAlign w:val="bottom"/>
          </w:tcPr>
          <w:p w14:paraId="74E7A74A" w14:textId="77777777" w:rsidR="0010523F" w:rsidRPr="0010523F" w:rsidRDefault="0010523F" w:rsidP="0010523F">
            <w:pPr>
              <w:rPr>
                <w:sz w:val="18"/>
                <w:szCs w:val="18"/>
                <w:lang w:val="es-AR" w:eastAsia="en-US"/>
              </w:rPr>
            </w:pPr>
          </w:p>
        </w:tc>
        <w:tc>
          <w:tcPr>
            <w:tcW w:w="236" w:type="dxa"/>
            <w:vAlign w:val="bottom"/>
          </w:tcPr>
          <w:p w14:paraId="7609B485" w14:textId="77777777" w:rsidR="0010523F" w:rsidRPr="0010523F" w:rsidRDefault="0010523F" w:rsidP="0010523F">
            <w:pPr>
              <w:rPr>
                <w:sz w:val="18"/>
                <w:szCs w:val="18"/>
                <w:lang w:val="es-AR" w:eastAsia="en-US"/>
              </w:rPr>
            </w:pPr>
          </w:p>
        </w:tc>
        <w:tc>
          <w:tcPr>
            <w:tcW w:w="1247" w:type="dxa"/>
            <w:vAlign w:val="bottom"/>
          </w:tcPr>
          <w:p w14:paraId="6D5F4F38" w14:textId="77777777" w:rsidR="0010523F" w:rsidRPr="0010523F" w:rsidRDefault="0010523F" w:rsidP="0010523F">
            <w:pPr>
              <w:rPr>
                <w:sz w:val="18"/>
                <w:szCs w:val="18"/>
                <w:lang w:val="es-AR" w:eastAsia="en-US"/>
              </w:rPr>
            </w:pPr>
          </w:p>
        </w:tc>
        <w:tc>
          <w:tcPr>
            <w:tcW w:w="236" w:type="dxa"/>
            <w:vAlign w:val="bottom"/>
          </w:tcPr>
          <w:p w14:paraId="7C6F0FC0" w14:textId="77777777" w:rsidR="0010523F" w:rsidRPr="0010523F" w:rsidRDefault="0010523F" w:rsidP="0010523F">
            <w:pPr>
              <w:rPr>
                <w:sz w:val="18"/>
                <w:szCs w:val="18"/>
                <w:lang w:val="es-AR" w:eastAsia="en-US"/>
              </w:rPr>
            </w:pPr>
          </w:p>
        </w:tc>
        <w:tc>
          <w:tcPr>
            <w:tcW w:w="1247" w:type="dxa"/>
            <w:vAlign w:val="bottom"/>
          </w:tcPr>
          <w:p w14:paraId="4BBC350E" w14:textId="77777777" w:rsidR="0010523F" w:rsidRPr="0010523F" w:rsidRDefault="0010523F" w:rsidP="0010523F">
            <w:pPr>
              <w:rPr>
                <w:sz w:val="18"/>
                <w:szCs w:val="18"/>
                <w:lang w:val="es-AR" w:eastAsia="en-US"/>
              </w:rPr>
            </w:pPr>
          </w:p>
        </w:tc>
      </w:tr>
      <w:tr w:rsidR="0010523F" w:rsidRPr="0010523F" w14:paraId="5731952B" w14:textId="77777777" w:rsidTr="00774E7E">
        <w:trPr>
          <w:gridAfter w:val="1"/>
          <w:wAfter w:w="21" w:type="dxa"/>
        </w:trPr>
        <w:tc>
          <w:tcPr>
            <w:tcW w:w="2721" w:type="dxa"/>
            <w:vAlign w:val="bottom"/>
          </w:tcPr>
          <w:p w14:paraId="1E6AC603" w14:textId="77777777" w:rsidR="0010523F" w:rsidRPr="0010523F" w:rsidRDefault="0010523F" w:rsidP="0010523F">
            <w:pPr>
              <w:jc w:val="both"/>
              <w:rPr>
                <w:sz w:val="18"/>
                <w:szCs w:val="18"/>
                <w:lang w:val="es-AR" w:eastAsia="en-US"/>
              </w:rPr>
            </w:pPr>
          </w:p>
        </w:tc>
        <w:tc>
          <w:tcPr>
            <w:tcW w:w="1247" w:type="dxa"/>
            <w:tcBorders>
              <w:bottom w:val="single" w:sz="4" w:space="0" w:color="auto"/>
            </w:tcBorders>
            <w:vAlign w:val="bottom"/>
          </w:tcPr>
          <w:p w14:paraId="013B17B7" w14:textId="77777777" w:rsidR="0010523F" w:rsidRPr="0010523F" w:rsidRDefault="0010523F" w:rsidP="0010523F">
            <w:pPr>
              <w:ind w:left="-108"/>
              <w:jc w:val="center"/>
              <w:rPr>
                <w:sz w:val="18"/>
                <w:szCs w:val="18"/>
                <w:lang w:val="es-AR" w:eastAsia="en-US"/>
              </w:rPr>
            </w:pPr>
            <w:r w:rsidRPr="0010523F">
              <w:rPr>
                <w:sz w:val="18"/>
                <w:szCs w:val="18"/>
                <w:lang w:val="es-AR" w:eastAsia="en-US"/>
              </w:rPr>
              <w:t>en toneladas</w:t>
            </w:r>
          </w:p>
        </w:tc>
        <w:tc>
          <w:tcPr>
            <w:tcW w:w="236" w:type="dxa"/>
            <w:vAlign w:val="bottom"/>
          </w:tcPr>
          <w:p w14:paraId="53098AEA" w14:textId="77777777" w:rsidR="0010523F" w:rsidRPr="0010523F" w:rsidRDefault="0010523F" w:rsidP="0010523F">
            <w:pPr>
              <w:ind w:left="-108"/>
              <w:jc w:val="center"/>
              <w:rPr>
                <w:sz w:val="18"/>
                <w:szCs w:val="18"/>
                <w:highlight w:val="yellow"/>
                <w:lang w:val="es-AR" w:eastAsia="en-US"/>
              </w:rPr>
            </w:pPr>
          </w:p>
        </w:tc>
        <w:tc>
          <w:tcPr>
            <w:tcW w:w="1247" w:type="dxa"/>
            <w:tcBorders>
              <w:bottom w:val="single" w:sz="4" w:space="0" w:color="auto"/>
            </w:tcBorders>
            <w:vAlign w:val="bottom"/>
          </w:tcPr>
          <w:p w14:paraId="30231F22" w14:textId="77777777" w:rsidR="0010523F" w:rsidRPr="0010523F" w:rsidRDefault="0010523F" w:rsidP="0010523F">
            <w:pPr>
              <w:ind w:left="-108"/>
              <w:jc w:val="center"/>
              <w:rPr>
                <w:sz w:val="18"/>
                <w:szCs w:val="18"/>
                <w:lang w:val="es-AR" w:eastAsia="en-US"/>
              </w:rPr>
            </w:pPr>
            <w:r w:rsidRPr="0010523F">
              <w:rPr>
                <w:sz w:val="18"/>
                <w:szCs w:val="18"/>
                <w:lang w:val="es-AR" w:eastAsia="en-US"/>
              </w:rPr>
              <w:t>en toneladas</w:t>
            </w:r>
          </w:p>
        </w:tc>
        <w:tc>
          <w:tcPr>
            <w:tcW w:w="238" w:type="dxa"/>
            <w:vAlign w:val="bottom"/>
          </w:tcPr>
          <w:p w14:paraId="4E6E1E69" w14:textId="77777777" w:rsidR="0010523F" w:rsidRPr="0010523F" w:rsidRDefault="0010523F" w:rsidP="0010523F">
            <w:pPr>
              <w:ind w:left="-108"/>
              <w:jc w:val="center"/>
              <w:rPr>
                <w:sz w:val="18"/>
                <w:szCs w:val="18"/>
                <w:lang w:val="es-AR" w:eastAsia="en-US"/>
              </w:rPr>
            </w:pPr>
          </w:p>
        </w:tc>
        <w:tc>
          <w:tcPr>
            <w:tcW w:w="1247" w:type="dxa"/>
            <w:tcBorders>
              <w:bottom w:val="single" w:sz="4" w:space="0" w:color="auto"/>
            </w:tcBorders>
            <w:vAlign w:val="bottom"/>
          </w:tcPr>
          <w:p w14:paraId="719191C9" w14:textId="77777777" w:rsidR="0010523F" w:rsidRPr="0010523F" w:rsidRDefault="0010523F" w:rsidP="0010523F">
            <w:pPr>
              <w:ind w:left="-108"/>
              <w:jc w:val="center"/>
              <w:rPr>
                <w:sz w:val="18"/>
                <w:szCs w:val="18"/>
                <w:lang w:val="es-AR" w:eastAsia="en-US"/>
              </w:rPr>
            </w:pPr>
            <w:r w:rsidRPr="0010523F">
              <w:rPr>
                <w:sz w:val="18"/>
                <w:szCs w:val="18"/>
                <w:lang w:val="es-AR" w:eastAsia="en-US"/>
              </w:rPr>
              <w:t>en toneladas</w:t>
            </w:r>
          </w:p>
        </w:tc>
        <w:tc>
          <w:tcPr>
            <w:tcW w:w="236" w:type="dxa"/>
            <w:vAlign w:val="bottom"/>
          </w:tcPr>
          <w:p w14:paraId="7892BE95" w14:textId="77777777" w:rsidR="0010523F" w:rsidRPr="0010523F" w:rsidRDefault="0010523F" w:rsidP="0010523F">
            <w:pPr>
              <w:ind w:left="-108"/>
              <w:jc w:val="center"/>
              <w:rPr>
                <w:sz w:val="18"/>
                <w:szCs w:val="18"/>
                <w:lang w:val="es-AR" w:eastAsia="en-US"/>
              </w:rPr>
            </w:pPr>
          </w:p>
        </w:tc>
        <w:tc>
          <w:tcPr>
            <w:tcW w:w="1247" w:type="dxa"/>
            <w:tcBorders>
              <w:bottom w:val="single" w:sz="4" w:space="0" w:color="auto"/>
            </w:tcBorders>
            <w:vAlign w:val="bottom"/>
          </w:tcPr>
          <w:p w14:paraId="30A64FFE" w14:textId="77777777" w:rsidR="0010523F" w:rsidRPr="0010523F" w:rsidRDefault="0010523F" w:rsidP="0010523F">
            <w:pPr>
              <w:ind w:left="-108"/>
              <w:jc w:val="center"/>
              <w:rPr>
                <w:sz w:val="18"/>
                <w:szCs w:val="18"/>
                <w:lang w:val="es-AR" w:eastAsia="en-US"/>
              </w:rPr>
            </w:pPr>
            <w:r w:rsidRPr="0010523F">
              <w:rPr>
                <w:sz w:val="18"/>
                <w:szCs w:val="18"/>
                <w:lang w:val="es-AR" w:eastAsia="en-US"/>
              </w:rPr>
              <w:t>en toneladas</w:t>
            </w:r>
          </w:p>
        </w:tc>
        <w:tc>
          <w:tcPr>
            <w:tcW w:w="236" w:type="dxa"/>
            <w:vAlign w:val="bottom"/>
          </w:tcPr>
          <w:p w14:paraId="77579278" w14:textId="77777777" w:rsidR="0010523F" w:rsidRPr="0010523F" w:rsidRDefault="0010523F" w:rsidP="0010523F">
            <w:pPr>
              <w:ind w:left="-108"/>
              <w:jc w:val="center"/>
              <w:rPr>
                <w:sz w:val="18"/>
                <w:szCs w:val="18"/>
                <w:lang w:val="es-AR" w:eastAsia="en-US"/>
              </w:rPr>
            </w:pPr>
          </w:p>
        </w:tc>
        <w:tc>
          <w:tcPr>
            <w:tcW w:w="1247" w:type="dxa"/>
            <w:tcBorders>
              <w:bottom w:val="single" w:sz="4" w:space="0" w:color="auto"/>
            </w:tcBorders>
            <w:vAlign w:val="bottom"/>
          </w:tcPr>
          <w:p w14:paraId="759B0591" w14:textId="77777777" w:rsidR="0010523F" w:rsidRPr="0010523F" w:rsidRDefault="0010523F" w:rsidP="0010523F">
            <w:pPr>
              <w:ind w:left="-108"/>
              <w:jc w:val="center"/>
              <w:rPr>
                <w:sz w:val="18"/>
                <w:szCs w:val="18"/>
                <w:lang w:val="es-AR" w:eastAsia="en-US"/>
              </w:rPr>
            </w:pPr>
            <w:r w:rsidRPr="0010523F">
              <w:rPr>
                <w:sz w:val="18"/>
                <w:szCs w:val="18"/>
                <w:lang w:val="es-AR" w:eastAsia="en-US"/>
              </w:rPr>
              <w:t>en toneladas</w:t>
            </w:r>
          </w:p>
        </w:tc>
      </w:tr>
      <w:tr w:rsidR="0010523F" w:rsidRPr="0010523F" w14:paraId="01A5AD21" w14:textId="77777777" w:rsidTr="00774E7E">
        <w:trPr>
          <w:gridAfter w:val="1"/>
          <w:wAfter w:w="21" w:type="dxa"/>
        </w:trPr>
        <w:tc>
          <w:tcPr>
            <w:tcW w:w="2721" w:type="dxa"/>
            <w:vAlign w:val="bottom"/>
          </w:tcPr>
          <w:p w14:paraId="24347873" w14:textId="77777777" w:rsidR="0010523F" w:rsidRPr="0010523F" w:rsidRDefault="0010523F" w:rsidP="0010523F">
            <w:pPr>
              <w:ind w:left="33" w:hanging="33"/>
              <w:jc w:val="both"/>
              <w:rPr>
                <w:sz w:val="18"/>
                <w:szCs w:val="18"/>
                <w:lang w:val="es-AR" w:eastAsia="en-US"/>
              </w:rPr>
            </w:pPr>
            <w:r w:rsidRPr="0010523F">
              <w:rPr>
                <w:sz w:val="18"/>
                <w:szCs w:val="18"/>
                <w:lang w:val="es-AR" w:eastAsia="en-US"/>
              </w:rPr>
              <w:t>Producción de GLP (5)</w:t>
            </w:r>
          </w:p>
        </w:tc>
        <w:tc>
          <w:tcPr>
            <w:tcW w:w="1247" w:type="dxa"/>
            <w:tcBorders>
              <w:top w:val="single" w:sz="4" w:space="0" w:color="auto"/>
            </w:tcBorders>
            <w:vAlign w:val="bottom"/>
          </w:tcPr>
          <w:p w14:paraId="0BFDA7DA" w14:textId="77777777" w:rsidR="0010523F" w:rsidRPr="0010523F" w:rsidRDefault="0010523F" w:rsidP="0010523F">
            <w:pPr>
              <w:tabs>
                <w:tab w:val="decimal" w:pos="985"/>
              </w:tabs>
              <w:spacing w:line="180" w:lineRule="exact"/>
              <w:jc w:val="both"/>
              <w:rPr>
                <w:sz w:val="18"/>
                <w:szCs w:val="18"/>
                <w:lang w:val="es-AR" w:eastAsia="en-US"/>
              </w:rPr>
            </w:pPr>
            <w:r w:rsidRPr="0010523F">
              <w:rPr>
                <w:sz w:val="18"/>
                <w:szCs w:val="18"/>
                <w:lang w:val="es-AR" w:eastAsia="en-US"/>
              </w:rPr>
              <w:t>-</w:t>
            </w:r>
          </w:p>
        </w:tc>
        <w:tc>
          <w:tcPr>
            <w:tcW w:w="236" w:type="dxa"/>
            <w:vAlign w:val="bottom"/>
          </w:tcPr>
          <w:p w14:paraId="1D1D0208" w14:textId="77777777" w:rsidR="0010523F" w:rsidRPr="0010523F" w:rsidRDefault="0010523F" w:rsidP="0010523F">
            <w:pPr>
              <w:tabs>
                <w:tab w:val="decimal" w:pos="985"/>
              </w:tabs>
              <w:spacing w:line="180" w:lineRule="exact"/>
              <w:jc w:val="both"/>
              <w:rPr>
                <w:sz w:val="18"/>
                <w:szCs w:val="18"/>
                <w:highlight w:val="yellow"/>
                <w:lang w:val="es-AR" w:eastAsia="en-US"/>
              </w:rPr>
            </w:pPr>
          </w:p>
        </w:tc>
        <w:tc>
          <w:tcPr>
            <w:tcW w:w="1247" w:type="dxa"/>
            <w:tcBorders>
              <w:top w:val="single" w:sz="4" w:space="0" w:color="auto"/>
            </w:tcBorders>
            <w:vAlign w:val="bottom"/>
          </w:tcPr>
          <w:p w14:paraId="7CE3AA58" w14:textId="77777777" w:rsidR="0010523F" w:rsidRPr="0010523F" w:rsidRDefault="0010523F" w:rsidP="0010523F">
            <w:pPr>
              <w:tabs>
                <w:tab w:val="decimal" w:pos="985"/>
              </w:tabs>
              <w:spacing w:line="180" w:lineRule="exact"/>
              <w:jc w:val="both"/>
              <w:rPr>
                <w:sz w:val="18"/>
                <w:szCs w:val="18"/>
                <w:lang w:val="es-AR" w:eastAsia="en-US"/>
              </w:rPr>
            </w:pPr>
            <w:r w:rsidRPr="0010523F">
              <w:rPr>
                <w:sz w:val="18"/>
                <w:szCs w:val="18"/>
                <w:lang w:val="es-AR" w:eastAsia="en-US"/>
              </w:rPr>
              <w:t>-</w:t>
            </w:r>
          </w:p>
        </w:tc>
        <w:tc>
          <w:tcPr>
            <w:tcW w:w="238" w:type="dxa"/>
            <w:vAlign w:val="bottom"/>
          </w:tcPr>
          <w:p w14:paraId="450AF013" w14:textId="77777777" w:rsidR="0010523F" w:rsidRPr="0010523F" w:rsidRDefault="0010523F" w:rsidP="0010523F">
            <w:pPr>
              <w:tabs>
                <w:tab w:val="decimal" w:pos="985"/>
              </w:tabs>
              <w:spacing w:line="180" w:lineRule="exact"/>
              <w:jc w:val="both"/>
              <w:rPr>
                <w:sz w:val="18"/>
                <w:szCs w:val="18"/>
                <w:lang w:val="es-AR" w:eastAsia="en-US"/>
              </w:rPr>
            </w:pPr>
          </w:p>
        </w:tc>
        <w:tc>
          <w:tcPr>
            <w:tcW w:w="1247" w:type="dxa"/>
            <w:tcBorders>
              <w:top w:val="single" w:sz="4" w:space="0" w:color="auto"/>
            </w:tcBorders>
            <w:vAlign w:val="bottom"/>
          </w:tcPr>
          <w:p w14:paraId="4FA8D75A"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w:t>
            </w:r>
          </w:p>
        </w:tc>
        <w:tc>
          <w:tcPr>
            <w:tcW w:w="236" w:type="dxa"/>
            <w:vAlign w:val="bottom"/>
          </w:tcPr>
          <w:p w14:paraId="1B5A785B" w14:textId="77777777" w:rsidR="0010523F" w:rsidRPr="0010523F" w:rsidRDefault="0010523F" w:rsidP="0010523F">
            <w:pPr>
              <w:tabs>
                <w:tab w:val="decimal" w:pos="985"/>
              </w:tabs>
              <w:spacing w:line="180" w:lineRule="exact"/>
              <w:jc w:val="both"/>
              <w:rPr>
                <w:sz w:val="18"/>
                <w:szCs w:val="18"/>
                <w:lang w:val="es-AR" w:eastAsia="en-US"/>
              </w:rPr>
            </w:pPr>
          </w:p>
        </w:tc>
        <w:tc>
          <w:tcPr>
            <w:tcW w:w="1247" w:type="dxa"/>
            <w:tcBorders>
              <w:top w:val="single" w:sz="4" w:space="0" w:color="auto"/>
            </w:tcBorders>
            <w:vAlign w:val="bottom"/>
          </w:tcPr>
          <w:p w14:paraId="78C7FAAB"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14.543</w:t>
            </w:r>
          </w:p>
        </w:tc>
        <w:tc>
          <w:tcPr>
            <w:tcW w:w="236" w:type="dxa"/>
            <w:vAlign w:val="bottom"/>
          </w:tcPr>
          <w:p w14:paraId="2AE87A7E" w14:textId="77777777" w:rsidR="0010523F" w:rsidRPr="0010523F" w:rsidRDefault="0010523F" w:rsidP="0010523F">
            <w:pPr>
              <w:tabs>
                <w:tab w:val="decimal" w:pos="985"/>
              </w:tabs>
              <w:spacing w:line="180" w:lineRule="exact"/>
              <w:jc w:val="both"/>
              <w:rPr>
                <w:sz w:val="18"/>
                <w:szCs w:val="18"/>
                <w:lang w:val="es-AR" w:eastAsia="en-US"/>
              </w:rPr>
            </w:pPr>
          </w:p>
        </w:tc>
        <w:tc>
          <w:tcPr>
            <w:tcW w:w="1247" w:type="dxa"/>
            <w:tcBorders>
              <w:top w:val="single" w:sz="4" w:space="0" w:color="auto"/>
            </w:tcBorders>
            <w:vAlign w:val="bottom"/>
          </w:tcPr>
          <w:p w14:paraId="33AFFDBB" w14:textId="77777777" w:rsidR="0010523F" w:rsidRPr="0010523F" w:rsidRDefault="0010523F" w:rsidP="0010523F">
            <w:pPr>
              <w:spacing w:line="180" w:lineRule="exact"/>
              <w:jc w:val="right"/>
              <w:rPr>
                <w:sz w:val="18"/>
                <w:szCs w:val="18"/>
                <w:lang w:val="es-AR" w:eastAsia="en-US"/>
              </w:rPr>
            </w:pPr>
            <w:r w:rsidRPr="0010523F">
              <w:rPr>
                <w:sz w:val="18"/>
                <w:szCs w:val="18"/>
                <w:lang w:val="es-AR" w:eastAsia="en-US"/>
              </w:rPr>
              <w:t>41.941</w:t>
            </w:r>
          </w:p>
        </w:tc>
      </w:tr>
      <w:tr w:rsidR="0010523F" w:rsidRPr="0010523F" w14:paraId="69B15AA1" w14:textId="77777777" w:rsidTr="00774E7E">
        <w:trPr>
          <w:gridAfter w:val="1"/>
          <w:wAfter w:w="21" w:type="dxa"/>
        </w:trPr>
        <w:tc>
          <w:tcPr>
            <w:tcW w:w="2721" w:type="dxa"/>
            <w:vAlign w:val="bottom"/>
          </w:tcPr>
          <w:p w14:paraId="4BEF7553" w14:textId="77777777" w:rsidR="0010523F" w:rsidRPr="0010523F" w:rsidRDefault="0010523F" w:rsidP="0010523F">
            <w:pPr>
              <w:jc w:val="both"/>
              <w:rPr>
                <w:sz w:val="18"/>
                <w:szCs w:val="18"/>
                <w:lang w:val="es-AR" w:eastAsia="en-US"/>
              </w:rPr>
            </w:pPr>
            <w:r w:rsidRPr="0010523F">
              <w:rPr>
                <w:sz w:val="18"/>
                <w:szCs w:val="18"/>
                <w:lang w:val="es-AR" w:eastAsia="en-US"/>
              </w:rPr>
              <w:t>Venta de GLP y gasolina</w:t>
            </w:r>
          </w:p>
        </w:tc>
        <w:tc>
          <w:tcPr>
            <w:tcW w:w="1247" w:type="dxa"/>
            <w:vAlign w:val="bottom"/>
          </w:tcPr>
          <w:p w14:paraId="3C74BCAF" w14:textId="77777777" w:rsidR="0010523F" w:rsidRPr="0010523F" w:rsidRDefault="0010523F" w:rsidP="0010523F">
            <w:pPr>
              <w:tabs>
                <w:tab w:val="decimal" w:pos="985"/>
              </w:tabs>
              <w:spacing w:line="180" w:lineRule="exact"/>
              <w:jc w:val="both"/>
              <w:rPr>
                <w:sz w:val="18"/>
                <w:szCs w:val="18"/>
                <w:lang w:val="es-AR" w:eastAsia="en-US"/>
              </w:rPr>
            </w:pPr>
          </w:p>
        </w:tc>
        <w:tc>
          <w:tcPr>
            <w:tcW w:w="236" w:type="dxa"/>
            <w:vAlign w:val="bottom"/>
          </w:tcPr>
          <w:p w14:paraId="6577481C" w14:textId="77777777" w:rsidR="0010523F" w:rsidRPr="0010523F" w:rsidRDefault="0010523F" w:rsidP="0010523F">
            <w:pPr>
              <w:tabs>
                <w:tab w:val="decimal" w:pos="985"/>
              </w:tabs>
              <w:spacing w:line="180" w:lineRule="exact"/>
              <w:jc w:val="both"/>
              <w:rPr>
                <w:sz w:val="18"/>
                <w:szCs w:val="18"/>
                <w:highlight w:val="yellow"/>
                <w:lang w:val="es-AR" w:eastAsia="en-US"/>
              </w:rPr>
            </w:pPr>
          </w:p>
        </w:tc>
        <w:tc>
          <w:tcPr>
            <w:tcW w:w="1247" w:type="dxa"/>
            <w:vAlign w:val="bottom"/>
          </w:tcPr>
          <w:p w14:paraId="2C163F67" w14:textId="77777777" w:rsidR="0010523F" w:rsidRPr="0010523F" w:rsidRDefault="0010523F" w:rsidP="0010523F">
            <w:pPr>
              <w:tabs>
                <w:tab w:val="decimal" w:pos="985"/>
              </w:tabs>
              <w:spacing w:line="180" w:lineRule="exact"/>
              <w:jc w:val="both"/>
              <w:rPr>
                <w:sz w:val="18"/>
                <w:szCs w:val="18"/>
                <w:highlight w:val="yellow"/>
                <w:lang w:val="es-AR" w:eastAsia="en-US"/>
              </w:rPr>
            </w:pPr>
          </w:p>
        </w:tc>
        <w:tc>
          <w:tcPr>
            <w:tcW w:w="238" w:type="dxa"/>
            <w:vAlign w:val="bottom"/>
          </w:tcPr>
          <w:p w14:paraId="6C8B151A" w14:textId="77777777" w:rsidR="0010523F" w:rsidRPr="0010523F" w:rsidRDefault="0010523F" w:rsidP="0010523F">
            <w:pPr>
              <w:tabs>
                <w:tab w:val="decimal" w:pos="985"/>
              </w:tabs>
              <w:spacing w:line="180" w:lineRule="exact"/>
              <w:jc w:val="both"/>
              <w:rPr>
                <w:sz w:val="18"/>
                <w:szCs w:val="18"/>
                <w:highlight w:val="yellow"/>
                <w:lang w:val="es-AR" w:eastAsia="en-US"/>
              </w:rPr>
            </w:pPr>
          </w:p>
        </w:tc>
        <w:tc>
          <w:tcPr>
            <w:tcW w:w="1247" w:type="dxa"/>
            <w:vAlign w:val="bottom"/>
          </w:tcPr>
          <w:p w14:paraId="2EB5799D" w14:textId="77777777" w:rsidR="0010523F" w:rsidRPr="0010523F" w:rsidRDefault="0010523F" w:rsidP="0010523F">
            <w:pPr>
              <w:spacing w:line="180" w:lineRule="exact"/>
              <w:jc w:val="right"/>
              <w:rPr>
                <w:sz w:val="18"/>
                <w:szCs w:val="18"/>
                <w:highlight w:val="yellow"/>
                <w:lang w:val="es-AR" w:eastAsia="en-US"/>
              </w:rPr>
            </w:pPr>
          </w:p>
        </w:tc>
        <w:tc>
          <w:tcPr>
            <w:tcW w:w="236" w:type="dxa"/>
            <w:vAlign w:val="bottom"/>
          </w:tcPr>
          <w:p w14:paraId="0307368F" w14:textId="77777777" w:rsidR="0010523F" w:rsidRPr="0010523F" w:rsidRDefault="0010523F" w:rsidP="0010523F">
            <w:pPr>
              <w:tabs>
                <w:tab w:val="decimal" w:pos="985"/>
              </w:tabs>
              <w:spacing w:line="180" w:lineRule="exact"/>
              <w:jc w:val="both"/>
              <w:rPr>
                <w:sz w:val="18"/>
                <w:szCs w:val="18"/>
                <w:highlight w:val="yellow"/>
                <w:lang w:val="es-AR" w:eastAsia="en-US"/>
              </w:rPr>
            </w:pPr>
          </w:p>
        </w:tc>
        <w:tc>
          <w:tcPr>
            <w:tcW w:w="1247" w:type="dxa"/>
            <w:vAlign w:val="bottom"/>
          </w:tcPr>
          <w:p w14:paraId="46C4BA1B" w14:textId="77777777" w:rsidR="0010523F" w:rsidRPr="0010523F" w:rsidRDefault="0010523F" w:rsidP="0010523F">
            <w:pPr>
              <w:spacing w:line="180" w:lineRule="exact"/>
              <w:jc w:val="right"/>
              <w:rPr>
                <w:sz w:val="18"/>
                <w:szCs w:val="18"/>
                <w:highlight w:val="yellow"/>
                <w:lang w:val="es-AR" w:eastAsia="en-US"/>
              </w:rPr>
            </w:pPr>
          </w:p>
        </w:tc>
        <w:tc>
          <w:tcPr>
            <w:tcW w:w="236" w:type="dxa"/>
            <w:vAlign w:val="bottom"/>
          </w:tcPr>
          <w:p w14:paraId="04247375" w14:textId="77777777" w:rsidR="0010523F" w:rsidRPr="0010523F" w:rsidRDefault="0010523F" w:rsidP="0010523F">
            <w:pPr>
              <w:tabs>
                <w:tab w:val="decimal" w:pos="985"/>
              </w:tabs>
              <w:spacing w:line="180" w:lineRule="exact"/>
              <w:jc w:val="both"/>
              <w:rPr>
                <w:sz w:val="18"/>
                <w:szCs w:val="18"/>
                <w:highlight w:val="yellow"/>
                <w:lang w:val="es-AR" w:eastAsia="en-US"/>
              </w:rPr>
            </w:pPr>
          </w:p>
        </w:tc>
        <w:tc>
          <w:tcPr>
            <w:tcW w:w="1247" w:type="dxa"/>
            <w:vAlign w:val="bottom"/>
          </w:tcPr>
          <w:p w14:paraId="056E0B3A" w14:textId="77777777" w:rsidR="0010523F" w:rsidRPr="0010523F" w:rsidRDefault="0010523F" w:rsidP="0010523F">
            <w:pPr>
              <w:spacing w:line="180" w:lineRule="exact"/>
              <w:jc w:val="right"/>
              <w:rPr>
                <w:sz w:val="18"/>
                <w:szCs w:val="18"/>
                <w:highlight w:val="yellow"/>
                <w:lang w:val="es-AR" w:eastAsia="en-US"/>
              </w:rPr>
            </w:pPr>
          </w:p>
        </w:tc>
      </w:tr>
      <w:tr w:rsidR="0010523F" w:rsidRPr="0010523F" w14:paraId="2EA24DD5" w14:textId="77777777" w:rsidTr="00774E7E">
        <w:trPr>
          <w:gridAfter w:val="1"/>
          <w:wAfter w:w="21" w:type="dxa"/>
        </w:trPr>
        <w:tc>
          <w:tcPr>
            <w:tcW w:w="2721" w:type="dxa"/>
            <w:vAlign w:val="bottom"/>
          </w:tcPr>
          <w:p w14:paraId="53EEB2EC" w14:textId="77777777" w:rsidR="0010523F" w:rsidRPr="0010523F" w:rsidRDefault="0010523F" w:rsidP="0010523F">
            <w:pPr>
              <w:jc w:val="both"/>
              <w:rPr>
                <w:sz w:val="18"/>
                <w:szCs w:val="18"/>
                <w:lang w:val="es-AR" w:eastAsia="en-US"/>
              </w:rPr>
            </w:pPr>
            <w:r w:rsidRPr="0010523F">
              <w:rPr>
                <w:sz w:val="18"/>
                <w:szCs w:val="18"/>
                <w:lang w:val="es-AR" w:eastAsia="en-US"/>
              </w:rPr>
              <w:t>(a) en el mercado local</w:t>
            </w:r>
          </w:p>
        </w:tc>
        <w:tc>
          <w:tcPr>
            <w:tcW w:w="1247" w:type="dxa"/>
            <w:vAlign w:val="bottom"/>
          </w:tcPr>
          <w:p w14:paraId="0752D8D0" w14:textId="77777777" w:rsidR="0010523F" w:rsidRPr="0010523F" w:rsidRDefault="0010523F" w:rsidP="0010523F">
            <w:pPr>
              <w:tabs>
                <w:tab w:val="decimal" w:pos="985"/>
              </w:tabs>
              <w:jc w:val="both"/>
              <w:rPr>
                <w:sz w:val="18"/>
                <w:szCs w:val="18"/>
                <w:lang w:val="es-AR" w:eastAsia="en-US"/>
              </w:rPr>
            </w:pPr>
            <w:r w:rsidRPr="0010523F">
              <w:rPr>
                <w:sz w:val="18"/>
                <w:szCs w:val="18"/>
                <w:lang w:val="es-AR" w:eastAsia="en-US"/>
              </w:rPr>
              <w:t>-</w:t>
            </w:r>
          </w:p>
        </w:tc>
        <w:tc>
          <w:tcPr>
            <w:tcW w:w="236" w:type="dxa"/>
            <w:vAlign w:val="bottom"/>
          </w:tcPr>
          <w:p w14:paraId="10544535" w14:textId="77777777" w:rsidR="0010523F" w:rsidRPr="0010523F" w:rsidRDefault="0010523F" w:rsidP="0010523F">
            <w:pPr>
              <w:tabs>
                <w:tab w:val="decimal" w:pos="985"/>
              </w:tabs>
              <w:jc w:val="both"/>
              <w:rPr>
                <w:sz w:val="18"/>
                <w:szCs w:val="18"/>
                <w:highlight w:val="yellow"/>
                <w:lang w:val="es-AR" w:eastAsia="en-US"/>
              </w:rPr>
            </w:pPr>
          </w:p>
        </w:tc>
        <w:tc>
          <w:tcPr>
            <w:tcW w:w="1247" w:type="dxa"/>
            <w:vAlign w:val="bottom"/>
          </w:tcPr>
          <w:p w14:paraId="0BEFCB16" w14:textId="77777777" w:rsidR="0010523F" w:rsidRPr="0010523F" w:rsidRDefault="0010523F" w:rsidP="0010523F">
            <w:pPr>
              <w:tabs>
                <w:tab w:val="decimal" w:pos="985"/>
              </w:tabs>
              <w:jc w:val="both"/>
              <w:rPr>
                <w:sz w:val="18"/>
                <w:szCs w:val="18"/>
                <w:highlight w:val="yellow"/>
                <w:lang w:val="es-AR" w:eastAsia="en-US"/>
              </w:rPr>
            </w:pPr>
            <w:r w:rsidRPr="0010523F">
              <w:rPr>
                <w:sz w:val="18"/>
                <w:szCs w:val="18"/>
                <w:lang w:val="es-AR" w:eastAsia="en-US"/>
              </w:rPr>
              <w:t>-</w:t>
            </w:r>
          </w:p>
        </w:tc>
        <w:tc>
          <w:tcPr>
            <w:tcW w:w="238" w:type="dxa"/>
            <w:vAlign w:val="bottom"/>
          </w:tcPr>
          <w:p w14:paraId="094ED3C0" w14:textId="77777777" w:rsidR="0010523F" w:rsidRPr="0010523F" w:rsidRDefault="0010523F" w:rsidP="0010523F">
            <w:pPr>
              <w:tabs>
                <w:tab w:val="decimal" w:pos="985"/>
              </w:tabs>
              <w:jc w:val="both"/>
              <w:rPr>
                <w:sz w:val="18"/>
                <w:szCs w:val="18"/>
                <w:highlight w:val="yellow"/>
                <w:lang w:val="es-AR" w:eastAsia="en-US"/>
              </w:rPr>
            </w:pPr>
          </w:p>
        </w:tc>
        <w:tc>
          <w:tcPr>
            <w:tcW w:w="1247" w:type="dxa"/>
            <w:vAlign w:val="bottom"/>
          </w:tcPr>
          <w:p w14:paraId="301E2E8A" w14:textId="77777777" w:rsidR="0010523F" w:rsidRPr="0010523F" w:rsidRDefault="0010523F" w:rsidP="0010523F">
            <w:pPr>
              <w:jc w:val="right"/>
              <w:rPr>
                <w:sz w:val="18"/>
                <w:szCs w:val="18"/>
                <w:highlight w:val="yellow"/>
                <w:lang w:val="es-AR" w:eastAsia="en-US"/>
              </w:rPr>
            </w:pPr>
            <w:r w:rsidRPr="0010523F">
              <w:rPr>
                <w:sz w:val="18"/>
                <w:szCs w:val="18"/>
                <w:lang w:val="es-AR" w:eastAsia="en-US"/>
              </w:rPr>
              <w:t>-</w:t>
            </w:r>
          </w:p>
        </w:tc>
        <w:tc>
          <w:tcPr>
            <w:tcW w:w="236" w:type="dxa"/>
            <w:vAlign w:val="bottom"/>
          </w:tcPr>
          <w:p w14:paraId="10EC2A0B" w14:textId="77777777" w:rsidR="0010523F" w:rsidRPr="0010523F" w:rsidRDefault="0010523F" w:rsidP="0010523F">
            <w:pPr>
              <w:tabs>
                <w:tab w:val="decimal" w:pos="985"/>
              </w:tabs>
              <w:jc w:val="both"/>
              <w:rPr>
                <w:sz w:val="18"/>
                <w:szCs w:val="18"/>
                <w:highlight w:val="yellow"/>
                <w:lang w:val="es-AR" w:eastAsia="en-US"/>
              </w:rPr>
            </w:pPr>
          </w:p>
        </w:tc>
        <w:tc>
          <w:tcPr>
            <w:tcW w:w="1247" w:type="dxa"/>
            <w:vAlign w:val="bottom"/>
          </w:tcPr>
          <w:p w14:paraId="4F15AD87" w14:textId="77777777" w:rsidR="0010523F" w:rsidRPr="0010523F" w:rsidRDefault="0010523F" w:rsidP="0010523F">
            <w:pPr>
              <w:jc w:val="right"/>
              <w:rPr>
                <w:sz w:val="18"/>
                <w:szCs w:val="18"/>
                <w:highlight w:val="yellow"/>
                <w:lang w:val="es-AR" w:eastAsia="en-US"/>
              </w:rPr>
            </w:pPr>
            <w:r w:rsidRPr="0010523F">
              <w:rPr>
                <w:sz w:val="18"/>
                <w:szCs w:val="18"/>
                <w:lang w:val="es-AR" w:eastAsia="en-US"/>
              </w:rPr>
              <w:t>17.989</w:t>
            </w:r>
          </w:p>
        </w:tc>
        <w:tc>
          <w:tcPr>
            <w:tcW w:w="236" w:type="dxa"/>
            <w:vAlign w:val="bottom"/>
          </w:tcPr>
          <w:p w14:paraId="0DAF0377" w14:textId="77777777" w:rsidR="0010523F" w:rsidRPr="0010523F" w:rsidRDefault="0010523F" w:rsidP="0010523F">
            <w:pPr>
              <w:tabs>
                <w:tab w:val="decimal" w:pos="985"/>
              </w:tabs>
              <w:jc w:val="both"/>
              <w:rPr>
                <w:sz w:val="18"/>
                <w:szCs w:val="18"/>
                <w:highlight w:val="yellow"/>
                <w:lang w:val="es-AR" w:eastAsia="en-US"/>
              </w:rPr>
            </w:pPr>
          </w:p>
        </w:tc>
        <w:tc>
          <w:tcPr>
            <w:tcW w:w="1247" w:type="dxa"/>
            <w:vAlign w:val="bottom"/>
          </w:tcPr>
          <w:p w14:paraId="0E24A388" w14:textId="77777777" w:rsidR="0010523F" w:rsidRPr="0010523F" w:rsidRDefault="0010523F" w:rsidP="0010523F">
            <w:pPr>
              <w:jc w:val="right"/>
              <w:rPr>
                <w:sz w:val="18"/>
                <w:szCs w:val="18"/>
                <w:highlight w:val="yellow"/>
                <w:lang w:val="es-AR" w:eastAsia="en-US"/>
              </w:rPr>
            </w:pPr>
            <w:r w:rsidRPr="0010523F">
              <w:rPr>
                <w:sz w:val="18"/>
                <w:szCs w:val="18"/>
                <w:lang w:val="es-AR" w:eastAsia="en-US"/>
              </w:rPr>
              <w:t>27.543</w:t>
            </w:r>
          </w:p>
        </w:tc>
      </w:tr>
      <w:tr w:rsidR="0010523F" w:rsidRPr="0010523F" w14:paraId="2EE46EB0" w14:textId="77777777" w:rsidTr="00774E7E">
        <w:trPr>
          <w:gridAfter w:val="1"/>
          <w:wAfter w:w="21" w:type="dxa"/>
        </w:trPr>
        <w:tc>
          <w:tcPr>
            <w:tcW w:w="2721" w:type="dxa"/>
            <w:vAlign w:val="bottom"/>
          </w:tcPr>
          <w:p w14:paraId="2390AB6A" w14:textId="77777777" w:rsidR="0010523F" w:rsidRPr="0010523F" w:rsidRDefault="0010523F" w:rsidP="0010523F">
            <w:pPr>
              <w:jc w:val="both"/>
              <w:rPr>
                <w:sz w:val="18"/>
                <w:szCs w:val="18"/>
                <w:lang w:val="es-AR" w:eastAsia="en-US"/>
              </w:rPr>
            </w:pPr>
            <w:r w:rsidRPr="0010523F">
              <w:rPr>
                <w:sz w:val="18"/>
                <w:szCs w:val="18"/>
                <w:lang w:val="es-AR" w:eastAsia="en-US"/>
              </w:rPr>
              <w:t>(b) en el mercado externo</w:t>
            </w:r>
          </w:p>
        </w:tc>
        <w:tc>
          <w:tcPr>
            <w:tcW w:w="1247" w:type="dxa"/>
            <w:vAlign w:val="bottom"/>
          </w:tcPr>
          <w:p w14:paraId="000CBC7B" w14:textId="77777777" w:rsidR="0010523F" w:rsidRPr="0010523F" w:rsidRDefault="0010523F" w:rsidP="0010523F">
            <w:pPr>
              <w:tabs>
                <w:tab w:val="decimal" w:pos="985"/>
              </w:tabs>
              <w:jc w:val="both"/>
              <w:rPr>
                <w:sz w:val="18"/>
                <w:szCs w:val="18"/>
                <w:u w:val="single"/>
                <w:lang w:val="es-AR" w:eastAsia="en-US"/>
              </w:rPr>
            </w:pPr>
            <w:r w:rsidRPr="0010523F">
              <w:rPr>
                <w:sz w:val="18"/>
                <w:szCs w:val="18"/>
                <w:u w:val="single"/>
                <w:lang w:val="es-AR" w:eastAsia="en-US"/>
              </w:rPr>
              <w:t xml:space="preserve">             -</w:t>
            </w:r>
          </w:p>
        </w:tc>
        <w:tc>
          <w:tcPr>
            <w:tcW w:w="236" w:type="dxa"/>
            <w:vAlign w:val="bottom"/>
          </w:tcPr>
          <w:p w14:paraId="03A76C4A"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48F20FCD" w14:textId="77777777" w:rsidR="0010523F" w:rsidRPr="0010523F" w:rsidRDefault="0010523F" w:rsidP="0010523F">
            <w:pPr>
              <w:tabs>
                <w:tab w:val="decimal" w:pos="985"/>
              </w:tabs>
              <w:jc w:val="both"/>
              <w:rPr>
                <w:sz w:val="18"/>
                <w:szCs w:val="18"/>
                <w:highlight w:val="yellow"/>
                <w:u w:val="single"/>
                <w:lang w:val="es-AR" w:eastAsia="en-US"/>
              </w:rPr>
            </w:pPr>
            <w:r w:rsidRPr="0010523F">
              <w:rPr>
                <w:sz w:val="18"/>
                <w:szCs w:val="18"/>
                <w:u w:val="single"/>
                <w:lang w:val="es-AR" w:eastAsia="en-US"/>
              </w:rPr>
              <w:t xml:space="preserve">              -</w:t>
            </w:r>
          </w:p>
        </w:tc>
        <w:tc>
          <w:tcPr>
            <w:tcW w:w="238" w:type="dxa"/>
            <w:vAlign w:val="bottom"/>
          </w:tcPr>
          <w:p w14:paraId="09550675"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1DE575BF" w14:textId="77777777" w:rsidR="0010523F" w:rsidRPr="0010523F" w:rsidRDefault="0010523F" w:rsidP="0010523F">
            <w:pPr>
              <w:jc w:val="right"/>
              <w:rPr>
                <w:sz w:val="18"/>
                <w:szCs w:val="18"/>
                <w:highlight w:val="yellow"/>
                <w:u w:val="single"/>
                <w:lang w:val="es-AR" w:eastAsia="en-US"/>
              </w:rPr>
            </w:pPr>
            <w:r w:rsidRPr="0010523F">
              <w:rPr>
                <w:sz w:val="18"/>
                <w:szCs w:val="18"/>
                <w:u w:val="single"/>
                <w:lang w:val="es-AR" w:eastAsia="en-US"/>
              </w:rPr>
              <w:t xml:space="preserve">              -</w:t>
            </w:r>
          </w:p>
        </w:tc>
        <w:tc>
          <w:tcPr>
            <w:tcW w:w="236" w:type="dxa"/>
            <w:vAlign w:val="bottom"/>
          </w:tcPr>
          <w:p w14:paraId="06E2DF8E"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48A702C8" w14:textId="77777777" w:rsidR="0010523F" w:rsidRPr="0010523F" w:rsidRDefault="0010523F" w:rsidP="0010523F">
            <w:pPr>
              <w:jc w:val="right"/>
              <w:rPr>
                <w:sz w:val="18"/>
                <w:szCs w:val="18"/>
                <w:highlight w:val="yellow"/>
                <w:u w:val="single"/>
                <w:lang w:val="es-AR" w:eastAsia="en-US"/>
              </w:rPr>
            </w:pPr>
            <w:r w:rsidRPr="0010523F">
              <w:rPr>
                <w:sz w:val="18"/>
                <w:szCs w:val="18"/>
                <w:u w:val="single"/>
                <w:lang w:val="es-AR" w:eastAsia="en-US"/>
              </w:rPr>
              <w:t xml:space="preserve">    18.569</w:t>
            </w:r>
          </w:p>
        </w:tc>
        <w:tc>
          <w:tcPr>
            <w:tcW w:w="236" w:type="dxa"/>
            <w:vAlign w:val="bottom"/>
          </w:tcPr>
          <w:p w14:paraId="4A229556" w14:textId="77777777" w:rsidR="0010523F" w:rsidRPr="0010523F" w:rsidRDefault="0010523F" w:rsidP="0010523F">
            <w:pPr>
              <w:tabs>
                <w:tab w:val="decimal" w:pos="1026"/>
              </w:tabs>
              <w:ind w:left="-108"/>
              <w:jc w:val="both"/>
              <w:rPr>
                <w:sz w:val="18"/>
                <w:szCs w:val="18"/>
                <w:highlight w:val="yellow"/>
                <w:u w:val="single"/>
                <w:lang w:val="es-AR" w:eastAsia="en-US"/>
              </w:rPr>
            </w:pPr>
          </w:p>
        </w:tc>
        <w:tc>
          <w:tcPr>
            <w:tcW w:w="1247" w:type="dxa"/>
            <w:vAlign w:val="bottom"/>
          </w:tcPr>
          <w:p w14:paraId="2BC7E68D" w14:textId="77777777" w:rsidR="0010523F" w:rsidRPr="0010523F" w:rsidRDefault="0010523F" w:rsidP="0010523F">
            <w:pPr>
              <w:jc w:val="right"/>
              <w:rPr>
                <w:sz w:val="18"/>
                <w:szCs w:val="18"/>
                <w:highlight w:val="yellow"/>
                <w:u w:val="single"/>
                <w:lang w:val="es-AR" w:eastAsia="en-US"/>
              </w:rPr>
            </w:pPr>
            <w:r w:rsidRPr="0010523F">
              <w:rPr>
                <w:sz w:val="18"/>
                <w:szCs w:val="18"/>
                <w:u w:val="single"/>
                <w:lang w:val="es-AR" w:eastAsia="en-US"/>
              </w:rPr>
              <w:t xml:space="preserve">    7.056</w:t>
            </w:r>
          </w:p>
        </w:tc>
      </w:tr>
      <w:tr w:rsidR="0010523F" w:rsidRPr="0010523F" w14:paraId="6BAAC323" w14:textId="77777777" w:rsidTr="00774E7E">
        <w:trPr>
          <w:gridAfter w:val="1"/>
          <w:wAfter w:w="21" w:type="dxa"/>
        </w:trPr>
        <w:tc>
          <w:tcPr>
            <w:tcW w:w="2721" w:type="dxa"/>
            <w:vAlign w:val="bottom"/>
          </w:tcPr>
          <w:p w14:paraId="0C772A03" w14:textId="77777777" w:rsidR="0010523F" w:rsidRPr="0010523F" w:rsidRDefault="0010523F" w:rsidP="0010523F">
            <w:pPr>
              <w:jc w:val="both"/>
              <w:rPr>
                <w:sz w:val="18"/>
                <w:szCs w:val="18"/>
                <w:lang w:val="es-AR" w:eastAsia="en-US"/>
              </w:rPr>
            </w:pPr>
            <w:r w:rsidRPr="0010523F">
              <w:rPr>
                <w:sz w:val="18"/>
                <w:szCs w:val="18"/>
                <w:lang w:val="es-AR" w:eastAsia="en-US"/>
              </w:rPr>
              <w:t>Total de (a) + (b)</w:t>
            </w:r>
          </w:p>
        </w:tc>
        <w:tc>
          <w:tcPr>
            <w:tcW w:w="1247" w:type="dxa"/>
            <w:vAlign w:val="bottom"/>
          </w:tcPr>
          <w:p w14:paraId="529360EC" w14:textId="77777777" w:rsidR="0010523F" w:rsidRPr="0010523F" w:rsidRDefault="0010523F" w:rsidP="0010523F">
            <w:pPr>
              <w:tabs>
                <w:tab w:val="decimal" w:pos="985"/>
              </w:tabs>
              <w:jc w:val="both"/>
              <w:rPr>
                <w:sz w:val="18"/>
                <w:szCs w:val="18"/>
                <w:u w:val="double"/>
                <w:lang w:val="es-AR" w:eastAsia="en-US"/>
              </w:rPr>
            </w:pPr>
            <w:r w:rsidRPr="0010523F">
              <w:rPr>
                <w:sz w:val="18"/>
                <w:szCs w:val="18"/>
                <w:u w:val="double"/>
                <w:lang w:val="es-AR" w:eastAsia="en-US"/>
              </w:rPr>
              <w:t xml:space="preserve">             -</w:t>
            </w:r>
          </w:p>
        </w:tc>
        <w:tc>
          <w:tcPr>
            <w:tcW w:w="236" w:type="dxa"/>
            <w:vAlign w:val="bottom"/>
          </w:tcPr>
          <w:p w14:paraId="7AFA2189" w14:textId="77777777" w:rsidR="0010523F" w:rsidRPr="0010523F" w:rsidRDefault="0010523F" w:rsidP="0010523F">
            <w:pPr>
              <w:tabs>
                <w:tab w:val="decimal" w:pos="985"/>
              </w:tabs>
              <w:jc w:val="both"/>
              <w:rPr>
                <w:sz w:val="18"/>
                <w:szCs w:val="18"/>
                <w:highlight w:val="yellow"/>
                <w:lang w:val="es-AR" w:eastAsia="en-US"/>
              </w:rPr>
            </w:pPr>
          </w:p>
        </w:tc>
        <w:tc>
          <w:tcPr>
            <w:tcW w:w="1247" w:type="dxa"/>
            <w:vAlign w:val="bottom"/>
          </w:tcPr>
          <w:p w14:paraId="68E582DF" w14:textId="77777777" w:rsidR="0010523F" w:rsidRPr="0010523F" w:rsidRDefault="0010523F" w:rsidP="0010523F">
            <w:pPr>
              <w:tabs>
                <w:tab w:val="decimal" w:pos="985"/>
              </w:tabs>
              <w:jc w:val="both"/>
              <w:rPr>
                <w:sz w:val="18"/>
                <w:szCs w:val="18"/>
                <w:highlight w:val="yellow"/>
                <w:u w:val="double"/>
                <w:lang w:val="es-AR" w:eastAsia="en-US"/>
              </w:rPr>
            </w:pPr>
            <w:r w:rsidRPr="0010523F">
              <w:rPr>
                <w:sz w:val="18"/>
                <w:szCs w:val="18"/>
                <w:u w:val="double"/>
                <w:lang w:val="es-AR" w:eastAsia="en-US"/>
              </w:rPr>
              <w:t xml:space="preserve">              -</w:t>
            </w:r>
          </w:p>
        </w:tc>
        <w:tc>
          <w:tcPr>
            <w:tcW w:w="238" w:type="dxa"/>
            <w:vAlign w:val="bottom"/>
          </w:tcPr>
          <w:p w14:paraId="47DA99D3" w14:textId="77777777" w:rsidR="0010523F" w:rsidRPr="0010523F" w:rsidRDefault="0010523F" w:rsidP="0010523F">
            <w:pPr>
              <w:tabs>
                <w:tab w:val="decimal" w:pos="985"/>
              </w:tabs>
              <w:jc w:val="both"/>
              <w:rPr>
                <w:sz w:val="18"/>
                <w:szCs w:val="18"/>
                <w:highlight w:val="yellow"/>
                <w:u w:val="double"/>
                <w:lang w:val="es-AR" w:eastAsia="en-US"/>
              </w:rPr>
            </w:pPr>
          </w:p>
        </w:tc>
        <w:tc>
          <w:tcPr>
            <w:tcW w:w="1247" w:type="dxa"/>
            <w:vAlign w:val="bottom"/>
          </w:tcPr>
          <w:p w14:paraId="284C1450" w14:textId="77777777" w:rsidR="0010523F" w:rsidRPr="0010523F" w:rsidRDefault="0010523F" w:rsidP="0010523F">
            <w:pPr>
              <w:jc w:val="right"/>
              <w:rPr>
                <w:sz w:val="18"/>
                <w:szCs w:val="18"/>
                <w:highlight w:val="yellow"/>
                <w:u w:val="double"/>
                <w:lang w:val="es-AR" w:eastAsia="en-US"/>
              </w:rPr>
            </w:pPr>
            <w:r w:rsidRPr="0010523F">
              <w:rPr>
                <w:sz w:val="18"/>
                <w:szCs w:val="18"/>
                <w:u w:val="double"/>
                <w:lang w:val="es-AR" w:eastAsia="en-US"/>
              </w:rPr>
              <w:t xml:space="preserve">              -</w:t>
            </w:r>
          </w:p>
        </w:tc>
        <w:tc>
          <w:tcPr>
            <w:tcW w:w="236" w:type="dxa"/>
            <w:vAlign w:val="bottom"/>
          </w:tcPr>
          <w:p w14:paraId="09B400AE" w14:textId="77777777" w:rsidR="0010523F" w:rsidRPr="0010523F" w:rsidRDefault="0010523F" w:rsidP="0010523F">
            <w:pPr>
              <w:tabs>
                <w:tab w:val="decimal" w:pos="985"/>
              </w:tabs>
              <w:jc w:val="both"/>
              <w:rPr>
                <w:sz w:val="18"/>
                <w:szCs w:val="18"/>
                <w:highlight w:val="yellow"/>
                <w:u w:val="double"/>
                <w:lang w:val="es-AR" w:eastAsia="en-US"/>
              </w:rPr>
            </w:pPr>
          </w:p>
        </w:tc>
        <w:tc>
          <w:tcPr>
            <w:tcW w:w="1247" w:type="dxa"/>
            <w:vAlign w:val="bottom"/>
          </w:tcPr>
          <w:p w14:paraId="598ACEDA" w14:textId="77777777" w:rsidR="0010523F" w:rsidRPr="0010523F" w:rsidRDefault="0010523F" w:rsidP="0010523F">
            <w:pPr>
              <w:jc w:val="right"/>
              <w:rPr>
                <w:sz w:val="18"/>
                <w:szCs w:val="18"/>
                <w:highlight w:val="yellow"/>
                <w:u w:val="double"/>
                <w:lang w:val="es-AR" w:eastAsia="en-US"/>
              </w:rPr>
            </w:pPr>
            <w:r w:rsidRPr="0010523F">
              <w:rPr>
                <w:sz w:val="18"/>
                <w:szCs w:val="18"/>
                <w:u w:val="double"/>
                <w:lang w:val="es-AR" w:eastAsia="en-US"/>
              </w:rPr>
              <w:t xml:space="preserve">    36.558</w:t>
            </w:r>
          </w:p>
        </w:tc>
        <w:tc>
          <w:tcPr>
            <w:tcW w:w="236" w:type="dxa"/>
            <w:vAlign w:val="bottom"/>
          </w:tcPr>
          <w:p w14:paraId="3D2E7183" w14:textId="77777777" w:rsidR="0010523F" w:rsidRPr="0010523F" w:rsidRDefault="0010523F" w:rsidP="0010523F">
            <w:pPr>
              <w:tabs>
                <w:tab w:val="decimal" w:pos="985"/>
              </w:tabs>
              <w:jc w:val="both"/>
              <w:rPr>
                <w:sz w:val="18"/>
                <w:szCs w:val="18"/>
                <w:highlight w:val="yellow"/>
                <w:u w:val="double"/>
                <w:lang w:val="es-AR" w:eastAsia="en-US"/>
              </w:rPr>
            </w:pPr>
          </w:p>
        </w:tc>
        <w:tc>
          <w:tcPr>
            <w:tcW w:w="1247" w:type="dxa"/>
            <w:vAlign w:val="bottom"/>
          </w:tcPr>
          <w:p w14:paraId="39C59325" w14:textId="77777777" w:rsidR="0010523F" w:rsidRPr="0010523F" w:rsidRDefault="0010523F" w:rsidP="0010523F">
            <w:pPr>
              <w:jc w:val="right"/>
              <w:rPr>
                <w:sz w:val="18"/>
                <w:szCs w:val="18"/>
                <w:u w:val="double"/>
                <w:lang w:val="es-AR" w:eastAsia="en-US"/>
              </w:rPr>
            </w:pPr>
            <w:r w:rsidRPr="0010523F">
              <w:rPr>
                <w:sz w:val="18"/>
                <w:szCs w:val="18"/>
                <w:u w:val="double"/>
                <w:lang w:val="es-AR" w:eastAsia="en-US"/>
              </w:rPr>
              <w:t xml:space="preserve">  34.599</w:t>
            </w:r>
          </w:p>
        </w:tc>
      </w:tr>
    </w:tbl>
    <w:p w14:paraId="110D079C" w14:textId="77777777" w:rsidR="0010523F" w:rsidRPr="0010523F" w:rsidRDefault="0010523F" w:rsidP="0010523F">
      <w:pPr>
        <w:spacing w:line="200" w:lineRule="exact"/>
        <w:ind w:left="357" w:hanging="357"/>
        <w:jc w:val="both"/>
        <w:rPr>
          <w:sz w:val="23"/>
          <w:szCs w:val="23"/>
          <w:lang w:val="es-AR" w:eastAsia="en-US"/>
        </w:rPr>
      </w:pPr>
    </w:p>
    <w:p w14:paraId="3BE9A2BF" w14:textId="77777777" w:rsidR="0010523F" w:rsidRPr="0010523F" w:rsidRDefault="0010523F" w:rsidP="00E2318E">
      <w:pPr>
        <w:numPr>
          <w:ilvl w:val="0"/>
          <w:numId w:val="57"/>
        </w:numPr>
        <w:spacing w:line="200" w:lineRule="exact"/>
        <w:ind w:left="322"/>
        <w:jc w:val="both"/>
        <w:rPr>
          <w:sz w:val="19"/>
          <w:szCs w:val="19"/>
          <w:lang w:val="es-AR" w:eastAsia="en-US"/>
        </w:rPr>
      </w:pPr>
      <w:r w:rsidRPr="0010523F">
        <w:rPr>
          <w:sz w:val="19"/>
          <w:szCs w:val="19"/>
          <w:lang w:val="es-AR" w:eastAsia="en-US"/>
        </w:rPr>
        <w:t xml:space="preserve">Incluye gasolina proveniente del procesamiento de gas. </w:t>
      </w:r>
    </w:p>
    <w:p w14:paraId="0D154046" w14:textId="77777777" w:rsidR="0010523F" w:rsidRPr="0010523F" w:rsidRDefault="0010523F" w:rsidP="0010523F">
      <w:pPr>
        <w:spacing w:line="200" w:lineRule="exact"/>
        <w:ind w:left="322"/>
        <w:jc w:val="both"/>
        <w:rPr>
          <w:sz w:val="19"/>
          <w:szCs w:val="19"/>
          <w:lang w:val="es-AR" w:eastAsia="en-US"/>
        </w:rPr>
      </w:pPr>
    </w:p>
    <w:p w14:paraId="034F6A77" w14:textId="77777777" w:rsidR="0010523F" w:rsidRPr="0010523F" w:rsidRDefault="0010523F" w:rsidP="00E2318E">
      <w:pPr>
        <w:numPr>
          <w:ilvl w:val="0"/>
          <w:numId w:val="57"/>
        </w:numPr>
        <w:spacing w:line="200" w:lineRule="exact"/>
        <w:ind w:left="322"/>
        <w:jc w:val="both"/>
        <w:rPr>
          <w:sz w:val="19"/>
          <w:szCs w:val="19"/>
          <w:lang w:val="es-AR" w:eastAsia="en-US"/>
        </w:rPr>
      </w:pPr>
      <w:r w:rsidRPr="0010523F">
        <w:rPr>
          <w:sz w:val="19"/>
          <w:szCs w:val="19"/>
          <w:lang w:val="es-AR" w:eastAsia="en-US"/>
        </w:rPr>
        <w:t>A partir de la TFC mencionada en la Nota 1 de los estados financieros intermedios condensados, mediante la cual la Sucursal incorporó la refinación de petróleo crudo y el almacenamiento, distribución y comercialización de productos derivados, una parte significativa de su producción de petróleo crudo se procesa internamente.</w:t>
      </w:r>
    </w:p>
    <w:p w14:paraId="18B41114" w14:textId="77777777" w:rsidR="0010523F" w:rsidRPr="0010523F" w:rsidRDefault="0010523F" w:rsidP="0010523F">
      <w:pPr>
        <w:spacing w:line="160" w:lineRule="exact"/>
        <w:ind w:left="323" w:hanging="357"/>
        <w:jc w:val="both"/>
        <w:rPr>
          <w:sz w:val="23"/>
          <w:szCs w:val="23"/>
          <w:lang w:val="es-AR" w:eastAsia="en-US"/>
        </w:rPr>
      </w:pPr>
    </w:p>
    <w:p w14:paraId="4EFFE86F" w14:textId="77777777" w:rsidR="0010523F" w:rsidRPr="0010523F" w:rsidRDefault="0010523F" w:rsidP="00E2318E">
      <w:pPr>
        <w:numPr>
          <w:ilvl w:val="0"/>
          <w:numId w:val="57"/>
        </w:numPr>
        <w:spacing w:line="200" w:lineRule="exact"/>
        <w:ind w:left="322"/>
        <w:jc w:val="both"/>
        <w:rPr>
          <w:sz w:val="19"/>
          <w:szCs w:val="19"/>
          <w:lang w:val="es-AR" w:eastAsia="en-US"/>
        </w:rPr>
      </w:pPr>
      <w:r w:rsidRPr="0010523F">
        <w:rPr>
          <w:sz w:val="19"/>
          <w:szCs w:val="19"/>
          <w:lang w:val="es-AR" w:eastAsia="en-US"/>
        </w:rPr>
        <w:t xml:space="preserve">La producción de gas natural es mostrada neta de las cantidades reinyectadas en los reservorios, consumidas en las operaciones y de los volúmenes de gasolina y GLP extraídos en las plantas de procesamiento de gas. </w:t>
      </w:r>
    </w:p>
    <w:p w14:paraId="4A84D5B2" w14:textId="77777777" w:rsidR="0010523F" w:rsidRPr="0010523F" w:rsidRDefault="0010523F" w:rsidP="0010523F">
      <w:pPr>
        <w:spacing w:line="220" w:lineRule="exact"/>
        <w:ind w:left="720"/>
        <w:contextualSpacing/>
        <w:jc w:val="both"/>
        <w:rPr>
          <w:sz w:val="19"/>
          <w:szCs w:val="19"/>
          <w:lang w:val="es-AR" w:eastAsia="en-US"/>
        </w:rPr>
      </w:pPr>
    </w:p>
    <w:p w14:paraId="6506F2AA" w14:textId="77777777" w:rsidR="0010523F" w:rsidRPr="0010523F" w:rsidRDefault="0010523F" w:rsidP="00E2318E">
      <w:pPr>
        <w:numPr>
          <w:ilvl w:val="0"/>
          <w:numId w:val="57"/>
        </w:numPr>
        <w:spacing w:line="200" w:lineRule="exact"/>
        <w:ind w:left="322"/>
        <w:jc w:val="both"/>
        <w:rPr>
          <w:sz w:val="19"/>
          <w:szCs w:val="19"/>
          <w:lang w:val="es-AR" w:eastAsia="en-US"/>
        </w:rPr>
      </w:pPr>
      <w:r w:rsidRPr="0010523F">
        <w:rPr>
          <w:sz w:val="19"/>
          <w:szCs w:val="19"/>
          <w:lang w:val="es-AR" w:eastAsia="en-US"/>
        </w:rPr>
        <w:t>No incluye la venta de gas natural de reventa.</w:t>
      </w:r>
    </w:p>
    <w:p w14:paraId="56985E44" w14:textId="77777777" w:rsidR="0010523F" w:rsidRPr="0010523F" w:rsidRDefault="0010523F" w:rsidP="0010523F">
      <w:pPr>
        <w:spacing w:line="160" w:lineRule="exact"/>
        <w:ind w:left="323" w:hanging="357"/>
        <w:jc w:val="both"/>
        <w:rPr>
          <w:sz w:val="23"/>
          <w:szCs w:val="23"/>
          <w:lang w:val="es-AR" w:eastAsia="en-US"/>
        </w:rPr>
      </w:pPr>
    </w:p>
    <w:p w14:paraId="2E652FDF" w14:textId="77777777" w:rsidR="0010523F" w:rsidRPr="0010523F" w:rsidRDefault="0010523F" w:rsidP="00E2318E">
      <w:pPr>
        <w:numPr>
          <w:ilvl w:val="0"/>
          <w:numId w:val="57"/>
        </w:numPr>
        <w:spacing w:line="200" w:lineRule="exact"/>
        <w:ind w:left="322"/>
        <w:jc w:val="both"/>
        <w:rPr>
          <w:sz w:val="19"/>
          <w:szCs w:val="19"/>
          <w:lang w:val="es-AR" w:eastAsia="en-US"/>
        </w:rPr>
      </w:pPr>
      <w:r w:rsidRPr="0010523F">
        <w:rPr>
          <w:sz w:val="19"/>
          <w:szCs w:val="19"/>
          <w:lang w:val="es-AR" w:eastAsia="en-US"/>
        </w:rPr>
        <w:t>GLP: Gas licuado de petróleo. Entre febrero y abril de 2016 concluyó la vigencia de los contratos para el procesamiento de gas natural con TGS, razón por la cual desde entonces la Sucursal ha dejado de ser productor de GLP, interrumpiéndose la separación de estos productos de las corrientes de gas natural.</w:t>
      </w:r>
    </w:p>
    <w:p w14:paraId="7AEA3754" w14:textId="77777777" w:rsidR="0010523F" w:rsidRPr="0010523F" w:rsidRDefault="0010523F" w:rsidP="0010523F">
      <w:pPr>
        <w:spacing w:line="200" w:lineRule="exact"/>
        <w:ind w:left="322" w:hanging="323"/>
        <w:jc w:val="both"/>
        <w:rPr>
          <w:sz w:val="19"/>
          <w:szCs w:val="19"/>
          <w:lang w:val="es-AR" w:eastAsia="en-US"/>
        </w:rPr>
      </w:pPr>
    </w:p>
    <w:p w14:paraId="06599000" w14:textId="77777777" w:rsidR="0010523F" w:rsidRPr="0010523F" w:rsidRDefault="0010523F" w:rsidP="0010523F">
      <w:pPr>
        <w:tabs>
          <w:tab w:val="decimal" w:pos="8647"/>
        </w:tabs>
        <w:spacing w:line="220" w:lineRule="exact"/>
        <w:jc w:val="both"/>
        <w:rPr>
          <w:lang w:val="es-AR" w:eastAsia="en-US"/>
        </w:rPr>
      </w:pPr>
      <w:r w:rsidRPr="0010523F">
        <w:rPr>
          <w:b/>
          <w:lang w:val="es-AR" w:eastAsia="en-US"/>
        </w:rPr>
        <w:t xml:space="preserve">5.2 Downstream (en unidades físicas) </w:t>
      </w:r>
    </w:p>
    <w:p w14:paraId="34F5F47E" w14:textId="77777777" w:rsidR="0010523F" w:rsidRPr="0010523F" w:rsidRDefault="0010523F" w:rsidP="0010523F">
      <w:pPr>
        <w:spacing w:line="200" w:lineRule="exact"/>
        <w:ind w:left="322" w:hanging="323"/>
        <w:jc w:val="both"/>
        <w:rPr>
          <w:sz w:val="19"/>
          <w:szCs w:val="19"/>
          <w:highlight w:val="cyan"/>
          <w:lang w:val="es-AR" w:eastAsia="en-US"/>
        </w:rPr>
      </w:pPr>
    </w:p>
    <w:tbl>
      <w:tblPr>
        <w:tblW w:w="9673" w:type="dxa"/>
        <w:tblInd w:w="-34" w:type="dxa"/>
        <w:tblLayout w:type="fixed"/>
        <w:tblLook w:val="0000" w:firstRow="0" w:lastRow="0" w:firstColumn="0" w:lastColumn="0" w:noHBand="0" w:noVBand="0"/>
      </w:tblPr>
      <w:tblGrid>
        <w:gridCol w:w="1735"/>
        <w:gridCol w:w="1134"/>
        <w:gridCol w:w="236"/>
        <w:gridCol w:w="1182"/>
        <w:gridCol w:w="284"/>
        <w:gridCol w:w="1133"/>
        <w:gridCol w:w="236"/>
        <w:gridCol w:w="1040"/>
        <w:gridCol w:w="284"/>
        <w:gridCol w:w="1134"/>
        <w:gridCol w:w="236"/>
        <w:gridCol w:w="1039"/>
      </w:tblGrid>
      <w:tr w:rsidR="0010523F" w:rsidRPr="0010523F" w14:paraId="13A1F46F" w14:textId="77777777" w:rsidTr="00774E7E">
        <w:trPr>
          <w:trHeight w:val="247"/>
        </w:trPr>
        <w:tc>
          <w:tcPr>
            <w:tcW w:w="1735" w:type="dxa"/>
            <w:vAlign w:val="bottom"/>
          </w:tcPr>
          <w:p w14:paraId="5AB14ADB" w14:textId="77777777" w:rsidR="0010523F" w:rsidRPr="0010523F" w:rsidRDefault="0010523F" w:rsidP="0010523F">
            <w:pPr>
              <w:jc w:val="center"/>
              <w:rPr>
                <w:sz w:val="18"/>
                <w:szCs w:val="18"/>
                <w:lang w:val="es-AR" w:eastAsia="en-US"/>
              </w:rPr>
            </w:pPr>
          </w:p>
        </w:tc>
        <w:tc>
          <w:tcPr>
            <w:tcW w:w="7938" w:type="dxa"/>
            <w:gridSpan w:val="11"/>
            <w:tcBorders>
              <w:bottom w:val="single" w:sz="4" w:space="0" w:color="auto"/>
            </w:tcBorders>
          </w:tcPr>
          <w:p w14:paraId="5E919F87" w14:textId="77777777" w:rsidR="0010523F" w:rsidRPr="0010523F" w:rsidRDefault="0010523F" w:rsidP="0010523F">
            <w:pPr>
              <w:ind w:left="-108"/>
              <w:jc w:val="center"/>
              <w:rPr>
                <w:sz w:val="18"/>
                <w:szCs w:val="18"/>
                <w:lang w:val="es-AR" w:eastAsia="en-US"/>
              </w:rPr>
            </w:pPr>
            <w:r w:rsidRPr="0010523F">
              <w:rPr>
                <w:sz w:val="18"/>
                <w:szCs w:val="18"/>
                <w:lang w:val="es-AR" w:eastAsia="en-US"/>
              </w:rPr>
              <w:t xml:space="preserve">Información por el período de nueve meses finalizado el 30/09/2019 (en m3) </w:t>
            </w:r>
          </w:p>
        </w:tc>
      </w:tr>
      <w:tr w:rsidR="0010523F" w:rsidRPr="0010523F" w14:paraId="4129FCA6" w14:textId="77777777" w:rsidTr="00774E7E">
        <w:tc>
          <w:tcPr>
            <w:tcW w:w="1735" w:type="dxa"/>
            <w:vAlign w:val="bottom"/>
          </w:tcPr>
          <w:p w14:paraId="472AF980" w14:textId="77777777" w:rsidR="0010523F" w:rsidRPr="0010523F" w:rsidRDefault="0010523F" w:rsidP="0010523F">
            <w:pPr>
              <w:keepNext/>
              <w:jc w:val="center"/>
              <w:outlineLvl w:val="5"/>
              <w:rPr>
                <w:sz w:val="18"/>
                <w:szCs w:val="18"/>
                <w:u w:val="single"/>
                <w:lang w:val="es-AR" w:eastAsia="en-US"/>
              </w:rPr>
            </w:pPr>
          </w:p>
        </w:tc>
        <w:tc>
          <w:tcPr>
            <w:tcW w:w="2552" w:type="dxa"/>
            <w:gridSpan w:val="3"/>
            <w:tcBorders>
              <w:top w:val="single" w:sz="4" w:space="0" w:color="auto"/>
              <w:bottom w:val="single" w:sz="4" w:space="0" w:color="auto"/>
            </w:tcBorders>
          </w:tcPr>
          <w:p w14:paraId="56B27FA9" w14:textId="77777777" w:rsidR="0010523F" w:rsidRPr="0010523F" w:rsidRDefault="0010523F" w:rsidP="0010523F">
            <w:pPr>
              <w:ind w:left="-108"/>
              <w:jc w:val="center"/>
              <w:rPr>
                <w:sz w:val="18"/>
                <w:szCs w:val="18"/>
                <w:lang w:val="es-AR" w:eastAsia="en-US"/>
              </w:rPr>
            </w:pPr>
            <w:r w:rsidRPr="0010523F">
              <w:rPr>
                <w:sz w:val="18"/>
                <w:szCs w:val="18"/>
                <w:lang w:val="es-AR" w:eastAsia="en-US"/>
              </w:rPr>
              <w:t>Exportaciones</w:t>
            </w:r>
          </w:p>
        </w:tc>
        <w:tc>
          <w:tcPr>
            <w:tcW w:w="284" w:type="dxa"/>
            <w:tcBorders>
              <w:top w:val="single" w:sz="4" w:space="0" w:color="auto"/>
            </w:tcBorders>
            <w:vAlign w:val="bottom"/>
          </w:tcPr>
          <w:p w14:paraId="18D86045" w14:textId="77777777" w:rsidR="0010523F" w:rsidRPr="0010523F" w:rsidRDefault="0010523F" w:rsidP="0010523F">
            <w:pPr>
              <w:ind w:left="-108"/>
              <w:jc w:val="center"/>
              <w:rPr>
                <w:sz w:val="18"/>
                <w:szCs w:val="18"/>
                <w:lang w:val="es-AR" w:eastAsia="en-US"/>
              </w:rPr>
            </w:pPr>
          </w:p>
        </w:tc>
        <w:tc>
          <w:tcPr>
            <w:tcW w:w="2409" w:type="dxa"/>
            <w:gridSpan w:val="3"/>
            <w:tcBorders>
              <w:top w:val="single" w:sz="4" w:space="0" w:color="auto"/>
              <w:bottom w:val="single" w:sz="4" w:space="0" w:color="auto"/>
            </w:tcBorders>
          </w:tcPr>
          <w:p w14:paraId="3FF203CB" w14:textId="77777777" w:rsidR="0010523F" w:rsidRPr="0010523F" w:rsidRDefault="0010523F" w:rsidP="0010523F">
            <w:pPr>
              <w:ind w:left="-108"/>
              <w:jc w:val="center"/>
              <w:rPr>
                <w:sz w:val="18"/>
                <w:szCs w:val="18"/>
                <w:lang w:val="es-AR" w:eastAsia="en-US"/>
              </w:rPr>
            </w:pPr>
            <w:r w:rsidRPr="0010523F">
              <w:rPr>
                <w:sz w:val="18"/>
                <w:szCs w:val="18"/>
                <w:lang w:val="es-AR" w:eastAsia="en-US"/>
              </w:rPr>
              <w:t>Venta local</w:t>
            </w:r>
          </w:p>
        </w:tc>
        <w:tc>
          <w:tcPr>
            <w:tcW w:w="284" w:type="dxa"/>
            <w:tcBorders>
              <w:top w:val="single" w:sz="4" w:space="0" w:color="auto"/>
            </w:tcBorders>
            <w:vAlign w:val="bottom"/>
          </w:tcPr>
          <w:p w14:paraId="42885C96" w14:textId="77777777" w:rsidR="0010523F" w:rsidRPr="0010523F" w:rsidRDefault="0010523F" w:rsidP="0010523F">
            <w:pPr>
              <w:ind w:left="-108"/>
              <w:jc w:val="center"/>
              <w:rPr>
                <w:sz w:val="18"/>
                <w:szCs w:val="18"/>
                <w:lang w:val="es-AR" w:eastAsia="en-US"/>
              </w:rPr>
            </w:pPr>
          </w:p>
        </w:tc>
        <w:tc>
          <w:tcPr>
            <w:tcW w:w="2409" w:type="dxa"/>
            <w:gridSpan w:val="3"/>
            <w:tcBorders>
              <w:top w:val="single" w:sz="4" w:space="0" w:color="auto"/>
            </w:tcBorders>
          </w:tcPr>
          <w:p w14:paraId="0454B82B" w14:textId="77777777" w:rsidR="0010523F" w:rsidRPr="0010523F" w:rsidRDefault="0010523F" w:rsidP="0010523F">
            <w:pPr>
              <w:ind w:left="-108"/>
              <w:jc w:val="center"/>
              <w:rPr>
                <w:sz w:val="18"/>
                <w:szCs w:val="18"/>
                <w:lang w:val="es-AR" w:eastAsia="en-US"/>
              </w:rPr>
            </w:pPr>
            <w:r w:rsidRPr="0010523F">
              <w:rPr>
                <w:sz w:val="18"/>
                <w:szCs w:val="18"/>
                <w:lang w:val="es-AR" w:eastAsia="en-US"/>
              </w:rPr>
              <w:t>Ranchos</w:t>
            </w:r>
          </w:p>
        </w:tc>
      </w:tr>
      <w:tr w:rsidR="0010523F" w:rsidRPr="0010523F" w14:paraId="22C97BAB" w14:textId="77777777" w:rsidTr="00774E7E">
        <w:tc>
          <w:tcPr>
            <w:tcW w:w="1735" w:type="dxa"/>
            <w:vAlign w:val="bottom"/>
          </w:tcPr>
          <w:p w14:paraId="02CE3A89" w14:textId="77777777" w:rsidR="0010523F" w:rsidRPr="0010523F" w:rsidRDefault="0010523F" w:rsidP="0010523F">
            <w:pPr>
              <w:rPr>
                <w:sz w:val="18"/>
                <w:szCs w:val="18"/>
                <w:lang w:val="es-AR" w:eastAsia="en-US"/>
              </w:rPr>
            </w:pPr>
          </w:p>
        </w:tc>
        <w:tc>
          <w:tcPr>
            <w:tcW w:w="1134" w:type="dxa"/>
            <w:tcBorders>
              <w:top w:val="single" w:sz="4" w:space="0" w:color="auto"/>
            </w:tcBorders>
          </w:tcPr>
          <w:p w14:paraId="3CA83F29" w14:textId="77777777" w:rsidR="0010523F" w:rsidRPr="0010523F" w:rsidRDefault="0010523F" w:rsidP="0010523F">
            <w:pPr>
              <w:ind w:left="-108"/>
              <w:jc w:val="center"/>
              <w:rPr>
                <w:color w:val="000000"/>
                <w:sz w:val="18"/>
                <w:szCs w:val="18"/>
                <w:lang w:val="es-AR" w:eastAsia="en-US"/>
              </w:rPr>
            </w:pPr>
            <w:r w:rsidRPr="0010523F">
              <w:rPr>
                <w:color w:val="000000"/>
                <w:sz w:val="18"/>
                <w:szCs w:val="18"/>
                <w:lang w:val="es-AR" w:eastAsia="en-US"/>
              </w:rPr>
              <w:t>30/09/2019</w:t>
            </w:r>
          </w:p>
        </w:tc>
        <w:tc>
          <w:tcPr>
            <w:tcW w:w="236" w:type="dxa"/>
          </w:tcPr>
          <w:p w14:paraId="1D8BD3E0" w14:textId="77777777" w:rsidR="0010523F" w:rsidRPr="0010523F" w:rsidRDefault="0010523F" w:rsidP="0010523F">
            <w:pPr>
              <w:tabs>
                <w:tab w:val="decimal" w:pos="1026"/>
              </w:tabs>
              <w:ind w:left="-108"/>
              <w:jc w:val="center"/>
              <w:rPr>
                <w:sz w:val="18"/>
                <w:szCs w:val="18"/>
                <w:lang w:val="es-AR" w:eastAsia="en-US"/>
              </w:rPr>
            </w:pPr>
          </w:p>
        </w:tc>
        <w:tc>
          <w:tcPr>
            <w:tcW w:w="1182" w:type="dxa"/>
            <w:tcBorders>
              <w:bottom w:val="single" w:sz="4" w:space="0" w:color="auto"/>
            </w:tcBorders>
          </w:tcPr>
          <w:p w14:paraId="184C09E6" w14:textId="77777777" w:rsidR="0010523F" w:rsidRPr="0010523F" w:rsidRDefault="0010523F" w:rsidP="0010523F">
            <w:pPr>
              <w:jc w:val="center"/>
              <w:rPr>
                <w:sz w:val="18"/>
                <w:szCs w:val="18"/>
                <w:lang w:val="es-AR" w:eastAsia="en-US"/>
              </w:rPr>
            </w:pPr>
            <w:r w:rsidRPr="0010523F">
              <w:rPr>
                <w:color w:val="000000"/>
                <w:sz w:val="18"/>
                <w:szCs w:val="18"/>
                <w:lang w:val="es-AR" w:eastAsia="en-US"/>
              </w:rPr>
              <w:t>30/09/2018 (1)</w:t>
            </w:r>
          </w:p>
        </w:tc>
        <w:tc>
          <w:tcPr>
            <w:tcW w:w="284" w:type="dxa"/>
          </w:tcPr>
          <w:p w14:paraId="38248802" w14:textId="77777777" w:rsidR="0010523F" w:rsidRPr="0010523F" w:rsidRDefault="0010523F" w:rsidP="0010523F">
            <w:pPr>
              <w:tabs>
                <w:tab w:val="decimal" w:pos="1026"/>
              </w:tabs>
              <w:ind w:left="-108" w:right="38"/>
              <w:jc w:val="center"/>
              <w:rPr>
                <w:sz w:val="18"/>
                <w:szCs w:val="18"/>
                <w:lang w:val="es-AR" w:eastAsia="en-US"/>
              </w:rPr>
            </w:pPr>
          </w:p>
        </w:tc>
        <w:tc>
          <w:tcPr>
            <w:tcW w:w="1133" w:type="dxa"/>
            <w:tcBorders>
              <w:top w:val="single" w:sz="4" w:space="0" w:color="auto"/>
            </w:tcBorders>
          </w:tcPr>
          <w:p w14:paraId="6C828B31" w14:textId="77777777" w:rsidR="0010523F" w:rsidRPr="0010523F" w:rsidRDefault="0010523F" w:rsidP="0010523F">
            <w:pPr>
              <w:jc w:val="center"/>
              <w:rPr>
                <w:color w:val="000000"/>
                <w:sz w:val="18"/>
                <w:szCs w:val="18"/>
                <w:lang w:val="es-AR" w:eastAsia="en-US"/>
              </w:rPr>
            </w:pPr>
            <w:r w:rsidRPr="0010523F">
              <w:rPr>
                <w:color w:val="000000"/>
                <w:sz w:val="18"/>
                <w:szCs w:val="18"/>
                <w:lang w:val="es-AR" w:eastAsia="en-US"/>
              </w:rPr>
              <w:t>30/09/2019</w:t>
            </w:r>
          </w:p>
        </w:tc>
        <w:tc>
          <w:tcPr>
            <w:tcW w:w="236" w:type="dxa"/>
          </w:tcPr>
          <w:p w14:paraId="6722C82A" w14:textId="77777777" w:rsidR="0010523F" w:rsidRPr="0010523F" w:rsidRDefault="0010523F" w:rsidP="0010523F">
            <w:pPr>
              <w:tabs>
                <w:tab w:val="decimal" w:pos="1026"/>
              </w:tabs>
              <w:ind w:left="-108"/>
              <w:jc w:val="center"/>
              <w:rPr>
                <w:sz w:val="18"/>
                <w:szCs w:val="18"/>
                <w:lang w:val="es-AR" w:eastAsia="en-US"/>
              </w:rPr>
            </w:pPr>
          </w:p>
        </w:tc>
        <w:tc>
          <w:tcPr>
            <w:tcW w:w="1040" w:type="dxa"/>
            <w:tcBorders>
              <w:bottom w:val="single" w:sz="4" w:space="0" w:color="auto"/>
            </w:tcBorders>
          </w:tcPr>
          <w:p w14:paraId="3C65ECB8" w14:textId="77777777" w:rsidR="0010523F" w:rsidRPr="0010523F" w:rsidRDefault="0010523F" w:rsidP="0010523F">
            <w:pPr>
              <w:ind w:left="-108"/>
              <w:jc w:val="center"/>
              <w:rPr>
                <w:sz w:val="18"/>
                <w:szCs w:val="18"/>
                <w:lang w:val="es-AR" w:eastAsia="en-US"/>
              </w:rPr>
            </w:pPr>
            <w:r w:rsidRPr="0010523F">
              <w:rPr>
                <w:color w:val="000000"/>
                <w:sz w:val="18"/>
                <w:szCs w:val="18"/>
                <w:lang w:val="es-AR" w:eastAsia="en-US"/>
              </w:rPr>
              <w:t>30/09/2018 (1)</w:t>
            </w:r>
          </w:p>
        </w:tc>
        <w:tc>
          <w:tcPr>
            <w:tcW w:w="284" w:type="dxa"/>
          </w:tcPr>
          <w:p w14:paraId="2D37132E" w14:textId="77777777" w:rsidR="0010523F" w:rsidRPr="0010523F" w:rsidRDefault="0010523F" w:rsidP="0010523F">
            <w:pPr>
              <w:tabs>
                <w:tab w:val="decimal" w:pos="1026"/>
              </w:tabs>
              <w:ind w:left="-108"/>
              <w:jc w:val="center"/>
              <w:rPr>
                <w:sz w:val="18"/>
                <w:szCs w:val="18"/>
                <w:lang w:val="es-AR" w:eastAsia="en-US"/>
              </w:rPr>
            </w:pPr>
          </w:p>
        </w:tc>
        <w:tc>
          <w:tcPr>
            <w:tcW w:w="1134" w:type="dxa"/>
            <w:tcBorders>
              <w:top w:val="single" w:sz="4" w:space="0" w:color="auto"/>
            </w:tcBorders>
          </w:tcPr>
          <w:p w14:paraId="34E7985D" w14:textId="77777777" w:rsidR="0010523F" w:rsidRPr="0010523F" w:rsidRDefault="0010523F" w:rsidP="0010523F">
            <w:pPr>
              <w:jc w:val="center"/>
              <w:rPr>
                <w:color w:val="000000"/>
                <w:sz w:val="18"/>
                <w:szCs w:val="18"/>
                <w:lang w:val="es-AR" w:eastAsia="en-US"/>
              </w:rPr>
            </w:pPr>
            <w:r w:rsidRPr="0010523F">
              <w:rPr>
                <w:color w:val="000000"/>
                <w:sz w:val="18"/>
                <w:szCs w:val="18"/>
                <w:lang w:val="es-AR" w:eastAsia="en-US"/>
              </w:rPr>
              <w:t>30/09/2019</w:t>
            </w:r>
          </w:p>
        </w:tc>
        <w:tc>
          <w:tcPr>
            <w:tcW w:w="236" w:type="dxa"/>
            <w:tcBorders>
              <w:top w:val="single" w:sz="4" w:space="0" w:color="auto"/>
            </w:tcBorders>
          </w:tcPr>
          <w:p w14:paraId="33CCFAA8" w14:textId="77777777" w:rsidR="0010523F" w:rsidRPr="0010523F" w:rsidRDefault="0010523F" w:rsidP="0010523F">
            <w:pPr>
              <w:jc w:val="center"/>
              <w:rPr>
                <w:color w:val="000000"/>
                <w:sz w:val="18"/>
                <w:szCs w:val="18"/>
                <w:lang w:val="es-AR" w:eastAsia="en-US"/>
              </w:rPr>
            </w:pPr>
          </w:p>
        </w:tc>
        <w:tc>
          <w:tcPr>
            <w:tcW w:w="1039" w:type="dxa"/>
            <w:tcBorders>
              <w:top w:val="single" w:sz="4" w:space="0" w:color="auto"/>
            </w:tcBorders>
          </w:tcPr>
          <w:p w14:paraId="59B8D4D3" w14:textId="77777777" w:rsidR="0010523F" w:rsidRPr="0010523F" w:rsidRDefault="0010523F" w:rsidP="0010523F">
            <w:pPr>
              <w:jc w:val="center"/>
              <w:rPr>
                <w:color w:val="000000"/>
                <w:sz w:val="18"/>
                <w:szCs w:val="18"/>
                <w:lang w:val="es-AR" w:eastAsia="en-US"/>
              </w:rPr>
            </w:pPr>
            <w:r w:rsidRPr="0010523F">
              <w:rPr>
                <w:color w:val="000000"/>
                <w:sz w:val="18"/>
                <w:szCs w:val="18"/>
                <w:lang w:val="es-AR" w:eastAsia="en-US"/>
              </w:rPr>
              <w:t>30/09/2018 (1)</w:t>
            </w:r>
          </w:p>
        </w:tc>
      </w:tr>
      <w:tr w:rsidR="0010523F" w:rsidRPr="0010523F" w14:paraId="293F5EFD" w14:textId="77777777" w:rsidTr="00774E7E">
        <w:tc>
          <w:tcPr>
            <w:tcW w:w="1735" w:type="dxa"/>
            <w:vAlign w:val="bottom"/>
          </w:tcPr>
          <w:p w14:paraId="269A20DF" w14:textId="77777777" w:rsidR="0010523F" w:rsidRPr="0010523F" w:rsidRDefault="0010523F" w:rsidP="0010523F">
            <w:pPr>
              <w:rPr>
                <w:sz w:val="18"/>
                <w:szCs w:val="18"/>
                <w:lang w:val="es-AR" w:eastAsia="en-US"/>
              </w:rPr>
            </w:pPr>
            <w:r w:rsidRPr="0010523F">
              <w:rPr>
                <w:sz w:val="18"/>
                <w:szCs w:val="18"/>
                <w:lang w:val="es-AR" w:eastAsia="en-US"/>
              </w:rPr>
              <w:t>Jet Fuel</w:t>
            </w:r>
          </w:p>
        </w:tc>
        <w:tc>
          <w:tcPr>
            <w:tcW w:w="1134" w:type="dxa"/>
            <w:tcBorders>
              <w:top w:val="single" w:sz="4" w:space="0" w:color="auto"/>
            </w:tcBorders>
            <w:vAlign w:val="bottom"/>
          </w:tcPr>
          <w:p w14:paraId="01EBC503" w14:textId="77777777" w:rsidR="0010523F" w:rsidRPr="0010523F" w:rsidRDefault="0010523F" w:rsidP="0010523F">
            <w:pPr>
              <w:ind w:left="-108"/>
              <w:jc w:val="right"/>
              <w:rPr>
                <w:sz w:val="18"/>
                <w:szCs w:val="18"/>
                <w:lang w:val="es-AR" w:eastAsia="en-US"/>
              </w:rPr>
            </w:pPr>
            <w:r w:rsidRPr="0010523F">
              <w:rPr>
                <w:color w:val="000000"/>
                <w:sz w:val="18"/>
                <w:szCs w:val="18"/>
                <w:lang w:val="es-AR" w:eastAsia="en-US"/>
              </w:rPr>
              <w:t xml:space="preserve">       3.142   </w:t>
            </w:r>
          </w:p>
        </w:tc>
        <w:tc>
          <w:tcPr>
            <w:tcW w:w="236" w:type="dxa"/>
            <w:vAlign w:val="bottom"/>
          </w:tcPr>
          <w:p w14:paraId="4CF1A7D5" w14:textId="77777777" w:rsidR="0010523F" w:rsidRPr="0010523F" w:rsidRDefault="0010523F" w:rsidP="0010523F">
            <w:pPr>
              <w:tabs>
                <w:tab w:val="decimal" w:pos="1026"/>
              </w:tabs>
              <w:ind w:left="-108"/>
              <w:jc w:val="right"/>
              <w:rPr>
                <w:sz w:val="18"/>
                <w:szCs w:val="18"/>
                <w:highlight w:val="yellow"/>
                <w:lang w:val="es-AR" w:eastAsia="en-US"/>
              </w:rPr>
            </w:pPr>
          </w:p>
        </w:tc>
        <w:tc>
          <w:tcPr>
            <w:tcW w:w="1182" w:type="dxa"/>
            <w:vAlign w:val="bottom"/>
          </w:tcPr>
          <w:p w14:paraId="6DC06282"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w:t>
            </w:r>
          </w:p>
        </w:tc>
        <w:tc>
          <w:tcPr>
            <w:tcW w:w="284" w:type="dxa"/>
            <w:vAlign w:val="bottom"/>
          </w:tcPr>
          <w:p w14:paraId="088FF4B0" w14:textId="77777777" w:rsidR="0010523F" w:rsidRPr="0010523F" w:rsidRDefault="0010523F" w:rsidP="0010523F">
            <w:pPr>
              <w:tabs>
                <w:tab w:val="decimal" w:pos="1026"/>
              </w:tabs>
              <w:ind w:left="-108"/>
              <w:jc w:val="right"/>
              <w:rPr>
                <w:sz w:val="18"/>
                <w:szCs w:val="18"/>
                <w:highlight w:val="yellow"/>
                <w:lang w:val="es-AR" w:eastAsia="en-US"/>
              </w:rPr>
            </w:pPr>
          </w:p>
        </w:tc>
        <w:tc>
          <w:tcPr>
            <w:tcW w:w="1133" w:type="dxa"/>
            <w:tcBorders>
              <w:top w:val="single" w:sz="4" w:space="0" w:color="auto"/>
            </w:tcBorders>
            <w:vAlign w:val="bottom"/>
          </w:tcPr>
          <w:p w14:paraId="15AAC74D" w14:textId="77777777" w:rsidR="0010523F" w:rsidRPr="0010523F" w:rsidDel="00856787" w:rsidRDefault="0010523F" w:rsidP="0010523F">
            <w:pPr>
              <w:jc w:val="right"/>
              <w:rPr>
                <w:sz w:val="18"/>
                <w:szCs w:val="18"/>
                <w:lang w:val="es-AR" w:eastAsia="en-US"/>
              </w:rPr>
            </w:pPr>
            <w:r w:rsidRPr="0010523F">
              <w:rPr>
                <w:color w:val="000000"/>
                <w:sz w:val="18"/>
                <w:szCs w:val="18"/>
                <w:lang w:val="es-AR" w:eastAsia="en-US"/>
              </w:rPr>
              <w:t xml:space="preserve">95.419 </w:t>
            </w:r>
          </w:p>
        </w:tc>
        <w:tc>
          <w:tcPr>
            <w:tcW w:w="236" w:type="dxa"/>
            <w:vAlign w:val="bottom"/>
          </w:tcPr>
          <w:p w14:paraId="53AC93C3" w14:textId="77777777" w:rsidR="0010523F" w:rsidRPr="0010523F" w:rsidRDefault="0010523F" w:rsidP="0010523F">
            <w:pPr>
              <w:tabs>
                <w:tab w:val="decimal" w:pos="1026"/>
              </w:tabs>
              <w:ind w:left="-108"/>
              <w:jc w:val="right"/>
              <w:rPr>
                <w:sz w:val="18"/>
                <w:szCs w:val="18"/>
                <w:highlight w:val="yellow"/>
                <w:lang w:val="es-AR" w:eastAsia="en-US"/>
              </w:rPr>
            </w:pPr>
          </w:p>
        </w:tc>
        <w:tc>
          <w:tcPr>
            <w:tcW w:w="1040" w:type="dxa"/>
            <w:vAlign w:val="bottom"/>
          </w:tcPr>
          <w:p w14:paraId="1EAD81EC"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41.557</w:t>
            </w:r>
          </w:p>
        </w:tc>
        <w:tc>
          <w:tcPr>
            <w:tcW w:w="284" w:type="dxa"/>
            <w:vAlign w:val="bottom"/>
          </w:tcPr>
          <w:p w14:paraId="015E0BA9" w14:textId="77777777" w:rsidR="0010523F" w:rsidRPr="0010523F" w:rsidRDefault="0010523F" w:rsidP="0010523F">
            <w:pPr>
              <w:tabs>
                <w:tab w:val="decimal" w:pos="1026"/>
              </w:tabs>
              <w:ind w:left="-108"/>
              <w:jc w:val="right"/>
              <w:rPr>
                <w:sz w:val="18"/>
                <w:szCs w:val="18"/>
                <w:highlight w:val="yellow"/>
                <w:lang w:val="es-AR" w:eastAsia="en-US"/>
              </w:rPr>
            </w:pPr>
          </w:p>
        </w:tc>
        <w:tc>
          <w:tcPr>
            <w:tcW w:w="1134" w:type="dxa"/>
            <w:tcBorders>
              <w:top w:val="single" w:sz="4" w:space="0" w:color="auto"/>
            </w:tcBorders>
            <w:vAlign w:val="bottom"/>
          </w:tcPr>
          <w:p w14:paraId="0FF20C78" w14:textId="77777777" w:rsidR="0010523F" w:rsidRPr="0010523F" w:rsidDel="00856787" w:rsidRDefault="0010523F" w:rsidP="0010523F">
            <w:pPr>
              <w:jc w:val="right"/>
              <w:rPr>
                <w:sz w:val="18"/>
                <w:szCs w:val="18"/>
                <w:lang w:val="es-AR" w:eastAsia="en-US"/>
              </w:rPr>
            </w:pPr>
            <w:r w:rsidRPr="0010523F">
              <w:rPr>
                <w:color w:val="000000"/>
                <w:sz w:val="18"/>
                <w:szCs w:val="18"/>
                <w:lang w:val="es-AR" w:eastAsia="en-US"/>
              </w:rPr>
              <w:t xml:space="preserve">169.839 </w:t>
            </w:r>
          </w:p>
        </w:tc>
        <w:tc>
          <w:tcPr>
            <w:tcW w:w="236" w:type="dxa"/>
            <w:vAlign w:val="bottom"/>
          </w:tcPr>
          <w:p w14:paraId="53D5024E" w14:textId="77777777" w:rsidR="0010523F" w:rsidRPr="0010523F" w:rsidRDefault="0010523F" w:rsidP="0010523F">
            <w:pPr>
              <w:jc w:val="right"/>
              <w:rPr>
                <w:color w:val="000000"/>
                <w:sz w:val="18"/>
                <w:szCs w:val="18"/>
                <w:highlight w:val="yellow"/>
                <w:lang w:val="es-AR" w:eastAsia="en-US"/>
              </w:rPr>
            </w:pPr>
          </w:p>
        </w:tc>
        <w:tc>
          <w:tcPr>
            <w:tcW w:w="1039" w:type="dxa"/>
            <w:tcBorders>
              <w:top w:val="single" w:sz="4" w:space="0" w:color="auto"/>
            </w:tcBorders>
            <w:vAlign w:val="bottom"/>
          </w:tcPr>
          <w:p w14:paraId="2DC63DD8" w14:textId="77777777" w:rsidR="0010523F" w:rsidRPr="0010523F" w:rsidRDefault="0010523F" w:rsidP="0010523F">
            <w:pPr>
              <w:jc w:val="right"/>
              <w:rPr>
                <w:color w:val="000000"/>
                <w:sz w:val="18"/>
                <w:szCs w:val="18"/>
                <w:highlight w:val="yellow"/>
                <w:lang w:val="es-AR" w:eastAsia="en-US"/>
              </w:rPr>
            </w:pPr>
            <w:r w:rsidRPr="0010523F">
              <w:rPr>
                <w:sz w:val="18"/>
                <w:szCs w:val="18"/>
                <w:lang w:val="es-AR" w:eastAsia="en-US"/>
              </w:rPr>
              <w:t>187.637</w:t>
            </w:r>
          </w:p>
        </w:tc>
      </w:tr>
      <w:tr w:rsidR="0010523F" w:rsidRPr="0010523F" w14:paraId="118152F9" w14:textId="77777777" w:rsidTr="00774E7E">
        <w:tc>
          <w:tcPr>
            <w:tcW w:w="1735" w:type="dxa"/>
            <w:vAlign w:val="bottom"/>
          </w:tcPr>
          <w:p w14:paraId="7F2BC960" w14:textId="77777777" w:rsidR="0010523F" w:rsidRPr="0010523F" w:rsidRDefault="0010523F" w:rsidP="0010523F">
            <w:pPr>
              <w:rPr>
                <w:sz w:val="18"/>
                <w:szCs w:val="18"/>
                <w:lang w:val="es-AR" w:eastAsia="en-US"/>
              </w:rPr>
            </w:pPr>
            <w:r w:rsidRPr="0010523F">
              <w:rPr>
                <w:sz w:val="18"/>
                <w:szCs w:val="18"/>
                <w:lang w:val="es-AR" w:eastAsia="en-US"/>
              </w:rPr>
              <w:t>Nafta bajo octanaje</w:t>
            </w:r>
          </w:p>
        </w:tc>
        <w:tc>
          <w:tcPr>
            <w:tcW w:w="1134" w:type="dxa"/>
            <w:vAlign w:val="bottom"/>
          </w:tcPr>
          <w:p w14:paraId="4DD9744A" w14:textId="77777777" w:rsidR="0010523F" w:rsidRPr="0010523F" w:rsidRDefault="0010523F" w:rsidP="0010523F">
            <w:pPr>
              <w:ind w:left="-108"/>
              <w:jc w:val="right"/>
              <w:rPr>
                <w:sz w:val="18"/>
                <w:szCs w:val="18"/>
                <w:lang w:val="es-AR" w:eastAsia="en-US"/>
              </w:rPr>
            </w:pPr>
            <w:r w:rsidRPr="0010523F">
              <w:rPr>
                <w:color w:val="000000"/>
                <w:sz w:val="18"/>
                <w:szCs w:val="18"/>
                <w:lang w:val="es-AR" w:eastAsia="en-US"/>
              </w:rPr>
              <w:t xml:space="preserve">   104.498 </w:t>
            </w:r>
          </w:p>
        </w:tc>
        <w:tc>
          <w:tcPr>
            <w:tcW w:w="236" w:type="dxa"/>
            <w:vAlign w:val="bottom"/>
          </w:tcPr>
          <w:p w14:paraId="2A4F2402" w14:textId="77777777" w:rsidR="0010523F" w:rsidRPr="0010523F" w:rsidRDefault="0010523F" w:rsidP="0010523F">
            <w:pPr>
              <w:tabs>
                <w:tab w:val="decimal" w:pos="1026"/>
              </w:tabs>
              <w:ind w:left="-108"/>
              <w:jc w:val="right"/>
              <w:rPr>
                <w:sz w:val="18"/>
                <w:szCs w:val="18"/>
                <w:highlight w:val="yellow"/>
                <w:lang w:val="es-AR" w:eastAsia="en-US"/>
              </w:rPr>
            </w:pPr>
          </w:p>
        </w:tc>
        <w:tc>
          <w:tcPr>
            <w:tcW w:w="1182" w:type="dxa"/>
            <w:vAlign w:val="bottom"/>
          </w:tcPr>
          <w:p w14:paraId="3925347F"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78.823</w:t>
            </w:r>
          </w:p>
        </w:tc>
        <w:tc>
          <w:tcPr>
            <w:tcW w:w="284" w:type="dxa"/>
            <w:vAlign w:val="bottom"/>
          </w:tcPr>
          <w:p w14:paraId="635BC8D2" w14:textId="77777777" w:rsidR="0010523F" w:rsidRPr="0010523F" w:rsidRDefault="0010523F" w:rsidP="0010523F">
            <w:pPr>
              <w:tabs>
                <w:tab w:val="decimal" w:pos="1026"/>
              </w:tabs>
              <w:ind w:left="-108"/>
              <w:jc w:val="right"/>
              <w:rPr>
                <w:sz w:val="18"/>
                <w:szCs w:val="18"/>
                <w:highlight w:val="yellow"/>
                <w:lang w:val="es-AR" w:eastAsia="en-US"/>
              </w:rPr>
            </w:pPr>
          </w:p>
        </w:tc>
        <w:tc>
          <w:tcPr>
            <w:tcW w:w="1133" w:type="dxa"/>
            <w:vAlign w:val="bottom"/>
          </w:tcPr>
          <w:p w14:paraId="53341494"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18.045 </w:t>
            </w:r>
          </w:p>
        </w:tc>
        <w:tc>
          <w:tcPr>
            <w:tcW w:w="236" w:type="dxa"/>
            <w:vAlign w:val="bottom"/>
          </w:tcPr>
          <w:p w14:paraId="10064803" w14:textId="77777777" w:rsidR="0010523F" w:rsidRPr="0010523F" w:rsidRDefault="0010523F" w:rsidP="0010523F">
            <w:pPr>
              <w:tabs>
                <w:tab w:val="decimal" w:pos="1026"/>
              </w:tabs>
              <w:ind w:left="-108"/>
              <w:jc w:val="right"/>
              <w:rPr>
                <w:sz w:val="18"/>
                <w:szCs w:val="18"/>
                <w:highlight w:val="yellow"/>
                <w:lang w:val="es-AR" w:eastAsia="en-US"/>
              </w:rPr>
            </w:pPr>
          </w:p>
        </w:tc>
        <w:tc>
          <w:tcPr>
            <w:tcW w:w="1040" w:type="dxa"/>
            <w:vAlign w:val="bottom"/>
          </w:tcPr>
          <w:p w14:paraId="5C055130"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3.469</w:t>
            </w:r>
          </w:p>
        </w:tc>
        <w:tc>
          <w:tcPr>
            <w:tcW w:w="284" w:type="dxa"/>
            <w:vAlign w:val="bottom"/>
          </w:tcPr>
          <w:p w14:paraId="53087DD2" w14:textId="77777777" w:rsidR="0010523F" w:rsidRPr="0010523F" w:rsidRDefault="0010523F" w:rsidP="0010523F">
            <w:pPr>
              <w:tabs>
                <w:tab w:val="decimal" w:pos="1026"/>
              </w:tabs>
              <w:ind w:left="-108"/>
              <w:jc w:val="right"/>
              <w:rPr>
                <w:sz w:val="18"/>
                <w:szCs w:val="18"/>
                <w:highlight w:val="yellow"/>
                <w:lang w:val="es-AR" w:eastAsia="en-US"/>
              </w:rPr>
            </w:pPr>
          </w:p>
        </w:tc>
        <w:tc>
          <w:tcPr>
            <w:tcW w:w="1134" w:type="dxa"/>
            <w:vAlign w:val="bottom"/>
          </w:tcPr>
          <w:p w14:paraId="07CFC3E6"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  -   </w:t>
            </w:r>
          </w:p>
        </w:tc>
        <w:tc>
          <w:tcPr>
            <w:tcW w:w="236" w:type="dxa"/>
            <w:vAlign w:val="bottom"/>
          </w:tcPr>
          <w:p w14:paraId="489B0387" w14:textId="77777777" w:rsidR="0010523F" w:rsidRPr="0010523F" w:rsidRDefault="0010523F" w:rsidP="0010523F">
            <w:pPr>
              <w:jc w:val="right"/>
              <w:rPr>
                <w:color w:val="000000"/>
                <w:sz w:val="18"/>
                <w:szCs w:val="18"/>
                <w:highlight w:val="yellow"/>
                <w:lang w:val="es-AR" w:eastAsia="en-US"/>
              </w:rPr>
            </w:pPr>
          </w:p>
        </w:tc>
        <w:tc>
          <w:tcPr>
            <w:tcW w:w="1039" w:type="dxa"/>
            <w:vAlign w:val="bottom"/>
          </w:tcPr>
          <w:p w14:paraId="7DE33BFD" w14:textId="77777777" w:rsidR="0010523F" w:rsidRPr="0010523F" w:rsidRDefault="0010523F" w:rsidP="0010523F">
            <w:pPr>
              <w:jc w:val="right"/>
              <w:rPr>
                <w:color w:val="000000"/>
                <w:sz w:val="18"/>
                <w:szCs w:val="18"/>
                <w:highlight w:val="yellow"/>
                <w:lang w:val="es-AR" w:eastAsia="en-US"/>
              </w:rPr>
            </w:pPr>
            <w:r w:rsidRPr="0010523F">
              <w:rPr>
                <w:sz w:val="18"/>
                <w:szCs w:val="18"/>
                <w:lang w:val="es-AR" w:eastAsia="en-US"/>
              </w:rPr>
              <w:t>-</w:t>
            </w:r>
          </w:p>
        </w:tc>
      </w:tr>
      <w:tr w:rsidR="0010523F" w:rsidRPr="0010523F" w14:paraId="43F55949" w14:textId="77777777" w:rsidTr="00774E7E">
        <w:tc>
          <w:tcPr>
            <w:tcW w:w="1735" w:type="dxa"/>
            <w:vAlign w:val="bottom"/>
          </w:tcPr>
          <w:p w14:paraId="2958C9E3" w14:textId="77777777" w:rsidR="0010523F" w:rsidRPr="0010523F" w:rsidRDefault="0010523F" w:rsidP="0010523F">
            <w:pPr>
              <w:rPr>
                <w:sz w:val="18"/>
                <w:szCs w:val="18"/>
                <w:lang w:val="es-AR" w:eastAsia="en-US"/>
              </w:rPr>
            </w:pPr>
            <w:r w:rsidRPr="0010523F">
              <w:rPr>
                <w:sz w:val="18"/>
                <w:szCs w:val="18"/>
                <w:lang w:val="es-AR" w:eastAsia="en-US"/>
              </w:rPr>
              <w:t>Gasolina</w:t>
            </w:r>
          </w:p>
        </w:tc>
        <w:tc>
          <w:tcPr>
            <w:tcW w:w="1134" w:type="dxa"/>
            <w:vAlign w:val="bottom"/>
          </w:tcPr>
          <w:p w14:paraId="4E45E27B"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56.684 </w:t>
            </w:r>
          </w:p>
        </w:tc>
        <w:tc>
          <w:tcPr>
            <w:tcW w:w="236" w:type="dxa"/>
            <w:vAlign w:val="bottom"/>
          </w:tcPr>
          <w:p w14:paraId="6A0E5A6E" w14:textId="77777777" w:rsidR="0010523F" w:rsidRPr="0010523F" w:rsidRDefault="0010523F" w:rsidP="0010523F">
            <w:pPr>
              <w:tabs>
                <w:tab w:val="decimal" w:pos="1026"/>
              </w:tabs>
              <w:ind w:left="-108"/>
              <w:jc w:val="right"/>
              <w:rPr>
                <w:sz w:val="18"/>
                <w:szCs w:val="18"/>
                <w:highlight w:val="yellow"/>
                <w:lang w:val="es-AR" w:eastAsia="en-US"/>
              </w:rPr>
            </w:pPr>
          </w:p>
        </w:tc>
        <w:tc>
          <w:tcPr>
            <w:tcW w:w="1182" w:type="dxa"/>
            <w:vAlign w:val="bottom"/>
          </w:tcPr>
          <w:p w14:paraId="43B00E52"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41.505</w:t>
            </w:r>
          </w:p>
        </w:tc>
        <w:tc>
          <w:tcPr>
            <w:tcW w:w="284" w:type="dxa"/>
            <w:vAlign w:val="bottom"/>
          </w:tcPr>
          <w:p w14:paraId="542229E4" w14:textId="77777777" w:rsidR="0010523F" w:rsidRPr="0010523F" w:rsidRDefault="0010523F" w:rsidP="0010523F">
            <w:pPr>
              <w:tabs>
                <w:tab w:val="decimal" w:pos="1026"/>
              </w:tabs>
              <w:ind w:left="-108"/>
              <w:jc w:val="right"/>
              <w:rPr>
                <w:sz w:val="18"/>
                <w:szCs w:val="18"/>
                <w:highlight w:val="yellow"/>
                <w:lang w:val="es-AR" w:eastAsia="en-US"/>
              </w:rPr>
            </w:pPr>
          </w:p>
        </w:tc>
        <w:tc>
          <w:tcPr>
            <w:tcW w:w="1133" w:type="dxa"/>
            <w:vAlign w:val="bottom"/>
          </w:tcPr>
          <w:p w14:paraId="3DAE0252"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1.027.113 </w:t>
            </w:r>
          </w:p>
        </w:tc>
        <w:tc>
          <w:tcPr>
            <w:tcW w:w="236" w:type="dxa"/>
            <w:vAlign w:val="bottom"/>
          </w:tcPr>
          <w:p w14:paraId="579BCC3E" w14:textId="77777777" w:rsidR="0010523F" w:rsidRPr="0010523F" w:rsidRDefault="0010523F" w:rsidP="0010523F">
            <w:pPr>
              <w:tabs>
                <w:tab w:val="decimal" w:pos="1026"/>
              </w:tabs>
              <w:ind w:left="-108"/>
              <w:jc w:val="right"/>
              <w:rPr>
                <w:sz w:val="18"/>
                <w:szCs w:val="18"/>
                <w:highlight w:val="yellow"/>
                <w:lang w:val="es-AR" w:eastAsia="en-US"/>
              </w:rPr>
            </w:pPr>
          </w:p>
        </w:tc>
        <w:tc>
          <w:tcPr>
            <w:tcW w:w="1040" w:type="dxa"/>
            <w:vAlign w:val="bottom"/>
          </w:tcPr>
          <w:p w14:paraId="0EF7592B"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722.917</w:t>
            </w:r>
          </w:p>
        </w:tc>
        <w:tc>
          <w:tcPr>
            <w:tcW w:w="284" w:type="dxa"/>
            <w:vAlign w:val="bottom"/>
          </w:tcPr>
          <w:p w14:paraId="422476A6" w14:textId="77777777" w:rsidR="0010523F" w:rsidRPr="0010523F" w:rsidRDefault="0010523F" w:rsidP="0010523F">
            <w:pPr>
              <w:tabs>
                <w:tab w:val="decimal" w:pos="1026"/>
              </w:tabs>
              <w:ind w:left="-108"/>
              <w:jc w:val="right"/>
              <w:rPr>
                <w:sz w:val="18"/>
                <w:szCs w:val="18"/>
                <w:highlight w:val="yellow"/>
                <w:lang w:val="es-AR" w:eastAsia="en-US"/>
              </w:rPr>
            </w:pPr>
          </w:p>
        </w:tc>
        <w:tc>
          <w:tcPr>
            <w:tcW w:w="1134" w:type="dxa"/>
            <w:vAlign w:val="bottom"/>
          </w:tcPr>
          <w:p w14:paraId="0BE8A8B5"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              -   </w:t>
            </w:r>
          </w:p>
        </w:tc>
        <w:tc>
          <w:tcPr>
            <w:tcW w:w="236" w:type="dxa"/>
            <w:vAlign w:val="bottom"/>
          </w:tcPr>
          <w:p w14:paraId="779CD887" w14:textId="77777777" w:rsidR="0010523F" w:rsidRPr="0010523F" w:rsidRDefault="0010523F" w:rsidP="0010523F">
            <w:pPr>
              <w:jc w:val="right"/>
              <w:rPr>
                <w:color w:val="000000"/>
                <w:sz w:val="18"/>
                <w:szCs w:val="18"/>
                <w:highlight w:val="yellow"/>
                <w:lang w:val="es-AR" w:eastAsia="en-US"/>
              </w:rPr>
            </w:pPr>
          </w:p>
        </w:tc>
        <w:tc>
          <w:tcPr>
            <w:tcW w:w="1039" w:type="dxa"/>
            <w:vAlign w:val="bottom"/>
          </w:tcPr>
          <w:p w14:paraId="572BBCC3" w14:textId="77777777" w:rsidR="0010523F" w:rsidRPr="0010523F" w:rsidRDefault="0010523F" w:rsidP="0010523F">
            <w:pPr>
              <w:jc w:val="right"/>
              <w:rPr>
                <w:color w:val="000000"/>
                <w:sz w:val="18"/>
                <w:szCs w:val="18"/>
                <w:highlight w:val="yellow"/>
                <w:lang w:val="es-AR" w:eastAsia="en-US"/>
              </w:rPr>
            </w:pPr>
            <w:r w:rsidRPr="0010523F">
              <w:rPr>
                <w:sz w:val="18"/>
                <w:szCs w:val="18"/>
                <w:lang w:val="es-AR" w:eastAsia="en-US"/>
              </w:rPr>
              <w:t>-</w:t>
            </w:r>
          </w:p>
        </w:tc>
      </w:tr>
      <w:tr w:rsidR="0010523F" w:rsidRPr="0010523F" w14:paraId="4A0E214A" w14:textId="77777777" w:rsidTr="00774E7E">
        <w:tc>
          <w:tcPr>
            <w:tcW w:w="1735" w:type="dxa"/>
            <w:vAlign w:val="bottom"/>
          </w:tcPr>
          <w:p w14:paraId="366F1432" w14:textId="77777777" w:rsidR="0010523F" w:rsidRPr="0010523F" w:rsidRDefault="0010523F" w:rsidP="0010523F">
            <w:pPr>
              <w:rPr>
                <w:sz w:val="18"/>
                <w:szCs w:val="18"/>
                <w:lang w:val="es-AR" w:eastAsia="en-US"/>
              </w:rPr>
            </w:pPr>
            <w:r w:rsidRPr="0010523F">
              <w:rPr>
                <w:sz w:val="18"/>
                <w:szCs w:val="18"/>
                <w:lang w:val="es-AR" w:eastAsia="en-US"/>
              </w:rPr>
              <w:t>Gas oil</w:t>
            </w:r>
          </w:p>
        </w:tc>
        <w:tc>
          <w:tcPr>
            <w:tcW w:w="1134" w:type="dxa"/>
            <w:vAlign w:val="bottom"/>
          </w:tcPr>
          <w:p w14:paraId="5E66915D"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 29.987   </w:t>
            </w:r>
          </w:p>
        </w:tc>
        <w:tc>
          <w:tcPr>
            <w:tcW w:w="236" w:type="dxa"/>
            <w:vAlign w:val="bottom"/>
          </w:tcPr>
          <w:p w14:paraId="1FE37667" w14:textId="77777777" w:rsidR="0010523F" w:rsidRPr="0010523F" w:rsidRDefault="0010523F" w:rsidP="0010523F">
            <w:pPr>
              <w:tabs>
                <w:tab w:val="decimal" w:pos="1026"/>
              </w:tabs>
              <w:ind w:left="-108"/>
              <w:jc w:val="right"/>
              <w:rPr>
                <w:sz w:val="18"/>
                <w:szCs w:val="18"/>
                <w:highlight w:val="yellow"/>
                <w:lang w:val="es-AR" w:eastAsia="en-US"/>
              </w:rPr>
            </w:pPr>
          </w:p>
        </w:tc>
        <w:tc>
          <w:tcPr>
            <w:tcW w:w="1182" w:type="dxa"/>
            <w:vAlign w:val="bottom"/>
          </w:tcPr>
          <w:p w14:paraId="74420A2F"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27.837</w:t>
            </w:r>
          </w:p>
        </w:tc>
        <w:tc>
          <w:tcPr>
            <w:tcW w:w="284" w:type="dxa"/>
            <w:vAlign w:val="bottom"/>
          </w:tcPr>
          <w:p w14:paraId="248D92D4" w14:textId="77777777" w:rsidR="0010523F" w:rsidRPr="0010523F" w:rsidRDefault="0010523F" w:rsidP="0010523F">
            <w:pPr>
              <w:tabs>
                <w:tab w:val="decimal" w:pos="1026"/>
              </w:tabs>
              <w:ind w:left="-108"/>
              <w:jc w:val="right"/>
              <w:rPr>
                <w:sz w:val="18"/>
                <w:szCs w:val="18"/>
                <w:highlight w:val="yellow"/>
                <w:lang w:val="es-AR" w:eastAsia="en-US"/>
              </w:rPr>
            </w:pPr>
          </w:p>
        </w:tc>
        <w:tc>
          <w:tcPr>
            <w:tcW w:w="1133" w:type="dxa"/>
            <w:vAlign w:val="bottom"/>
          </w:tcPr>
          <w:p w14:paraId="66469C44"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1.691.648 </w:t>
            </w:r>
          </w:p>
        </w:tc>
        <w:tc>
          <w:tcPr>
            <w:tcW w:w="236" w:type="dxa"/>
            <w:vAlign w:val="bottom"/>
          </w:tcPr>
          <w:p w14:paraId="3DE5C0F5" w14:textId="77777777" w:rsidR="0010523F" w:rsidRPr="0010523F" w:rsidRDefault="0010523F" w:rsidP="0010523F">
            <w:pPr>
              <w:tabs>
                <w:tab w:val="decimal" w:pos="1026"/>
              </w:tabs>
              <w:ind w:left="-108"/>
              <w:jc w:val="right"/>
              <w:rPr>
                <w:sz w:val="18"/>
                <w:szCs w:val="18"/>
                <w:highlight w:val="yellow"/>
                <w:lang w:val="es-AR" w:eastAsia="en-US"/>
              </w:rPr>
            </w:pPr>
          </w:p>
        </w:tc>
        <w:tc>
          <w:tcPr>
            <w:tcW w:w="1040" w:type="dxa"/>
            <w:vAlign w:val="bottom"/>
          </w:tcPr>
          <w:p w14:paraId="32285231"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1.095.820</w:t>
            </w:r>
          </w:p>
        </w:tc>
        <w:tc>
          <w:tcPr>
            <w:tcW w:w="284" w:type="dxa"/>
            <w:vAlign w:val="bottom"/>
          </w:tcPr>
          <w:p w14:paraId="4FE5FDD0" w14:textId="77777777" w:rsidR="0010523F" w:rsidRPr="0010523F" w:rsidRDefault="0010523F" w:rsidP="0010523F">
            <w:pPr>
              <w:tabs>
                <w:tab w:val="decimal" w:pos="1026"/>
              </w:tabs>
              <w:ind w:left="-108"/>
              <w:jc w:val="right"/>
              <w:rPr>
                <w:sz w:val="18"/>
                <w:szCs w:val="18"/>
                <w:highlight w:val="yellow"/>
                <w:lang w:val="es-AR" w:eastAsia="en-US"/>
              </w:rPr>
            </w:pPr>
          </w:p>
        </w:tc>
        <w:tc>
          <w:tcPr>
            <w:tcW w:w="1134" w:type="dxa"/>
            <w:vAlign w:val="bottom"/>
          </w:tcPr>
          <w:p w14:paraId="4546F080"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80.115 </w:t>
            </w:r>
          </w:p>
        </w:tc>
        <w:tc>
          <w:tcPr>
            <w:tcW w:w="236" w:type="dxa"/>
            <w:vAlign w:val="bottom"/>
          </w:tcPr>
          <w:p w14:paraId="4D853378" w14:textId="77777777" w:rsidR="0010523F" w:rsidRPr="0010523F" w:rsidRDefault="0010523F" w:rsidP="0010523F">
            <w:pPr>
              <w:jc w:val="right"/>
              <w:rPr>
                <w:color w:val="000000"/>
                <w:sz w:val="18"/>
                <w:szCs w:val="18"/>
                <w:highlight w:val="yellow"/>
                <w:lang w:val="es-AR" w:eastAsia="en-US"/>
              </w:rPr>
            </w:pPr>
          </w:p>
        </w:tc>
        <w:tc>
          <w:tcPr>
            <w:tcW w:w="1039" w:type="dxa"/>
            <w:vAlign w:val="bottom"/>
          </w:tcPr>
          <w:p w14:paraId="0A145BB0" w14:textId="77777777" w:rsidR="0010523F" w:rsidRPr="0010523F" w:rsidRDefault="0010523F" w:rsidP="0010523F">
            <w:pPr>
              <w:jc w:val="right"/>
              <w:rPr>
                <w:color w:val="000000"/>
                <w:sz w:val="18"/>
                <w:szCs w:val="18"/>
                <w:highlight w:val="yellow"/>
                <w:lang w:val="es-AR" w:eastAsia="en-US"/>
              </w:rPr>
            </w:pPr>
            <w:r w:rsidRPr="0010523F">
              <w:rPr>
                <w:sz w:val="18"/>
                <w:szCs w:val="18"/>
                <w:lang w:val="es-AR" w:eastAsia="en-US"/>
              </w:rPr>
              <w:t>43.570</w:t>
            </w:r>
          </w:p>
        </w:tc>
      </w:tr>
      <w:tr w:rsidR="0010523F" w:rsidRPr="0010523F" w14:paraId="0B1F1212" w14:textId="77777777" w:rsidTr="00774E7E">
        <w:tc>
          <w:tcPr>
            <w:tcW w:w="1735" w:type="dxa"/>
            <w:vAlign w:val="bottom"/>
          </w:tcPr>
          <w:p w14:paraId="1B1FF01F" w14:textId="77777777" w:rsidR="0010523F" w:rsidRPr="0010523F" w:rsidRDefault="0010523F" w:rsidP="0010523F">
            <w:pPr>
              <w:rPr>
                <w:sz w:val="18"/>
                <w:szCs w:val="18"/>
                <w:lang w:val="es-AR" w:eastAsia="en-US"/>
              </w:rPr>
            </w:pPr>
            <w:r w:rsidRPr="0010523F">
              <w:rPr>
                <w:sz w:val="18"/>
                <w:szCs w:val="18"/>
                <w:lang w:val="es-AR" w:eastAsia="en-US"/>
              </w:rPr>
              <w:t>Fuel oil</w:t>
            </w:r>
          </w:p>
        </w:tc>
        <w:tc>
          <w:tcPr>
            <w:tcW w:w="1134" w:type="dxa"/>
            <w:vAlign w:val="bottom"/>
          </w:tcPr>
          <w:p w14:paraId="334B9FBE"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181.662 </w:t>
            </w:r>
          </w:p>
        </w:tc>
        <w:tc>
          <w:tcPr>
            <w:tcW w:w="236" w:type="dxa"/>
            <w:vAlign w:val="bottom"/>
          </w:tcPr>
          <w:p w14:paraId="773C04A0" w14:textId="77777777" w:rsidR="0010523F" w:rsidRPr="0010523F" w:rsidRDefault="0010523F" w:rsidP="0010523F">
            <w:pPr>
              <w:tabs>
                <w:tab w:val="decimal" w:pos="1026"/>
              </w:tabs>
              <w:ind w:left="-108"/>
              <w:jc w:val="right"/>
              <w:rPr>
                <w:sz w:val="18"/>
                <w:szCs w:val="18"/>
                <w:highlight w:val="yellow"/>
                <w:lang w:val="es-AR" w:eastAsia="en-US"/>
              </w:rPr>
            </w:pPr>
          </w:p>
        </w:tc>
        <w:tc>
          <w:tcPr>
            <w:tcW w:w="1182" w:type="dxa"/>
            <w:vAlign w:val="bottom"/>
          </w:tcPr>
          <w:p w14:paraId="548A6EB3"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7.990</w:t>
            </w:r>
          </w:p>
        </w:tc>
        <w:tc>
          <w:tcPr>
            <w:tcW w:w="284" w:type="dxa"/>
            <w:vAlign w:val="bottom"/>
          </w:tcPr>
          <w:p w14:paraId="5DC5BD8A" w14:textId="77777777" w:rsidR="0010523F" w:rsidRPr="0010523F" w:rsidRDefault="0010523F" w:rsidP="0010523F">
            <w:pPr>
              <w:tabs>
                <w:tab w:val="decimal" w:pos="1026"/>
              </w:tabs>
              <w:ind w:left="-108"/>
              <w:jc w:val="right"/>
              <w:rPr>
                <w:sz w:val="18"/>
                <w:szCs w:val="18"/>
                <w:highlight w:val="yellow"/>
                <w:lang w:val="es-AR" w:eastAsia="en-US"/>
              </w:rPr>
            </w:pPr>
          </w:p>
        </w:tc>
        <w:tc>
          <w:tcPr>
            <w:tcW w:w="1133" w:type="dxa"/>
            <w:vAlign w:val="bottom"/>
          </w:tcPr>
          <w:p w14:paraId="06054249"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118.467 </w:t>
            </w:r>
          </w:p>
        </w:tc>
        <w:tc>
          <w:tcPr>
            <w:tcW w:w="236" w:type="dxa"/>
            <w:vAlign w:val="bottom"/>
          </w:tcPr>
          <w:p w14:paraId="12CC9442" w14:textId="77777777" w:rsidR="0010523F" w:rsidRPr="0010523F" w:rsidRDefault="0010523F" w:rsidP="0010523F">
            <w:pPr>
              <w:tabs>
                <w:tab w:val="decimal" w:pos="1026"/>
              </w:tabs>
              <w:ind w:left="-108"/>
              <w:jc w:val="right"/>
              <w:rPr>
                <w:sz w:val="18"/>
                <w:szCs w:val="18"/>
                <w:highlight w:val="yellow"/>
                <w:lang w:val="es-AR" w:eastAsia="en-US"/>
              </w:rPr>
            </w:pPr>
          </w:p>
        </w:tc>
        <w:tc>
          <w:tcPr>
            <w:tcW w:w="1040" w:type="dxa"/>
            <w:vAlign w:val="bottom"/>
          </w:tcPr>
          <w:p w14:paraId="4D60621F"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85.627</w:t>
            </w:r>
          </w:p>
        </w:tc>
        <w:tc>
          <w:tcPr>
            <w:tcW w:w="284" w:type="dxa"/>
            <w:vAlign w:val="bottom"/>
          </w:tcPr>
          <w:p w14:paraId="05A1174E" w14:textId="77777777" w:rsidR="0010523F" w:rsidRPr="0010523F" w:rsidRDefault="0010523F" w:rsidP="0010523F">
            <w:pPr>
              <w:tabs>
                <w:tab w:val="decimal" w:pos="1026"/>
              </w:tabs>
              <w:ind w:left="-108"/>
              <w:jc w:val="right"/>
              <w:rPr>
                <w:sz w:val="18"/>
                <w:szCs w:val="18"/>
                <w:highlight w:val="yellow"/>
                <w:lang w:val="es-AR" w:eastAsia="en-US"/>
              </w:rPr>
            </w:pPr>
          </w:p>
        </w:tc>
        <w:tc>
          <w:tcPr>
            <w:tcW w:w="1134" w:type="dxa"/>
            <w:vAlign w:val="bottom"/>
          </w:tcPr>
          <w:p w14:paraId="1007CF39"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99.425 </w:t>
            </w:r>
          </w:p>
        </w:tc>
        <w:tc>
          <w:tcPr>
            <w:tcW w:w="236" w:type="dxa"/>
            <w:vAlign w:val="bottom"/>
          </w:tcPr>
          <w:p w14:paraId="16A586EA" w14:textId="77777777" w:rsidR="0010523F" w:rsidRPr="0010523F" w:rsidRDefault="0010523F" w:rsidP="0010523F">
            <w:pPr>
              <w:jc w:val="right"/>
              <w:rPr>
                <w:color w:val="000000"/>
                <w:sz w:val="18"/>
                <w:szCs w:val="18"/>
                <w:highlight w:val="yellow"/>
                <w:lang w:val="es-AR" w:eastAsia="en-US"/>
              </w:rPr>
            </w:pPr>
          </w:p>
        </w:tc>
        <w:tc>
          <w:tcPr>
            <w:tcW w:w="1039" w:type="dxa"/>
            <w:vAlign w:val="bottom"/>
          </w:tcPr>
          <w:p w14:paraId="6735843D" w14:textId="77777777" w:rsidR="0010523F" w:rsidRPr="0010523F" w:rsidRDefault="0010523F" w:rsidP="0010523F">
            <w:pPr>
              <w:jc w:val="right"/>
              <w:rPr>
                <w:color w:val="000000"/>
                <w:sz w:val="18"/>
                <w:szCs w:val="18"/>
                <w:highlight w:val="yellow"/>
                <w:lang w:val="es-AR" w:eastAsia="en-US"/>
              </w:rPr>
            </w:pPr>
            <w:r w:rsidRPr="0010523F">
              <w:rPr>
                <w:sz w:val="18"/>
                <w:szCs w:val="18"/>
                <w:lang w:val="es-AR" w:eastAsia="en-US"/>
              </w:rPr>
              <w:t>39.903</w:t>
            </w:r>
          </w:p>
        </w:tc>
      </w:tr>
      <w:tr w:rsidR="0010523F" w:rsidRPr="0010523F" w14:paraId="3D89625F" w14:textId="77777777" w:rsidTr="00774E7E">
        <w:tc>
          <w:tcPr>
            <w:tcW w:w="1735" w:type="dxa"/>
            <w:vAlign w:val="bottom"/>
          </w:tcPr>
          <w:p w14:paraId="42050452" w14:textId="77777777" w:rsidR="0010523F" w:rsidRPr="0010523F" w:rsidRDefault="0010523F" w:rsidP="0010523F">
            <w:pPr>
              <w:rPr>
                <w:sz w:val="18"/>
                <w:szCs w:val="18"/>
                <w:lang w:val="es-AR" w:eastAsia="en-US"/>
              </w:rPr>
            </w:pPr>
            <w:r w:rsidRPr="0010523F">
              <w:rPr>
                <w:sz w:val="18"/>
                <w:szCs w:val="18"/>
                <w:lang w:val="es-AR" w:eastAsia="en-US"/>
              </w:rPr>
              <w:t>Gas licuado</w:t>
            </w:r>
          </w:p>
        </w:tc>
        <w:tc>
          <w:tcPr>
            <w:tcW w:w="1134" w:type="dxa"/>
            <w:vAlign w:val="bottom"/>
          </w:tcPr>
          <w:p w14:paraId="55839814"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7.233 </w:t>
            </w:r>
          </w:p>
        </w:tc>
        <w:tc>
          <w:tcPr>
            <w:tcW w:w="236" w:type="dxa"/>
            <w:vAlign w:val="bottom"/>
          </w:tcPr>
          <w:p w14:paraId="346E0C63" w14:textId="77777777" w:rsidR="0010523F" w:rsidRPr="0010523F" w:rsidRDefault="0010523F" w:rsidP="0010523F">
            <w:pPr>
              <w:tabs>
                <w:tab w:val="decimal" w:pos="1026"/>
              </w:tabs>
              <w:ind w:left="-108"/>
              <w:jc w:val="right"/>
              <w:rPr>
                <w:sz w:val="18"/>
                <w:szCs w:val="18"/>
                <w:highlight w:val="yellow"/>
                <w:lang w:val="es-AR" w:eastAsia="en-US"/>
              </w:rPr>
            </w:pPr>
          </w:p>
        </w:tc>
        <w:tc>
          <w:tcPr>
            <w:tcW w:w="1182" w:type="dxa"/>
            <w:vAlign w:val="bottom"/>
          </w:tcPr>
          <w:p w14:paraId="7CDDF2A0"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1.894</w:t>
            </w:r>
          </w:p>
        </w:tc>
        <w:tc>
          <w:tcPr>
            <w:tcW w:w="284" w:type="dxa"/>
            <w:vAlign w:val="bottom"/>
          </w:tcPr>
          <w:p w14:paraId="69B1DAF6" w14:textId="77777777" w:rsidR="0010523F" w:rsidRPr="0010523F" w:rsidRDefault="0010523F" w:rsidP="0010523F">
            <w:pPr>
              <w:tabs>
                <w:tab w:val="decimal" w:pos="1026"/>
              </w:tabs>
              <w:ind w:left="-108"/>
              <w:jc w:val="right"/>
              <w:rPr>
                <w:sz w:val="18"/>
                <w:szCs w:val="18"/>
                <w:highlight w:val="yellow"/>
                <w:lang w:val="es-AR" w:eastAsia="en-US"/>
              </w:rPr>
            </w:pPr>
          </w:p>
        </w:tc>
        <w:tc>
          <w:tcPr>
            <w:tcW w:w="1133" w:type="dxa"/>
            <w:vAlign w:val="bottom"/>
          </w:tcPr>
          <w:p w14:paraId="6729EC80"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192.080 </w:t>
            </w:r>
          </w:p>
        </w:tc>
        <w:tc>
          <w:tcPr>
            <w:tcW w:w="236" w:type="dxa"/>
            <w:vAlign w:val="bottom"/>
          </w:tcPr>
          <w:p w14:paraId="4E62E23C" w14:textId="77777777" w:rsidR="0010523F" w:rsidRPr="0010523F" w:rsidRDefault="0010523F" w:rsidP="0010523F">
            <w:pPr>
              <w:tabs>
                <w:tab w:val="decimal" w:pos="1026"/>
              </w:tabs>
              <w:ind w:left="-108"/>
              <w:jc w:val="right"/>
              <w:rPr>
                <w:sz w:val="18"/>
                <w:szCs w:val="18"/>
                <w:highlight w:val="yellow"/>
                <w:lang w:val="es-AR" w:eastAsia="en-US"/>
              </w:rPr>
            </w:pPr>
          </w:p>
        </w:tc>
        <w:tc>
          <w:tcPr>
            <w:tcW w:w="1040" w:type="dxa"/>
            <w:vAlign w:val="bottom"/>
          </w:tcPr>
          <w:p w14:paraId="428DFBAD"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127.379</w:t>
            </w:r>
          </w:p>
        </w:tc>
        <w:tc>
          <w:tcPr>
            <w:tcW w:w="284" w:type="dxa"/>
            <w:vAlign w:val="bottom"/>
          </w:tcPr>
          <w:p w14:paraId="5BFCFA8E" w14:textId="77777777" w:rsidR="0010523F" w:rsidRPr="0010523F" w:rsidRDefault="0010523F" w:rsidP="0010523F">
            <w:pPr>
              <w:tabs>
                <w:tab w:val="decimal" w:pos="1026"/>
              </w:tabs>
              <w:ind w:left="-108"/>
              <w:jc w:val="right"/>
              <w:rPr>
                <w:sz w:val="18"/>
                <w:szCs w:val="18"/>
                <w:highlight w:val="yellow"/>
                <w:lang w:val="es-AR" w:eastAsia="en-US"/>
              </w:rPr>
            </w:pPr>
          </w:p>
        </w:tc>
        <w:tc>
          <w:tcPr>
            <w:tcW w:w="1134" w:type="dxa"/>
            <w:vAlign w:val="bottom"/>
          </w:tcPr>
          <w:p w14:paraId="13250A35" w14:textId="77777777" w:rsidR="0010523F" w:rsidRPr="0010523F" w:rsidRDefault="0010523F" w:rsidP="0010523F">
            <w:pPr>
              <w:ind w:left="-108"/>
              <w:jc w:val="right"/>
              <w:rPr>
                <w:sz w:val="18"/>
                <w:szCs w:val="18"/>
                <w:lang w:val="es-AR" w:eastAsia="en-US"/>
              </w:rPr>
            </w:pPr>
            <w:r w:rsidRPr="0010523F">
              <w:rPr>
                <w:color w:val="000000"/>
                <w:sz w:val="18"/>
                <w:szCs w:val="18"/>
                <w:lang w:val="es-AR" w:eastAsia="en-US"/>
              </w:rPr>
              <w:t xml:space="preserve">    -   </w:t>
            </w:r>
          </w:p>
        </w:tc>
        <w:tc>
          <w:tcPr>
            <w:tcW w:w="236" w:type="dxa"/>
            <w:vAlign w:val="bottom"/>
          </w:tcPr>
          <w:p w14:paraId="0F0546F5" w14:textId="77777777" w:rsidR="0010523F" w:rsidRPr="0010523F" w:rsidRDefault="0010523F" w:rsidP="0010523F">
            <w:pPr>
              <w:ind w:left="-108"/>
              <w:jc w:val="right"/>
              <w:rPr>
                <w:color w:val="000000"/>
                <w:sz w:val="18"/>
                <w:szCs w:val="18"/>
                <w:highlight w:val="yellow"/>
                <w:lang w:val="es-AR" w:eastAsia="en-US"/>
              </w:rPr>
            </w:pPr>
          </w:p>
        </w:tc>
        <w:tc>
          <w:tcPr>
            <w:tcW w:w="1039" w:type="dxa"/>
            <w:vAlign w:val="bottom"/>
          </w:tcPr>
          <w:p w14:paraId="587FE537" w14:textId="77777777" w:rsidR="0010523F" w:rsidRPr="0010523F" w:rsidRDefault="0010523F" w:rsidP="0010523F">
            <w:pPr>
              <w:ind w:left="-108"/>
              <w:jc w:val="right"/>
              <w:rPr>
                <w:color w:val="000000"/>
                <w:sz w:val="18"/>
                <w:szCs w:val="18"/>
                <w:highlight w:val="yellow"/>
                <w:lang w:val="es-AR" w:eastAsia="en-US"/>
              </w:rPr>
            </w:pPr>
            <w:r w:rsidRPr="0010523F">
              <w:rPr>
                <w:sz w:val="18"/>
                <w:szCs w:val="18"/>
                <w:lang w:val="es-AR" w:eastAsia="en-US"/>
              </w:rPr>
              <w:t>-</w:t>
            </w:r>
          </w:p>
        </w:tc>
      </w:tr>
      <w:tr w:rsidR="0010523F" w:rsidRPr="0010523F" w14:paraId="31CC9BE5" w14:textId="77777777" w:rsidTr="00774E7E">
        <w:tc>
          <w:tcPr>
            <w:tcW w:w="1735" w:type="dxa"/>
            <w:vAlign w:val="bottom"/>
          </w:tcPr>
          <w:p w14:paraId="5A8FA5DC" w14:textId="77777777" w:rsidR="0010523F" w:rsidRPr="0010523F" w:rsidRDefault="0010523F" w:rsidP="0010523F">
            <w:pPr>
              <w:rPr>
                <w:sz w:val="18"/>
                <w:szCs w:val="18"/>
                <w:lang w:val="es-AR" w:eastAsia="en-US"/>
              </w:rPr>
            </w:pPr>
            <w:r w:rsidRPr="0010523F">
              <w:rPr>
                <w:sz w:val="18"/>
                <w:szCs w:val="18"/>
                <w:lang w:val="es-AR" w:eastAsia="en-US"/>
              </w:rPr>
              <w:t>Químicos</w:t>
            </w:r>
          </w:p>
        </w:tc>
        <w:tc>
          <w:tcPr>
            <w:tcW w:w="1134" w:type="dxa"/>
            <w:vAlign w:val="bottom"/>
          </w:tcPr>
          <w:p w14:paraId="53DAD079"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9.171 </w:t>
            </w:r>
          </w:p>
        </w:tc>
        <w:tc>
          <w:tcPr>
            <w:tcW w:w="236" w:type="dxa"/>
            <w:vAlign w:val="bottom"/>
          </w:tcPr>
          <w:p w14:paraId="0C7C8CD9" w14:textId="77777777" w:rsidR="0010523F" w:rsidRPr="0010523F" w:rsidRDefault="0010523F" w:rsidP="0010523F">
            <w:pPr>
              <w:tabs>
                <w:tab w:val="decimal" w:pos="1026"/>
              </w:tabs>
              <w:ind w:left="-108"/>
              <w:jc w:val="right"/>
              <w:rPr>
                <w:sz w:val="18"/>
                <w:szCs w:val="18"/>
                <w:highlight w:val="yellow"/>
                <w:lang w:val="es-AR" w:eastAsia="en-US"/>
              </w:rPr>
            </w:pPr>
          </w:p>
        </w:tc>
        <w:tc>
          <w:tcPr>
            <w:tcW w:w="1182" w:type="dxa"/>
            <w:vAlign w:val="bottom"/>
          </w:tcPr>
          <w:p w14:paraId="213420F9"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5.569</w:t>
            </w:r>
          </w:p>
        </w:tc>
        <w:tc>
          <w:tcPr>
            <w:tcW w:w="284" w:type="dxa"/>
            <w:vAlign w:val="bottom"/>
          </w:tcPr>
          <w:p w14:paraId="67E1B683" w14:textId="77777777" w:rsidR="0010523F" w:rsidRPr="0010523F" w:rsidRDefault="0010523F" w:rsidP="0010523F">
            <w:pPr>
              <w:tabs>
                <w:tab w:val="decimal" w:pos="1026"/>
              </w:tabs>
              <w:ind w:left="-108"/>
              <w:jc w:val="right"/>
              <w:rPr>
                <w:sz w:val="18"/>
                <w:szCs w:val="18"/>
                <w:highlight w:val="yellow"/>
                <w:lang w:val="es-AR" w:eastAsia="en-US"/>
              </w:rPr>
            </w:pPr>
          </w:p>
        </w:tc>
        <w:tc>
          <w:tcPr>
            <w:tcW w:w="1133" w:type="dxa"/>
            <w:vAlign w:val="bottom"/>
          </w:tcPr>
          <w:p w14:paraId="5923B96C"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28.110 </w:t>
            </w:r>
          </w:p>
        </w:tc>
        <w:tc>
          <w:tcPr>
            <w:tcW w:w="236" w:type="dxa"/>
            <w:vAlign w:val="bottom"/>
          </w:tcPr>
          <w:p w14:paraId="4A8D4B69" w14:textId="77777777" w:rsidR="0010523F" w:rsidRPr="0010523F" w:rsidRDefault="0010523F" w:rsidP="0010523F">
            <w:pPr>
              <w:tabs>
                <w:tab w:val="decimal" w:pos="1026"/>
              </w:tabs>
              <w:ind w:left="-108"/>
              <w:jc w:val="right"/>
              <w:rPr>
                <w:sz w:val="18"/>
                <w:szCs w:val="18"/>
                <w:highlight w:val="yellow"/>
                <w:lang w:val="es-AR" w:eastAsia="en-US"/>
              </w:rPr>
            </w:pPr>
          </w:p>
        </w:tc>
        <w:tc>
          <w:tcPr>
            <w:tcW w:w="1040" w:type="dxa"/>
            <w:vAlign w:val="bottom"/>
          </w:tcPr>
          <w:p w14:paraId="2992D98E"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20.599</w:t>
            </w:r>
          </w:p>
        </w:tc>
        <w:tc>
          <w:tcPr>
            <w:tcW w:w="284" w:type="dxa"/>
            <w:vAlign w:val="bottom"/>
          </w:tcPr>
          <w:p w14:paraId="01B0F155" w14:textId="77777777" w:rsidR="0010523F" w:rsidRPr="0010523F" w:rsidRDefault="0010523F" w:rsidP="0010523F">
            <w:pPr>
              <w:tabs>
                <w:tab w:val="decimal" w:pos="1026"/>
              </w:tabs>
              <w:ind w:left="-108"/>
              <w:jc w:val="right"/>
              <w:rPr>
                <w:sz w:val="18"/>
                <w:szCs w:val="18"/>
                <w:highlight w:val="yellow"/>
                <w:lang w:val="es-AR" w:eastAsia="en-US"/>
              </w:rPr>
            </w:pPr>
          </w:p>
        </w:tc>
        <w:tc>
          <w:tcPr>
            <w:tcW w:w="1134" w:type="dxa"/>
            <w:vAlign w:val="bottom"/>
          </w:tcPr>
          <w:p w14:paraId="7C270E0F" w14:textId="77777777" w:rsidR="0010523F" w:rsidRPr="0010523F" w:rsidRDefault="0010523F" w:rsidP="0010523F">
            <w:pPr>
              <w:ind w:left="-108"/>
              <w:jc w:val="right"/>
              <w:rPr>
                <w:sz w:val="18"/>
                <w:szCs w:val="18"/>
                <w:lang w:val="es-AR" w:eastAsia="en-US"/>
              </w:rPr>
            </w:pPr>
            <w:r w:rsidRPr="0010523F">
              <w:rPr>
                <w:color w:val="000000"/>
                <w:sz w:val="18"/>
                <w:szCs w:val="18"/>
                <w:lang w:val="es-AR" w:eastAsia="en-US"/>
              </w:rPr>
              <w:t xml:space="preserve">-   </w:t>
            </w:r>
          </w:p>
        </w:tc>
        <w:tc>
          <w:tcPr>
            <w:tcW w:w="236" w:type="dxa"/>
            <w:vAlign w:val="bottom"/>
          </w:tcPr>
          <w:p w14:paraId="015360E6" w14:textId="77777777" w:rsidR="0010523F" w:rsidRPr="0010523F" w:rsidRDefault="0010523F" w:rsidP="0010523F">
            <w:pPr>
              <w:ind w:left="-108"/>
              <w:jc w:val="right"/>
              <w:rPr>
                <w:color w:val="000000"/>
                <w:sz w:val="18"/>
                <w:szCs w:val="18"/>
                <w:highlight w:val="yellow"/>
                <w:lang w:val="es-AR" w:eastAsia="en-US"/>
              </w:rPr>
            </w:pPr>
          </w:p>
        </w:tc>
        <w:tc>
          <w:tcPr>
            <w:tcW w:w="1039" w:type="dxa"/>
            <w:vAlign w:val="bottom"/>
          </w:tcPr>
          <w:p w14:paraId="76B8FCF1" w14:textId="77777777" w:rsidR="0010523F" w:rsidRPr="0010523F" w:rsidRDefault="0010523F" w:rsidP="0010523F">
            <w:pPr>
              <w:ind w:left="-108"/>
              <w:jc w:val="right"/>
              <w:rPr>
                <w:color w:val="000000"/>
                <w:sz w:val="18"/>
                <w:szCs w:val="18"/>
                <w:highlight w:val="yellow"/>
                <w:lang w:val="es-AR" w:eastAsia="en-US"/>
              </w:rPr>
            </w:pPr>
            <w:r w:rsidRPr="0010523F">
              <w:rPr>
                <w:sz w:val="18"/>
                <w:szCs w:val="18"/>
                <w:lang w:val="es-AR" w:eastAsia="en-US"/>
              </w:rPr>
              <w:t>-</w:t>
            </w:r>
          </w:p>
        </w:tc>
      </w:tr>
      <w:tr w:rsidR="0010523F" w:rsidRPr="0010523F" w14:paraId="6FC9BD20" w14:textId="77777777" w:rsidTr="00774E7E">
        <w:tc>
          <w:tcPr>
            <w:tcW w:w="1735" w:type="dxa"/>
            <w:vAlign w:val="bottom"/>
          </w:tcPr>
          <w:p w14:paraId="11856641" w14:textId="77777777" w:rsidR="0010523F" w:rsidRPr="0010523F" w:rsidRDefault="0010523F" w:rsidP="0010523F">
            <w:pPr>
              <w:rPr>
                <w:sz w:val="18"/>
                <w:szCs w:val="18"/>
                <w:lang w:val="es-AR" w:eastAsia="en-US"/>
              </w:rPr>
            </w:pPr>
            <w:r w:rsidRPr="0010523F">
              <w:rPr>
                <w:sz w:val="18"/>
                <w:szCs w:val="18"/>
                <w:lang w:val="es-AR" w:eastAsia="en-US"/>
              </w:rPr>
              <w:t>Carbón de coke</w:t>
            </w:r>
          </w:p>
        </w:tc>
        <w:tc>
          <w:tcPr>
            <w:tcW w:w="1134" w:type="dxa"/>
            <w:vAlign w:val="bottom"/>
          </w:tcPr>
          <w:p w14:paraId="45B078B8"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   </w:t>
            </w:r>
          </w:p>
        </w:tc>
        <w:tc>
          <w:tcPr>
            <w:tcW w:w="236" w:type="dxa"/>
            <w:vAlign w:val="bottom"/>
          </w:tcPr>
          <w:p w14:paraId="1E141206" w14:textId="77777777" w:rsidR="0010523F" w:rsidRPr="0010523F" w:rsidRDefault="0010523F" w:rsidP="0010523F">
            <w:pPr>
              <w:tabs>
                <w:tab w:val="decimal" w:pos="1026"/>
              </w:tabs>
              <w:ind w:left="-108"/>
              <w:jc w:val="right"/>
              <w:rPr>
                <w:sz w:val="18"/>
                <w:szCs w:val="18"/>
                <w:highlight w:val="yellow"/>
                <w:lang w:val="es-AR" w:eastAsia="en-US"/>
              </w:rPr>
            </w:pPr>
          </w:p>
        </w:tc>
        <w:tc>
          <w:tcPr>
            <w:tcW w:w="1182" w:type="dxa"/>
            <w:vAlign w:val="bottom"/>
          </w:tcPr>
          <w:p w14:paraId="0304283B"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19.890</w:t>
            </w:r>
          </w:p>
        </w:tc>
        <w:tc>
          <w:tcPr>
            <w:tcW w:w="284" w:type="dxa"/>
            <w:vAlign w:val="bottom"/>
          </w:tcPr>
          <w:p w14:paraId="51880DD0" w14:textId="77777777" w:rsidR="0010523F" w:rsidRPr="0010523F" w:rsidRDefault="0010523F" w:rsidP="0010523F">
            <w:pPr>
              <w:tabs>
                <w:tab w:val="decimal" w:pos="1026"/>
              </w:tabs>
              <w:ind w:left="-108"/>
              <w:jc w:val="right"/>
              <w:rPr>
                <w:sz w:val="18"/>
                <w:szCs w:val="18"/>
                <w:highlight w:val="yellow"/>
                <w:lang w:val="es-AR" w:eastAsia="en-US"/>
              </w:rPr>
            </w:pPr>
          </w:p>
        </w:tc>
        <w:tc>
          <w:tcPr>
            <w:tcW w:w="1133" w:type="dxa"/>
            <w:vAlign w:val="bottom"/>
          </w:tcPr>
          <w:p w14:paraId="6B86CF1C" w14:textId="77777777" w:rsidR="0010523F" w:rsidRPr="0010523F" w:rsidRDefault="0010523F" w:rsidP="0010523F">
            <w:pPr>
              <w:jc w:val="right"/>
              <w:rPr>
                <w:sz w:val="18"/>
                <w:szCs w:val="18"/>
                <w:lang w:val="es-AR" w:eastAsia="en-US"/>
              </w:rPr>
            </w:pPr>
            <w:r w:rsidRPr="0010523F">
              <w:rPr>
                <w:color w:val="000000"/>
                <w:sz w:val="18"/>
                <w:szCs w:val="18"/>
                <w:lang w:val="es-AR" w:eastAsia="en-US"/>
              </w:rPr>
              <w:t xml:space="preserve">316.261 </w:t>
            </w:r>
          </w:p>
        </w:tc>
        <w:tc>
          <w:tcPr>
            <w:tcW w:w="236" w:type="dxa"/>
            <w:vAlign w:val="bottom"/>
          </w:tcPr>
          <w:p w14:paraId="2DC46141" w14:textId="77777777" w:rsidR="0010523F" w:rsidRPr="0010523F" w:rsidRDefault="0010523F" w:rsidP="0010523F">
            <w:pPr>
              <w:tabs>
                <w:tab w:val="decimal" w:pos="1026"/>
              </w:tabs>
              <w:ind w:left="-108"/>
              <w:jc w:val="right"/>
              <w:rPr>
                <w:sz w:val="18"/>
                <w:szCs w:val="18"/>
                <w:highlight w:val="yellow"/>
                <w:lang w:val="es-AR" w:eastAsia="en-US"/>
              </w:rPr>
            </w:pPr>
          </w:p>
        </w:tc>
        <w:tc>
          <w:tcPr>
            <w:tcW w:w="1040" w:type="dxa"/>
            <w:vAlign w:val="bottom"/>
          </w:tcPr>
          <w:p w14:paraId="61D3CCA8" w14:textId="77777777" w:rsidR="0010523F" w:rsidRPr="0010523F" w:rsidRDefault="0010523F" w:rsidP="0010523F">
            <w:pPr>
              <w:tabs>
                <w:tab w:val="decimal" w:pos="1026"/>
              </w:tabs>
              <w:ind w:left="-108"/>
              <w:jc w:val="right"/>
              <w:rPr>
                <w:sz w:val="18"/>
                <w:szCs w:val="18"/>
                <w:highlight w:val="yellow"/>
                <w:lang w:val="es-AR" w:eastAsia="en-US"/>
              </w:rPr>
            </w:pPr>
            <w:r w:rsidRPr="0010523F">
              <w:rPr>
                <w:sz w:val="18"/>
                <w:szCs w:val="18"/>
                <w:lang w:val="es-AR" w:eastAsia="en-US"/>
              </w:rPr>
              <w:t>192.259</w:t>
            </w:r>
          </w:p>
        </w:tc>
        <w:tc>
          <w:tcPr>
            <w:tcW w:w="284" w:type="dxa"/>
            <w:vAlign w:val="bottom"/>
          </w:tcPr>
          <w:p w14:paraId="155F4544" w14:textId="77777777" w:rsidR="0010523F" w:rsidRPr="0010523F" w:rsidRDefault="0010523F" w:rsidP="0010523F">
            <w:pPr>
              <w:tabs>
                <w:tab w:val="decimal" w:pos="1026"/>
              </w:tabs>
              <w:ind w:left="-108"/>
              <w:jc w:val="right"/>
              <w:rPr>
                <w:sz w:val="18"/>
                <w:szCs w:val="18"/>
                <w:highlight w:val="yellow"/>
                <w:lang w:val="es-AR" w:eastAsia="en-US"/>
              </w:rPr>
            </w:pPr>
          </w:p>
        </w:tc>
        <w:tc>
          <w:tcPr>
            <w:tcW w:w="1134" w:type="dxa"/>
            <w:vAlign w:val="bottom"/>
          </w:tcPr>
          <w:p w14:paraId="02F0FB54" w14:textId="77777777" w:rsidR="0010523F" w:rsidRPr="0010523F" w:rsidRDefault="0010523F" w:rsidP="0010523F">
            <w:pPr>
              <w:ind w:left="-108"/>
              <w:jc w:val="right"/>
              <w:rPr>
                <w:sz w:val="18"/>
                <w:szCs w:val="18"/>
                <w:lang w:val="es-AR" w:eastAsia="en-US"/>
              </w:rPr>
            </w:pPr>
            <w:r w:rsidRPr="0010523F">
              <w:rPr>
                <w:color w:val="000000"/>
                <w:sz w:val="18"/>
                <w:szCs w:val="18"/>
                <w:lang w:val="es-AR" w:eastAsia="en-US"/>
              </w:rPr>
              <w:t xml:space="preserve">   -   </w:t>
            </w:r>
          </w:p>
        </w:tc>
        <w:tc>
          <w:tcPr>
            <w:tcW w:w="236" w:type="dxa"/>
            <w:vAlign w:val="bottom"/>
          </w:tcPr>
          <w:p w14:paraId="71E66CC6" w14:textId="77777777" w:rsidR="0010523F" w:rsidRPr="0010523F" w:rsidRDefault="0010523F" w:rsidP="0010523F">
            <w:pPr>
              <w:ind w:left="-108"/>
              <w:jc w:val="right"/>
              <w:rPr>
                <w:color w:val="000000"/>
                <w:sz w:val="18"/>
                <w:szCs w:val="18"/>
                <w:highlight w:val="yellow"/>
                <w:lang w:val="es-AR" w:eastAsia="en-US"/>
              </w:rPr>
            </w:pPr>
          </w:p>
        </w:tc>
        <w:tc>
          <w:tcPr>
            <w:tcW w:w="1039" w:type="dxa"/>
            <w:vAlign w:val="bottom"/>
          </w:tcPr>
          <w:p w14:paraId="2FE7EF07" w14:textId="77777777" w:rsidR="0010523F" w:rsidRPr="0010523F" w:rsidRDefault="0010523F" w:rsidP="0010523F">
            <w:pPr>
              <w:ind w:left="-108"/>
              <w:jc w:val="right"/>
              <w:rPr>
                <w:color w:val="000000"/>
                <w:sz w:val="18"/>
                <w:szCs w:val="18"/>
                <w:highlight w:val="yellow"/>
                <w:lang w:val="es-AR" w:eastAsia="en-US"/>
              </w:rPr>
            </w:pPr>
            <w:r w:rsidRPr="0010523F">
              <w:rPr>
                <w:sz w:val="18"/>
                <w:szCs w:val="18"/>
                <w:lang w:val="es-AR" w:eastAsia="en-US"/>
              </w:rPr>
              <w:t>-</w:t>
            </w:r>
          </w:p>
        </w:tc>
      </w:tr>
      <w:tr w:rsidR="0010523F" w:rsidRPr="0010523F" w14:paraId="3654706D" w14:textId="77777777" w:rsidTr="00774E7E">
        <w:tc>
          <w:tcPr>
            <w:tcW w:w="1735" w:type="dxa"/>
            <w:vAlign w:val="bottom"/>
          </w:tcPr>
          <w:p w14:paraId="29696FCF" w14:textId="77777777" w:rsidR="0010523F" w:rsidRPr="0010523F" w:rsidRDefault="0010523F" w:rsidP="0010523F">
            <w:pPr>
              <w:rPr>
                <w:sz w:val="18"/>
                <w:szCs w:val="18"/>
                <w:lang w:val="es-AR" w:eastAsia="en-US"/>
              </w:rPr>
            </w:pPr>
            <w:r w:rsidRPr="0010523F">
              <w:rPr>
                <w:sz w:val="18"/>
                <w:szCs w:val="18"/>
                <w:lang w:val="es-AR" w:eastAsia="en-US"/>
              </w:rPr>
              <w:t>Lubricantes</w:t>
            </w:r>
          </w:p>
        </w:tc>
        <w:tc>
          <w:tcPr>
            <w:tcW w:w="1134" w:type="dxa"/>
            <w:vAlign w:val="bottom"/>
          </w:tcPr>
          <w:p w14:paraId="4CF3235A" w14:textId="77777777" w:rsidR="0010523F" w:rsidRPr="0010523F" w:rsidRDefault="0010523F" w:rsidP="0010523F">
            <w:pPr>
              <w:jc w:val="right"/>
              <w:rPr>
                <w:sz w:val="18"/>
                <w:szCs w:val="18"/>
                <w:u w:val="single"/>
                <w:lang w:val="es-AR" w:eastAsia="en-US"/>
              </w:rPr>
            </w:pPr>
            <w:r w:rsidRPr="0010523F">
              <w:rPr>
                <w:color w:val="000000"/>
                <w:sz w:val="18"/>
                <w:szCs w:val="18"/>
                <w:u w:val="single"/>
                <w:lang w:val="es-AR" w:eastAsia="en-US"/>
              </w:rPr>
              <w:t xml:space="preserve">       213 </w:t>
            </w:r>
          </w:p>
        </w:tc>
        <w:tc>
          <w:tcPr>
            <w:tcW w:w="236" w:type="dxa"/>
            <w:vAlign w:val="bottom"/>
          </w:tcPr>
          <w:p w14:paraId="26A014A8" w14:textId="77777777" w:rsidR="0010523F" w:rsidRPr="0010523F" w:rsidRDefault="0010523F" w:rsidP="0010523F">
            <w:pPr>
              <w:tabs>
                <w:tab w:val="decimal" w:pos="1026"/>
              </w:tabs>
              <w:ind w:left="-108"/>
              <w:jc w:val="right"/>
              <w:rPr>
                <w:sz w:val="18"/>
                <w:szCs w:val="18"/>
                <w:highlight w:val="yellow"/>
                <w:u w:val="single"/>
                <w:lang w:val="es-AR" w:eastAsia="en-US"/>
              </w:rPr>
            </w:pPr>
          </w:p>
        </w:tc>
        <w:tc>
          <w:tcPr>
            <w:tcW w:w="1182" w:type="dxa"/>
            <w:vAlign w:val="bottom"/>
          </w:tcPr>
          <w:p w14:paraId="66452627" w14:textId="77777777" w:rsidR="0010523F" w:rsidRPr="0010523F" w:rsidRDefault="0010523F" w:rsidP="0010523F">
            <w:pPr>
              <w:tabs>
                <w:tab w:val="decimal" w:pos="1026"/>
              </w:tabs>
              <w:ind w:left="-108"/>
              <w:jc w:val="right"/>
              <w:rPr>
                <w:sz w:val="18"/>
                <w:szCs w:val="18"/>
                <w:highlight w:val="yellow"/>
                <w:u w:val="single"/>
                <w:lang w:val="es-AR" w:eastAsia="en-US"/>
              </w:rPr>
            </w:pPr>
            <w:r w:rsidRPr="0010523F">
              <w:rPr>
                <w:sz w:val="18"/>
                <w:szCs w:val="18"/>
                <w:u w:val="single"/>
                <w:lang w:val="es-AR" w:eastAsia="en-US"/>
              </w:rPr>
              <w:t xml:space="preserve">       160</w:t>
            </w:r>
          </w:p>
        </w:tc>
        <w:tc>
          <w:tcPr>
            <w:tcW w:w="284" w:type="dxa"/>
            <w:vAlign w:val="bottom"/>
          </w:tcPr>
          <w:p w14:paraId="05D59E0F" w14:textId="77777777" w:rsidR="0010523F" w:rsidRPr="0010523F" w:rsidRDefault="0010523F" w:rsidP="0010523F">
            <w:pPr>
              <w:tabs>
                <w:tab w:val="decimal" w:pos="1026"/>
              </w:tabs>
              <w:ind w:left="-108"/>
              <w:jc w:val="right"/>
              <w:rPr>
                <w:sz w:val="18"/>
                <w:szCs w:val="18"/>
                <w:highlight w:val="yellow"/>
                <w:u w:val="single"/>
                <w:lang w:val="es-AR" w:eastAsia="en-US"/>
              </w:rPr>
            </w:pPr>
          </w:p>
        </w:tc>
        <w:tc>
          <w:tcPr>
            <w:tcW w:w="1133" w:type="dxa"/>
            <w:vAlign w:val="bottom"/>
          </w:tcPr>
          <w:p w14:paraId="6F1D4A89" w14:textId="77777777" w:rsidR="0010523F" w:rsidRPr="0010523F" w:rsidRDefault="0010523F" w:rsidP="0010523F">
            <w:pPr>
              <w:jc w:val="right"/>
              <w:rPr>
                <w:sz w:val="18"/>
                <w:szCs w:val="18"/>
                <w:u w:val="single"/>
                <w:lang w:val="es-AR" w:eastAsia="en-US"/>
              </w:rPr>
            </w:pPr>
            <w:r w:rsidRPr="0010523F">
              <w:rPr>
                <w:color w:val="000000"/>
                <w:sz w:val="18"/>
                <w:szCs w:val="18"/>
                <w:u w:val="single"/>
                <w:lang w:val="es-AR" w:eastAsia="en-US"/>
              </w:rPr>
              <w:t xml:space="preserve">     11.130 </w:t>
            </w:r>
          </w:p>
        </w:tc>
        <w:tc>
          <w:tcPr>
            <w:tcW w:w="236" w:type="dxa"/>
            <w:vAlign w:val="bottom"/>
          </w:tcPr>
          <w:p w14:paraId="51C16699" w14:textId="77777777" w:rsidR="0010523F" w:rsidRPr="0010523F" w:rsidRDefault="0010523F" w:rsidP="0010523F">
            <w:pPr>
              <w:tabs>
                <w:tab w:val="decimal" w:pos="1026"/>
              </w:tabs>
              <w:ind w:left="-108"/>
              <w:jc w:val="right"/>
              <w:rPr>
                <w:sz w:val="18"/>
                <w:szCs w:val="18"/>
                <w:highlight w:val="yellow"/>
                <w:u w:val="single"/>
                <w:lang w:val="es-AR" w:eastAsia="en-US"/>
              </w:rPr>
            </w:pPr>
          </w:p>
        </w:tc>
        <w:tc>
          <w:tcPr>
            <w:tcW w:w="1040" w:type="dxa"/>
            <w:vAlign w:val="bottom"/>
          </w:tcPr>
          <w:p w14:paraId="0389ED1A" w14:textId="77777777" w:rsidR="0010523F" w:rsidRPr="0010523F" w:rsidRDefault="0010523F" w:rsidP="0010523F">
            <w:pPr>
              <w:tabs>
                <w:tab w:val="decimal" w:pos="1026"/>
              </w:tabs>
              <w:ind w:left="-108"/>
              <w:jc w:val="right"/>
              <w:rPr>
                <w:sz w:val="18"/>
                <w:szCs w:val="18"/>
                <w:highlight w:val="yellow"/>
                <w:u w:val="single"/>
                <w:lang w:val="es-AR" w:eastAsia="en-US"/>
              </w:rPr>
            </w:pPr>
            <w:r w:rsidRPr="0010523F">
              <w:rPr>
                <w:sz w:val="18"/>
                <w:szCs w:val="18"/>
                <w:u w:val="single"/>
                <w:lang w:val="es-AR" w:eastAsia="en-US"/>
              </w:rPr>
              <w:t xml:space="preserve">     13.625</w:t>
            </w:r>
          </w:p>
        </w:tc>
        <w:tc>
          <w:tcPr>
            <w:tcW w:w="284" w:type="dxa"/>
            <w:vAlign w:val="bottom"/>
          </w:tcPr>
          <w:p w14:paraId="5D59B90A" w14:textId="77777777" w:rsidR="0010523F" w:rsidRPr="0010523F" w:rsidRDefault="0010523F" w:rsidP="0010523F">
            <w:pPr>
              <w:tabs>
                <w:tab w:val="decimal" w:pos="1026"/>
              </w:tabs>
              <w:ind w:left="-108"/>
              <w:jc w:val="right"/>
              <w:rPr>
                <w:sz w:val="18"/>
                <w:szCs w:val="18"/>
                <w:highlight w:val="yellow"/>
                <w:u w:val="single"/>
                <w:lang w:val="es-AR" w:eastAsia="en-US"/>
              </w:rPr>
            </w:pPr>
          </w:p>
        </w:tc>
        <w:tc>
          <w:tcPr>
            <w:tcW w:w="1134" w:type="dxa"/>
            <w:vAlign w:val="bottom"/>
          </w:tcPr>
          <w:p w14:paraId="561C901F" w14:textId="77777777" w:rsidR="0010523F" w:rsidRPr="0010523F" w:rsidRDefault="0010523F" w:rsidP="0010523F">
            <w:pPr>
              <w:jc w:val="right"/>
              <w:rPr>
                <w:sz w:val="18"/>
                <w:szCs w:val="18"/>
                <w:u w:val="single"/>
                <w:lang w:val="es-AR" w:eastAsia="en-US"/>
              </w:rPr>
            </w:pPr>
            <w:r w:rsidRPr="0010523F">
              <w:rPr>
                <w:color w:val="000000"/>
                <w:sz w:val="18"/>
                <w:szCs w:val="18"/>
                <w:u w:val="single"/>
                <w:lang w:val="es-AR" w:eastAsia="en-US"/>
              </w:rPr>
              <w:t xml:space="preserve">        87 </w:t>
            </w:r>
          </w:p>
        </w:tc>
        <w:tc>
          <w:tcPr>
            <w:tcW w:w="236" w:type="dxa"/>
            <w:vAlign w:val="bottom"/>
          </w:tcPr>
          <w:p w14:paraId="20D1C6C9" w14:textId="77777777" w:rsidR="0010523F" w:rsidRPr="0010523F" w:rsidRDefault="0010523F" w:rsidP="0010523F">
            <w:pPr>
              <w:jc w:val="right"/>
              <w:rPr>
                <w:color w:val="000000"/>
                <w:sz w:val="18"/>
                <w:szCs w:val="18"/>
                <w:highlight w:val="yellow"/>
                <w:u w:val="single"/>
                <w:lang w:val="es-AR" w:eastAsia="en-US"/>
              </w:rPr>
            </w:pPr>
          </w:p>
        </w:tc>
        <w:tc>
          <w:tcPr>
            <w:tcW w:w="1039" w:type="dxa"/>
            <w:vAlign w:val="bottom"/>
          </w:tcPr>
          <w:p w14:paraId="2AC3D879" w14:textId="77777777" w:rsidR="0010523F" w:rsidRPr="0010523F" w:rsidRDefault="0010523F" w:rsidP="0010523F">
            <w:pPr>
              <w:jc w:val="right"/>
              <w:rPr>
                <w:color w:val="000000"/>
                <w:sz w:val="18"/>
                <w:szCs w:val="18"/>
                <w:highlight w:val="yellow"/>
                <w:u w:val="single"/>
                <w:lang w:val="es-AR" w:eastAsia="en-US"/>
              </w:rPr>
            </w:pPr>
            <w:r w:rsidRPr="0010523F">
              <w:rPr>
                <w:sz w:val="18"/>
                <w:szCs w:val="18"/>
                <w:u w:val="single"/>
                <w:lang w:val="es-AR" w:eastAsia="en-US"/>
              </w:rPr>
              <w:t xml:space="preserve">       161</w:t>
            </w:r>
          </w:p>
        </w:tc>
      </w:tr>
      <w:tr w:rsidR="0010523F" w:rsidRPr="0010523F" w14:paraId="64C9C2EA" w14:textId="77777777" w:rsidTr="00774E7E">
        <w:tc>
          <w:tcPr>
            <w:tcW w:w="1735" w:type="dxa"/>
            <w:vAlign w:val="bottom"/>
          </w:tcPr>
          <w:p w14:paraId="6069D099" w14:textId="77777777" w:rsidR="0010523F" w:rsidRPr="0010523F" w:rsidRDefault="0010523F" w:rsidP="0010523F">
            <w:pPr>
              <w:jc w:val="both"/>
              <w:rPr>
                <w:sz w:val="18"/>
                <w:szCs w:val="18"/>
                <w:lang w:val="es-AR" w:eastAsia="en-US"/>
              </w:rPr>
            </w:pPr>
            <w:r w:rsidRPr="0010523F">
              <w:rPr>
                <w:sz w:val="18"/>
                <w:szCs w:val="18"/>
                <w:lang w:val="es-AR" w:eastAsia="en-US"/>
              </w:rPr>
              <w:t>Total productos</w:t>
            </w:r>
          </w:p>
        </w:tc>
        <w:tc>
          <w:tcPr>
            <w:tcW w:w="1134" w:type="dxa"/>
            <w:vAlign w:val="bottom"/>
          </w:tcPr>
          <w:p w14:paraId="567476F7" w14:textId="77777777" w:rsidR="0010523F" w:rsidRPr="0010523F" w:rsidRDefault="0010523F" w:rsidP="0010523F">
            <w:pPr>
              <w:ind w:left="-108"/>
              <w:jc w:val="right"/>
              <w:rPr>
                <w:sz w:val="18"/>
                <w:szCs w:val="18"/>
                <w:u w:val="double"/>
                <w:lang w:val="es-AR" w:eastAsia="en-US"/>
              </w:rPr>
            </w:pPr>
            <w:r w:rsidRPr="0010523F">
              <w:rPr>
                <w:bCs/>
                <w:color w:val="000000"/>
                <w:sz w:val="18"/>
                <w:szCs w:val="18"/>
                <w:u w:val="double"/>
                <w:lang w:val="es-AR" w:eastAsia="en-US"/>
              </w:rPr>
              <w:t xml:space="preserve">392.590 </w:t>
            </w:r>
          </w:p>
        </w:tc>
        <w:tc>
          <w:tcPr>
            <w:tcW w:w="236" w:type="dxa"/>
            <w:vAlign w:val="bottom"/>
          </w:tcPr>
          <w:p w14:paraId="4D04C576" w14:textId="77777777" w:rsidR="0010523F" w:rsidRPr="0010523F" w:rsidRDefault="0010523F" w:rsidP="0010523F">
            <w:pPr>
              <w:tabs>
                <w:tab w:val="decimal" w:pos="1026"/>
              </w:tabs>
              <w:ind w:left="-108"/>
              <w:jc w:val="right"/>
              <w:rPr>
                <w:sz w:val="18"/>
                <w:szCs w:val="18"/>
                <w:highlight w:val="yellow"/>
                <w:u w:val="double"/>
                <w:lang w:val="es-AR" w:eastAsia="en-US"/>
              </w:rPr>
            </w:pPr>
          </w:p>
        </w:tc>
        <w:tc>
          <w:tcPr>
            <w:tcW w:w="1182" w:type="dxa"/>
            <w:vAlign w:val="bottom"/>
          </w:tcPr>
          <w:p w14:paraId="4B1810A4" w14:textId="77777777" w:rsidR="0010523F" w:rsidRPr="0010523F" w:rsidRDefault="0010523F" w:rsidP="0010523F">
            <w:pPr>
              <w:tabs>
                <w:tab w:val="decimal" w:pos="1026"/>
              </w:tabs>
              <w:ind w:left="-108"/>
              <w:jc w:val="right"/>
              <w:rPr>
                <w:sz w:val="18"/>
                <w:szCs w:val="18"/>
                <w:highlight w:val="yellow"/>
                <w:u w:val="double"/>
                <w:lang w:val="es-AR" w:eastAsia="en-US"/>
              </w:rPr>
            </w:pPr>
            <w:r w:rsidRPr="0010523F">
              <w:rPr>
                <w:sz w:val="18"/>
                <w:szCs w:val="18"/>
                <w:u w:val="double"/>
                <w:lang w:val="es-AR" w:eastAsia="en-US"/>
              </w:rPr>
              <w:t>183.668</w:t>
            </w:r>
          </w:p>
        </w:tc>
        <w:tc>
          <w:tcPr>
            <w:tcW w:w="284" w:type="dxa"/>
            <w:vAlign w:val="bottom"/>
          </w:tcPr>
          <w:p w14:paraId="75433612" w14:textId="77777777" w:rsidR="0010523F" w:rsidRPr="0010523F" w:rsidRDefault="0010523F" w:rsidP="0010523F">
            <w:pPr>
              <w:tabs>
                <w:tab w:val="decimal" w:pos="1026"/>
              </w:tabs>
              <w:ind w:left="-108"/>
              <w:jc w:val="right"/>
              <w:rPr>
                <w:sz w:val="18"/>
                <w:szCs w:val="18"/>
                <w:highlight w:val="yellow"/>
                <w:u w:val="double"/>
                <w:lang w:val="es-AR" w:eastAsia="en-US"/>
              </w:rPr>
            </w:pPr>
          </w:p>
        </w:tc>
        <w:tc>
          <w:tcPr>
            <w:tcW w:w="1133" w:type="dxa"/>
            <w:vAlign w:val="bottom"/>
          </w:tcPr>
          <w:p w14:paraId="2E7E5038" w14:textId="77777777" w:rsidR="0010523F" w:rsidRPr="0010523F" w:rsidRDefault="0010523F" w:rsidP="0010523F">
            <w:pPr>
              <w:jc w:val="right"/>
              <w:rPr>
                <w:sz w:val="18"/>
                <w:szCs w:val="18"/>
                <w:u w:val="double"/>
                <w:lang w:val="es-AR" w:eastAsia="en-US"/>
              </w:rPr>
            </w:pPr>
            <w:r w:rsidRPr="0010523F">
              <w:rPr>
                <w:bCs/>
                <w:color w:val="000000"/>
                <w:sz w:val="18"/>
                <w:szCs w:val="18"/>
                <w:u w:val="double"/>
                <w:lang w:val="es-AR" w:eastAsia="en-US"/>
              </w:rPr>
              <w:t xml:space="preserve">3.498.273 </w:t>
            </w:r>
          </w:p>
        </w:tc>
        <w:tc>
          <w:tcPr>
            <w:tcW w:w="236" w:type="dxa"/>
            <w:vAlign w:val="bottom"/>
          </w:tcPr>
          <w:p w14:paraId="3ED83B9A" w14:textId="77777777" w:rsidR="0010523F" w:rsidRPr="0010523F" w:rsidRDefault="0010523F" w:rsidP="0010523F">
            <w:pPr>
              <w:tabs>
                <w:tab w:val="decimal" w:pos="1026"/>
              </w:tabs>
              <w:ind w:left="-108"/>
              <w:jc w:val="right"/>
              <w:rPr>
                <w:sz w:val="18"/>
                <w:szCs w:val="18"/>
                <w:highlight w:val="yellow"/>
                <w:u w:val="double"/>
                <w:lang w:val="es-AR" w:eastAsia="en-US"/>
              </w:rPr>
            </w:pPr>
          </w:p>
        </w:tc>
        <w:tc>
          <w:tcPr>
            <w:tcW w:w="1040" w:type="dxa"/>
            <w:vAlign w:val="bottom"/>
          </w:tcPr>
          <w:p w14:paraId="087352D3" w14:textId="77777777" w:rsidR="0010523F" w:rsidRPr="0010523F" w:rsidRDefault="0010523F" w:rsidP="0010523F">
            <w:pPr>
              <w:tabs>
                <w:tab w:val="decimal" w:pos="1026"/>
              </w:tabs>
              <w:ind w:left="-108"/>
              <w:jc w:val="right"/>
              <w:rPr>
                <w:sz w:val="18"/>
                <w:szCs w:val="18"/>
                <w:highlight w:val="yellow"/>
                <w:u w:val="double"/>
                <w:lang w:val="es-AR" w:eastAsia="en-US"/>
              </w:rPr>
            </w:pPr>
            <w:r w:rsidRPr="0010523F">
              <w:rPr>
                <w:sz w:val="18"/>
                <w:szCs w:val="18"/>
                <w:u w:val="double"/>
                <w:lang w:val="es-AR" w:eastAsia="en-US"/>
              </w:rPr>
              <w:t>2.303.252</w:t>
            </w:r>
          </w:p>
        </w:tc>
        <w:tc>
          <w:tcPr>
            <w:tcW w:w="284" w:type="dxa"/>
            <w:vAlign w:val="bottom"/>
          </w:tcPr>
          <w:p w14:paraId="4B3D0DE4" w14:textId="77777777" w:rsidR="0010523F" w:rsidRPr="0010523F" w:rsidRDefault="0010523F" w:rsidP="0010523F">
            <w:pPr>
              <w:tabs>
                <w:tab w:val="decimal" w:pos="1026"/>
              </w:tabs>
              <w:ind w:left="-108"/>
              <w:jc w:val="right"/>
              <w:rPr>
                <w:sz w:val="18"/>
                <w:szCs w:val="18"/>
                <w:highlight w:val="yellow"/>
                <w:u w:val="double"/>
                <w:lang w:val="es-AR" w:eastAsia="en-US"/>
              </w:rPr>
            </w:pPr>
          </w:p>
        </w:tc>
        <w:tc>
          <w:tcPr>
            <w:tcW w:w="1134" w:type="dxa"/>
            <w:vAlign w:val="bottom"/>
          </w:tcPr>
          <w:p w14:paraId="004AC83C" w14:textId="77777777" w:rsidR="0010523F" w:rsidRPr="0010523F" w:rsidRDefault="0010523F" w:rsidP="0010523F">
            <w:pPr>
              <w:ind w:left="-108"/>
              <w:jc w:val="right"/>
              <w:rPr>
                <w:sz w:val="18"/>
                <w:szCs w:val="18"/>
                <w:u w:val="double"/>
                <w:lang w:val="es-AR" w:eastAsia="en-US"/>
              </w:rPr>
            </w:pPr>
            <w:r w:rsidRPr="0010523F">
              <w:rPr>
                <w:bCs/>
                <w:color w:val="000000"/>
                <w:sz w:val="18"/>
                <w:szCs w:val="18"/>
                <w:u w:val="double"/>
                <w:lang w:val="es-AR" w:eastAsia="en-US"/>
              </w:rPr>
              <w:t xml:space="preserve">349.466 </w:t>
            </w:r>
          </w:p>
        </w:tc>
        <w:tc>
          <w:tcPr>
            <w:tcW w:w="236" w:type="dxa"/>
            <w:vAlign w:val="bottom"/>
          </w:tcPr>
          <w:p w14:paraId="4FF0688F" w14:textId="77777777" w:rsidR="0010523F" w:rsidRPr="0010523F" w:rsidRDefault="0010523F" w:rsidP="0010523F">
            <w:pPr>
              <w:ind w:left="-108"/>
              <w:jc w:val="right"/>
              <w:rPr>
                <w:bCs/>
                <w:color w:val="000000"/>
                <w:sz w:val="18"/>
                <w:szCs w:val="18"/>
                <w:highlight w:val="yellow"/>
                <w:u w:val="double"/>
                <w:lang w:val="es-AR" w:eastAsia="en-US"/>
              </w:rPr>
            </w:pPr>
          </w:p>
        </w:tc>
        <w:tc>
          <w:tcPr>
            <w:tcW w:w="1039" w:type="dxa"/>
            <w:vAlign w:val="bottom"/>
          </w:tcPr>
          <w:p w14:paraId="54E809B8" w14:textId="77777777" w:rsidR="0010523F" w:rsidRPr="0010523F" w:rsidRDefault="0010523F" w:rsidP="0010523F">
            <w:pPr>
              <w:ind w:left="-108"/>
              <w:jc w:val="right"/>
              <w:rPr>
                <w:bCs/>
                <w:color w:val="000000"/>
                <w:sz w:val="18"/>
                <w:szCs w:val="18"/>
                <w:highlight w:val="yellow"/>
                <w:u w:val="double"/>
                <w:lang w:val="es-AR" w:eastAsia="en-US"/>
              </w:rPr>
            </w:pPr>
            <w:r w:rsidRPr="0010523F">
              <w:rPr>
                <w:sz w:val="18"/>
                <w:szCs w:val="18"/>
                <w:u w:val="double"/>
                <w:lang w:val="es-AR" w:eastAsia="en-US"/>
              </w:rPr>
              <w:t>271.271</w:t>
            </w:r>
          </w:p>
        </w:tc>
      </w:tr>
    </w:tbl>
    <w:p w14:paraId="2B477A81" w14:textId="77777777" w:rsidR="0010523F" w:rsidRPr="0010523F" w:rsidRDefault="0010523F" w:rsidP="0010523F">
      <w:pPr>
        <w:spacing w:line="200" w:lineRule="exact"/>
        <w:ind w:left="357" w:hanging="357"/>
        <w:jc w:val="both"/>
        <w:rPr>
          <w:lang w:val="es-AR" w:eastAsia="en-US"/>
        </w:rPr>
      </w:pPr>
    </w:p>
    <w:p w14:paraId="70336520" w14:textId="77777777" w:rsidR="0010523F" w:rsidRPr="0010523F" w:rsidRDefault="0010523F" w:rsidP="00E2318E">
      <w:pPr>
        <w:numPr>
          <w:ilvl w:val="0"/>
          <w:numId w:val="69"/>
        </w:numPr>
        <w:spacing w:line="220" w:lineRule="exact"/>
        <w:ind w:left="284" w:hanging="284"/>
        <w:jc w:val="both"/>
        <w:rPr>
          <w:sz w:val="19"/>
          <w:szCs w:val="19"/>
          <w:lang w:val="es-AR" w:eastAsia="en-US"/>
        </w:rPr>
      </w:pPr>
      <w:r w:rsidRPr="0010523F">
        <w:rPr>
          <w:sz w:val="19"/>
          <w:szCs w:val="19"/>
          <w:lang w:val="es-AR" w:eastAsia="en-US"/>
        </w:rPr>
        <w:t>Incluye exclusivamente los volúmenes de ventas a partir del 1 de abril de 2018, fecha efectiva de la TFC mencionada en la Nota 1 de los estados financieros intermedios condensados.</w:t>
      </w:r>
    </w:p>
    <w:p w14:paraId="7EBB7AA7" w14:textId="77777777" w:rsidR="0010523F" w:rsidRPr="0010523F" w:rsidRDefault="0010523F" w:rsidP="0010523F">
      <w:pPr>
        <w:spacing w:line="200" w:lineRule="exact"/>
        <w:ind w:left="357" w:hanging="357"/>
        <w:jc w:val="both"/>
        <w:rPr>
          <w:sz w:val="23"/>
          <w:szCs w:val="23"/>
          <w:highlight w:val="cyan"/>
          <w:lang w:val="es-AR" w:eastAsia="en-US"/>
        </w:rPr>
      </w:pPr>
    </w:p>
    <w:p w14:paraId="795D4696" w14:textId="77777777" w:rsidR="0010523F" w:rsidRPr="0010523F" w:rsidRDefault="0010523F" w:rsidP="0010523F">
      <w:pPr>
        <w:spacing w:line="200" w:lineRule="exact"/>
        <w:ind w:left="357" w:hanging="357"/>
        <w:jc w:val="both"/>
        <w:rPr>
          <w:sz w:val="23"/>
          <w:szCs w:val="23"/>
          <w:highlight w:val="cyan"/>
          <w:lang w:val="es-AR" w:eastAsia="en-US"/>
        </w:rPr>
      </w:pPr>
    </w:p>
    <w:p w14:paraId="0A69D451" w14:textId="77777777" w:rsidR="0010523F" w:rsidRPr="0010523F" w:rsidRDefault="0010523F" w:rsidP="0010523F">
      <w:pPr>
        <w:rPr>
          <w:sz w:val="23"/>
          <w:szCs w:val="23"/>
          <w:lang w:val="es-AR" w:eastAsia="en-US"/>
        </w:rPr>
      </w:pPr>
      <w:r w:rsidRPr="0010523F">
        <w:rPr>
          <w:sz w:val="23"/>
          <w:szCs w:val="23"/>
          <w:lang w:val="es-AR" w:eastAsia="en-US"/>
        </w:rPr>
        <w:br w:type="page"/>
      </w:r>
    </w:p>
    <w:p w14:paraId="1902E997" w14:textId="77777777" w:rsidR="0010523F" w:rsidRPr="0010523F" w:rsidRDefault="0010523F" w:rsidP="0010523F">
      <w:pPr>
        <w:spacing w:line="220" w:lineRule="exact"/>
        <w:jc w:val="both"/>
        <w:rPr>
          <w:b/>
          <w:lang w:val="es-AR" w:eastAsia="en-US"/>
        </w:rPr>
      </w:pPr>
      <w:r w:rsidRPr="0010523F">
        <w:rPr>
          <w:b/>
          <w:lang w:val="es-AR" w:eastAsia="en-US"/>
        </w:rPr>
        <w:t>6. Índices</w:t>
      </w:r>
    </w:p>
    <w:p w14:paraId="1FC8083F" w14:textId="77777777" w:rsidR="0010523F" w:rsidRPr="0010523F" w:rsidRDefault="0010523F" w:rsidP="0010523F">
      <w:pPr>
        <w:spacing w:line="200" w:lineRule="exact"/>
        <w:ind w:left="357" w:hanging="357"/>
        <w:jc w:val="both"/>
        <w:rPr>
          <w:sz w:val="23"/>
          <w:szCs w:val="23"/>
          <w:lang w:val="es-AR" w:eastAsia="en-US"/>
        </w:rPr>
      </w:pPr>
    </w:p>
    <w:tbl>
      <w:tblPr>
        <w:tblW w:w="9353" w:type="dxa"/>
        <w:tblInd w:w="-34" w:type="dxa"/>
        <w:tblLayout w:type="fixed"/>
        <w:tblLook w:val="0000" w:firstRow="0" w:lastRow="0" w:firstColumn="0" w:lastColumn="0" w:noHBand="0" w:noVBand="0"/>
      </w:tblPr>
      <w:tblGrid>
        <w:gridCol w:w="2694"/>
        <w:gridCol w:w="1134"/>
        <w:gridCol w:w="236"/>
        <w:gridCol w:w="1181"/>
        <w:gridCol w:w="236"/>
        <w:gridCol w:w="1134"/>
        <w:gridCol w:w="239"/>
        <w:gridCol w:w="1085"/>
        <w:gridCol w:w="236"/>
        <w:gridCol w:w="1178"/>
      </w:tblGrid>
      <w:tr w:rsidR="0010523F" w:rsidRPr="0010523F" w14:paraId="29ADCBEC" w14:textId="77777777" w:rsidTr="00774E7E">
        <w:tc>
          <w:tcPr>
            <w:tcW w:w="2694" w:type="dxa"/>
            <w:vAlign w:val="bottom"/>
          </w:tcPr>
          <w:p w14:paraId="57F109D0" w14:textId="77777777" w:rsidR="0010523F" w:rsidRPr="0010523F" w:rsidRDefault="0010523F" w:rsidP="0010523F">
            <w:pPr>
              <w:jc w:val="both"/>
              <w:rPr>
                <w:sz w:val="19"/>
                <w:szCs w:val="19"/>
                <w:lang w:val="es-AR" w:eastAsia="en-US"/>
              </w:rPr>
            </w:pPr>
          </w:p>
        </w:tc>
        <w:tc>
          <w:tcPr>
            <w:tcW w:w="1134" w:type="dxa"/>
            <w:tcBorders>
              <w:bottom w:val="single" w:sz="4" w:space="0" w:color="auto"/>
            </w:tcBorders>
            <w:vAlign w:val="bottom"/>
          </w:tcPr>
          <w:p w14:paraId="551261DA" w14:textId="77777777" w:rsidR="0010523F" w:rsidRPr="0010523F" w:rsidRDefault="0010523F" w:rsidP="0010523F">
            <w:pPr>
              <w:jc w:val="center"/>
              <w:rPr>
                <w:sz w:val="19"/>
                <w:szCs w:val="19"/>
                <w:lang w:val="es-AR" w:eastAsia="en-US"/>
              </w:rPr>
            </w:pPr>
            <w:r w:rsidRPr="0010523F">
              <w:rPr>
                <w:sz w:val="19"/>
                <w:szCs w:val="19"/>
                <w:lang w:val="es-AR" w:eastAsia="en-US"/>
              </w:rPr>
              <w:t>30/09/2019</w:t>
            </w:r>
          </w:p>
        </w:tc>
        <w:tc>
          <w:tcPr>
            <w:tcW w:w="236" w:type="dxa"/>
          </w:tcPr>
          <w:p w14:paraId="3D40DA9C" w14:textId="77777777" w:rsidR="0010523F" w:rsidRPr="0010523F" w:rsidRDefault="0010523F" w:rsidP="0010523F">
            <w:pPr>
              <w:jc w:val="center"/>
              <w:rPr>
                <w:sz w:val="19"/>
                <w:szCs w:val="19"/>
                <w:highlight w:val="yellow"/>
                <w:lang w:val="es-AR" w:eastAsia="en-US"/>
              </w:rPr>
            </w:pPr>
          </w:p>
        </w:tc>
        <w:tc>
          <w:tcPr>
            <w:tcW w:w="1181" w:type="dxa"/>
            <w:tcBorders>
              <w:bottom w:val="single" w:sz="4" w:space="0" w:color="auto"/>
            </w:tcBorders>
            <w:vAlign w:val="bottom"/>
          </w:tcPr>
          <w:p w14:paraId="7C0F7A85" w14:textId="77777777" w:rsidR="0010523F" w:rsidRPr="0010523F" w:rsidRDefault="0010523F" w:rsidP="0010523F">
            <w:pPr>
              <w:jc w:val="center"/>
              <w:rPr>
                <w:sz w:val="19"/>
                <w:szCs w:val="19"/>
                <w:lang w:val="es-AR" w:eastAsia="en-US"/>
              </w:rPr>
            </w:pPr>
            <w:r w:rsidRPr="0010523F">
              <w:rPr>
                <w:sz w:val="19"/>
                <w:szCs w:val="19"/>
                <w:lang w:val="es-AR" w:eastAsia="en-US"/>
              </w:rPr>
              <w:t>30/09/2018</w:t>
            </w:r>
          </w:p>
        </w:tc>
        <w:tc>
          <w:tcPr>
            <w:tcW w:w="236" w:type="dxa"/>
          </w:tcPr>
          <w:p w14:paraId="78DC3713" w14:textId="77777777" w:rsidR="0010523F" w:rsidRPr="0010523F" w:rsidRDefault="0010523F" w:rsidP="0010523F">
            <w:pPr>
              <w:jc w:val="center"/>
              <w:rPr>
                <w:sz w:val="19"/>
                <w:szCs w:val="19"/>
                <w:lang w:val="es-AR" w:eastAsia="en-US"/>
              </w:rPr>
            </w:pPr>
          </w:p>
        </w:tc>
        <w:tc>
          <w:tcPr>
            <w:tcW w:w="1134" w:type="dxa"/>
            <w:tcBorders>
              <w:bottom w:val="single" w:sz="4" w:space="0" w:color="auto"/>
            </w:tcBorders>
            <w:vAlign w:val="bottom"/>
          </w:tcPr>
          <w:p w14:paraId="3339D05C" w14:textId="77777777" w:rsidR="0010523F" w:rsidRPr="0010523F" w:rsidRDefault="0010523F" w:rsidP="0010523F">
            <w:pPr>
              <w:jc w:val="center"/>
              <w:rPr>
                <w:sz w:val="19"/>
                <w:szCs w:val="19"/>
                <w:lang w:val="es-AR" w:eastAsia="en-US"/>
              </w:rPr>
            </w:pPr>
            <w:r w:rsidRPr="0010523F">
              <w:rPr>
                <w:sz w:val="19"/>
                <w:szCs w:val="19"/>
                <w:lang w:val="es-AR" w:eastAsia="en-US"/>
              </w:rPr>
              <w:t>30/09/2017</w:t>
            </w:r>
          </w:p>
        </w:tc>
        <w:tc>
          <w:tcPr>
            <w:tcW w:w="239" w:type="dxa"/>
          </w:tcPr>
          <w:p w14:paraId="4BFB2805" w14:textId="77777777" w:rsidR="0010523F" w:rsidRPr="0010523F" w:rsidRDefault="0010523F" w:rsidP="0010523F">
            <w:pPr>
              <w:jc w:val="center"/>
              <w:rPr>
                <w:sz w:val="19"/>
                <w:szCs w:val="19"/>
                <w:lang w:val="es-AR" w:eastAsia="en-US"/>
              </w:rPr>
            </w:pPr>
          </w:p>
        </w:tc>
        <w:tc>
          <w:tcPr>
            <w:tcW w:w="1085" w:type="dxa"/>
            <w:tcBorders>
              <w:bottom w:val="single" w:sz="4" w:space="0" w:color="auto"/>
            </w:tcBorders>
            <w:vAlign w:val="bottom"/>
          </w:tcPr>
          <w:p w14:paraId="7D3B3668" w14:textId="77777777" w:rsidR="0010523F" w:rsidRPr="0010523F" w:rsidRDefault="0010523F" w:rsidP="0010523F">
            <w:pPr>
              <w:jc w:val="center"/>
              <w:rPr>
                <w:sz w:val="19"/>
                <w:szCs w:val="19"/>
                <w:lang w:val="es-AR" w:eastAsia="en-US"/>
              </w:rPr>
            </w:pPr>
            <w:r w:rsidRPr="0010523F">
              <w:rPr>
                <w:sz w:val="19"/>
                <w:szCs w:val="19"/>
                <w:lang w:val="es-AR" w:eastAsia="en-US"/>
              </w:rPr>
              <w:t>30/09/2016</w:t>
            </w:r>
          </w:p>
        </w:tc>
        <w:tc>
          <w:tcPr>
            <w:tcW w:w="236" w:type="dxa"/>
            <w:vAlign w:val="bottom"/>
          </w:tcPr>
          <w:p w14:paraId="63A337E1" w14:textId="77777777" w:rsidR="0010523F" w:rsidRPr="0010523F" w:rsidRDefault="0010523F" w:rsidP="0010523F">
            <w:pPr>
              <w:jc w:val="center"/>
              <w:rPr>
                <w:sz w:val="19"/>
                <w:szCs w:val="19"/>
                <w:lang w:val="es-AR" w:eastAsia="en-US"/>
              </w:rPr>
            </w:pPr>
          </w:p>
        </w:tc>
        <w:tc>
          <w:tcPr>
            <w:tcW w:w="1178" w:type="dxa"/>
            <w:tcBorders>
              <w:bottom w:val="single" w:sz="4" w:space="0" w:color="auto"/>
            </w:tcBorders>
            <w:vAlign w:val="bottom"/>
          </w:tcPr>
          <w:p w14:paraId="07A39593" w14:textId="77777777" w:rsidR="0010523F" w:rsidRPr="0010523F" w:rsidRDefault="0010523F" w:rsidP="0010523F">
            <w:pPr>
              <w:jc w:val="center"/>
              <w:rPr>
                <w:sz w:val="19"/>
                <w:szCs w:val="19"/>
                <w:lang w:val="es-AR" w:eastAsia="en-US"/>
              </w:rPr>
            </w:pPr>
            <w:r w:rsidRPr="0010523F">
              <w:rPr>
                <w:sz w:val="19"/>
                <w:szCs w:val="19"/>
                <w:lang w:val="es-AR" w:eastAsia="en-US"/>
              </w:rPr>
              <w:t>30/09/2015</w:t>
            </w:r>
          </w:p>
        </w:tc>
      </w:tr>
      <w:tr w:rsidR="0010523F" w:rsidRPr="0010523F" w14:paraId="091A1C98" w14:textId="77777777" w:rsidTr="00774E7E">
        <w:tc>
          <w:tcPr>
            <w:tcW w:w="2694" w:type="dxa"/>
            <w:vAlign w:val="bottom"/>
          </w:tcPr>
          <w:p w14:paraId="0B74D3F6" w14:textId="77777777" w:rsidR="0010523F" w:rsidRPr="0010523F" w:rsidRDefault="0010523F" w:rsidP="0010523F">
            <w:pPr>
              <w:jc w:val="both"/>
              <w:rPr>
                <w:sz w:val="19"/>
                <w:szCs w:val="19"/>
                <w:highlight w:val="yellow"/>
                <w:lang w:val="es-AR" w:eastAsia="en-US"/>
              </w:rPr>
            </w:pPr>
          </w:p>
        </w:tc>
        <w:tc>
          <w:tcPr>
            <w:tcW w:w="1134" w:type="dxa"/>
            <w:tcBorders>
              <w:top w:val="single" w:sz="4" w:space="0" w:color="auto"/>
            </w:tcBorders>
            <w:vAlign w:val="bottom"/>
          </w:tcPr>
          <w:p w14:paraId="1BF432D3" w14:textId="77777777" w:rsidR="0010523F" w:rsidRPr="0010523F" w:rsidRDefault="0010523F" w:rsidP="0010523F">
            <w:pPr>
              <w:jc w:val="center"/>
              <w:rPr>
                <w:sz w:val="19"/>
                <w:szCs w:val="19"/>
                <w:lang w:val="es-AR" w:eastAsia="en-US"/>
              </w:rPr>
            </w:pPr>
          </w:p>
        </w:tc>
        <w:tc>
          <w:tcPr>
            <w:tcW w:w="236" w:type="dxa"/>
          </w:tcPr>
          <w:p w14:paraId="024E93CF" w14:textId="77777777" w:rsidR="0010523F" w:rsidRPr="0010523F" w:rsidRDefault="0010523F" w:rsidP="0010523F">
            <w:pPr>
              <w:jc w:val="center"/>
              <w:rPr>
                <w:sz w:val="19"/>
                <w:szCs w:val="19"/>
                <w:highlight w:val="yellow"/>
                <w:lang w:val="es-AR" w:eastAsia="en-US"/>
              </w:rPr>
            </w:pPr>
          </w:p>
        </w:tc>
        <w:tc>
          <w:tcPr>
            <w:tcW w:w="1181" w:type="dxa"/>
            <w:tcBorders>
              <w:top w:val="single" w:sz="4" w:space="0" w:color="auto"/>
            </w:tcBorders>
            <w:vAlign w:val="bottom"/>
          </w:tcPr>
          <w:p w14:paraId="1B8926CC" w14:textId="77777777" w:rsidR="0010523F" w:rsidRPr="0010523F" w:rsidRDefault="0010523F" w:rsidP="0010523F">
            <w:pPr>
              <w:jc w:val="center"/>
              <w:rPr>
                <w:sz w:val="19"/>
                <w:szCs w:val="19"/>
                <w:highlight w:val="yellow"/>
                <w:lang w:val="es-AR" w:eastAsia="en-US"/>
              </w:rPr>
            </w:pPr>
          </w:p>
        </w:tc>
        <w:tc>
          <w:tcPr>
            <w:tcW w:w="236" w:type="dxa"/>
          </w:tcPr>
          <w:p w14:paraId="77A2153C" w14:textId="77777777" w:rsidR="0010523F" w:rsidRPr="0010523F" w:rsidRDefault="0010523F" w:rsidP="0010523F">
            <w:pPr>
              <w:jc w:val="center"/>
              <w:rPr>
                <w:sz w:val="19"/>
                <w:szCs w:val="19"/>
                <w:highlight w:val="yellow"/>
                <w:lang w:val="es-AR" w:eastAsia="en-US"/>
              </w:rPr>
            </w:pPr>
          </w:p>
        </w:tc>
        <w:tc>
          <w:tcPr>
            <w:tcW w:w="1134" w:type="dxa"/>
            <w:tcBorders>
              <w:top w:val="single" w:sz="4" w:space="0" w:color="auto"/>
            </w:tcBorders>
            <w:vAlign w:val="bottom"/>
          </w:tcPr>
          <w:p w14:paraId="20158753" w14:textId="77777777" w:rsidR="0010523F" w:rsidRPr="0010523F" w:rsidRDefault="0010523F" w:rsidP="0010523F">
            <w:pPr>
              <w:jc w:val="center"/>
              <w:rPr>
                <w:sz w:val="19"/>
                <w:szCs w:val="19"/>
                <w:highlight w:val="yellow"/>
                <w:lang w:val="es-AR" w:eastAsia="en-US"/>
              </w:rPr>
            </w:pPr>
          </w:p>
        </w:tc>
        <w:tc>
          <w:tcPr>
            <w:tcW w:w="239" w:type="dxa"/>
          </w:tcPr>
          <w:p w14:paraId="74F53D9C" w14:textId="77777777" w:rsidR="0010523F" w:rsidRPr="0010523F" w:rsidRDefault="0010523F" w:rsidP="0010523F">
            <w:pPr>
              <w:jc w:val="center"/>
              <w:rPr>
                <w:sz w:val="19"/>
                <w:szCs w:val="19"/>
                <w:highlight w:val="yellow"/>
                <w:lang w:val="es-AR" w:eastAsia="en-US"/>
              </w:rPr>
            </w:pPr>
          </w:p>
        </w:tc>
        <w:tc>
          <w:tcPr>
            <w:tcW w:w="1085" w:type="dxa"/>
            <w:tcBorders>
              <w:top w:val="single" w:sz="4" w:space="0" w:color="auto"/>
            </w:tcBorders>
            <w:vAlign w:val="bottom"/>
          </w:tcPr>
          <w:p w14:paraId="7F498E4B" w14:textId="77777777" w:rsidR="0010523F" w:rsidRPr="0010523F" w:rsidRDefault="0010523F" w:rsidP="0010523F">
            <w:pPr>
              <w:jc w:val="center"/>
              <w:rPr>
                <w:sz w:val="19"/>
                <w:szCs w:val="19"/>
                <w:highlight w:val="yellow"/>
                <w:lang w:val="es-AR" w:eastAsia="en-US"/>
              </w:rPr>
            </w:pPr>
          </w:p>
        </w:tc>
        <w:tc>
          <w:tcPr>
            <w:tcW w:w="236" w:type="dxa"/>
            <w:vAlign w:val="bottom"/>
          </w:tcPr>
          <w:p w14:paraId="43E4C091" w14:textId="77777777" w:rsidR="0010523F" w:rsidRPr="0010523F" w:rsidRDefault="0010523F" w:rsidP="0010523F">
            <w:pPr>
              <w:jc w:val="center"/>
              <w:rPr>
                <w:sz w:val="19"/>
                <w:szCs w:val="19"/>
                <w:highlight w:val="yellow"/>
                <w:lang w:val="es-AR" w:eastAsia="en-US"/>
              </w:rPr>
            </w:pPr>
          </w:p>
        </w:tc>
        <w:tc>
          <w:tcPr>
            <w:tcW w:w="1178" w:type="dxa"/>
            <w:tcBorders>
              <w:top w:val="single" w:sz="4" w:space="0" w:color="auto"/>
            </w:tcBorders>
            <w:vAlign w:val="bottom"/>
          </w:tcPr>
          <w:p w14:paraId="39BC551D" w14:textId="77777777" w:rsidR="0010523F" w:rsidRPr="0010523F" w:rsidRDefault="0010523F" w:rsidP="0010523F">
            <w:pPr>
              <w:jc w:val="center"/>
              <w:rPr>
                <w:sz w:val="19"/>
                <w:szCs w:val="19"/>
                <w:highlight w:val="yellow"/>
                <w:lang w:val="es-AR" w:eastAsia="en-US"/>
              </w:rPr>
            </w:pPr>
          </w:p>
        </w:tc>
      </w:tr>
      <w:tr w:rsidR="0010523F" w:rsidRPr="0010523F" w14:paraId="6F2462C2" w14:textId="77777777" w:rsidTr="00774E7E">
        <w:tc>
          <w:tcPr>
            <w:tcW w:w="2694" w:type="dxa"/>
            <w:vAlign w:val="bottom"/>
          </w:tcPr>
          <w:p w14:paraId="49C7ABA4" w14:textId="77777777" w:rsidR="0010523F" w:rsidRPr="0010523F" w:rsidRDefault="0010523F" w:rsidP="0010523F">
            <w:pPr>
              <w:jc w:val="both"/>
              <w:rPr>
                <w:sz w:val="19"/>
                <w:szCs w:val="19"/>
                <w:lang w:val="es-AR" w:eastAsia="en-US"/>
              </w:rPr>
            </w:pPr>
            <w:r w:rsidRPr="0010523F">
              <w:rPr>
                <w:sz w:val="19"/>
                <w:szCs w:val="19"/>
                <w:lang w:val="es-AR" w:eastAsia="en-US"/>
              </w:rPr>
              <w:t>Liquidez (1)</w:t>
            </w:r>
          </w:p>
        </w:tc>
        <w:tc>
          <w:tcPr>
            <w:tcW w:w="1134" w:type="dxa"/>
            <w:vAlign w:val="bottom"/>
          </w:tcPr>
          <w:p w14:paraId="0C1083CE" w14:textId="77777777" w:rsidR="0010523F" w:rsidRPr="0010523F" w:rsidRDefault="0010523F" w:rsidP="0010523F">
            <w:pPr>
              <w:jc w:val="center"/>
              <w:rPr>
                <w:sz w:val="19"/>
                <w:szCs w:val="19"/>
                <w:lang w:val="es-AR" w:eastAsia="en-US"/>
              </w:rPr>
            </w:pPr>
            <w:r w:rsidRPr="0010523F">
              <w:rPr>
                <w:sz w:val="19"/>
                <w:szCs w:val="19"/>
                <w:lang w:val="es-AR" w:eastAsia="en-US"/>
              </w:rPr>
              <w:t>0,68</w:t>
            </w:r>
          </w:p>
        </w:tc>
        <w:tc>
          <w:tcPr>
            <w:tcW w:w="236" w:type="dxa"/>
          </w:tcPr>
          <w:p w14:paraId="709D256A" w14:textId="77777777" w:rsidR="0010523F" w:rsidRPr="0010523F" w:rsidRDefault="0010523F" w:rsidP="0010523F">
            <w:pPr>
              <w:jc w:val="center"/>
              <w:rPr>
                <w:sz w:val="19"/>
                <w:szCs w:val="19"/>
                <w:highlight w:val="yellow"/>
                <w:lang w:val="es-AR" w:eastAsia="en-US"/>
              </w:rPr>
            </w:pPr>
          </w:p>
        </w:tc>
        <w:tc>
          <w:tcPr>
            <w:tcW w:w="1181" w:type="dxa"/>
            <w:vAlign w:val="bottom"/>
          </w:tcPr>
          <w:p w14:paraId="57B13A75"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0,98</w:t>
            </w:r>
          </w:p>
        </w:tc>
        <w:tc>
          <w:tcPr>
            <w:tcW w:w="236" w:type="dxa"/>
          </w:tcPr>
          <w:p w14:paraId="451C8A86" w14:textId="77777777" w:rsidR="0010523F" w:rsidRPr="0010523F" w:rsidRDefault="0010523F" w:rsidP="0010523F">
            <w:pPr>
              <w:jc w:val="center"/>
              <w:rPr>
                <w:sz w:val="19"/>
                <w:szCs w:val="19"/>
                <w:highlight w:val="yellow"/>
                <w:lang w:val="es-AR" w:eastAsia="en-US"/>
              </w:rPr>
            </w:pPr>
          </w:p>
        </w:tc>
        <w:tc>
          <w:tcPr>
            <w:tcW w:w="1134" w:type="dxa"/>
            <w:vAlign w:val="bottom"/>
          </w:tcPr>
          <w:p w14:paraId="72FAFF5B"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0,71</w:t>
            </w:r>
          </w:p>
        </w:tc>
        <w:tc>
          <w:tcPr>
            <w:tcW w:w="239" w:type="dxa"/>
          </w:tcPr>
          <w:p w14:paraId="22234D9B" w14:textId="77777777" w:rsidR="0010523F" w:rsidRPr="0010523F" w:rsidRDefault="0010523F" w:rsidP="0010523F">
            <w:pPr>
              <w:jc w:val="center"/>
              <w:rPr>
                <w:sz w:val="19"/>
                <w:szCs w:val="19"/>
                <w:highlight w:val="yellow"/>
                <w:lang w:val="es-AR" w:eastAsia="en-US"/>
              </w:rPr>
            </w:pPr>
          </w:p>
        </w:tc>
        <w:tc>
          <w:tcPr>
            <w:tcW w:w="1085" w:type="dxa"/>
            <w:vAlign w:val="bottom"/>
          </w:tcPr>
          <w:p w14:paraId="3F64FD6A"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0,64</w:t>
            </w:r>
          </w:p>
        </w:tc>
        <w:tc>
          <w:tcPr>
            <w:tcW w:w="236" w:type="dxa"/>
          </w:tcPr>
          <w:p w14:paraId="205A97A3" w14:textId="77777777" w:rsidR="0010523F" w:rsidRPr="0010523F" w:rsidRDefault="0010523F" w:rsidP="0010523F">
            <w:pPr>
              <w:jc w:val="center"/>
              <w:rPr>
                <w:sz w:val="19"/>
                <w:szCs w:val="19"/>
                <w:highlight w:val="yellow"/>
                <w:lang w:val="es-AR" w:eastAsia="en-US"/>
              </w:rPr>
            </w:pPr>
          </w:p>
        </w:tc>
        <w:tc>
          <w:tcPr>
            <w:tcW w:w="1178" w:type="dxa"/>
            <w:vAlign w:val="bottom"/>
          </w:tcPr>
          <w:p w14:paraId="4E7810AC"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0,37</w:t>
            </w:r>
          </w:p>
        </w:tc>
      </w:tr>
      <w:tr w:rsidR="0010523F" w:rsidRPr="0010523F" w14:paraId="23FFD624" w14:textId="77777777" w:rsidTr="00774E7E">
        <w:tc>
          <w:tcPr>
            <w:tcW w:w="2694" w:type="dxa"/>
            <w:vAlign w:val="bottom"/>
          </w:tcPr>
          <w:p w14:paraId="61EDA93B" w14:textId="77777777" w:rsidR="0010523F" w:rsidRPr="0010523F" w:rsidRDefault="0010523F" w:rsidP="0010523F">
            <w:pPr>
              <w:jc w:val="both"/>
              <w:rPr>
                <w:sz w:val="19"/>
                <w:szCs w:val="19"/>
                <w:lang w:val="es-AR" w:eastAsia="en-US"/>
              </w:rPr>
            </w:pPr>
            <w:r w:rsidRPr="0010523F">
              <w:rPr>
                <w:sz w:val="19"/>
                <w:szCs w:val="19"/>
                <w:lang w:val="es-AR" w:eastAsia="en-US"/>
              </w:rPr>
              <w:t>Solvencia (2)</w:t>
            </w:r>
          </w:p>
        </w:tc>
        <w:tc>
          <w:tcPr>
            <w:tcW w:w="1134" w:type="dxa"/>
            <w:vAlign w:val="bottom"/>
          </w:tcPr>
          <w:p w14:paraId="758226E7" w14:textId="77777777" w:rsidR="0010523F" w:rsidRPr="0010523F" w:rsidRDefault="0010523F" w:rsidP="0010523F">
            <w:pPr>
              <w:jc w:val="center"/>
              <w:rPr>
                <w:sz w:val="19"/>
                <w:szCs w:val="19"/>
                <w:lang w:val="es-AR" w:eastAsia="en-US"/>
              </w:rPr>
            </w:pPr>
            <w:r w:rsidRPr="0010523F">
              <w:rPr>
                <w:sz w:val="19"/>
                <w:szCs w:val="19"/>
                <w:lang w:val="es-AR" w:eastAsia="en-US"/>
              </w:rPr>
              <w:t>1,30</w:t>
            </w:r>
          </w:p>
        </w:tc>
        <w:tc>
          <w:tcPr>
            <w:tcW w:w="236" w:type="dxa"/>
          </w:tcPr>
          <w:p w14:paraId="1D1B7065" w14:textId="77777777" w:rsidR="0010523F" w:rsidRPr="0010523F" w:rsidRDefault="0010523F" w:rsidP="0010523F">
            <w:pPr>
              <w:jc w:val="center"/>
              <w:rPr>
                <w:sz w:val="19"/>
                <w:szCs w:val="19"/>
                <w:highlight w:val="yellow"/>
                <w:lang w:val="es-AR" w:eastAsia="en-US"/>
              </w:rPr>
            </w:pPr>
          </w:p>
        </w:tc>
        <w:tc>
          <w:tcPr>
            <w:tcW w:w="1181" w:type="dxa"/>
            <w:vAlign w:val="bottom"/>
          </w:tcPr>
          <w:p w14:paraId="40B38B90"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1,25</w:t>
            </w:r>
          </w:p>
        </w:tc>
        <w:tc>
          <w:tcPr>
            <w:tcW w:w="236" w:type="dxa"/>
          </w:tcPr>
          <w:p w14:paraId="42FDE7FB" w14:textId="77777777" w:rsidR="0010523F" w:rsidRPr="0010523F" w:rsidRDefault="0010523F" w:rsidP="0010523F">
            <w:pPr>
              <w:jc w:val="center"/>
              <w:rPr>
                <w:sz w:val="19"/>
                <w:szCs w:val="19"/>
                <w:highlight w:val="yellow"/>
                <w:lang w:val="es-AR" w:eastAsia="en-US"/>
              </w:rPr>
            </w:pPr>
          </w:p>
        </w:tc>
        <w:tc>
          <w:tcPr>
            <w:tcW w:w="1134" w:type="dxa"/>
            <w:vAlign w:val="bottom"/>
          </w:tcPr>
          <w:p w14:paraId="21B96BC4"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1,12</w:t>
            </w:r>
          </w:p>
        </w:tc>
        <w:tc>
          <w:tcPr>
            <w:tcW w:w="239" w:type="dxa"/>
          </w:tcPr>
          <w:p w14:paraId="6168010A" w14:textId="77777777" w:rsidR="0010523F" w:rsidRPr="0010523F" w:rsidRDefault="0010523F" w:rsidP="0010523F">
            <w:pPr>
              <w:jc w:val="center"/>
              <w:rPr>
                <w:sz w:val="19"/>
                <w:szCs w:val="19"/>
                <w:highlight w:val="yellow"/>
                <w:lang w:val="es-AR" w:eastAsia="en-US"/>
              </w:rPr>
            </w:pPr>
          </w:p>
        </w:tc>
        <w:tc>
          <w:tcPr>
            <w:tcW w:w="1085" w:type="dxa"/>
            <w:vAlign w:val="bottom"/>
          </w:tcPr>
          <w:p w14:paraId="6DFCB75E"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1,00</w:t>
            </w:r>
          </w:p>
        </w:tc>
        <w:tc>
          <w:tcPr>
            <w:tcW w:w="236" w:type="dxa"/>
          </w:tcPr>
          <w:p w14:paraId="13139014" w14:textId="77777777" w:rsidR="0010523F" w:rsidRPr="0010523F" w:rsidRDefault="0010523F" w:rsidP="0010523F">
            <w:pPr>
              <w:jc w:val="center"/>
              <w:rPr>
                <w:sz w:val="19"/>
                <w:szCs w:val="19"/>
                <w:highlight w:val="yellow"/>
                <w:lang w:val="es-AR" w:eastAsia="en-US"/>
              </w:rPr>
            </w:pPr>
          </w:p>
        </w:tc>
        <w:tc>
          <w:tcPr>
            <w:tcW w:w="1178" w:type="dxa"/>
            <w:vAlign w:val="bottom"/>
          </w:tcPr>
          <w:p w14:paraId="708B1DB7"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0,96</w:t>
            </w:r>
          </w:p>
        </w:tc>
      </w:tr>
      <w:tr w:rsidR="0010523F" w:rsidRPr="0010523F" w14:paraId="221EC703" w14:textId="77777777" w:rsidTr="00774E7E">
        <w:tc>
          <w:tcPr>
            <w:tcW w:w="2694" w:type="dxa"/>
            <w:vAlign w:val="bottom"/>
          </w:tcPr>
          <w:p w14:paraId="28C6E2D8" w14:textId="77777777" w:rsidR="0010523F" w:rsidRPr="0010523F" w:rsidRDefault="0010523F" w:rsidP="0010523F">
            <w:pPr>
              <w:jc w:val="both"/>
              <w:rPr>
                <w:sz w:val="19"/>
                <w:szCs w:val="19"/>
                <w:lang w:val="es-AR" w:eastAsia="en-US"/>
              </w:rPr>
            </w:pPr>
            <w:r w:rsidRPr="0010523F">
              <w:rPr>
                <w:sz w:val="19"/>
                <w:szCs w:val="19"/>
                <w:lang w:val="es-AR" w:eastAsia="en-US"/>
              </w:rPr>
              <w:t>Inmovilización del capital (3)</w:t>
            </w:r>
          </w:p>
        </w:tc>
        <w:tc>
          <w:tcPr>
            <w:tcW w:w="1134" w:type="dxa"/>
            <w:vAlign w:val="bottom"/>
          </w:tcPr>
          <w:p w14:paraId="70F9420C" w14:textId="77777777" w:rsidR="0010523F" w:rsidRPr="0010523F" w:rsidRDefault="0010523F" w:rsidP="0010523F">
            <w:pPr>
              <w:jc w:val="center"/>
              <w:rPr>
                <w:sz w:val="19"/>
                <w:szCs w:val="19"/>
                <w:lang w:val="es-AR" w:eastAsia="en-US"/>
              </w:rPr>
            </w:pPr>
            <w:r w:rsidRPr="0010523F">
              <w:rPr>
                <w:sz w:val="19"/>
                <w:szCs w:val="19"/>
                <w:lang w:val="es-AR" w:eastAsia="en-US"/>
              </w:rPr>
              <w:t>0,90</w:t>
            </w:r>
          </w:p>
        </w:tc>
        <w:tc>
          <w:tcPr>
            <w:tcW w:w="236" w:type="dxa"/>
          </w:tcPr>
          <w:p w14:paraId="2567AE70" w14:textId="77777777" w:rsidR="0010523F" w:rsidRPr="0010523F" w:rsidRDefault="0010523F" w:rsidP="0010523F">
            <w:pPr>
              <w:jc w:val="center"/>
              <w:rPr>
                <w:sz w:val="19"/>
                <w:szCs w:val="19"/>
                <w:highlight w:val="yellow"/>
                <w:lang w:val="es-AR" w:eastAsia="en-US"/>
              </w:rPr>
            </w:pPr>
          </w:p>
        </w:tc>
        <w:tc>
          <w:tcPr>
            <w:tcW w:w="1181" w:type="dxa"/>
            <w:vAlign w:val="bottom"/>
          </w:tcPr>
          <w:p w14:paraId="159BBDB5"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0,87</w:t>
            </w:r>
          </w:p>
        </w:tc>
        <w:tc>
          <w:tcPr>
            <w:tcW w:w="236" w:type="dxa"/>
          </w:tcPr>
          <w:p w14:paraId="12C97304" w14:textId="77777777" w:rsidR="0010523F" w:rsidRPr="0010523F" w:rsidRDefault="0010523F" w:rsidP="0010523F">
            <w:pPr>
              <w:jc w:val="center"/>
              <w:rPr>
                <w:sz w:val="19"/>
                <w:szCs w:val="19"/>
                <w:highlight w:val="yellow"/>
                <w:lang w:val="es-AR" w:eastAsia="en-US"/>
              </w:rPr>
            </w:pPr>
          </w:p>
        </w:tc>
        <w:tc>
          <w:tcPr>
            <w:tcW w:w="1134" w:type="dxa"/>
            <w:vAlign w:val="bottom"/>
          </w:tcPr>
          <w:p w14:paraId="554E2503"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0,92</w:t>
            </w:r>
          </w:p>
        </w:tc>
        <w:tc>
          <w:tcPr>
            <w:tcW w:w="239" w:type="dxa"/>
          </w:tcPr>
          <w:p w14:paraId="31EEC5A6" w14:textId="77777777" w:rsidR="0010523F" w:rsidRPr="0010523F" w:rsidRDefault="0010523F" w:rsidP="0010523F">
            <w:pPr>
              <w:jc w:val="center"/>
              <w:rPr>
                <w:sz w:val="19"/>
                <w:szCs w:val="19"/>
                <w:highlight w:val="yellow"/>
                <w:lang w:val="es-AR" w:eastAsia="en-US"/>
              </w:rPr>
            </w:pPr>
          </w:p>
        </w:tc>
        <w:tc>
          <w:tcPr>
            <w:tcW w:w="1085" w:type="dxa"/>
            <w:vAlign w:val="bottom"/>
          </w:tcPr>
          <w:p w14:paraId="302137D0" w14:textId="77777777" w:rsidR="0010523F" w:rsidRPr="0010523F" w:rsidRDefault="0010523F" w:rsidP="0010523F">
            <w:pPr>
              <w:jc w:val="center"/>
              <w:rPr>
                <w:sz w:val="19"/>
                <w:szCs w:val="19"/>
                <w:highlight w:val="yellow"/>
                <w:lang w:val="es-AR" w:eastAsia="en-US"/>
              </w:rPr>
            </w:pPr>
            <w:r w:rsidRPr="0010523F">
              <w:rPr>
                <w:sz w:val="19"/>
                <w:szCs w:val="19"/>
                <w:lang w:val="es-AR" w:eastAsia="en-US"/>
              </w:rPr>
              <w:t>0,91</w:t>
            </w:r>
          </w:p>
        </w:tc>
        <w:tc>
          <w:tcPr>
            <w:tcW w:w="236" w:type="dxa"/>
          </w:tcPr>
          <w:p w14:paraId="0566FD7C" w14:textId="77777777" w:rsidR="0010523F" w:rsidRPr="0010523F" w:rsidRDefault="0010523F" w:rsidP="0010523F">
            <w:pPr>
              <w:jc w:val="center"/>
              <w:rPr>
                <w:sz w:val="19"/>
                <w:szCs w:val="19"/>
                <w:highlight w:val="yellow"/>
                <w:lang w:val="es-AR" w:eastAsia="en-US"/>
              </w:rPr>
            </w:pPr>
          </w:p>
        </w:tc>
        <w:tc>
          <w:tcPr>
            <w:tcW w:w="1178" w:type="dxa"/>
            <w:vAlign w:val="bottom"/>
          </w:tcPr>
          <w:p w14:paraId="5B172622" w14:textId="77777777" w:rsidR="0010523F" w:rsidRPr="0010523F" w:rsidRDefault="0010523F" w:rsidP="0010523F">
            <w:pPr>
              <w:jc w:val="center"/>
              <w:rPr>
                <w:sz w:val="19"/>
                <w:szCs w:val="19"/>
                <w:lang w:val="es-AR" w:eastAsia="en-US"/>
              </w:rPr>
            </w:pPr>
            <w:r w:rsidRPr="0010523F">
              <w:rPr>
                <w:sz w:val="19"/>
                <w:szCs w:val="19"/>
                <w:lang w:val="es-AR" w:eastAsia="en-US"/>
              </w:rPr>
              <w:t>0,93</w:t>
            </w:r>
          </w:p>
        </w:tc>
      </w:tr>
    </w:tbl>
    <w:p w14:paraId="11C57DB5" w14:textId="77777777" w:rsidR="0010523F" w:rsidRPr="0010523F" w:rsidRDefault="0010523F" w:rsidP="0010523F">
      <w:pPr>
        <w:spacing w:line="200" w:lineRule="exact"/>
        <w:ind w:left="357" w:hanging="357"/>
        <w:jc w:val="both"/>
        <w:rPr>
          <w:sz w:val="23"/>
          <w:szCs w:val="23"/>
          <w:lang w:val="es-AR" w:eastAsia="en-US"/>
        </w:rPr>
      </w:pPr>
    </w:p>
    <w:p w14:paraId="60744465" w14:textId="77777777" w:rsidR="0010523F" w:rsidRPr="0010523F" w:rsidRDefault="0010523F" w:rsidP="00E2318E">
      <w:pPr>
        <w:numPr>
          <w:ilvl w:val="0"/>
          <w:numId w:val="54"/>
        </w:numPr>
        <w:spacing w:line="200" w:lineRule="exact"/>
        <w:jc w:val="both"/>
        <w:rPr>
          <w:sz w:val="19"/>
          <w:szCs w:val="19"/>
          <w:lang w:val="es-AR" w:eastAsia="en-US"/>
        </w:rPr>
      </w:pPr>
      <w:r w:rsidRPr="0010523F">
        <w:rPr>
          <w:sz w:val="19"/>
          <w:szCs w:val="19"/>
          <w:lang w:val="es-AR" w:eastAsia="en-US"/>
        </w:rPr>
        <w:t>Total del activo corriente / Total del pasivo corriente</w:t>
      </w:r>
    </w:p>
    <w:p w14:paraId="6770C702" w14:textId="77777777" w:rsidR="0010523F" w:rsidRPr="0010523F" w:rsidRDefault="0010523F" w:rsidP="00E2318E">
      <w:pPr>
        <w:numPr>
          <w:ilvl w:val="0"/>
          <w:numId w:val="54"/>
        </w:numPr>
        <w:spacing w:line="200" w:lineRule="exact"/>
        <w:jc w:val="both"/>
        <w:rPr>
          <w:sz w:val="19"/>
          <w:szCs w:val="19"/>
          <w:lang w:val="es-AR" w:eastAsia="en-US"/>
        </w:rPr>
      </w:pPr>
      <w:r w:rsidRPr="0010523F">
        <w:rPr>
          <w:sz w:val="19"/>
          <w:szCs w:val="19"/>
          <w:lang w:val="es-AR" w:eastAsia="en-US"/>
        </w:rPr>
        <w:t>Patrimonio total / Total del pasivo</w:t>
      </w:r>
    </w:p>
    <w:p w14:paraId="6C8F7C47" w14:textId="77777777" w:rsidR="0010523F" w:rsidRPr="0010523F" w:rsidRDefault="0010523F" w:rsidP="00E2318E">
      <w:pPr>
        <w:numPr>
          <w:ilvl w:val="0"/>
          <w:numId w:val="54"/>
        </w:numPr>
        <w:spacing w:line="200" w:lineRule="exact"/>
        <w:jc w:val="both"/>
        <w:rPr>
          <w:sz w:val="19"/>
          <w:szCs w:val="19"/>
          <w:lang w:val="es-AR" w:eastAsia="en-US"/>
        </w:rPr>
      </w:pPr>
      <w:r w:rsidRPr="0010523F">
        <w:rPr>
          <w:sz w:val="19"/>
          <w:szCs w:val="19"/>
          <w:lang w:val="es-AR" w:eastAsia="en-US"/>
        </w:rPr>
        <w:t>Total del activo no corriente / Total del activo</w:t>
      </w:r>
    </w:p>
    <w:p w14:paraId="579FA6DA" w14:textId="77777777" w:rsidR="0010523F" w:rsidRPr="0010523F" w:rsidRDefault="0010523F" w:rsidP="0010523F">
      <w:pPr>
        <w:rPr>
          <w:b/>
          <w:sz w:val="22"/>
          <w:szCs w:val="22"/>
          <w:lang w:val="es-AR" w:eastAsia="en-US"/>
        </w:rPr>
      </w:pPr>
    </w:p>
    <w:p w14:paraId="22D0EB2A" w14:textId="77777777" w:rsidR="0010523F" w:rsidRPr="0010523F" w:rsidRDefault="0010523F" w:rsidP="0010523F">
      <w:pPr>
        <w:tabs>
          <w:tab w:val="right" w:pos="5463"/>
        </w:tabs>
        <w:spacing w:line="220" w:lineRule="exact"/>
        <w:jc w:val="both"/>
        <w:rPr>
          <w:b/>
          <w:lang w:val="es-AR" w:eastAsia="en-US"/>
        </w:rPr>
      </w:pPr>
      <w:r w:rsidRPr="0010523F">
        <w:rPr>
          <w:b/>
          <w:lang w:val="es-AR" w:eastAsia="en-US"/>
        </w:rPr>
        <w:t>7. Información complementaria a los estados financieros intermedios condensados al 30 de septiembre de 2019</w:t>
      </w:r>
    </w:p>
    <w:p w14:paraId="43DA684C" w14:textId="77777777" w:rsidR="0010523F" w:rsidRPr="0010523F" w:rsidRDefault="0010523F" w:rsidP="0010523F">
      <w:pPr>
        <w:spacing w:line="220" w:lineRule="exact"/>
        <w:jc w:val="both"/>
        <w:rPr>
          <w:b/>
          <w:u w:val="single"/>
          <w:lang w:val="es-AR" w:eastAsia="en-US"/>
        </w:rPr>
      </w:pPr>
    </w:p>
    <w:p w14:paraId="2CE014BC" w14:textId="77777777" w:rsidR="0010523F" w:rsidRPr="0010523F" w:rsidRDefault="0010523F" w:rsidP="0010523F">
      <w:pPr>
        <w:tabs>
          <w:tab w:val="right" w:pos="5463"/>
        </w:tabs>
        <w:spacing w:line="220" w:lineRule="exact"/>
        <w:jc w:val="both"/>
        <w:rPr>
          <w:b/>
          <w:lang w:val="es-AR" w:eastAsia="en-US"/>
        </w:rPr>
      </w:pPr>
      <w:r w:rsidRPr="0010523F">
        <w:rPr>
          <w:b/>
          <w:lang w:val="es-AR" w:eastAsia="en-US"/>
        </w:rPr>
        <w:t>Información sobre reservas petroleras y gasíferas</w:t>
      </w:r>
    </w:p>
    <w:p w14:paraId="2B884411" w14:textId="77777777" w:rsidR="0010523F" w:rsidRPr="0010523F" w:rsidRDefault="0010523F" w:rsidP="0010523F">
      <w:pPr>
        <w:spacing w:line="220" w:lineRule="exact"/>
        <w:jc w:val="both"/>
        <w:rPr>
          <w:b/>
          <w:u w:val="single"/>
          <w:lang w:val="es-AR" w:eastAsia="en-US"/>
        </w:rPr>
      </w:pPr>
    </w:p>
    <w:p w14:paraId="25A81CDD" w14:textId="77777777" w:rsidR="0010523F" w:rsidRPr="0010523F" w:rsidRDefault="0010523F" w:rsidP="0010523F">
      <w:pPr>
        <w:jc w:val="both"/>
        <w:rPr>
          <w:lang w:val="es-AR" w:eastAsia="en-US"/>
        </w:rPr>
      </w:pPr>
      <w:r w:rsidRPr="0010523F">
        <w:rPr>
          <w:lang w:val="es-AR" w:eastAsia="en-US"/>
        </w:rPr>
        <w:t>En cumplimiento del Artículo 3, Punto 8, del Capítulo III, Título IV del Texto Ordenado 2013 de la CNV informamos a continuación las reservas comprobadas de petróleo y gas de la Sucursal al 31 de diciembre de 2018:</w:t>
      </w:r>
    </w:p>
    <w:p w14:paraId="3D681836" w14:textId="77777777" w:rsidR="0010523F" w:rsidRPr="0010523F" w:rsidRDefault="0010523F" w:rsidP="0010523F">
      <w:pPr>
        <w:spacing w:line="220" w:lineRule="exact"/>
        <w:jc w:val="both"/>
        <w:rPr>
          <w:snapToGrid w:val="0"/>
          <w:sz w:val="22"/>
          <w:szCs w:val="22"/>
          <w:lang w:val="es-AR" w:eastAsia="en-US"/>
        </w:rPr>
      </w:pPr>
    </w:p>
    <w:tbl>
      <w:tblPr>
        <w:tblW w:w="9156" w:type="dxa"/>
        <w:tblLayout w:type="fixed"/>
        <w:tblCellMar>
          <w:left w:w="30" w:type="dxa"/>
          <w:right w:w="30" w:type="dxa"/>
        </w:tblCellMar>
        <w:tblLook w:val="0000" w:firstRow="0" w:lastRow="0" w:firstColumn="0" w:lastColumn="0" w:noHBand="0" w:noVBand="0"/>
      </w:tblPr>
      <w:tblGrid>
        <w:gridCol w:w="3544"/>
        <w:gridCol w:w="1985"/>
        <w:gridCol w:w="1889"/>
        <w:gridCol w:w="11"/>
        <w:gridCol w:w="1716"/>
        <w:gridCol w:w="11"/>
      </w:tblGrid>
      <w:tr w:rsidR="0010523F" w:rsidRPr="0010523F" w14:paraId="1F691FFD" w14:textId="77777777" w:rsidTr="00774E7E">
        <w:trPr>
          <w:gridAfter w:val="1"/>
          <w:wAfter w:w="11" w:type="dxa"/>
          <w:trHeight w:val="379"/>
        </w:trPr>
        <w:tc>
          <w:tcPr>
            <w:tcW w:w="7418" w:type="dxa"/>
            <w:gridSpan w:val="3"/>
          </w:tcPr>
          <w:p w14:paraId="5D75A5DC" w14:textId="77777777" w:rsidR="0010523F" w:rsidRPr="0010523F" w:rsidRDefault="0010523F" w:rsidP="0010523F">
            <w:pPr>
              <w:spacing w:line="220" w:lineRule="exact"/>
              <w:jc w:val="both"/>
              <w:rPr>
                <w:snapToGrid w:val="0"/>
                <w:sz w:val="20"/>
                <w:szCs w:val="20"/>
                <w:u w:val="single"/>
                <w:lang w:val="es-AR" w:eastAsia="en-US"/>
              </w:rPr>
            </w:pPr>
            <w:r w:rsidRPr="0010523F">
              <w:rPr>
                <w:snapToGrid w:val="0"/>
                <w:sz w:val="20"/>
                <w:szCs w:val="20"/>
                <w:u w:val="single"/>
                <w:lang w:val="es-AR" w:eastAsia="en-US"/>
              </w:rPr>
              <w:t>Reservas probadas desarrolladas y no desarrolladas</w:t>
            </w:r>
            <w:r w:rsidRPr="0010523F">
              <w:rPr>
                <w:snapToGrid w:val="0"/>
                <w:sz w:val="20"/>
                <w:szCs w:val="20"/>
                <w:lang w:val="es-AR" w:eastAsia="en-US"/>
              </w:rPr>
              <w:t xml:space="preserve"> </w:t>
            </w:r>
          </w:p>
        </w:tc>
        <w:tc>
          <w:tcPr>
            <w:tcW w:w="1727" w:type="dxa"/>
            <w:gridSpan w:val="2"/>
          </w:tcPr>
          <w:p w14:paraId="0568C563" w14:textId="77777777" w:rsidR="0010523F" w:rsidRPr="0010523F" w:rsidRDefault="0010523F" w:rsidP="0010523F">
            <w:pPr>
              <w:tabs>
                <w:tab w:val="left" w:pos="112"/>
                <w:tab w:val="center" w:pos="1388"/>
                <w:tab w:val="right" w:pos="2663"/>
              </w:tabs>
              <w:spacing w:line="220" w:lineRule="exact"/>
              <w:jc w:val="both"/>
              <w:rPr>
                <w:sz w:val="20"/>
                <w:szCs w:val="20"/>
                <w:u w:val="single"/>
                <w:lang w:val="es-AR" w:eastAsia="en-US"/>
              </w:rPr>
            </w:pPr>
            <w:r w:rsidRPr="0010523F">
              <w:rPr>
                <w:sz w:val="20"/>
                <w:szCs w:val="20"/>
                <w:lang w:val="es-AR" w:eastAsia="en-US"/>
              </w:rPr>
              <w:tab/>
            </w:r>
          </w:p>
        </w:tc>
      </w:tr>
      <w:tr w:rsidR="0010523F" w:rsidRPr="0010523F" w14:paraId="66038384" w14:textId="77777777" w:rsidTr="00774E7E">
        <w:trPr>
          <w:trHeight w:val="230"/>
        </w:trPr>
        <w:tc>
          <w:tcPr>
            <w:tcW w:w="3544" w:type="dxa"/>
            <w:vMerge w:val="restart"/>
            <w:vAlign w:val="bottom"/>
          </w:tcPr>
          <w:p w14:paraId="1EFCE928" w14:textId="77777777" w:rsidR="0010523F" w:rsidRPr="0010523F" w:rsidRDefault="0010523F" w:rsidP="0010523F">
            <w:pPr>
              <w:jc w:val="both"/>
              <w:rPr>
                <w:snapToGrid w:val="0"/>
                <w:sz w:val="20"/>
                <w:szCs w:val="20"/>
                <w:lang w:val="es-AR" w:eastAsia="en-US"/>
              </w:rPr>
            </w:pPr>
          </w:p>
        </w:tc>
        <w:tc>
          <w:tcPr>
            <w:tcW w:w="1985" w:type="dxa"/>
            <w:vMerge w:val="restart"/>
            <w:vAlign w:val="bottom"/>
          </w:tcPr>
          <w:p w14:paraId="67895881" w14:textId="77777777" w:rsidR="0010523F" w:rsidRPr="0010523F" w:rsidRDefault="0010523F" w:rsidP="0010523F">
            <w:pPr>
              <w:jc w:val="center"/>
              <w:rPr>
                <w:snapToGrid w:val="0"/>
                <w:sz w:val="20"/>
                <w:szCs w:val="20"/>
                <w:lang w:val="es-AR" w:eastAsia="en-US"/>
              </w:rPr>
            </w:pPr>
            <w:r w:rsidRPr="0010523F">
              <w:rPr>
                <w:snapToGrid w:val="0"/>
                <w:sz w:val="20"/>
                <w:szCs w:val="20"/>
                <w:lang w:val="es-AR" w:eastAsia="en-US"/>
              </w:rPr>
              <w:t>Petróleo crudo,  condensado y líquidos de gas natural</w:t>
            </w:r>
          </w:p>
          <w:p w14:paraId="1B1536D1" w14:textId="77777777" w:rsidR="0010523F" w:rsidRPr="0010523F" w:rsidRDefault="0010523F" w:rsidP="0010523F">
            <w:pPr>
              <w:jc w:val="center"/>
              <w:rPr>
                <w:snapToGrid w:val="0"/>
                <w:sz w:val="20"/>
                <w:szCs w:val="20"/>
                <w:lang w:val="es-AR" w:eastAsia="en-US"/>
              </w:rPr>
            </w:pPr>
            <w:r w:rsidRPr="0010523F">
              <w:rPr>
                <w:snapToGrid w:val="0"/>
                <w:sz w:val="20"/>
                <w:szCs w:val="20"/>
                <w:u w:val="single"/>
                <w:lang w:val="es-AR" w:eastAsia="en-US"/>
              </w:rPr>
              <w:t>     (en  m3)     </w:t>
            </w:r>
          </w:p>
        </w:tc>
        <w:tc>
          <w:tcPr>
            <w:tcW w:w="1900" w:type="dxa"/>
            <w:gridSpan w:val="2"/>
            <w:vMerge w:val="restart"/>
            <w:vAlign w:val="bottom"/>
          </w:tcPr>
          <w:p w14:paraId="17E49D43" w14:textId="77777777" w:rsidR="0010523F" w:rsidRPr="0010523F" w:rsidRDefault="0010523F" w:rsidP="0010523F">
            <w:pPr>
              <w:tabs>
                <w:tab w:val="decimal" w:pos="1388"/>
              </w:tabs>
              <w:jc w:val="both"/>
              <w:rPr>
                <w:snapToGrid w:val="0"/>
                <w:sz w:val="20"/>
                <w:szCs w:val="20"/>
                <w:lang w:val="es-AR" w:eastAsia="en-US"/>
              </w:rPr>
            </w:pPr>
          </w:p>
          <w:p w14:paraId="3871C2B2" w14:textId="77777777" w:rsidR="0010523F" w:rsidRPr="0010523F" w:rsidRDefault="0010523F" w:rsidP="0010523F">
            <w:pPr>
              <w:tabs>
                <w:tab w:val="decimal" w:pos="1388"/>
              </w:tabs>
              <w:jc w:val="both"/>
              <w:rPr>
                <w:snapToGrid w:val="0"/>
                <w:sz w:val="20"/>
                <w:szCs w:val="20"/>
                <w:lang w:val="es-AR" w:eastAsia="en-US"/>
              </w:rPr>
            </w:pPr>
          </w:p>
          <w:p w14:paraId="7F46F8B5" w14:textId="77777777" w:rsidR="0010523F" w:rsidRPr="0010523F" w:rsidRDefault="0010523F" w:rsidP="0010523F">
            <w:pPr>
              <w:tabs>
                <w:tab w:val="decimal" w:pos="1388"/>
              </w:tabs>
              <w:jc w:val="both"/>
              <w:rPr>
                <w:snapToGrid w:val="0"/>
                <w:sz w:val="20"/>
                <w:szCs w:val="20"/>
                <w:lang w:val="es-AR" w:eastAsia="en-US"/>
              </w:rPr>
            </w:pPr>
            <w:r w:rsidRPr="0010523F">
              <w:rPr>
                <w:snapToGrid w:val="0"/>
                <w:sz w:val="20"/>
                <w:szCs w:val="20"/>
                <w:lang w:val="es-AR" w:eastAsia="en-US"/>
              </w:rPr>
              <w:t xml:space="preserve">Gas natural   </w:t>
            </w:r>
          </w:p>
          <w:p w14:paraId="60C033FC" w14:textId="77777777" w:rsidR="0010523F" w:rsidRPr="0010523F" w:rsidRDefault="0010523F" w:rsidP="0010523F">
            <w:pPr>
              <w:tabs>
                <w:tab w:val="decimal" w:pos="1388"/>
              </w:tabs>
              <w:jc w:val="both"/>
              <w:rPr>
                <w:snapToGrid w:val="0"/>
                <w:sz w:val="20"/>
                <w:szCs w:val="20"/>
                <w:lang w:val="es-AR" w:eastAsia="en-US"/>
              </w:rPr>
            </w:pPr>
            <w:r w:rsidRPr="0010523F">
              <w:rPr>
                <w:snapToGrid w:val="0"/>
                <w:sz w:val="20"/>
                <w:szCs w:val="20"/>
                <w:u w:val="single"/>
                <w:lang w:val="es-AR" w:eastAsia="en-US"/>
              </w:rPr>
              <w:t>(en miles de m3)</w:t>
            </w:r>
          </w:p>
        </w:tc>
        <w:tc>
          <w:tcPr>
            <w:tcW w:w="1727" w:type="dxa"/>
            <w:gridSpan w:val="2"/>
            <w:vMerge w:val="restart"/>
            <w:vAlign w:val="bottom"/>
          </w:tcPr>
          <w:p w14:paraId="48972AAE" w14:textId="77777777" w:rsidR="0010523F" w:rsidRPr="0010523F" w:rsidRDefault="0010523F" w:rsidP="0010523F">
            <w:pPr>
              <w:ind w:right="14"/>
              <w:jc w:val="center"/>
              <w:rPr>
                <w:snapToGrid w:val="0"/>
                <w:sz w:val="20"/>
                <w:szCs w:val="20"/>
                <w:lang w:val="es-AR" w:eastAsia="en-US"/>
              </w:rPr>
            </w:pPr>
            <w:r w:rsidRPr="0010523F">
              <w:rPr>
                <w:snapToGrid w:val="0"/>
                <w:sz w:val="20"/>
                <w:szCs w:val="20"/>
                <w:lang w:val="es-AR" w:eastAsia="en-US"/>
              </w:rPr>
              <w:t xml:space="preserve">   </w:t>
            </w:r>
          </w:p>
          <w:p w14:paraId="6A4D30C5" w14:textId="77777777" w:rsidR="0010523F" w:rsidRPr="0010523F" w:rsidRDefault="0010523F" w:rsidP="0010523F">
            <w:pPr>
              <w:ind w:right="14"/>
              <w:jc w:val="center"/>
              <w:rPr>
                <w:snapToGrid w:val="0"/>
                <w:sz w:val="20"/>
                <w:szCs w:val="20"/>
                <w:lang w:val="es-AR" w:eastAsia="en-US"/>
              </w:rPr>
            </w:pPr>
            <w:r w:rsidRPr="0010523F">
              <w:rPr>
                <w:snapToGrid w:val="0"/>
                <w:sz w:val="20"/>
                <w:szCs w:val="20"/>
                <w:lang w:val="es-AR" w:eastAsia="en-US"/>
              </w:rPr>
              <w:t>Total combinado</w:t>
            </w:r>
          </w:p>
          <w:p w14:paraId="2E54F46C" w14:textId="77777777" w:rsidR="0010523F" w:rsidRPr="0010523F" w:rsidRDefault="0010523F" w:rsidP="0010523F">
            <w:pPr>
              <w:ind w:right="14"/>
              <w:jc w:val="center"/>
              <w:rPr>
                <w:snapToGrid w:val="0"/>
                <w:sz w:val="20"/>
                <w:szCs w:val="20"/>
                <w:lang w:val="es-AR" w:eastAsia="en-US"/>
              </w:rPr>
            </w:pPr>
            <w:r w:rsidRPr="0010523F">
              <w:rPr>
                <w:snapToGrid w:val="0"/>
                <w:sz w:val="20"/>
                <w:szCs w:val="20"/>
                <w:lang w:val="es-AR" w:eastAsia="en-US"/>
              </w:rPr>
              <w:t xml:space="preserve">(en m3 de petróleo   </w:t>
            </w:r>
          </w:p>
          <w:p w14:paraId="0C319A92" w14:textId="77777777" w:rsidR="0010523F" w:rsidRPr="0010523F" w:rsidRDefault="0010523F" w:rsidP="0010523F">
            <w:pPr>
              <w:ind w:right="14"/>
              <w:jc w:val="center"/>
              <w:rPr>
                <w:snapToGrid w:val="0"/>
                <w:sz w:val="20"/>
                <w:szCs w:val="20"/>
                <w:lang w:val="es-AR" w:eastAsia="en-US"/>
              </w:rPr>
            </w:pPr>
            <w:r w:rsidRPr="0010523F">
              <w:rPr>
                <w:snapToGrid w:val="0"/>
                <w:sz w:val="20"/>
                <w:szCs w:val="20"/>
                <w:lang w:val="es-AR" w:eastAsia="en-US"/>
              </w:rPr>
              <w:t xml:space="preserve">   </w:t>
            </w:r>
            <w:r w:rsidRPr="0010523F">
              <w:rPr>
                <w:snapToGrid w:val="0"/>
                <w:sz w:val="20"/>
                <w:szCs w:val="20"/>
                <w:u w:val="single"/>
                <w:lang w:val="es-AR" w:eastAsia="en-US"/>
              </w:rPr>
              <w:t>  equivalente) (1)  </w:t>
            </w:r>
          </w:p>
        </w:tc>
      </w:tr>
      <w:tr w:rsidR="0010523F" w:rsidRPr="0010523F" w14:paraId="0725F8F4" w14:textId="77777777" w:rsidTr="00774E7E">
        <w:trPr>
          <w:trHeight w:val="230"/>
        </w:trPr>
        <w:tc>
          <w:tcPr>
            <w:tcW w:w="3544" w:type="dxa"/>
            <w:vMerge/>
          </w:tcPr>
          <w:p w14:paraId="2FD94CCD" w14:textId="77777777" w:rsidR="0010523F" w:rsidRPr="0010523F" w:rsidRDefault="0010523F" w:rsidP="0010523F">
            <w:pPr>
              <w:jc w:val="both"/>
              <w:rPr>
                <w:snapToGrid w:val="0"/>
                <w:sz w:val="20"/>
                <w:szCs w:val="20"/>
                <w:lang w:val="es-AR" w:eastAsia="en-US"/>
              </w:rPr>
            </w:pPr>
          </w:p>
        </w:tc>
        <w:tc>
          <w:tcPr>
            <w:tcW w:w="1985" w:type="dxa"/>
            <w:vMerge/>
          </w:tcPr>
          <w:p w14:paraId="3E6412E3" w14:textId="77777777" w:rsidR="0010523F" w:rsidRPr="0010523F" w:rsidRDefault="0010523F" w:rsidP="0010523F">
            <w:pPr>
              <w:tabs>
                <w:tab w:val="decimal" w:pos="1104"/>
              </w:tabs>
              <w:jc w:val="both"/>
              <w:rPr>
                <w:snapToGrid w:val="0"/>
                <w:sz w:val="20"/>
                <w:szCs w:val="20"/>
                <w:u w:val="single"/>
                <w:lang w:val="es-AR" w:eastAsia="en-US"/>
              </w:rPr>
            </w:pPr>
          </w:p>
        </w:tc>
        <w:tc>
          <w:tcPr>
            <w:tcW w:w="1900" w:type="dxa"/>
            <w:gridSpan w:val="2"/>
            <w:vMerge/>
          </w:tcPr>
          <w:p w14:paraId="20357412" w14:textId="77777777" w:rsidR="0010523F" w:rsidRPr="0010523F" w:rsidRDefault="0010523F" w:rsidP="0010523F">
            <w:pPr>
              <w:tabs>
                <w:tab w:val="decimal" w:pos="1388"/>
              </w:tabs>
              <w:jc w:val="both"/>
              <w:rPr>
                <w:snapToGrid w:val="0"/>
                <w:sz w:val="20"/>
                <w:szCs w:val="20"/>
                <w:u w:val="single"/>
                <w:lang w:val="es-AR" w:eastAsia="en-US"/>
              </w:rPr>
            </w:pPr>
          </w:p>
        </w:tc>
        <w:tc>
          <w:tcPr>
            <w:tcW w:w="1727" w:type="dxa"/>
            <w:gridSpan w:val="2"/>
            <w:vMerge/>
          </w:tcPr>
          <w:p w14:paraId="3DB295B4" w14:textId="77777777" w:rsidR="0010523F" w:rsidRPr="0010523F" w:rsidRDefault="0010523F" w:rsidP="0010523F">
            <w:pPr>
              <w:tabs>
                <w:tab w:val="decimal" w:pos="1045"/>
              </w:tabs>
              <w:jc w:val="center"/>
              <w:rPr>
                <w:snapToGrid w:val="0"/>
                <w:sz w:val="20"/>
                <w:szCs w:val="20"/>
                <w:u w:val="single"/>
                <w:lang w:val="es-AR" w:eastAsia="en-US"/>
              </w:rPr>
            </w:pPr>
          </w:p>
        </w:tc>
      </w:tr>
      <w:tr w:rsidR="0010523F" w:rsidRPr="0010523F" w14:paraId="2721BA9B" w14:textId="77777777" w:rsidTr="00774E7E">
        <w:tc>
          <w:tcPr>
            <w:tcW w:w="3544" w:type="dxa"/>
          </w:tcPr>
          <w:p w14:paraId="56CC64F5" w14:textId="77777777" w:rsidR="0010523F" w:rsidRPr="0010523F" w:rsidRDefault="0010523F" w:rsidP="0010523F">
            <w:pPr>
              <w:spacing w:line="80" w:lineRule="exact"/>
              <w:jc w:val="both"/>
              <w:rPr>
                <w:snapToGrid w:val="0"/>
                <w:sz w:val="20"/>
                <w:szCs w:val="20"/>
                <w:lang w:val="es-AR" w:eastAsia="en-US"/>
              </w:rPr>
            </w:pPr>
          </w:p>
        </w:tc>
        <w:tc>
          <w:tcPr>
            <w:tcW w:w="1985" w:type="dxa"/>
          </w:tcPr>
          <w:p w14:paraId="7A49ED4E" w14:textId="77777777" w:rsidR="0010523F" w:rsidRPr="0010523F" w:rsidRDefault="0010523F" w:rsidP="0010523F">
            <w:pPr>
              <w:tabs>
                <w:tab w:val="decimal" w:pos="1104"/>
              </w:tabs>
              <w:spacing w:line="80" w:lineRule="exact"/>
              <w:jc w:val="both"/>
              <w:rPr>
                <w:snapToGrid w:val="0"/>
                <w:sz w:val="20"/>
                <w:szCs w:val="20"/>
                <w:u w:val="single"/>
                <w:lang w:val="es-AR" w:eastAsia="en-US"/>
              </w:rPr>
            </w:pPr>
          </w:p>
        </w:tc>
        <w:tc>
          <w:tcPr>
            <w:tcW w:w="1900" w:type="dxa"/>
            <w:gridSpan w:val="2"/>
          </w:tcPr>
          <w:p w14:paraId="0121D588" w14:textId="77777777" w:rsidR="0010523F" w:rsidRPr="0010523F" w:rsidRDefault="0010523F" w:rsidP="0010523F">
            <w:pPr>
              <w:tabs>
                <w:tab w:val="decimal" w:pos="1388"/>
              </w:tabs>
              <w:spacing w:line="80" w:lineRule="exact"/>
              <w:jc w:val="both"/>
              <w:rPr>
                <w:snapToGrid w:val="0"/>
                <w:sz w:val="20"/>
                <w:szCs w:val="20"/>
                <w:lang w:val="es-AR" w:eastAsia="en-US"/>
              </w:rPr>
            </w:pPr>
          </w:p>
        </w:tc>
        <w:tc>
          <w:tcPr>
            <w:tcW w:w="1727" w:type="dxa"/>
            <w:gridSpan w:val="2"/>
          </w:tcPr>
          <w:p w14:paraId="0A097031" w14:textId="77777777" w:rsidR="0010523F" w:rsidRPr="0010523F" w:rsidRDefault="0010523F" w:rsidP="0010523F">
            <w:pPr>
              <w:tabs>
                <w:tab w:val="decimal" w:pos="1045"/>
              </w:tabs>
              <w:spacing w:line="80" w:lineRule="exact"/>
              <w:jc w:val="both"/>
              <w:rPr>
                <w:snapToGrid w:val="0"/>
                <w:sz w:val="20"/>
                <w:szCs w:val="20"/>
                <w:lang w:val="es-AR" w:eastAsia="en-US"/>
              </w:rPr>
            </w:pPr>
          </w:p>
        </w:tc>
      </w:tr>
      <w:tr w:rsidR="0010523F" w:rsidRPr="0010523F" w14:paraId="65160DC5" w14:textId="77777777" w:rsidTr="00774E7E">
        <w:tc>
          <w:tcPr>
            <w:tcW w:w="3544" w:type="dxa"/>
          </w:tcPr>
          <w:p w14:paraId="54009121" w14:textId="77777777" w:rsidR="0010523F" w:rsidRPr="0010523F" w:rsidRDefault="0010523F" w:rsidP="0010523F">
            <w:pPr>
              <w:jc w:val="both"/>
              <w:rPr>
                <w:snapToGrid w:val="0"/>
                <w:sz w:val="20"/>
                <w:szCs w:val="20"/>
                <w:lang w:val="es-AR" w:eastAsia="en-US"/>
              </w:rPr>
            </w:pPr>
            <w:r w:rsidRPr="0010523F">
              <w:rPr>
                <w:snapToGrid w:val="0"/>
                <w:sz w:val="20"/>
                <w:szCs w:val="20"/>
                <w:lang w:val="es-AR" w:eastAsia="en-US"/>
              </w:rPr>
              <w:t>Reservas al 31 de diciembre de 2017</w:t>
            </w:r>
          </w:p>
        </w:tc>
        <w:tc>
          <w:tcPr>
            <w:tcW w:w="1985" w:type="dxa"/>
            <w:vAlign w:val="bottom"/>
          </w:tcPr>
          <w:p w14:paraId="34CC85C1" w14:textId="77777777" w:rsidR="0010523F" w:rsidRPr="0010523F" w:rsidRDefault="0010523F" w:rsidP="0010523F">
            <w:pPr>
              <w:ind w:right="170"/>
              <w:jc w:val="right"/>
              <w:rPr>
                <w:sz w:val="20"/>
                <w:szCs w:val="20"/>
                <w:lang w:val="es-AR" w:eastAsia="en-US"/>
              </w:rPr>
            </w:pPr>
            <w:r w:rsidRPr="0010523F">
              <w:rPr>
                <w:color w:val="000000"/>
                <w:sz w:val="20"/>
                <w:szCs w:val="20"/>
                <w:lang w:val="es-AR" w:eastAsia="en-US"/>
              </w:rPr>
              <w:t>150.667.479</w:t>
            </w:r>
          </w:p>
        </w:tc>
        <w:tc>
          <w:tcPr>
            <w:tcW w:w="1900" w:type="dxa"/>
            <w:gridSpan w:val="2"/>
            <w:vAlign w:val="bottom"/>
          </w:tcPr>
          <w:p w14:paraId="25340858" w14:textId="77777777" w:rsidR="0010523F" w:rsidRPr="0010523F" w:rsidRDefault="0010523F" w:rsidP="0010523F">
            <w:pPr>
              <w:ind w:right="227"/>
              <w:jc w:val="right"/>
              <w:rPr>
                <w:sz w:val="20"/>
                <w:szCs w:val="20"/>
                <w:lang w:val="es-AR" w:eastAsia="en-US"/>
              </w:rPr>
            </w:pPr>
            <w:r w:rsidRPr="0010523F">
              <w:rPr>
                <w:color w:val="000000"/>
                <w:sz w:val="20"/>
                <w:szCs w:val="20"/>
                <w:lang w:val="es-AR" w:eastAsia="en-US"/>
              </w:rPr>
              <w:t>52.465.016</w:t>
            </w:r>
          </w:p>
        </w:tc>
        <w:tc>
          <w:tcPr>
            <w:tcW w:w="1727" w:type="dxa"/>
            <w:gridSpan w:val="2"/>
            <w:vAlign w:val="bottom"/>
          </w:tcPr>
          <w:p w14:paraId="5830D988" w14:textId="77777777" w:rsidR="0010523F" w:rsidRPr="0010523F" w:rsidRDefault="0010523F" w:rsidP="0010523F">
            <w:pPr>
              <w:ind w:right="253"/>
              <w:jc w:val="right"/>
              <w:rPr>
                <w:sz w:val="20"/>
                <w:szCs w:val="20"/>
                <w:lang w:val="es-AR" w:eastAsia="en-US"/>
              </w:rPr>
            </w:pPr>
            <w:r w:rsidRPr="0010523F">
              <w:rPr>
                <w:color w:val="000000"/>
                <w:sz w:val="20"/>
                <w:szCs w:val="20"/>
                <w:lang w:val="es-AR" w:eastAsia="en-US"/>
              </w:rPr>
              <w:t>203.132.495</w:t>
            </w:r>
          </w:p>
        </w:tc>
      </w:tr>
      <w:tr w:rsidR="0010523F" w:rsidRPr="0010523F" w14:paraId="5B5AA391" w14:textId="77777777" w:rsidTr="00774E7E">
        <w:tc>
          <w:tcPr>
            <w:tcW w:w="3544" w:type="dxa"/>
          </w:tcPr>
          <w:p w14:paraId="1A1B36D4" w14:textId="77777777" w:rsidR="0010523F" w:rsidRPr="0010523F" w:rsidRDefault="0010523F" w:rsidP="0010523F">
            <w:pPr>
              <w:spacing w:line="80" w:lineRule="exact"/>
              <w:jc w:val="both"/>
              <w:rPr>
                <w:snapToGrid w:val="0"/>
                <w:sz w:val="20"/>
                <w:szCs w:val="20"/>
                <w:highlight w:val="yellow"/>
                <w:lang w:val="es-AR" w:eastAsia="en-US"/>
              </w:rPr>
            </w:pPr>
          </w:p>
        </w:tc>
        <w:tc>
          <w:tcPr>
            <w:tcW w:w="1985" w:type="dxa"/>
            <w:vAlign w:val="bottom"/>
          </w:tcPr>
          <w:p w14:paraId="21132AF3" w14:textId="77777777" w:rsidR="0010523F" w:rsidRPr="0010523F" w:rsidRDefault="0010523F" w:rsidP="0010523F">
            <w:pPr>
              <w:spacing w:line="100" w:lineRule="exact"/>
              <w:ind w:right="170"/>
              <w:jc w:val="right"/>
              <w:rPr>
                <w:sz w:val="20"/>
                <w:szCs w:val="20"/>
                <w:highlight w:val="yellow"/>
                <w:lang w:val="es-AR" w:eastAsia="en-US"/>
              </w:rPr>
            </w:pPr>
          </w:p>
        </w:tc>
        <w:tc>
          <w:tcPr>
            <w:tcW w:w="1900" w:type="dxa"/>
            <w:gridSpan w:val="2"/>
            <w:vAlign w:val="bottom"/>
          </w:tcPr>
          <w:p w14:paraId="77636E23" w14:textId="77777777" w:rsidR="0010523F" w:rsidRPr="0010523F" w:rsidRDefault="0010523F" w:rsidP="0010523F">
            <w:pPr>
              <w:spacing w:line="100" w:lineRule="exact"/>
              <w:ind w:right="227"/>
              <w:jc w:val="right"/>
              <w:rPr>
                <w:sz w:val="20"/>
                <w:szCs w:val="20"/>
                <w:highlight w:val="yellow"/>
                <w:lang w:val="es-AR" w:eastAsia="en-US"/>
              </w:rPr>
            </w:pPr>
          </w:p>
        </w:tc>
        <w:tc>
          <w:tcPr>
            <w:tcW w:w="1727" w:type="dxa"/>
            <w:gridSpan w:val="2"/>
            <w:vAlign w:val="bottom"/>
          </w:tcPr>
          <w:p w14:paraId="3C8527F5" w14:textId="77777777" w:rsidR="0010523F" w:rsidRPr="0010523F" w:rsidRDefault="0010523F" w:rsidP="0010523F">
            <w:pPr>
              <w:spacing w:line="100" w:lineRule="exact"/>
              <w:ind w:right="253"/>
              <w:jc w:val="right"/>
              <w:rPr>
                <w:sz w:val="20"/>
                <w:szCs w:val="20"/>
                <w:highlight w:val="yellow"/>
                <w:lang w:val="es-AR" w:eastAsia="en-US"/>
              </w:rPr>
            </w:pPr>
          </w:p>
        </w:tc>
      </w:tr>
      <w:tr w:rsidR="0010523F" w:rsidRPr="0010523F" w14:paraId="75B1CE49" w14:textId="77777777" w:rsidTr="00774E7E">
        <w:tc>
          <w:tcPr>
            <w:tcW w:w="3544" w:type="dxa"/>
            <w:vAlign w:val="bottom"/>
          </w:tcPr>
          <w:p w14:paraId="3F41C90B" w14:textId="77777777" w:rsidR="0010523F" w:rsidRPr="0010523F" w:rsidRDefault="0010523F" w:rsidP="0010523F">
            <w:pPr>
              <w:spacing w:line="200" w:lineRule="exact"/>
              <w:jc w:val="both"/>
              <w:rPr>
                <w:snapToGrid w:val="0"/>
                <w:sz w:val="20"/>
                <w:szCs w:val="20"/>
                <w:lang w:val="es-AR" w:eastAsia="en-US"/>
              </w:rPr>
            </w:pPr>
            <w:r w:rsidRPr="0010523F">
              <w:rPr>
                <w:snapToGrid w:val="0"/>
                <w:sz w:val="20"/>
                <w:szCs w:val="20"/>
                <w:lang w:val="es-AR" w:eastAsia="en-US"/>
              </w:rPr>
              <w:t>Adición neta de reservas del ejercicio</w:t>
            </w:r>
          </w:p>
        </w:tc>
        <w:tc>
          <w:tcPr>
            <w:tcW w:w="1985" w:type="dxa"/>
            <w:vAlign w:val="bottom"/>
          </w:tcPr>
          <w:p w14:paraId="59CA7CE4" w14:textId="77777777" w:rsidR="0010523F" w:rsidRPr="0010523F" w:rsidRDefault="0010523F" w:rsidP="0010523F">
            <w:pPr>
              <w:ind w:right="170"/>
              <w:jc w:val="right"/>
              <w:rPr>
                <w:sz w:val="20"/>
                <w:szCs w:val="20"/>
                <w:highlight w:val="yellow"/>
                <w:lang w:val="es-AR" w:eastAsia="en-US"/>
              </w:rPr>
            </w:pPr>
            <w:r w:rsidRPr="0010523F">
              <w:rPr>
                <w:color w:val="000000"/>
                <w:sz w:val="20"/>
                <w:szCs w:val="20"/>
                <w:lang w:val="es-AR" w:eastAsia="en-US"/>
              </w:rPr>
              <w:t>8.802.089</w:t>
            </w:r>
          </w:p>
        </w:tc>
        <w:tc>
          <w:tcPr>
            <w:tcW w:w="1900" w:type="dxa"/>
            <w:gridSpan w:val="2"/>
            <w:vAlign w:val="bottom"/>
          </w:tcPr>
          <w:p w14:paraId="4826251F" w14:textId="77777777" w:rsidR="0010523F" w:rsidRPr="0010523F" w:rsidRDefault="0010523F" w:rsidP="0010523F">
            <w:pPr>
              <w:ind w:right="227"/>
              <w:jc w:val="right"/>
              <w:rPr>
                <w:sz w:val="20"/>
                <w:szCs w:val="20"/>
                <w:highlight w:val="yellow"/>
                <w:lang w:val="es-AR" w:eastAsia="en-US"/>
              </w:rPr>
            </w:pPr>
            <w:r w:rsidRPr="0010523F">
              <w:rPr>
                <w:color w:val="000000"/>
                <w:sz w:val="20"/>
                <w:szCs w:val="20"/>
                <w:lang w:val="es-AR" w:eastAsia="en-US"/>
              </w:rPr>
              <w:t>5.155.043</w:t>
            </w:r>
          </w:p>
        </w:tc>
        <w:tc>
          <w:tcPr>
            <w:tcW w:w="1727" w:type="dxa"/>
            <w:gridSpan w:val="2"/>
            <w:vAlign w:val="bottom"/>
          </w:tcPr>
          <w:p w14:paraId="7A6AFE7C" w14:textId="77777777" w:rsidR="0010523F" w:rsidRPr="0010523F" w:rsidRDefault="0010523F" w:rsidP="0010523F">
            <w:pPr>
              <w:ind w:right="253"/>
              <w:jc w:val="right"/>
              <w:rPr>
                <w:sz w:val="20"/>
                <w:szCs w:val="20"/>
                <w:highlight w:val="yellow"/>
                <w:lang w:val="es-AR" w:eastAsia="en-US"/>
              </w:rPr>
            </w:pPr>
            <w:r w:rsidRPr="0010523F">
              <w:rPr>
                <w:color w:val="000000"/>
                <w:sz w:val="20"/>
                <w:szCs w:val="20"/>
                <w:lang w:val="es-AR" w:eastAsia="en-US"/>
              </w:rPr>
              <w:t>13.957.132</w:t>
            </w:r>
          </w:p>
        </w:tc>
      </w:tr>
      <w:tr w:rsidR="0010523F" w:rsidRPr="0010523F" w14:paraId="58F9B774" w14:textId="77777777" w:rsidTr="00774E7E">
        <w:tc>
          <w:tcPr>
            <w:tcW w:w="3544" w:type="dxa"/>
            <w:vAlign w:val="bottom"/>
          </w:tcPr>
          <w:p w14:paraId="4143AE72" w14:textId="77777777" w:rsidR="0010523F" w:rsidRPr="0010523F" w:rsidRDefault="0010523F" w:rsidP="0010523F">
            <w:pPr>
              <w:spacing w:line="200" w:lineRule="exact"/>
              <w:jc w:val="both"/>
              <w:rPr>
                <w:snapToGrid w:val="0"/>
                <w:sz w:val="20"/>
                <w:szCs w:val="20"/>
                <w:lang w:val="es-AR" w:eastAsia="en-US"/>
              </w:rPr>
            </w:pPr>
            <w:r w:rsidRPr="0010523F">
              <w:rPr>
                <w:snapToGrid w:val="0"/>
                <w:sz w:val="20"/>
                <w:szCs w:val="20"/>
                <w:lang w:val="es-AR" w:eastAsia="en-US"/>
              </w:rPr>
              <w:t>Producción del ejercicio</w:t>
            </w:r>
          </w:p>
        </w:tc>
        <w:tc>
          <w:tcPr>
            <w:tcW w:w="1985" w:type="dxa"/>
            <w:vAlign w:val="bottom"/>
          </w:tcPr>
          <w:p w14:paraId="5C8822DB" w14:textId="77777777" w:rsidR="0010523F" w:rsidRPr="0010523F" w:rsidRDefault="0010523F" w:rsidP="0010523F">
            <w:pPr>
              <w:ind w:right="170"/>
              <w:jc w:val="right"/>
              <w:rPr>
                <w:sz w:val="20"/>
                <w:szCs w:val="20"/>
                <w:highlight w:val="yellow"/>
                <w:lang w:val="es-AR" w:eastAsia="en-US"/>
              </w:rPr>
            </w:pPr>
            <w:r w:rsidRPr="0010523F">
              <w:rPr>
                <w:color w:val="000000"/>
                <w:sz w:val="20"/>
                <w:szCs w:val="20"/>
                <w:lang w:val="es-AR" w:eastAsia="en-US"/>
              </w:rPr>
              <w:t>(</w:t>
            </w:r>
            <w:r w:rsidRPr="0010523F">
              <w:rPr>
                <w:color w:val="000000"/>
                <w:sz w:val="20"/>
                <w:szCs w:val="20"/>
                <w:u w:val="single"/>
                <w:lang w:val="es-AR" w:eastAsia="en-US"/>
              </w:rPr>
              <w:t xml:space="preserve">  5.953.541</w:t>
            </w:r>
            <w:r w:rsidRPr="0010523F">
              <w:rPr>
                <w:color w:val="000000"/>
                <w:sz w:val="20"/>
                <w:szCs w:val="20"/>
                <w:lang w:val="es-AR" w:eastAsia="en-US"/>
              </w:rPr>
              <w:t>)</w:t>
            </w:r>
          </w:p>
        </w:tc>
        <w:tc>
          <w:tcPr>
            <w:tcW w:w="1900" w:type="dxa"/>
            <w:gridSpan w:val="2"/>
            <w:vAlign w:val="bottom"/>
          </w:tcPr>
          <w:p w14:paraId="6DAE046C" w14:textId="77777777" w:rsidR="0010523F" w:rsidRPr="0010523F" w:rsidRDefault="0010523F" w:rsidP="0010523F">
            <w:pPr>
              <w:ind w:right="227"/>
              <w:jc w:val="right"/>
              <w:rPr>
                <w:sz w:val="20"/>
                <w:szCs w:val="20"/>
                <w:highlight w:val="yellow"/>
                <w:lang w:val="es-AR" w:eastAsia="en-US"/>
              </w:rPr>
            </w:pPr>
            <w:r w:rsidRPr="0010523F">
              <w:rPr>
                <w:color w:val="000000"/>
                <w:sz w:val="20"/>
                <w:szCs w:val="20"/>
                <w:lang w:val="es-AR" w:eastAsia="en-US"/>
              </w:rPr>
              <w:t>(</w:t>
            </w:r>
            <w:r w:rsidRPr="0010523F">
              <w:rPr>
                <w:color w:val="000000"/>
                <w:sz w:val="20"/>
                <w:szCs w:val="20"/>
                <w:u w:val="single"/>
                <w:lang w:val="es-AR" w:eastAsia="en-US"/>
              </w:rPr>
              <w:t xml:space="preserve"> 4.730.349</w:t>
            </w:r>
            <w:r w:rsidRPr="0010523F">
              <w:rPr>
                <w:color w:val="000000"/>
                <w:sz w:val="20"/>
                <w:szCs w:val="20"/>
                <w:lang w:val="es-AR" w:eastAsia="en-US"/>
              </w:rPr>
              <w:t>)</w:t>
            </w:r>
          </w:p>
        </w:tc>
        <w:tc>
          <w:tcPr>
            <w:tcW w:w="1727" w:type="dxa"/>
            <w:gridSpan w:val="2"/>
            <w:vAlign w:val="bottom"/>
          </w:tcPr>
          <w:p w14:paraId="47EC8D68" w14:textId="77777777" w:rsidR="0010523F" w:rsidRPr="0010523F" w:rsidRDefault="0010523F" w:rsidP="0010523F">
            <w:pPr>
              <w:ind w:right="253"/>
              <w:jc w:val="right"/>
              <w:rPr>
                <w:sz w:val="20"/>
                <w:szCs w:val="20"/>
                <w:highlight w:val="yellow"/>
                <w:lang w:val="es-AR" w:eastAsia="en-US"/>
              </w:rPr>
            </w:pPr>
            <w:r w:rsidRPr="0010523F">
              <w:rPr>
                <w:color w:val="000000"/>
                <w:sz w:val="20"/>
                <w:szCs w:val="20"/>
                <w:lang w:val="es-AR" w:eastAsia="en-US"/>
              </w:rPr>
              <w:t>(</w:t>
            </w:r>
            <w:r w:rsidRPr="0010523F">
              <w:rPr>
                <w:color w:val="000000"/>
                <w:sz w:val="20"/>
                <w:szCs w:val="20"/>
                <w:u w:val="single"/>
                <w:lang w:val="es-AR" w:eastAsia="en-US"/>
              </w:rPr>
              <w:t xml:space="preserve"> 10.683.890</w:t>
            </w:r>
            <w:r w:rsidRPr="0010523F">
              <w:rPr>
                <w:color w:val="000000"/>
                <w:sz w:val="20"/>
                <w:szCs w:val="20"/>
                <w:lang w:val="es-AR" w:eastAsia="en-US"/>
              </w:rPr>
              <w:t>)</w:t>
            </w:r>
          </w:p>
        </w:tc>
      </w:tr>
      <w:tr w:rsidR="0010523F" w:rsidRPr="0010523F" w14:paraId="7CC1FD91" w14:textId="77777777" w:rsidTr="00774E7E">
        <w:tc>
          <w:tcPr>
            <w:tcW w:w="3544" w:type="dxa"/>
          </w:tcPr>
          <w:p w14:paraId="7EFFD3D3" w14:textId="77777777" w:rsidR="0010523F" w:rsidRPr="0010523F" w:rsidRDefault="0010523F" w:rsidP="0010523F">
            <w:pPr>
              <w:spacing w:line="100" w:lineRule="exact"/>
              <w:jc w:val="both"/>
              <w:rPr>
                <w:snapToGrid w:val="0"/>
                <w:sz w:val="20"/>
                <w:szCs w:val="20"/>
                <w:lang w:val="es-AR" w:eastAsia="en-US"/>
              </w:rPr>
            </w:pPr>
          </w:p>
        </w:tc>
        <w:tc>
          <w:tcPr>
            <w:tcW w:w="1985" w:type="dxa"/>
            <w:vAlign w:val="bottom"/>
          </w:tcPr>
          <w:p w14:paraId="376E3B11" w14:textId="77777777" w:rsidR="0010523F" w:rsidRPr="0010523F" w:rsidRDefault="0010523F" w:rsidP="0010523F">
            <w:pPr>
              <w:spacing w:line="100" w:lineRule="exact"/>
              <w:ind w:right="170"/>
              <w:jc w:val="right"/>
              <w:rPr>
                <w:snapToGrid w:val="0"/>
                <w:sz w:val="20"/>
                <w:szCs w:val="20"/>
                <w:highlight w:val="yellow"/>
                <w:lang w:val="es-AR" w:eastAsia="en-US"/>
              </w:rPr>
            </w:pPr>
          </w:p>
        </w:tc>
        <w:tc>
          <w:tcPr>
            <w:tcW w:w="1900" w:type="dxa"/>
            <w:gridSpan w:val="2"/>
            <w:vAlign w:val="bottom"/>
          </w:tcPr>
          <w:p w14:paraId="1ADCC6EE" w14:textId="77777777" w:rsidR="0010523F" w:rsidRPr="0010523F" w:rsidRDefault="0010523F" w:rsidP="0010523F">
            <w:pPr>
              <w:spacing w:line="100" w:lineRule="exact"/>
              <w:ind w:right="227"/>
              <w:jc w:val="right"/>
              <w:rPr>
                <w:snapToGrid w:val="0"/>
                <w:sz w:val="20"/>
                <w:szCs w:val="20"/>
                <w:highlight w:val="yellow"/>
                <w:lang w:val="es-AR" w:eastAsia="en-US"/>
              </w:rPr>
            </w:pPr>
          </w:p>
        </w:tc>
        <w:tc>
          <w:tcPr>
            <w:tcW w:w="1727" w:type="dxa"/>
            <w:gridSpan w:val="2"/>
            <w:vAlign w:val="bottom"/>
          </w:tcPr>
          <w:p w14:paraId="22C86471" w14:textId="77777777" w:rsidR="0010523F" w:rsidRPr="0010523F" w:rsidRDefault="0010523F" w:rsidP="0010523F">
            <w:pPr>
              <w:spacing w:line="100" w:lineRule="exact"/>
              <w:ind w:right="253"/>
              <w:jc w:val="right"/>
              <w:rPr>
                <w:snapToGrid w:val="0"/>
                <w:sz w:val="20"/>
                <w:szCs w:val="20"/>
                <w:highlight w:val="yellow"/>
                <w:lang w:val="es-AR" w:eastAsia="en-US"/>
              </w:rPr>
            </w:pPr>
          </w:p>
        </w:tc>
      </w:tr>
      <w:tr w:rsidR="0010523F" w:rsidRPr="0010523F" w14:paraId="3A46E531" w14:textId="77777777" w:rsidTr="00774E7E">
        <w:tc>
          <w:tcPr>
            <w:tcW w:w="3544" w:type="dxa"/>
            <w:vAlign w:val="bottom"/>
          </w:tcPr>
          <w:p w14:paraId="39299E8F" w14:textId="77777777" w:rsidR="0010523F" w:rsidRPr="0010523F" w:rsidRDefault="0010523F" w:rsidP="0010523F">
            <w:pPr>
              <w:jc w:val="both"/>
              <w:rPr>
                <w:snapToGrid w:val="0"/>
                <w:sz w:val="20"/>
                <w:szCs w:val="20"/>
                <w:lang w:val="es-AR" w:eastAsia="en-US"/>
              </w:rPr>
            </w:pPr>
            <w:r w:rsidRPr="0010523F">
              <w:rPr>
                <w:snapToGrid w:val="0"/>
                <w:sz w:val="20"/>
                <w:szCs w:val="20"/>
                <w:lang w:val="es-AR" w:eastAsia="en-US"/>
              </w:rPr>
              <w:t>Reservas al 31 de diciembre de 2018</w:t>
            </w:r>
          </w:p>
        </w:tc>
        <w:tc>
          <w:tcPr>
            <w:tcW w:w="1985" w:type="dxa"/>
            <w:vAlign w:val="bottom"/>
          </w:tcPr>
          <w:p w14:paraId="0CB4A999" w14:textId="77777777" w:rsidR="0010523F" w:rsidRPr="0010523F" w:rsidRDefault="0010523F" w:rsidP="0010523F">
            <w:pPr>
              <w:ind w:right="170"/>
              <w:jc w:val="right"/>
              <w:rPr>
                <w:sz w:val="20"/>
                <w:szCs w:val="20"/>
                <w:highlight w:val="yellow"/>
                <w:u w:val="double"/>
                <w:lang w:val="es-AR" w:eastAsia="en-US"/>
              </w:rPr>
            </w:pPr>
            <w:r w:rsidRPr="0010523F">
              <w:rPr>
                <w:color w:val="000000"/>
                <w:sz w:val="20"/>
                <w:szCs w:val="20"/>
                <w:u w:val="double"/>
                <w:lang w:val="es-AR" w:eastAsia="en-US"/>
              </w:rPr>
              <w:t>153.516.027</w:t>
            </w:r>
          </w:p>
        </w:tc>
        <w:tc>
          <w:tcPr>
            <w:tcW w:w="1900" w:type="dxa"/>
            <w:gridSpan w:val="2"/>
            <w:vAlign w:val="bottom"/>
          </w:tcPr>
          <w:p w14:paraId="09DAF74D" w14:textId="77777777" w:rsidR="0010523F" w:rsidRPr="0010523F" w:rsidRDefault="0010523F" w:rsidP="0010523F">
            <w:pPr>
              <w:ind w:right="227"/>
              <w:jc w:val="right"/>
              <w:rPr>
                <w:sz w:val="20"/>
                <w:szCs w:val="20"/>
                <w:highlight w:val="yellow"/>
                <w:u w:val="double"/>
                <w:lang w:val="es-AR" w:eastAsia="en-US"/>
              </w:rPr>
            </w:pPr>
            <w:r w:rsidRPr="0010523F">
              <w:rPr>
                <w:color w:val="000000"/>
                <w:sz w:val="20"/>
                <w:szCs w:val="20"/>
                <w:u w:val="double"/>
                <w:lang w:val="es-AR" w:eastAsia="en-US"/>
              </w:rPr>
              <w:t>52.889.710</w:t>
            </w:r>
          </w:p>
        </w:tc>
        <w:tc>
          <w:tcPr>
            <w:tcW w:w="1727" w:type="dxa"/>
            <w:gridSpan w:val="2"/>
            <w:vAlign w:val="bottom"/>
          </w:tcPr>
          <w:p w14:paraId="304DF899" w14:textId="77777777" w:rsidR="0010523F" w:rsidRPr="0010523F" w:rsidRDefault="0010523F" w:rsidP="0010523F">
            <w:pPr>
              <w:ind w:right="253"/>
              <w:jc w:val="right"/>
              <w:rPr>
                <w:sz w:val="20"/>
                <w:szCs w:val="20"/>
                <w:u w:val="double"/>
                <w:lang w:val="es-AR" w:eastAsia="en-US"/>
              </w:rPr>
            </w:pPr>
            <w:r w:rsidRPr="0010523F">
              <w:rPr>
                <w:color w:val="000000"/>
                <w:sz w:val="20"/>
                <w:szCs w:val="20"/>
                <w:u w:val="double"/>
                <w:lang w:val="es-AR" w:eastAsia="en-US"/>
              </w:rPr>
              <w:t>206.405.737</w:t>
            </w:r>
          </w:p>
        </w:tc>
      </w:tr>
      <w:tr w:rsidR="0010523F" w:rsidRPr="0010523F" w14:paraId="6B363BC8" w14:textId="77777777" w:rsidTr="00774E7E">
        <w:tc>
          <w:tcPr>
            <w:tcW w:w="3544" w:type="dxa"/>
            <w:vAlign w:val="bottom"/>
          </w:tcPr>
          <w:p w14:paraId="4CD359F3" w14:textId="77777777" w:rsidR="0010523F" w:rsidRPr="0010523F" w:rsidRDefault="0010523F" w:rsidP="0010523F">
            <w:pPr>
              <w:jc w:val="both"/>
              <w:rPr>
                <w:snapToGrid w:val="0"/>
                <w:sz w:val="19"/>
                <w:szCs w:val="19"/>
                <w:lang w:val="es-AR" w:eastAsia="en-US"/>
              </w:rPr>
            </w:pPr>
          </w:p>
        </w:tc>
        <w:tc>
          <w:tcPr>
            <w:tcW w:w="1985" w:type="dxa"/>
            <w:vAlign w:val="bottom"/>
          </w:tcPr>
          <w:p w14:paraId="632E8E40" w14:textId="77777777" w:rsidR="0010523F" w:rsidRPr="0010523F" w:rsidRDefault="0010523F" w:rsidP="0010523F">
            <w:pPr>
              <w:tabs>
                <w:tab w:val="decimal" w:pos="1388"/>
              </w:tabs>
              <w:jc w:val="both"/>
              <w:rPr>
                <w:sz w:val="19"/>
                <w:szCs w:val="19"/>
                <w:u w:val="double"/>
                <w:lang w:val="es-AR" w:eastAsia="en-US"/>
              </w:rPr>
            </w:pPr>
          </w:p>
        </w:tc>
        <w:tc>
          <w:tcPr>
            <w:tcW w:w="1900" w:type="dxa"/>
            <w:gridSpan w:val="2"/>
            <w:vAlign w:val="bottom"/>
          </w:tcPr>
          <w:p w14:paraId="0C141853" w14:textId="77777777" w:rsidR="0010523F" w:rsidRPr="0010523F" w:rsidRDefault="0010523F" w:rsidP="0010523F">
            <w:pPr>
              <w:tabs>
                <w:tab w:val="decimal" w:pos="1300"/>
              </w:tabs>
              <w:jc w:val="both"/>
              <w:rPr>
                <w:sz w:val="19"/>
                <w:szCs w:val="19"/>
                <w:u w:val="double"/>
                <w:lang w:val="es-AR" w:eastAsia="en-US"/>
              </w:rPr>
            </w:pPr>
          </w:p>
        </w:tc>
        <w:tc>
          <w:tcPr>
            <w:tcW w:w="1727" w:type="dxa"/>
            <w:gridSpan w:val="2"/>
            <w:vAlign w:val="bottom"/>
          </w:tcPr>
          <w:p w14:paraId="79F5F147" w14:textId="77777777" w:rsidR="0010523F" w:rsidRPr="0010523F" w:rsidRDefault="0010523F" w:rsidP="0010523F">
            <w:pPr>
              <w:tabs>
                <w:tab w:val="decimal" w:pos="1325"/>
              </w:tabs>
              <w:jc w:val="both"/>
              <w:rPr>
                <w:sz w:val="19"/>
                <w:szCs w:val="19"/>
                <w:u w:val="double"/>
                <w:lang w:val="es-AR" w:eastAsia="en-US"/>
              </w:rPr>
            </w:pPr>
          </w:p>
        </w:tc>
      </w:tr>
    </w:tbl>
    <w:p w14:paraId="1AA065C3" w14:textId="77777777" w:rsidR="0010523F" w:rsidRPr="0010523F" w:rsidRDefault="0010523F" w:rsidP="0010523F">
      <w:pPr>
        <w:spacing w:line="220" w:lineRule="exact"/>
        <w:ind w:left="350" w:hanging="350"/>
        <w:jc w:val="both"/>
        <w:rPr>
          <w:sz w:val="18"/>
          <w:szCs w:val="18"/>
          <w:lang w:val="es-AR" w:eastAsia="en-US"/>
        </w:rPr>
      </w:pPr>
      <w:r w:rsidRPr="0010523F">
        <w:rPr>
          <w:sz w:val="18"/>
          <w:szCs w:val="18"/>
          <w:lang w:val="es-AR" w:eastAsia="en-US"/>
        </w:rPr>
        <w:t xml:space="preserve">(1) A los efectos del cálculo la conversión de 1.000 m3 de gas natural es igual a 1 m3 de petróleo crudo. </w:t>
      </w:r>
    </w:p>
    <w:p w14:paraId="166CB84B" w14:textId="77777777" w:rsidR="0010523F" w:rsidRPr="0010523F" w:rsidRDefault="0010523F" w:rsidP="0010523F">
      <w:pPr>
        <w:spacing w:line="220" w:lineRule="exact"/>
        <w:rPr>
          <w:sz w:val="22"/>
          <w:szCs w:val="22"/>
          <w:lang w:val="es-AR" w:eastAsia="en-US"/>
        </w:rPr>
      </w:pPr>
    </w:p>
    <w:p w14:paraId="63E6CF8A" w14:textId="77777777" w:rsidR="0010523F" w:rsidRPr="0010523F" w:rsidRDefault="0010523F" w:rsidP="0010523F">
      <w:pPr>
        <w:spacing w:line="220" w:lineRule="exact"/>
        <w:jc w:val="both"/>
        <w:rPr>
          <w:lang w:val="es-AR" w:eastAsia="en-US"/>
        </w:rPr>
      </w:pPr>
      <w:r w:rsidRPr="0010523F">
        <w:rPr>
          <w:lang w:val="es-AR" w:eastAsia="en-US"/>
        </w:rPr>
        <w:t xml:space="preserve">Las reservas de la Sucursal se encuentran ubicadas en Argentina. </w:t>
      </w:r>
    </w:p>
    <w:p w14:paraId="28B4C71D" w14:textId="77777777" w:rsidR="0010523F" w:rsidRPr="0010523F" w:rsidRDefault="0010523F" w:rsidP="0010523F">
      <w:pPr>
        <w:spacing w:line="220" w:lineRule="exact"/>
        <w:rPr>
          <w:lang w:val="es-AR" w:eastAsia="en-US"/>
        </w:rPr>
      </w:pPr>
    </w:p>
    <w:p w14:paraId="3A475F2E" w14:textId="77777777" w:rsidR="0010523F" w:rsidRPr="0010523F" w:rsidRDefault="0010523F" w:rsidP="0010523F">
      <w:pPr>
        <w:jc w:val="both"/>
        <w:rPr>
          <w:lang w:val="es-AR" w:eastAsia="en-US"/>
        </w:rPr>
      </w:pPr>
      <w:r w:rsidRPr="0010523F">
        <w:rPr>
          <w:lang w:val="es-AR" w:eastAsia="en-US"/>
        </w:rPr>
        <w:t>La información sobre reservas que se proporciona está basada en informes emitidos por los consultores técnicos internacionales RPS y Ryder Scott Company Petroleum Consultants.</w:t>
      </w:r>
    </w:p>
    <w:p w14:paraId="5F1B31AA" w14:textId="77777777" w:rsidR="0010523F" w:rsidRPr="0010523F" w:rsidRDefault="0010523F" w:rsidP="0010523F">
      <w:pPr>
        <w:jc w:val="both"/>
        <w:rPr>
          <w:sz w:val="22"/>
          <w:szCs w:val="22"/>
          <w:lang w:val="es-AR" w:eastAsia="en-US"/>
        </w:rPr>
      </w:pPr>
    </w:p>
    <w:p w14:paraId="314D2B50" w14:textId="77777777" w:rsidR="0010523F" w:rsidRPr="0010523F" w:rsidRDefault="0010523F" w:rsidP="0010523F">
      <w:pPr>
        <w:rPr>
          <w:b/>
          <w:u w:val="single"/>
          <w:lang w:val="es-AR" w:eastAsia="en-US"/>
        </w:rPr>
      </w:pPr>
      <w:r w:rsidRPr="0010523F">
        <w:rPr>
          <w:b/>
          <w:lang w:val="es-AR" w:eastAsia="en-US"/>
        </w:rPr>
        <w:t>8. Perspectivas de negocios</w:t>
      </w:r>
    </w:p>
    <w:p w14:paraId="78836CC2" w14:textId="77777777" w:rsidR="0010523F" w:rsidRPr="0010523F" w:rsidRDefault="0010523F" w:rsidP="0010523F">
      <w:pPr>
        <w:spacing w:line="180" w:lineRule="exact"/>
        <w:jc w:val="both"/>
        <w:rPr>
          <w:lang w:val="es-AR" w:eastAsia="en-US"/>
        </w:rPr>
      </w:pPr>
    </w:p>
    <w:p w14:paraId="64F0405E" w14:textId="77777777" w:rsidR="0010523F" w:rsidRPr="0010523F" w:rsidRDefault="0010523F" w:rsidP="0010523F">
      <w:pPr>
        <w:jc w:val="both"/>
        <w:rPr>
          <w:lang w:val="es-AR" w:eastAsia="en-US"/>
        </w:rPr>
      </w:pPr>
      <w:r w:rsidRPr="0010523F">
        <w:rPr>
          <w:lang w:val="es-AR" w:eastAsia="en-US"/>
        </w:rPr>
        <w:t xml:space="preserve">A partir de la transferencia del fondo de comercio de Axion Energy Argentina S.A. mencionada en la Nota 1 a los estados financieros intermedios condensados, la Sucursal pasó a ser una empresa integrada de energía (con actividades en el Upstream y el Downstream). </w:t>
      </w:r>
    </w:p>
    <w:p w14:paraId="6FE23395" w14:textId="77777777" w:rsidR="0010523F" w:rsidRPr="0010523F" w:rsidRDefault="0010523F" w:rsidP="0010523F">
      <w:pPr>
        <w:jc w:val="both"/>
        <w:rPr>
          <w:lang w:val="es-AR" w:eastAsia="en-US"/>
        </w:rPr>
      </w:pPr>
    </w:p>
    <w:p w14:paraId="53E1C860" w14:textId="77777777" w:rsidR="0010523F" w:rsidRPr="0010523F" w:rsidRDefault="0010523F" w:rsidP="0010523F">
      <w:pPr>
        <w:jc w:val="both"/>
        <w:rPr>
          <w:lang w:val="es-AR" w:eastAsia="en-US"/>
        </w:rPr>
      </w:pPr>
      <w:r w:rsidRPr="0010523F">
        <w:rPr>
          <w:lang w:val="es-AR" w:eastAsia="en-US"/>
        </w:rPr>
        <w:t>El precio del crudo Brent, después de llegar a su mínimo promedio anual de los últimos años de US$ 45 por barril en el año 2016, se incrementó en 2018 a US$ 71 por barril y en los primeros nueve meses de 2019 disminuyó a US$ 65 por barril. El precio correspondiente a los primeros nueve meses de 2018 fue US$ 72 por barril.</w:t>
      </w:r>
    </w:p>
    <w:p w14:paraId="17D0DE6C" w14:textId="77777777" w:rsidR="0010523F" w:rsidRPr="0010523F" w:rsidRDefault="0010523F" w:rsidP="0010523F">
      <w:pPr>
        <w:jc w:val="both"/>
        <w:rPr>
          <w:highlight w:val="yellow"/>
          <w:lang w:val="es-AR" w:eastAsia="en-US"/>
        </w:rPr>
      </w:pPr>
    </w:p>
    <w:p w14:paraId="42F19D04" w14:textId="77777777" w:rsidR="0010523F" w:rsidRPr="0010523F" w:rsidRDefault="0010523F" w:rsidP="0010523F">
      <w:pPr>
        <w:rPr>
          <w:b/>
          <w:highlight w:val="yellow"/>
          <w:lang w:val="es-AR" w:eastAsia="en-US"/>
        </w:rPr>
      </w:pPr>
      <w:r w:rsidRPr="0010523F">
        <w:rPr>
          <w:b/>
          <w:highlight w:val="yellow"/>
          <w:lang w:val="es-AR" w:eastAsia="en-US"/>
        </w:rPr>
        <w:br w:type="page"/>
      </w:r>
    </w:p>
    <w:p w14:paraId="4A217CBE" w14:textId="77777777" w:rsidR="0010523F" w:rsidRPr="0010523F" w:rsidRDefault="0010523F" w:rsidP="0010523F">
      <w:pPr>
        <w:rPr>
          <w:b/>
          <w:u w:val="single"/>
          <w:lang w:val="es-AR" w:eastAsia="en-US"/>
        </w:rPr>
      </w:pPr>
      <w:r w:rsidRPr="0010523F">
        <w:rPr>
          <w:b/>
          <w:lang w:val="es-AR" w:eastAsia="en-US"/>
        </w:rPr>
        <w:t>8. Perspectivas de negocios (cont.)</w:t>
      </w:r>
    </w:p>
    <w:p w14:paraId="01BB5A25" w14:textId="77777777" w:rsidR="0010523F" w:rsidRPr="0010523F" w:rsidRDefault="0010523F" w:rsidP="0010523F">
      <w:pPr>
        <w:jc w:val="both"/>
        <w:rPr>
          <w:highlight w:val="yellow"/>
          <w:lang w:val="es-AR" w:eastAsia="en-US"/>
        </w:rPr>
      </w:pPr>
    </w:p>
    <w:p w14:paraId="0B7DFE1C" w14:textId="77777777" w:rsidR="0010523F" w:rsidRPr="0010523F" w:rsidRDefault="0010523F" w:rsidP="0010523F">
      <w:pPr>
        <w:jc w:val="both"/>
        <w:rPr>
          <w:lang w:val="es-AR" w:eastAsia="en-US"/>
        </w:rPr>
      </w:pPr>
      <w:r w:rsidRPr="0010523F">
        <w:rPr>
          <w:lang w:val="es-AR" w:eastAsia="en-US"/>
        </w:rPr>
        <w:t>La variación del precio internacional del crudo se refleja rápidamente en las exportaciones de la Sucursal, que representaron en 2018 y en lo que va del 2019 algo menos de la mitad y el 40%, respectivamente, de su volumen de producción de crudo tipo Escalante. El precio de exportación promedio del crudo Escalante del ejercicio 2018 fue de US$ 67 por barril, durante los primeros nueve meses de 2019 ascendió a US$ 63 por barril, siendo durante los primeros nueve meses de 2018 de US$ 69 por barril.</w:t>
      </w:r>
    </w:p>
    <w:p w14:paraId="7B8A2248" w14:textId="77777777" w:rsidR="0010523F" w:rsidRPr="0010523F" w:rsidRDefault="0010523F" w:rsidP="0010523F">
      <w:pPr>
        <w:jc w:val="both"/>
        <w:rPr>
          <w:lang w:val="es-AR" w:eastAsia="en-US"/>
        </w:rPr>
      </w:pPr>
    </w:p>
    <w:p w14:paraId="7D521822" w14:textId="77777777" w:rsidR="0010523F" w:rsidRPr="0010523F" w:rsidRDefault="0010523F" w:rsidP="0010523F">
      <w:pPr>
        <w:jc w:val="both"/>
        <w:rPr>
          <w:lang w:val="es-AR" w:eastAsia="en-US"/>
        </w:rPr>
      </w:pPr>
      <w:r w:rsidRPr="0010523F">
        <w:rPr>
          <w:lang w:val="es-AR" w:eastAsia="en-US"/>
        </w:rPr>
        <w:t>Los precios del mercado interno habían sido alineados a los del mercado internacional. En tal sentido, el 11 de enero de 2017 a solicitud del Poder Ejecutivo Nacional (“PEN”) a través del Ministerio de Energía y Minería de la Nación (“MEyMN”) se firmó un acuerdo para la transición a precios internacionales tendiente a que los precios internos del petróleo crudo alcanzaran la paridad con los mercados internacionales en 2017. En general ante variaciones significativas en el precio internacional del petróleo y/o en la cotización del dólar en Argentina, la alineación de los precios domésticos a los internacionales se produce con cierta demora temporal. El precio promedio en el mercado interno del crudo vendido por la Sucursal en 2018 fue de US$ 61 por barril, considerando tanto las ventas a terceros como las transferencias internas del Upstream al Downstream. Los valores correspondientes a los primeros nueve meses de 2019 y 2018 fueron de US$ 56 y US$ 61 por barril, respectivamente.</w:t>
      </w:r>
    </w:p>
    <w:p w14:paraId="5174C850" w14:textId="77777777" w:rsidR="0010523F" w:rsidRPr="0010523F" w:rsidRDefault="0010523F" w:rsidP="0010523F">
      <w:pPr>
        <w:jc w:val="both"/>
        <w:rPr>
          <w:lang w:val="es-AR" w:eastAsia="en-US"/>
        </w:rPr>
      </w:pPr>
    </w:p>
    <w:p w14:paraId="08357790" w14:textId="77777777" w:rsidR="0010523F" w:rsidRPr="0010523F" w:rsidRDefault="0010523F" w:rsidP="0010523F">
      <w:pPr>
        <w:jc w:val="both"/>
        <w:rPr>
          <w:szCs w:val="20"/>
          <w:lang w:val="es-AR" w:eastAsia="en-US"/>
        </w:rPr>
      </w:pPr>
      <w:r w:rsidRPr="0010523F">
        <w:rPr>
          <w:szCs w:val="20"/>
          <w:lang w:val="es-AR" w:eastAsia="en-US"/>
        </w:rPr>
        <w:t>El 3 de septiembre de 2018, se emitió el Decreto N° 793/2018 del PEN que establece una retención general del 12% a las exportaciones de bienes desde Argentina con vigencia desde el 4 de septiembre de 2018 hasta el 31 de diciembre de 2020. Dicha retención tiene un tope de cuatro pesos por cada dólar de valor FOB exportado.</w:t>
      </w:r>
    </w:p>
    <w:p w14:paraId="06388245" w14:textId="77777777" w:rsidR="0010523F" w:rsidRPr="0010523F" w:rsidRDefault="0010523F" w:rsidP="0010523F">
      <w:pPr>
        <w:jc w:val="both"/>
        <w:rPr>
          <w:szCs w:val="20"/>
          <w:lang w:val="es-AR" w:eastAsia="en-US"/>
        </w:rPr>
      </w:pPr>
    </w:p>
    <w:p w14:paraId="40EA31F6" w14:textId="77777777" w:rsidR="0010523F" w:rsidRPr="0010523F" w:rsidRDefault="0010523F" w:rsidP="0010523F">
      <w:pPr>
        <w:jc w:val="both"/>
        <w:rPr>
          <w:szCs w:val="20"/>
          <w:lang w:val="es-AR" w:eastAsia="en-US"/>
        </w:rPr>
      </w:pPr>
      <w:r w:rsidRPr="0010523F">
        <w:rPr>
          <w:szCs w:val="20"/>
          <w:lang w:val="es-AR" w:eastAsia="en-US"/>
        </w:rPr>
        <w:t>Como consecuencia de las variaciones macroeconómicas derivadas de la devaluación del peso respecto del dólar, los créditos por ventas del gas natural entregado por la Sucursal a las empresas distribuidoras correspondientes al período desde abril hasta septiembre de 2018 se cobraron parcialmente debido a que si bien la facturación, de acuerdo a lo previsto en los contratos entre la Sucursal y las distribuidoras, es en dólares; las distribuidoras han pagado a un tipo de cambio significativamente menor al vigente (alineado al considerado en la aprobación de sus tarifas). Los contratos vigentes firmados por la Sucursal con las distribuidoras, contemplan precios del gas natural para las entregas de la Sucursal a las distribuidoras desde octubre de 2018 hasta fin del año 2019 menores que los previstos en el sendero de precios incluido en los considerandos de la Resolución N° 212/2016 del entonces MEyMN. Con fecha 25 de octubre de 2019, la Sucursal adhirió al régimen del artículo 7 del Decreto N° 1053/18 del PEN por medio del cual el Estado Nacional asumió el pago de las diferencias entre el valor del gas natural comprado por las licenciatarias de distribución de gas natural y el establecido en los cuadros tarifarios vigentes entre el 1 de abril de 2018 y el 31 de marzo de 2019, generadas por las variaciones en el tipo de cambio correspondiente a los volúmenes de gas natural entregados en aquel período. La deuda será cancelada en treinta cuotas mensuales y consecutivas que el Estado Nacional transferirá a las licenciatarias de distribución, debiendo estas últimas transferir a la Sucursal el importe de cada cuota dentro del plazo de cinco días hábiles de haberlo percibido.</w:t>
      </w:r>
    </w:p>
    <w:p w14:paraId="738B7A3D" w14:textId="77777777" w:rsidR="0010523F" w:rsidRPr="0010523F" w:rsidRDefault="0010523F" w:rsidP="0010523F">
      <w:pPr>
        <w:jc w:val="both"/>
        <w:rPr>
          <w:sz w:val="23"/>
          <w:szCs w:val="23"/>
          <w:lang w:val="es-AR" w:eastAsia="en-US"/>
        </w:rPr>
      </w:pPr>
    </w:p>
    <w:p w14:paraId="48DD6820" w14:textId="77777777" w:rsidR="0010523F" w:rsidRPr="0010523F" w:rsidRDefault="0010523F" w:rsidP="0010523F">
      <w:pPr>
        <w:rPr>
          <w:szCs w:val="20"/>
          <w:lang w:val="es-AR" w:eastAsia="en-US"/>
        </w:rPr>
      </w:pPr>
      <w:r w:rsidRPr="0010523F">
        <w:rPr>
          <w:szCs w:val="20"/>
          <w:lang w:val="es-AR" w:eastAsia="en-US"/>
        </w:rPr>
        <w:br w:type="page"/>
      </w:r>
    </w:p>
    <w:p w14:paraId="70F0781A" w14:textId="77777777" w:rsidR="0010523F" w:rsidRPr="0010523F" w:rsidRDefault="0010523F" w:rsidP="0010523F">
      <w:pPr>
        <w:rPr>
          <w:b/>
          <w:u w:val="single"/>
          <w:lang w:val="es-AR" w:eastAsia="en-US"/>
        </w:rPr>
      </w:pPr>
      <w:r w:rsidRPr="0010523F">
        <w:rPr>
          <w:b/>
          <w:lang w:val="es-AR" w:eastAsia="en-US"/>
        </w:rPr>
        <w:t>8. Perspectivas de negocios (cont.)</w:t>
      </w:r>
    </w:p>
    <w:p w14:paraId="543C6D8A" w14:textId="77777777" w:rsidR="0010523F" w:rsidRPr="0010523F" w:rsidRDefault="0010523F" w:rsidP="0010523F">
      <w:pPr>
        <w:jc w:val="both"/>
        <w:rPr>
          <w:szCs w:val="20"/>
          <w:lang w:val="es-AR" w:eastAsia="en-US"/>
        </w:rPr>
      </w:pPr>
    </w:p>
    <w:p w14:paraId="2D4316C8" w14:textId="77777777" w:rsidR="0010523F" w:rsidRPr="0010523F" w:rsidRDefault="0010523F" w:rsidP="0010523F">
      <w:pPr>
        <w:jc w:val="both"/>
        <w:rPr>
          <w:lang w:val="es-AR" w:eastAsia="en-US"/>
        </w:rPr>
      </w:pPr>
      <w:r w:rsidRPr="0010523F">
        <w:rPr>
          <w:lang w:val="es-AR" w:eastAsia="en-US"/>
        </w:rPr>
        <w:t xml:space="preserve">El plan de inversiones en las áreas de Upstream operadas por la Sucursal sigue orientado principalmente al desarrollo de petróleo convencional en la cuenca del Golfo San Jorge y al desarrollo de reservorios de gas y petróleo no convencional en Neuquén. Asimismo, las áreas no operadas por la Sucursal en las que ésta tiene participación incluyen también inversiones significativas en el desarrollo de reservorios convencionales y no convencionales. En cuanto al Downstream el plan de inversiones se focaliza en el proyecto de ampliación de la refinería de Campana, que está en plena ejecución. Mediante dicho proyecto se fueron optimizado y aumentado nuevas unidades para dar mayor flexibilidad operativa, admitir futuras ampliaciones de la refinería, producir combustibles de mejor calidad y acompañar de manera más eficiente la demanda de combustibles actual, entre otros. </w:t>
      </w:r>
    </w:p>
    <w:p w14:paraId="01CDD3B9" w14:textId="77777777" w:rsidR="0010523F" w:rsidRPr="0010523F" w:rsidRDefault="0010523F" w:rsidP="0010523F">
      <w:pPr>
        <w:rPr>
          <w:lang w:val="es-AR" w:eastAsia="en-US"/>
        </w:rPr>
      </w:pPr>
    </w:p>
    <w:p w14:paraId="5040043F" w14:textId="77777777" w:rsidR="0010523F" w:rsidRPr="0010523F" w:rsidRDefault="0010523F" w:rsidP="0010523F">
      <w:pPr>
        <w:jc w:val="both"/>
        <w:rPr>
          <w:lang w:val="es-AR" w:eastAsia="en-US"/>
        </w:rPr>
      </w:pPr>
      <w:r w:rsidRPr="0010523F">
        <w:rPr>
          <w:lang w:val="es-AR" w:eastAsia="en-US"/>
        </w:rPr>
        <w:t>La Sucursal continúa trabajando con el propósito de mejorar sus niveles de excelencia operativa en la exploración y producción de hidrocarburos y en la refinación y comercialización de productos derivados, realizando sus mejores esfuerzos para aumentar su producción y la incorporación de reservas, acompañando de esta forma las necesidades energéticas del país. Asimismo, mantiene su firme compromiso con la preservación del medio ambiente y con el cuidado de la salud y la seguridad de su personal y de sus contratistas como así también con las comunidades en donde opera, a través de sus programas de Responsabilidad Social Empresaria.</w:t>
      </w:r>
    </w:p>
    <w:p w14:paraId="42EFCCE4" w14:textId="77777777" w:rsidR="0010523F" w:rsidRPr="0010523F" w:rsidRDefault="0010523F" w:rsidP="0010523F">
      <w:pPr>
        <w:jc w:val="both"/>
        <w:rPr>
          <w:lang w:val="es-AR" w:eastAsia="en-US"/>
        </w:rPr>
      </w:pPr>
    </w:p>
    <w:p w14:paraId="049415CE" w14:textId="77777777" w:rsidR="0010523F" w:rsidRPr="0010523F" w:rsidRDefault="0010523F" w:rsidP="0010523F">
      <w:pPr>
        <w:jc w:val="both"/>
        <w:rPr>
          <w:lang w:val="es-AR" w:eastAsia="en-US"/>
        </w:rPr>
      </w:pPr>
    </w:p>
    <w:p w14:paraId="4015448C" w14:textId="77777777" w:rsidR="0010523F" w:rsidRPr="0010523F" w:rsidRDefault="0010523F" w:rsidP="0010523F">
      <w:pPr>
        <w:jc w:val="both"/>
        <w:rPr>
          <w:lang w:val="es-AR" w:eastAsia="en-US"/>
        </w:rPr>
      </w:pPr>
    </w:p>
    <w:p w14:paraId="0AF377FE" w14:textId="77777777" w:rsidR="0010523F" w:rsidRPr="0010523F" w:rsidRDefault="0010523F" w:rsidP="0010523F">
      <w:pPr>
        <w:spacing w:line="220" w:lineRule="exact"/>
        <w:ind w:right="380"/>
        <w:jc w:val="right"/>
        <w:rPr>
          <w:sz w:val="18"/>
          <w:szCs w:val="18"/>
          <w:lang w:val="es-AR" w:eastAsia="en-US"/>
        </w:rPr>
      </w:pPr>
      <w:r w:rsidRPr="0010523F">
        <w:rPr>
          <w:sz w:val="18"/>
          <w:szCs w:val="18"/>
          <w:lang w:val="es-AR" w:eastAsia="en-US"/>
        </w:rPr>
        <w:t>Rodolfo E. Berisso</w:t>
      </w:r>
    </w:p>
    <w:p w14:paraId="394F098A" w14:textId="77777777" w:rsidR="0010523F" w:rsidRPr="0010523F" w:rsidRDefault="0010523F" w:rsidP="0010523F">
      <w:pPr>
        <w:spacing w:line="220" w:lineRule="exact"/>
        <w:ind w:left="6732" w:firstLine="561"/>
        <w:jc w:val="both"/>
        <w:rPr>
          <w:szCs w:val="20"/>
          <w:lang w:val="es-AR" w:eastAsia="en-US"/>
        </w:rPr>
      </w:pPr>
      <w:r w:rsidRPr="0010523F">
        <w:rPr>
          <w:sz w:val="18"/>
          <w:szCs w:val="18"/>
          <w:lang w:val="es-AR" w:eastAsia="en-US"/>
        </w:rPr>
        <w:t xml:space="preserve">     </w:t>
      </w:r>
      <w:r w:rsidRPr="0010523F">
        <w:rPr>
          <w:sz w:val="18"/>
          <w:szCs w:val="18"/>
          <w:u w:val="single"/>
          <w:lang w:val="es-AR" w:eastAsia="en-US"/>
        </w:rPr>
        <w:t>Apoderado</w:t>
      </w:r>
      <w:r w:rsidRPr="0010523F">
        <w:rPr>
          <w:szCs w:val="20"/>
          <w:lang w:val="es-AR" w:eastAsia="en-US"/>
        </w:rPr>
        <w:br w:type="page"/>
      </w:r>
    </w:p>
    <w:p w14:paraId="282DCACD" w14:textId="77777777" w:rsidR="0010523F" w:rsidRPr="0010523F" w:rsidRDefault="0010523F" w:rsidP="0010523F">
      <w:pPr>
        <w:jc w:val="both"/>
        <w:rPr>
          <w:b/>
          <w:lang w:val="es-AR" w:eastAsia="en-US"/>
        </w:rPr>
      </w:pPr>
      <w:r w:rsidRPr="0010523F">
        <w:rPr>
          <w:b/>
          <w:lang w:val="es-AR" w:eastAsia="en-US"/>
        </w:rPr>
        <w:t>PAN AMERICAN ENERGY, S.L., SUCURSAL ARGENTINA</w:t>
      </w:r>
      <w:r w:rsidRPr="0010523F" w:rsidDel="00BF1287">
        <w:rPr>
          <w:b/>
          <w:lang w:val="es-AR" w:eastAsia="en-US"/>
        </w:rPr>
        <w:t xml:space="preserve"> </w:t>
      </w:r>
    </w:p>
    <w:p w14:paraId="7FC9E1E0" w14:textId="77777777" w:rsidR="0010523F" w:rsidRPr="0010523F" w:rsidRDefault="0010523F" w:rsidP="0010523F">
      <w:pPr>
        <w:jc w:val="both"/>
        <w:rPr>
          <w:b/>
          <w:lang w:val="es-AR" w:eastAsia="en-US"/>
        </w:rPr>
      </w:pPr>
    </w:p>
    <w:p w14:paraId="7EEB528C" w14:textId="77777777" w:rsidR="0010523F" w:rsidRPr="0010523F" w:rsidRDefault="0010523F" w:rsidP="0010523F">
      <w:pPr>
        <w:jc w:val="both"/>
        <w:rPr>
          <w:b/>
          <w:lang w:val="es-AR" w:eastAsia="en-US"/>
        </w:rPr>
      </w:pPr>
      <w:r w:rsidRPr="0010523F">
        <w:rPr>
          <w:b/>
          <w:lang w:val="es-AR" w:eastAsia="en-US"/>
        </w:rPr>
        <w:t>ESTADOS FINANCIEROS INTERMEDIOS CONDENSADOS AL 30 DE SEPTIEMBRE DE 2019</w:t>
      </w:r>
    </w:p>
    <w:p w14:paraId="24CAAE96" w14:textId="77777777" w:rsidR="0010523F" w:rsidRPr="0010523F" w:rsidRDefault="0010523F" w:rsidP="0010523F">
      <w:pPr>
        <w:jc w:val="both"/>
        <w:rPr>
          <w:b/>
          <w:lang w:val="es-AR" w:eastAsia="en-US"/>
        </w:rPr>
      </w:pPr>
    </w:p>
    <w:p w14:paraId="0E986F5C" w14:textId="77777777" w:rsidR="0010523F" w:rsidRPr="0010523F" w:rsidRDefault="0010523F" w:rsidP="0010523F">
      <w:pPr>
        <w:keepNext/>
        <w:tabs>
          <w:tab w:val="right" w:pos="5596"/>
        </w:tabs>
        <w:spacing w:line="220" w:lineRule="exact"/>
        <w:jc w:val="both"/>
        <w:outlineLvl w:val="0"/>
        <w:rPr>
          <w:b/>
          <w:szCs w:val="20"/>
          <w:lang w:val="es-AR" w:eastAsia="en-US"/>
        </w:rPr>
      </w:pPr>
      <w:r w:rsidRPr="0010523F">
        <w:rPr>
          <w:b/>
          <w:szCs w:val="20"/>
          <w:lang w:val="es-AR" w:eastAsia="en-US"/>
        </w:rPr>
        <w:t>INFORMACIÓN ADICIONAL A LOS ESTADOS FINANCIEROS INTERMEDIOS CONDENSADOS AL 30 DE SEPTIEMBRE DE 2019 REQUERIDA POR EL ARTÍCULO 12 DEL CAPÍTULO III, TÍTULO IV DEL TEXTO ORDENADO EN 2013 DE LAS NORMAS DE LA COMISIÓN NACIONAL DE VALORES</w:t>
      </w:r>
    </w:p>
    <w:p w14:paraId="08F4DF1D" w14:textId="77777777" w:rsidR="0010523F" w:rsidRPr="0010523F" w:rsidRDefault="0010523F" w:rsidP="0010523F">
      <w:pPr>
        <w:jc w:val="both"/>
        <w:rPr>
          <w:b/>
          <w:lang w:val="es-AR" w:eastAsia="en-US"/>
        </w:rPr>
      </w:pPr>
    </w:p>
    <w:p w14:paraId="352001F9" w14:textId="77777777" w:rsidR="0010523F" w:rsidRPr="0010523F" w:rsidRDefault="0010523F" w:rsidP="0010523F">
      <w:pPr>
        <w:ind w:left="567" w:hanging="567"/>
        <w:jc w:val="both"/>
        <w:rPr>
          <w:u w:val="single"/>
          <w:lang w:val="es-AR" w:eastAsia="en-US"/>
        </w:rPr>
      </w:pPr>
      <w:r w:rsidRPr="0010523F">
        <w:rPr>
          <w:lang w:val="es-AR" w:eastAsia="en-US"/>
        </w:rPr>
        <w:t>1.</w:t>
      </w:r>
      <w:r w:rsidRPr="0010523F">
        <w:rPr>
          <w:lang w:val="es-AR" w:eastAsia="en-US"/>
        </w:rPr>
        <w:tab/>
      </w:r>
      <w:r w:rsidRPr="0010523F">
        <w:rPr>
          <w:u w:val="single"/>
          <w:lang w:val="es-AR" w:eastAsia="en-US"/>
        </w:rPr>
        <w:t>Cuestiones generales sobre la actividad de la Sucursal</w:t>
      </w:r>
    </w:p>
    <w:p w14:paraId="27F88E44" w14:textId="77777777" w:rsidR="0010523F" w:rsidRPr="0010523F" w:rsidRDefault="0010523F" w:rsidP="0010523F">
      <w:pPr>
        <w:ind w:left="567" w:hanging="567"/>
        <w:jc w:val="both"/>
        <w:rPr>
          <w:b/>
          <w:lang w:val="es-AR" w:eastAsia="en-US"/>
        </w:rPr>
      </w:pPr>
    </w:p>
    <w:p w14:paraId="05769442" w14:textId="77777777" w:rsidR="0010523F" w:rsidRPr="0010523F" w:rsidRDefault="0010523F" w:rsidP="0010523F">
      <w:pPr>
        <w:tabs>
          <w:tab w:val="left" w:pos="284"/>
        </w:tabs>
        <w:ind w:left="567" w:hanging="567"/>
        <w:jc w:val="both"/>
        <w:rPr>
          <w:lang w:val="es-AR" w:eastAsia="en-US"/>
        </w:rPr>
      </w:pPr>
      <w:r w:rsidRPr="0010523F">
        <w:rPr>
          <w:lang w:val="es-AR" w:eastAsia="en-US"/>
        </w:rPr>
        <w:t>1.a)</w:t>
      </w:r>
      <w:r w:rsidRPr="0010523F">
        <w:rPr>
          <w:b/>
          <w:lang w:val="es-AR" w:eastAsia="en-US"/>
        </w:rPr>
        <w:tab/>
      </w:r>
      <w:r w:rsidRPr="0010523F">
        <w:rPr>
          <w:u w:val="single"/>
          <w:lang w:val="es-AR" w:eastAsia="en-US"/>
        </w:rPr>
        <w:t>Regímenes jurídicos específicos y significativos que impliquen decaimientos o renacimientos contingentes de beneficios previstos por dichas disposiciones</w:t>
      </w:r>
    </w:p>
    <w:p w14:paraId="31225B61" w14:textId="77777777" w:rsidR="0010523F" w:rsidRPr="0010523F" w:rsidRDefault="0010523F" w:rsidP="0010523F">
      <w:pPr>
        <w:ind w:left="567" w:hanging="567"/>
        <w:jc w:val="both"/>
        <w:rPr>
          <w:lang w:val="es-AR" w:eastAsia="en-US"/>
        </w:rPr>
      </w:pPr>
    </w:p>
    <w:p w14:paraId="0E1862F2" w14:textId="77777777" w:rsidR="0010523F" w:rsidRPr="0010523F" w:rsidRDefault="0010523F" w:rsidP="0010523F">
      <w:pPr>
        <w:ind w:left="567" w:hanging="567"/>
        <w:jc w:val="both"/>
        <w:rPr>
          <w:lang w:val="es-AR" w:eastAsia="en-US"/>
        </w:rPr>
      </w:pPr>
      <w:r w:rsidRPr="0010523F">
        <w:rPr>
          <w:lang w:val="es-AR" w:eastAsia="en-US"/>
        </w:rPr>
        <w:tab/>
        <w:t xml:space="preserve">La Sucursal no está sujeta a regímenes jurídicos específicos y significativos que pudieran implicar decaimientos o renacimientos contingentes de beneficios previstos por los mismos, excepto por lo revelado en notas a los estados financieros intermedios condensados al 30 de septiembre de 2019 y/o a los estados financieros al 31 de diciembre de 2018. </w:t>
      </w:r>
    </w:p>
    <w:p w14:paraId="5898950F" w14:textId="77777777" w:rsidR="0010523F" w:rsidRPr="0010523F" w:rsidRDefault="0010523F" w:rsidP="0010523F">
      <w:pPr>
        <w:ind w:left="567" w:hanging="567"/>
        <w:jc w:val="both"/>
        <w:rPr>
          <w:lang w:val="es-AR" w:eastAsia="en-US"/>
        </w:rPr>
      </w:pPr>
    </w:p>
    <w:p w14:paraId="709B54A9" w14:textId="77777777" w:rsidR="0010523F" w:rsidRPr="0010523F" w:rsidRDefault="0010523F" w:rsidP="0010523F">
      <w:pPr>
        <w:ind w:left="567" w:hanging="567"/>
        <w:jc w:val="both"/>
        <w:rPr>
          <w:lang w:val="es-AR" w:eastAsia="en-US"/>
        </w:rPr>
      </w:pPr>
      <w:r w:rsidRPr="0010523F">
        <w:rPr>
          <w:lang w:val="es-AR" w:eastAsia="en-US"/>
        </w:rPr>
        <w:t>1.b)</w:t>
      </w:r>
      <w:r w:rsidRPr="0010523F">
        <w:rPr>
          <w:lang w:val="es-AR" w:eastAsia="en-US"/>
        </w:rPr>
        <w:tab/>
      </w:r>
      <w:r w:rsidRPr="0010523F">
        <w:rPr>
          <w:u w:val="single"/>
          <w:lang w:val="es-AR" w:eastAsia="en-US"/>
        </w:rPr>
        <w:t>Modificaciones significativas en las actividades de la Sucursal u otras circunstancias similares ocurridas durante los períodos comprendidos por los estados financieros intermedios condensados que afecten su comparabilidad con los presentados en períodos anteriores, o que podrían afectarla con los que habrán de presentarse en períodos futuros</w:t>
      </w:r>
    </w:p>
    <w:p w14:paraId="120BCD09" w14:textId="77777777" w:rsidR="0010523F" w:rsidRPr="0010523F" w:rsidRDefault="0010523F" w:rsidP="0010523F">
      <w:pPr>
        <w:ind w:left="567" w:hanging="567"/>
        <w:jc w:val="both"/>
        <w:rPr>
          <w:lang w:val="es-AR" w:eastAsia="en-US"/>
        </w:rPr>
      </w:pPr>
    </w:p>
    <w:p w14:paraId="69C58CA3" w14:textId="77777777" w:rsidR="0010523F" w:rsidRPr="0010523F" w:rsidRDefault="0010523F" w:rsidP="0010523F">
      <w:pPr>
        <w:ind w:left="567" w:hanging="6"/>
        <w:jc w:val="both"/>
        <w:rPr>
          <w:lang w:val="es-AR" w:eastAsia="en-US"/>
        </w:rPr>
      </w:pPr>
      <w:r w:rsidRPr="0010523F">
        <w:rPr>
          <w:lang w:val="es-AR" w:eastAsia="en-US"/>
        </w:rPr>
        <w:t>Excepto por lo expuesto en sus notas y/o en las notas a los estados financieros al 31 de diciembre de 2018 y/o en las respectivas reseñas informativas, no existen cambios en las actividades de la Sucursal que afecten significativamente la comparabilidad de los estados financieros intermedios condensados al 30 de septiembre de 2019.</w:t>
      </w:r>
    </w:p>
    <w:p w14:paraId="5AB13629" w14:textId="77777777" w:rsidR="0010523F" w:rsidRPr="0010523F" w:rsidRDefault="0010523F" w:rsidP="0010523F">
      <w:pPr>
        <w:ind w:left="567" w:hanging="567"/>
        <w:jc w:val="both"/>
        <w:rPr>
          <w:lang w:val="es-AR" w:eastAsia="en-US"/>
        </w:rPr>
      </w:pPr>
    </w:p>
    <w:p w14:paraId="5B77A0C7" w14:textId="77777777" w:rsidR="0010523F" w:rsidRPr="0010523F" w:rsidRDefault="0010523F" w:rsidP="0010523F">
      <w:pPr>
        <w:ind w:left="567" w:hanging="567"/>
        <w:jc w:val="both"/>
        <w:rPr>
          <w:lang w:val="es-AR" w:eastAsia="en-US"/>
        </w:rPr>
      </w:pPr>
      <w:r w:rsidRPr="0010523F">
        <w:rPr>
          <w:lang w:val="es-AR" w:eastAsia="en-US"/>
        </w:rPr>
        <w:t>2.</w:t>
      </w:r>
      <w:r w:rsidRPr="0010523F">
        <w:rPr>
          <w:lang w:val="es-AR" w:eastAsia="en-US"/>
        </w:rPr>
        <w:tab/>
      </w:r>
      <w:r w:rsidRPr="0010523F">
        <w:rPr>
          <w:u w:val="single"/>
          <w:lang w:val="es-AR" w:eastAsia="en-US"/>
        </w:rPr>
        <w:t>Clasificación de los saldos de créditos y deudas según su vencimiento</w:t>
      </w:r>
    </w:p>
    <w:p w14:paraId="175FE2FD" w14:textId="77777777" w:rsidR="0010523F" w:rsidRPr="0010523F" w:rsidRDefault="0010523F" w:rsidP="0010523F">
      <w:pPr>
        <w:tabs>
          <w:tab w:val="decimal" w:pos="8789"/>
        </w:tabs>
        <w:ind w:left="567" w:hanging="567"/>
        <w:jc w:val="both"/>
        <w:rPr>
          <w:lang w:val="es-AR" w:eastAsia="en-US"/>
        </w:rPr>
      </w:pPr>
    </w:p>
    <w:p w14:paraId="5493BE94" w14:textId="77777777" w:rsidR="0010523F" w:rsidRPr="0010523F" w:rsidRDefault="0010523F" w:rsidP="0010523F">
      <w:pPr>
        <w:ind w:left="567" w:hanging="567"/>
        <w:jc w:val="both"/>
        <w:rPr>
          <w:lang w:val="es-AR" w:eastAsia="en-US"/>
        </w:rPr>
      </w:pPr>
      <w:r w:rsidRPr="0010523F">
        <w:rPr>
          <w:lang w:val="es-AR" w:eastAsia="en-US"/>
        </w:rPr>
        <w:t>2.a)</w:t>
      </w:r>
      <w:r w:rsidRPr="0010523F">
        <w:rPr>
          <w:lang w:val="es-AR" w:eastAsia="en-US"/>
        </w:rPr>
        <w:tab/>
      </w:r>
      <w:r w:rsidRPr="0010523F">
        <w:rPr>
          <w:u w:val="single"/>
          <w:lang w:val="es-AR" w:eastAsia="en-US"/>
        </w:rPr>
        <w:t>De plazo vencido</w:t>
      </w:r>
    </w:p>
    <w:p w14:paraId="43031639" w14:textId="77777777" w:rsidR="0010523F" w:rsidRPr="0010523F" w:rsidRDefault="0010523F" w:rsidP="0010523F">
      <w:pPr>
        <w:ind w:left="567" w:hanging="567"/>
        <w:jc w:val="both"/>
        <w:rPr>
          <w:u w:val="single"/>
          <w:lang w:val="es-AR" w:eastAsia="en-US"/>
        </w:rPr>
      </w:pPr>
    </w:p>
    <w:p w14:paraId="6878561B" w14:textId="77777777" w:rsidR="0010523F" w:rsidRPr="0010523F" w:rsidRDefault="0010523F" w:rsidP="0010523F">
      <w:pPr>
        <w:ind w:left="567" w:hanging="6"/>
        <w:jc w:val="both"/>
        <w:rPr>
          <w:sz w:val="22"/>
          <w:szCs w:val="22"/>
          <w:lang w:val="es-AR" w:eastAsia="en-US"/>
        </w:rPr>
      </w:pPr>
      <w:r w:rsidRPr="0010523F">
        <w:rPr>
          <w:sz w:val="22"/>
          <w:szCs w:val="22"/>
          <w:lang w:val="es-AR" w:eastAsia="en-US"/>
        </w:rPr>
        <w:t>Del total de créditos se encuentran vencidos los siguientes:</w:t>
      </w:r>
    </w:p>
    <w:p w14:paraId="6B8C3BFF" w14:textId="77777777" w:rsidR="0010523F" w:rsidRPr="0010523F" w:rsidRDefault="0010523F" w:rsidP="0010523F">
      <w:pPr>
        <w:tabs>
          <w:tab w:val="decimal" w:pos="8789"/>
        </w:tabs>
        <w:spacing w:line="120" w:lineRule="exact"/>
        <w:ind w:left="284"/>
        <w:jc w:val="both"/>
        <w:rPr>
          <w:lang w:val="es-AR" w:eastAsia="en-US"/>
        </w:rPr>
      </w:pPr>
    </w:p>
    <w:tbl>
      <w:tblPr>
        <w:tblW w:w="7018" w:type="dxa"/>
        <w:tblInd w:w="637" w:type="dxa"/>
        <w:tblCellMar>
          <w:left w:w="70" w:type="dxa"/>
          <w:right w:w="70" w:type="dxa"/>
        </w:tblCellMar>
        <w:tblLook w:val="04A0" w:firstRow="1" w:lastRow="0" w:firstColumn="1" w:lastColumn="0" w:noHBand="0" w:noVBand="1"/>
      </w:tblPr>
      <w:tblGrid>
        <w:gridCol w:w="5033"/>
        <w:gridCol w:w="1985"/>
      </w:tblGrid>
      <w:tr w:rsidR="0010523F" w:rsidRPr="0010523F" w14:paraId="457A4FB0" w14:textId="77777777" w:rsidTr="00774E7E">
        <w:trPr>
          <w:trHeight w:val="255"/>
        </w:trPr>
        <w:tc>
          <w:tcPr>
            <w:tcW w:w="5033" w:type="dxa"/>
            <w:tcBorders>
              <w:top w:val="nil"/>
              <w:left w:val="nil"/>
              <w:bottom w:val="nil"/>
              <w:right w:val="nil"/>
            </w:tcBorders>
            <w:shd w:val="clear" w:color="auto" w:fill="auto"/>
            <w:noWrap/>
            <w:vAlign w:val="bottom"/>
            <w:hideMark/>
          </w:tcPr>
          <w:p w14:paraId="7DE69EF1" w14:textId="77777777" w:rsidR="0010523F" w:rsidRPr="0010523F" w:rsidRDefault="0010523F" w:rsidP="0010523F">
            <w:pPr>
              <w:spacing w:line="220" w:lineRule="exact"/>
              <w:rPr>
                <w:rFonts w:ascii="Calibri" w:hAnsi="Calibri"/>
                <w:color w:val="000000"/>
                <w:sz w:val="22"/>
                <w:szCs w:val="22"/>
                <w:lang w:val="es-AR" w:eastAsia="es-AR"/>
              </w:rPr>
            </w:pPr>
          </w:p>
        </w:tc>
        <w:tc>
          <w:tcPr>
            <w:tcW w:w="1985" w:type="dxa"/>
            <w:tcBorders>
              <w:top w:val="nil"/>
              <w:left w:val="nil"/>
              <w:bottom w:val="single" w:sz="4" w:space="0" w:color="auto"/>
              <w:right w:val="nil"/>
            </w:tcBorders>
            <w:shd w:val="clear" w:color="auto" w:fill="auto"/>
            <w:vAlign w:val="bottom"/>
            <w:hideMark/>
          </w:tcPr>
          <w:p w14:paraId="136C86C1"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 xml:space="preserve">Créditos corrientes en millones de $       </w:t>
            </w:r>
          </w:p>
        </w:tc>
      </w:tr>
      <w:tr w:rsidR="0010523F" w:rsidRPr="0010523F" w14:paraId="21FC7D3B" w14:textId="77777777" w:rsidTr="00774E7E">
        <w:trPr>
          <w:trHeight w:val="255"/>
        </w:trPr>
        <w:tc>
          <w:tcPr>
            <w:tcW w:w="5033" w:type="dxa"/>
            <w:tcBorders>
              <w:top w:val="nil"/>
              <w:left w:val="nil"/>
              <w:bottom w:val="nil"/>
              <w:right w:val="nil"/>
            </w:tcBorders>
            <w:shd w:val="clear" w:color="auto" w:fill="auto"/>
            <w:noWrap/>
            <w:vAlign w:val="center"/>
          </w:tcPr>
          <w:p w14:paraId="004FE7E9"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Hasta 3 meses</w:t>
            </w:r>
          </w:p>
        </w:tc>
        <w:tc>
          <w:tcPr>
            <w:tcW w:w="1985" w:type="dxa"/>
            <w:tcBorders>
              <w:top w:val="nil"/>
              <w:left w:val="nil"/>
              <w:bottom w:val="nil"/>
              <w:right w:val="nil"/>
            </w:tcBorders>
            <w:shd w:val="clear" w:color="auto" w:fill="auto"/>
            <w:noWrap/>
            <w:vAlign w:val="bottom"/>
            <w:hideMark/>
          </w:tcPr>
          <w:p w14:paraId="14808860" w14:textId="77777777" w:rsidR="0010523F" w:rsidRPr="0010523F" w:rsidRDefault="0010523F" w:rsidP="0010523F">
            <w:pPr>
              <w:spacing w:line="220" w:lineRule="exact"/>
              <w:ind w:right="512"/>
              <w:jc w:val="right"/>
              <w:rPr>
                <w:color w:val="000000"/>
                <w:sz w:val="22"/>
                <w:szCs w:val="22"/>
                <w:lang w:val="es-AR" w:eastAsia="es-AR"/>
              </w:rPr>
            </w:pPr>
            <w:r w:rsidRPr="0010523F">
              <w:rPr>
                <w:color w:val="000000"/>
                <w:sz w:val="22"/>
                <w:szCs w:val="22"/>
                <w:lang w:val="es-AR" w:eastAsia="en-US"/>
              </w:rPr>
              <w:t xml:space="preserve"> 1.277 </w:t>
            </w:r>
          </w:p>
        </w:tc>
      </w:tr>
      <w:tr w:rsidR="0010523F" w:rsidRPr="0010523F" w14:paraId="06C5D8E6" w14:textId="77777777" w:rsidTr="00774E7E">
        <w:trPr>
          <w:trHeight w:val="255"/>
        </w:trPr>
        <w:tc>
          <w:tcPr>
            <w:tcW w:w="5033" w:type="dxa"/>
            <w:tcBorders>
              <w:top w:val="nil"/>
              <w:left w:val="nil"/>
              <w:bottom w:val="nil"/>
              <w:right w:val="nil"/>
            </w:tcBorders>
            <w:shd w:val="clear" w:color="auto" w:fill="auto"/>
            <w:noWrap/>
            <w:vAlign w:val="center"/>
          </w:tcPr>
          <w:p w14:paraId="6E5D04AC"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Entre 3 y 6 meses</w:t>
            </w:r>
          </w:p>
        </w:tc>
        <w:tc>
          <w:tcPr>
            <w:tcW w:w="1985" w:type="dxa"/>
            <w:tcBorders>
              <w:top w:val="nil"/>
              <w:left w:val="nil"/>
              <w:bottom w:val="nil"/>
              <w:right w:val="nil"/>
            </w:tcBorders>
            <w:shd w:val="clear" w:color="auto" w:fill="auto"/>
            <w:noWrap/>
            <w:vAlign w:val="bottom"/>
            <w:hideMark/>
          </w:tcPr>
          <w:p w14:paraId="01892E67" w14:textId="77777777" w:rsidR="0010523F" w:rsidRPr="0010523F" w:rsidRDefault="0010523F" w:rsidP="0010523F">
            <w:pPr>
              <w:spacing w:line="220" w:lineRule="exact"/>
              <w:ind w:right="512"/>
              <w:jc w:val="right"/>
              <w:rPr>
                <w:color w:val="000000"/>
                <w:sz w:val="22"/>
                <w:szCs w:val="22"/>
                <w:lang w:val="es-AR" w:eastAsia="es-AR"/>
              </w:rPr>
            </w:pPr>
            <w:r w:rsidRPr="0010523F">
              <w:rPr>
                <w:color w:val="000000"/>
                <w:sz w:val="22"/>
                <w:szCs w:val="22"/>
                <w:lang w:val="es-AR" w:eastAsia="en-US"/>
              </w:rPr>
              <w:t xml:space="preserve"> 479 </w:t>
            </w:r>
          </w:p>
        </w:tc>
      </w:tr>
      <w:tr w:rsidR="0010523F" w:rsidRPr="0010523F" w14:paraId="0BF59C56" w14:textId="77777777" w:rsidTr="00774E7E">
        <w:trPr>
          <w:trHeight w:val="255"/>
        </w:trPr>
        <w:tc>
          <w:tcPr>
            <w:tcW w:w="5033" w:type="dxa"/>
            <w:tcBorders>
              <w:top w:val="nil"/>
              <w:left w:val="nil"/>
              <w:bottom w:val="nil"/>
              <w:right w:val="nil"/>
            </w:tcBorders>
            <w:shd w:val="clear" w:color="auto" w:fill="auto"/>
            <w:noWrap/>
            <w:vAlign w:val="center"/>
          </w:tcPr>
          <w:p w14:paraId="6F1E9ADD"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Entre 6 y 9 meses</w:t>
            </w:r>
          </w:p>
        </w:tc>
        <w:tc>
          <w:tcPr>
            <w:tcW w:w="1985" w:type="dxa"/>
            <w:tcBorders>
              <w:top w:val="nil"/>
              <w:left w:val="nil"/>
              <w:bottom w:val="nil"/>
              <w:right w:val="nil"/>
            </w:tcBorders>
            <w:shd w:val="clear" w:color="auto" w:fill="auto"/>
            <w:noWrap/>
            <w:vAlign w:val="bottom"/>
            <w:hideMark/>
          </w:tcPr>
          <w:p w14:paraId="0427F52E" w14:textId="77777777" w:rsidR="0010523F" w:rsidRPr="0010523F" w:rsidRDefault="0010523F" w:rsidP="0010523F">
            <w:pPr>
              <w:spacing w:line="220" w:lineRule="exact"/>
              <w:ind w:right="512"/>
              <w:jc w:val="right"/>
              <w:rPr>
                <w:color w:val="000000"/>
                <w:sz w:val="22"/>
                <w:szCs w:val="22"/>
                <w:lang w:val="es-AR" w:eastAsia="es-AR"/>
              </w:rPr>
            </w:pPr>
            <w:r w:rsidRPr="0010523F">
              <w:rPr>
                <w:color w:val="000000"/>
                <w:sz w:val="22"/>
                <w:szCs w:val="22"/>
                <w:lang w:val="es-AR" w:eastAsia="en-US"/>
              </w:rPr>
              <w:t xml:space="preserve"> 2.745 </w:t>
            </w:r>
          </w:p>
        </w:tc>
      </w:tr>
      <w:tr w:rsidR="0010523F" w:rsidRPr="0010523F" w14:paraId="7EBBE20D" w14:textId="77777777" w:rsidTr="00774E7E">
        <w:trPr>
          <w:trHeight w:val="255"/>
        </w:trPr>
        <w:tc>
          <w:tcPr>
            <w:tcW w:w="5033" w:type="dxa"/>
            <w:tcBorders>
              <w:top w:val="nil"/>
              <w:left w:val="nil"/>
              <w:bottom w:val="nil"/>
              <w:right w:val="nil"/>
            </w:tcBorders>
            <w:shd w:val="clear" w:color="auto" w:fill="auto"/>
            <w:noWrap/>
            <w:vAlign w:val="center"/>
          </w:tcPr>
          <w:p w14:paraId="687B52AD"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Entre 9 y 12 meses</w:t>
            </w:r>
          </w:p>
        </w:tc>
        <w:tc>
          <w:tcPr>
            <w:tcW w:w="1985" w:type="dxa"/>
            <w:tcBorders>
              <w:top w:val="nil"/>
              <w:left w:val="nil"/>
              <w:bottom w:val="nil"/>
              <w:right w:val="nil"/>
            </w:tcBorders>
            <w:shd w:val="clear" w:color="auto" w:fill="auto"/>
            <w:noWrap/>
            <w:vAlign w:val="bottom"/>
            <w:hideMark/>
          </w:tcPr>
          <w:p w14:paraId="5E1FA2F8" w14:textId="77777777" w:rsidR="0010523F" w:rsidRPr="0010523F" w:rsidRDefault="0010523F" w:rsidP="0010523F">
            <w:pPr>
              <w:spacing w:line="220" w:lineRule="exact"/>
              <w:ind w:right="512"/>
              <w:jc w:val="right"/>
              <w:rPr>
                <w:color w:val="000000"/>
                <w:sz w:val="22"/>
                <w:szCs w:val="22"/>
                <w:lang w:val="es-AR" w:eastAsia="es-AR"/>
              </w:rPr>
            </w:pPr>
            <w:r w:rsidRPr="0010523F">
              <w:rPr>
                <w:color w:val="000000"/>
                <w:sz w:val="22"/>
                <w:szCs w:val="22"/>
                <w:lang w:val="es-AR" w:eastAsia="en-US"/>
              </w:rPr>
              <w:t xml:space="preserve">420 </w:t>
            </w:r>
          </w:p>
        </w:tc>
      </w:tr>
      <w:tr w:rsidR="0010523F" w:rsidRPr="0010523F" w14:paraId="6AA0644A" w14:textId="77777777" w:rsidTr="00774E7E">
        <w:trPr>
          <w:trHeight w:val="255"/>
        </w:trPr>
        <w:tc>
          <w:tcPr>
            <w:tcW w:w="5033" w:type="dxa"/>
            <w:tcBorders>
              <w:top w:val="nil"/>
              <w:left w:val="nil"/>
              <w:bottom w:val="nil"/>
              <w:right w:val="nil"/>
            </w:tcBorders>
            <w:shd w:val="clear" w:color="auto" w:fill="auto"/>
            <w:noWrap/>
            <w:vAlign w:val="center"/>
          </w:tcPr>
          <w:p w14:paraId="08DC0463"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Entre 1 y 2 años</w:t>
            </w:r>
          </w:p>
        </w:tc>
        <w:tc>
          <w:tcPr>
            <w:tcW w:w="1985" w:type="dxa"/>
            <w:tcBorders>
              <w:top w:val="nil"/>
              <w:left w:val="nil"/>
              <w:bottom w:val="nil"/>
              <w:right w:val="nil"/>
            </w:tcBorders>
            <w:shd w:val="clear" w:color="auto" w:fill="auto"/>
            <w:noWrap/>
            <w:vAlign w:val="bottom"/>
            <w:hideMark/>
          </w:tcPr>
          <w:p w14:paraId="7BA10096" w14:textId="77777777" w:rsidR="0010523F" w:rsidRPr="0010523F" w:rsidRDefault="0010523F" w:rsidP="0010523F">
            <w:pPr>
              <w:spacing w:line="220" w:lineRule="exact"/>
              <w:ind w:right="512"/>
              <w:jc w:val="right"/>
              <w:rPr>
                <w:color w:val="000000"/>
                <w:sz w:val="22"/>
                <w:szCs w:val="22"/>
                <w:lang w:val="es-AR" w:eastAsia="es-AR"/>
              </w:rPr>
            </w:pPr>
            <w:r w:rsidRPr="0010523F">
              <w:rPr>
                <w:color w:val="000000"/>
                <w:sz w:val="22"/>
                <w:szCs w:val="22"/>
                <w:lang w:val="es-AR" w:eastAsia="en-US"/>
              </w:rPr>
              <w:t xml:space="preserve">35 </w:t>
            </w:r>
          </w:p>
        </w:tc>
      </w:tr>
      <w:tr w:rsidR="0010523F" w:rsidRPr="0010523F" w14:paraId="69BF0473" w14:textId="77777777" w:rsidTr="00774E7E">
        <w:trPr>
          <w:trHeight w:val="255"/>
        </w:trPr>
        <w:tc>
          <w:tcPr>
            <w:tcW w:w="5033" w:type="dxa"/>
            <w:tcBorders>
              <w:top w:val="nil"/>
              <w:left w:val="nil"/>
              <w:bottom w:val="nil"/>
              <w:right w:val="nil"/>
            </w:tcBorders>
            <w:shd w:val="clear" w:color="auto" w:fill="auto"/>
            <w:noWrap/>
            <w:vAlign w:val="center"/>
          </w:tcPr>
          <w:p w14:paraId="26345702"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Entre 2 y 3 años</w:t>
            </w:r>
          </w:p>
        </w:tc>
        <w:tc>
          <w:tcPr>
            <w:tcW w:w="1985" w:type="dxa"/>
            <w:tcBorders>
              <w:top w:val="nil"/>
              <w:left w:val="nil"/>
              <w:bottom w:val="nil"/>
              <w:right w:val="nil"/>
            </w:tcBorders>
            <w:shd w:val="clear" w:color="auto" w:fill="auto"/>
            <w:noWrap/>
            <w:vAlign w:val="bottom"/>
            <w:hideMark/>
          </w:tcPr>
          <w:p w14:paraId="40FA9F53" w14:textId="77777777" w:rsidR="0010523F" w:rsidRPr="0010523F" w:rsidRDefault="0010523F" w:rsidP="0010523F">
            <w:pPr>
              <w:spacing w:line="220" w:lineRule="exact"/>
              <w:ind w:right="512"/>
              <w:jc w:val="right"/>
              <w:rPr>
                <w:color w:val="000000"/>
                <w:sz w:val="22"/>
                <w:szCs w:val="22"/>
                <w:lang w:val="es-AR" w:eastAsia="es-AR"/>
              </w:rPr>
            </w:pPr>
            <w:r w:rsidRPr="0010523F">
              <w:rPr>
                <w:color w:val="000000"/>
                <w:sz w:val="22"/>
                <w:szCs w:val="22"/>
                <w:lang w:val="es-AR" w:eastAsia="en-US"/>
              </w:rPr>
              <w:t xml:space="preserve">25 </w:t>
            </w:r>
          </w:p>
        </w:tc>
      </w:tr>
      <w:tr w:rsidR="0010523F" w:rsidRPr="0010523F" w14:paraId="4E6D3572" w14:textId="77777777" w:rsidTr="00774E7E">
        <w:trPr>
          <w:trHeight w:val="255"/>
        </w:trPr>
        <w:tc>
          <w:tcPr>
            <w:tcW w:w="5033" w:type="dxa"/>
            <w:tcBorders>
              <w:top w:val="nil"/>
              <w:left w:val="nil"/>
              <w:bottom w:val="nil"/>
              <w:right w:val="nil"/>
            </w:tcBorders>
            <w:shd w:val="clear" w:color="auto" w:fill="auto"/>
            <w:noWrap/>
            <w:vAlign w:val="center"/>
          </w:tcPr>
          <w:p w14:paraId="601A8CB0"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Entre 3 y 4 años</w:t>
            </w:r>
          </w:p>
        </w:tc>
        <w:tc>
          <w:tcPr>
            <w:tcW w:w="1985" w:type="dxa"/>
            <w:tcBorders>
              <w:top w:val="nil"/>
              <w:left w:val="nil"/>
              <w:bottom w:val="nil"/>
              <w:right w:val="nil"/>
            </w:tcBorders>
            <w:shd w:val="clear" w:color="auto" w:fill="auto"/>
            <w:noWrap/>
            <w:vAlign w:val="bottom"/>
            <w:hideMark/>
          </w:tcPr>
          <w:p w14:paraId="75941EC4" w14:textId="77777777" w:rsidR="0010523F" w:rsidRPr="0010523F" w:rsidRDefault="0010523F" w:rsidP="0010523F">
            <w:pPr>
              <w:spacing w:line="220" w:lineRule="exact"/>
              <w:ind w:right="512"/>
              <w:jc w:val="right"/>
              <w:rPr>
                <w:color w:val="000000"/>
                <w:sz w:val="22"/>
                <w:szCs w:val="22"/>
                <w:lang w:val="es-AR" w:eastAsia="es-AR"/>
              </w:rPr>
            </w:pPr>
            <w:r w:rsidRPr="0010523F">
              <w:rPr>
                <w:color w:val="000000"/>
                <w:sz w:val="22"/>
                <w:szCs w:val="22"/>
                <w:lang w:val="es-AR" w:eastAsia="en-US"/>
              </w:rPr>
              <w:t xml:space="preserve">37 </w:t>
            </w:r>
          </w:p>
        </w:tc>
      </w:tr>
      <w:tr w:rsidR="0010523F" w:rsidRPr="0010523F" w14:paraId="6F4EEF39" w14:textId="77777777" w:rsidTr="00774E7E">
        <w:trPr>
          <w:trHeight w:val="255"/>
        </w:trPr>
        <w:tc>
          <w:tcPr>
            <w:tcW w:w="5033" w:type="dxa"/>
            <w:tcBorders>
              <w:top w:val="nil"/>
              <w:left w:val="nil"/>
              <w:bottom w:val="nil"/>
              <w:right w:val="nil"/>
            </w:tcBorders>
            <w:shd w:val="clear" w:color="auto" w:fill="auto"/>
            <w:noWrap/>
            <w:vAlign w:val="center"/>
          </w:tcPr>
          <w:p w14:paraId="4EA83426" w14:textId="77777777" w:rsidR="0010523F" w:rsidRPr="0010523F" w:rsidRDefault="0010523F" w:rsidP="0010523F">
            <w:pPr>
              <w:spacing w:line="220" w:lineRule="exact"/>
              <w:jc w:val="both"/>
              <w:rPr>
                <w:color w:val="000000"/>
                <w:sz w:val="22"/>
                <w:szCs w:val="22"/>
                <w:lang w:val="es-AR" w:eastAsia="es-AR"/>
              </w:rPr>
            </w:pPr>
            <w:r w:rsidRPr="0010523F">
              <w:rPr>
                <w:color w:val="000000"/>
                <w:sz w:val="21"/>
                <w:szCs w:val="21"/>
                <w:lang w:val="es-AR" w:eastAsia="en-US"/>
              </w:rPr>
              <w:t>Entre 4 y 5 años</w:t>
            </w:r>
          </w:p>
        </w:tc>
        <w:tc>
          <w:tcPr>
            <w:tcW w:w="1985" w:type="dxa"/>
            <w:tcBorders>
              <w:top w:val="nil"/>
              <w:left w:val="nil"/>
              <w:bottom w:val="nil"/>
              <w:right w:val="nil"/>
            </w:tcBorders>
            <w:shd w:val="clear" w:color="auto" w:fill="auto"/>
            <w:noWrap/>
            <w:vAlign w:val="bottom"/>
          </w:tcPr>
          <w:p w14:paraId="25E57890" w14:textId="77777777" w:rsidR="0010523F" w:rsidRPr="0010523F" w:rsidDel="00DC1704" w:rsidRDefault="0010523F" w:rsidP="0010523F">
            <w:pPr>
              <w:spacing w:line="220" w:lineRule="exact"/>
              <w:ind w:right="512"/>
              <w:jc w:val="right"/>
              <w:rPr>
                <w:color w:val="000000"/>
                <w:sz w:val="22"/>
                <w:szCs w:val="22"/>
                <w:lang w:val="es-AR" w:eastAsia="en-US"/>
              </w:rPr>
            </w:pPr>
            <w:r w:rsidRPr="0010523F">
              <w:rPr>
                <w:color w:val="000000"/>
                <w:sz w:val="22"/>
                <w:szCs w:val="22"/>
                <w:lang w:val="es-AR" w:eastAsia="en-US"/>
              </w:rPr>
              <w:t>33</w:t>
            </w:r>
          </w:p>
        </w:tc>
      </w:tr>
      <w:tr w:rsidR="0010523F" w:rsidRPr="0010523F" w14:paraId="3473F451" w14:textId="77777777" w:rsidTr="00774E7E">
        <w:trPr>
          <w:trHeight w:val="255"/>
        </w:trPr>
        <w:tc>
          <w:tcPr>
            <w:tcW w:w="5033" w:type="dxa"/>
            <w:tcBorders>
              <w:top w:val="nil"/>
              <w:left w:val="nil"/>
              <w:bottom w:val="nil"/>
              <w:right w:val="nil"/>
            </w:tcBorders>
            <w:shd w:val="clear" w:color="auto" w:fill="auto"/>
            <w:noWrap/>
            <w:vAlign w:val="center"/>
          </w:tcPr>
          <w:p w14:paraId="423C3F6A"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Hasta 3 meses</w:t>
            </w:r>
          </w:p>
        </w:tc>
        <w:tc>
          <w:tcPr>
            <w:tcW w:w="1985" w:type="dxa"/>
            <w:tcBorders>
              <w:top w:val="nil"/>
              <w:left w:val="nil"/>
              <w:bottom w:val="nil"/>
              <w:right w:val="nil"/>
            </w:tcBorders>
            <w:shd w:val="clear" w:color="auto" w:fill="auto"/>
            <w:noWrap/>
            <w:vAlign w:val="bottom"/>
            <w:hideMark/>
          </w:tcPr>
          <w:p w14:paraId="1C5999F4" w14:textId="77777777" w:rsidR="0010523F" w:rsidRPr="0010523F" w:rsidRDefault="0010523F" w:rsidP="0010523F">
            <w:pPr>
              <w:spacing w:line="220" w:lineRule="exact"/>
              <w:ind w:right="512"/>
              <w:jc w:val="right"/>
              <w:rPr>
                <w:color w:val="000000"/>
                <w:sz w:val="22"/>
                <w:szCs w:val="22"/>
                <w:u w:val="single"/>
                <w:lang w:val="es-AR" w:eastAsia="es-AR"/>
              </w:rPr>
            </w:pPr>
            <w:r w:rsidRPr="0010523F">
              <w:rPr>
                <w:color w:val="000000"/>
                <w:sz w:val="22"/>
                <w:szCs w:val="22"/>
                <w:u w:val="single"/>
                <w:lang w:val="es-AR" w:eastAsia="en-US"/>
              </w:rPr>
              <w:t xml:space="preserve">       6 </w:t>
            </w:r>
          </w:p>
        </w:tc>
      </w:tr>
      <w:tr w:rsidR="0010523F" w:rsidRPr="0010523F" w14:paraId="66FFA2CA" w14:textId="77777777" w:rsidTr="00774E7E">
        <w:trPr>
          <w:trHeight w:val="300"/>
        </w:trPr>
        <w:tc>
          <w:tcPr>
            <w:tcW w:w="5033" w:type="dxa"/>
            <w:tcBorders>
              <w:top w:val="nil"/>
              <w:left w:val="nil"/>
              <w:bottom w:val="nil"/>
              <w:right w:val="nil"/>
            </w:tcBorders>
            <w:shd w:val="clear" w:color="auto" w:fill="auto"/>
            <w:noWrap/>
            <w:vAlign w:val="center"/>
            <w:hideMark/>
          </w:tcPr>
          <w:p w14:paraId="5F7096A0" w14:textId="77777777" w:rsidR="0010523F" w:rsidRPr="0010523F" w:rsidRDefault="0010523F" w:rsidP="0010523F">
            <w:pPr>
              <w:jc w:val="both"/>
              <w:rPr>
                <w:color w:val="000000"/>
                <w:sz w:val="22"/>
                <w:szCs w:val="22"/>
                <w:highlight w:val="yellow"/>
                <w:lang w:val="es-AR" w:eastAsia="es-AR"/>
              </w:rPr>
            </w:pPr>
            <w:r w:rsidRPr="0010523F">
              <w:rPr>
                <w:color w:val="000000"/>
                <w:sz w:val="22"/>
                <w:szCs w:val="22"/>
                <w:lang w:val="es-AR" w:eastAsia="es-AR"/>
              </w:rPr>
              <w:t>Total</w:t>
            </w:r>
          </w:p>
        </w:tc>
        <w:tc>
          <w:tcPr>
            <w:tcW w:w="1985" w:type="dxa"/>
            <w:tcBorders>
              <w:top w:val="nil"/>
              <w:left w:val="nil"/>
              <w:bottom w:val="nil"/>
              <w:right w:val="nil"/>
            </w:tcBorders>
            <w:shd w:val="clear" w:color="auto" w:fill="auto"/>
            <w:noWrap/>
            <w:vAlign w:val="bottom"/>
            <w:hideMark/>
          </w:tcPr>
          <w:p w14:paraId="7D4F51BC" w14:textId="77777777" w:rsidR="0010523F" w:rsidRPr="0010523F" w:rsidRDefault="0010523F" w:rsidP="0010523F">
            <w:pPr>
              <w:ind w:right="512"/>
              <w:jc w:val="right"/>
              <w:rPr>
                <w:color w:val="000000"/>
                <w:sz w:val="22"/>
                <w:szCs w:val="22"/>
                <w:u w:val="double"/>
                <w:lang w:val="es-AR" w:eastAsia="es-AR"/>
              </w:rPr>
            </w:pPr>
            <w:r w:rsidRPr="0010523F">
              <w:rPr>
                <w:color w:val="000000"/>
                <w:sz w:val="22"/>
                <w:szCs w:val="22"/>
                <w:u w:val="double"/>
                <w:lang w:val="es-AR" w:eastAsia="es-AR"/>
              </w:rPr>
              <w:t>5.057</w:t>
            </w:r>
          </w:p>
        </w:tc>
      </w:tr>
    </w:tbl>
    <w:p w14:paraId="78150535" w14:textId="77777777" w:rsidR="0010523F" w:rsidRPr="0010523F" w:rsidRDefault="0010523F" w:rsidP="0010523F">
      <w:pPr>
        <w:ind w:left="567" w:hanging="6"/>
        <w:jc w:val="both"/>
        <w:rPr>
          <w:sz w:val="22"/>
          <w:szCs w:val="22"/>
          <w:lang w:val="es-AR" w:eastAsia="en-US"/>
        </w:rPr>
      </w:pPr>
    </w:p>
    <w:p w14:paraId="5975BCAF" w14:textId="77777777" w:rsidR="0010523F" w:rsidRPr="0010523F" w:rsidRDefault="0010523F" w:rsidP="0010523F">
      <w:pPr>
        <w:rPr>
          <w:sz w:val="22"/>
          <w:szCs w:val="22"/>
          <w:lang w:val="es-AR" w:eastAsia="en-US"/>
        </w:rPr>
      </w:pPr>
      <w:r w:rsidRPr="0010523F">
        <w:rPr>
          <w:b/>
          <w:sz w:val="22"/>
          <w:szCs w:val="22"/>
          <w:lang w:val="es-AR" w:eastAsia="en-US"/>
        </w:rPr>
        <w:br w:type="page"/>
      </w:r>
    </w:p>
    <w:p w14:paraId="14D47E49" w14:textId="77777777" w:rsidR="0010523F" w:rsidRPr="0010523F" w:rsidRDefault="0010523F" w:rsidP="0010523F">
      <w:pPr>
        <w:ind w:left="567" w:hanging="6"/>
        <w:jc w:val="both"/>
        <w:rPr>
          <w:sz w:val="22"/>
          <w:szCs w:val="22"/>
          <w:lang w:val="es-AR" w:eastAsia="en-US"/>
        </w:rPr>
      </w:pPr>
      <w:r w:rsidRPr="0010523F">
        <w:rPr>
          <w:sz w:val="22"/>
          <w:szCs w:val="22"/>
          <w:lang w:val="es-AR" w:eastAsia="en-US"/>
        </w:rPr>
        <w:t>Del total de deudas se encuentran vencidas las siguientes:</w:t>
      </w:r>
    </w:p>
    <w:p w14:paraId="36FD81E6" w14:textId="77777777" w:rsidR="0010523F" w:rsidRPr="0010523F" w:rsidRDefault="0010523F" w:rsidP="0010523F">
      <w:pPr>
        <w:ind w:left="567" w:hanging="6"/>
        <w:jc w:val="both"/>
        <w:rPr>
          <w:sz w:val="22"/>
          <w:szCs w:val="22"/>
          <w:lang w:val="es-AR" w:eastAsia="en-US"/>
        </w:rPr>
      </w:pPr>
    </w:p>
    <w:tbl>
      <w:tblPr>
        <w:tblW w:w="7018" w:type="dxa"/>
        <w:tblInd w:w="637" w:type="dxa"/>
        <w:tblCellMar>
          <w:left w:w="70" w:type="dxa"/>
          <w:right w:w="70" w:type="dxa"/>
        </w:tblCellMar>
        <w:tblLook w:val="04A0" w:firstRow="1" w:lastRow="0" w:firstColumn="1" w:lastColumn="0" w:noHBand="0" w:noVBand="1"/>
      </w:tblPr>
      <w:tblGrid>
        <w:gridCol w:w="5033"/>
        <w:gridCol w:w="1985"/>
      </w:tblGrid>
      <w:tr w:rsidR="0010523F" w:rsidRPr="0010523F" w14:paraId="51347643" w14:textId="77777777" w:rsidTr="00774E7E">
        <w:trPr>
          <w:trHeight w:val="255"/>
        </w:trPr>
        <w:tc>
          <w:tcPr>
            <w:tcW w:w="5033" w:type="dxa"/>
            <w:tcBorders>
              <w:top w:val="nil"/>
              <w:left w:val="nil"/>
              <w:bottom w:val="nil"/>
              <w:right w:val="nil"/>
            </w:tcBorders>
            <w:shd w:val="clear" w:color="auto" w:fill="auto"/>
            <w:noWrap/>
            <w:vAlign w:val="bottom"/>
            <w:hideMark/>
          </w:tcPr>
          <w:p w14:paraId="366D240E" w14:textId="77777777" w:rsidR="0010523F" w:rsidRPr="0010523F" w:rsidRDefault="0010523F" w:rsidP="0010523F">
            <w:pPr>
              <w:spacing w:line="220" w:lineRule="exact"/>
              <w:rPr>
                <w:rFonts w:ascii="Calibri" w:hAnsi="Calibri"/>
                <w:color w:val="000000"/>
                <w:sz w:val="22"/>
                <w:szCs w:val="22"/>
                <w:lang w:val="es-AR" w:eastAsia="es-AR"/>
              </w:rPr>
            </w:pPr>
          </w:p>
        </w:tc>
        <w:tc>
          <w:tcPr>
            <w:tcW w:w="1985" w:type="dxa"/>
            <w:tcBorders>
              <w:top w:val="nil"/>
              <w:left w:val="nil"/>
              <w:bottom w:val="single" w:sz="4" w:space="0" w:color="auto"/>
              <w:right w:val="nil"/>
            </w:tcBorders>
            <w:shd w:val="clear" w:color="auto" w:fill="auto"/>
            <w:vAlign w:val="bottom"/>
            <w:hideMark/>
          </w:tcPr>
          <w:p w14:paraId="140CFC37" w14:textId="77777777" w:rsidR="0010523F" w:rsidRPr="0010523F" w:rsidRDefault="0010523F" w:rsidP="0010523F">
            <w:pPr>
              <w:spacing w:line="220" w:lineRule="exact"/>
              <w:jc w:val="center"/>
              <w:rPr>
                <w:color w:val="000000"/>
                <w:sz w:val="22"/>
                <w:szCs w:val="22"/>
                <w:lang w:val="es-AR" w:eastAsia="es-AR"/>
              </w:rPr>
            </w:pPr>
            <w:r w:rsidRPr="0010523F">
              <w:rPr>
                <w:color w:val="000000"/>
                <w:sz w:val="22"/>
                <w:szCs w:val="22"/>
                <w:lang w:val="es-AR" w:eastAsia="es-AR"/>
              </w:rPr>
              <w:t xml:space="preserve">Deudas corrientes en millones de $       </w:t>
            </w:r>
          </w:p>
        </w:tc>
      </w:tr>
      <w:tr w:rsidR="0010523F" w:rsidRPr="0010523F" w14:paraId="1508036C" w14:textId="77777777" w:rsidTr="00774E7E">
        <w:trPr>
          <w:trHeight w:val="255"/>
        </w:trPr>
        <w:tc>
          <w:tcPr>
            <w:tcW w:w="5033" w:type="dxa"/>
            <w:tcBorders>
              <w:top w:val="nil"/>
              <w:left w:val="nil"/>
              <w:bottom w:val="nil"/>
              <w:right w:val="nil"/>
            </w:tcBorders>
            <w:shd w:val="clear" w:color="auto" w:fill="auto"/>
            <w:noWrap/>
            <w:vAlign w:val="center"/>
          </w:tcPr>
          <w:p w14:paraId="64A9CF97"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Hasta 3 meses</w:t>
            </w:r>
          </w:p>
        </w:tc>
        <w:tc>
          <w:tcPr>
            <w:tcW w:w="1985" w:type="dxa"/>
            <w:tcBorders>
              <w:top w:val="nil"/>
              <w:left w:val="nil"/>
              <w:bottom w:val="nil"/>
              <w:right w:val="nil"/>
            </w:tcBorders>
            <w:shd w:val="clear" w:color="auto" w:fill="auto"/>
            <w:noWrap/>
            <w:vAlign w:val="bottom"/>
            <w:hideMark/>
          </w:tcPr>
          <w:p w14:paraId="618DB93B" w14:textId="77777777" w:rsidR="0010523F" w:rsidRPr="0010523F" w:rsidRDefault="0010523F" w:rsidP="0010523F">
            <w:pPr>
              <w:spacing w:line="220" w:lineRule="exact"/>
              <w:ind w:right="512"/>
              <w:jc w:val="right"/>
              <w:rPr>
                <w:color w:val="000000"/>
                <w:sz w:val="22"/>
                <w:szCs w:val="22"/>
                <w:lang w:val="es-AR" w:eastAsia="es-AR"/>
              </w:rPr>
            </w:pPr>
            <w:r w:rsidRPr="0010523F">
              <w:rPr>
                <w:color w:val="000000"/>
                <w:sz w:val="22"/>
                <w:szCs w:val="22"/>
                <w:lang w:val="es-AR" w:eastAsia="en-US"/>
              </w:rPr>
              <w:t xml:space="preserve"> 781</w:t>
            </w:r>
          </w:p>
        </w:tc>
      </w:tr>
      <w:tr w:rsidR="0010523F" w:rsidRPr="0010523F" w14:paraId="01E349FF" w14:textId="77777777" w:rsidTr="00774E7E">
        <w:trPr>
          <w:trHeight w:val="255"/>
        </w:trPr>
        <w:tc>
          <w:tcPr>
            <w:tcW w:w="5033" w:type="dxa"/>
            <w:tcBorders>
              <w:top w:val="nil"/>
              <w:left w:val="nil"/>
              <w:bottom w:val="nil"/>
              <w:right w:val="nil"/>
            </w:tcBorders>
            <w:shd w:val="clear" w:color="auto" w:fill="auto"/>
            <w:noWrap/>
            <w:vAlign w:val="center"/>
          </w:tcPr>
          <w:p w14:paraId="6F780ACB" w14:textId="77777777" w:rsidR="0010523F" w:rsidRPr="0010523F" w:rsidRDefault="0010523F" w:rsidP="0010523F">
            <w:pPr>
              <w:spacing w:line="220" w:lineRule="exact"/>
              <w:jc w:val="both"/>
              <w:rPr>
                <w:color w:val="000000"/>
                <w:sz w:val="22"/>
                <w:szCs w:val="22"/>
                <w:highlight w:val="yellow"/>
                <w:lang w:val="es-AR" w:eastAsia="es-AR"/>
              </w:rPr>
            </w:pPr>
            <w:r w:rsidRPr="0010523F">
              <w:rPr>
                <w:color w:val="000000"/>
                <w:sz w:val="21"/>
                <w:szCs w:val="21"/>
                <w:lang w:val="es-AR" w:eastAsia="en-US"/>
              </w:rPr>
              <w:t>Entre 3 y 6 meses</w:t>
            </w:r>
          </w:p>
        </w:tc>
        <w:tc>
          <w:tcPr>
            <w:tcW w:w="1985" w:type="dxa"/>
            <w:tcBorders>
              <w:top w:val="nil"/>
              <w:left w:val="nil"/>
              <w:bottom w:val="nil"/>
              <w:right w:val="nil"/>
            </w:tcBorders>
            <w:shd w:val="clear" w:color="auto" w:fill="auto"/>
            <w:noWrap/>
            <w:vAlign w:val="bottom"/>
            <w:hideMark/>
          </w:tcPr>
          <w:p w14:paraId="6B42EF4D" w14:textId="77777777" w:rsidR="0010523F" w:rsidRPr="0010523F" w:rsidRDefault="0010523F" w:rsidP="0010523F">
            <w:pPr>
              <w:spacing w:line="220" w:lineRule="exact"/>
              <w:ind w:right="512"/>
              <w:jc w:val="right"/>
              <w:rPr>
                <w:color w:val="000000"/>
                <w:sz w:val="22"/>
                <w:szCs w:val="22"/>
                <w:u w:val="single"/>
                <w:lang w:val="es-AR" w:eastAsia="es-AR"/>
              </w:rPr>
            </w:pPr>
            <w:r w:rsidRPr="0010523F">
              <w:rPr>
                <w:color w:val="000000"/>
                <w:sz w:val="22"/>
                <w:szCs w:val="22"/>
                <w:lang w:val="es-AR" w:eastAsia="en-US"/>
              </w:rPr>
              <w:t xml:space="preserve">  </w:t>
            </w:r>
            <w:r w:rsidRPr="0010523F">
              <w:rPr>
                <w:color w:val="000000"/>
                <w:sz w:val="22"/>
                <w:szCs w:val="22"/>
                <w:u w:val="single"/>
                <w:lang w:val="es-AR" w:eastAsia="en-US"/>
              </w:rPr>
              <w:t xml:space="preserve">   170</w:t>
            </w:r>
          </w:p>
        </w:tc>
      </w:tr>
      <w:tr w:rsidR="0010523F" w:rsidRPr="0010523F" w14:paraId="0A768275" w14:textId="77777777" w:rsidTr="00774E7E">
        <w:trPr>
          <w:trHeight w:val="300"/>
        </w:trPr>
        <w:tc>
          <w:tcPr>
            <w:tcW w:w="5033" w:type="dxa"/>
            <w:tcBorders>
              <w:top w:val="nil"/>
              <w:left w:val="nil"/>
              <w:bottom w:val="nil"/>
              <w:right w:val="nil"/>
            </w:tcBorders>
            <w:shd w:val="clear" w:color="auto" w:fill="auto"/>
            <w:noWrap/>
            <w:vAlign w:val="center"/>
            <w:hideMark/>
          </w:tcPr>
          <w:p w14:paraId="079A7A35" w14:textId="77777777" w:rsidR="0010523F" w:rsidRPr="0010523F" w:rsidRDefault="0010523F" w:rsidP="0010523F">
            <w:pPr>
              <w:jc w:val="both"/>
              <w:rPr>
                <w:color w:val="000000"/>
                <w:sz w:val="22"/>
                <w:szCs w:val="22"/>
                <w:highlight w:val="yellow"/>
                <w:lang w:val="es-AR" w:eastAsia="es-AR"/>
              </w:rPr>
            </w:pPr>
            <w:r w:rsidRPr="0010523F">
              <w:rPr>
                <w:color w:val="000000"/>
                <w:sz w:val="22"/>
                <w:szCs w:val="22"/>
                <w:lang w:val="es-AR" w:eastAsia="es-AR"/>
              </w:rPr>
              <w:t>Total</w:t>
            </w:r>
          </w:p>
        </w:tc>
        <w:tc>
          <w:tcPr>
            <w:tcW w:w="1985" w:type="dxa"/>
            <w:tcBorders>
              <w:top w:val="nil"/>
              <w:left w:val="nil"/>
              <w:bottom w:val="nil"/>
              <w:right w:val="nil"/>
            </w:tcBorders>
            <w:shd w:val="clear" w:color="auto" w:fill="auto"/>
            <w:noWrap/>
            <w:vAlign w:val="bottom"/>
            <w:hideMark/>
          </w:tcPr>
          <w:p w14:paraId="4C4EEA12" w14:textId="77777777" w:rsidR="0010523F" w:rsidRPr="0010523F" w:rsidRDefault="0010523F" w:rsidP="0010523F">
            <w:pPr>
              <w:ind w:right="512"/>
              <w:jc w:val="right"/>
              <w:rPr>
                <w:color w:val="000000"/>
                <w:sz w:val="22"/>
                <w:szCs w:val="22"/>
                <w:u w:val="double"/>
                <w:lang w:val="es-AR" w:eastAsia="es-AR"/>
              </w:rPr>
            </w:pPr>
            <w:r w:rsidRPr="0010523F">
              <w:rPr>
                <w:color w:val="000000"/>
                <w:sz w:val="22"/>
                <w:szCs w:val="22"/>
                <w:u w:val="double"/>
                <w:lang w:val="es-AR" w:eastAsia="es-AR"/>
              </w:rPr>
              <w:t xml:space="preserve">   951</w:t>
            </w:r>
          </w:p>
        </w:tc>
      </w:tr>
    </w:tbl>
    <w:p w14:paraId="7F778975" w14:textId="77777777" w:rsidR="0010523F" w:rsidRPr="0010523F" w:rsidRDefault="0010523F" w:rsidP="0010523F">
      <w:pPr>
        <w:rPr>
          <w:lang w:val="es-AR" w:eastAsia="en-US"/>
        </w:rPr>
      </w:pPr>
    </w:p>
    <w:p w14:paraId="27E14E3C" w14:textId="77777777" w:rsidR="0010523F" w:rsidRPr="0010523F" w:rsidRDefault="0010523F" w:rsidP="0010523F">
      <w:pPr>
        <w:ind w:left="567" w:hanging="521"/>
        <w:jc w:val="both"/>
        <w:rPr>
          <w:lang w:val="es-AR" w:eastAsia="en-US"/>
        </w:rPr>
      </w:pPr>
      <w:r w:rsidRPr="0010523F">
        <w:rPr>
          <w:lang w:val="es-AR" w:eastAsia="en-US"/>
        </w:rPr>
        <w:t>2.b)</w:t>
      </w:r>
      <w:r w:rsidRPr="0010523F">
        <w:rPr>
          <w:lang w:val="es-AR" w:eastAsia="en-US"/>
        </w:rPr>
        <w:tab/>
      </w:r>
      <w:r w:rsidRPr="0010523F">
        <w:rPr>
          <w:u w:val="single"/>
          <w:lang w:val="es-AR" w:eastAsia="en-US"/>
        </w:rPr>
        <w:t>Sin plazo establecido a la vista</w:t>
      </w:r>
    </w:p>
    <w:p w14:paraId="098309AD" w14:textId="77777777" w:rsidR="0010523F" w:rsidRPr="0010523F" w:rsidRDefault="0010523F" w:rsidP="0010523F">
      <w:pPr>
        <w:spacing w:line="200" w:lineRule="exact"/>
        <w:ind w:left="567" w:hanging="567"/>
        <w:jc w:val="both"/>
        <w:rPr>
          <w:lang w:val="es-AR" w:eastAsia="en-US"/>
        </w:rPr>
      </w:pPr>
    </w:p>
    <w:p w14:paraId="0316D5F8" w14:textId="77777777" w:rsidR="0010523F" w:rsidRPr="0010523F" w:rsidRDefault="0010523F" w:rsidP="0010523F">
      <w:pPr>
        <w:ind w:left="567" w:hanging="6"/>
        <w:jc w:val="both"/>
        <w:rPr>
          <w:u w:val="single"/>
          <w:lang w:val="es-AR" w:eastAsia="en-US"/>
        </w:rPr>
      </w:pPr>
      <w:r w:rsidRPr="0010523F">
        <w:rPr>
          <w:lang w:val="es-AR" w:eastAsia="en-US"/>
        </w:rPr>
        <w:t>Se exponen en el Anexo I a los estados financieros intermedios condensados.</w:t>
      </w:r>
    </w:p>
    <w:p w14:paraId="1E1B2D57" w14:textId="77777777" w:rsidR="0010523F" w:rsidRPr="0010523F" w:rsidRDefault="0010523F" w:rsidP="0010523F">
      <w:pPr>
        <w:spacing w:line="200" w:lineRule="exact"/>
        <w:ind w:left="567" w:hanging="567"/>
        <w:jc w:val="both"/>
        <w:rPr>
          <w:lang w:val="es-AR" w:eastAsia="en-US"/>
        </w:rPr>
      </w:pPr>
    </w:p>
    <w:p w14:paraId="13A71676" w14:textId="77777777" w:rsidR="0010523F" w:rsidRPr="0010523F" w:rsidRDefault="0010523F" w:rsidP="0010523F">
      <w:pPr>
        <w:ind w:left="567" w:hanging="567"/>
        <w:jc w:val="both"/>
        <w:rPr>
          <w:lang w:val="es-AR" w:eastAsia="en-US"/>
        </w:rPr>
      </w:pPr>
      <w:r w:rsidRPr="0010523F">
        <w:rPr>
          <w:lang w:val="es-AR" w:eastAsia="en-US"/>
        </w:rPr>
        <w:t>2.c)</w:t>
      </w:r>
      <w:r w:rsidRPr="0010523F">
        <w:rPr>
          <w:lang w:val="es-AR" w:eastAsia="en-US"/>
        </w:rPr>
        <w:tab/>
      </w:r>
      <w:r w:rsidRPr="0010523F">
        <w:rPr>
          <w:u w:val="single"/>
          <w:lang w:val="es-AR" w:eastAsia="en-US"/>
        </w:rPr>
        <w:t>A vencer</w:t>
      </w:r>
    </w:p>
    <w:p w14:paraId="0C156BA9" w14:textId="77777777" w:rsidR="0010523F" w:rsidRPr="0010523F" w:rsidRDefault="0010523F" w:rsidP="0010523F">
      <w:pPr>
        <w:ind w:left="567" w:hanging="567"/>
        <w:jc w:val="both"/>
        <w:rPr>
          <w:lang w:val="es-AR" w:eastAsia="en-US"/>
        </w:rPr>
      </w:pPr>
    </w:p>
    <w:p w14:paraId="2CCFEE1D" w14:textId="77777777" w:rsidR="0010523F" w:rsidRPr="0010523F" w:rsidRDefault="0010523F" w:rsidP="0010523F">
      <w:pPr>
        <w:ind w:left="567" w:hanging="6"/>
        <w:jc w:val="both"/>
        <w:rPr>
          <w:lang w:val="es-AR" w:eastAsia="en-US"/>
        </w:rPr>
      </w:pPr>
      <w:r w:rsidRPr="0010523F">
        <w:rPr>
          <w:lang w:val="es-AR" w:eastAsia="en-US"/>
        </w:rPr>
        <w:t>La clasificación por vencimiento se expone en el Anexo I a los estados financieros intermedios condensados.</w:t>
      </w:r>
    </w:p>
    <w:p w14:paraId="3FEE9F75" w14:textId="77777777" w:rsidR="0010523F" w:rsidRPr="0010523F" w:rsidRDefault="0010523F" w:rsidP="0010523F">
      <w:pPr>
        <w:rPr>
          <w:lang w:val="es-AR" w:eastAsia="en-US"/>
        </w:rPr>
      </w:pPr>
    </w:p>
    <w:p w14:paraId="40682BF0" w14:textId="77777777" w:rsidR="0010523F" w:rsidRPr="0010523F" w:rsidRDefault="0010523F" w:rsidP="0010523F">
      <w:pPr>
        <w:ind w:left="567" w:hanging="567"/>
        <w:jc w:val="both"/>
        <w:rPr>
          <w:u w:val="single"/>
          <w:lang w:val="es-AR" w:eastAsia="en-US"/>
        </w:rPr>
      </w:pPr>
      <w:r w:rsidRPr="0010523F">
        <w:rPr>
          <w:lang w:val="es-AR" w:eastAsia="en-US"/>
        </w:rPr>
        <w:t>3.</w:t>
      </w:r>
      <w:r w:rsidRPr="0010523F">
        <w:rPr>
          <w:lang w:val="es-AR" w:eastAsia="en-US"/>
        </w:rPr>
        <w:tab/>
      </w:r>
      <w:r w:rsidRPr="0010523F">
        <w:rPr>
          <w:u w:val="single"/>
          <w:lang w:val="es-AR" w:eastAsia="en-US"/>
        </w:rPr>
        <w:t xml:space="preserve">Clasificación de los créditos y deudas según los efectos financieros que produce su mantenimiento </w:t>
      </w:r>
    </w:p>
    <w:p w14:paraId="776A6742" w14:textId="77777777" w:rsidR="0010523F" w:rsidRPr="0010523F" w:rsidRDefault="0010523F" w:rsidP="0010523F">
      <w:pPr>
        <w:ind w:left="567" w:hanging="567"/>
        <w:jc w:val="both"/>
        <w:rPr>
          <w:lang w:val="es-AR" w:eastAsia="en-US"/>
        </w:rPr>
      </w:pPr>
    </w:p>
    <w:p w14:paraId="48083D59" w14:textId="77777777" w:rsidR="0010523F" w:rsidRPr="0010523F" w:rsidRDefault="0010523F" w:rsidP="0010523F">
      <w:pPr>
        <w:ind w:left="567" w:hanging="567"/>
        <w:jc w:val="both"/>
        <w:rPr>
          <w:lang w:val="es-AR" w:eastAsia="en-US"/>
        </w:rPr>
      </w:pPr>
      <w:r w:rsidRPr="0010523F">
        <w:rPr>
          <w:lang w:val="es-AR" w:eastAsia="en-US"/>
        </w:rPr>
        <w:t>3.a)</w:t>
      </w:r>
      <w:r w:rsidRPr="0010523F">
        <w:rPr>
          <w:lang w:val="es-AR" w:eastAsia="en-US"/>
        </w:rPr>
        <w:tab/>
        <w:t>Los créditos y deudas en moneda extranjera, entendiendo como tal toda aquella moneda diferente de la de curso legal en la Argentina, se exponen en el Anexo G de los estados financieros intermedios condensados. No existen créditos y deudas significativos en especie.</w:t>
      </w:r>
    </w:p>
    <w:p w14:paraId="7F26483C" w14:textId="77777777" w:rsidR="0010523F" w:rsidRPr="0010523F" w:rsidRDefault="0010523F" w:rsidP="0010523F">
      <w:pPr>
        <w:ind w:left="284"/>
        <w:jc w:val="both"/>
        <w:rPr>
          <w:lang w:val="es-AR" w:eastAsia="en-US"/>
        </w:rPr>
      </w:pPr>
    </w:p>
    <w:p w14:paraId="7AAE1BE1" w14:textId="77777777" w:rsidR="0010523F" w:rsidRPr="0010523F" w:rsidRDefault="0010523F" w:rsidP="0010523F">
      <w:pPr>
        <w:ind w:left="567" w:hanging="567"/>
        <w:jc w:val="both"/>
        <w:rPr>
          <w:lang w:val="es-AR" w:eastAsia="en-US"/>
        </w:rPr>
      </w:pPr>
      <w:r w:rsidRPr="0010523F">
        <w:rPr>
          <w:lang w:val="es-AR" w:eastAsia="en-US"/>
        </w:rPr>
        <w:t>3.b)</w:t>
      </w:r>
      <w:r w:rsidRPr="0010523F">
        <w:rPr>
          <w:lang w:val="es-AR" w:eastAsia="en-US"/>
        </w:rPr>
        <w:tab/>
        <w:t>Excepto por lo expuesto en los estados financieros intermedios condensados, no existen créditos ni deudas significativos sujetos a cláusula de ajuste.</w:t>
      </w:r>
    </w:p>
    <w:p w14:paraId="04709123" w14:textId="77777777" w:rsidR="0010523F" w:rsidRPr="0010523F" w:rsidRDefault="0010523F" w:rsidP="0010523F">
      <w:pPr>
        <w:ind w:left="567" w:hanging="567"/>
        <w:jc w:val="both"/>
        <w:rPr>
          <w:lang w:val="es-AR" w:eastAsia="en-US"/>
        </w:rPr>
      </w:pPr>
    </w:p>
    <w:p w14:paraId="6D7C8BB5" w14:textId="77777777" w:rsidR="0010523F" w:rsidRPr="0010523F" w:rsidRDefault="0010523F" w:rsidP="0010523F">
      <w:pPr>
        <w:ind w:left="567" w:hanging="567"/>
        <w:jc w:val="both"/>
        <w:rPr>
          <w:lang w:val="es-AR" w:eastAsia="en-US"/>
        </w:rPr>
      </w:pPr>
      <w:r w:rsidRPr="0010523F">
        <w:rPr>
          <w:lang w:val="es-AR" w:eastAsia="en-US"/>
        </w:rPr>
        <w:t>3.c)</w:t>
      </w:r>
      <w:r w:rsidRPr="0010523F">
        <w:rPr>
          <w:lang w:val="es-AR" w:eastAsia="en-US"/>
        </w:rPr>
        <w:tab/>
        <w:t>Con respecto a los créditos y deudas que devengan intereses al 30 de septiembre de 2019, ver la apertura en las notas a los estados financieros intermedios condensados.</w:t>
      </w:r>
    </w:p>
    <w:p w14:paraId="5E088E19" w14:textId="77777777" w:rsidR="0010523F" w:rsidRPr="0010523F" w:rsidRDefault="0010523F" w:rsidP="0010523F">
      <w:pPr>
        <w:ind w:left="284"/>
        <w:jc w:val="both"/>
        <w:rPr>
          <w:lang w:val="es-AR" w:eastAsia="en-US"/>
        </w:rPr>
      </w:pPr>
    </w:p>
    <w:p w14:paraId="09402BED" w14:textId="77777777" w:rsidR="0010523F" w:rsidRPr="0010523F" w:rsidRDefault="0010523F" w:rsidP="00E2318E">
      <w:pPr>
        <w:numPr>
          <w:ilvl w:val="0"/>
          <w:numId w:val="55"/>
        </w:numPr>
        <w:spacing w:line="220" w:lineRule="exact"/>
        <w:ind w:left="567" w:hanging="567"/>
        <w:jc w:val="both"/>
        <w:rPr>
          <w:u w:val="single"/>
          <w:lang w:val="es-AR" w:eastAsia="en-US"/>
        </w:rPr>
      </w:pPr>
      <w:r w:rsidRPr="0010523F">
        <w:rPr>
          <w:u w:val="single"/>
          <w:lang w:val="es-AR" w:eastAsia="en-US"/>
        </w:rPr>
        <w:t xml:space="preserve">Participación en sociedades del artículo 33 de la Ley Nº 19.550 en el capital y en el total de votos </w:t>
      </w:r>
    </w:p>
    <w:p w14:paraId="7DE1EA93" w14:textId="77777777" w:rsidR="0010523F" w:rsidRPr="0010523F" w:rsidRDefault="0010523F" w:rsidP="0010523F">
      <w:pPr>
        <w:ind w:left="284"/>
        <w:jc w:val="both"/>
        <w:rPr>
          <w:lang w:val="es-AR" w:eastAsia="en-US"/>
        </w:rPr>
      </w:pPr>
    </w:p>
    <w:p w14:paraId="5EF1148B" w14:textId="77777777" w:rsidR="0010523F" w:rsidRPr="0010523F" w:rsidRDefault="0010523F" w:rsidP="0010523F">
      <w:pPr>
        <w:ind w:left="567" w:hanging="6"/>
        <w:jc w:val="both"/>
        <w:rPr>
          <w:lang w:val="es-AR" w:eastAsia="en-US"/>
        </w:rPr>
      </w:pPr>
      <w:r w:rsidRPr="0010523F">
        <w:rPr>
          <w:lang w:val="es-AR" w:eastAsia="en-US"/>
        </w:rPr>
        <w:t>No existen.</w:t>
      </w:r>
    </w:p>
    <w:p w14:paraId="61ADFE2C" w14:textId="77777777" w:rsidR="0010523F" w:rsidRPr="0010523F" w:rsidRDefault="0010523F" w:rsidP="0010523F">
      <w:pPr>
        <w:ind w:left="284"/>
        <w:jc w:val="both"/>
        <w:rPr>
          <w:b/>
          <w:lang w:val="es-AR"/>
        </w:rPr>
      </w:pPr>
    </w:p>
    <w:p w14:paraId="6AFCCA7A" w14:textId="77777777" w:rsidR="0010523F" w:rsidRPr="0010523F" w:rsidRDefault="0010523F" w:rsidP="00E2318E">
      <w:pPr>
        <w:numPr>
          <w:ilvl w:val="0"/>
          <w:numId w:val="55"/>
        </w:numPr>
        <w:spacing w:line="220" w:lineRule="exact"/>
        <w:ind w:left="567" w:hanging="567"/>
        <w:jc w:val="both"/>
        <w:rPr>
          <w:lang w:val="es-AR" w:eastAsia="en-US"/>
        </w:rPr>
      </w:pPr>
      <w:r w:rsidRPr="0010523F">
        <w:rPr>
          <w:u w:val="single"/>
          <w:lang w:val="es-AR" w:eastAsia="en-US"/>
        </w:rPr>
        <w:t>Créditos por ventas o préstamos contra directores, síndicos, miembros del consejo de vigilancia y sus parientes hasta el segundo grado inclusive</w:t>
      </w:r>
    </w:p>
    <w:p w14:paraId="7EF0AB1E" w14:textId="77777777" w:rsidR="0010523F" w:rsidRPr="0010523F" w:rsidRDefault="0010523F" w:rsidP="0010523F">
      <w:pPr>
        <w:ind w:left="284"/>
        <w:jc w:val="both"/>
        <w:rPr>
          <w:lang w:val="es-AR" w:eastAsia="en-US"/>
        </w:rPr>
      </w:pPr>
    </w:p>
    <w:p w14:paraId="71E1A764" w14:textId="77777777" w:rsidR="0010523F" w:rsidRPr="0010523F" w:rsidRDefault="0010523F" w:rsidP="0010523F">
      <w:pPr>
        <w:ind w:left="567" w:hanging="6"/>
        <w:jc w:val="both"/>
        <w:rPr>
          <w:lang w:val="es-AR" w:eastAsia="en-US"/>
        </w:rPr>
      </w:pPr>
      <w:r w:rsidRPr="0010523F">
        <w:rPr>
          <w:lang w:val="es-AR" w:eastAsia="en-US"/>
        </w:rPr>
        <w:t>No existen a la fecha de cierre del período.</w:t>
      </w:r>
    </w:p>
    <w:p w14:paraId="78DF8D27" w14:textId="77777777" w:rsidR="0010523F" w:rsidRPr="0010523F" w:rsidRDefault="0010523F" w:rsidP="0010523F">
      <w:pPr>
        <w:ind w:left="284"/>
        <w:jc w:val="both"/>
        <w:rPr>
          <w:lang w:val="es-AR" w:eastAsia="en-US"/>
        </w:rPr>
      </w:pPr>
    </w:p>
    <w:p w14:paraId="33370BAD" w14:textId="77777777" w:rsidR="0010523F" w:rsidRPr="0010523F" w:rsidRDefault="0010523F" w:rsidP="00E2318E">
      <w:pPr>
        <w:numPr>
          <w:ilvl w:val="0"/>
          <w:numId w:val="55"/>
        </w:numPr>
        <w:spacing w:line="220" w:lineRule="exact"/>
        <w:ind w:left="567" w:hanging="567"/>
        <w:jc w:val="both"/>
        <w:rPr>
          <w:u w:val="single"/>
          <w:lang w:val="es-AR" w:eastAsia="en-US"/>
        </w:rPr>
      </w:pPr>
      <w:r w:rsidRPr="0010523F">
        <w:rPr>
          <w:u w:val="single"/>
          <w:lang w:val="es-AR" w:eastAsia="en-US"/>
        </w:rPr>
        <w:t>Inventario físico de los bienes de cambio</w:t>
      </w:r>
    </w:p>
    <w:p w14:paraId="61C7C516" w14:textId="77777777" w:rsidR="0010523F" w:rsidRPr="0010523F" w:rsidRDefault="0010523F" w:rsidP="0010523F">
      <w:pPr>
        <w:ind w:left="567" w:hanging="567"/>
        <w:jc w:val="both"/>
        <w:rPr>
          <w:lang w:val="es-AR" w:eastAsia="en-US"/>
        </w:rPr>
      </w:pPr>
    </w:p>
    <w:p w14:paraId="47E0C3A5" w14:textId="77777777" w:rsidR="0010523F" w:rsidRPr="0010523F" w:rsidRDefault="0010523F" w:rsidP="0010523F">
      <w:pPr>
        <w:ind w:left="567" w:hanging="6"/>
        <w:jc w:val="both"/>
        <w:rPr>
          <w:lang w:val="es-AR" w:eastAsia="en-US"/>
        </w:rPr>
      </w:pPr>
      <w:r w:rsidRPr="0010523F">
        <w:rPr>
          <w:lang w:val="es-AR" w:eastAsia="en-US"/>
        </w:rPr>
        <w:t>Dada la naturaleza de la actividad, la Sucursal efectúa inventarios físicos de la mayor parte de sus bienes de cambio periódicamente y/o en forma rotativa. No existen bienes de cambio de inmovilización significativa al 30 de septiembre de 2019 que no estén previsionados.</w:t>
      </w:r>
    </w:p>
    <w:p w14:paraId="14BE64F0" w14:textId="77777777" w:rsidR="0010523F" w:rsidRPr="0010523F" w:rsidRDefault="0010523F" w:rsidP="0010523F">
      <w:pPr>
        <w:ind w:left="567" w:hanging="567"/>
        <w:jc w:val="both"/>
        <w:rPr>
          <w:lang w:val="es-AR" w:eastAsia="en-US"/>
        </w:rPr>
      </w:pPr>
    </w:p>
    <w:p w14:paraId="6733166A" w14:textId="77777777" w:rsidR="0010523F" w:rsidRPr="0010523F" w:rsidRDefault="0010523F" w:rsidP="0010523F">
      <w:pPr>
        <w:ind w:left="567" w:hanging="567"/>
        <w:jc w:val="both"/>
        <w:rPr>
          <w:u w:val="single"/>
          <w:lang w:val="es-AR" w:eastAsia="en-US"/>
        </w:rPr>
      </w:pPr>
      <w:r w:rsidRPr="0010523F">
        <w:rPr>
          <w:lang w:val="es-AR" w:eastAsia="en-US"/>
        </w:rPr>
        <w:t>7.</w:t>
      </w:r>
      <w:r w:rsidRPr="0010523F">
        <w:rPr>
          <w:lang w:val="es-AR" w:eastAsia="en-US"/>
        </w:rPr>
        <w:tab/>
      </w:r>
      <w:r w:rsidRPr="0010523F">
        <w:rPr>
          <w:u w:val="single"/>
          <w:lang w:val="es-AR" w:eastAsia="en-US"/>
        </w:rPr>
        <w:t>Participaciones en otras sociedades en exceso de lo admitido por el artículo 31 de la Ley Nº 19.550</w:t>
      </w:r>
    </w:p>
    <w:p w14:paraId="2DEFC86F" w14:textId="77777777" w:rsidR="0010523F" w:rsidRPr="0010523F" w:rsidRDefault="0010523F" w:rsidP="0010523F">
      <w:pPr>
        <w:ind w:left="567" w:hanging="567"/>
        <w:jc w:val="both"/>
        <w:rPr>
          <w:lang w:val="es-AR" w:eastAsia="en-US"/>
        </w:rPr>
      </w:pPr>
    </w:p>
    <w:p w14:paraId="62E921B0" w14:textId="77777777" w:rsidR="0010523F" w:rsidRPr="0010523F" w:rsidRDefault="0010523F" w:rsidP="0010523F">
      <w:pPr>
        <w:ind w:left="567" w:hanging="6"/>
        <w:jc w:val="both"/>
        <w:rPr>
          <w:lang w:val="es-AR" w:eastAsia="en-US"/>
        </w:rPr>
      </w:pPr>
      <w:r w:rsidRPr="0010523F">
        <w:rPr>
          <w:lang w:val="es-AR" w:eastAsia="en-US"/>
        </w:rPr>
        <w:t xml:space="preserve">No existen. </w:t>
      </w:r>
    </w:p>
    <w:p w14:paraId="24BE5533" w14:textId="77777777" w:rsidR="0010523F" w:rsidRPr="0010523F" w:rsidRDefault="0010523F" w:rsidP="0010523F">
      <w:pPr>
        <w:ind w:left="567" w:hanging="567"/>
        <w:jc w:val="both"/>
        <w:rPr>
          <w:lang w:val="es-AR" w:eastAsia="en-US"/>
        </w:rPr>
      </w:pPr>
      <w:r w:rsidRPr="0010523F">
        <w:rPr>
          <w:lang w:val="es-AR" w:eastAsia="en-US"/>
        </w:rPr>
        <w:t>8.</w:t>
      </w:r>
      <w:r w:rsidRPr="0010523F">
        <w:rPr>
          <w:lang w:val="es-AR" w:eastAsia="en-US"/>
        </w:rPr>
        <w:tab/>
      </w:r>
      <w:r w:rsidRPr="0010523F">
        <w:rPr>
          <w:u w:val="single"/>
          <w:lang w:val="es-AR" w:eastAsia="en-US"/>
        </w:rPr>
        <w:t>Valores recuperables</w:t>
      </w:r>
    </w:p>
    <w:p w14:paraId="34D74D76" w14:textId="77777777" w:rsidR="0010523F" w:rsidRPr="0010523F" w:rsidRDefault="0010523F" w:rsidP="0010523F">
      <w:pPr>
        <w:ind w:left="567" w:hanging="6"/>
        <w:jc w:val="both"/>
        <w:rPr>
          <w:lang w:val="es-AR" w:eastAsia="en-US"/>
        </w:rPr>
      </w:pPr>
      <w:r w:rsidRPr="0010523F">
        <w:rPr>
          <w:lang w:val="es-AR" w:eastAsia="en-US"/>
        </w:rPr>
        <w:tab/>
      </w:r>
    </w:p>
    <w:p w14:paraId="42C369BB" w14:textId="77777777" w:rsidR="0010523F" w:rsidRPr="0010523F" w:rsidRDefault="0010523F" w:rsidP="0010523F">
      <w:pPr>
        <w:ind w:left="567" w:hanging="6"/>
        <w:jc w:val="both"/>
        <w:rPr>
          <w:lang w:val="es-AR" w:eastAsia="en-US"/>
        </w:rPr>
      </w:pPr>
      <w:r w:rsidRPr="0010523F">
        <w:rPr>
          <w:lang w:val="es-AR" w:eastAsia="en-US"/>
        </w:rPr>
        <w:t>Los valores recuperables significativos de bienes de cambio y de bienes de uso, utilizados como límite para sus respectivas valuaciones contables, se determinaron en función de su valor neto de realización y de su valor de uso, definidos como la suma de los flujos netos de fondos descontados esperados producto del uso de los bienes y de la disposición de los mismos al final de su vida útil.</w:t>
      </w:r>
    </w:p>
    <w:p w14:paraId="5DBBF7CF" w14:textId="77777777" w:rsidR="0010523F" w:rsidRPr="0010523F" w:rsidRDefault="0010523F" w:rsidP="0010523F">
      <w:pPr>
        <w:ind w:left="284"/>
        <w:jc w:val="both"/>
        <w:rPr>
          <w:lang w:val="es-AR" w:eastAsia="en-US"/>
        </w:rPr>
      </w:pPr>
    </w:p>
    <w:p w14:paraId="0F1EA7FA" w14:textId="77777777" w:rsidR="0010523F" w:rsidRPr="0010523F" w:rsidRDefault="0010523F" w:rsidP="0010523F">
      <w:pPr>
        <w:ind w:left="567" w:hanging="567"/>
        <w:jc w:val="both"/>
        <w:rPr>
          <w:lang w:val="es-AR" w:eastAsia="en-US"/>
        </w:rPr>
      </w:pPr>
      <w:r w:rsidRPr="0010523F">
        <w:rPr>
          <w:lang w:val="es-AR" w:eastAsia="en-US"/>
        </w:rPr>
        <w:t>9.</w:t>
      </w:r>
      <w:r w:rsidRPr="0010523F">
        <w:rPr>
          <w:lang w:val="es-AR" w:eastAsia="en-US"/>
        </w:rPr>
        <w:tab/>
      </w:r>
      <w:r w:rsidRPr="0010523F">
        <w:rPr>
          <w:u w:val="single"/>
          <w:lang w:val="es-AR" w:eastAsia="en-US"/>
        </w:rPr>
        <w:t>Seguros que cubren los bienes tangibles</w:t>
      </w:r>
    </w:p>
    <w:p w14:paraId="261EEB40" w14:textId="77777777" w:rsidR="0010523F" w:rsidRPr="0010523F" w:rsidRDefault="0010523F" w:rsidP="0010523F">
      <w:pPr>
        <w:ind w:left="284"/>
        <w:jc w:val="both"/>
        <w:rPr>
          <w:lang w:val="es-AR" w:eastAsia="en-US"/>
        </w:rPr>
      </w:pPr>
    </w:p>
    <w:p w14:paraId="0B33D064" w14:textId="77777777" w:rsidR="0010523F" w:rsidRPr="0010523F" w:rsidRDefault="0010523F" w:rsidP="0010523F">
      <w:pPr>
        <w:ind w:left="567" w:hanging="6"/>
        <w:jc w:val="both"/>
        <w:rPr>
          <w:lang w:val="es-AR" w:eastAsia="en-US"/>
        </w:rPr>
      </w:pPr>
      <w:r w:rsidRPr="0010523F">
        <w:rPr>
          <w:lang w:val="es-AR" w:eastAsia="en-US"/>
        </w:rPr>
        <w:t>Al 30 de septiembre de 2019 los seguros contratados en relación con actividades y bienes de la Sucursal son los siguientes:</w:t>
      </w:r>
    </w:p>
    <w:p w14:paraId="5DCE5382" w14:textId="77777777" w:rsidR="0010523F" w:rsidRPr="0010523F" w:rsidRDefault="0010523F" w:rsidP="0010523F">
      <w:pPr>
        <w:ind w:left="567" w:hanging="6"/>
        <w:jc w:val="both"/>
        <w:rPr>
          <w:lang w:val="es-AR" w:eastAsia="en-US"/>
        </w:rPr>
      </w:pPr>
    </w:p>
    <w:tbl>
      <w:tblPr>
        <w:tblW w:w="9302" w:type="dxa"/>
        <w:tblInd w:w="212" w:type="dxa"/>
        <w:tblCellMar>
          <w:left w:w="70" w:type="dxa"/>
          <w:right w:w="70" w:type="dxa"/>
        </w:tblCellMar>
        <w:tblLook w:val="04A0" w:firstRow="1" w:lastRow="0" w:firstColumn="1" w:lastColumn="0" w:noHBand="0" w:noVBand="1"/>
      </w:tblPr>
      <w:tblGrid>
        <w:gridCol w:w="3606"/>
        <w:gridCol w:w="3260"/>
        <w:gridCol w:w="2016"/>
        <w:gridCol w:w="420"/>
      </w:tblGrid>
      <w:tr w:rsidR="0010523F" w:rsidRPr="0010523F" w14:paraId="315F89ED" w14:textId="77777777" w:rsidTr="00774E7E">
        <w:trPr>
          <w:trHeight w:val="330"/>
        </w:trPr>
        <w:tc>
          <w:tcPr>
            <w:tcW w:w="360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6917F" w14:textId="77777777" w:rsidR="0010523F" w:rsidRPr="0010523F" w:rsidRDefault="0010523F" w:rsidP="0010523F">
            <w:pPr>
              <w:jc w:val="center"/>
              <w:rPr>
                <w:color w:val="000000"/>
                <w:lang w:val="es-AR" w:eastAsia="es-AR"/>
              </w:rPr>
            </w:pPr>
            <w:r w:rsidRPr="0010523F">
              <w:rPr>
                <w:color w:val="000000"/>
                <w:lang w:val="es-AR" w:eastAsia="es-AR"/>
              </w:rPr>
              <w:t>Bienes cubiertos</w:t>
            </w:r>
          </w:p>
        </w:tc>
        <w:tc>
          <w:tcPr>
            <w:tcW w:w="3260" w:type="dxa"/>
            <w:tcBorders>
              <w:top w:val="single" w:sz="8" w:space="0" w:color="auto"/>
              <w:left w:val="nil"/>
              <w:bottom w:val="single" w:sz="8" w:space="0" w:color="auto"/>
              <w:right w:val="single" w:sz="8" w:space="0" w:color="auto"/>
            </w:tcBorders>
            <w:shd w:val="clear" w:color="auto" w:fill="auto"/>
            <w:noWrap/>
            <w:vAlign w:val="center"/>
            <w:hideMark/>
          </w:tcPr>
          <w:p w14:paraId="2CE884DD" w14:textId="77777777" w:rsidR="0010523F" w:rsidRPr="0010523F" w:rsidRDefault="0010523F" w:rsidP="0010523F">
            <w:pPr>
              <w:jc w:val="center"/>
              <w:rPr>
                <w:color w:val="000000"/>
                <w:lang w:val="es-AR" w:eastAsia="es-AR"/>
              </w:rPr>
            </w:pPr>
            <w:r w:rsidRPr="0010523F">
              <w:rPr>
                <w:color w:val="000000"/>
                <w:lang w:val="es-AR" w:eastAsia="es-AR"/>
              </w:rPr>
              <w:t>Riesgo cubierto</w:t>
            </w:r>
          </w:p>
        </w:tc>
        <w:tc>
          <w:tcPr>
            <w:tcW w:w="24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F3DCFF3" w14:textId="77777777" w:rsidR="0010523F" w:rsidRPr="0010523F" w:rsidRDefault="0010523F" w:rsidP="0010523F">
            <w:pPr>
              <w:jc w:val="center"/>
              <w:rPr>
                <w:color w:val="000000"/>
                <w:lang w:val="es-AR" w:eastAsia="es-AR"/>
              </w:rPr>
            </w:pPr>
            <w:r w:rsidRPr="0010523F">
              <w:rPr>
                <w:color w:val="000000"/>
                <w:lang w:val="es-AR" w:eastAsia="es-AR"/>
              </w:rPr>
              <w:t>Monto asegurado </w:t>
            </w:r>
            <w:r w:rsidRPr="0010523F">
              <w:rPr>
                <w:color w:val="000000"/>
                <w:lang w:val="es-AR" w:eastAsia="es-AR"/>
              </w:rPr>
              <w:br/>
              <w:t>(millones de US$)</w:t>
            </w:r>
          </w:p>
        </w:tc>
      </w:tr>
      <w:tr w:rsidR="0010523F" w:rsidRPr="0010523F" w14:paraId="4C208C08" w14:textId="77777777" w:rsidTr="00774E7E">
        <w:trPr>
          <w:trHeight w:val="283"/>
        </w:trPr>
        <w:tc>
          <w:tcPr>
            <w:tcW w:w="3606" w:type="dxa"/>
            <w:vMerge w:val="restart"/>
            <w:tcBorders>
              <w:top w:val="nil"/>
              <w:left w:val="single" w:sz="8" w:space="0" w:color="auto"/>
              <w:right w:val="single" w:sz="8" w:space="0" w:color="auto"/>
            </w:tcBorders>
            <w:shd w:val="clear" w:color="auto" w:fill="auto"/>
            <w:vAlign w:val="center"/>
            <w:hideMark/>
          </w:tcPr>
          <w:p w14:paraId="393B0B43" w14:textId="77777777" w:rsidR="0010523F" w:rsidRPr="0010523F" w:rsidRDefault="0010523F" w:rsidP="0010523F">
            <w:pPr>
              <w:rPr>
                <w:color w:val="000000"/>
                <w:lang w:val="es-AR" w:eastAsia="es-AR"/>
              </w:rPr>
            </w:pPr>
            <w:r w:rsidRPr="0010523F">
              <w:rPr>
                <w:color w:val="000000"/>
                <w:lang w:val="es-AR" w:eastAsia="es-AR"/>
              </w:rPr>
              <w:t>Equipamiento, instalaciones y ductos utilizados en explotación y transporte. Daños causados a terceros por la actividad de la Sucursal o causados por el equipamiento, instalaciones y ductos utilizados en exploración y producción</w:t>
            </w:r>
          </w:p>
        </w:tc>
        <w:tc>
          <w:tcPr>
            <w:tcW w:w="3260" w:type="dxa"/>
            <w:tcBorders>
              <w:top w:val="nil"/>
              <w:left w:val="nil"/>
              <w:bottom w:val="single" w:sz="8" w:space="0" w:color="auto"/>
              <w:right w:val="single" w:sz="8" w:space="0" w:color="auto"/>
            </w:tcBorders>
            <w:shd w:val="clear" w:color="auto" w:fill="auto"/>
            <w:noWrap/>
            <w:vAlign w:val="center"/>
            <w:hideMark/>
          </w:tcPr>
          <w:p w14:paraId="292BCBBA" w14:textId="77777777" w:rsidR="0010523F" w:rsidRPr="0010523F" w:rsidRDefault="0010523F" w:rsidP="0010523F">
            <w:pPr>
              <w:jc w:val="both"/>
              <w:rPr>
                <w:color w:val="000000"/>
                <w:lang w:val="es-AR" w:eastAsia="es-AR"/>
              </w:rPr>
            </w:pPr>
            <w:r w:rsidRPr="0010523F">
              <w:rPr>
                <w:color w:val="000000"/>
                <w:lang w:val="es-AR" w:eastAsia="es-AR"/>
              </w:rPr>
              <w:t>Daños materiales</w:t>
            </w:r>
          </w:p>
        </w:tc>
        <w:tc>
          <w:tcPr>
            <w:tcW w:w="2016" w:type="dxa"/>
            <w:tcBorders>
              <w:top w:val="nil"/>
              <w:left w:val="nil"/>
              <w:bottom w:val="single" w:sz="8" w:space="0" w:color="auto"/>
              <w:right w:val="nil"/>
            </w:tcBorders>
            <w:shd w:val="clear" w:color="auto" w:fill="auto"/>
            <w:noWrap/>
            <w:vAlign w:val="center"/>
            <w:hideMark/>
          </w:tcPr>
          <w:p w14:paraId="103375DD" w14:textId="77777777" w:rsidR="0010523F" w:rsidRPr="0010523F" w:rsidRDefault="0010523F" w:rsidP="0010523F">
            <w:pPr>
              <w:jc w:val="right"/>
              <w:rPr>
                <w:color w:val="000000"/>
                <w:lang w:val="es-AR" w:eastAsia="es-AR"/>
              </w:rPr>
            </w:pPr>
            <w:r w:rsidRPr="0010523F">
              <w:rPr>
                <w:color w:val="000000"/>
                <w:lang w:val="es-AR" w:eastAsia="es-AR"/>
              </w:rPr>
              <w:t xml:space="preserve"> 6.190 </w:t>
            </w:r>
          </w:p>
        </w:tc>
        <w:tc>
          <w:tcPr>
            <w:tcW w:w="420" w:type="dxa"/>
            <w:tcBorders>
              <w:top w:val="nil"/>
              <w:left w:val="nil"/>
              <w:bottom w:val="single" w:sz="8" w:space="0" w:color="auto"/>
              <w:right w:val="single" w:sz="8" w:space="0" w:color="auto"/>
            </w:tcBorders>
            <w:shd w:val="clear" w:color="auto" w:fill="auto"/>
            <w:noWrap/>
            <w:vAlign w:val="center"/>
            <w:hideMark/>
          </w:tcPr>
          <w:p w14:paraId="213D6A37" w14:textId="77777777" w:rsidR="0010523F" w:rsidRPr="0010523F" w:rsidRDefault="0010523F" w:rsidP="0010523F">
            <w:pPr>
              <w:jc w:val="both"/>
              <w:rPr>
                <w:color w:val="000000"/>
                <w:lang w:val="es-AR" w:eastAsia="es-AR"/>
              </w:rPr>
            </w:pPr>
            <w:r w:rsidRPr="0010523F">
              <w:rPr>
                <w:color w:val="000000"/>
                <w:lang w:val="es-AR" w:eastAsia="es-AR"/>
              </w:rPr>
              <w:t>(*)</w:t>
            </w:r>
          </w:p>
        </w:tc>
      </w:tr>
      <w:tr w:rsidR="0010523F" w:rsidRPr="0010523F" w14:paraId="1DBC7DA3" w14:textId="77777777" w:rsidTr="00774E7E">
        <w:trPr>
          <w:trHeight w:val="397"/>
        </w:trPr>
        <w:tc>
          <w:tcPr>
            <w:tcW w:w="3606" w:type="dxa"/>
            <w:vMerge/>
            <w:tcBorders>
              <w:left w:val="single" w:sz="8" w:space="0" w:color="auto"/>
              <w:right w:val="single" w:sz="8" w:space="0" w:color="auto"/>
            </w:tcBorders>
            <w:shd w:val="clear" w:color="auto" w:fill="auto"/>
            <w:vAlign w:val="center"/>
            <w:hideMark/>
          </w:tcPr>
          <w:p w14:paraId="17A8F6C2" w14:textId="77777777" w:rsidR="0010523F" w:rsidRPr="0010523F" w:rsidRDefault="0010523F" w:rsidP="0010523F">
            <w:pPr>
              <w:rPr>
                <w:color w:val="000000"/>
                <w:lang w:val="es-AR" w:eastAsia="es-AR"/>
              </w:rPr>
            </w:pPr>
          </w:p>
        </w:tc>
        <w:tc>
          <w:tcPr>
            <w:tcW w:w="3260" w:type="dxa"/>
            <w:tcBorders>
              <w:top w:val="nil"/>
              <w:left w:val="nil"/>
              <w:bottom w:val="single" w:sz="8" w:space="0" w:color="auto"/>
              <w:right w:val="single" w:sz="8" w:space="0" w:color="auto"/>
            </w:tcBorders>
            <w:shd w:val="clear" w:color="auto" w:fill="auto"/>
            <w:noWrap/>
            <w:vAlign w:val="center"/>
            <w:hideMark/>
          </w:tcPr>
          <w:p w14:paraId="480F40E0" w14:textId="77777777" w:rsidR="0010523F" w:rsidRPr="0010523F" w:rsidRDefault="0010523F" w:rsidP="0010523F">
            <w:pPr>
              <w:jc w:val="both"/>
              <w:rPr>
                <w:color w:val="000000"/>
                <w:lang w:val="es-AR" w:eastAsia="es-AR"/>
              </w:rPr>
            </w:pPr>
            <w:r w:rsidRPr="0010523F">
              <w:rPr>
                <w:color w:val="000000"/>
                <w:lang w:val="es-AR" w:eastAsia="es-AR"/>
              </w:rPr>
              <w:t>Responsabilidad civil on - shore</w:t>
            </w:r>
          </w:p>
        </w:tc>
        <w:tc>
          <w:tcPr>
            <w:tcW w:w="2016" w:type="dxa"/>
            <w:tcBorders>
              <w:top w:val="nil"/>
              <w:left w:val="nil"/>
              <w:bottom w:val="single" w:sz="8" w:space="0" w:color="auto"/>
              <w:right w:val="nil"/>
            </w:tcBorders>
            <w:shd w:val="clear" w:color="auto" w:fill="auto"/>
            <w:noWrap/>
            <w:vAlign w:val="center"/>
            <w:hideMark/>
          </w:tcPr>
          <w:p w14:paraId="0C38A765" w14:textId="77777777" w:rsidR="0010523F" w:rsidRPr="0010523F" w:rsidRDefault="0010523F" w:rsidP="0010523F">
            <w:pPr>
              <w:jc w:val="right"/>
              <w:rPr>
                <w:color w:val="000000"/>
                <w:lang w:val="es-AR" w:eastAsia="es-AR"/>
              </w:rPr>
            </w:pPr>
            <w:r w:rsidRPr="0010523F">
              <w:rPr>
                <w:color w:val="000000"/>
                <w:lang w:val="es-AR" w:eastAsia="es-AR"/>
              </w:rPr>
              <w:t>300</w:t>
            </w:r>
          </w:p>
        </w:tc>
        <w:tc>
          <w:tcPr>
            <w:tcW w:w="420" w:type="dxa"/>
            <w:tcBorders>
              <w:top w:val="nil"/>
              <w:left w:val="nil"/>
              <w:bottom w:val="single" w:sz="8" w:space="0" w:color="auto"/>
              <w:right w:val="single" w:sz="8" w:space="0" w:color="auto"/>
            </w:tcBorders>
            <w:shd w:val="clear" w:color="auto" w:fill="auto"/>
            <w:noWrap/>
            <w:vAlign w:val="center"/>
            <w:hideMark/>
          </w:tcPr>
          <w:p w14:paraId="747A953F"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5B0E6D93" w14:textId="77777777" w:rsidTr="00774E7E">
        <w:trPr>
          <w:trHeight w:val="624"/>
        </w:trPr>
        <w:tc>
          <w:tcPr>
            <w:tcW w:w="3606" w:type="dxa"/>
            <w:vMerge/>
            <w:tcBorders>
              <w:left w:val="single" w:sz="8" w:space="0" w:color="auto"/>
              <w:right w:val="single" w:sz="8" w:space="0" w:color="auto"/>
            </w:tcBorders>
            <w:shd w:val="clear" w:color="auto" w:fill="auto"/>
            <w:vAlign w:val="center"/>
            <w:hideMark/>
          </w:tcPr>
          <w:p w14:paraId="632C917B" w14:textId="77777777" w:rsidR="0010523F" w:rsidRPr="0010523F" w:rsidRDefault="0010523F" w:rsidP="0010523F">
            <w:pPr>
              <w:rPr>
                <w:color w:val="000000"/>
                <w:lang w:val="es-AR" w:eastAsia="es-AR"/>
              </w:rPr>
            </w:pPr>
          </w:p>
        </w:tc>
        <w:tc>
          <w:tcPr>
            <w:tcW w:w="3260" w:type="dxa"/>
            <w:tcBorders>
              <w:top w:val="nil"/>
              <w:left w:val="nil"/>
              <w:bottom w:val="single" w:sz="8" w:space="0" w:color="auto"/>
              <w:right w:val="single" w:sz="8" w:space="0" w:color="auto"/>
            </w:tcBorders>
            <w:shd w:val="clear" w:color="auto" w:fill="auto"/>
            <w:noWrap/>
            <w:vAlign w:val="center"/>
            <w:hideMark/>
          </w:tcPr>
          <w:p w14:paraId="3FD60F86" w14:textId="77777777" w:rsidR="0010523F" w:rsidRPr="0010523F" w:rsidRDefault="0010523F" w:rsidP="0010523F">
            <w:pPr>
              <w:jc w:val="both"/>
              <w:rPr>
                <w:color w:val="000000"/>
                <w:lang w:val="es-AR" w:eastAsia="es-AR"/>
              </w:rPr>
            </w:pPr>
            <w:r w:rsidRPr="0010523F">
              <w:rPr>
                <w:color w:val="000000"/>
                <w:lang w:val="es-AR" w:eastAsia="es-AR"/>
              </w:rPr>
              <w:t>Responsabilidad civil aviation Downstream</w:t>
            </w:r>
          </w:p>
        </w:tc>
        <w:tc>
          <w:tcPr>
            <w:tcW w:w="2016" w:type="dxa"/>
            <w:tcBorders>
              <w:top w:val="nil"/>
              <w:left w:val="nil"/>
              <w:bottom w:val="single" w:sz="8" w:space="0" w:color="auto"/>
              <w:right w:val="nil"/>
            </w:tcBorders>
            <w:shd w:val="clear" w:color="auto" w:fill="auto"/>
            <w:noWrap/>
            <w:vAlign w:val="center"/>
            <w:hideMark/>
          </w:tcPr>
          <w:p w14:paraId="121E5A7B" w14:textId="77777777" w:rsidR="0010523F" w:rsidRPr="0010523F" w:rsidRDefault="0010523F" w:rsidP="0010523F">
            <w:pPr>
              <w:jc w:val="right"/>
              <w:rPr>
                <w:color w:val="000000"/>
                <w:lang w:val="es-AR" w:eastAsia="es-AR"/>
              </w:rPr>
            </w:pPr>
            <w:r w:rsidRPr="0010523F">
              <w:rPr>
                <w:color w:val="000000"/>
                <w:lang w:val="es-AR" w:eastAsia="es-AR"/>
              </w:rPr>
              <w:t>1.000</w:t>
            </w:r>
          </w:p>
        </w:tc>
        <w:tc>
          <w:tcPr>
            <w:tcW w:w="420" w:type="dxa"/>
            <w:tcBorders>
              <w:top w:val="nil"/>
              <w:left w:val="nil"/>
              <w:bottom w:val="single" w:sz="8" w:space="0" w:color="auto"/>
              <w:right w:val="single" w:sz="8" w:space="0" w:color="auto"/>
            </w:tcBorders>
            <w:shd w:val="clear" w:color="auto" w:fill="auto"/>
            <w:noWrap/>
            <w:vAlign w:val="center"/>
            <w:hideMark/>
          </w:tcPr>
          <w:p w14:paraId="3181C925"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3644B99F" w14:textId="77777777" w:rsidTr="00774E7E">
        <w:trPr>
          <w:trHeight w:val="624"/>
        </w:trPr>
        <w:tc>
          <w:tcPr>
            <w:tcW w:w="3606" w:type="dxa"/>
            <w:vMerge/>
            <w:tcBorders>
              <w:left w:val="single" w:sz="8" w:space="0" w:color="auto"/>
              <w:right w:val="single" w:sz="8" w:space="0" w:color="auto"/>
            </w:tcBorders>
            <w:shd w:val="clear" w:color="auto" w:fill="auto"/>
            <w:vAlign w:val="center"/>
            <w:hideMark/>
          </w:tcPr>
          <w:p w14:paraId="538E9823" w14:textId="77777777" w:rsidR="0010523F" w:rsidRPr="0010523F" w:rsidRDefault="0010523F" w:rsidP="0010523F">
            <w:pPr>
              <w:rPr>
                <w:color w:val="000000"/>
                <w:lang w:val="es-AR" w:eastAsia="es-AR"/>
              </w:rPr>
            </w:pPr>
          </w:p>
        </w:tc>
        <w:tc>
          <w:tcPr>
            <w:tcW w:w="3260" w:type="dxa"/>
            <w:tcBorders>
              <w:top w:val="nil"/>
              <w:left w:val="nil"/>
              <w:bottom w:val="single" w:sz="8" w:space="0" w:color="auto"/>
              <w:right w:val="single" w:sz="8" w:space="0" w:color="auto"/>
            </w:tcBorders>
            <w:shd w:val="clear" w:color="auto" w:fill="auto"/>
            <w:noWrap/>
            <w:vAlign w:val="center"/>
            <w:hideMark/>
          </w:tcPr>
          <w:p w14:paraId="206F5A99" w14:textId="77777777" w:rsidR="0010523F" w:rsidRPr="0010523F" w:rsidRDefault="0010523F" w:rsidP="0010523F">
            <w:pPr>
              <w:jc w:val="both"/>
              <w:rPr>
                <w:color w:val="000000"/>
                <w:lang w:val="es-AR" w:eastAsia="es-AR"/>
              </w:rPr>
            </w:pPr>
            <w:r w:rsidRPr="0010523F">
              <w:rPr>
                <w:color w:val="000000"/>
                <w:lang w:val="es-AR" w:eastAsia="es-AR"/>
              </w:rPr>
              <w:t>Responsabilidad civil marítima - Downstream</w:t>
            </w:r>
          </w:p>
        </w:tc>
        <w:tc>
          <w:tcPr>
            <w:tcW w:w="2016" w:type="dxa"/>
            <w:tcBorders>
              <w:top w:val="nil"/>
              <w:left w:val="nil"/>
              <w:bottom w:val="single" w:sz="8" w:space="0" w:color="auto"/>
              <w:right w:val="nil"/>
            </w:tcBorders>
            <w:shd w:val="clear" w:color="auto" w:fill="auto"/>
            <w:noWrap/>
            <w:vAlign w:val="center"/>
            <w:hideMark/>
          </w:tcPr>
          <w:p w14:paraId="6AF357ED" w14:textId="77777777" w:rsidR="0010523F" w:rsidRPr="0010523F" w:rsidRDefault="0010523F" w:rsidP="0010523F">
            <w:pPr>
              <w:jc w:val="right"/>
              <w:rPr>
                <w:color w:val="000000"/>
                <w:lang w:val="es-AR" w:eastAsia="es-AR"/>
              </w:rPr>
            </w:pPr>
            <w:r w:rsidRPr="0010523F">
              <w:rPr>
                <w:color w:val="000000"/>
                <w:lang w:val="es-AR" w:eastAsia="es-AR"/>
              </w:rPr>
              <w:t>300</w:t>
            </w:r>
          </w:p>
        </w:tc>
        <w:tc>
          <w:tcPr>
            <w:tcW w:w="420" w:type="dxa"/>
            <w:tcBorders>
              <w:top w:val="nil"/>
              <w:left w:val="nil"/>
              <w:bottom w:val="single" w:sz="8" w:space="0" w:color="auto"/>
              <w:right w:val="single" w:sz="8" w:space="0" w:color="auto"/>
            </w:tcBorders>
            <w:shd w:val="clear" w:color="auto" w:fill="auto"/>
            <w:noWrap/>
            <w:vAlign w:val="center"/>
            <w:hideMark/>
          </w:tcPr>
          <w:p w14:paraId="14810FB8"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7C68C98B" w14:textId="77777777" w:rsidTr="00774E7E">
        <w:trPr>
          <w:trHeight w:val="380"/>
        </w:trPr>
        <w:tc>
          <w:tcPr>
            <w:tcW w:w="3606" w:type="dxa"/>
            <w:vMerge/>
            <w:tcBorders>
              <w:left w:val="single" w:sz="8" w:space="0" w:color="auto"/>
              <w:bottom w:val="single" w:sz="8" w:space="0" w:color="auto"/>
              <w:right w:val="single" w:sz="8" w:space="0" w:color="auto"/>
            </w:tcBorders>
            <w:shd w:val="clear" w:color="auto" w:fill="auto"/>
            <w:vAlign w:val="center"/>
            <w:hideMark/>
          </w:tcPr>
          <w:p w14:paraId="0591CFF3" w14:textId="77777777" w:rsidR="0010523F" w:rsidRPr="0010523F" w:rsidRDefault="0010523F" w:rsidP="0010523F">
            <w:pPr>
              <w:rPr>
                <w:color w:val="000000"/>
                <w:lang w:val="es-AR" w:eastAsia="es-AR"/>
              </w:rPr>
            </w:pPr>
          </w:p>
        </w:tc>
        <w:tc>
          <w:tcPr>
            <w:tcW w:w="3260" w:type="dxa"/>
            <w:tcBorders>
              <w:top w:val="nil"/>
              <w:left w:val="nil"/>
              <w:bottom w:val="single" w:sz="8" w:space="0" w:color="auto"/>
              <w:right w:val="single" w:sz="8" w:space="0" w:color="auto"/>
            </w:tcBorders>
            <w:shd w:val="clear" w:color="auto" w:fill="auto"/>
            <w:noWrap/>
            <w:vAlign w:val="center"/>
            <w:hideMark/>
          </w:tcPr>
          <w:p w14:paraId="45E33FD2" w14:textId="77777777" w:rsidR="0010523F" w:rsidRPr="0010523F" w:rsidRDefault="0010523F" w:rsidP="0010523F">
            <w:pPr>
              <w:jc w:val="both"/>
              <w:rPr>
                <w:color w:val="000000"/>
                <w:lang w:val="es-AR" w:eastAsia="es-AR"/>
              </w:rPr>
            </w:pPr>
            <w:r w:rsidRPr="0010523F">
              <w:rPr>
                <w:color w:val="000000"/>
                <w:lang w:val="es-AR" w:eastAsia="es-AR"/>
              </w:rPr>
              <w:t>Responsabilidad civil off - shore</w:t>
            </w:r>
          </w:p>
        </w:tc>
        <w:tc>
          <w:tcPr>
            <w:tcW w:w="2016" w:type="dxa"/>
            <w:tcBorders>
              <w:top w:val="nil"/>
              <w:left w:val="nil"/>
              <w:bottom w:val="single" w:sz="8" w:space="0" w:color="auto"/>
              <w:right w:val="nil"/>
            </w:tcBorders>
            <w:shd w:val="clear" w:color="auto" w:fill="auto"/>
            <w:noWrap/>
            <w:vAlign w:val="center"/>
            <w:hideMark/>
          </w:tcPr>
          <w:p w14:paraId="3A142B03" w14:textId="77777777" w:rsidR="0010523F" w:rsidRPr="0010523F" w:rsidRDefault="0010523F" w:rsidP="0010523F">
            <w:pPr>
              <w:jc w:val="right"/>
              <w:rPr>
                <w:color w:val="000000"/>
                <w:lang w:val="es-AR" w:eastAsia="es-AR"/>
              </w:rPr>
            </w:pPr>
            <w:r w:rsidRPr="0010523F">
              <w:rPr>
                <w:color w:val="000000"/>
                <w:lang w:val="es-AR" w:eastAsia="es-AR"/>
              </w:rPr>
              <w:t>200</w:t>
            </w:r>
          </w:p>
        </w:tc>
        <w:tc>
          <w:tcPr>
            <w:tcW w:w="420" w:type="dxa"/>
            <w:tcBorders>
              <w:top w:val="nil"/>
              <w:left w:val="nil"/>
              <w:bottom w:val="single" w:sz="8" w:space="0" w:color="auto"/>
              <w:right w:val="single" w:sz="8" w:space="0" w:color="auto"/>
            </w:tcBorders>
            <w:shd w:val="clear" w:color="auto" w:fill="auto"/>
            <w:noWrap/>
            <w:vAlign w:val="center"/>
            <w:hideMark/>
          </w:tcPr>
          <w:p w14:paraId="32C2F61F"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2185D7B3" w14:textId="77777777" w:rsidTr="00774E7E">
        <w:trPr>
          <w:trHeight w:val="330"/>
        </w:trPr>
        <w:tc>
          <w:tcPr>
            <w:tcW w:w="3606" w:type="dxa"/>
            <w:tcBorders>
              <w:top w:val="nil"/>
              <w:left w:val="single" w:sz="8" w:space="0" w:color="auto"/>
              <w:bottom w:val="single" w:sz="8" w:space="0" w:color="auto"/>
              <w:right w:val="single" w:sz="8" w:space="0" w:color="auto"/>
            </w:tcBorders>
            <w:shd w:val="clear" w:color="auto" w:fill="auto"/>
            <w:noWrap/>
            <w:vAlign w:val="center"/>
            <w:hideMark/>
          </w:tcPr>
          <w:p w14:paraId="5B08C1DF" w14:textId="77777777" w:rsidR="0010523F" w:rsidRPr="0010523F" w:rsidRDefault="0010523F" w:rsidP="0010523F">
            <w:pPr>
              <w:rPr>
                <w:color w:val="000000"/>
                <w:lang w:val="es-AR" w:eastAsia="es-AR"/>
              </w:rPr>
            </w:pPr>
            <w:r w:rsidRPr="0010523F">
              <w:rPr>
                <w:color w:val="000000"/>
                <w:lang w:val="es-AR" w:eastAsia="es-AR"/>
              </w:rPr>
              <w:t>Pozos</w:t>
            </w:r>
          </w:p>
        </w:tc>
        <w:tc>
          <w:tcPr>
            <w:tcW w:w="3260" w:type="dxa"/>
            <w:tcBorders>
              <w:top w:val="nil"/>
              <w:left w:val="nil"/>
              <w:bottom w:val="single" w:sz="8" w:space="0" w:color="auto"/>
              <w:right w:val="single" w:sz="8" w:space="0" w:color="auto"/>
            </w:tcBorders>
            <w:shd w:val="clear" w:color="auto" w:fill="auto"/>
            <w:noWrap/>
            <w:vAlign w:val="center"/>
            <w:hideMark/>
          </w:tcPr>
          <w:p w14:paraId="7A0262E6" w14:textId="77777777" w:rsidR="0010523F" w:rsidRPr="0010523F" w:rsidRDefault="0010523F" w:rsidP="0010523F">
            <w:pPr>
              <w:jc w:val="both"/>
              <w:rPr>
                <w:color w:val="000000"/>
                <w:lang w:val="es-AR" w:eastAsia="es-AR"/>
              </w:rPr>
            </w:pPr>
            <w:r w:rsidRPr="0010523F">
              <w:rPr>
                <w:color w:val="000000"/>
                <w:lang w:val="es-AR" w:eastAsia="es-AR"/>
              </w:rPr>
              <w:t>Control, reperforación, derrame</w:t>
            </w:r>
          </w:p>
        </w:tc>
        <w:tc>
          <w:tcPr>
            <w:tcW w:w="2016" w:type="dxa"/>
            <w:tcBorders>
              <w:top w:val="nil"/>
              <w:left w:val="nil"/>
              <w:bottom w:val="single" w:sz="8" w:space="0" w:color="auto"/>
              <w:right w:val="nil"/>
            </w:tcBorders>
            <w:shd w:val="clear" w:color="auto" w:fill="auto"/>
            <w:noWrap/>
            <w:vAlign w:val="center"/>
            <w:hideMark/>
          </w:tcPr>
          <w:p w14:paraId="4898F80E" w14:textId="77777777" w:rsidR="0010523F" w:rsidRPr="0010523F" w:rsidRDefault="0010523F" w:rsidP="0010523F">
            <w:pPr>
              <w:jc w:val="right"/>
              <w:rPr>
                <w:color w:val="000000"/>
                <w:lang w:val="es-AR" w:eastAsia="es-AR"/>
              </w:rPr>
            </w:pPr>
            <w:r w:rsidRPr="0010523F">
              <w:rPr>
                <w:color w:val="000000"/>
                <w:lang w:val="es-AR" w:eastAsia="es-AR"/>
              </w:rPr>
              <w:t>(**)</w:t>
            </w:r>
          </w:p>
        </w:tc>
        <w:tc>
          <w:tcPr>
            <w:tcW w:w="420" w:type="dxa"/>
            <w:tcBorders>
              <w:top w:val="nil"/>
              <w:left w:val="nil"/>
              <w:bottom w:val="single" w:sz="8" w:space="0" w:color="auto"/>
              <w:right w:val="single" w:sz="8" w:space="0" w:color="auto"/>
            </w:tcBorders>
            <w:shd w:val="clear" w:color="auto" w:fill="auto"/>
            <w:noWrap/>
            <w:vAlign w:val="center"/>
            <w:hideMark/>
          </w:tcPr>
          <w:p w14:paraId="2F711D82"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6BF8CFB1" w14:textId="77777777" w:rsidTr="00774E7E">
        <w:trPr>
          <w:trHeight w:val="330"/>
        </w:trPr>
        <w:tc>
          <w:tcPr>
            <w:tcW w:w="3606" w:type="dxa"/>
            <w:tcBorders>
              <w:top w:val="nil"/>
              <w:left w:val="single" w:sz="8" w:space="0" w:color="auto"/>
              <w:bottom w:val="single" w:sz="8" w:space="0" w:color="auto"/>
              <w:right w:val="single" w:sz="8" w:space="0" w:color="auto"/>
            </w:tcBorders>
            <w:shd w:val="clear" w:color="auto" w:fill="auto"/>
            <w:noWrap/>
            <w:vAlign w:val="center"/>
            <w:hideMark/>
          </w:tcPr>
          <w:p w14:paraId="26B0AED8" w14:textId="77777777" w:rsidR="0010523F" w:rsidRPr="0010523F" w:rsidRDefault="0010523F" w:rsidP="0010523F">
            <w:pPr>
              <w:rPr>
                <w:color w:val="000000"/>
                <w:lang w:val="es-AR" w:eastAsia="es-AR"/>
              </w:rPr>
            </w:pPr>
            <w:r w:rsidRPr="0010523F">
              <w:rPr>
                <w:color w:val="000000"/>
                <w:lang w:val="es-AR" w:eastAsia="es-AR"/>
              </w:rPr>
              <w:t>Mercaderías</w:t>
            </w:r>
          </w:p>
        </w:tc>
        <w:tc>
          <w:tcPr>
            <w:tcW w:w="3260" w:type="dxa"/>
            <w:tcBorders>
              <w:top w:val="nil"/>
              <w:left w:val="nil"/>
              <w:bottom w:val="single" w:sz="8" w:space="0" w:color="auto"/>
              <w:right w:val="single" w:sz="8" w:space="0" w:color="auto"/>
            </w:tcBorders>
            <w:shd w:val="clear" w:color="auto" w:fill="auto"/>
            <w:noWrap/>
            <w:vAlign w:val="center"/>
            <w:hideMark/>
          </w:tcPr>
          <w:p w14:paraId="63304C83" w14:textId="77777777" w:rsidR="0010523F" w:rsidRPr="0010523F" w:rsidRDefault="0010523F" w:rsidP="0010523F">
            <w:pPr>
              <w:jc w:val="both"/>
              <w:rPr>
                <w:color w:val="000000"/>
                <w:lang w:val="es-AR" w:eastAsia="es-AR"/>
              </w:rPr>
            </w:pPr>
            <w:r w:rsidRPr="0010523F">
              <w:rPr>
                <w:color w:val="000000"/>
                <w:lang w:val="es-AR" w:eastAsia="es-AR"/>
              </w:rPr>
              <w:t>Transporte</w:t>
            </w:r>
          </w:p>
        </w:tc>
        <w:tc>
          <w:tcPr>
            <w:tcW w:w="2016" w:type="dxa"/>
            <w:tcBorders>
              <w:top w:val="nil"/>
              <w:left w:val="nil"/>
              <w:bottom w:val="single" w:sz="8" w:space="0" w:color="auto"/>
              <w:right w:val="nil"/>
            </w:tcBorders>
            <w:shd w:val="clear" w:color="auto" w:fill="auto"/>
            <w:noWrap/>
            <w:vAlign w:val="center"/>
            <w:hideMark/>
          </w:tcPr>
          <w:p w14:paraId="4EF438B2" w14:textId="77777777" w:rsidR="0010523F" w:rsidRPr="0010523F" w:rsidRDefault="0010523F" w:rsidP="0010523F">
            <w:pPr>
              <w:jc w:val="right"/>
              <w:rPr>
                <w:color w:val="000000"/>
                <w:lang w:val="es-AR" w:eastAsia="es-AR"/>
              </w:rPr>
            </w:pPr>
            <w:r w:rsidRPr="0010523F">
              <w:rPr>
                <w:color w:val="000000"/>
                <w:lang w:val="es-AR" w:eastAsia="es-AR"/>
              </w:rPr>
              <w:t>90</w:t>
            </w:r>
          </w:p>
        </w:tc>
        <w:tc>
          <w:tcPr>
            <w:tcW w:w="420" w:type="dxa"/>
            <w:tcBorders>
              <w:top w:val="nil"/>
              <w:left w:val="nil"/>
              <w:bottom w:val="single" w:sz="8" w:space="0" w:color="auto"/>
              <w:right w:val="single" w:sz="8" w:space="0" w:color="auto"/>
            </w:tcBorders>
            <w:shd w:val="clear" w:color="auto" w:fill="auto"/>
            <w:noWrap/>
            <w:vAlign w:val="center"/>
            <w:hideMark/>
          </w:tcPr>
          <w:p w14:paraId="0A2FEF37"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2B60F54A" w14:textId="77777777" w:rsidTr="00774E7E">
        <w:trPr>
          <w:trHeight w:val="645"/>
        </w:trPr>
        <w:tc>
          <w:tcPr>
            <w:tcW w:w="3606" w:type="dxa"/>
            <w:tcBorders>
              <w:top w:val="nil"/>
              <w:left w:val="single" w:sz="8" w:space="0" w:color="auto"/>
              <w:bottom w:val="single" w:sz="8" w:space="0" w:color="auto"/>
              <w:right w:val="single" w:sz="8" w:space="0" w:color="auto"/>
            </w:tcBorders>
            <w:shd w:val="clear" w:color="auto" w:fill="auto"/>
            <w:noWrap/>
            <w:vAlign w:val="center"/>
            <w:hideMark/>
          </w:tcPr>
          <w:p w14:paraId="4344BAC7" w14:textId="77777777" w:rsidR="0010523F" w:rsidRPr="0010523F" w:rsidRDefault="0010523F" w:rsidP="0010523F">
            <w:pPr>
              <w:rPr>
                <w:color w:val="000000"/>
                <w:lang w:val="es-AR" w:eastAsia="es-AR"/>
              </w:rPr>
            </w:pPr>
            <w:r w:rsidRPr="0010523F">
              <w:rPr>
                <w:color w:val="000000"/>
                <w:lang w:val="es-AR" w:eastAsia="es-AR"/>
              </w:rPr>
              <w:t>Inventarios</w:t>
            </w:r>
          </w:p>
        </w:tc>
        <w:tc>
          <w:tcPr>
            <w:tcW w:w="3260" w:type="dxa"/>
            <w:tcBorders>
              <w:top w:val="nil"/>
              <w:left w:val="nil"/>
              <w:bottom w:val="single" w:sz="8" w:space="0" w:color="auto"/>
              <w:right w:val="single" w:sz="8" w:space="0" w:color="auto"/>
            </w:tcBorders>
            <w:shd w:val="clear" w:color="auto" w:fill="auto"/>
            <w:noWrap/>
            <w:vAlign w:val="center"/>
            <w:hideMark/>
          </w:tcPr>
          <w:p w14:paraId="3EBE3956" w14:textId="77777777" w:rsidR="0010523F" w:rsidRPr="0010523F" w:rsidRDefault="0010523F" w:rsidP="0010523F">
            <w:pPr>
              <w:jc w:val="both"/>
              <w:rPr>
                <w:color w:val="000000"/>
                <w:lang w:val="es-AR" w:eastAsia="es-AR"/>
              </w:rPr>
            </w:pPr>
            <w:r w:rsidRPr="0010523F">
              <w:rPr>
                <w:color w:val="000000"/>
                <w:lang w:val="es-AR" w:eastAsia="es-AR"/>
              </w:rPr>
              <w:t>Riesgo operativo sobre stock de downstream</w:t>
            </w:r>
          </w:p>
        </w:tc>
        <w:tc>
          <w:tcPr>
            <w:tcW w:w="2016" w:type="dxa"/>
            <w:tcBorders>
              <w:top w:val="nil"/>
              <w:left w:val="nil"/>
              <w:bottom w:val="single" w:sz="8" w:space="0" w:color="auto"/>
              <w:right w:val="nil"/>
            </w:tcBorders>
            <w:shd w:val="clear" w:color="auto" w:fill="auto"/>
            <w:noWrap/>
            <w:vAlign w:val="center"/>
            <w:hideMark/>
          </w:tcPr>
          <w:p w14:paraId="22AA784D" w14:textId="77777777" w:rsidR="0010523F" w:rsidRPr="0010523F" w:rsidRDefault="0010523F" w:rsidP="0010523F">
            <w:pPr>
              <w:jc w:val="right"/>
              <w:rPr>
                <w:color w:val="000000"/>
                <w:lang w:val="es-AR" w:eastAsia="es-AR"/>
              </w:rPr>
            </w:pPr>
            <w:r w:rsidRPr="0010523F">
              <w:rPr>
                <w:color w:val="000000"/>
                <w:lang w:val="es-AR" w:eastAsia="es-AR"/>
              </w:rPr>
              <w:t>200</w:t>
            </w:r>
          </w:p>
        </w:tc>
        <w:tc>
          <w:tcPr>
            <w:tcW w:w="420" w:type="dxa"/>
            <w:tcBorders>
              <w:top w:val="nil"/>
              <w:left w:val="nil"/>
              <w:bottom w:val="single" w:sz="8" w:space="0" w:color="auto"/>
              <w:right w:val="single" w:sz="8" w:space="0" w:color="auto"/>
            </w:tcBorders>
            <w:shd w:val="clear" w:color="auto" w:fill="auto"/>
            <w:noWrap/>
            <w:vAlign w:val="center"/>
            <w:hideMark/>
          </w:tcPr>
          <w:p w14:paraId="00D5F692"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0BD3F701" w14:textId="77777777" w:rsidTr="00774E7E">
        <w:trPr>
          <w:trHeight w:val="1077"/>
        </w:trPr>
        <w:tc>
          <w:tcPr>
            <w:tcW w:w="3606" w:type="dxa"/>
            <w:vMerge w:val="restart"/>
            <w:tcBorders>
              <w:top w:val="nil"/>
              <w:left w:val="single" w:sz="8" w:space="0" w:color="auto"/>
              <w:bottom w:val="single" w:sz="8" w:space="0" w:color="000000"/>
              <w:right w:val="single" w:sz="8" w:space="0" w:color="auto"/>
            </w:tcBorders>
            <w:shd w:val="clear" w:color="auto" w:fill="auto"/>
            <w:vAlign w:val="center"/>
            <w:hideMark/>
          </w:tcPr>
          <w:p w14:paraId="41AEDED7" w14:textId="77777777" w:rsidR="0010523F" w:rsidRPr="0010523F" w:rsidRDefault="0010523F" w:rsidP="0010523F">
            <w:pPr>
              <w:rPr>
                <w:b/>
                <w:bCs/>
                <w:color w:val="000000"/>
                <w:lang w:val="es-AR" w:eastAsia="es-AR"/>
              </w:rPr>
            </w:pPr>
            <w:r w:rsidRPr="0010523F">
              <w:rPr>
                <w:color w:val="000000"/>
                <w:lang w:val="es-AR" w:eastAsia="es-AR"/>
              </w:rPr>
              <w:t>Proyecto de ampliación Refinería Campana - Equipamiento e instalaciones, transporte y daños causados a terceros por la actividad de la Sucursal o causados por trabajos de la obra</w:t>
            </w:r>
          </w:p>
        </w:tc>
        <w:tc>
          <w:tcPr>
            <w:tcW w:w="3260" w:type="dxa"/>
            <w:tcBorders>
              <w:top w:val="nil"/>
              <w:left w:val="nil"/>
              <w:bottom w:val="single" w:sz="8" w:space="0" w:color="auto"/>
              <w:right w:val="single" w:sz="8" w:space="0" w:color="auto"/>
            </w:tcBorders>
            <w:shd w:val="clear" w:color="auto" w:fill="auto"/>
            <w:noWrap/>
            <w:vAlign w:val="center"/>
            <w:hideMark/>
          </w:tcPr>
          <w:p w14:paraId="6CA7C3F8" w14:textId="77777777" w:rsidR="0010523F" w:rsidRPr="0010523F" w:rsidRDefault="0010523F" w:rsidP="0010523F">
            <w:pPr>
              <w:jc w:val="both"/>
              <w:rPr>
                <w:color w:val="000000"/>
                <w:lang w:val="es-AR" w:eastAsia="es-AR"/>
              </w:rPr>
            </w:pPr>
            <w:r w:rsidRPr="0010523F">
              <w:rPr>
                <w:color w:val="000000"/>
                <w:lang w:val="es-AR" w:eastAsia="es-AR"/>
              </w:rPr>
              <w:t>Daños materiales</w:t>
            </w:r>
          </w:p>
        </w:tc>
        <w:tc>
          <w:tcPr>
            <w:tcW w:w="2016" w:type="dxa"/>
            <w:tcBorders>
              <w:top w:val="nil"/>
              <w:left w:val="nil"/>
              <w:bottom w:val="single" w:sz="8" w:space="0" w:color="auto"/>
              <w:right w:val="nil"/>
            </w:tcBorders>
            <w:shd w:val="clear" w:color="auto" w:fill="auto"/>
            <w:noWrap/>
            <w:vAlign w:val="center"/>
            <w:hideMark/>
          </w:tcPr>
          <w:p w14:paraId="7B15EBCA" w14:textId="77777777" w:rsidR="0010523F" w:rsidRPr="0010523F" w:rsidRDefault="0010523F" w:rsidP="0010523F">
            <w:pPr>
              <w:jc w:val="right"/>
              <w:rPr>
                <w:color w:val="000000"/>
                <w:lang w:val="es-AR" w:eastAsia="es-AR"/>
              </w:rPr>
            </w:pPr>
            <w:r w:rsidRPr="0010523F">
              <w:rPr>
                <w:color w:val="000000"/>
                <w:lang w:val="es-AR" w:eastAsia="es-AR"/>
              </w:rPr>
              <w:t>1.037</w:t>
            </w:r>
          </w:p>
        </w:tc>
        <w:tc>
          <w:tcPr>
            <w:tcW w:w="420" w:type="dxa"/>
            <w:tcBorders>
              <w:top w:val="nil"/>
              <w:left w:val="nil"/>
              <w:bottom w:val="single" w:sz="8" w:space="0" w:color="auto"/>
              <w:right w:val="single" w:sz="8" w:space="0" w:color="auto"/>
            </w:tcBorders>
            <w:shd w:val="clear" w:color="auto" w:fill="auto"/>
            <w:noWrap/>
            <w:vAlign w:val="center"/>
            <w:hideMark/>
          </w:tcPr>
          <w:p w14:paraId="13039767"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30F822B1" w14:textId="77777777" w:rsidTr="00774E7E">
        <w:trPr>
          <w:trHeight w:val="330"/>
        </w:trPr>
        <w:tc>
          <w:tcPr>
            <w:tcW w:w="3606" w:type="dxa"/>
            <w:vMerge/>
            <w:tcBorders>
              <w:top w:val="nil"/>
              <w:left w:val="single" w:sz="8" w:space="0" w:color="auto"/>
              <w:bottom w:val="single" w:sz="8" w:space="0" w:color="000000"/>
              <w:right w:val="single" w:sz="8" w:space="0" w:color="auto"/>
            </w:tcBorders>
            <w:vAlign w:val="center"/>
            <w:hideMark/>
          </w:tcPr>
          <w:p w14:paraId="5DB797C2" w14:textId="77777777" w:rsidR="0010523F" w:rsidRPr="0010523F" w:rsidRDefault="0010523F" w:rsidP="0010523F">
            <w:pPr>
              <w:rPr>
                <w:b/>
                <w:bCs/>
                <w:color w:val="000000"/>
                <w:lang w:val="es-AR" w:eastAsia="es-AR"/>
              </w:rPr>
            </w:pPr>
          </w:p>
        </w:tc>
        <w:tc>
          <w:tcPr>
            <w:tcW w:w="3260" w:type="dxa"/>
            <w:tcBorders>
              <w:top w:val="nil"/>
              <w:left w:val="nil"/>
              <w:bottom w:val="single" w:sz="8" w:space="0" w:color="auto"/>
              <w:right w:val="single" w:sz="8" w:space="0" w:color="auto"/>
            </w:tcBorders>
            <w:shd w:val="clear" w:color="auto" w:fill="auto"/>
            <w:noWrap/>
            <w:vAlign w:val="center"/>
            <w:hideMark/>
          </w:tcPr>
          <w:p w14:paraId="6745E8BB" w14:textId="77777777" w:rsidR="0010523F" w:rsidRPr="0010523F" w:rsidRDefault="0010523F" w:rsidP="0010523F">
            <w:pPr>
              <w:jc w:val="both"/>
              <w:rPr>
                <w:color w:val="000000"/>
                <w:lang w:val="es-AR" w:eastAsia="es-AR"/>
              </w:rPr>
            </w:pPr>
            <w:r w:rsidRPr="0010523F">
              <w:rPr>
                <w:color w:val="000000"/>
                <w:lang w:val="es-AR" w:eastAsia="es-AR"/>
              </w:rPr>
              <w:t>Responsabilidad civil on - shore</w:t>
            </w:r>
          </w:p>
        </w:tc>
        <w:tc>
          <w:tcPr>
            <w:tcW w:w="2016" w:type="dxa"/>
            <w:tcBorders>
              <w:top w:val="nil"/>
              <w:left w:val="nil"/>
              <w:bottom w:val="single" w:sz="8" w:space="0" w:color="auto"/>
              <w:right w:val="nil"/>
            </w:tcBorders>
            <w:shd w:val="clear" w:color="auto" w:fill="auto"/>
            <w:noWrap/>
            <w:vAlign w:val="center"/>
            <w:hideMark/>
          </w:tcPr>
          <w:p w14:paraId="7FFE466A" w14:textId="77777777" w:rsidR="0010523F" w:rsidRPr="0010523F" w:rsidRDefault="0010523F" w:rsidP="0010523F">
            <w:pPr>
              <w:jc w:val="right"/>
              <w:rPr>
                <w:color w:val="000000"/>
                <w:lang w:val="es-AR" w:eastAsia="es-AR"/>
              </w:rPr>
            </w:pPr>
            <w:r w:rsidRPr="0010523F">
              <w:rPr>
                <w:color w:val="000000"/>
                <w:lang w:val="es-AR" w:eastAsia="es-AR"/>
              </w:rPr>
              <w:t>300</w:t>
            </w:r>
          </w:p>
        </w:tc>
        <w:tc>
          <w:tcPr>
            <w:tcW w:w="420" w:type="dxa"/>
            <w:tcBorders>
              <w:top w:val="nil"/>
              <w:left w:val="nil"/>
              <w:bottom w:val="single" w:sz="8" w:space="0" w:color="auto"/>
              <w:right w:val="single" w:sz="8" w:space="0" w:color="auto"/>
            </w:tcBorders>
            <w:shd w:val="clear" w:color="auto" w:fill="auto"/>
            <w:noWrap/>
            <w:vAlign w:val="center"/>
            <w:hideMark/>
          </w:tcPr>
          <w:p w14:paraId="58E053B5"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r w:rsidR="0010523F" w:rsidRPr="0010523F" w14:paraId="1581132E" w14:textId="77777777" w:rsidTr="00774E7E">
        <w:trPr>
          <w:trHeight w:val="330"/>
        </w:trPr>
        <w:tc>
          <w:tcPr>
            <w:tcW w:w="3606" w:type="dxa"/>
            <w:vMerge/>
            <w:tcBorders>
              <w:top w:val="nil"/>
              <w:left w:val="single" w:sz="8" w:space="0" w:color="auto"/>
              <w:bottom w:val="single" w:sz="8" w:space="0" w:color="000000"/>
              <w:right w:val="single" w:sz="8" w:space="0" w:color="auto"/>
            </w:tcBorders>
            <w:vAlign w:val="center"/>
            <w:hideMark/>
          </w:tcPr>
          <w:p w14:paraId="3A57B545" w14:textId="77777777" w:rsidR="0010523F" w:rsidRPr="0010523F" w:rsidRDefault="0010523F" w:rsidP="0010523F">
            <w:pPr>
              <w:rPr>
                <w:b/>
                <w:bCs/>
                <w:color w:val="000000"/>
                <w:lang w:val="es-AR" w:eastAsia="es-AR"/>
              </w:rPr>
            </w:pPr>
          </w:p>
        </w:tc>
        <w:tc>
          <w:tcPr>
            <w:tcW w:w="3260" w:type="dxa"/>
            <w:tcBorders>
              <w:top w:val="nil"/>
              <w:left w:val="nil"/>
              <w:bottom w:val="single" w:sz="8" w:space="0" w:color="auto"/>
              <w:right w:val="single" w:sz="8" w:space="0" w:color="auto"/>
            </w:tcBorders>
            <w:shd w:val="clear" w:color="auto" w:fill="auto"/>
            <w:noWrap/>
            <w:vAlign w:val="center"/>
            <w:hideMark/>
          </w:tcPr>
          <w:p w14:paraId="51D1F128" w14:textId="77777777" w:rsidR="0010523F" w:rsidRPr="0010523F" w:rsidRDefault="0010523F" w:rsidP="0010523F">
            <w:pPr>
              <w:jc w:val="both"/>
              <w:rPr>
                <w:color w:val="000000"/>
                <w:lang w:val="es-AR" w:eastAsia="es-AR"/>
              </w:rPr>
            </w:pPr>
            <w:r w:rsidRPr="0010523F">
              <w:rPr>
                <w:color w:val="000000"/>
                <w:lang w:val="es-AR" w:eastAsia="es-AR"/>
              </w:rPr>
              <w:t>Transporte</w:t>
            </w:r>
          </w:p>
        </w:tc>
        <w:tc>
          <w:tcPr>
            <w:tcW w:w="2016" w:type="dxa"/>
            <w:tcBorders>
              <w:top w:val="nil"/>
              <w:left w:val="nil"/>
              <w:bottom w:val="single" w:sz="8" w:space="0" w:color="auto"/>
              <w:right w:val="nil"/>
            </w:tcBorders>
            <w:shd w:val="clear" w:color="auto" w:fill="auto"/>
            <w:noWrap/>
            <w:vAlign w:val="center"/>
            <w:hideMark/>
          </w:tcPr>
          <w:p w14:paraId="7E1D643E" w14:textId="77777777" w:rsidR="0010523F" w:rsidRPr="0010523F" w:rsidRDefault="0010523F" w:rsidP="0010523F">
            <w:pPr>
              <w:jc w:val="right"/>
              <w:rPr>
                <w:color w:val="000000"/>
                <w:lang w:val="es-AR" w:eastAsia="es-AR"/>
              </w:rPr>
            </w:pPr>
            <w:r w:rsidRPr="0010523F">
              <w:rPr>
                <w:color w:val="000000"/>
                <w:lang w:val="es-AR" w:eastAsia="es-AR"/>
              </w:rPr>
              <w:t>5</w:t>
            </w:r>
          </w:p>
        </w:tc>
        <w:tc>
          <w:tcPr>
            <w:tcW w:w="420" w:type="dxa"/>
            <w:tcBorders>
              <w:top w:val="nil"/>
              <w:left w:val="nil"/>
              <w:bottom w:val="single" w:sz="8" w:space="0" w:color="auto"/>
              <w:right w:val="single" w:sz="8" w:space="0" w:color="auto"/>
            </w:tcBorders>
            <w:shd w:val="clear" w:color="auto" w:fill="auto"/>
            <w:noWrap/>
            <w:vAlign w:val="center"/>
            <w:hideMark/>
          </w:tcPr>
          <w:p w14:paraId="489BA120" w14:textId="77777777" w:rsidR="0010523F" w:rsidRPr="0010523F" w:rsidRDefault="0010523F" w:rsidP="0010523F">
            <w:pPr>
              <w:jc w:val="both"/>
              <w:rPr>
                <w:color w:val="000000"/>
                <w:sz w:val="20"/>
                <w:szCs w:val="20"/>
                <w:lang w:val="es-AR" w:eastAsia="es-AR"/>
              </w:rPr>
            </w:pPr>
            <w:r w:rsidRPr="0010523F">
              <w:rPr>
                <w:color w:val="000000"/>
                <w:sz w:val="20"/>
                <w:szCs w:val="20"/>
                <w:lang w:val="es-AR" w:eastAsia="es-AR"/>
              </w:rPr>
              <w:t> </w:t>
            </w:r>
          </w:p>
        </w:tc>
      </w:tr>
    </w:tbl>
    <w:p w14:paraId="13C99B4A" w14:textId="77777777" w:rsidR="0010523F" w:rsidRPr="0010523F" w:rsidRDefault="0010523F" w:rsidP="0010523F">
      <w:pPr>
        <w:tabs>
          <w:tab w:val="center" w:pos="1985"/>
          <w:tab w:val="center" w:pos="5670"/>
          <w:tab w:val="center" w:pos="8222"/>
        </w:tabs>
        <w:spacing w:line="220" w:lineRule="exact"/>
        <w:ind w:left="426"/>
        <w:jc w:val="both"/>
        <w:rPr>
          <w:sz w:val="23"/>
          <w:szCs w:val="23"/>
          <w:lang w:val="es-AR" w:eastAsia="en-US"/>
        </w:rPr>
      </w:pPr>
      <w:r w:rsidRPr="0010523F">
        <w:rPr>
          <w:sz w:val="23"/>
          <w:szCs w:val="23"/>
          <w:lang w:val="es-AR" w:eastAsia="en-US"/>
        </w:rPr>
        <w:tab/>
      </w:r>
      <w:r w:rsidRPr="0010523F">
        <w:rPr>
          <w:sz w:val="23"/>
          <w:szCs w:val="23"/>
          <w:lang w:val="es-AR" w:eastAsia="en-US"/>
        </w:rPr>
        <w:tab/>
      </w:r>
    </w:p>
    <w:p w14:paraId="3857159D" w14:textId="77777777" w:rsidR="0010523F" w:rsidRPr="0010523F" w:rsidRDefault="0010523F" w:rsidP="0010523F">
      <w:pPr>
        <w:tabs>
          <w:tab w:val="left" w:pos="4395"/>
          <w:tab w:val="decimal" w:pos="8364"/>
        </w:tabs>
        <w:spacing w:line="100" w:lineRule="exact"/>
        <w:ind w:left="602"/>
        <w:jc w:val="both"/>
        <w:rPr>
          <w:sz w:val="19"/>
          <w:szCs w:val="19"/>
          <w:lang w:val="es-AR" w:eastAsia="en-US"/>
        </w:rPr>
      </w:pPr>
    </w:p>
    <w:p w14:paraId="7FE4F68E" w14:textId="77777777" w:rsidR="0010523F" w:rsidRPr="0010523F" w:rsidRDefault="0010523F" w:rsidP="0010523F">
      <w:pPr>
        <w:spacing w:line="200" w:lineRule="exact"/>
        <w:ind w:left="602"/>
        <w:jc w:val="both"/>
        <w:rPr>
          <w:lang w:val="es-AR" w:eastAsia="en-US"/>
        </w:rPr>
      </w:pPr>
      <w:r w:rsidRPr="0010523F">
        <w:rPr>
          <w:lang w:val="es-AR" w:eastAsia="en-US"/>
        </w:rPr>
        <w:t>Además, la Sucursal ha contratado pólizas de accidentes de trabajo y responsabilidad civil hacia terceros de automotores.</w:t>
      </w:r>
    </w:p>
    <w:p w14:paraId="0DD3B394" w14:textId="77777777" w:rsidR="0010523F" w:rsidRPr="0010523F" w:rsidRDefault="0010523F" w:rsidP="0010523F">
      <w:pPr>
        <w:spacing w:line="140" w:lineRule="exact"/>
        <w:ind w:left="284"/>
        <w:jc w:val="both"/>
        <w:rPr>
          <w:sz w:val="23"/>
          <w:szCs w:val="23"/>
          <w:lang w:val="es-AR" w:eastAsia="en-US"/>
        </w:rPr>
      </w:pPr>
    </w:p>
    <w:p w14:paraId="0D9CF056" w14:textId="77777777" w:rsidR="0010523F" w:rsidRPr="0010523F" w:rsidRDefault="0010523F" w:rsidP="0010523F">
      <w:pPr>
        <w:ind w:left="993" w:hanging="426"/>
        <w:jc w:val="both"/>
        <w:rPr>
          <w:sz w:val="20"/>
          <w:szCs w:val="20"/>
          <w:lang w:val="es-AR" w:eastAsia="en-US"/>
        </w:rPr>
      </w:pPr>
      <w:r w:rsidRPr="0010523F">
        <w:rPr>
          <w:sz w:val="20"/>
          <w:szCs w:val="20"/>
          <w:lang w:val="es-AR" w:eastAsia="en-US"/>
        </w:rPr>
        <w:t>(*)</w:t>
      </w:r>
      <w:r w:rsidRPr="0010523F">
        <w:rPr>
          <w:sz w:val="20"/>
          <w:szCs w:val="20"/>
          <w:lang w:val="es-AR" w:eastAsia="en-US"/>
        </w:rPr>
        <w:tab/>
        <w:t xml:space="preserve">Es el total de las sumas declaradas por este concepto en la póliza. La suma indicada está sujeta a límites y deducibles según la cobertura de que se trate. </w:t>
      </w:r>
    </w:p>
    <w:p w14:paraId="58BCD63A" w14:textId="77777777" w:rsidR="0010523F" w:rsidRPr="0010523F" w:rsidRDefault="0010523F" w:rsidP="0010523F">
      <w:pPr>
        <w:ind w:left="993" w:hanging="426"/>
        <w:jc w:val="both"/>
        <w:rPr>
          <w:sz w:val="20"/>
          <w:szCs w:val="20"/>
          <w:lang w:val="es-AR" w:eastAsia="en-US"/>
        </w:rPr>
      </w:pPr>
      <w:r w:rsidRPr="0010523F">
        <w:rPr>
          <w:sz w:val="20"/>
          <w:szCs w:val="20"/>
          <w:lang w:val="es-AR" w:eastAsia="en-US"/>
        </w:rPr>
        <w:t>(**)</w:t>
      </w:r>
      <w:r w:rsidRPr="0010523F">
        <w:rPr>
          <w:sz w:val="20"/>
          <w:szCs w:val="20"/>
          <w:lang w:val="es-AR" w:eastAsia="en-US"/>
        </w:rPr>
        <w:tab/>
        <w:t xml:space="preserve">De acuerdo con límites y deducibles aplicados a los distintos yacimientos. </w:t>
      </w:r>
    </w:p>
    <w:p w14:paraId="5F7357BE" w14:textId="77777777" w:rsidR="0010523F" w:rsidRPr="0010523F" w:rsidRDefault="0010523F" w:rsidP="0010523F">
      <w:pPr>
        <w:rPr>
          <w:b/>
          <w:sz w:val="20"/>
          <w:szCs w:val="20"/>
          <w:lang w:val="es-AR" w:eastAsia="en-US"/>
        </w:rPr>
      </w:pPr>
    </w:p>
    <w:p w14:paraId="66FA0AB5" w14:textId="77777777" w:rsidR="0010523F" w:rsidRPr="0010523F" w:rsidRDefault="0010523F" w:rsidP="0010523F">
      <w:pPr>
        <w:rPr>
          <w:b/>
          <w:u w:val="single"/>
          <w:lang w:val="es-AR" w:eastAsia="en-US"/>
        </w:rPr>
      </w:pPr>
      <w:r w:rsidRPr="0010523F">
        <w:rPr>
          <w:lang w:val="es-AR" w:eastAsia="en-US"/>
        </w:rPr>
        <w:t>10.</w:t>
      </w:r>
      <w:r w:rsidRPr="0010523F">
        <w:rPr>
          <w:lang w:val="es-AR" w:eastAsia="en-US"/>
        </w:rPr>
        <w:tab/>
      </w:r>
      <w:r w:rsidRPr="0010523F">
        <w:rPr>
          <w:u w:val="single"/>
          <w:lang w:val="es-AR" w:eastAsia="en-US"/>
        </w:rPr>
        <w:t>Contingencias positivas y negativas</w:t>
      </w:r>
    </w:p>
    <w:p w14:paraId="2179B72B" w14:textId="77777777" w:rsidR="0010523F" w:rsidRPr="0010523F" w:rsidRDefault="0010523F" w:rsidP="0010523F">
      <w:pPr>
        <w:spacing w:line="180" w:lineRule="exact"/>
        <w:ind w:left="567" w:hanging="567"/>
        <w:jc w:val="both"/>
        <w:rPr>
          <w:lang w:val="es-AR" w:eastAsia="en-US"/>
        </w:rPr>
      </w:pPr>
    </w:p>
    <w:p w14:paraId="5574B84C" w14:textId="77777777" w:rsidR="0010523F" w:rsidRPr="0010523F" w:rsidRDefault="0010523F" w:rsidP="0010523F">
      <w:pPr>
        <w:ind w:left="567" w:hanging="567"/>
        <w:jc w:val="both"/>
        <w:rPr>
          <w:lang w:val="es-AR" w:eastAsia="en-US"/>
        </w:rPr>
      </w:pPr>
      <w:r w:rsidRPr="0010523F">
        <w:rPr>
          <w:lang w:val="es-AR" w:eastAsia="en-US"/>
        </w:rPr>
        <w:t>10.a)</w:t>
      </w:r>
      <w:r w:rsidRPr="0010523F">
        <w:rPr>
          <w:lang w:val="es-AR" w:eastAsia="en-US"/>
        </w:rPr>
        <w:tab/>
      </w:r>
      <w:r w:rsidRPr="0010523F">
        <w:rPr>
          <w:u w:val="single"/>
          <w:lang w:val="es-AR" w:eastAsia="en-US"/>
        </w:rPr>
        <w:t>Elementos considerados para el cálculo</w:t>
      </w:r>
    </w:p>
    <w:p w14:paraId="79CF26FA" w14:textId="77777777" w:rsidR="0010523F" w:rsidRPr="0010523F" w:rsidRDefault="0010523F" w:rsidP="0010523F">
      <w:pPr>
        <w:spacing w:line="180" w:lineRule="exact"/>
        <w:ind w:left="567" w:hanging="567"/>
        <w:jc w:val="both"/>
        <w:rPr>
          <w:lang w:val="es-AR" w:eastAsia="en-US"/>
        </w:rPr>
      </w:pPr>
    </w:p>
    <w:p w14:paraId="1B175031" w14:textId="77777777" w:rsidR="0010523F" w:rsidRPr="0010523F" w:rsidRDefault="0010523F" w:rsidP="0010523F">
      <w:pPr>
        <w:ind w:left="567" w:hanging="6"/>
        <w:jc w:val="both"/>
        <w:rPr>
          <w:highlight w:val="yellow"/>
          <w:lang w:val="es-AR" w:eastAsia="en-US"/>
        </w:rPr>
      </w:pPr>
      <w:r w:rsidRPr="0010523F">
        <w:rPr>
          <w:lang w:val="es-AR" w:eastAsia="en-US"/>
        </w:rPr>
        <w:t>Para la evaluación de las contingencias se han considerado la totalidad de los elementos de juicio disponibles y el grado de probabilidad de ocurrencia de las mismas. Con respecto a previsiones, provisiones y contingencias, ver Notas 10; 12; 13; 16; 18 a 27 y los Anexos E-1 y E-2 a los estados financieros al 31 de diciembre de 2018 y las notas 9; 10 y 12 a 16 y los Anexos E-1 y E-2 a los presentes estados financieros intermedios condensados.</w:t>
      </w:r>
    </w:p>
    <w:p w14:paraId="686C1594" w14:textId="77777777" w:rsidR="0010523F" w:rsidRPr="0010523F" w:rsidRDefault="0010523F" w:rsidP="0010523F">
      <w:pPr>
        <w:tabs>
          <w:tab w:val="left" w:pos="426"/>
        </w:tabs>
        <w:ind w:left="567" w:hanging="567"/>
        <w:jc w:val="both"/>
        <w:rPr>
          <w:u w:val="single"/>
          <w:lang w:val="es-AR" w:eastAsia="en-US"/>
        </w:rPr>
      </w:pPr>
      <w:r w:rsidRPr="0010523F">
        <w:rPr>
          <w:lang w:val="es-AR" w:eastAsia="en-US"/>
        </w:rPr>
        <w:t>10.b)</w:t>
      </w:r>
      <w:r w:rsidRPr="0010523F">
        <w:rPr>
          <w:lang w:val="es-AR" w:eastAsia="en-US"/>
        </w:rPr>
        <w:tab/>
      </w:r>
      <w:r w:rsidRPr="0010523F">
        <w:rPr>
          <w:u w:val="single"/>
          <w:lang w:val="es-AR" w:eastAsia="en-US"/>
        </w:rPr>
        <w:t xml:space="preserve">Situaciones contingentes a la fecha de los estados financieros intermedios condensados cuya probabilidad de ocurrencia no sea remota y cuyos efectos patrimoniales no hayan sido contabilizados en su totalidad al 30 de septiembre de 2019 </w:t>
      </w:r>
    </w:p>
    <w:p w14:paraId="1584CE4C" w14:textId="77777777" w:rsidR="0010523F" w:rsidRPr="0010523F" w:rsidRDefault="0010523F" w:rsidP="0010523F">
      <w:pPr>
        <w:ind w:left="567" w:hanging="567"/>
        <w:jc w:val="both"/>
        <w:rPr>
          <w:lang w:val="es-AR" w:eastAsia="en-US"/>
        </w:rPr>
      </w:pPr>
    </w:p>
    <w:p w14:paraId="22EAF2EE" w14:textId="77777777" w:rsidR="0010523F" w:rsidRPr="0010523F" w:rsidRDefault="0010523F" w:rsidP="0010523F">
      <w:pPr>
        <w:ind w:left="567" w:hanging="6"/>
        <w:jc w:val="both"/>
        <w:rPr>
          <w:lang w:val="es-AR" w:eastAsia="en-US"/>
        </w:rPr>
      </w:pPr>
      <w:r w:rsidRPr="0010523F">
        <w:rPr>
          <w:lang w:val="es-AR" w:eastAsia="en-US"/>
        </w:rPr>
        <w:t>Ver notas 13; 14; 16; 18 a 22 y 24 a 27 a los estados financieros al 31 de diciembre de 2018 y las notas 9; 10 y 13 a 16 a los presentes estados financieros intermedios condensados.</w:t>
      </w:r>
    </w:p>
    <w:p w14:paraId="2A766C94" w14:textId="77777777" w:rsidR="0010523F" w:rsidRPr="0010523F" w:rsidRDefault="0010523F" w:rsidP="0010523F">
      <w:pPr>
        <w:ind w:left="567" w:hanging="6"/>
        <w:jc w:val="both"/>
        <w:rPr>
          <w:lang w:val="es-AR" w:eastAsia="en-US"/>
        </w:rPr>
      </w:pPr>
    </w:p>
    <w:p w14:paraId="1C30349F" w14:textId="77777777" w:rsidR="0010523F" w:rsidRPr="0010523F" w:rsidRDefault="0010523F" w:rsidP="0010523F">
      <w:pPr>
        <w:ind w:left="567" w:hanging="567"/>
        <w:jc w:val="both"/>
        <w:rPr>
          <w:u w:val="single"/>
          <w:lang w:val="es-AR" w:eastAsia="en-US"/>
        </w:rPr>
      </w:pPr>
      <w:r w:rsidRPr="0010523F">
        <w:rPr>
          <w:lang w:val="es-AR" w:eastAsia="en-US"/>
        </w:rPr>
        <w:t>11.</w:t>
      </w:r>
      <w:r w:rsidRPr="0010523F">
        <w:rPr>
          <w:lang w:val="es-AR" w:eastAsia="en-US"/>
        </w:rPr>
        <w:tab/>
      </w:r>
      <w:r w:rsidRPr="0010523F">
        <w:rPr>
          <w:u w:val="single"/>
          <w:lang w:val="es-AR" w:eastAsia="en-US"/>
        </w:rPr>
        <w:t>Adelantos irrevocables a cuenta de futuras suscripciones</w:t>
      </w:r>
    </w:p>
    <w:p w14:paraId="005F7CDA" w14:textId="77777777" w:rsidR="0010523F" w:rsidRPr="0010523F" w:rsidRDefault="0010523F" w:rsidP="0010523F">
      <w:pPr>
        <w:ind w:left="567" w:hanging="567"/>
        <w:jc w:val="both"/>
        <w:rPr>
          <w:lang w:val="es-AR" w:eastAsia="en-US"/>
        </w:rPr>
      </w:pPr>
    </w:p>
    <w:p w14:paraId="6A455670" w14:textId="77777777" w:rsidR="0010523F" w:rsidRPr="0010523F" w:rsidRDefault="0010523F" w:rsidP="0010523F">
      <w:pPr>
        <w:ind w:left="567" w:right="96" w:hanging="567"/>
        <w:jc w:val="both"/>
        <w:rPr>
          <w:lang w:val="es-AR" w:eastAsia="en-US"/>
        </w:rPr>
      </w:pPr>
      <w:r w:rsidRPr="0010523F">
        <w:rPr>
          <w:lang w:val="es-AR" w:eastAsia="en-US"/>
        </w:rPr>
        <w:tab/>
        <w:t>Al 30 de septiembre de 2019 no existen adelantos irrevocables a cuenta de futuras suscripciones.</w:t>
      </w:r>
    </w:p>
    <w:p w14:paraId="0111FD14" w14:textId="77777777" w:rsidR="0010523F" w:rsidRPr="0010523F" w:rsidRDefault="0010523F" w:rsidP="0010523F">
      <w:pPr>
        <w:tabs>
          <w:tab w:val="left" w:pos="426"/>
        </w:tabs>
        <w:ind w:left="567" w:hanging="567"/>
        <w:jc w:val="both"/>
        <w:rPr>
          <w:lang w:val="es-AR" w:eastAsia="en-US"/>
        </w:rPr>
      </w:pPr>
    </w:p>
    <w:p w14:paraId="2A26A9D4" w14:textId="77777777" w:rsidR="0010523F" w:rsidRPr="0010523F" w:rsidRDefault="0010523F" w:rsidP="0010523F">
      <w:pPr>
        <w:ind w:left="567" w:hanging="567"/>
        <w:jc w:val="both"/>
        <w:rPr>
          <w:u w:val="single"/>
          <w:lang w:val="es-AR" w:eastAsia="en-US"/>
        </w:rPr>
      </w:pPr>
      <w:r w:rsidRPr="0010523F">
        <w:rPr>
          <w:lang w:val="es-AR" w:eastAsia="en-US"/>
        </w:rPr>
        <w:t>12.</w:t>
      </w:r>
      <w:r w:rsidRPr="0010523F">
        <w:rPr>
          <w:lang w:val="es-AR" w:eastAsia="en-US"/>
        </w:rPr>
        <w:tab/>
      </w:r>
      <w:r w:rsidRPr="0010523F">
        <w:rPr>
          <w:u w:val="single"/>
          <w:lang w:val="es-AR" w:eastAsia="en-US"/>
        </w:rPr>
        <w:t>Dividendos acumulativos impagos de acciones preferidas</w:t>
      </w:r>
    </w:p>
    <w:p w14:paraId="284E0163" w14:textId="77777777" w:rsidR="0010523F" w:rsidRPr="0010523F" w:rsidRDefault="0010523F" w:rsidP="0010523F">
      <w:pPr>
        <w:ind w:left="567" w:hanging="567"/>
        <w:jc w:val="both"/>
        <w:rPr>
          <w:lang w:val="es-AR" w:eastAsia="en-US"/>
        </w:rPr>
      </w:pPr>
    </w:p>
    <w:p w14:paraId="5397EA00" w14:textId="77777777" w:rsidR="0010523F" w:rsidRPr="0010523F" w:rsidRDefault="0010523F" w:rsidP="0010523F">
      <w:pPr>
        <w:ind w:left="567" w:hanging="567"/>
        <w:jc w:val="both"/>
        <w:rPr>
          <w:lang w:val="es-AR" w:eastAsia="en-US"/>
        </w:rPr>
      </w:pPr>
      <w:r w:rsidRPr="0010523F">
        <w:rPr>
          <w:lang w:val="es-AR" w:eastAsia="en-US"/>
        </w:rPr>
        <w:tab/>
        <w:t>No existen al 30 de septiembre de 2019 acciones preferidas.</w:t>
      </w:r>
    </w:p>
    <w:p w14:paraId="05F8D895" w14:textId="77777777" w:rsidR="0010523F" w:rsidRPr="0010523F" w:rsidRDefault="0010523F" w:rsidP="0010523F">
      <w:pPr>
        <w:ind w:left="567" w:hanging="567"/>
        <w:jc w:val="both"/>
        <w:rPr>
          <w:lang w:val="es-AR" w:eastAsia="en-US"/>
        </w:rPr>
      </w:pPr>
    </w:p>
    <w:p w14:paraId="36998E5E" w14:textId="77777777" w:rsidR="0010523F" w:rsidRPr="0010523F" w:rsidRDefault="0010523F" w:rsidP="0010523F">
      <w:pPr>
        <w:ind w:left="567" w:hanging="567"/>
        <w:jc w:val="both"/>
        <w:rPr>
          <w:lang w:val="es-AR" w:eastAsia="en-US"/>
        </w:rPr>
      </w:pPr>
      <w:r w:rsidRPr="0010523F">
        <w:rPr>
          <w:lang w:val="es-AR" w:eastAsia="en-US"/>
        </w:rPr>
        <w:t>13.</w:t>
      </w:r>
      <w:r w:rsidRPr="0010523F">
        <w:rPr>
          <w:lang w:val="es-AR" w:eastAsia="en-US"/>
        </w:rPr>
        <w:tab/>
      </w:r>
      <w:r w:rsidRPr="0010523F">
        <w:rPr>
          <w:u w:val="single"/>
          <w:lang w:val="es-AR" w:eastAsia="en-US"/>
        </w:rPr>
        <w:t>Condiciones, circunstancias o plazos para la cesación de las restricciones a la distribución de los resultados no asignados, incluyendo las que se originan por la afectación de la reserva legal para absorber pérdidas finales y aún están pendientes de reintegro</w:t>
      </w:r>
    </w:p>
    <w:p w14:paraId="3BF77581" w14:textId="77777777" w:rsidR="0010523F" w:rsidRPr="0010523F" w:rsidRDefault="0010523F" w:rsidP="0010523F">
      <w:pPr>
        <w:ind w:left="567" w:hanging="567"/>
        <w:jc w:val="both"/>
        <w:rPr>
          <w:lang w:val="es-AR" w:eastAsia="en-US"/>
        </w:rPr>
      </w:pPr>
    </w:p>
    <w:p w14:paraId="1F63A909" w14:textId="77777777" w:rsidR="0010523F" w:rsidRPr="0010523F" w:rsidRDefault="0010523F" w:rsidP="0010523F">
      <w:pPr>
        <w:ind w:left="567" w:hanging="567"/>
        <w:jc w:val="both"/>
        <w:rPr>
          <w:lang w:val="es-AR" w:eastAsia="en-US"/>
        </w:rPr>
      </w:pPr>
      <w:r w:rsidRPr="0010523F">
        <w:rPr>
          <w:lang w:val="es-AR" w:eastAsia="en-US"/>
        </w:rPr>
        <w:tab/>
        <w:t>No existen al 30 de septiembre de 2019, restricciones inherentes a la Sucursal con respecto a la distribución de resultados, excepto por lo indicado en la Nota 9 a los estados financieros intermedios condensados.</w:t>
      </w:r>
    </w:p>
    <w:p w14:paraId="4D588992" w14:textId="77777777" w:rsidR="0010523F" w:rsidRPr="0010523F" w:rsidRDefault="0010523F" w:rsidP="0010523F">
      <w:pPr>
        <w:jc w:val="both"/>
        <w:rPr>
          <w:bCs/>
          <w:lang w:val="es-AR" w:eastAsia="en-US"/>
        </w:rPr>
      </w:pPr>
    </w:p>
    <w:p w14:paraId="58A294EF" w14:textId="77777777" w:rsidR="0010523F" w:rsidRPr="0010523F" w:rsidRDefault="0010523F" w:rsidP="0010523F">
      <w:pPr>
        <w:jc w:val="both"/>
        <w:rPr>
          <w:bCs/>
          <w:lang w:val="es-AR" w:eastAsia="en-US"/>
        </w:rPr>
      </w:pPr>
      <w:r w:rsidRPr="0010523F">
        <w:rPr>
          <w:bCs/>
          <w:lang w:val="es-AR" w:eastAsia="en-US"/>
        </w:rPr>
        <w:t>Ciudad Autónoma de Buenos Aires, 11 de noviembre de 2019</w:t>
      </w:r>
    </w:p>
    <w:p w14:paraId="70386811" w14:textId="77777777" w:rsidR="0010523F" w:rsidRPr="0010523F" w:rsidRDefault="0010523F" w:rsidP="0010523F">
      <w:pPr>
        <w:jc w:val="both"/>
        <w:rPr>
          <w:bCs/>
          <w:lang w:val="es-AR" w:eastAsia="en-US"/>
        </w:rPr>
      </w:pPr>
    </w:p>
    <w:p w14:paraId="3EFD4CD0" w14:textId="77777777" w:rsidR="0010523F" w:rsidRPr="0010523F" w:rsidRDefault="0010523F" w:rsidP="0010523F">
      <w:pPr>
        <w:jc w:val="both"/>
        <w:rPr>
          <w:bCs/>
          <w:lang w:val="es-AR" w:eastAsia="en-US"/>
        </w:rPr>
      </w:pPr>
    </w:p>
    <w:p w14:paraId="16788C20" w14:textId="77777777" w:rsidR="0010523F" w:rsidRPr="0010523F" w:rsidRDefault="0010523F" w:rsidP="0010523F">
      <w:pPr>
        <w:jc w:val="both"/>
        <w:rPr>
          <w:bCs/>
          <w:lang w:val="es-AR" w:eastAsia="en-US"/>
        </w:rPr>
      </w:pPr>
    </w:p>
    <w:p w14:paraId="29A462D2" w14:textId="77777777" w:rsidR="0010523F" w:rsidRPr="0010523F" w:rsidRDefault="0010523F" w:rsidP="0010523F">
      <w:pPr>
        <w:tabs>
          <w:tab w:val="center" w:pos="7655"/>
        </w:tabs>
        <w:jc w:val="both"/>
        <w:rPr>
          <w:sz w:val="18"/>
          <w:szCs w:val="18"/>
          <w:lang w:val="es-AR" w:eastAsia="en-US"/>
        </w:rPr>
      </w:pPr>
      <w:r w:rsidRPr="0010523F">
        <w:rPr>
          <w:lang w:val="es-AR" w:eastAsia="en-US"/>
        </w:rPr>
        <w:tab/>
      </w:r>
      <w:r w:rsidRPr="0010523F">
        <w:rPr>
          <w:sz w:val="18"/>
          <w:szCs w:val="18"/>
          <w:lang w:val="es-AR" w:eastAsia="en-US"/>
        </w:rPr>
        <w:t>Rodolfo E. Berisso</w:t>
      </w:r>
    </w:p>
    <w:p w14:paraId="226FD8CC" w14:textId="77777777" w:rsidR="0010523F" w:rsidRPr="0010523F" w:rsidRDefault="0010523F" w:rsidP="0010523F">
      <w:pPr>
        <w:tabs>
          <w:tab w:val="center" w:pos="7655"/>
        </w:tabs>
        <w:jc w:val="both"/>
        <w:rPr>
          <w:sz w:val="18"/>
          <w:szCs w:val="18"/>
          <w:u w:val="single"/>
          <w:lang w:val="es-AR" w:eastAsia="en-US"/>
        </w:rPr>
      </w:pPr>
      <w:r w:rsidRPr="0010523F">
        <w:rPr>
          <w:sz w:val="18"/>
          <w:szCs w:val="18"/>
          <w:lang w:val="es-AR" w:eastAsia="en-US"/>
        </w:rPr>
        <w:tab/>
      </w:r>
      <w:r w:rsidRPr="0010523F">
        <w:rPr>
          <w:sz w:val="18"/>
          <w:szCs w:val="18"/>
          <w:u w:val="single"/>
          <w:lang w:val="es-AR" w:eastAsia="en-US"/>
        </w:rPr>
        <w:t>Apoderado</w:t>
      </w:r>
    </w:p>
    <w:p w14:paraId="37DCE107" w14:textId="77777777" w:rsidR="0010523F" w:rsidRPr="0010523F" w:rsidRDefault="0010523F" w:rsidP="0010523F">
      <w:pPr>
        <w:tabs>
          <w:tab w:val="center" w:pos="7655"/>
        </w:tabs>
        <w:jc w:val="both"/>
        <w:rPr>
          <w:lang w:val="es-AR" w:eastAsia="en-US"/>
        </w:rPr>
      </w:pPr>
    </w:p>
    <w:p w14:paraId="2FB197FF" w14:textId="77777777" w:rsidR="0010523F" w:rsidRPr="0010523F" w:rsidRDefault="0010523F" w:rsidP="0010523F">
      <w:pPr>
        <w:spacing w:line="220" w:lineRule="exact"/>
        <w:jc w:val="both"/>
        <w:rPr>
          <w:lang w:val="es-AR" w:eastAsia="en-US"/>
        </w:rPr>
      </w:pPr>
    </w:p>
    <w:p w14:paraId="4B20CBEE" w14:textId="77777777" w:rsidR="0010523F" w:rsidRPr="0010523F" w:rsidRDefault="0010523F" w:rsidP="0010523F">
      <w:pPr>
        <w:spacing w:line="220" w:lineRule="exact"/>
        <w:jc w:val="both"/>
        <w:rPr>
          <w:lang w:val="es-AR" w:eastAsia="en-US"/>
        </w:rPr>
      </w:pPr>
    </w:p>
    <w:p w14:paraId="443C4F70" w14:textId="77777777" w:rsidR="0010523F" w:rsidRPr="0010523F" w:rsidRDefault="0010523F" w:rsidP="0010523F">
      <w:pPr>
        <w:spacing w:line="220" w:lineRule="exact"/>
        <w:jc w:val="both"/>
        <w:rPr>
          <w:lang w:val="es-AR" w:eastAsia="en-US"/>
        </w:rPr>
      </w:pPr>
    </w:p>
    <w:p w14:paraId="58C05DB1" w14:textId="77777777" w:rsidR="0010523F" w:rsidRPr="0010523F" w:rsidRDefault="0010523F" w:rsidP="0010523F">
      <w:pPr>
        <w:tabs>
          <w:tab w:val="left" w:pos="3872"/>
        </w:tabs>
        <w:spacing w:line="220" w:lineRule="exact"/>
        <w:jc w:val="both"/>
        <w:rPr>
          <w:lang w:val="es-AR" w:eastAsia="en-US"/>
        </w:rPr>
      </w:pPr>
      <w:r w:rsidRPr="0010523F">
        <w:rPr>
          <w:lang w:val="es-AR" w:eastAsia="en-US"/>
        </w:rPr>
        <w:tab/>
      </w:r>
    </w:p>
    <w:p w14:paraId="53C007C4" w14:textId="77777777" w:rsidR="0010523F" w:rsidRDefault="00F6088C" w:rsidP="0010523F">
      <w:pPr>
        <w:jc w:val="center"/>
        <w:rPr>
          <w:sz w:val="20"/>
          <w:szCs w:val="20"/>
          <w:lang w:val="es-AR"/>
        </w:rPr>
        <w:sectPr w:rsidR="0010523F" w:rsidSect="00AD76BB">
          <w:pgSz w:w="11906" w:h="16838"/>
          <w:pgMar w:top="1417" w:right="1701" w:bottom="1417" w:left="1701" w:header="708" w:footer="708" w:gutter="0"/>
          <w:cols w:space="708"/>
          <w:titlePg/>
          <w:docGrid w:linePitch="360"/>
        </w:sectPr>
      </w:pPr>
      <w:r w:rsidRPr="0010523F">
        <w:rPr>
          <w:sz w:val="20"/>
          <w:szCs w:val="20"/>
          <w:lang w:val="es-AR"/>
        </w:rPr>
        <w:br w:type="page"/>
      </w:r>
    </w:p>
    <w:p w14:paraId="7C81B25C" w14:textId="762710E5" w:rsidR="00F6088C" w:rsidRPr="0010523F" w:rsidRDefault="00F6088C" w:rsidP="0010523F">
      <w:pPr>
        <w:jc w:val="center"/>
        <w:rPr>
          <w:sz w:val="20"/>
          <w:szCs w:val="20"/>
          <w:lang w:val="es-AR"/>
        </w:rPr>
      </w:pPr>
    </w:p>
    <w:p w14:paraId="3ABE77DC" w14:textId="77777777" w:rsidR="00F6088C" w:rsidRPr="0010523F" w:rsidRDefault="00F6088C" w:rsidP="0010523F">
      <w:pPr>
        <w:rPr>
          <w:b/>
          <w:lang w:val="es-AR"/>
        </w:rPr>
      </w:pPr>
    </w:p>
    <w:tbl>
      <w:tblPr>
        <w:tblW w:w="5000" w:type="pct"/>
        <w:jc w:val="center"/>
        <w:tblLook w:val="04A0" w:firstRow="1" w:lastRow="0" w:firstColumn="1" w:lastColumn="0" w:noHBand="0" w:noVBand="1"/>
      </w:tblPr>
      <w:tblGrid>
        <w:gridCol w:w="4252"/>
        <w:gridCol w:w="4252"/>
      </w:tblGrid>
      <w:tr w:rsidR="000A562E" w:rsidRPr="00EA7870" w14:paraId="3C2AF72E" w14:textId="77777777" w:rsidTr="008C3631">
        <w:trPr>
          <w:trHeight w:val="406"/>
          <w:jc w:val="center"/>
        </w:trPr>
        <w:tc>
          <w:tcPr>
            <w:tcW w:w="5000" w:type="pct"/>
            <w:gridSpan w:val="2"/>
            <w:shd w:val="clear" w:color="auto" w:fill="auto"/>
          </w:tcPr>
          <w:p w14:paraId="7E7DAEDD" w14:textId="77777777" w:rsidR="000A562E" w:rsidRPr="00EA7870" w:rsidRDefault="000A562E" w:rsidP="00593373">
            <w:pPr>
              <w:jc w:val="center"/>
              <w:rPr>
                <w:b/>
                <w:sz w:val="20"/>
                <w:szCs w:val="20"/>
                <w:lang w:val="es-AR"/>
              </w:rPr>
            </w:pPr>
            <w:bookmarkStart w:id="176" w:name="_Toc515470754"/>
            <w:bookmarkStart w:id="177" w:name="_Toc515880015"/>
            <w:bookmarkStart w:id="178" w:name="_Toc519244220"/>
            <w:bookmarkStart w:id="179" w:name="_Toc526498943"/>
            <w:r w:rsidRPr="00EA7870">
              <w:rPr>
                <w:b/>
                <w:sz w:val="20"/>
                <w:szCs w:val="20"/>
                <w:lang w:val="es-AR"/>
              </w:rPr>
              <w:t>EMISOR</w:t>
            </w:r>
            <w:bookmarkEnd w:id="176"/>
            <w:bookmarkEnd w:id="177"/>
            <w:bookmarkEnd w:id="178"/>
            <w:bookmarkEnd w:id="179"/>
            <w:r w:rsidR="00593373" w:rsidRPr="00EA7870">
              <w:rPr>
                <w:b/>
                <w:sz w:val="20"/>
                <w:szCs w:val="20"/>
                <w:lang w:val="es-AR"/>
              </w:rPr>
              <w:t>A</w:t>
            </w:r>
          </w:p>
          <w:p w14:paraId="36AA3E76" w14:textId="77777777" w:rsidR="00CD0BEF" w:rsidRPr="00EA7870" w:rsidRDefault="00CD0BEF" w:rsidP="00593373">
            <w:pPr>
              <w:jc w:val="center"/>
              <w:rPr>
                <w:sz w:val="20"/>
                <w:szCs w:val="20"/>
                <w:lang w:val="es-AR"/>
              </w:rPr>
            </w:pPr>
          </w:p>
        </w:tc>
      </w:tr>
      <w:tr w:rsidR="000A562E" w:rsidRPr="00EA7870" w14:paraId="569D6DF3" w14:textId="77777777" w:rsidTr="008C3631">
        <w:trPr>
          <w:jc w:val="center"/>
        </w:trPr>
        <w:tc>
          <w:tcPr>
            <w:tcW w:w="5000" w:type="pct"/>
            <w:gridSpan w:val="2"/>
            <w:shd w:val="clear" w:color="auto" w:fill="auto"/>
          </w:tcPr>
          <w:p w14:paraId="57597008" w14:textId="77777777" w:rsidR="000A562E" w:rsidRPr="00EA7870" w:rsidRDefault="000A562E" w:rsidP="00593373">
            <w:pPr>
              <w:jc w:val="center"/>
              <w:rPr>
                <w:b/>
                <w:sz w:val="20"/>
                <w:szCs w:val="20"/>
                <w:lang w:val="es-AR"/>
              </w:rPr>
            </w:pPr>
            <w:bookmarkStart w:id="180" w:name="_Toc515470755"/>
            <w:bookmarkStart w:id="181" w:name="_Toc515880016"/>
            <w:bookmarkStart w:id="182" w:name="_Toc519244221"/>
            <w:bookmarkStart w:id="183" w:name="_Toc526498944"/>
            <w:r w:rsidRPr="00EA7870">
              <w:rPr>
                <w:b/>
                <w:sz w:val="20"/>
                <w:szCs w:val="20"/>
                <w:lang w:val="es-AR"/>
              </w:rPr>
              <w:t>Pan</w:t>
            </w:r>
            <w:r w:rsidR="001A28B3" w:rsidRPr="00EA7870">
              <w:rPr>
                <w:b/>
                <w:sz w:val="20"/>
                <w:szCs w:val="20"/>
                <w:lang w:val="es-AR"/>
              </w:rPr>
              <w:t xml:space="preserve"> </w:t>
            </w:r>
            <w:r w:rsidRPr="00EA7870">
              <w:rPr>
                <w:b/>
                <w:sz w:val="20"/>
                <w:szCs w:val="20"/>
                <w:lang w:val="es-AR"/>
              </w:rPr>
              <w:t>American</w:t>
            </w:r>
            <w:r w:rsidR="001A28B3" w:rsidRPr="00EA7870">
              <w:rPr>
                <w:b/>
                <w:sz w:val="20"/>
                <w:szCs w:val="20"/>
                <w:lang w:val="es-AR"/>
              </w:rPr>
              <w:t xml:space="preserve"> </w:t>
            </w:r>
            <w:r w:rsidRPr="00EA7870">
              <w:rPr>
                <w:b/>
                <w:sz w:val="20"/>
                <w:szCs w:val="20"/>
                <w:lang w:val="es-AR"/>
              </w:rPr>
              <w:t>Energy</w:t>
            </w:r>
            <w:r w:rsidR="00036393" w:rsidRPr="00EA7870">
              <w:rPr>
                <w:b/>
                <w:sz w:val="20"/>
                <w:szCs w:val="20"/>
                <w:lang w:val="es-AR"/>
              </w:rPr>
              <w:t>,</w:t>
            </w:r>
            <w:r w:rsidR="001A28B3" w:rsidRPr="00EA7870">
              <w:rPr>
                <w:b/>
                <w:sz w:val="20"/>
                <w:szCs w:val="20"/>
                <w:lang w:val="es-AR"/>
              </w:rPr>
              <w:t xml:space="preserve"> </w:t>
            </w:r>
            <w:r w:rsidR="00036393" w:rsidRPr="00EA7870">
              <w:rPr>
                <w:b/>
                <w:sz w:val="20"/>
                <w:szCs w:val="20"/>
                <w:lang w:val="es-AR"/>
              </w:rPr>
              <w:t>S.L.</w:t>
            </w:r>
            <w:r w:rsidR="00096EDA" w:rsidRPr="00EA7870">
              <w:rPr>
                <w:b/>
                <w:sz w:val="20"/>
                <w:szCs w:val="20"/>
                <w:lang w:val="es-AR"/>
              </w:rPr>
              <w:t>,</w:t>
            </w:r>
            <w:r w:rsidR="001A28B3" w:rsidRPr="00EA7870">
              <w:rPr>
                <w:b/>
                <w:sz w:val="20"/>
                <w:szCs w:val="20"/>
                <w:lang w:val="es-AR"/>
              </w:rPr>
              <w:t xml:space="preserve"> </w:t>
            </w:r>
            <w:r w:rsidR="00096EDA" w:rsidRPr="00EA7870">
              <w:rPr>
                <w:b/>
                <w:sz w:val="20"/>
                <w:szCs w:val="20"/>
                <w:lang w:val="es-AR"/>
              </w:rPr>
              <w:t>Sucursal</w:t>
            </w:r>
            <w:r w:rsidR="001A28B3" w:rsidRPr="00EA7870">
              <w:rPr>
                <w:b/>
                <w:sz w:val="20"/>
                <w:szCs w:val="20"/>
                <w:lang w:val="es-AR"/>
              </w:rPr>
              <w:t xml:space="preserve"> </w:t>
            </w:r>
            <w:r w:rsidR="00096EDA" w:rsidRPr="00EA7870">
              <w:rPr>
                <w:b/>
                <w:sz w:val="20"/>
                <w:szCs w:val="20"/>
                <w:lang w:val="es-AR"/>
              </w:rPr>
              <w:t>Argentina</w:t>
            </w:r>
            <w:bookmarkEnd w:id="180"/>
            <w:bookmarkEnd w:id="181"/>
            <w:bookmarkEnd w:id="182"/>
            <w:bookmarkEnd w:id="183"/>
          </w:p>
          <w:p w14:paraId="1D2BD852" w14:textId="77777777" w:rsidR="000A562E" w:rsidRPr="00EA7870" w:rsidRDefault="000A562E" w:rsidP="00593373">
            <w:pPr>
              <w:jc w:val="center"/>
              <w:rPr>
                <w:sz w:val="20"/>
                <w:szCs w:val="20"/>
                <w:lang w:val="es-AR"/>
              </w:rPr>
            </w:pPr>
            <w:r w:rsidRPr="00EA7870">
              <w:rPr>
                <w:sz w:val="20"/>
                <w:szCs w:val="20"/>
                <w:lang w:val="es-AR"/>
              </w:rPr>
              <w:t>Av.</w:t>
            </w:r>
            <w:r w:rsidR="001A28B3" w:rsidRPr="00EA7870">
              <w:rPr>
                <w:sz w:val="20"/>
                <w:szCs w:val="20"/>
                <w:lang w:val="es-AR"/>
              </w:rPr>
              <w:t xml:space="preserve"> </w:t>
            </w:r>
            <w:r w:rsidRPr="00EA7870">
              <w:rPr>
                <w:sz w:val="20"/>
                <w:szCs w:val="20"/>
                <w:lang w:val="es-AR"/>
              </w:rPr>
              <w:t>Leandro</w:t>
            </w:r>
            <w:r w:rsidR="001A28B3" w:rsidRPr="00EA7870">
              <w:rPr>
                <w:sz w:val="20"/>
                <w:szCs w:val="20"/>
                <w:lang w:val="es-AR"/>
              </w:rPr>
              <w:t xml:space="preserve"> </w:t>
            </w:r>
            <w:r w:rsidRPr="00EA7870">
              <w:rPr>
                <w:sz w:val="20"/>
                <w:szCs w:val="20"/>
                <w:lang w:val="es-AR"/>
              </w:rPr>
              <w:t>N.</w:t>
            </w:r>
            <w:r w:rsidR="001A28B3" w:rsidRPr="00EA7870">
              <w:rPr>
                <w:sz w:val="20"/>
                <w:szCs w:val="20"/>
                <w:lang w:val="es-AR"/>
              </w:rPr>
              <w:t xml:space="preserve"> </w:t>
            </w:r>
            <w:r w:rsidRPr="00EA7870">
              <w:rPr>
                <w:sz w:val="20"/>
                <w:szCs w:val="20"/>
                <w:lang w:val="es-AR"/>
              </w:rPr>
              <w:t>Alem</w:t>
            </w:r>
            <w:r w:rsidR="001A28B3" w:rsidRPr="00EA7870">
              <w:rPr>
                <w:sz w:val="20"/>
                <w:szCs w:val="20"/>
                <w:lang w:val="es-AR"/>
              </w:rPr>
              <w:t xml:space="preserve"> </w:t>
            </w:r>
            <w:r w:rsidRPr="00EA7870">
              <w:rPr>
                <w:sz w:val="20"/>
                <w:szCs w:val="20"/>
                <w:lang w:val="es-AR"/>
              </w:rPr>
              <w:t>1180</w:t>
            </w:r>
          </w:p>
          <w:p w14:paraId="36168D78" w14:textId="77777777" w:rsidR="000A562E" w:rsidRPr="00EA7870" w:rsidRDefault="000A562E" w:rsidP="00593373">
            <w:pPr>
              <w:jc w:val="center"/>
              <w:rPr>
                <w:sz w:val="20"/>
                <w:szCs w:val="20"/>
                <w:lang w:val="es-AR"/>
              </w:rPr>
            </w:pPr>
            <w:r w:rsidRPr="00EA7870">
              <w:rPr>
                <w:sz w:val="20"/>
                <w:szCs w:val="20"/>
                <w:lang w:val="es-AR"/>
              </w:rPr>
              <w:t>(C1001AAT),</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Autónoma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Buenos</w:t>
            </w:r>
            <w:r w:rsidR="001A28B3" w:rsidRPr="00EA7870">
              <w:rPr>
                <w:sz w:val="20"/>
                <w:szCs w:val="20"/>
                <w:lang w:val="es-AR"/>
              </w:rPr>
              <w:t xml:space="preserve"> </w:t>
            </w:r>
            <w:r w:rsidRPr="00EA7870">
              <w:rPr>
                <w:sz w:val="20"/>
                <w:szCs w:val="20"/>
                <w:lang w:val="es-AR"/>
              </w:rPr>
              <w:t>Aires</w:t>
            </w:r>
          </w:p>
          <w:p w14:paraId="1A3DF99B" w14:textId="77777777" w:rsidR="000A562E" w:rsidRPr="00EA7870" w:rsidRDefault="000A562E" w:rsidP="00593373">
            <w:pPr>
              <w:jc w:val="center"/>
              <w:rPr>
                <w:sz w:val="20"/>
                <w:szCs w:val="20"/>
                <w:lang w:val="es-AR"/>
              </w:rPr>
            </w:pPr>
            <w:r w:rsidRPr="00EA7870">
              <w:rPr>
                <w:sz w:val="20"/>
                <w:szCs w:val="20"/>
                <w:lang w:val="es-AR"/>
              </w:rPr>
              <w:t>República</w:t>
            </w:r>
            <w:r w:rsidR="001A28B3" w:rsidRPr="00EA7870">
              <w:rPr>
                <w:sz w:val="20"/>
                <w:szCs w:val="20"/>
                <w:lang w:val="es-AR"/>
              </w:rPr>
              <w:t xml:space="preserve"> </w:t>
            </w:r>
            <w:r w:rsidRPr="00EA7870">
              <w:rPr>
                <w:sz w:val="20"/>
                <w:szCs w:val="20"/>
                <w:lang w:val="es-AR"/>
              </w:rPr>
              <w:t>Argentina</w:t>
            </w:r>
          </w:p>
        </w:tc>
      </w:tr>
      <w:tr w:rsidR="000A562E" w:rsidRPr="00EA7870" w14:paraId="59482366" w14:textId="77777777" w:rsidTr="008C3631">
        <w:trPr>
          <w:jc w:val="center"/>
        </w:trPr>
        <w:tc>
          <w:tcPr>
            <w:tcW w:w="5000" w:type="pct"/>
            <w:gridSpan w:val="2"/>
            <w:shd w:val="clear" w:color="auto" w:fill="auto"/>
          </w:tcPr>
          <w:p w14:paraId="708FD76B" w14:textId="77777777" w:rsidR="00CD0BEF" w:rsidRPr="00EA7870" w:rsidRDefault="00CD0BEF">
            <w:pPr>
              <w:jc w:val="center"/>
              <w:rPr>
                <w:sz w:val="20"/>
                <w:szCs w:val="20"/>
                <w:lang w:val="es-AR"/>
              </w:rPr>
            </w:pPr>
          </w:p>
        </w:tc>
      </w:tr>
      <w:tr w:rsidR="00CD0BEF" w:rsidRPr="00EA7870" w14:paraId="298E754C" w14:textId="77777777" w:rsidTr="008C3631">
        <w:trPr>
          <w:jc w:val="center"/>
        </w:trPr>
        <w:tc>
          <w:tcPr>
            <w:tcW w:w="5000" w:type="pct"/>
            <w:gridSpan w:val="2"/>
            <w:shd w:val="clear" w:color="auto" w:fill="auto"/>
          </w:tcPr>
          <w:p w14:paraId="3F82DFE3" w14:textId="77777777" w:rsidR="00CD0BEF" w:rsidRPr="00EA7870" w:rsidRDefault="00CD0BEF" w:rsidP="00593373">
            <w:pPr>
              <w:jc w:val="center"/>
              <w:rPr>
                <w:sz w:val="20"/>
                <w:szCs w:val="20"/>
                <w:lang w:val="en-GB"/>
              </w:rPr>
            </w:pPr>
          </w:p>
          <w:p w14:paraId="1AD3ED85" w14:textId="77777777" w:rsidR="00CD0BEF" w:rsidRPr="00EA7870" w:rsidRDefault="00CD0BEF" w:rsidP="00593373">
            <w:pPr>
              <w:jc w:val="center"/>
              <w:rPr>
                <w:b/>
                <w:sz w:val="20"/>
                <w:szCs w:val="20"/>
                <w:lang w:val="en-GB"/>
              </w:rPr>
            </w:pPr>
            <w:r w:rsidRPr="00EA7870">
              <w:rPr>
                <w:b/>
                <w:sz w:val="20"/>
                <w:szCs w:val="20"/>
                <w:lang w:val="en-GB"/>
              </w:rPr>
              <w:t>COLOCADOR</w:t>
            </w:r>
            <w:r w:rsidR="001A28B3" w:rsidRPr="00EA7870">
              <w:rPr>
                <w:b/>
                <w:sz w:val="20"/>
                <w:szCs w:val="20"/>
                <w:lang w:val="en-GB"/>
              </w:rPr>
              <w:t xml:space="preserve"> </w:t>
            </w:r>
            <w:r w:rsidRPr="00EA7870">
              <w:rPr>
                <w:b/>
                <w:sz w:val="20"/>
                <w:szCs w:val="20"/>
                <w:lang w:val="en-GB"/>
              </w:rPr>
              <w:t>LOCAL</w:t>
            </w:r>
          </w:p>
          <w:p w14:paraId="4F4BC9ED" w14:textId="77777777" w:rsidR="00CD0BEF" w:rsidRPr="00EA7870" w:rsidRDefault="00CD0BEF" w:rsidP="00593373">
            <w:pPr>
              <w:jc w:val="center"/>
              <w:rPr>
                <w:b/>
                <w:sz w:val="20"/>
                <w:szCs w:val="20"/>
                <w:lang w:val="en-GB"/>
              </w:rPr>
            </w:pPr>
          </w:p>
        </w:tc>
      </w:tr>
      <w:tr w:rsidR="007B2387" w:rsidRPr="00EA7870" w14:paraId="5CA99786" w14:textId="77777777" w:rsidTr="008C3631">
        <w:trPr>
          <w:jc w:val="center"/>
        </w:trPr>
        <w:tc>
          <w:tcPr>
            <w:tcW w:w="5000" w:type="pct"/>
            <w:gridSpan w:val="2"/>
            <w:shd w:val="clear" w:color="auto" w:fill="auto"/>
          </w:tcPr>
          <w:p w14:paraId="5936A32C" w14:textId="77777777" w:rsidR="007B2387" w:rsidRPr="00EA7870" w:rsidRDefault="007B2387" w:rsidP="007B2387">
            <w:pPr>
              <w:jc w:val="center"/>
              <w:rPr>
                <w:b/>
                <w:sz w:val="20"/>
                <w:szCs w:val="20"/>
                <w:lang w:val="es-AR"/>
              </w:rPr>
            </w:pPr>
            <w:r w:rsidRPr="00EA7870">
              <w:rPr>
                <w:b/>
                <w:sz w:val="20"/>
                <w:szCs w:val="20"/>
                <w:lang w:val="es-AR"/>
              </w:rPr>
              <w:t>Banco Itaú Argentina S.A.</w:t>
            </w:r>
          </w:p>
          <w:p w14:paraId="201EC287" w14:textId="378E67EB" w:rsidR="007B2387" w:rsidRPr="00EA7870" w:rsidRDefault="00B94C03" w:rsidP="007B2387">
            <w:pPr>
              <w:jc w:val="center"/>
              <w:rPr>
                <w:sz w:val="20"/>
                <w:szCs w:val="20"/>
              </w:rPr>
            </w:pPr>
            <w:r w:rsidRPr="00EA7870">
              <w:rPr>
                <w:sz w:val="20"/>
                <w:szCs w:val="20"/>
              </w:rPr>
              <w:t>Tucumán 1</w:t>
            </w:r>
            <w:r w:rsidR="007B2387" w:rsidRPr="00EA7870">
              <w:rPr>
                <w:sz w:val="20"/>
                <w:szCs w:val="20"/>
              </w:rPr>
              <w:t xml:space="preserve">, Piso </w:t>
            </w:r>
            <w:r w:rsidRPr="00EA7870">
              <w:rPr>
                <w:sz w:val="20"/>
                <w:szCs w:val="20"/>
              </w:rPr>
              <w:t>15</w:t>
            </w:r>
          </w:p>
          <w:p w14:paraId="57196BF7" w14:textId="6D3564D4" w:rsidR="007B2387" w:rsidRPr="00EA7870" w:rsidRDefault="007B2387" w:rsidP="007B2387">
            <w:pPr>
              <w:jc w:val="center"/>
              <w:rPr>
                <w:sz w:val="20"/>
                <w:szCs w:val="20"/>
              </w:rPr>
            </w:pPr>
            <w:r w:rsidRPr="00EA7870">
              <w:rPr>
                <w:sz w:val="20"/>
                <w:szCs w:val="20"/>
              </w:rPr>
              <w:t>(</w:t>
            </w:r>
            <w:r w:rsidR="00B94C03" w:rsidRPr="00EA7870">
              <w:rPr>
                <w:sz w:val="20"/>
                <w:szCs w:val="20"/>
              </w:rPr>
              <w:t>C1049AAA</w:t>
            </w:r>
            <w:r w:rsidRPr="00EA7870">
              <w:rPr>
                <w:sz w:val="20"/>
                <w:szCs w:val="20"/>
              </w:rPr>
              <w:t>) Ciudad Autónoma de Buenos Aires</w:t>
            </w:r>
          </w:p>
          <w:p w14:paraId="054FC20B" w14:textId="0AF86F1A" w:rsidR="007B2387" w:rsidRPr="00EA7870" w:rsidRDefault="007B2387" w:rsidP="007B2387">
            <w:pPr>
              <w:jc w:val="center"/>
              <w:rPr>
                <w:sz w:val="20"/>
                <w:szCs w:val="20"/>
              </w:rPr>
            </w:pPr>
            <w:r w:rsidRPr="00EA7870">
              <w:rPr>
                <w:sz w:val="20"/>
                <w:szCs w:val="20"/>
              </w:rPr>
              <w:t>República Argentina</w:t>
            </w:r>
            <w:r w:rsidR="00B94C03" w:rsidRPr="00EA7870">
              <w:rPr>
                <w:sz w:val="20"/>
                <w:szCs w:val="20"/>
              </w:rPr>
              <w:t xml:space="preserve"> </w:t>
            </w:r>
          </w:p>
          <w:p w14:paraId="5FD3D545" w14:textId="77777777" w:rsidR="007612B8" w:rsidRPr="00EA7870" w:rsidRDefault="007612B8" w:rsidP="007B2387">
            <w:pPr>
              <w:jc w:val="center"/>
              <w:rPr>
                <w:sz w:val="20"/>
                <w:szCs w:val="20"/>
                <w:lang w:val="es-AR"/>
              </w:rPr>
            </w:pPr>
          </w:p>
        </w:tc>
      </w:tr>
      <w:tr w:rsidR="00CD0BEF" w:rsidRPr="00EA7870" w14:paraId="6297DDDA" w14:textId="77777777" w:rsidTr="008C3631">
        <w:trPr>
          <w:jc w:val="center"/>
        </w:trPr>
        <w:tc>
          <w:tcPr>
            <w:tcW w:w="5000" w:type="pct"/>
            <w:gridSpan w:val="2"/>
            <w:shd w:val="clear" w:color="auto" w:fill="auto"/>
          </w:tcPr>
          <w:p w14:paraId="7126D940" w14:textId="77777777" w:rsidR="00CD0BEF" w:rsidRPr="00EA7870" w:rsidRDefault="00CD0BEF" w:rsidP="00593373">
            <w:pPr>
              <w:jc w:val="center"/>
              <w:rPr>
                <w:sz w:val="20"/>
                <w:szCs w:val="20"/>
                <w:lang w:val="es-AR"/>
              </w:rPr>
            </w:pPr>
          </w:p>
          <w:p w14:paraId="7A6969D4" w14:textId="77777777" w:rsidR="00A9345D" w:rsidRPr="00EA7870" w:rsidRDefault="00A9345D" w:rsidP="00593373">
            <w:pPr>
              <w:jc w:val="center"/>
              <w:rPr>
                <w:b/>
                <w:sz w:val="20"/>
                <w:szCs w:val="20"/>
                <w:lang w:val="en-GB"/>
              </w:rPr>
            </w:pPr>
            <w:r w:rsidRPr="00EA7870">
              <w:rPr>
                <w:b/>
                <w:sz w:val="20"/>
                <w:szCs w:val="20"/>
                <w:lang w:val="en-GB"/>
              </w:rPr>
              <w:t>ASESORES</w:t>
            </w:r>
            <w:r w:rsidR="001A28B3" w:rsidRPr="00EA7870">
              <w:rPr>
                <w:b/>
                <w:sz w:val="20"/>
                <w:szCs w:val="20"/>
                <w:lang w:val="en-GB"/>
              </w:rPr>
              <w:t xml:space="preserve"> </w:t>
            </w:r>
            <w:r w:rsidRPr="00EA7870">
              <w:rPr>
                <w:b/>
                <w:sz w:val="20"/>
                <w:szCs w:val="20"/>
                <w:lang w:val="en-GB"/>
              </w:rPr>
              <w:t>LEGALES</w:t>
            </w:r>
            <w:r w:rsidR="001A28B3" w:rsidRPr="00EA7870">
              <w:rPr>
                <w:b/>
                <w:sz w:val="20"/>
                <w:szCs w:val="20"/>
                <w:lang w:val="en-GB"/>
              </w:rPr>
              <w:t xml:space="preserve"> </w:t>
            </w:r>
            <w:r w:rsidRPr="00EA7870">
              <w:rPr>
                <w:b/>
                <w:sz w:val="20"/>
                <w:szCs w:val="20"/>
                <w:lang w:val="en-GB"/>
              </w:rPr>
              <w:t>DE</w:t>
            </w:r>
            <w:r w:rsidR="001A28B3" w:rsidRPr="00EA7870">
              <w:rPr>
                <w:b/>
                <w:sz w:val="20"/>
                <w:szCs w:val="20"/>
                <w:lang w:val="en-GB"/>
              </w:rPr>
              <w:t xml:space="preserve"> </w:t>
            </w:r>
            <w:r w:rsidRPr="00EA7870">
              <w:rPr>
                <w:b/>
                <w:sz w:val="20"/>
                <w:szCs w:val="20"/>
                <w:lang w:val="en-GB"/>
              </w:rPr>
              <w:t>LA</w:t>
            </w:r>
            <w:r w:rsidR="001A28B3" w:rsidRPr="00EA7870">
              <w:rPr>
                <w:b/>
                <w:sz w:val="20"/>
                <w:szCs w:val="20"/>
                <w:lang w:val="en-GB"/>
              </w:rPr>
              <w:t xml:space="preserve"> </w:t>
            </w:r>
            <w:r w:rsidRPr="00EA7870">
              <w:rPr>
                <w:b/>
                <w:sz w:val="20"/>
                <w:szCs w:val="20"/>
                <w:lang w:val="en-GB"/>
              </w:rPr>
              <w:t>EMISORA</w:t>
            </w:r>
          </w:p>
          <w:p w14:paraId="390DD457" w14:textId="77777777" w:rsidR="00A9345D" w:rsidRPr="00EA7870" w:rsidRDefault="00A9345D" w:rsidP="00593373">
            <w:pPr>
              <w:jc w:val="center"/>
              <w:rPr>
                <w:sz w:val="20"/>
                <w:szCs w:val="20"/>
                <w:lang w:val="en-GB"/>
              </w:rPr>
            </w:pPr>
          </w:p>
        </w:tc>
      </w:tr>
      <w:tr w:rsidR="00A9345D" w:rsidRPr="00EA7870" w14:paraId="468BA967" w14:textId="77777777" w:rsidTr="008C3631">
        <w:trPr>
          <w:jc w:val="center"/>
        </w:trPr>
        <w:tc>
          <w:tcPr>
            <w:tcW w:w="2500" w:type="pct"/>
            <w:shd w:val="clear" w:color="auto" w:fill="auto"/>
          </w:tcPr>
          <w:p w14:paraId="7726E2A3" w14:textId="77777777" w:rsidR="00A9345D" w:rsidRPr="00EA7870" w:rsidRDefault="00A9345D" w:rsidP="00594DAA">
            <w:pPr>
              <w:jc w:val="center"/>
              <w:rPr>
                <w:b/>
                <w:sz w:val="20"/>
                <w:szCs w:val="20"/>
              </w:rPr>
            </w:pPr>
            <w:r w:rsidRPr="00EA7870">
              <w:rPr>
                <w:bCs/>
                <w:i/>
                <w:iCs/>
                <w:sz w:val="20"/>
                <w:szCs w:val="20"/>
              </w:rPr>
              <w:t>Respecto</w:t>
            </w:r>
            <w:r w:rsidR="001A28B3" w:rsidRPr="00EA7870">
              <w:rPr>
                <w:bCs/>
                <w:i/>
                <w:iCs/>
                <w:sz w:val="20"/>
                <w:szCs w:val="20"/>
              </w:rPr>
              <w:t xml:space="preserve"> </w:t>
            </w:r>
            <w:r w:rsidRPr="00EA7870">
              <w:rPr>
                <w:bCs/>
                <w:i/>
                <w:iCs/>
                <w:sz w:val="20"/>
                <w:szCs w:val="20"/>
              </w:rPr>
              <w:t>de</w:t>
            </w:r>
            <w:r w:rsidR="001A28B3" w:rsidRPr="00EA7870">
              <w:rPr>
                <w:bCs/>
                <w:i/>
                <w:iCs/>
                <w:sz w:val="20"/>
                <w:szCs w:val="20"/>
              </w:rPr>
              <w:t xml:space="preserve"> </w:t>
            </w:r>
            <w:r w:rsidRPr="00EA7870">
              <w:rPr>
                <w:bCs/>
                <w:i/>
                <w:iCs/>
                <w:sz w:val="20"/>
                <w:szCs w:val="20"/>
              </w:rPr>
              <w:t>las</w:t>
            </w:r>
            <w:r w:rsidR="001A28B3" w:rsidRPr="00EA7870">
              <w:rPr>
                <w:bCs/>
                <w:i/>
                <w:iCs/>
                <w:sz w:val="20"/>
                <w:szCs w:val="20"/>
              </w:rPr>
              <w:t xml:space="preserve"> </w:t>
            </w:r>
            <w:r w:rsidRPr="00EA7870">
              <w:rPr>
                <w:bCs/>
                <w:i/>
                <w:iCs/>
                <w:sz w:val="20"/>
                <w:szCs w:val="20"/>
              </w:rPr>
              <w:t>Leyes</w:t>
            </w:r>
            <w:r w:rsidR="001A28B3" w:rsidRPr="00EA7870">
              <w:rPr>
                <w:bCs/>
                <w:i/>
                <w:iCs/>
                <w:sz w:val="20"/>
                <w:szCs w:val="20"/>
              </w:rPr>
              <w:t xml:space="preserve"> </w:t>
            </w:r>
            <w:r w:rsidRPr="00EA7870">
              <w:rPr>
                <w:bCs/>
                <w:i/>
                <w:iCs/>
                <w:sz w:val="20"/>
                <w:szCs w:val="20"/>
              </w:rPr>
              <w:t>de</w:t>
            </w:r>
            <w:r w:rsidR="001A28B3" w:rsidRPr="00EA7870">
              <w:rPr>
                <w:bCs/>
                <w:i/>
                <w:iCs/>
                <w:sz w:val="20"/>
                <w:szCs w:val="20"/>
              </w:rPr>
              <w:t xml:space="preserve"> </w:t>
            </w:r>
            <w:r w:rsidRPr="00EA7870">
              <w:rPr>
                <w:bCs/>
                <w:i/>
                <w:iCs/>
                <w:sz w:val="20"/>
                <w:szCs w:val="20"/>
              </w:rPr>
              <w:t>Estados</w:t>
            </w:r>
            <w:r w:rsidR="001A28B3" w:rsidRPr="00EA7870">
              <w:rPr>
                <w:bCs/>
                <w:i/>
                <w:iCs/>
                <w:sz w:val="20"/>
                <w:szCs w:val="20"/>
              </w:rPr>
              <w:t xml:space="preserve"> </w:t>
            </w:r>
            <w:r w:rsidRPr="00EA7870">
              <w:rPr>
                <w:bCs/>
                <w:i/>
                <w:iCs/>
                <w:sz w:val="20"/>
                <w:szCs w:val="20"/>
              </w:rPr>
              <w:t>Unidos</w:t>
            </w:r>
          </w:p>
          <w:p w14:paraId="29D17D61" w14:textId="77777777" w:rsidR="00A9345D" w:rsidRPr="00EA7870" w:rsidRDefault="00D86022" w:rsidP="00594DAA">
            <w:pPr>
              <w:tabs>
                <w:tab w:val="left" w:pos="8663"/>
              </w:tabs>
              <w:jc w:val="center"/>
              <w:rPr>
                <w:b/>
                <w:sz w:val="20"/>
                <w:szCs w:val="20"/>
                <w:lang w:val="en-GB"/>
              </w:rPr>
            </w:pPr>
            <w:r w:rsidRPr="00EA7870">
              <w:rPr>
                <w:b/>
                <w:sz w:val="20"/>
                <w:szCs w:val="20"/>
                <w:lang w:val="en-GB"/>
              </w:rPr>
              <w:t>Simpson</w:t>
            </w:r>
            <w:r w:rsidR="001A28B3" w:rsidRPr="00EA7870">
              <w:rPr>
                <w:b/>
                <w:sz w:val="20"/>
                <w:szCs w:val="20"/>
                <w:lang w:val="en-GB"/>
              </w:rPr>
              <w:t xml:space="preserve"> </w:t>
            </w:r>
            <w:r w:rsidRPr="00EA7870">
              <w:rPr>
                <w:b/>
                <w:sz w:val="20"/>
                <w:szCs w:val="20"/>
                <w:lang w:val="en-GB"/>
              </w:rPr>
              <w:t>Thacher</w:t>
            </w:r>
            <w:r w:rsidR="001A28B3" w:rsidRPr="00EA7870">
              <w:rPr>
                <w:b/>
                <w:sz w:val="20"/>
                <w:szCs w:val="20"/>
                <w:lang w:val="en-GB"/>
              </w:rPr>
              <w:t xml:space="preserve"> </w:t>
            </w:r>
            <w:r w:rsidRPr="00EA7870">
              <w:rPr>
                <w:b/>
                <w:sz w:val="20"/>
                <w:szCs w:val="20"/>
                <w:lang w:val="en-GB"/>
              </w:rPr>
              <w:t>&amp;</w:t>
            </w:r>
            <w:r w:rsidR="001A28B3" w:rsidRPr="00EA7870">
              <w:rPr>
                <w:b/>
                <w:sz w:val="20"/>
                <w:szCs w:val="20"/>
                <w:lang w:val="en-GB"/>
              </w:rPr>
              <w:t xml:space="preserve"> </w:t>
            </w:r>
            <w:r w:rsidRPr="00EA7870">
              <w:rPr>
                <w:b/>
                <w:sz w:val="20"/>
                <w:szCs w:val="20"/>
                <w:lang w:val="en-GB"/>
              </w:rPr>
              <w:t>Bartlett</w:t>
            </w:r>
            <w:r w:rsidR="001A28B3" w:rsidRPr="00EA7870">
              <w:rPr>
                <w:b/>
                <w:sz w:val="20"/>
                <w:szCs w:val="20"/>
                <w:lang w:val="en-GB"/>
              </w:rPr>
              <w:t xml:space="preserve"> </w:t>
            </w:r>
            <w:r w:rsidRPr="00EA7870">
              <w:rPr>
                <w:b/>
                <w:sz w:val="20"/>
                <w:szCs w:val="20"/>
                <w:lang w:val="en-GB"/>
              </w:rPr>
              <w:t>LLP</w:t>
            </w:r>
          </w:p>
          <w:p w14:paraId="64C3B6F2" w14:textId="77777777" w:rsidR="00D86022" w:rsidRPr="00EA7870" w:rsidRDefault="00D86022" w:rsidP="00594DAA">
            <w:pPr>
              <w:tabs>
                <w:tab w:val="left" w:pos="8663"/>
              </w:tabs>
              <w:jc w:val="center"/>
              <w:rPr>
                <w:sz w:val="20"/>
                <w:szCs w:val="20"/>
                <w:lang w:val="en-GB"/>
              </w:rPr>
            </w:pPr>
            <w:r w:rsidRPr="00EA7870">
              <w:rPr>
                <w:sz w:val="20"/>
                <w:szCs w:val="20"/>
                <w:lang w:val="en-GB"/>
              </w:rPr>
              <w:t>425</w:t>
            </w:r>
            <w:r w:rsidR="001A28B3" w:rsidRPr="00EA7870">
              <w:rPr>
                <w:sz w:val="20"/>
                <w:szCs w:val="20"/>
                <w:lang w:val="en-GB"/>
              </w:rPr>
              <w:t xml:space="preserve"> </w:t>
            </w:r>
            <w:r w:rsidRPr="00EA7870">
              <w:rPr>
                <w:sz w:val="20"/>
                <w:szCs w:val="20"/>
                <w:lang w:val="en-GB"/>
              </w:rPr>
              <w:t>Lexington</w:t>
            </w:r>
            <w:r w:rsidR="001A28B3" w:rsidRPr="00EA7870">
              <w:rPr>
                <w:sz w:val="20"/>
                <w:szCs w:val="20"/>
                <w:lang w:val="en-GB"/>
              </w:rPr>
              <w:t xml:space="preserve"> </w:t>
            </w:r>
            <w:r w:rsidRPr="00EA7870">
              <w:rPr>
                <w:sz w:val="20"/>
                <w:szCs w:val="20"/>
                <w:lang w:val="en-GB"/>
              </w:rPr>
              <w:t>Avenue</w:t>
            </w:r>
          </w:p>
          <w:p w14:paraId="434E5168" w14:textId="77777777" w:rsidR="00D86022" w:rsidRPr="00EA7870" w:rsidRDefault="00D86022" w:rsidP="00594DAA">
            <w:pPr>
              <w:jc w:val="center"/>
              <w:rPr>
                <w:sz w:val="20"/>
                <w:szCs w:val="20"/>
                <w:lang w:val="en-US"/>
              </w:rPr>
            </w:pPr>
            <w:r w:rsidRPr="00EA7870">
              <w:rPr>
                <w:sz w:val="20"/>
                <w:szCs w:val="20"/>
                <w:lang w:val="en-US"/>
              </w:rPr>
              <w:t>New</w:t>
            </w:r>
            <w:r w:rsidR="001A28B3" w:rsidRPr="00EA7870">
              <w:rPr>
                <w:sz w:val="20"/>
                <w:szCs w:val="20"/>
                <w:lang w:val="en-US"/>
              </w:rPr>
              <w:t xml:space="preserve"> </w:t>
            </w:r>
            <w:r w:rsidRPr="00EA7870">
              <w:rPr>
                <w:sz w:val="20"/>
                <w:szCs w:val="20"/>
                <w:lang w:val="en-US"/>
              </w:rPr>
              <w:t>York,</w:t>
            </w:r>
            <w:r w:rsidR="001A28B3" w:rsidRPr="00EA7870">
              <w:rPr>
                <w:sz w:val="20"/>
                <w:szCs w:val="20"/>
                <w:lang w:val="en-US"/>
              </w:rPr>
              <w:t xml:space="preserve"> </w:t>
            </w:r>
            <w:r w:rsidRPr="00EA7870">
              <w:rPr>
                <w:sz w:val="20"/>
                <w:szCs w:val="20"/>
                <w:lang w:val="en-US"/>
              </w:rPr>
              <w:t>New</w:t>
            </w:r>
            <w:r w:rsidR="001A28B3" w:rsidRPr="00EA7870">
              <w:rPr>
                <w:sz w:val="20"/>
                <w:szCs w:val="20"/>
                <w:lang w:val="en-US"/>
              </w:rPr>
              <w:t xml:space="preserve"> </w:t>
            </w:r>
            <w:r w:rsidRPr="00EA7870">
              <w:rPr>
                <w:sz w:val="20"/>
                <w:szCs w:val="20"/>
                <w:lang w:val="en-US"/>
              </w:rPr>
              <w:t>York,</w:t>
            </w:r>
            <w:r w:rsidR="001A28B3" w:rsidRPr="00EA7870">
              <w:rPr>
                <w:sz w:val="20"/>
                <w:szCs w:val="20"/>
                <w:lang w:val="en-US"/>
              </w:rPr>
              <w:t xml:space="preserve"> </w:t>
            </w:r>
            <w:r w:rsidRPr="00EA7870">
              <w:rPr>
                <w:sz w:val="20"/>
                <w:szCs w:val="20"/>
                <w:lang w:val="en-US"/>
              </w:rPr>
              <w:t>10017</w:t>
            </w:r>
          </w:p>
          <w:p w14:paraId="2E95E769" w14:textId="77777777" w:rsidR="00D86022" w:rsidRPr="00EA7870" w:rsidRDefault="00D86022" w:rsidP="00594DAA">
            <w:pPr>
              <w:tabs>
                <w:tab w:val="left" w:pos="8663"/>
              </w:tabs>
              <w:jc w:val="center"/>
              <w:rPr>
                <w:b/>
                <w:bCs/>
                <w:spacing w:val="1"/>
                <w:sz w:val="20"/>
                <w:szCs w:val="20"/>
                <w:lang w:val="en-GB" w:eastAsia="es-AR"/>
              </w:rPr>
            </w:pPr>
            <w:r w:rsidRPr="00EA7870">
              <w:rPr>
                <w:sz w:val="20"/>
                <w:szCs w:val="20"/>
                <w:lang w:val="en-GB"/>
              </w:rPr>
              <w:t>U.S.A.</w:t>
            </w:r>
          </w:p>
          <w:p w14:paraId="47DB7ECF" w14:textId="77777777" w:rsidR="00D86022" w:rsidRPr="00EA7870" w:rsidRDefault="00D86022" w:rsidP="00594DAA">
            <w:pPr>
              <w:tabs>
                <w:tab w:val="left" w:pos="8663"/>
              </w:tabs>
              <w:jc w:val="center"/>
              <w:rPr>
                <w:sz w:val="20"/>
                <w:szCs w:val="20"/>
                <w:lang w:val="en-GB"/>
              </w:rPr>
            </w:pPr>
          </w:p>
        </w:tc>
        <w:tc>
          <w:tcPr>
            <w:tcW w:w="2500" w:type="pct"/>
            <w:shd w:val="clear" w:color="auto" w:fill="auto"/>
          </w:tcPr>
          <w:p w14:paraId="4A9CB8F8" w14:textId="77777777" w:rsidR="00A9345D" w:rsidRPr="00EA7870" w:rsidRDefault="00A9345D" w:rsidP="00594DAA">
            <w:pPr>
              <w:jc w:val="center"/>
              <w:rPr>
                <w:bCs/>
                <w:i/>
                <w:iCs/>
                <w:sz w:val="20"/>
                <w:szCs w:val="20"/>
              </w:rPr>
            </w:pPr>
            <w:r w:rsidRPr="00EA7870">
              <w:rPr>
                <w:bCs/>
                <w:i/>
                <w:iCs/>
                <w:sz w:val="20"/>
                <w:szCs w:val="20"/>
              </w:rPr>
              <w:t>Respecto</w:t>
            </w:r>
            <w:r w:rsidR="001A28B3" w:rsidRPr="00EA7870">
              <w:rPr>
                <w:bCs/>
                <w:i/>
                <w:iCs/>
                <w:sz w:val="20"/>
                <w:szCs w:val="20"/>
              </w:rPr>
              <w:t xml:space="preserve"> </w:t>
            </w:r>
            <w:r w:rsidRPr="00EA7870">
              <w:rPr>
                <w:bCs/>
                <w:i/>
                <w:iCs/>
                <w:sz w:val="20"/>
                <w:szCs w:val="20"/>
              </w:rPr>
              <w:t>de</w:t>
            </w:r>
            <w:r w:rsidR="001A28B3" w:rsidRPr="00EA7870">
              <w:rPr>
                <w:bCs/>
                <w:i/>
                <w:iCs/>
                <w:sz w:val="20"/>
                <w:szCs w:val="20"/>
              </w:rPr>
              <w:t xml:space="preserve"> </w:t>
            </w:r>
            <w:r w:rsidRPr="00EA7870">
              <w:rPr>
                <w:bCs/>
                <w:i/>
                <w:iCs/>
                <w:sz w:val="20"/>
                <w:szCs w:val="20"/>
              </w:rPr>
              <w:t>las</w:t>
            </w:r>
            <w:r w:rsidR="001A28B3" w:rsidRPr="00EA7870">
              <w:rPr>
                <w:bCs/>
                <w:i/>
                <w:iCs/>
                <w:sz w:val="20"/>
                <w:szCs w:val="20"/>
              </w:rPr>
              <w:t xml:space="preserve"> </w:t>
            </w:r>
            <w:r w:rsidRPr="00EA7870">
              <w:rPr>
                <w:bCs/>
                <w:i/>
                <w:iCs/>
                <w:sz w:val="20"/>
                <w:szCs w:val="20"/>
              </w:rPr>
              <w:t>Leyes</w:t>
            </w:r>
            <w:r w:rsidR="001A28B3" w:rsidRPr="00EA7870">
              <w:rPr>
                <w:bCs/>
                <w:i/>
                <w:iCs/>
                <w:sz w:val="20"/>
                <w:szCs w:val="20"/>
              </w:rPr>
              <w:t xml:space="preserve"> </w:t>
            </w:r>
            <w:r w:rsidRPr="00EA7870">
              <w:rPr>
                <w:bCs/>
                <w:i/>
                <w:iCs/>
                <w:sz w:val="20"/>
                <w:szCs w:val="20"/>
              </w:rPr>
              <w:t>de</w:t>
            </w:r>
            <w:r w:rsidR="001A28B3" w:rsidRPr="00EA7870">
              <w:rPr>
                <w:bCs/>
                <w:i/>
                <w:iCs/>
                <w:sz w:val="20"/>
                <w:szCs w:val="20"/>
              </w:rPr>
              <w:t xml:space="preserve"> </w:t>
            </w:r>
            <w:r w:rsidR="00390E2A" w:rsidRPr="00EA7870">
              <w:rPr>
                <w:bCs/>
                <w:i/>
                <w:iCs/>
                <w:sz w:val="20"/>
                <w:szCs w:val="20"/>
              </w:rPr>
              <w:t>la</w:t>
            </w:r>
            <w:r w:rsidR="001A28B3" w:rsidRPr="00EA7870">
              <w:rPr>
                <w:bCs/>
                <w:i/>
                <w:iCs/>
                <w:sz w:val="20"/>
                <w:szCs w:val="20"/>
              </w:rPr>
              <w:t xml:space="preserve"> </w:t>
            </w:r>
            <w:r w:rsidRPr="00EA7870">
              <w:rPr>
                <w:bCs/>
                <w:i/>
                <w:iCs/>
                <w:sz w:val="20"/>
                <w:szCs w:val="20"/>
              </w:rPr>
              <w:t>Argentina</w:t>
            </w:r>
          </w:p>
          <w:p w14:paraId="7970DFE7" w14:textId="77777777" w:rsidR="00A9345D" w:rsidRPr="00EA7870" w:rsidRDefault="00D86022" w:rsidP="00594DAA">
            <w:pPr>
              <w:jc w:val="center"/>
              <w:rPr>
                <w:b/>
                <w:bCs/>
                <w:iCs/>
                <w:sz w:val="20"/>
                <w:szCs w:val="20"/>
              </w:rPr>
            </w:pPr>
            <w:r w:rsidRPr="00EA7870">
              <w:rPr>
                <w:b/>
                <w:bCs/>
                <w:iCs/>
                <w:sz w:val="20"/>
                <w:szCs w:val="20"/>
              </w:rPr>
              <w:t>Martínez</w:t>
            </w:r>
            <w:r w:rsidR="001A28B3" w:rsidRPr="00EA7870">
              <w:rPr>
                <w:b/>
                <w:bCs/>
                <w:iCs/>
                <w:sz w:val="20"/>
                <w:szCs w:val="20"/>
              </w:rPr>
              <w:t xml:space="preserve"> </w:t>
            </w:r>
            <w:r w:rsidRPr="00EA7870">
              <w:rPr>
                <w:b/>
                <w:bCs/>
                <w:iCs/>
                <w:sz w:val="20"/>
                <w:szCs w:val="20"/>
              </w:rPr>
              <w:t>de</w:t>
            </w:r>
            <w:r w:rsidR="001A28B3" w:rsidRPr="00EA7870">
              <w:rPr>
                <w:b/>
                <w:bCs/>
                <w:iCs/>
                <w:sz w:val="20"/>
                <w:szCs w:val="20"/>
              </w:rPr>
              <w:t xml:space="preserve"> </w:t>
            </w:r>
            <w:r w:rsidRPr="00EA7870">
              <w:rPr>
                <w:b/>
                <w:bCs/>
                <w:iCs/>
                <w:sz w:val="20"/>
                <w:szCs w:val="20"/>
              </w:rPr>
              <w:t>Hoz</w:t>
            </w:r>
            <w:r w:rsidR="001A28B3" w:rsidRPr="00EA7870">
              <w:rPr>
                <w:b/>
                <w:bCs/>
                <w:iCs/>
                <w:sz w:val="20"/>
                <w:szCs w:val="20"/>
              </w:rPr>
              <w:t xml:space="preserve"> </w:t>
            </w:r>
            <w:r w:rsidR="00E471E1" w:rsidRPr="00EA7870">
              <w:rPr>
                <w:b/>
                <w:bCs/>
                <w:iCs/>
                <w:sz w:val="20"/>
                <w:szCs w:val="20"/>
              </w:rPr>
              <w:t>&amp;</w:t>
            </w:r>
            <w:r w:rsidR="001A28B3" w:rsidRPr="00EA7870">
              <w:rPr>
                <w:b/>
                <w:bCs/>
                <w:iCs/>
                <w:sz w:val="20"/>
                <w:szCs w:val="20"/>
              </w:rPr>
              <w:t xml:space="preserve"> </w:t>
            </w:r>
            <w:r w:rsidRPr="00EA7870">
              <w:rPr>
                <w:b/>
                <w:bCs/>
                <w:iCs/>
                <w:sz w:val="20"/>
                <w:szCs w:val="20"/>
              </w:rPr>
              <w:t>Rueda</w:t>
            </w:r>
          </w:p>
          <w:p w14:paraId="7A4A8AA3" w14:textId="77777777" w:rsidR="00D86022" w:rsidRPr="00EA7870" w:rsidRDefault="001A70C5" w:rsidP="00594DAA">
            <w:pPr>
              <w:jc w:val="center"/>
              <w:rPr>
                <w:bCs/>
                <w:iCs/>
                <w:sz w:val="20"/>
                <w:szCs w:val="20"/>
              </w:rPr>
            </w:pPr>
            <w:r w:rsidRPr="00EA7870">
              <w:rPr>
                <w:bCs/>
                <w:iCs/>
                <w:sz w:val="20"/>
                <w:szCs w:val="20"/>
              </w:rPr>
              <w:t>Bouchard</w:t>
            </w:r>
            <w:r w:rsidR="001A28B3" w:rsidRPr="00EA7870">
              <w:rPr>
                <w:bCs/>
                <w:iCs/>
                <w:sz w:val="20"/>
                <w:szCs w:val="20"/>
              </w:rPr>
              <w:t xml:space="preserve"> </w:t>
            </w:r>
            <w:r w:rsidRPr="00EA7870">
              <w:rPr>
                <w:bCs/>
                <w:iCs/>
                <w:sz w:val="20"/>
                <w:szCs w:val="20"/>
              </w:rPr>
              <w:t>680,</w:t>
            </w:r>
            <w:r w:rsidR="001A28B3" w:rsidRPr="00EA7870">
              <w:rPr>
                <w:bCs/>
                <w:iCs/>
                <w:sz w:val="20"/>
                <w:szCs w:val="20"/>
              </w:rPr>
              <w:t xml:space="preserve"> </w:t>
            </w:r>
            <w:r w:rsidRPr="00EA7870">
              <w:rPr>
                <w:bCs/>
                <w:iCs/>
                <w:sz w:val="20"/>
                <w:szCs w:val="20"/>
              </w:rPr>
              <w:t>Piso</w:t>
            </w:r>
            <w:r w:rsidR="001A28B3" w:rsidRPr="00EA7870">
              <w:rPr>
                <w:bCs/>
                <w:iCs/>
                <w:sz w:val="20"/>
                <w:szCs w:val="20"/>
              </w:rPr>
              <w:t xml:space="preserve"> </w:t>
            </w:r>
            <w:r w:rsidRPr="00EA7870">
              <w:rPr>
                <w:bCs/>
                <w:iCs/>
                <w:sz w:val="20"/>
                <w:szCs w:val="20"/>
              </w:rPr>
              <w:t>19</w:t>
            </w:r>
          </w:p>
          <w:p w14:paraId="18B59ACF" w14:textId="77777777" w:rsidR="00D86022" w:rsidRPr="00EA7870" w:rsidRDefault="00D86022" w:rsidP="00594DAA">
            <w:pPr>
              <w:jc w:val="center"/>
              <w:rPr>
                <w:sz w:val="20"/>
                <w:szCs w:val="20"/>
              </w:rPr>
            </w:pPr>
            <w:r w:rsidRPr="00EA7870">
              <w:rPr>
                <w:sz w:val="20"/>
                <w:szCs w:val="20"/>
              </w:rPr>
              <w:t>(C100</w:t>
            </w:r>
            <w:r w:rsidR="001A70C5" w:rsidRPr="00EA7870">
              <w:rPr>
                <w:sz w:val="20"/>
                <w:szCs w:val="20"/>
              </w:rPr>
              <w:t>6</w:t>
            </w:r>
            <w:r w:rsidRPr="00EA7870">
              <w:rPr>
                <w:sz w:val="20"/>
                <w:szCs w:val="20"/>
              </w:rPr>
              <w:t>A</w:t>
            </w:r>
            <w:r w:rsidR="001A70C5" w:rsidRPr="00EA7870">
              <w:rPr>
                <w:sz w:val="20"/>
                <w:szCs w:val="20"/>
              </w:rPr>
              <w:t>BJ</w:t>
            </w:r>
            <w:r w:rsidRPr="00EA7870">
              <w:rPr>
                <w:sz w:val="20"/>
                <w:szCs w:val="20"/>
              </w:rPr>
              <w:t>),</w:t>
            </w:r>
            <w:r w:rsidR="001A28B3" w:rsidRPr="00EA7870">
              <w:rPr>
                <w:sz w:val="20"/>
                <w:szCs w:val="20"/>
              </w:rPr>
              <w:t xml:space="preserve"> </w:t>
            </w:r>
            <w:r w:rsidRPr="00EA7870">
              <w:rPr>
                <w:sz w:val="20"/>
                <w:szCs w:val="20"/>
              </w:rPr>
              <w:t>Ciudad</w:t>
            </w:r>
            <w:r w:rsidR="001A28B3" w:rsidRPr="00EA7870">
              <w:rPr>
                <w:sz w:val="20"/>
                <w:szCs w:val="20"/>
              </w:rPr>
              <w:t xml:space="preserve"> </w:t>
            </w:r>
            <w:r w:rsidRPr="00EA7870">
              <w:rPr>
                <w:sz w:val="20"/>
                <w:szCs w:val="20"/>
              </w:rPr>
              <w:t>Autónoma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Buenos</w:t>
            </w:r>
            <w:r w:rsidR="001A28B3" w:rsidRPr="00EA7870">
              <w:rPr>
                <w:sz w:val="20"/>
                <w:szCs w:val="20"/>
              </w:rPr>
              <w:t xml:space="preserve"> </w:t>
            </w:r>
            <w:r w:rsidRPr="00EA7870">
              <w:rPr>
                <w:sz w:val="20"/>
                <w:szCs w:val="20"/>
              </w:rPr>
              <w:t>Aires</w:t>
            </w:r>
          </w:p>
          <w:p w14:paraId="0A00B9F7" w14:textId="77777777" w:rsidR="00D86022" w:rsidRPr="00EA7870" w:rsidRDefault="001C7006" w:rsidP="00594DAA">
            <w:pPr>
              <w:jc w:val="center"/>
              <w:rPr>
                <w:b/>
                <w:bCs/>
                <w:iCs/>
                <w:sz w:val="20"/>
                <w:szCs w:val="20"/>
              </w:rPr>
            </w:pPr>
            <w:r w:rsidRPr="00EA7870">
              <w:rPr>
                <w:sz w:val="20"/>
                <w:szCs w:val="20"/>
                <w:lang w:val="es-AR"/>
              </w:rPr>
              <w:t>República</w:t>
            </w:r>
            <w:r w:rsidR="001A28B3" w:rsidRPr="00EA7870">
              <w:rPr>
                <w:sz w:val="20"/>
                <w:szCs w:val="20"/>
                <w:lang w:val="es-AR"/>
              </w:rPr>
              <w:t xml:space="preserve"> </w:t>
            </w:r>
            <w:r w:rsidR="00D86022" w:rsidRPr="00EA7870">
              <w:rPr>
                <w:sz w:val="20"/>
                <w:szCs w:val="20"/>
              </w:rPr>
              <w:t>Argentina</w:t>
            </w:r>
          </w:p>
          <w:p w14:paraId="58EAE623" w14:textId="77777777" w:rsidR="00A9345D" w:rsidRPr="00EA7870" w:rsidRDefault="00A9345D" w:rsidP="00594DAA">
            <w:pPr>
              <w:jc w:val="center"/>
              <w:rPr>
                <w:b/>
                <w:sz w:val="20"/>
                <w:szCs w:val="20"/>
                <w:lang w:val="es-AR"/>
              </w:rPr>
            </w:pPr>
          </w:p>
        </w:tc>
      </w:tr>
      <w:tr w:rsidR="00A9345D" w:rsidRPr="00EA7870" w14:paraId="4CFD4285" w14:textId="77777777" w:rsidTr="008C3631">
        <w:trPr>
          <w:jc w:val="center"/>
        </w:trPr>
        <w:tc>
          <w:tcPr>
            <w:tcW w:w="5000" w:type="pct"/>
            <w:gridSpan w:val="2"/>
            <w:shd w:val="clear" w:color="auto" w:fill="auto"/>
          </w:tcPr>
          <w:p w14:paraId="76EEA257" w14:textId="77777777" w:rsidR="00A9345D" w:rsidRPr="00EA7870" w:rsidRDefault="00A9345D" w:rsidP="00594DAA">
            <w:pPr>
              <w:jc w:val="center"/>
              <w:rPr>
                <w:b/>
                <w:sz w:val="20"/>
                <w:szCs w:val="20"/>
                <w:lang w:val="es-AR"/>
              </w:rPr>
            </w:pPr>
          </w:p>
          <w:p w14:paraId="3BD6E036" w14:textId="77777777" w:rsidR="00A9345D" w:rsidRPr="00EA7870" w:rsidRDefault="00A9345D" w:rsidP="00594DAA">
            <w:pPr>
              <w:jc w:val="center"/>
              <w:rPr>
                <w:b/>
                <w:sz w:val="20"/>
                <w:szCs w:val="20"/>
                <w:lang w:val="es-AR"/>
              </w:rPr>
            </w:pPr>
            <w:r w:rsidRPr="00EA7870">
              <w:rPr>
                <w:b/>
                <w:sz w:val="20"/>
                <w:szCs w:val="20"/>
                <w:lang w:val="es-AR"/>
              </w:rPr>
              <w:t>ASESORES</w:t>
            </w:r>
            <w:r w:rsidR="001A28B3" w:rsidRPr="00EA7870">
              <w:rPr>
                <w:b/>
                <w:sz w:val="20"/>
                <w:szCs w:val="20"/>
                <w:lang w:val="es-AR"/>
              </w:rPr>
              <w:t xml:space="preserve"> </w:t>
            </w:r>
            <w:r w:rsidRPr="00EA7870">
              <w:rPr>
                <w:b/>
                <w:sz w:val="20"/>
                <w:szCs w:val="20"/>
                <w:lang w:val="es-AR"/>
              </w:rPr>
              <w:t>LEGALES</w:t>
            </w:r>
            <w:r w:rsidR="001A28B3" w:rsidRPr="00EA7870">
              <w:rPr>
                <w:b/>
                <w:sz w:val="20"/>
                <w:szCs w:val="20"/>
                <w:lang w:val="es-AR"/>
              </w:rPr>
              <w:t xml:space="preserve"> </w:t>
            </w:r>
            <w:r w:rsidRPr="00EA7870">
              <w:rPr>
                <w:b/>
                <w:sz w:val="20"/>
                <w:szCs w:val="20"/>
                <w:lang w:val="es-AR"/>
              </w:rPr>
              <w:t>DE</w:t>
            </w:r>
            <w:r w:rsidR="001A28B3" w:rsidRPr="00EA7870">
              <w:rPr>
                <w:b/>
                <w:sz w:val="20"/>
                <w:szCs w:val="20"/>
                <w:lang w:val="es-AR"/>
              </w:rPr>
              <w:t xml:space="preserve"> </w:t>
            </w:r>
            <w:r w:rsidRPr="00EA7870">
              <w:rPr>
                <w:b/>
                <w:sz w:val="20"/>
                <w:szCs w:val="20"/>
                <w:lang w:val="es-AR"/>
              </w:rPr>
              <w:t>LOS</w:t>
            </w:r>
            <w:r w:rsidR="001A28B3" w:rsidRPr="00EA7870">
              <w:rPr>
                <w:b/>
                <w:sz w:val="20"/>
                <w:szCs w:val="20"/>
                <w:lang w:val="es-AR"/>
              </w:rPr>
              <w:t xml:space="preserve"> </w:t>
            </w:r>
            <w:r w:rsidR="00036393" w:rsidRPr="00EA7870">
              <w:rPr>
                <w:b/>
                <w:sz w:val="20"/>
                <w:szCs w:val="20"/>
                <w:lang w:val="es-AR"/>
              </w:rPr>
              <w:t>COLOCADORES</w:t>
            </w:r>
            <w:r w:rsidR="001A28B3" w:rsidRPr="00EA7870">
              <w:rPr>
                <w:b/>
                <w:sz w:val="20"/>
                <w:szCs w:val="20"/>
                <w:lang w:val="es-AR"/>
              </w:rPr>
              <w:t xml:space="preserve"> </w:t>
            </w:r>
          </w:p>
          <w:p w14:paraId="3D645427" w14:textId="77777777" w:rsidR="00A9345D" w:rsidRPr="00EA7870" w:rsidRDefault="00A9345D" w:rsidP="00594DAA">
            <w:pPr>
              <w:rPr>
                <w:sz w:val="20"/>
                <w:szCs w:val="20"/>
                <w:lang w:eastAsia="es-AR"/>
              </w:rPr>
            </w:pPr>
          </w:p>
        </w:tc>
      </w:tr>
      <w:tr w:rsidR="00A9345D" w:rsidRPr="00EA7870" w14:paraId="16D26153" w14:textId="77777777" w:rsidTr="008C3631">
        <w:trPr>
          <w:jc w:val="center"/>
        </w:trPr>
        <w:tc>
          <w:tcPr>
            <w:tcW w:w="2500" w:type="pct"/>
            <w:shd w:val="clear" w:color="auto" w:fill="auto"/>
          </w:tcPr>
          <w:p w14:paraId="2AEDC6CD" w14:textId="77777777" w:rsidR="00A9345D" w:rsidRPr="00EA7870" w:rsidRDefault="00A9345D" w:rsidP="00EA061D">
            <w:pPr>
              <w:jc w:val="center"/>
              <w:rPr>
                <w:b/>
                <w:sz w:val="20"/>
                <w:szCs w:val="20"/>
              </w:rPr>
            </w:pPr>
            <w:r w:rsidRPr="00EA7870">
              <w:rPr>
                <w:bCs/>
                <w:i/>
                <w:iCs/>
                <w:sz w:val="20"/>
                <w:szCs w:val="20"/>
              </w:rPr>
              <w:t>Respecto</w:t>
            </w:r>
            <w:r w:rsidR="001A28B3" w:rsidRPr="00EA7870">
              <w:rPr>
                <w:bCs/>
                <w:i/>
                <w:iCs/>
                <w:sz w:val="20"/>
                <w:szCs w:val="20"/>
              </w:rPr>
              <w:t xml:space="preserve"> </w:t>
            </w:r>
            <w:r w:rsidRPr="00EA7870">
              <w:rPr>
                <w:bCs/>
                <w:i/>
                <w:iCs/>
                <w:sz w:val="20"/>
                <w:szCs w:val="20"/>
              </w:rPr>
              <w:t>de</w:t>
            </w:r>
            <w:r w:rsidR="001A28B3" w:rsidRPr="00EA7870">
              <w:rPr>
                <w:bCs/>
                <w:i/>
                <w:iCs/>
                <w:sz w:val="20"/>
                <w:szCs w:val="20"/>
              </w:rPr>
              <w:t xml:space="preserve"> </w:t>
            </w:r>
            <w:r w:rsidRPr="00EA7870">
              <w:rPr>
                <w:bCs/>
                <w:i/>
                <w:iCs/>
                <w:sz w:val="20"/>
                <w:szCs w:val="20"/>
              </w:rPr>
              <w:t>las</w:t>
            </w:r>
            <w:r w:rsidR="001A28B3" w:rsidRPr="00EA7870">
              <w:rPr>
                <w:bCs/>
                <w:i/>
                <w:iCs/>
                <w:sz w:val="20"/>
                <w:szCs w:val="20"/>
              </w:rPr>
              <w:t xml:space="preserve"> </w:t>
            </w:r>
            <w:r w:rsidRPr="00EA7870">
              <w:rPr>
                <w:bCs/>
                <w:i/>
                <w:iCs/>
                <w:sz w:val="20"/>
                <w:szCs w:val="20"/>
              </w:rPr>
              <w:t>Leyes</w:t>
            </w:r>
            <w:r w:rsidR="001A28B3" w:rsidRPr="00EA7870">
              <w:rPr>
                <w:bCs/>
                <w:i/>
                <w:iCs/>
                <w:sz w:val="20"/>
                <w:szCs w:val="20"/>
              </w:rPr>
              <w:t xml:space="preserve"> </w:t>
            </w:r>
            <w:r w:rsidRPr="00EA7870">
              <w:rPr>
                <w:bCs/>
                <w:i/>
                <w:iCs/>
                <w:sz w:val="20"/>
                <w:szCs w:val="20"/>
              </w:rPr>
              <w:t>de</w:t>
            </w:r>
            <w:r w:rsidR="001A28B3" w:rsidRPr="00EA7870">
              <w:rPr>
                <w:bCs/>
                <w:i/>
                <w:iCs/>
                <w:sz w:val="20"/>
                <w:szCs w:val="20"/>
              </w:rPr>
              <w:t xml:space="preserve"> </w:t>
            </w:r>
            <w:r w:rsidRPr="00EA7870">
              <w:rPr>
                <w:bCs/>
                <w:i/>
                <w:iCs/>
                <w:sz w:val="20"/>
                <w:szCs w:val="20"/>
              </w:rPr>
              <w:t>Estados</w:t>
            </w:r>
            <w:r w:rsidR="001A28B3" w:rsidRPr="00EA7870">
              <w:rPr>
                <w:bCs/>
                <w:i/>
                <w:iCs/>
                <w:sz w:val="20"/>
                <w:szCs w:val="20"/>
              </w:rPr>
              <w:t xml:space="preserve"> </w:t>
            </w:r>
            <w:r w:rsidRPr="00EA7870">
              <w:rPr>
                <w:bCs/>
                <w:i/>
                <w:iCs/>
                <w:sz w:val="20"/>
                <w:szCs w:val="20"/>
              </w:rPr>
              <w:t>Unidos</w:t>
            </w:r>
          </w:p>
          <w:p w14:paraId="7EF0822E" w14:textId="77777777" w:rsidR="00A9345D" w:rsidRPr="00EA7870" w:rsidRDefault="00A9345D" w:rsidP="00EA061D">
            <w:pPr>
              <w:jc w:val="center"/>
              <w:rPr>
                <w:sz w:val="20"/>
                <w:szCs w:val="20"/>
                <w:lang w:val="en-US"/>
              </w:rPr>
            </w:pPr>
            <w:r w:rsidRPr="00EA7870">
              <w:rPr>
                <w:b/>
                <w:sz w:val="20"/>
                <w:szCs w:val="20"/>
                <w:lang w:val="en-US"/>
              </w:rPr>
              <w:t>Linklaters</w:t>
            </w:r>
            <w:r w:rsidR="001A28B3" w:rsidRPr="00EA7870">
              <w:rPr>
                <w:b/>
                <w:sz w:val="20"/>
                <w:szCs w:val="20"/>
                <w:lang w:val="en-US"/>
              </w:rPr>
              <w:t xml:space="preserve"> </w:t>
            </w:r>
            <w:r w:rsidRPr="00EA7870">
              <w:rPr>
                <w:b/>
                <w:sz w:val="20"/>
                <w:szCs w:val="20"/>
                <w:lang w:val="en-US"/>
              </w:rPr>
              <w:t>LLP</w:t>
            </w:r>
            <w:r w:rsidRPr="00EA7870">
              <w:rPr>
                <w:sz w:val="20"/>
                <w:szCs w:val="20"/>
                <w:lang w:val="en-US"/>
              </w:rPr>
              <w:br/>
              <w:t>1345</w:t>
            </w:r>
            <w:r w:rsidR="001A28B3" w:rsidRPr="00EA7870">
              <w:rPr>
                <w:sz w:val="20"/>
                <w:szCs w:val="20"/>
                <w:lang w:val="en-US"/>
              </w:rPr>
              <w:t xml:space="preserve"> </w:t>
            </w:r>
            <w:r w:rsidRPr="00EA7870">
              <w:rPr>
                <w:sz w:val="20"/>
                <w:szCs w:val="20"/>
                <w:lang w:val="en-US"/>
              </w:rPr>
              <w:t>Avenue</w:t>
            </w:r>
            <w:r w:rsidR="001A28B3" w:rsidRPr="00EA7870">
              <w:rPr>
                <w:sz w:val="20"/>
                <w:szCs w:val="20"/>
                <w:lang w:val="en-US"/>
              </w:rPr>
              <w:t xml:space="preserve"> </w:t>
            </w:r>
            <w:r w:rsidRPr="00EA7870">
              <w:rPr>
                <w:sz w:val="20"/>
                <w:szCs w:val="20"/>
                <w:lang w:val="en-US"/>
              </w:rPr>
              <w:t>of</w:t>
            </w:r>
            <w:r w:rsidR="001A28B3" w:rsidRPr="00EA7870">
              <w:rPr>
                <w:sz w:val="20"/>
                <w:szCs w:val="20"/>
                <w:lang w:val="en-US"/>
              </w:rPr>
              <w:t xml:space="preserve"> </w:t>
            </w:r>
            <w:r w:rsidRPr="00EA7870">
              <w:rPr>
                <w:sz w:val="20"/>
                <w:szCs w:val="20"/>
                <w:lang w:val="en-US"/>
              </w:rPr>
              <w:t>the</w:t>
            </w:r>
            <w:r w:rsidR="001A28B3" w:rsidRPr="00EA7870">
              <w:rPr>
                <w:sz w:val="20"/>
                <w:szCs w:val="20"/>
                <w:lang w:val="en-US"/>
              </w:rPr>
              <w:t xml:space="preserve"> </w:t>
            </w:r>
            <w:r w:rsidRPr="00EA7870">
              <w:rPr>
                <w:sz w:val="20"/>
                <w:szCs w:val="20"/>
                <w:lang w:val="en-US"/>
              </w:rPr>
              <w:t>Americas</w:t>
            </w:r>
            <w:r w:rsidRPr="00EA7870">
              <w:rPr>
                <w:sz w:val="20"/>
                <w:szCs w:val="20"/>
                <w:lang w:val="en-US"/>
              </w:rPr>
              <w:br/>
            </w:r>
            <w:r w:rsidR="00D86022" w:rsidRPr="00EA7870">
              <w:rPr>
                <w:sz w:val="20"/>
                <w:szCs w:val="20"/>
                <w:lang w:val="en-US"/>
              </w:rPr>
              <w:t>New</w:t>
            </w:r>
            <w:r w:rsidR="001A28B3" w:rsidRPr="00EA7870">
              <w:rPr>
                <w:sz w:val="20"/>
                <w:szCs w:val="20"/>
                <w:lang w:val="en-US"/>
              </w:rPr>
              <w:t xml:space="preserve"> </w:t>
            </w:r>
            <w:r w:rsidR="00D86022" w:rsidRPr="00EA7870">
              <w:rPr>
                <w:sz w:val="20"/>
                <w:szCs w:val="20"/>
                <w:lang w:val="en-US"/>
              </w:rPr>
              <w:t>York,</w:t>
            </w:r>
            <w:r w:rsidR="001A28B3" w:rsidRPr="00EA7870">
              <w:rPr>
                <w:sz w:val="20"/>
                <w:szCs w:val="20"/>
                <w:lang w:val="en-US"/>
              </w:rPr>
              <w:t xml:space="preserve"> </w:t>
            </w:r>
            <w:r w:rsidR="00D86022" w:rsidRPr="00EA7870">
              <w:rPr>
                <w:sz w:val="20"/>
                <w:szCs w:val="20"/>
                <w:lang w:val="en-US"/>
              </w:rPr>
              <w:t>New</w:t>
            </w:r>
            <w:r w:rsidR="001A28B3" w:rsidRPr="00EA7870">
              <w:rPr>
                <w:sz w:val="20"/>
                <w:szCs w:val="20"/>
                <w:lang w:val="en-US"/>
              </w:rPr>
              <w:t xml:space="preserve"> </w:t>
            </w:r>
            <w:r w:rsidR="00D86022" w:rsidRPr="00EA7870">
              <w:rPr>
                <w:sz w:val="20"/>
                <w:szCs w:val="20"/>
                <w:lang w:val="en-US"/>
              </w:rPr>
              <w:t>York,</w:t>
            </w:r>
            <w:r w:rsidR="001A28B3" w:rsidRPr="00EA7870">
              <w:rPr>
                <w:sz w:val="20"/>
                <w:szCs w:val="20"/>
                <w:lang w:val="en-US"/>
              </w:rPr>
              <w:t xml:space="preserve"> </w:t>
            </w:r>
            <w:r w:rsidRPr="00EA7870">
              <w:rPr>
                <w:sz w:val="20"/>
                <w:szCs w:val="20"/>
                <w:lang w:val="en-US"/>
              </w:rPr>
              <w:t>10105</w:t>
            </w:r>
          </w:p>
          <w:p w14:paraId="6BBF2B80" w14:textId="77777777" w:rsidR="00A9345D" w:rsidRPr="00EA7870" w:rsidRDefault="00D86022" w:rsidP="00EA061D">
            <w:pPr>
              <w:jc w:val="center"/>
              <w:rPr>
                <w:b/>
                <w:bCs/>
                <w:spacing w:val="1"/>
                <w:sz w:val="20"/>
                <w:szCs w:val="20"/>
                <w:lang w:val="en-GB" w:eastAsia="es-AR"/>
              </w:rPr>
            </w:pPr>
            <w:r w:rsidRPr="00EA7870">
              <w:rPr>
                <w:sz w:val="20"/>
                <w:szCs w:val="20"/>
                <w:lang w:val="en-GB"/>
              </w:rPr>
              <w:t>U.S.A.</w:t>
            </w:r>
          </w:p>
          <w:p w14:paraId="1FF4B308" w14:textId="77777777" w:rsidR="00A9345D" w:rsidRPr="00EA7870" w:rsidRDefault="00A9345D" w:rsidP="00EA061D">
            <w:pPr>
              <w:jc w:val="center"/>
              <w:rPr>
                <w:b/>
                <w:sz w:val="20"/>
                <w:szCs w:val="20"/>
                <w:lang w:val="es-AR"/>
              </w:rPr>
            </w:pPr>
          </w:p>
        </w:tc>
        <w:tc>
          <w:tcPr>
            <w:tcW w:w="2500" w:type="pct"/>
            <w:shd w:val="clear" w:color="auto" w:fill="auto"/>
          </w:tcPr>
          <w:p w14:paraId="0984F22E" w14:textId="77777777" w:rsidR="00A9345D" w:rsidRPr="00EA7870" w:rsidRDefault="00A9345D" w:rsidP="00EA061D">
            <w:pPr>
              <w:jc w:val="center"/>
              <w:rPr>
                <w:sz w:val="20"/>
                <w:szCs w:val="20"/>
              </w:rPr>
            </w:pPr>
            <w:r w:rsidRPr="00EA7870">
              <w:rPr>
                <w:bCs/>
                <w:i/>
                <w:iCs/>
                <w:sz w:val="20"/>
                <w:szCs w:val="20"/>
              </w:rPr>
              <w:t>Respecto</w:t>
            </w:r>
            <w:r w:rsidR="001A28B3" w:rsidRPr="00EA7870">
              <w:rPr>
                <w:bCs/>
                <w:i/>
                <w:iCs/>
                <w:sz w:val="20"/>
                <w:szCs w:val="20"/>
              </w:rPr>
              <w:t xml:space="preserve"> </w:t>
            </w:r>
            <w:r w:rsidRPr="00EA7870">
              <w:rPr>
                <w:bCs/>
                <w:i/>
                <w:iCs/>
                <w:sz w:val="20"/>
                <w:szCs w:val="20"/>
              </w:rPr>
              <w:t>de</w:t>
            </w:r>
            <w:r w:rsidR="001A28B3" w:rsidRPr="00EA7870">
              <w:rPr>
                <w:bCs/>
                <w:i/>
                <w:iCs/>
                <w:sz w:val="20"/>
                <w:szCs w:val="20"/>
              </w:rPr>
              <w:t xml:space="preserve"> </w:t>
            </w:r>
            <w:r w:rsidRPr="00EA7870">
              <w:rPr>
                <w:bCs/>
                <w:i/>
                <w:iCs/>
                <w:sz w:val="20"/>
                <w:szCs w:val="20"/>
              </w:rPr>
              <w:t>las</w:t>
            </w:r>
            <w:r w:rsidR="001A28B3" w:rsidRPr="00EA7870">
              <w:rPr>
                <w:bCs/>
                <w:i/>
                <w:iCs/>
                <w:sz w:val="20"/>
                <w:szCs w:val="20"/>
              </w:rPr>
              <w:t xml:space="preserve"> </w:t>
            </w:r>
            <w:r w:rsidRPr="00EA7870">
              <w:rPr>
                <w:bCs/>
                <w:i/>
                <w:iCs/>
                <w:sz w:val="20"/>
                <w:szCs w:val="20"/>
              </w:rPr>
              <w:t>Leyes</w:t>
            </w:r>
            <w:r w:rsidR="001A28B3" w:rsidRPr="00EA7870">
              <w:rPr>
                <w:bCs/>
                <w:i/>
                <w:iCs/>
                <w:sz w:val="20"/>
                <w:szCs w:val="20"/>
              </w:rPr>
              <w:t xml:space="preserve"> </w:t>
            </w:r>
            <w:r w:rsidRPr="00EA7870">
              <w:rPr>
                <w:bCs/>
                <w:i/>
                <w:iCs/>
                <w:sz w:val="20"/>
                <w:szCs w:val="20"/>
              </w:rPr>
              <w:t>de</w:t>
            </w:r>
            <w:r w:rsidR="001A28B3" w:rsidRPr="00EA7870">
              <w:rPr>
                <w:bCs/>
                <w:i/>
                <w:iCs/>
                <w:sz w:val="20"/>
                <w:szCs w:val="20"/>
              </w:rPr>
              <w:t xml:space="preserve"> </w:t>
            </w:r>
            <w:r w:rsidR="00390E2A" w:rsidRPr="00EA7870">
              <w:rPr>
                <w:bCs/>
                <w:i/>
                <w:iCs/>
                <w:sz w:val="20"/>
                <w:szCs w:val="20"/>
              </w:rPr>
              <w:t>la</w:t>
            </w:r>
            <w:r w:rsidR="001A28B3" w:rsidRPr="00EA7870">
              <w:rPr>
                <w:bCs/>
                <w:i/>
                <w:iCs/>
                <w:sz w:val="20"/>
                <w:szCs w:val="20"/>
              </w:rPr>
              <w:t xml:space="preserve"> </w:t>
            </w:r>
            <w:r w:rsidRPr="00EA7870">
              <w:rPr>
                <w:bCs/>
                <w:i/>
                <w:iCs/>
                <w:sz w:val="20"/>
                <w:szCs w:val="20"/>
              </w:rPr>
              <w:t>Argentina</w:t>
            </w:r>
            <w:r w:rsidRPr="00EA7870">
              <w:rPr>
                <w:bCs/>
                <w:sz w:val="20"/>
                <w:szCs w:val="20"/>
              </w:rPr>
              <w:br/>
            </w:r>
            <w:r w:rsidRPr="00EA7870">
              <w:rPr>
                <w:b/>
                <w:sz w:val="20"/>
                <w:szCs w:val="20"/>
              </w:rPr>
              <w:t>Bruchou,</w:t>
            </w:r>
            <w:r w:rsidR="001A28B3" w:rsidRPr="00EA7870">
              <w:rPr>
                <w:b/>
                <w:sz w:val="20"/>
                <w:szCs w:val="20"/>
              </w:rPr>
              <w:t xml:space="preserve"> </w:t>
            </w:r>
            <w:r w:rsidRPr="00EA7870">
              <w:rPr>
                <w:b/>
                <w:sz w:val="20"/>
                <w:szCs w:val="20"/>
              </w:rPr>
              <w:t>Fernández</w:t>
            </w:r>
            <w:r w:rsidR="001A28B3" w:rsidRPr="00EA7870">
              <w:rPr>
                <w:b/>
                <w:sz w:val="20"/>
                <w:szCs w:val="20"/>
              </w:rPr>
              <w:t xml:space="preserve"> </w:t>
            </w:r>
            <w:r w:rsidRPr="00EA7870">
              <w:rPr>
                <w:b/>
                <w:sz w:val="20"/>
                <w:szCs w:val="20"/>
              </w:rPr>
              <w:t>Madero</w:t>
            </w:r>
            <w:r w:rsidR="001A28B3" w:rsidRPr="00EA7870">
              <w:rPr>
                <w:b/>
                <w:sz w:val="20"/>
                <w:szCs w:val="20"/>
              </w:rPr>
              <w:t xml:space="preserve"> </w:t>
            </w:r>
            <w:r w:rsidRPr="00EA7870">
              <w:rPr>
                <w:b/>
                <w:sz w:val="20"/>
                <w:szCs w:val="20"/>
              </w:rPr>
              <w:t>&amp;</w:t>
            </w:r>
            <w:r w:rsidR="001A28B3" w:rsidRPr="00EA7870">
              <w:rPr>
                <w:b/>
                <w:sz w:val="20"/>
                <w:szCs w:val="20"/>
              </w:rPr>
              <w:t xml:space="preserve"> </w:t>
            </w:r>
            <w:r w:rsidRPr="00EA7870">
              <w:rPr>
                <w:b/>
                <w:sz w:val="20"/>
                <w:szCs w:val="20"/>
              </w:rPr>
              <w:t>Lombardi</w:t>
            </w:r>
          </w:p>
          <w:p w14:paraId="4C4B91FF" w14:textId="77777777" w:rsidR="00A9345D" w:rsidRPr="00EA7870" w:rsidRDefault="00A9345D" w:rsidP="00EA061D">
            <w:pPr>
              <w:jc w:val="center"/>
              <w:rPr>
                <w:sz w:val="20"/>
                <w:szCs w:val="20"/>
                <w:lang w:val="it-IT"/>
              </w:rPr>
            </w:pPr>
            <w:r w:rsidRPr="00EA7870">
              <w:rPr>
                <w:sz w:val="20"/>
                <w:szCs w:val="20"/>
              </w:rPr>
              <w:t>Ing.</w:t>
            </w:r>
            <w:r w:rsidR="001A28B3" w:rsidRPr="00EA7870">
              <w:rPr>
                <w:sz w:val="20"/>
                <w:szCs w:val="20"/>
              </w:rPr>
              <w:t xml:space="preserve"> </w:t>
            </w:r>
            <w:r w:rsidRPr="00EA7870">
              <w:rPr>
                <w:sz w:val="20"/>
                <w:szCs w:val="20"/>
              </w:rPr>
              <w:t>Enrique</w:t>
            </w:r>
            <w:r w:rsidR="001A28B3" w:rsidRPr="00EA7870">
              <w:rPr>
                <w:sz w:val="20"/>
                <w:szCs w:val="20"/>
              </w:rPr>
              <w:t xml:space="preserve"> </w:t>
            </w:r>
            <w:r w:rsidRPr="00EA7870">
              <w:rPr>
                <w:sz w:val="20"/>
                <w:szCs w:val="20"/>
              </w:rPr>
              <w:t>Butty</w:t>
            </w:r>
            <w:r w:rsidR="001A28B3" w:rsidRPr="00EA7870">
              <w:rPr>
                <w:sz w:val="20"/>
                <w:szCs w:val="20"/>
              </w:rPr>
              <w:t xml:space="preserve"> </w:t>
            </w:r>
            <w:r w:rsidRPr="00EA7870">
              <w:rPr>
                <w:sz w:val="20"/>
                <w:szCs w:val="20"/>
              </w:rPr>
              <w:t>275</w:t>
            </w:r>
            <w:r w:rsidRPr="00EA7870">
              <w:rPr>
                <w:sz w:val="20"/>
                <w:szCs w:val="20"/>
                <w:lang w:val="it-IT"/>
              </w:rPr>
              <w:t>,</w:t>
            </w:r>
            <w:r w:rsidR="001A28B3" w:rsidRPr="00EA7870">
              <w:rPr>
                <w:sz w:val="20"/>
                <w:szCs w:val="20"/>
                <w:lang w:val="it-IT"/>
              </w:rPr>
              <w:t xml:space="preserve"> </w:t>
            </w:r>
            <w:r w:rsidRPr="00EA7870">
              <w:rPr>
                <w:sz w:val="20"/>
                <w:szCs w:val="20"/>
                <w:lang w:val="it-IT"/>
              </w:rPr>
              <w:t>piso</w:t>
            </w:r>
            <w:r w:rsidR="001A28B3" w:rsidRPr="00EA7870">
              <w:rPr>
                <w:sz w:val="20"/>
                <w:szCs w:val="20"/>
                <w:lang w:val="it-IT"/>
              </w:rPr>
              <w:t xml:space="preserve"> </w:t>
            </w:r>
            <w:r w:rsidRPr="00EA7870">
              <w:rPr>
                <w:sz w:val="20"/>
                <w:szCs w:val="20"/>
                <w:lang w:val="it-IT"/>
              </w:rPr>
              <w:t>12</w:t>
            </w:r>
          </w:p>
          <w:p w14:paraId="0A2CC1D3" w14:textId="77777777" w:rsidR="00A9345D" w:rsidRPr="00EA7870" w:rsidRDefault="00A9345D" w:rsidP="00EA061D">
            <w:pPr>
              <w:jc w:val="center"/>
              <w:rPr>
                <w:sz w:val="20"/>
                <w:szCs w:val="20"/>
              </w:rPr>
            </w:pPr>
            <w:r w:rsidRPr="00EA7870">
              <w:rPr>
                <w:sz w:val="20"/>
                <w:szCs w:val="20"/>
              </w:rPr>
              <w:t>(C1001AFA),</w:t>
            </w:r>
            <w:r w:rsidR="001A28B3" w:rsidRPr="00EA7870">
              <w:rPr>
                <w:sz w:val="20"/>
                <w:szCs w:val="20"/>
              </w:rPr>
              <w:t xml:space="preserve"> </w:t>
            </w:r>
            <w:r w:rsidRPr="00EA7870">
              <w:rPr>
                <w:sz w:val="20"/>
                <w:szCs w:val="20"/>
              </w:rPr>
              <w:t>Ciudad</w:t>
            </w:r>
            <w:r w:rsidR="001A28B3" w:rsidRPr="00EA7870">
              <w:rPr>
                <w:sz w:val="20"/>
                <w:szCs w:val="20"/>
              </w:rPr>
              <w:t xml:space="preserve"> </w:t>
            </w:r>
            <w:r w:rsidRPr="00EA7870">
              <w:rPr>
                <w:sz w:val="20"/>
                <w:szCs w:val="20"/>
              </w:rPr>
              <w:t>Autónoma</w:t>
            </w:r>
            <w:r w:rsidR="001A28B3" w:rsidRPr="00EA7870">
              <w:rPr>
                <w:sz w:val="20"/>
                <w:szCs w:val="20"/>
              </w:rPr>
              <w:t xml:space="preserve"> </w:t>
            </w:r>
            <w:r w:rsidRPr="00EA7870">
              <w:rPr>
                <w:sz w:val="20"/>
                <w:szCs w:val="20"/>
              </w:rPr>
              <w:t>de</w:t>
            </w:r>
            <w:r w:rsidR="001A28B3" w:rsidRPr="00EA7870">
              <w:rPr>
                <w:sz w:val="20"/>
                <w:szCs w:val="20"/>
              </w:rPr>
              <w:t xml:space="preserve"> </w:t>
            </w:r>
            <w:r w:rsidRPr="00EA7870">
              <w:rPr>
                <w:sz w:val="20"/>
                <w:szCs w:val="20"/>
              </w:rPr>
              <w:t>Buenos</w:t>
            </w:r>
            <w:r w:rsidR="001A28B3" w:rsidRPr="00EA7870">
              <w:rPr>
                <w:sz w:val="20"/>
                <w:szCs w:val="20"/>
              </w:rPr>
              <w:t xml:space="preserve"> </w:t>
            </w:r>
            <w:r w:rsidRPr="00EA7870">
              <w:rPr>
                <w:sz w:val="20"/>
                <w:szCs w:val="20"/>
              </w:rPr>
              <w:t>Aires</w:t>
            </w:r>
          </w:p>
          <w:p w14:paraId="72147B7D" w14:textId="77777777" w:rsidR="00A9345D" w:rsidRPr="00EA7870" w:rsidRDefault="001C7006" w:rsidP="00EA061D">
            <w:pPr>
              <w:jc w:val="center"/>
              <w:rPr>
                <w:b/>
                <w:sz w:val="20"/>
                <w:szCs w:val="20"/>
                <w:lang w:val="es-AR"/>
              </w:rPr>
            </w:pPr>
            <w:bookmarkStart w:id="184" w:name="_Toc515470763"/>
            <w:bookmarkStart w:id="185" w:name="_Toc515880024"/>
            <w:bookmarkStart w:id="186" w:name="_Toc519244229"/>
            <w:bookmarkStart w:id="187" w:name="_Toc526498952"/>
            <w:r w:rsidRPr="00EA7870">
              <w:rPr>
                <w:sz w:val="20"/>
                <w:szCs w:val="20"/>
              </w:rPr>
              <w:t>República</w:t>
            </w:r>
            <w:r w:rsidR="001A28B3" w:rsidRPr="00EA7870">
              <w:rPr>
                <w:sz w:val="20"/>
                <w:szCs w:val="20"/>
              </w:rPr>
              <w:t xml:space="preserve"> </w:t>
            </w:r>
            <w:r w:rsidR="00A9345D" w:rsidRPr="00EA7870">
              <w:rPr>
                <w:sz w:val="20"/>
                <w:szCs w:val="20"/>
              </w:rPr>
              <w:t>Argentina</w:t>
            </w:r>
            <w:bookmarkEnd w:id="184"/>
            <w:bookmarkEnd w:id="185"/>
            <w:bookmarkEnd w:id="186"/>
            <w:bookmarkEnd w:id="187"/>
          </w:p>
        </w:tc>
      </w:tr>
      <w:tr w:rsidR="00A9345D" w:rsidRPr="00EA7870" w14:paraId="12868253" w14:textId="77777777" w:rsidTr="008C3631">
        <w:trPr>
          <w:jc w:val="center"/>
        </w:trPr>
        <w:tc>
          <w:tcPr>
            <w:tcW w:w="5000" w:type="pct"/>
            <w:gridSpan w:val="2"/>
            <w:shd w:val="clear" w:color="auto" w:fill="auto"/>
          </w:tcPr>
          <w:p w14:paraId="1FEC6AD2" w14:textId="77777777" w:rsidR="00A9345D" w:rsidRPr="00EA7870" w:rsidRDefault="00A9345D" w:rsidP="00594DAA">
            <w:pPr>
              <w:pStyle w:val="Ttulo1"/>
              <w:spacing w:before="0" w:after="0"/>
              <w:jc w:val="center"/>
              <w:rPr>
                <w:rFonts w:ascii="Times New Roman" w:hAnsi="Times New Roman"/>
                <w:b w:val="0"/>
                <w:sz w:val="20"/>
                <w:lang w:val="es-AR"/>
              </w:rPr>
            </w:pPr>
          </w:p>
          <w:p w14:paraId="4BCAC092" w14:textId="77777777" w:rsidR="00A9345D" w:rsidRPr="00EA7870" w:rsidRDefault="00A9345D" w:rsidP="00594DAA">
            <w:pPr>
              <w:jc w:val="center"/>
              <w:rPr>
                <w:b/>
                <w:sz w:val="20"/>
                <w:szCs w:val="20"/>
                <w:lang w:val="en-GB"/>
              </w:rPr>
            </w:pPr>
            <w:r w:rsidRPr="00EA7870">
              <w:rPr>
                <w:b/>
                <w:sz w:val="20"/>
                <w:szCs w:val="20"/>
                <w:lang w:val="en-GB"/>
              </w:rPr>
              <w:t>AUDITORES</w:t>
            </w:r>
            <w:r w:rsidR="001A28B3" w:rsidRPr="00EA7870">
              <w:rPr>
                <w:b/>
                <w:sz w:val="20"/>
                <w:szCs w:val="20"/>
                <w:lang w:val="en-GB"/>
              </w:rPr>
              <w:t xml:space="preserve"> </w:t>
            </w:r>
            <w:r w:rsidRPr="00EA7870">
              <w:rPr>
                <w:b/>
                <w:sz w:val="20"/>
                <w:szCs w:val="20"/>
                <w:lang w:val="en-GB"/>
              </w:rPr>
              <w:t>EXTERNOS</w:t>
            </w:r>
          </w:p>
          <w:p w14:paraId="3C4A896A" w14:textId="77777777" w:rsidR="00A9345D" w:rsidRPr="00EA7870" w:rsidRDefault="00A9345D" w:rsidP="00594DAA">
            <w:pPr>
              <w:rPr>
                <w:sz w:val="20"/>
                <w:szCs w:val="20"/>
                <w:lang w:val="es-AR"/>
              </w:rPr>
            </w:pPr>
          </w:p>
        </w:tc>
      </w:tr>
      <w:tr w:rsidR="00F5022A" w:rsidRPr="00EA7870" w14:paraId="2358BBF2" w14:textId="77777777" w:rsidTr="008C3631">
        <w:trPr>
          <w:trHeight w:val="1168"/>
          <w:jc w:val="center"/>
        </w:trPr>
        <w:tc>
          <w:tcPr>
            <w:tcW w:w="5000" w:type="pct"/>
            <w:gridSpan w:val="2"/>
            <w:shd w:val="clear" w:color="auto" w:fill="auto"/>
          </w:tcPr>
          <w:p w14:paraId="4D426352" w14:textId="77777777" w:rsidR="00F5022A" w:rsidRPr="00EA7870" w:rsidRDefault="00F5022A" w:rsidP="00FE7F77">
            <w:pPr>
              <w:jc w:val="center"/>
              <w:rPr>
                <w:b/>
                <w:sz w:val="20"/>
                <w:szCs w:val="20"/>
                <w:lang w:val="es-AR"/>
              </w:rPr>
            </w:pPr>
            <w:bookmarkStart w:id="188" w:name="_Toc515470764"/>
            <w:bookmarkStart w:id="189" w:name="_Toc515880025"/>
            <w:bookmarkStart w:id="190" w:name="_Toc519244230"/>
            <w:bookmarkStart w:id="191" w:name="_Toc526498953"/>
            <w:r w:rsidRPr="00EA7870">
              <w:rPr>
                <w:b/>
                <w:sz w:val="20"/>
                <w:szCs w:val="20"/>
                <w:lang w:val="es-AR"/>
              </w:rPr>
              <w:t>KPMG</w:t>
            </w:r>
            <w:bookmarkEnd w:id="188"/>
            <w:bookmarkEnd w:id="189"/>
            <w:bookmarkEnd w:id="190"/>
            <w:bookmarkEnd w:id="191"/>
          </w:p>
          <w:p w14:paraId="06E93156" w14:textId="77777777" w:rsidR="00F5022A" w:rsidRPr="00EA7870" w:rsidRDefault="00F5022A" w:rsidP="00FE7F77">
            <w:pPr>
              <w:jc w:val="center"/>
              <w:rPr>
                <w:sz w:val="20"/>
                <w:szCs w:val="20"/>
                <w:lang w:val="es-AR"/>
              </w:rPr>
            </w:pPr>
            <w:r w:rsidRPr="00EA7870">
              <w:rPr>
                <w:sz w:val="20"/>
                <w:szCs w:val="20"/>
                <w:lang w:val="es-AR"/>
              </w:rPr>
              <w:t>Bouchard</w:t>
            </w:r>
            <w:r w:rsidR="001A28B3" w:rsidRPr="00EA7870">
              <w:rPr>
                <w:sz w:val="20"/>
                <w:szCs w:val="20"/>
                <w:lang w:val="es-AR"/>
              </w:rPr>
              <w:t xml:space="preserve"> </w:t>
            </w:r>
            <w:r w:rsidRPr="00EA7870">
              <w:rPr>
                <w:sz w:val="20"/>
                <w:szCs w:val="20"/>
                <w:lang w:val="es-AR"/>
              </w:rPr>
              <w:t>710,</w:t>
            </w:r>
            <w:r w:rsidR="001A28B3" w:rsidRPr="00EA7870">
              <w:rPr>
                <w:sz w:val="20"/>
                <w:szCs w:val="20"/>
                <w:lang w:val="es-AR"/>
              </w:rPr>
              <w:t xml:space="preserve"> </w:t>
            </w:r>
            <w:r w:rsidRPr="00EA7870">
              <w:rPr>
                <w:sz w:val="20"/>
                <w:szCs w:val="20"/>
                <w:lang w:val="es-AR"/>
              </w:rPr>
              <w:t>piso</w:t>
            </w:r>
            <w:r w:rsidR="001A28B3" w:rsidRPr="00EA7870">
              <w:rPr>
                <w:sz w:val="20"/>
                <w:szCs w:val="20"/>
                <w:lang w:val="es-AR"/>
              </w:rPr>
              <w:t xml:space="preserve"> </w:t>
            </w:r>
            <w:r w:rsidRPr="00EA7870">
              <w:rPr>
                <w:sz w:val="20"/>
                <w:szCs w:val="20"/>
                <w:lang w:val="es-AR"/>
              </w:rPr>
              <w:t>1</w:t>
            </w:r>
          </w:p>
          <w:p w14:paraId="3B165CFA" w14:textId="77777777" w:rsidR="00F5022A" w:rsidRPr="00EA7870" w:rsidRDefault="00F5022A" w:rsidP="00FE7F77">
            <w:pPr>
              <w:jc w:val="center"/>
              <w:rPr>
                <w:sz w:val="20"/>
                <w:szCs w:val="20"/>
                <w:lang w:val="es-AR"/>
              </w:rPr>
            </w:pPr>
            <w:r w:rsidRPr="00EA7870">
              <w:rPr>
                <w:sz w:val="20"/>
                <w:szCs w:val="20"/>
                <w:lang w:val="es-AR"/>
              </w:rPr>
              <w:t>(C1106ABL),</w:t>
            </w:r>
            <w:r w:rsidR="001A28B3" w:rsidRPr="00EA7870">
              <w:rPr>
                <w:sz w:val="20"/>
                <w:szCs w:val="20"/>
                <w:lang w:val="es-AR"/>
              </w:rPr>
              <w:t xml:space="preserve"> </w:t>
            </w:r>
            <w:r w:rsidRPr="00EA7870">
              <w:rPr>
                <w:sz w:val="20"/>
                <w:szCs w:val="20"/>
                <w:lang w:val="es-AR"/>
              </w:rPr>
              <w:t>Ciudad</w:t>
            </w:r>
            <w:r w:rsidR="001A28B3" w:rsidRPr="00EA7870">
              <w:rPr>
                <w:sz w:val="20"/>
                <w:szCs w:val="20"/>
                <w:lang w:val="es-AR"/>
              </w:rPr>
              <w:t xml:space="preserve"> </w:t>
            </w:r>
            <w:r w:rsidRPr="00EA7870">
              <w:rPr>
                <w:sz w:val="20"/>
                <w:szCs w:val="20"/>
                <w:lang w:val="es-AR"/>
              </w:rPr>
              <w:t>Autónoma</w:t>
            </w:r>
            <w:r w:rsidR="001A28B3" w:rsidRPr="00EA7870">
              <w:rPr>
                <w:sz w:val="20"/>
                <w:szCs w:val="20"/>
                <w:lang w:val="es-AR"/>
              </w:rPr>
              <w:t xml:space="preserve"> </w:t>
            </w:r>
            <w:r w:rsidRPr="00EA7870">
              <w:rPr>
                <w:sz w:val="20"/>
                <w:szCs w:val="20"/>
                <w:lang w:val="es-AR"/>
              </w:rPr>
              <w:t>de</w:t>
            </w:r>
            <w:r w:rsidR="001A28B3" w:rsidRPr="00EA7870">
              <w:rPr>
                <w:sz w:val="20"/>
                <w:szCs w:val="20"/>
                <w:lang w:val="es-AR"/>
              </w:rPr>
              <w:t xml:space="preserve"> </w:t>
            </w:r>
            <w:r w:rsidRPr="00EA7870">
              <w:rPr>
                <w:sz w:val="20"/>
                <w:szCs w:val="20"/>
                <w:lang w:val="es-AR"/>
              </w:rPr>
              <w:t>Buenos</w:t>
            </w:r>
            <w:r w:rsidR="001A28B3" w:rsidRPr="00EA7870">
              <w:rPr>
                <w:sz w:val="20"/>
                <w:szCs w:val="20"/>
                <w:lang w:val="es-AR"/>
              </w:rPr>
              <w:t xml:space="preserve"> </w:t>
            </w:r>
            <w:r w:rsidRPr="00EA7870">
              <w:rPr>
                <w:sz w:val="20"/>
                <w:szCs w:val="20"/>
                <w:lang w:val="es-AR"/>
              </w:rPr>
              <w:t>Aires,</w:t>
            </w:r>
          </w:p>
          <w:p w14:paraId="63F9A727" w14:textId="77777777" w:rsidR="00F5022A" w:rsidRPr="00EA7870" w:rsidRDefault="00F5022A" w:rsidP="00FE7F77">
            <w:pPr>
              <w:jc w:val="center"/>
              <w:rPr>
                <w:sz w:val="20"/>
                <w:szCs w:val="20"/>
                <w:lang w:val="es-AR"/>
              </w:rPr>
            </w:pPr>
            <w:r w:rsidRPr="00EA7870">
              <w:rPr>
                <w:sz w:val="20"/>
                <w:szCs w:val="20"/>
                <w:lang w:val="es-AR"/>
              </w:rPr>
              <w:t>República</w:t>
            </w:r>
            <w:r w:rsidR="001A28B3" w:rsidRPr="00EA7870">
              <w:rPr>
                <w:sz w:val="20"/>
                <w:szCs w:val="20"/>
                <w:lang w:val="es-AR"/>
              </w:rPr>
              <w:t xml:space="preserve"> </w:t>
            </w:r>
            <w:r w:rsidRPr="00EA7870">
              <w:rPr>
                <w:sz w:val="20"/>
                <w:szCs w:val="20"/>
                <w:lang w:val="es-AR"/>
              </w:rPr>
              <w:t>Argentina</w:t>
            </w:r>
          </w:p>
          <w:p w14:paraId="7B8E762E" w14:textId="77777777" w:rsidR="001A70C5" w:rsidRPr="00EA7870" w:rsidRDefault="001A70C5" w:rsidP="00FE7F77">
            <w:pPr>
              <w:rPr>
                <w:sz w:val="20"/>
                <w:szCs w:val="20"/>
                <w:lang w:val="es-AR"/>
              </w:rPr>
            </w:pPr>
          </w:p>
        </w:tc>
      </w:tr>
      <w:tr w:rsidR="000C4987" w:rsidRPr="005D134B" w14:paraId="631267FA" w14:textId="77777777" w:rsidTr="008C3631">
        <w:trPr>
          <w:jc w:val="center"/>
        </w:trPr>
        <w:tc>
          <w:tcPr>
            <w:tcW w:w="5000" w:type="pct"/>
            <w:gridSpan w:val="2"/>
            <w:shd w:val="clear" w:color="auto" w:fill="auto"/>
          </w:tcPr>
          <w:p w14:paraId="1E2F08DC" w14:textId="77777777" w:rsidR="000C4987" w:rsidRPr="00EA7870" w:rsidRDefault="000C4987" w:rsidP="00FE7F77">
            <w:pPr>
              <w:jc w:val="center"/>
              <w:rPr>
                <w:b/>
                <w:sz w:val="20"/>
                <w:szCs w:val="20"/>
                <w:lang w:val="es-AR"/>
              </w:rPr>
            </w:pPr>
            <w:bookmarkStart w:id="192" w:name="_Toc515470765"/>
            <w:bookmarkStart w:id="193" w:name="_Toc515880026"/>
            <w:r w:rsidRPr="00EA7870">
              <w:rPr>
                <w:b/>
                <w:sz w:val="20"/>
                <w:szCs w:val="20"/>
                <w:lang w:val="es-AR"/>
              </w:rPr>
              <w:t xml:space="preserve">AGENTE FIDUCIARIO, AGENTE DE REGISTRO, </w:t>
            </w:r>
          </w:p>
          <w:p w14:paraId="0D73A083" w14:textId="77777777" w:rsidR="000C4987" w:rsidRPr="00EA7870" w:rsidRDefault="000C4987" w:rsidP="00FE7F77">
            <w:pPr>
              <w:jc w:val="center"/>
              <w:rPr>
                <w:b/>
                <w:sz w:val="20"/>
                <w:szCs w:val="20"/>
              </w:rPr>
            </w:pPr>
            <w:r w:rsidRPr="00EA7870">
              <w:rPr>
                <w:b/>
                <w:sz w:val="20"/>
                <w:szCs w:val="20"/>
                <w:lang w:val="es-AR"/>
              </w:rPr>
              <w:t xml:space="preserve">AGENTE DE PAGO Y AGENTE DE TRANSFERENCIA </w:t>
            </w:r>
            <w:bookmarkEnd w:id="192"/>
            <w:bookmarkEnd w:id="193"/>
          </w:p>
          <w:p w14:paraId="27E18B19" w14:textId="77777777" w:rsidR="000C4987" w:rsidRPr="00EA7870" w:rsidRDefault="000C4987" w:rsidP="00FE7F77">
            <w:pPr>
              <w:jc w:val="center"/>
              <w:rPr>
                <w:b/>
                <w:sz w:val="20"/>
                <w:szCs w:val="20"/>
                <w:lang w:val="es-AR"/>
              </w:rPr>
            </w:pPr>
          </w:p>
          <w:p w14:paraId="12A1F8D4" w14:textId="77777777" w:rsidR="000C4987" w:rsidRPr="00EA7870" w:rsidRDefault="000C4987" w:rsidP="00FE7F77">
            <w:pPr>
              <w:jc w:val="center"/>
              <w:rPr>
                <w:b/>
                <w:sz w:val="20"/>
                <w:szCs w:val="20"/>
                <w:lang w:val="en-US"/>
              </w:rPr>
            </w:pPr>
            <w:r w:rsidRPr="00EA7870">
              <w:rPr>
                <w:b/>
                <w:sz w:val="20"/>
                <w:szCs w:val="20"/>
                <w:lang w:val="en-US"/>
              </w:rPr>
              <w:t>The Bank of New York Mellon</w:t>
            </w:r>
          </w:p>
          <w:p w14:paraId="6AD3A013" w14:textId="77777777" w:rsidR="000C4987" w:rsidRPr="00EA7870" w:rsidRDefault="000C4987" w:rsidP="00FE7F77">
            <w:pPr>
              <w:jc w:val="center"/>
              <w:rPr>
                <w:sz w:val="20"/>
                <w:szCs w:val="20"/>
                <w:lang w:val="en-US"/>
              </w:rPr>
            </w:pPr>
            <w:r w:rsidRPr="00EA7870">
              <w:rPr>
                <w:sz w:val="20"/>
                <w:szCs w:val="20"/>
                <w:lang w:val="en-US"/>
              </w:rPr>
              <w:t>240 Greenwich Street, Floor 7 East,</w:t>
            </w:r>
          </w:p>
          <w:p w14:paraId="53B0E88B" w14:textId="77777777" w:rsidR="000C4987" w:rsidRPr="00EA7870" w:rsidRDefault="000C4987" w:rsidP="00FE7F77">
            <w:pPr>
              <w:jc w:val="center"/>
              <w:rPr>
                <w:sz w:val="20"/>
                <w:szCs w:val="20"/>
                <w:lang w:val="en-US"/>
              </w:rPr>
            </w:pPr>
            <w:r w:rsidRPr="00EA7870">
              <w:rPr>
                <w:sz w:val="20"/>
                <w:szCs w:val="20"/>
                <w:lang w:val="en-US"/>
              </w:rPr>
              <w:t>New York, New York, 10005</w:t>
            </w:r>
          </w:p>
          <w:p w14:paraId="44D60F36" w14:textId="77777777" w:rsidR="000C4987" w:rsidRPr="005D134B" w:rsidRDefault="000C4987" w:rsidP="00FE7F77">
            <w:pPr>
              <w:jc w:val="center"/>
              <w:rPr>
                <w:b/>
                <w:sz w:val="20"/>
                <w:szCs w:val="20"/>
                <w:lang w:val="es-AR"/>
              </w:rPr>
            </w:pPr>
            <w:r w:rsidRPr="00EA7870">
              <w:rPr>
                <w:sz w:val="20"/>
                <w:szCs w:val="20"/>
                <w:lang w:val="en-US"/>
              </w:rPr>
              <w:t>U.S.A.</w:t>
            </w:r>
          </w:p>
        </w:tc>
      </w:tr>
    </w:tbl>
    <w:p w14:paraId="542BC819" w14:textId="77777777" w:rsidR="00A13595" w:rsidRPr="005D134B" w:rsidRDefault="00A13595" w:rsidP="0017565B">
      <w:pPr>
        <w:rPr>
          <w:sz w:val="20"/>
          <w:szCs w:val="20"/>
          <w:lang w:val="es-AR"/>
        </w:rPr>
      </w:pPr>
    </w:p>
    <w:sectPr w:rsidR="00A13595" w:rsidRPr="005D134B" w:rsidSect="00AD76BB">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06CC9" w14:textId="77777777" w:rsidR="00282FB2" w:rsidRDefault="00282FB2">
      <w:r>
        <w:separator/>
      </w:r>
    </w:p>
  </w:endnote>
  <w:endnote w:type="continuationSeparator" w:id="0">
    <w:p w14:paraId="083879DE" w14:textId="77777777" w:rsidR="00282FB2" w:rsidRDefault="00282FB2">
      <w:r>
        <w:continuationSeparator/>
      </w:r>
    </w:p>
  </w:endnote>
  <w:endnote w:type="continuationNotice" w:id="1">
    <w:p w14:paraId="3A5D7501" w14:textId="77777777" w:rsidR="00282FB2" w:rsidRDefault="00282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utiger 65 Bold">
    <w:altName w:val="Times New Roman"/>
    <w:panose1 w:val="00000000000000000000"/>
    <w:charset w:val="00"/>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86947"/>
      <w:docPartObj>
        <w:docPartGallery w:val="Page Numbers (Bottom of Page)"/>
        <w:docPartUnique/>
      </w:docPartObj>
    </w:sdtPr>
    <w:sdtEndPr/>
    <w:sdtContent>
      <w:p w14:paraId="7F175214" w14:textId="528FD2E8" w:rsidR="002D1371" w:rsidRDefault="002D1371">
        <w:pPr>
          <w:pStyle w:val="Piedepgina"/>
          <w:jc w:val="center"/>
        </w:pPr>
        <w:r>
          <w:fldChar w:fldCharType="begin"/>
        </w:r>
        <w:r>
          <w:instrText>PAGE   \* MERGEFORMAT</w:instrText>
        </w:r>
        <w:r>
          <w:fldChar w:fldCharType="separate"/>
        </w:r>
        <w:r>
          <w:rPr>
            <w:noProof/>
          </w:rPr>
          <w:t>69</w:t>
        </w:r>
        <w:r>
          <w:fldChar w:fldCharType="end"/>
        </w:r>
      </w:p>
    </w:sdtContent>
  </w:sdt>
  <w:p w14:paraId="3CB4D049" w14:textId="77777777" w:rsidR="002D1371" w:rsidRDefault="002D1371">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705120"/>
      <w:docPartObj>
        <w:docPartGallery w:val="Page Numbers (Bottom of Page)"/>
        <w:docPartUnique/>
      </w:docPartObj>
    </w:sdtPr>
    <w:sdtEndPr/>
    <w:sdtContent>
      <w:p w14:paraId="0F6DE5F6" w14:textId="77777777" w:rsidR="0010523F" w:rsidRPr="00586593" w:rsidRDefault="0010523F" w:rsidP="007C6FAF">
        <w:pPr>
          <w:pStyle w:val="Textoindependiente2"/>
          <w:tabs>
            <w:tab w:val="right" w:pos="10440"/>
          </w:tabs>
        </w:pPr>
        <w:r w:rsidRPr="00586593">
          <w:t>Véase nuestro informe de fecha:</w:t>
        </w:r>
      </w:p>
      <w:p w14:paraId="061BC571" w14:textId="77777777" w:rsidR="0010523F" w:rsidRPr="00E16EDD" w:rsidRDefault="0010523F" w:rsidP="007C6FAF">
        <w:pPr>
          <w:pStyle w:val="Lilianita"/>
          <w:tabs>
            <w:tab w:val="right" w:pos="10440"/>
          </w:tabs>
          <w:rPr>
            <w:rFonts w:ascii="Times New Roman" w:hAnsi="Times New Roman"/>
            <w:lang w:val="es-AR"/>
          </w:rPr>
        </w:pPr>
        <w:r>
          <w:rPr>
            <w:rFonts w:ascii="Times New Roman" w:hAnsi="Times New Roman"/>
            <w:lang w:val="es-AR"/>
          </w:rPr>
          <w:t>11 de noviembre de 2019</w:t>
        </w:r>
      </w:p>
      <w:p w14:paraId="727246EE" w14:textId="77777777" w:rsidR="0010523F" w:rsidRPr="00E16EDD" w:rsidRDefault="0010523F" w:rsidP="007C6FAF">
        <w:pPr>
          <w:spacing w:line="80" w:lineRule="exact"/>
          <w:rPr>
            <w:sz w:val="20"/>
          </w:rPr>
        </w:pPr>
      </w:p>
      <w:p w14:paraId="25181239" w14:textId="77777777" w:rsidR="0010523F" w:rsidRPr="00E16EDD" w:rsidRDefault="0010523F" w:rsidP="007C6FAF">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277FCEA1" w14:textId="77777777" w:rsidR="0010523F" w:rsidRPr="00D97774" w:rsidRDefault="0010523F" w:rsidP="007C6FAF">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6D26B99F" w14:textId="77777777" w:rsidR="0010523F" w:rsidRDefault="0010523F" w:rsidP="007C6FAF">
        <w:pPr>
          <w:widowControl w:val="0"/>
          <w:tabs>
            <w:tab w:val="center" w:pos="1985"/>
          </w:tabs>
          <w:spacing w:line="240" w:lineRule="atLeast"/>
          <w:rPr>
            <w:sz w:val="20"/>
          </w:rPr>
        </w:pPr>
      </w:p>
      <w:p w14:paraId="01ABFF61" w14:textId="77777777" w:rsidR="0010523F" w:rsidRPr="00D97774" w:rsidRDefault="0010523F" w:rsidP="007C6FAF">
        <w:pPr>
          <w:widowControl w:val="0"/>
          <w:tabs>
            <w:tab w:val="center" w:pos="1985"/>
          </w:tabs>
          <w:spacing w:line="240" w:lineRule="atLeast"/>
          <w:rPr>
            <w:sz w:val="20"/>
          </w:rPr>
        </w:pPr>
      </w:p>
      <w:p w14:paraId="3E70CE08" w14:textId="77777777" w:rsidR="0010523F" w:rsidRPr="00D446B8" w:rsidRDefault="0010523F" w:rsidP="001957FB">
        <w:pPr>
          <w:widowControl w:val="0"/>
          <w:tabs>
            <w:tab w:val="center" w:pos="1980"/>
            <w:tab w:val="center" w:pos="12758"/>
            <w:tab w:val="center" w:pos="16727"/>
          </w:tabs>
          <w:ind w:right="11"/>
          <w:rPr>
            <w:sz w:val="18"/>
            <w:szCs w:val="18"/>
            <w:lang w:val="it-IT"/>
          </w:rPr>
        </w:pPr>
        <w:r w:rsidRPr="00D446B8">
          <w:rPr>
            <w:sz w:val="18"/>
            <w:szCs w:val="18"/>
            <w:lang w:val="it-IT"/>
          </w:rPr>
          <w:tab/>
          <w:t>Ricardo D. Calvetti</w:t>
        </w:r>
        <w:r>
          <w:rPr>
            <w:sz w:val="18"/>
            <w:szCs w:val="18"/>
            <w:lang w:val="it-IT"/>
          </w:rPr>
          <w:t xml:space="preserve">            </w:t>
        </w:r>
        <w:r w:rsidRPr="00D446B8">
          <w:rPr>
            <w:sz w:val="18"/>
            <w:szCs w:val="18"/>
            <w:lang w:val="it-IT"/>
          </w:rPr>
          <w:tab/>
          <w:t>Rodolfo E. Berisso</w:t>
        </w:r>
      </w:p>
      <w:p w14:paraId="089CDFAE" w14:textId="77777777" w:rsidR="0010523F" w:rsidRPr="00D446B8" w:rsidRDefault="0010523F" w:rsidP="002968D0">
        <w:pPr>
          <w:widowControl w:val="0"/>
          <w:tabs>
            <w:tab w:val="center" w:pos="1980"/>
            <w:tab w:val="center" w:pos="13467"/>
            <w:tab w:val="center" w:pos="16727"/>
          </w:tabs>
          <w:ind w:left="1701" w:right="11"/>
          <w:rPr>
            <w:sz w:val="18"/>
            <w:szCs w:val="18"/>
            <w:lang w:val="pt-BR"/>
          </w:rPr>
        </w:pPr>
        <w:r w:rsidRPr="00D446B8">
          <w:rPr>
            <w:sz w:val="18"/>
            <w:szCs w:val="18"/>
            <w:lang w:val="it-IT"/>
          </w:rPr>
          <w:tab/>
        </w:r>
        <w:r w:rsidRPr="00D446B8">
          <w:rPr>
            <w:i/>
            <w:sz w:val="18"/>
            <w:szCs w:val="18"/>
            <w:lang w:val="pt-BR"/>
          </w:rPr>
          <w:t>Socio</w:t>
        </w:r>
        <w:r>
          <w:rPr>
            <w:i/>
            <w:sz w:val="18"/>
            <w:szCs w:val="18"/>
            <w:lang w:val="pt-BR"/>
          </w:rPr>
          <w:t xml:space="preserve">                                                                                                                                                                                                                                     </w:t>
        </w:r>
        <w:r w:rsidRPr="00D446B8">
          <w:rPr>
            <w:sz w:val="18"/>
            <w:szCs w:val="18"/>
            <w:u w:val="single"/>
            <w:lang w:val="pt-BR"/>
          </w:rPr>
          <w:t>Apoderado</w:t>
        </w:r>
      </w:p>
      <w:p w14:paraId="053DC75E" w14:textId="77777777" w:rsidR="0010523F" w:rsidRPr="004D5003" w:rsidRDefault="0010523F" w:rsidP="007C6FAF">
        <w:pPr>
          <w:widowControl w:val="0"/>
          <w:tabs>
            <w:tab w:val="center" w:pos="1985"/>
          </w:tabs>
          <w:spacing w:line="240" w:lineRule="atLeast"/>
          <w:rPr>
            <w:sz w:val="20"/>
            <w:lang w:val="pt-BR"/>
          </w:rPr>
        </w:pPr>
        <w:r w:rsidRPr="004D5003">
          <w:rPr>
            <w:sz w:val="20"/>
            <w:lang w:val="pt-BR"/>
          </w:rPr>
          <w:tab/>
          <w:t>Contador Público (UADE)</w:t>
        </w:r>
        <w:r>
          <w:rPr>
            <w:sz w:val="20"/>
            <w:lang w:val="pt-BR"/>
          </w:rPr>
          <w:t xml:space="preserve">                  </w:t>
        </w:r>
      </w:p>
      <w:p w14:paraId="2E161A9F" w14:textId="77777777" w:rsidR="0010523F" w:rsidRPr="00B46E4E" w:rsidRDefault="0010523F" w:rsidP="007C6FAF">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21080574" w14:textId="77777777" w:rsidR="0010523F" w:rsidRDefault="0010523F" w:rsidP="0071006A">
        <w:pPr>
          <w:pStyle w:val="Textoindependiente2"/>
          <w:tabs>
            <w:tab w:val="right" w:pos="10440"/>
          </w:tabs>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775A6" w14:textId="77777777" w:rsidR="0010523F" w:rsidRPr="00586593" w:rsidRDefault="0010523F" w:rsidP="007C6FAF">
    <w:pPr>
      <w:pStyle w:val="Textoindependiente2"/>
      <w:tabs>
        <w:tab w:val="right" w:pos="10440"/>
      </w:tabs>
    </w:pPr>
    <w:r w:rsidRPr="00586593">
      <w:t>Véase nuestro informe de fecha:</w:t>
    </w:r>
  </w:p>
  <w:p w14:paraId="4A59183A" w14:textId="77777777" w:rsidR="0010523F" w:rsidRPr="00E16EDD" w:rsidRDefault="0010523F" w:rsidP="007C6FAF">
    <w:pPr>
      <w:pStyle w:val="Lilianita"/>
      <w:tabs>
        <w:tab w:val="right" w:pos="10440"/>
      </w:tabs>
      <w:rPr>
        <w:rFonts w:ascii="Times New Roman" w:hAnsi="Times New Roman"/>
        <w:lang w:val="es-AR"/>
      </w:rPr>
    </w:pPr>
    <w:r>
      <w:rPr>
        <w:rFonts w:ascii="Times New Roman" w:hAnsi="Times New Roman"/>
        <w:lang w:val="es-AR"/>
      </w:rPr>
      <w:t>10 de agosto de 2018</w:t>
    </w:r>
  </w:p>
  <w:p w14:paraId="57034861" w14:textId="77777777" w:rsidR="0010523F" w:rsidRPr="00E16EDD" w:rsidRDefault="0010523F" w:rsidP="007C6FAF">
    <w:pPr>
      <w:spacing w:line="80" w:lineRule="exact"/>
      <w:rPr>
        <w:sz w:val="20"/>
      </w:rPr>
    </w:pPr>
  </w:p>
  <w:p w14:paraId="33FC8CE0" w14:textId="77777777" w:rsidR="0010523F" w:rsidRPr="00E16EDD" w:rsidRDefault="0010523F" w:rsidP="007C6FAF">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7AB54CD5" w14:textId="77777777" w:rsidR="0010523F" w:rsidRPr="00D97774" w:rsidRDefault="0010523F" w:rsidP="007C6FAF">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185170F5" w14:textId="77777777" w:rsidR="0010523F" w:rsidRPr="00D97774" w:rsidRDefault="0010523F" w:rsidP="007C6FAF">
    <w:pPr>
      <w:widowControl w:val="0"/>
      <w:tabs>
        <w:tab w:val="center" w:pos="1985"/>
      </w:tabs>
      <w:spacing w:line="240" w:lineRule="atLeast"/>
      <w:rPr>
        <w:sz w:val="20"/>
      </w:rPr>
    </w:pPr>
  </w:p>
  <w:p w14:paraId="076717F0" w14:textId="77777777" w:rsidR="0010523F" w:rsidRPr="00D446B8" w:rsidRDefault="0010523F" w:rsidP="007C6FAF">
    <w:pPr>
      <w:widowControl w:val="0"/>
      <w:tabs>
        <w:tab w:val="center" w:pos="1701"/>
        <w:tab w:val="center" w:pos="13467"/>
        <w:tab w:val="center" w:pos="16727"/>
      </w:tabs>
      <w:ind w:right="11"/>
      <w:rPr>
        <w:sz w:val="18"/>
        <w:szCs w:val="18"/>
        <w:lang w:val="it-IT"/>
      </w:rPr>
    </w:pPr>
    <w:r w:rsidRPr="00D446B8">
      <w:rPr>
        <w:sz w:val="18"/>
        <w:szCs w:val="18"/>
        <w:lang w:val="it-IT"/>
      </w:rPr>
      <w:tab/>
      <w:t>Ricardo D. Calvetti</w:t>
    </w:r>
    <w:r w:rsidRPr="00D446B8">
      <w:rPr>
        <w:sz w:val="18"/>
        <w:szCs w:val="18"/>
        <w:lang w:val="it-IT"/>
      </w:rPr>
      <w:tab/>
      <w:t>Rodolfo E. Berisso</w:t>
    </w:r>
  </w:p>
  <w:p w14:paraId="190DF6C1" w14:textId="77777777" w:rsidR="0010523F" w:rsidRPr="00D446B8" w:rsidRDefault="0010523F" w:rsidP="007C6FAF">
    <w:pPr>
      <w:widowControl w:val="0"/>
      <w:tabs>
        <w:tab w:val="center" w:pos="1701"/>
        <w:tab w:val="center" w:pos="13467"/>
        <w:tab w:val="center" w:pos="16727"/>
      </w:tabs>
      <w:ind w:right="11"/>
      <w:rPr>
        <w:sz w:val="18"/>
        <w:szCs w:val="18"/>
        <w:lang w:val="pt-BR"/>
      </w:rPr>
    </w:pPr>
    <w:r w:rsidRPr="00D446B8">
      <w:rPr>
        <w:sz w:val="18"/>
        <w:szCs w:val="18"/>
        <w:lang w:val="it-IT"/>
      </w:rPr>
      <w:tab/>
    </w:r>
    <w:r w:rsidRPr="00D446B8">
      <w:rPr>
        <w:i/>
        <w:sz w:val="18"/>
        <w:szCs w:val="18"/>
        <w:lang w:val="pt-BR"/>
      </w:rPr>
      <w:t>Socio</w:t>
    </w:r>
    <w:r w:rsidRPr="00D446B8">
      <w:rPr>
        <w:i/>
        <w:sz w:val="18"/>
        <w:szCs w:val="18"/>
        <w:lang w:val="pt-BR"/>
      </w:rPr>
      <w:tab/>
    </w:r>
    <w:r w:rsidRPr="00D446B8">
      <w:rPr>
        <w:sz w:val="18"/>
        <w:szCs w:val="18"/>
        <w:u w:val="single"/>
        <w:lang w:val="pt-BR"/>
      </w:rPr>
      <w:t>Apoderado</w:t>
    </w:r>
  </w:p>
  <w:p w14:paraId="47C0162A" w14:textId="77777777" w:rsidR="0010523F" w:rsidRPr="004D5003" w:rsidRDefault="0010523F" w:rsidP="007C6FAF">
    <w:pPr>
      <w:widowControl w:val="0"/>
      <w:tabs>
        <w:tab w:val="center" w:pos="1985"/>
      </w:tabs>
      <w:spacing w:line="240" w:lineRule="atLeast"/>
      <w:rPr>
        <w:sz w:val="20"/>
        <w:lang w:val="pt-BR"/>
      </w:rPr>
    </w:pPr>
    <w:r w:rsidRPr="004D5003">
      <w:rPr>
        <w:sz w:val="20"/>
        <w:lang w:val="pt-BR"/>
      </w:rPr>
      <w:tab/>
      <w:t>Contador Público (UADE)</w:t>
    </w:r>
  </w:p>
  <w:p w14:paraId="2F1F311C" w14:textId="77777777" w:rsidR="0010523F" w:rsidRPr="00B46E4E" w:rsidRDefault="0010523F" w:rsidP="007C6FAF">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5AABCF92" w14:textId="77777777" w:rsidR="0010523F" w:rsidRPr="00D6392F" w:rsidRDefault="0010523F">
    <w:pPr>
      <w:pStyle w:val="Piedepgina"/>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11</w:t>
    </w:r>
    <w:r w:rsidRPr="00D6392F">
      <w:rPr>
        <w:rStyle w:val="Nmerodepgina"/>
        <w:rFonts w:eastAsia="SimSun"/>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64914"/>
      <w:docPartObj>
        <w:docPartGallery w:val="Page Numbers (Bottom of Page)"/>
        <w:docPartUnique/>
      </w:docPartObj>
    </w:sdtPr>
    <w:sdtEndPr/>
    <w:sdtContent>
      <w:p w14:paraId="35461614" w14:textId="77777777" w:rsidR="0010523F" w:rsidRPr="00586593" w:rsidRDefault="0010523F" w:rsidP="00564D42">
        <w:pPr>
          <w:pStyle w:val="Textoindependiente2"/>
          <w:tabs>
            <w:tab w:val="right" w:pos="10440"/>
          </w:tabs>
        </w:pPr>
        <w:r w:rsidRPr="00586593">
          <w:t>Véase nuestro informe de fecha:</w:t>
        </w:r>
      </w:p>
      <w:p w14:paraId="5CC9CB57" w14:textId="77777777" w:rsidR="0010523F" w:rsidRPr="00E16EDD" w:rsidRDefault="0010523F" w:rsidP="00564D42">
        <w:pPr>
          <w:pStyle w:val="Lilianita"/>
          <w:tabs>
            <w:tab w:val="right" w:pos="10440"/>
          </w:tabs>
          <w:rPr>
            <w:rFonts w:ascii="Times New Roman" w:hAnsi="Times New Roman"/>
            <w:lang w:val="es-AR"/>
          </w:rPr>
        </w:pPr>
        <w:r>
          <w:rPr>
            <w:rFonts w:ascii="Times New Roman" w:hAnsi="Times New Roman"/>
            <w:lang w:val="es-AR"/>
          </w:rPr>
          <w:t>11 de noviembre de 2019</w:t>
        </w:r>
      </w:p>
      <w:p w14:paraId="448AACC9" w14:textId="77777777" w:rsidR="0010523F" w:rsidRPr="00E16EDD" w:rsidRDefault="0010523F" w:rsidP="00FB40BD">
        <w:pPr>
          <w:pStyle w:val="Lilianita"/>
          <w:widowControl w:val="0"/>
          <w:spacing w:line="240" w:lineRule="atLeast"/>
          <w:rPr>
            <w:rFonts w:ascii="Times New Roman" w:hAnsi="Times New Roman"/>
            <w:lang w:val="es-AR"/>
          </w:rPr>
        </w:pPr>
        <w:r>
          <w:t xml:space="preserve">                                </w:t>
        </w:r>
        <w:r w:rsidRPr="00E16EDD">
          <w:rPr>
            <w:rFonts w:ascii="Times New Roman" w:hAnsi="Times New Roman"/>
            <w:lang w:val="es-AR"/>
          </w:rPr>
          <w:t>KPMG</w:t>
        </w:r>
      </w:p>
      <w:p w14:paraId="17136F3E" w14:textId="77777777" w:rsidR="0010523F" w:rsidRPr="00D97774" w:rsidRDefault="0010523F" w:rsidP="00564D42">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5F9F574B" w14:textId="77777777" w:rsidR="0010523F" w:rsidRDefault="0010523F" w:rsidP="00564D42">
        <w:pPr>
          <w:widowControl w:val="0"/>
          <w:tabs>
            <w:tab w:val="center" w:pos="1985"/>
          </w:tabs>
          <w:spacing w:line="240" w:lineRule="atLeast"/>
          <w:rPr>
            <w:sz w:val="20"/>
          </w:rPr>
        </w:pPr>
      </w:p>
      <w:p w14:paraId="7EE4B3CE" w14:textId="77777777" w:rsidR="0010523F" w:rsidRPr="00D97774" w:rsidRDefault="0010523F" w:rsidP="00564D42">
        <w:pPr>
          <w:widowControl w:val="0"/>
          <w:tabs>
            <w:tab w:val="center" w:pos="1985"/>
          </w:tabs>
          <w:spacing w:line="240" w:lineRule="atLeast"/>
          <w:rPr>
            <w:sz w:val="20"/>
          </w:rPr>
        </w:pPr>
      </w:p>
      <w:p w14:paraId="26D2E4B1" w14:textId="77777777" w:rsidR="0010523F" w:rsidRPr="00D446B8" w:rsidRDefault="0010523F" w:rsidP="00564D42">
        <w:pPr>
          <w:widowControl w:val="0"/>
          <w:tabs>
            <w:tab w:val="center" w:pos="1980"/>
            <w:tab w:val="center" w:pos="9214"/>
            <w:tab w:val="center" w:pos="16727"/>
          </w:tabs>
          <w:ind w:right="11"/>
          <w:rPr>
            <w:sz w:val="18"/>
            <w:szCs w:val="18"/>
            <w:lang w:val="it-IT"/>
          </w:rPr>
        </w:pPr>
        <w:r w:rsidRPr="00D446B8">
          <w:rPr>
            <w:sz w:val="18"/>
            <w:szCs w:val="18"/>
            <w:lang w:val="it-IT"/>
          </w:rPr>
          <w:tab/>
          <w:t>Ricardo D. Calvetti</w:t>
        </w:r>
        <w:r w:rsidRPr="00D446B8">
          <w:rPr>
            <w:sz w:val="18"/>
            <w:szCs w:val="18"/>
            <w:lang w:val="it-IT"/>
          </w:rPr>
          <w:tab/>
          <w:t>Rodolfo E. Berisso</w:t>
        </w:r>
      </w:p>
      <w:p w14:paraId="039C21B6" w14:textId="77777777" w:rsidR="0010523F" w:rsidRPr="00D446B8" w:rsidRDefault="0010523F" w:rsidP="00FB40BD">
        <w:pPr>
          <w:widowControl w:val="0"/>
          <w:tabs>
            <w:tab w:val="center" w:pos="1980"/>
            <w:tab w:val="left" w:pos="8505"/>
            <w:tab w:val="center" w:pos="9214"/>
            <w:tab w:val="center" w:pos="16727"/>
          </w:tabs>
          <w:ind w:right="11"/>
          <w:rPr>
            <w:sz w:val="18"/>
            <w:szCs w:val="18"/>
            <w:lang w:val="pt-BR"/>
          </w:rPr>
        </w:pPr>
        <w:r w:rsidRPr="00D446B8">
          <w:rPr>
            <w:sz w:val="18"/>
            <w:szCs w:val="18"/>
            <w:lang w:val="it-IT"/>
          </w:rPr>
          <w:tab/>
        </w:r>
        <w:r w:rsidRPr="00D446B8">
          <w:rPr>
            <w:i/>
            <w:sz w:val="18"/>
            <w:szCs w:val="18"/>
            <w:lang w:val="pt-BR"/>
          </w:rPr>
          <w:t>Socio</w:t>
        </w:r>
        <w:r w:rsidRPr="00D446B8">
          <w:rPr>
            <w:i/>
            <w:sz w:val="18"/>
            <w:szCs w:val="18"/>
            <w:lang w:val="pt-BR"/>
          </w:rPr>
          <w:tab/>
        </w:r>
        <w:r w:rsidRPr="00D446B8">
          <w:rPr>
            <w:sz w:val="18"/>
            <w:szCs w:val="18"/>
            <w:u w:val="single"/>
            <w:lang w:val="pt-BR"/>
          </w:rPr>
          <w:t>Apoderado</w:t>
        </w:r>
      </w:p>
      <w:p w14:paraId="17C5FA91" w14:textId="77777777" w:rsidR="0010523F" w:rsidRPr="004D5003" w:rsidRDefault="0010523F" w:rsidP="00564D42">
        <w:pPr>
          <w:widowControl w:val="0"/>
          <w:tabs>
            <w:tab w:val="center" w:pos="1985"/>
          </w:tabs>
          <w:spacing w:line="240" w:lineRule="atLeast"/>
          <w:rPr>
            <w:sz w:val="20"/>
            <w:lang w:val="pt-BR"/>
          </w:rPr>
        </w:pPr>
        <w:r w:rsidRPr="004D5003">
          <w:rPr>
            <w:sz w:val="20"/>
            <w:lang w:val="pt-BR"/>
          </w:rPr>
          <w:tab/>
          <w:t>Contador Público (UADE)</w:t>
        </w:r>
      </w:p>
      <w:p w14:paraId="212A500A" w14:textId="77777777" w:rsidR="0010523F" w:rsidRPr="00B46E4E" w:rsidRDefault="0010523F" w:rsidP="00564D42">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6F4D4E6C" w14:textId="77777777" w:rsidR="0010523F" w:rsidRDefault="0010523F" w:rsidP="0071006A">
        <w:pPr>
          <w:pStyle w:val="Textoindependiente2"/>
          <w:tabs>
            <w:tab w:val="right" w:pos="10440"/>
          </w:tabs>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CF2A" w14:textId="77777777" w:rsidR="0010523F" w:rsidRPr="00586593" w:rsidRDefault="0010523F" w:rsidP="007C6FAF">
    <w:pPr>
      <w:pStyle w:val="Textoindependiente2"/>
      <w:tabs>
        <w:tab w:val="right" w:pos="10440"/>
      </w:tabs>
    </w:pPr>
    <w:r w:rsidRPr="00586593">
      <w:t>Véase nuestro informe de fecha:</w:t>
    </w:r>
  </w:p>
  <w:p w14:paraId="15D16D14" w14:textId="77777777" w:rsidR="0010523F" w:rsidRPr="00E16EDD" w:rsidRDefault="0010523F" w:rsidP="007C6FAF">
    <w:pPr>
      <w:pStyle w:val="Lilianita"/>
      <w:tabs>
        <w:tab w:val="right" w:pos="10440"/>
      </w:tabs>
      <w:rPr>
        <w:rFonts w:ascii="Times New Roman" w:hAnsi="Times New Roman"/>
        <w:lang w:val="es-AR"/>
      </w:rPr>
    </w:pPr>
    <w:r>
      <w:rPr>
        <w:rFonts w:ascii="Times New Roman" w:hAnsi="Times New Roman"/>
        <w:lang w:val="es-AR"/>
      </w:rPr>
      <w:t>10 de agosto de 2018</w:t>
    </w:r>
  </w:p>
  <w:p w14:paraId="1E52649F" w14:textId="77777777" w:rsidR="0010523F" w:rsidRPr="00E16EDD" w:rsidRDefault="0010523F" w:rsidP="007C6FAF">
    <w:pPr>
      <w:spacing w:line="80" w:lineRule="exact"/>
      <w:rPr>
        <w:sz w:val="20"/>
      </w:rPr>
    </w:pPr>
  </w:p>
  <w:p w14:paraId="59EADEC2" w14:textId="77777777" w:rsidR="0010523F" w:rsidRPr="00E16EDD" w:rsidRDefault="0010523F" w:rsidP="007C6FAF">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22709EC1" w14:textId="77777777" w:rsidR="0010523F" w:rsidRPr="00D97774" w:rsidRDefault="0010523F" w:rsidP="007C6FAF">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558729A1" w14:textId="77777777" w:rsidR="0010523F" w:rsidRPr="00D97774" w:rsidRDefault="0010523F" w:rsidP="007C6FAF">
    <w:pPr>
      <w:widowControl w:val="0"/>
      <w:tabs>
        <w:tab w:val="center" w:pos="1985"/>
      </w:tabs>
      <w:spacing w:line="240" w:lineRule="atLeast"/>
      <w:rPr>
        <w:sz w:val="20"/>
      </w:rPr>
    </w:pPr>
  </w:p>
  <w:p w14:paraId="3D54E552" w14:textId="77777777" w:rsidR="0010523F" w:rsidRPr="00D446B8" w:rsidRDefault="0010523F" w:rsidP="007C6FAF">
    <w:pPr>
      <w:widowControl w:val="0"/>
      <w:tabs>
        <w:tab w:val="center" w:pos="1701"/>
        <w:tab w:val="center" w:pos="13467"/>
        <w:tab w:val="center" w:pos="16727"/>
      </w:tabs>
      <w:ind w:right="11"/>
      <w:rPr>
        <w:sz w:val="18"/>
        <w:szCs w:val="18"/>
        <w:lang w:val="it-IT"/>
      </w:rPr>
    </w:pPr>
    <w:r w:rsidRPr="00D446B8">
      <w:rPr>
        <w:sz w:val="18"/>
        <w:szCs w:val="18"/>
        <w:lang w:val="it-IT"/>
      </w:rPr>
      <w:tab/>
      <w:t>Ricardo D. Calvetti</w:t>
    </w:r>
    <w:r w:rsidRPr="00D446B8">
      <w:rPr>
        <w:sz w:val="18"/>
        <w:szCs w:val="18"/>
        <w:lang w:val="it-IT"/>
      </w:rPr>
      <w:tab/>
      <w:t>Rodolfo E. Berisso</w:t>
    </w:r>
  </w:p>
  <w:p w14:paraId="7CEE60D7" w14:textId="77777777" w:rsidR="0010523F" w:rsidRPr="00D446B8" w:rsidRDefault="0010523F" w:rsidP="007C6FAF">
    <w:pPr>
      <w:widowControl w:val="0"/>
      <w:tabs>
        <w:tab w:val="center" w:pos="1701"/>
        <w:tab w:val="center" w:pos="13467"/>
        <w:tab w:val="center" w:pos="16727"/>
      </w:tabs>
      <w:ind w:right="11"/>
      <w:rPr>
        <w:sz w:val="18"/>
        <w:szCs w:val="18"/>
        <w:lang w:val="pt-BR"/>
      </w:rPr>
    </w:pPr>
    <w:r w:rsidRPr="00D446B8">
      <w:rPr>
        <w:sz w:val="18"/>
        <w:szCs w:val="18"/>
        <w:lang w:val="it-IT"/>
      </w:rPr>
      <w:tab/>
    </w:r>
    <w:r w:rsidRPr="00D446B8">
      <w:rPr>
        <w:i/>
        <w:sz w:val="18"/>
        <w:szCs w:val="18"/>
        <w:lang w:val="pt-BR"/>
      </w:rPr>
      <w:t>Socio</w:t>
    </w:r>
    <w:r w:rsidRPr="00D446B8">
      <w:rPr>
        <w:i/>
        <w:sz w:val="18"/>
        <w:szCs w:val="18"/>
        <w:lang w:val="pt-BR"/>
      </w:rPr>
      <w:tab/>
    </w:r>
    <w:r w:rsidRPr="00D446B8">
      <w:rPr>
        <w:sz w:val="18"/>
        <w:szCs w:val="18"/>
        <w:u w:val="single"/>
        <w:lang w:val="pt-BR"/>
      </w:rPr>
      <w:t>Apoderado</w:t>
    </w:r>
  </w:p>
  <w:p w14:paraId="60060114" w14:textId="77777777" w:rsidR="0010523F" w:rsidRPr="004D5003" w:rsidRDefault="0010523F" w:rsidP="007C6FAF">
    <w:pPr>
      <w:widowControl w:val="0"/>
      <w:tabs>
        <w:tab w:val="center" w:pos="1985"/>
      </w:tabs>
      <w:spacing w:line="240" w:lineRule="atLeast"/>
      <w:rPr>
        <w:sz w:val="20"/>
        <w:lang w:val="pt-BR"/>
      </w:rPr>
    </w:pPr>
    <w:r w:rsidRPr="004D5003">
      <w:rPr>
        <w:sz w:val="20"/>
        <w:lang w:val="pt-BR"/>
      </w:rPr>
      <w:tab/>
      <w:t>Contador Público (UADE)</w:t>
    </w:r>
  </w:p>
  <w:p w14:paraId="61644889" w14:textId="77777777" w:rsidR="0010523F" w:rsidRPr="00B46E4E" w:rsidRDefault="0010523F" w:rsidP="007C6FAF">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5F3F9BAA" w14:textId="77777777" w:rsidR="0010523F" w:rsidRPr="00D6392F" w:rsidRDefault="0010523F">
    <w:pPr>
      <w:pStyle w:val="Piedepgina"/>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13</w:t>
    </w:r>
    <w:r w:rsidRPr="00D6392F">
      <w:rPr>
        <w:rStyle w:val="Nmerodepgina"/>
        <w:rFonts w:eastAsia="SimSun"/>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70A3" w14:textId="77777777" w:rsidR="0010523F" w:rsidRPr="00586593" w:rsidRDefault="0010523F" w:rsidP="00FA5CCF">
    <w:pPr>
      <w:pStyle w:val="Textoindependiente2"/>
      <w:tabs>
        <w:tab w:val="right" w:pos="10440"/>
      </w:tabs>
      <w:ind w:left="142"/>
    </w:pPr>
    <w:r w:rsidRPr="00586593">
      <w:t>Véase nuestro informe de fecha:</w:t>
    </w:r>
  </w:p>
  <w:p w14:paraId="455DE393" w14:textId="77777777" w:rsidR="0010523F" w:rsidRPr="00E16EDD" w:rsidRDefault="0010523F" w:rsidP="00FA5CCF">
    <w:pPr>
      <w:pStyle w:val="Lilianita"/>
      <w:tabs>
        <w:tab w:val="right" w:pos="10440"/>
      </w:tabs>
      <w:ind w:left="142"/>
      <w:rPr>
        <w:rFonts w:ascii="Times New Roman" w:hAnsi="Times New Roman"/>
        <w:lang w:val="es-AR"/>
      </w:rPr>
    </w:pPr>
    <w:r>
      <w:rPr>
        <w:rFonts w:ascii="Times New Roman" w:hAnsi="Times New Roman"/>
        <w:lang w:val="es-AR"/>
      </w:rPr>
      <w:t>11 de noviembre de 2019</w:t>
    </w:r>
  </w:p>
  <w:p w14:paraId="3DF04762" w14:textId="77777777" w:rsidR="0010523F" w:rsidRPr="00E16EDD" w:rsidRDefault="0010523F" w:rsidP="000F7D27">
    <w:pPr>
      <w:spacing w:line="80" w:lineRule="exact"/>
      <w:rPr>
        <w:sz w:val="20"/>
      </w:rPr>
    </w:pPr>
  </w:p>
  <w:p w14:paraId="45EF514B" w14:textId="77777777" w:rsidR="0010523F" w:rsidRPr="00E16EDD" w:rsidRDefault="0010523F" w:rsidP="00BD13B5">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090E8A28" w14:textId="77777777" w:rsidR="0010523F" w:rsidRPr="00D97774" w:rsidRDefault="0010523F" w:rsidP="00BD13B5">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0DD6E731" w14:textId="77777777" w:rsidR="0010523F" w:rsidRPr="00D97774" w:rsidRDefault="0010523F" w:rsidP="00BD13B5">
    <w:pPr>
      <w:widowControl w:val="0"/>
      <w:tabs>
        <w:tab w:val="center" w:pos="1985"/>
      </w:tabs>
      <w:spacing w:line="240" w:lineRule="atLeast"/>
      <w:rPr>
        <w:sz w:val="20"/>
      </w:rPr>
    </w:pPr>
  </w:p>
  <w:p w14:paraId="0870014B" w14:textId="77777777" w:rsidR="0010523F" w:rsidRPr="002B009E" w:rsidRDefault="0010523F" w:rsidP="00BD13B5">
    <w:pPr>
      <w:widowControl w:val="0"/>
      <w:tabs>
        <w:tab w:val="center" w:pos="1985"/>
      </w:tabs>
      <w:spacing w:line="240" w:lineRule="atLeast"/>
      <w:rPr>
        <w:sz w:val="20"/>
        <w:lang w:val="pt-BR"/>
      </w:rPr>
    </w:pPr>
    <w:r w:rsidRPr="00D97774">
      <w:rPr>
        <w:sz w:val="20"/>
      </w:rPr>
      <w:tab/>
    </w:r>
    <w:r w:rsidRPr="002B009E">
      <w:rPr>
        <w:sz w:val="20"/>
        <w:lang w:val="pt-BR"/>
      </w:rPr>
      <w:t>Ricardo D. Calvetti</w:t>
    </w:r>
  </w:p>
  <w:p w14:paraId="4BEE6074" w14:textId="77777777" w:rsidR="0010523F" w:rsidRPr="004D5003" w:rsidRDefault="0010523F" w:rsidP="00BD13B5">
    <w:pPr>
      <w:widowControl w:val="0"/>
      <w:tabs>
        <w:tab w:val="center" w:pos="1985"/>
      </w:tabs>
      <w:spacing w:line="240" w:lineRule="atLeast"/>
      <w:rPr>
        <w:i/>
        <w:sz w:val="20"/>
        <w:lang w:val="pt-BR"/>
      </w:rPr>
    </w:pPr>
    <w:r w:rsidRPr="002B009E">
      <w:rPr>
        <w:sz w:val="20"/>
        <w:lang w:val="pt-BR"/>
      </w:rPr>
      <w:tab/>
    </w:r>
    <w:r w:rsidRPr="004D5003">
      <w:rPr>
        <w:i/>
        <w:sz w:val="20"/>
        <w:lang w:val="pt-BR"/>
      </w:rPr>
      <w:t>Socio</w:t>
    </w:r>
  </w:p>
  <w:p w14:paraId="12F7238D" w14:textId="77777777" w:rsidR="0010523F" w:rsidRPr="004D5003" w:rsidRDefault="0010523F" w:rsidP="00BD13B5">
    <w:pPr>
      <w:widowControl w:val="0"/>
      <w:tabs>
        <w:tab w:val="center" w:pos="1985"/>
      </w:tabs>
      <w:spacing w:line="240" w:lineRule="atLeast"/>
      <w:rPr>
        <w:sz w:val="20"/>
        <w:lang w:val="pt-BR"/>
      </w:rPr>
    </w:pPr>
    <w:r w:rsidRPr="004D5003">
      <w:rPr>
        <w:sz w:val="20"/>
        <w:lang w:val="pt-BR"/>
      </w:rPr>
      <w:tab/>
      <w:t>Contador Público (UADE)</w:t>
    </w:r>
  </w:p>
  <w:p w14:paraId="2E1B90CC" w14:textId="77777777" w:rsidR="0010523F" w:rsidRPr="00B46E4E" w:rsidRDefault="0010523F" w:rsidP="00BD13B5">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728E9AE7" w14:textId="77777777" w:rsidR="0010523F" w:rsidRPr="00D6392F" w:rsidRDefault="0010523F">
    <w:pPr>
      <w:pStyle w:val="Piedepgina"/>
      <w:ind w:right="360"/>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22</w:t>
    </w:r>
    <w:r w:rsidRPr="00D6392F">
      <w:rPr>
        <w:rStyle w:val="Nmerodepgina"/>
        <w:rFonts w:eastAsia="SimSun"/>
        <w:sz w:val="22"/>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C36F" w14:textId="77777777" w:rsidR="0010523F" w:rsidRPr="00586593" w:rsidRDefault="0010523F" w:rsidP="00FA5CCF">
    <w:pPr>
      <w:pStyle w:val="Textoindependiente2"/>
      <w:tabs>
        <w:tab w:val="right" w:pos="10440"/>
      </w:tabs>
      <w:ind w:left="142"/>
    </w:pPr>
    <w:r w:rsidRPr="00586593">
      <w:t>Véase nuestro informe de fecha:</w:t>
    </w:r>
  </w:p>
  <w:p w14:paraId="75CC3B7C" w14:textId="77777777" w:rsidR="0010523F" w:rsidRPr="00E16EDD" w:rsidRDefault="0010523F" w:rsidP="00FA5CCF">
    <w:pPr>
      <w:pStyle w:val="Lilianita"/>
      <w:tabs>
        <w:tab w:val="right" w:pos="10440"/>
      </w:tabs>
      <w:ind w:left="142"/>
      <w:rPr>
        <w:rFonts w:ascii="Times New Roman" w:hAnsi="Times New Roman"/>
        <w:lang w:val="es-AR"/>
      </w:rPr>
    </w:pPr>
    <w:r>
      <w:rPr>
        <w:rFonts w:ascii="Times New Roman" w:hAnsi="Times New Roman"/>
        <w:lang w:val="es-AR"/>
      </w:rPr>
      <w:t>11 de noviembre de 2019</w:t>
    </w:r>
  </w:p>
  <w:p w14:paraId="3712ECCC" w14:textId="77777777" w:rsidR="0010523F" w:rsidRPr="00E16EDD" w:rsidRDefault="0010523F" w:rsidP="00CD6631">
    <w:pPr>
      <w:spacing w:line="120" w:lineRule="exact"/>
      <w:rPr>
        <w:sz w:val="20"/>
      </w:rPr>
    </w:pPr>
  </w:p>
  <w:p w14:paraId="6C13258C" w14:textId="77777777" w:rsidR="0010523F" w:rsidRPr="00E16EDD" w:rsidRDefault="0010523F" w:rsidP="00BD13B5">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35946B17" w14:textId="77777777" w:rsidR="0010523F" w:rsidRPr="00D97774" w:rsidRDefault="0010523F" w:rsidP="00BD13B5">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19DD1551" w14:textId="77777777" w:rsidR="0010523F" w:rsidRPr="00D97774" w:rsidRDefault="0010523F" w:rsidP="00BD13B5">
    <w:pPr>
      <w:widowControl w:val="0"/>
      <w:tabs>
        <w:tab w:val="center" w:pos="1985"/>
      </w:tabs>
      <w:spacing w:line="240" w:lineRule="atLeast"/>
      <w:ind w:right="12"/>
      <w:rPr>
        <w:sz w:val="20"/>
      </w:rPr>
    </w:pPr>
  </w:p>
  <w:p w14:paraId="51879499" w14:textId="77777777" w:rsidR="0010523F" w:rsidRPr="00D97774" w:rsidRDefault="0010523F" w:rsidP="00BD13B5">
    <w:pPr>
      <w:widowControl w:val="0"/>
      <w:tabs>
        <w:tab w:val="center" w:pos="1985"/>
      </w:tabs>
      <w:spacing w:line="240" w:lineRule="atLeast"/>
      <w:rPr>
        <w:sz w:val="20"/>
      </w:rPr>
    </w:pPr>
  </w:p>
  <w:p w14:paraId="595C990F" w14:textId="77777777" w:rsidR="0010523F" w:rsidRPr="002B009E" w:rsidRDefault="0010523F" w:rsidP="00BD13B5">
    <w:pPr>
      <w:widowControl w:val="0"/>
      <w:tabs>
        <w:tab w:val="center" w:pos="1985"/>
      </w:tabs>
      <w:spacing w:line="240" w:lineRule="atLeast"/>
      <w:rPr>
        <w:sz w:val="20"/>
        <w:lang w:val="pt-BR"/>
      </w:rPr>
    </w:pPr>
    <w:r w:rsidRPr="00D97774">
      <w:rPr>
        <w:sz w:val="20"/>
      </w:rPr>
      <w:tab/>
    </w:r>
    <w:r w:rsidRPr="002B009E">
      <w:rPr>
        <w:sz w:val="20"/>
        <w:lang w:val="pt-BR"/>
      </w:rPr>
      <w:t>Ricardo D. Calvetti</w:t>
    </w:r>
  </w:p>
  <w:p w14:paraId="5068A85E" w14:textId="77777777" w:rsidR="0010523F" w:rsidRPr="004D5003" w:rsidRDefault="0010523F" w:rsidP="00BD13B5">
    <w:pPr>
      <w:widowControl w:val="0"/>
      <w:tabs>
        <w:tab w:val="center" w:pos="1985"/>
      </w:tabs>
      <w:spacing w:line="240" w:lineRule="atLeast"/>
      <w:rPr>
        <w:i/>
        <w:sz w:val="20"/>
        <w:lang w:val="pt-BR"/>
      </w:rPr>
    </w:pPr>
    <w:r w:rsidRPr="002B009E">
      <w:rPr>
        <w:sz w:val="20"/>
        <w:lang w:val="pt-BR"/>
      </w:rPr>
      <w:tab/>
    </w:r>
    <w:r w:rsidRPr="004D5003">
      <w:rPr>
        <w:i/>
        <w:sz w:val="20"/>
        <w:lang w:val="pt-BR"/>
      </w:rPr>
      <w:t>Socio</w:t>
    </w:r>
  </w:p>
  <w:p w14:paraId="5A1008C5" w14:textId="77777777" w:rsidR="0010523F" w:rsidRPr="004D5003" w:rsidRDefault="0010523F" w:rsidP="00BD13B5">
    <w:pPr>
      <w:widowControl w:val="0"/>
      <w:tabs>
        <w:tab w:val="center" w:pos="1985"/>
      </w:tabs>
      <w:spacing w:line="240" w:lineRule="atLeast"/>
      <w:rPr>
        <w:sz w:val="20"/>
        <w:lang w:val="pt-BR"/>
      </w:rPr>
    </w:pPr>
    <w:r w:rsidRPr="004D5003">
      <w:rPr>
        <w:sz w:val="20"/>
        <w:lang w:val="pt-BR"/>
      </w:rPr>
      <w:tab/>
      <w:t>Contador Público (UADE)</w:t>
    </w:r>
  </w:p>
  <w:p w14:paraId="342D599D" w14:textId="77777777" w:rsidR="0010523F" w:rsidRPr="00B46E4E" w:rsidRDefault="0010523F" w:rsidP="00BD13B5">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4AD3B307" w14:textId="77777777" w:rsidR="0010523F" w:rsidRPr="00D6392F" w:rsidRDefault="0010523F">
    <w:pPr>
      <w:pStyle w:val="Piedepgina"/>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15</w:t>
    </w:r>
    <w:r w:rsidRPr="00D6392F">
      <w:rPr>
        <w:rStyle w:val="Nmerodepgina"/>
        <w:rFonts w:eastAsia="SimSun"/>
        <w:sz w:val="22"/>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1E92" w14:textId="77777777" w:rsidR="0010523F" w:rsidRPr="00586593" w:rsidRDefault="0010523F" w:rsidP="00CD6631">
    <w:pPr>
      <w:pStyle w:val="Textoindependiente2"/>
      <w:tabs>
        <w:tab w:val="right" w:pos="10440"/>
      </w:tabs>
    </w:pPr>
    <w:r w:rsidRPr="00586593">
      <w:t>Véase nuestro informe de fecha:</w:t>
    </w:r>
  </w:p>
  <w:p w14:paraId="6F3F93EA" w14:textId="77777777" w:rsidR="0010523F" w:rsidRPr="00E16EDD" w:rsidRDefault="0010523F" w:rsidP="00CD6631">
    <w:pPr>
      <w:pStyle w:val="Lilianita"/>
      <w:tabs>
        <w:tab w:val="right" w:pos="10440"/>
      </w:tabs>
      <w:rPr>
        <w:rFonts w:ascii="Times New Roman" w:hAnsi="Times New Roman"/>
        <w:lang w:val="es-AR"/>
      </w:rPr>
    </w:pPr>
    <w:r>
      <w:rPr>
        <w:rFonts w:ascii="Times New Roman" w:hAnsi="Times New Roman"/>
        <w:lang w:val="es-AR"/>
      </w:rPr>
      <w:t>10 de agosto de 2018</w:t>
    </w:r>
  </w:p>
  <w:p w14:paraId="751A5FC8" w14:textId="77777777" w:rsidR="0010523F" w:rsidRPr="00E16EDD" w:rsidRDefault="0010523F" w:rsidP="00CD6631">
    <w:pPr>
      <w:spacing w:line="120" w:lineRule="exact"/>
      <w:rPr>
        <w:sz w:val="20"/>
      </w:rPr>
    </w:pPr>
  </w:p>
  <w:p w14:paraId="0FD96B87" w14:textId="77777777" w:rsidR="0010523F" w:rsidRPr="00E16EDD" w:rsidRDefault="0010523F" w:rsidP="00BD13B5">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22FED4DD" w14:textId="77777777" w:rsidR="0010523F" w:rsidRPr="00D97774" w:rsidRDefault="0010523F" w:rsidP="00BD13B5">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2538EC51" w14:textId="77777777" w:rsidR="0010523F" w:rsidRPr="00D97774" w:rsidRDefault="0010523F" w:rsidP="00BD13B5">
    <w:pPr>
      <w:widowControl w:val="0"/>
      <w:tabs>
        <w:tab w:val="center" w:pos="1985"/>
      </w:tabs>
      <w:spacing w:line="240" w:lineRule="atLeast"/>
      <w:ind w:right="12"/>
      <w:rPr>
        <w:sz w:val="20"/>
      </w:rPr>
    </w:pPr>
  </w:p>
  <w:p w14:paraId="13CEA496" w14:textId="77777777" w:rsidR="0010523F" w:rsidRPr="00D97774" w:rsidRDefault="0010523F" w:rsidP="00BD13B5">
    <w:pPr>
      <w:widowControl w:val="0"/>
      <w:tabs>
        <w:tab w:val="center" w:pos="1985"/>
      </w:tabs>
      <w:spacing w:line="240" w:lineRule="atLeast"/>
      <w:rPr>
        <w:sz w:val="20"/>
      </w:rPr>
    </w:pPr>
  </w:p>
  <w:p w14:paraId="798CDB11" w14:textId="77777777" w:rsidR="0010523F" w:rsidRPr="002B009E" w:rsidRDefault="0010523F" w:rsidP="00BD13B5">
    <w:pPr>
      <w:widowControl w:val="0"/>
      <w:tabs>
        <w:tab w:val="center" w:pos="1985"/>
      </w:tabs>
      <w:spacing w:line="240" w:lineRule="atLeast"/>
      <w:rPr>
        <w:sz w:val="20"/>
        <w:lang w:val="pt-BR"/>
      </w:rPr>
    </w:pPr>
    <w:r w:rsidRPr="00D97774">
      <w:rPr>
        <w:sz w:val="20"/>
      </w:rPr>
      <w:tab/>
    </w:r>
    <w:r w:rsidRPr="002B009E">
      <w:rPr>
        <w:sz w:val="20"/>
        <w:lang w:val="pt-BR"/>
      </w:rPr>
      <w:t>Ricardo D. Calvetti</w:t>
    </w:r>
  </w:p>
  <w:p w14:paraId="2BBD0D71" w14:textId="77777777" w:rsidR="0010523F" w:rsidRPr="004D5003" w:rsidRDefault="0010523F" w:rsidP="00BD13B5">
    <w:pPr>
      <w:widowControl w:val="0"/>
      <w:tabs>
        <w:tab w:val="center" w:pos="1985"/>
      </w:tabs>
      <w:spacing w:line="240" w:lineRule="atLeast"/>
      <w:rPr>
        <w:i/>
        <w:sz w:val="20"/>
        <w:lang w:val="pt-BR"/>
      </w:rPr>
    </w:pPr>
    <w:r w:rsidRPr="002B009E">
      <w:rPr>
        <w:sz w:val="20"/>
        <w:lang w:val="pt-BR"/>
      </w:rPr>
      <w:tab/>
    </w:r>
    <w:r w:rsidRPr="004D5003">
      <w:rPr>
        <w:i/>
        <w:sz w:val="20"/>
        <w:lang w:val="pt-BR"/>
      </w:rPr>
      <w:t>Socio</w:t>
    </w:r>
  </w:p>
  <w:p w14:paraId="0EB9820B" w14:textId="77777777" w:rsidR="0010523F" w:rsidRPr="004D5003" w:rsidRDefault="0010523F" w:rsidP="00BD13B5">
    <w:pPr>
      <w:widowControl w:val="0"/>
      <w:tabs>
        <w:tab w:val="center" w:pos="1985"/>
      </w:tabs>
      <w:spacing w:line="240" w:lineRule="atLeast"/>
      <w:rPr>
        <w:sz w:val="20"/>
        <w:lang w:val="pt-BR"/>
      </w:rPr>
    </w:pPr>
    <w:r w:rsidRPr="004D5003">
      <w:rPr>
        <w:sz w:val="20"/>
        <w:lang w:val="pt-BR"/>
      </w:rPr>
      <w:tab/>
      <w:t>Contador Público (UADE)</w:t>
    </w:r>
  </w:p>
  <w:p w14:paraId="7DBE993D" w14:textId="77777777" w:rsidR="0010523F" w:rsidRPr="00B46E4E" w:rsidRDefault="0010523F" w:rsidP="00BD13B5">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1409B0AC" w14:textId="77777777" w:rsidR="0010523F" w:rsidRPr="00B46E4E" w:rsidRDefault="0010523F" w:rsidP="00BD13B5">
    <w:pPr>
      <w:widowControl w:val="0"/>
      <w:tabs>
        <w:tab w:val="center" w:pos="1980"/>
        <w:tab w:val="center" w:pos="8080"/>
        <w:tab w:val="center" w:pos="12474"/>
      </w:tabs>
      <w:ind w:right="12"/>
      <w:rPr>
        <w:sz w:val="20"/>
        <w:lang w:val="pt-BR"/>
      </w:rPr>
    </w:pPr>
  </w:p>
  <w:p w14:paraId="52CB8588" w14:textId="77777777" w:rsidR="0010523F" w:rsidRPr="00D6392F" w:rsidRDefault="0010523F">
    <w:pPr>
      <w:pStyle w:val="Piedepgina"/>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38</w:t>
    </w:r>
    <w:r w:rsidRPr="00D6392F">
      <w:rPr>
        <w:rStyle w:val="Nmerodepgina"/>
        <w:rFonts w:eastAsia="SimSun"/>
        <w:sz w:val="22"/>
        <w:szCs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59FC" w14:textId="77777777" w:rsidR="0010523F" w:rsidRPr="00586593" w:rsidRDefault="0010523F" w:rsidP="006F143F">
    <w:pPr>
      <w:pStyle w:val="Textoindependiente2"/>
      <w:tabs>
        <w:tab w:val="right" w:pos="10440"/>
      </w:tabs>
    </w:pPr>
    <w:r w:rsidRPr="00586593">
      <w:t>Véase nuestro informe de fecha:</w:t>
    </w:r>
  </w:p>
  <w:p w14:paraId="2021C655" w14:textId="77777777" w:rsidR="0010523F" w:rsidRPr="00E16EDD" w:rsidRDefault="0010523F" w:rsidP="00CD7C42">
    <w:pPr>
      <w:pStyle w:val="Lilianita"/>
      <w:tabs>
        <w:tab w:val="right" w:pos="10440"/>
      </w:tabs>
      <w:rPr>
        <w:rFonts w:ascii="Times New Roman" w:hAnsi="Times New Roman"/>
        <w:lang w:val="es-AR"/>
      </w:rPr>
    </w:pPr>
    <w:r>
      <w:rPr>
        <w:rFonts w:ascii="Times New Roman" w:hAnsi="Times New Roman"/>
        <w:lang w:val="es-AR"/>
      </w:rPr>
      <w:t>11 de noviembre de 2019</w:t>
    </w:r>
  </w:p>
  <w:p w14:paraId="4AC25DAE" w14:textId="77777777" w:rsidR="0010523F" w:rsidRPr="00E16EDD" w:rsidRDefault="0010523F" w:rsidP="006F143F">
    <w:pPr>
      <w:spacing w:line="80" w:lineRule="exact"/>
      <w:rPr>
        <w:sz w:val="20"/>
      </w:rPr>
    </w:pPr>
  </w:p>
  <w:p w14:paraId="1D90BBE6" w14:textId="77777777" w:rsidR="0010523F" w:rsidRPr="00E16EDD" w:rsidRDefault="0010523F" w:rsidP="006F143F">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5485184E" w14:textId="77777777" w:rsidR="0010523F" w:rsidRPr="00D97774" w:rsidRDefault="0010523F" w:rsidP="006F143F">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1102598E" w14:textId="77777777" w:rsidR="0010523F" w:rsidRDefault="0010523F" w:rsidP="006F143F">
    <w:pPr>
      <w:widowControl w:val="0"/>
      <w:tabs>
        <w:tab w:val="center" w:pos="1985"/>
      </w:tabs>
      <w:spacing w:line="240" w:lineRule="atLeast"/>
      <w:rPr>
        <w:sz w:val="20"/>
      </w:rPr>
    </w:pPr>
  </w:p>
  <w:p w14:paraId="223261AC" w14:textId="77777777" w:rsidR="0010523F" w:rsidRPr="00D97774" w:rsidRDefault="0010523F" w:rsidP="006F143F">
    <w:pPr>
      <w:widowControl w:val="0"/>
      <w:tabs>
        <w:tab w:val="center" w:pos="1985"/>
      </w:tabs>
      <w:spacing w:line="240" w:lineRule="atLeast"/>
      <w:rPr>
        <w:sz w:val="20"/>
      </w:rPr>
    </w:pPr>
  </w:p>
  <w:p w14:paraId="01D9C919" w14:textId="77777777" w:rsidR="0010523F" w:rsidRPr="00D446B8" w:rsidRDefault="0010523F" w:rsidP="00C76CC6">
    <w:pPr>
      <w:widowControl w:val="0"/>
      <w:tabs>
        <w:tab w:val="center" w:pos="1980"/>
        <w:tab w:val="center" w:pos="8880"/>
        <w:tab w:val="center" w:pos="16727"/>
      </w:tabs>
      <w:ind w:right="11"/>
      <w:rPr>
        <w:sz w:val="18"/>
        <w:szCs w:val="18"/>
        <w:lang w:val="it-IT"/>
      </w:rPr>
    </w:pPr>
    <w:r w:rsidRPr="00D446B8">
      <w:rPr>
        <w:sz w:val="18"/>
        <w:szCs w:val="18"/>
        <w:lang w:val="it-IT"/>
      </w:rPr>
      <w:tab/>
      <w:t>Ricardo D. Calvetti</w:t>
    </w:r>
    <w:r w:rsidRPr="00C76CC6">
      <w:rPr>
        <w:sz w:val="18"/>
        <w:szCs w:val="18"/>
        <w:lang w:val="it-IT"/>
      </w:rPr>
      <w:t xml:space="preserve"> </w:t>
    </w:r>
    <w:r>
      <w:rPr>
        <w:sz w:val="18"/>
        <w:szCs w:val="18"/>
        <w:lang w:val="it-IT"/>
      </w:rPr>
      <w:tab/>
    </w:r>
    <w:r w:rsidRPr="00D446B8" w:rsidDel="00E314A5">
      <w:rPr>
        <w:sz w:val="18"/>
        <w:szCs w:val="18"/>
        <w:lang w:val="it-IT"/>
      </w:rPr>
      <w:t xml:space="preserve"> </w:t>
    </w:r>
  </w:p>
  <w:p w14:paraId="1B046DBF" w14:textId="77777777" w:rsidR="0010523F" w:rsidRPr="00D446B8" w:rsidRDefault="0010523F" w:rsidP="00FB40BD">
    <w:pPr>
      <w:widowControl w:val="0"/>
      <w:tabs>
        <w:tab w:val="center" w:pos="1980"/>
        <w:tab w:val="left" w:pos="8505"/>
        <w:tab w:val="left" w:pos="8647"/>
        <w:tab w:val="left" w:pos="8789"/>
        <w:tab w:val="left" w:pos="9072"/>
        <w:tab w:val="center" w:pos="9214"/>
        <w:tab w:val="center" w:pos="16727"/>
      </w:tabs>
      <w:ind w:right="11"/>
      <w:rPr>
        <w:sz w:val="18"/>
        <w:szCs w:val="18"/>
        <w:lang w:val="pt-BR"/>
      </w:rPr>
    </w:pPr>
    <w:r w:rsidRPr="00D446B8">
      <w:rPr>
        <w:sz w:val="18"/>
        <w:szCs w:val="18"/>
        <w:lang w:val="it-IT"/>
      </w:rPr>
      <w:tab/>
    </w:r>
    <w:r w:rsidRPr="00D446B8">
      <w:rPr>
        <w:i/>
        <w:sz w:val="18"/>
        <w:szCs w:val="18"/>
        <w:lang w:val="pt-BR"/>
      </w:rPr>
      <w:t>Socio</w:t>
    </w:r>
    <w:r>
      <w:rPr>
        <w:i/>
        <w:sz w:val="18"/>
        <w:szCs w:val="18"/>
        <w:lang w:val="pt-BR"/>
      </w:rPr>
      <w:tab/>
    </w:r>
    <w:r>
      <w:rPr>
        <w:i/>
        <w:sz w:val="18"/>
        <w:szCs w:val="18"/>
        <w:lang w:val="pt-BR"/>
      </w:rPr>
      <w:tab/>
    </w:r>
    <w:r>
      <w:rPr>
        <w:sz w:val="18"/>
        <w:szCs w:val="18"/>
        <w:u w:val="single"/>
        <w:lang w:val="pt-BR"/>
      </w:rPr>
      <w:t xml:space="preserve"> </w:t>
    </w:r>
  </w:p>
  <w:p w14:paraId="13F2EB91" w14:textId="77777777" w:rsidR="0010523F" w:rsidRPr="004D5003" w:rsidRDefault="0010523F" w:rsidP="006F143F">
    <w:pPr>
      <w:widowControl w:val="0"/>
      <w:tabs>
        <w:tab w:val="center" w:pos="1985"/>
      </w:tabs>
      <w:spacing w:line="240" w:lineRule="atLeast"/>
      <w:rPr>
        <w:sz w:val="20"/>
        <w:lang w:val="pt-BR"/>
      </w:rPr>
    </w:pPr>
    <w:r w:rsidRPr="004D5003">
      <w:rPr>
        <w:sz w:val="20"/>
        <w:lang w:val="pt-BR"/>
      </w:rPr>
      <w:tab/>
      <w:t>Contador Público (UADE)</w:t>
    </w:r>
  </w:p>
  <w:p w14:paraId="6943E67A" w14:textId="77777777" w:rsidR="0010523F" w:rsidRPr="00B46E4E" w:rsidRDefault="0010523F" w:rsidP="006F143F">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6CEDB720" w14:textId="77777777" w:rsidR="0010523F" w:rsidRPr="00D6392F" w:rsidRDefault="0010523F">
    <w:pPr>
      <w:pStyle w:val="Piedepgina"/>
      <w:ind w:right="360"/>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31</w:t>
    </w:r>
    <w:r w:rsidRPr="00D6392F">
      <w:rPr>
        <w:rStyle w:val="Nmerodepgina"/>
        <w:rFonts w:eastAsia="SimSun"/>
        <w:sz w:val="22"/>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99F9" w14:textId="77777777" w:rsidR="0010523F" w:rsidRPr="00586593" w:rsidRDefault="0010523F" w:rsidP="006F143F">
    <w:pPr>
      <w:pStyle w:val="Textoindependiente2"/>
      <w:tabs>
        <w:tab w:val="right" w:pos="10440"/>
      </w:tabs>
    </w:pPr>
    <w:r w:rsidRPr="00586593">
      <w:t>Véase nuestro informe de fecha:</w:t>
    </w:r>
  </w:p>
  <w:p w14:paraId="78F8B733" w14:textId="77777777" w:rsidR="0010523F" w:rsidRPr="00E16EDD" w:rsidRDefault="0010523F" w:rsidP="00CD7C42">
    <w:pPr>
      <w:pStyle w:val="Lilianita"/>
      <w:tabs>
        <w:tab w:val="right" w:pos="10440"/>
      </w:tabs>
      <w:rPr>
        <w:rFonts w:ascii="Times New Roman" w:hAnsi="Times New Roman"/>
        <w:lang w:val="es-AR"/>
      </w:rPr>
    </w:pPr>
    <w:r>
      <w:rPr>
        <w:rFonts w:ascii="Times New Roman" w:hAnsi="Times New Roman"/>
        <w:lang w:val="es-AR"/>
      </w:rPr>
      <w:t>11 de noviembre de 2019</w:t>
    </w:r>
  </w:p>
  <w:p w14:paraId="7899263F" w14:textId="77777777" w:rsidR="0010523F" w:rsidRPr="00E16EDD" w:rsidRDefault="0010523F" w:rsidP="006F143F">
    <w:pPr>
      <w:spacing w:line="80" w:lineRule="exact"/>
      <w:rPr>
        <w:sz w:val="20"/>
      </w:rPr>
    </w:pPr>
  </w:p>
  <w:p w14:paraId="265D2F81" w14:textId="77777777" w:rsidR="0010523F" w:rsidRPr="00E16EDD" w:rsidRDefault="0010523F" w:rsidP="006F143F">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5FF44200" w14:textId="77777777" w:rsidR="0010523F" w:rsidRPr="00D97774" w:rsidRDefault="0010523F" w:rsidP="006F143F">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3894E78C" w14:textId="77777777" w:rsidR="0010523F" w:rsidRDefault="0010523F" w:rsidP="006F143F">
    <w:pPr>
      <w:widowControl w:val="0"/>
      <w:tabs>
        <w:tab w:val="center" w:pos="1985"/>
      </w:tabs>
      <w:spacing w:line="240" w:lineRule="atLeast"/>
      <w:rPr>
        <w:sz w:val="20"/>
      </w:rPr>
    </w:pPr>
  </w:p>
  <w:p w14:paraId="4383AEC4" w14:textId="77777777" w:rsidR="0010523F" w:rsidRPr="00D97774" w:rsidRDefault="0010523F" w:rsidP="006F143F">
    <w:pPr>
      <w:widowControl w:val="0"/>
      <w:tabs>
        <w:tab w:val="center" w:pos="1985"/>
      </w:tabs>
      <w:spacing w:line="240" w:lineRule="atLeast"/>
      <w:rPr>
        <w:sz w:val="20"/>
      </w:rPr>
    </w:pPr>
  </w:p>
  <w:p w14:paraId="2DD464EE" w14:textId="77777777" w:rsidR="0010523F" w:rsidRPr="00D446B8" w:rsidRDefault="0010523F" w:rsidP="00C76CC6">
    <w:pPr>
      <w:widowControl w:val="0"/>
      <w:tabs>
        <w:tab w:val="center" w:pos="1980"/>
        <w:tab w:val="center" w:pos="8880"/>
        <w:tab w:val="center" w:pos="16727"/>
      </w:tabs>
      <w:ind w:right="11"/>
      <w:rPr>
        <w:sz w:val="18"/>
        <w:szCs w:val="18"/>
        <w:lang w:val="it-IT"/>
      </w:rPr>
    </w:pPr>
    <w:r w:rsidRPr="00D446B8">
      <w:rPr>
        <w:sz w:val="18"/>
        <w:szCs w:val="18"/>
        <w:lang w:val="it-IT"/>
      </w:rPr>
      <w:tab/>
      <w:t>Ricardo D. Calvetti</w:t>
    </w:r>
    <w:r w:rsidRPr="00C76CC6">
      <w:rPr>
        <w:sz w:val="18"/>
        <w:szCs w:val="18"/>
        <w:lang w:val="it-IT"/>
      </w:rPr>
      <w:t xml:space="preserve"> </w:t>
    </w:r>
    <w:r>
      <w:rPr>
        <w:sz w:val="18"/>
        <w:szCs w:val="18"/>
        <w:lang w:val="it-IT"/>
      </w:rPr>
      <w:tab/>
    </w:r>
    <w:r w:rsidRPr="00D446B8" w:rsidDel="00E314A5">
      <w:rPr>
        <w:sz w:val="18"/>
        <w:szCs w:val="18"/>
        <w:lang w:val="it-IT"/>
      </w:rPr>
      <w:t xml:space="preserve"> </w:t>
    </w:r>
  </w:p>
  <w:p w14:paraId="4830BC20" w14:textId="77777777" w:rsidR="0010523F" w:rsidRPr="00D446B8" w:rsidRDefault="0010523F" w:rsidP="00FB40BD">
    <w:pPr>
      <w:widowControl w:val="0"/>
      <w:tabs>
        <w:tab w:val="center" w:pos="1980"/>
        <w:tab w:val="left" w:pos="8505"/>
        <w:tab w:val="left" w:pos="8647"/>
        <w:tab w:val="left" w:pos="8789"/>
        <w:tab w:val="left" w:pos="9072"/>
        <w:tab w:val="center" w:pos="9214"/>
        <w:tab w:val="center" w:pos="16727"/>
      </w:tabs>
      <w:ind w:right="11"/>
      <w:rPr>
        <w:sz w:val="18"/>
        <w:szCs w:val="18"/>
        <w:lang w:val="pt-BR"/>
      </w:rPr>
    </w:pPr>
    <w:r w:rsidRPr="00D446B8">
      <w:rPr>
        <w:sz w:val="18"/>
        <w:szCs w:val="18"/>
        <w:lang w:val="it-IT"/>
      </w:rPr>
      <w:tab/>
    </w:r>
    <w:r w:rsidRPr="00D446B8">
      <w:rPr>
        <w:i/>
        <w:sz w:val="18"/>
        <w:szCs w:val="18"/>
        <w:lang w:val="pt-BR"/>
      </w:rPr>
      <w:t>Socio</w:t>
    </w:r>
    <w:r>
      <w:rPr>
        <w:i/>
        <w:sz w:val="18"/>
        <w:szCs w:val="18"/>
        <w:lang w:val="pt-BR"/>
      </w:rPr>
      <w:tab/>
    </w:r>
    <w:r>
      <w:rPr>
        <w:i/>
        <w:sz w:val="18"/>
        <w:szCs w:val="18"/>
        <w:lang w:val="pt-BR"/>
      </w:rPr>
      <w:tab/>
    </w:r>
    <w:r>
      <w:rPr>
        <w:sz w:val="18"/>
        <w:szCs w:val="18"/>
        <w:u w:val="single"/>
        <w:lang w:val="pt-BR"/>
      </w:rPr>
      <w:t xml:space="preserve"> </w:t>
    </w:r>
  </w:p>
  <w:p w14:paraId="10AE0446" w14:textId="77777777" w:rsidR="0010523F" w:rsidRPr="004D5003" w:rsidRDefault="0010523F" w:rsidP="006F143F">
    <w:pPr>
      <w:widowControl w:val="0"/>
      <w:tabs>
        <w:tab w:val="center" w:pos="1985"/>
      </w:tabs>
      <w:spacing w:line="240" w:lineRule="atLeast"/>
      <w:rPr>
        <w:sz w:val="20"/>
        <w:lang w:val="pt-BR"/>
      </w:rPr>
    </w:pPr>
    <w:r w:rsidRPr="004D5003">
      <w:rPr>
        <w:sz w:val="20"/>
        <w:lang w:val="pt-BR"/>
      </w:rPr>
      <w:tab/>
      <w:t>Contador Público (UADE)</w:t>
    </w:r>
  </w:p>
  <w:p w14:paraId="7EE6B370" w14:textId="77777777" w:rsidR="0010523F" w:rsidRPr="00B46E4E" w:rsidRDefault="0010523F" w:rsidP="006F143F">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737ED0DC" w14:textId="77777777" w:rsidR="0010523F" w:rsidRPr="00D6392F" w:rsidRDefault="0010523F">
    <w:pPr>
      <w:pStyle w:val="Piedepgina"/>
      <w:ind w:right="360"/>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31</w:t>
    </w:r>
    <w:r w:rsidRPr="00D6392F">
      <w:rPr>
        <w:rStyle w:val="Nmerodepgina"/>
        <w:rFonts w:eastAsia="SimSun"/>
        <w:sz w:val="22"/>
        <w:szCs w:val="22"/>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7B8B" w14:textId="77777777" w:rsidR="0010523F" w:rsidRPr="00586593" w:rsidRDefault="0010523F" w:rsidP="006F143F">
    <w:pPr>
      <w:pStyle w:val="Textoindependiente2"/>
      <w:tabs>
        <w:tab w:val="right" w:pos="10440"/>
      </w:tabs>
    </w:pPr>
    <w:r w:rsidRPr="00586593">
      <w:t>Véase nuestro informe de fecha:</w:t>
    </w:r>
  </w:p>
  <w:p w14:paraId="5DE05D8F" w14:textId="77777777" w:rsidR="0010523F" w:rsidRPr="00E16EDD" w:rsidRDefault="0010523F" w:rsidP="00CD7C42">
    <w:pPr>
      <w:pStyle w:val="Lilianita"/>
      <w:tabs>
        <w:tab w:val="right" w:pos="10440"/>
      </w:tabs>
      <w:rPr>
        <w:rFonts w:ascii="Times New Roman" w:hAnsi="Times New Roman"/>
        <w:lang w:val="es-AR"/>
      </w:rPr>
    </w:pPr>
    <w:r>
      <w:rPr>
        <w:rFonts w:ascii="Times New Roman" w:hAnsi="Times New Roman"/>
        <w:lang w:val="es-AR"/>
      </w:rPr>
      <w:t>11 de noviembre de 2019</w:t>
    </w:r>
  </w:p>
  <w:p w14:paraId="03721D88" w14:textId="77777777" w:rsidR="0010523F" w:rsidRPr="00E16EDD" w:rsidRDefault="0010523F" w:rsidP="006F143F">
    <w:pPr>
      <w:spacing w:line="80" w:lineRule="exact"/>
      <w:rPr>
        <w:sz w:val="20"/>
      </w:rPr>
    </w:pPr>
  </w:p>
  <w:p w14:paraId="4BE39112" w14:textId="77777777" w:rsidR="0010523F" w:rsidRPr="00E16EDD" w:rsidRDefault="0010523F" w:rsidP="006F143F">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74412EE3" w14:textId="77777777" w:rsidR="0010523F" w:rsidRPr="00D97774" w:rsidRDefault="0010523F" w:rsidP="006F143F">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03B0A205" w14:textId="77777777" w:rsidR="0010523F" w:rsidRDefault="0010523F" w:rsidP="006F143F">
    <w:pPr>
      <w:widowControl w:val="0"/>
      <w:tabs>
        <w:tab w:val="center" w:pos="1985"/>
      </w:tabs>
      <w:spacing w:line="240" w:lineRule="atLeast"/>
      <w:rPr>
        <w:sz w:val="20"/>
      </w:rPr>
    </w:pPr>
  </w:p>
  <w:p w14:paraId="2A444E7E" w14:textId="77777777" w:rsidR="0010523F" w:rsidRPr="00D97774" w:rsidRDefault="0010523F" w:rsidP="006F143F">
    <w:pPr>
      <w:widowControl w:val="0"/>
      <w:tabs>
        <w:tab w:val="center" w:pos="1985"/>
      </w:tabs>
      <w:spacing w:line="240" w:lineRule="atLeast"/>
      <w:rPr>
        <w:sz w:val="20"/>
      </w:rPr>
    </w:pPr>
  </w:p>
  <w:p w14:paraId="198405DA" w14:textId="77777777" w:rsidR="0010523F" w:rsidRPr="00D446B8" w:rsidRDefault="0010523F" w:rsidP="00C76CC6">
    <w:pPr>
      <w:widowControl w:val="0"/>
      <w:tabs>
        <w:tab w:val="center" w:pos="1980"/>
        <w:tab w:val="center" w:pos="8880"/>
        <w:tab w:val="center" w:pos="16727"/>
      </w:tabs>
      <w:ind w:right="11"/>
      <w:rPr>
        <w:sz w:val="18"/>
        <w:szCs w:val="18"/>
        <w:lang w:val="it-IT"/>
      </w:rPr>
    </w:pPr>
    <w:r w:rsidRPr="00D446B8">
      <w:rPr>
        <w:sz w:val="18"/>
        <w:szCs w:val="18"/>
        <w:lang w:val="it-IT"/>
      </w:rPr>
      <w:tab/>
      <w:t>Ricardo D. Calvetti</w:t>
    </w:r>
    <w:r w:rsidRPr="00C76CC6">
      <w:rPr>
        <w:sz w:val="18"/>
        <w:szCs w:val="18"/>
        <w:lang w:val="it-IT"/>
      </w:rPr>
      <w:t xml:space="preserve"> </w:t>
    </w:r>
    <w:r>
      <w:rPr>
        <w:sz w:val="18"/>
        <w:szCs w:val="18"/>
        <w:lang w:val="it-IT"/>
      </w:rPr>
      <w:tab/>
    </w:r>
    <w:r w:rsidRPr="00D446B8">
      <w:rPr>
        <w:sz w:val="18"/>
        <w:szCs w:val="18"/>
        <w:lang w:val="it-IT"/>
      </w:rPr>
      <w:t>Rodolfo E. Berisso</w:t>
    </w:r>
    <w:r w:rsidRPr="00D446B8" w:rsidDel="00E314A5">
      <w:rPr>
        <w:sz w:val="18"/>
        <w:szCs w:val="18"/>
        <w:lang w:val="it-IT"/>
      </w:rPr>
      <w:t xml:space="preserve"> </w:t>
    </w:r>
  </w:p>
  <w:p w14:paraId="78E13A02" w14:textId="77777777" w:rsidR="0010523F" w:rsidRPr="00D446B8" w:rsidRDefault="0010523F" w:rsidP="00FB40BD">
    <w:pPr>
      <w:widowControl w:val="0"/>
      <w:tabs>
        <w:tab w:val="center" w:pos="1980"/>
        <w:tab w:val="left" w:pos="8505"/>
        <w:tab w:val="left" w:pos="8647"/>
        <w:tab w:val="left" w:pos="8789"/>
        <w:tab w:val="left" w:pos="9072"/>
        <w:tab w:val="center" w:pos="9214"/>
        <w:tab w:val="center" w:pos="16727"/>
      </w:tabs>
      <w:ind w:right="11"/>
      <w:rPr>
        <w:sz w:val="18"/>
        <w:szCs w:val="18"/>
        <w:lang w:val="pt-BR"/>
      </w:rPr>
    </w:pPr>
    <w:r w:rsidRPr="00D446B8">
      <w:rPr>
        <w:sz w:val="18"/>
        <w:szCs w:val="18"/>
        <w:lang w:val="it-IT"/>
      </w:rPr>
      <w:tab/>
    </w:r>
    <w:r w:rsidRPr="00D446B8">
      <w:rPr>
        <w:i/>
        <w:sz w:val="18"/>
        <w:szCs w:val="18"/>
        <w:lang w:val="pt-BR"/>
      </w:rPr>
      <w:t>Socio</w:t>
    </w:r>
    <w:r>
      <w:rPr>
        <w:i/>
        <w:sz w:val="18"/>
        <w:szCs w:val="18"/>
        <w:lang w:val="pt-BR"/>
      </w:rPr>
      <w:tab/>
    </w:r>
    <w:r w:rsidRPr="00D446B8">
      <w:rPr>
        <w:sz w:val="18"/>
        <w:szCs w:val="18"/>
        <w:u w:val="single"/>
        <w:lang w:val="pt-BR"/>
      </w:rPr>
      <w:t>Apoderado</w:t>
    </w:r>
    <w:r>
      <w:rPr>
        <w:i/>
        <w:sz w:val="18"/>
        <w:szCs w:val="18"/>
        <w:lang w:val="pt-BR"/>
      </w:rPr>
      <w:tab/>
    </w:r>
    <w:r>
      <w:rPr>
        <w:sz w:val="18"/>
        <w:szCs w:val="18"/>
        <w:u w:val="single"/>
        <w:lang w:val="pt-BR"/>
      </w:rPr>
      <w:t xml:space="preserve"> </w:t>
    </w:r>
  </w:p>
  <w:p w14:paraId="737B594E" w14:textId="77777777" w:rsidR="0010523F" w:rsidRPr="004D5003" w:rsidRDefault="0010523F" w:rsidP="006F143F">
    <w:pPr>
      <w:widowControl w:val="0"/>
      <w:tabs>
        <w:tab w:val="center" w:pos="1985"/>
      </w:tabs>
      <w:spacing w:line="240" w:lineRule="atLeast"/>
      <w:rPr>
        <w:sz w:val="20"/>
        <w:lang w:val="pt-BR"/>
      </w:rPr>
    </w:pPr>
    <w:r w:rsidRPr="004D5003">
      <w:rPr>
        <w:sz w:val="20"/>
        <w:lang w:val="pt-BR"/>
      </w:rPr>
      <w:tab/>
      <w:t>Contador Público (UADE)</w:t>
    </w:r>
  </w:p>
  <w:p w14:paraId="5E1E0BD5" w14:textId="77777777" w:rsidR="0010523F" w:rsidRPr="00B46E4E" w:rsidRDefault="0010523F" w:rsidP="006F143F">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41B8C604" w14:textId="77777777" w:rsidR="0010523F" w:rsidRPr="00D6392F" w:rsidRDefault="0010523F">
    <w:pPr>
      <w:pStyle w:val="Piedepgina"/>
      <w:ind w:right="360"/>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31</w:t>
    </w:r>
    <w:r w:rsidRPr="00D6392F">
      <w:rPr>
        <w:rStyle w:val="Nmerodepgina"/>
        <w:rFonts w:eastAsia="SimSu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60170"/>
      <w:docPartObj>
        <w:docPartGallery w:val="Page Numbers (Bottom of Page)"/>
        <w:docPartUnique/>
      </w:docPartObj>
    </w:sdtPr>
    <w:sdtEndPr/>
    <w:sdtContent>
      <w:p w14:paraId="5419B7E2" w14:textId="6270502E" w:rsidR="002D1371" w:rsidRDefault="002D1371">
        <w:pPr>
          <w:pStyle w:val="Piedepgina"/>
          <w:jc w:val="center"/>
        </w:pPr>
        <w:r>
          <w:fldChar w:fldCharType="begin"/>
        </w:r>
        <w:r>
          <w:instrText>PAGE   \* MERGEFORMAT</w:instrText>
        </w:r>
        <w:r>
          <w:fldChar w:fldCharType="separate"/>
        </w:r>
        <w:r>
          <w:rPr>
            <w:noProof/>
          </w:rPr>
          <w:t>1</w:t>
        </w:r>
        <w:r>
          <w:fldChar w:fldCharType="end"/>
        </w:r>
      </w:p>
    </w:sdtContent>
  </w:sdt>
  <w:p w14:paraId="79B04153" w14:textId="77777777" w:rsidR="002D1371" w:rsidRDefault="002D1371">
    <w:pPr>
      <w:pStyle w:val="Piedepgin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B56C" w14:textId="77777777" w:rsidR="0010523F" w:rsidRPr="00586593" w:rsidRDefault="0010523F" w:rsidP="00CD6631">
    <w:pPr>
      <w:pStyle w:val="Textoindependiente2"/>
      <w:tabs>
        <w:tab w:val="right" w:pos="10440"/>
      </w:tabs>
    </w:pPr>
    <w:r w:rsidRPr="00586593">
      <w:t>Véase nuestro informe de fecha:</w:t>
    </w:r>
  </w:p>
  <w:p w14:paraId="601DC427" w14:textId="77777777" w:rsidR="0010523F" w:rsidRPr="00E16EDD" w:rsidRDefault="0010523F" w:rsidP="00CD7C42">
    <w:pPr>
      <w:pStyle w:val="Lilianita"/>
      <w:tabs>
        <w:tab w:val="right" w:pos="10440"/>
      </w:tabs>
      <w:rPr>
        <w:rFonts w:ascii="Times New Roman" w:hAnsi="Times New Roman"/>
        <w:lang w:val="es-AR"/>
      </w:rPr>
    </w:pPr>
    <w:r>
      <w:rPr>
        <w:rFonts w:ascii="Times New Roman" w:hAnsi="Times New Roman"/>
        <w:lang w:val="es-AR"/>
      </w:rPr>
      <w:t>11 de noviembre de 2019</w:t>
    </w:r>
  </w:p>
  <w:p w14:paraId="70FAF6CA" w14:textId="77777777" w:rsidR="0010523F" w:rsidRPr="00E16EDD" w:rsidRDefault="0010523F" w:rsidP="000F7D27">
    <w:pPr>
      <w:spacing w:line="80" w:lineRule="exact"/>
      <w:rPr>
        <w:sz w:val="20"/>
      </w:rPr>
    </w:pPr>
  </w:p>
  <w:p w14:paraId="66DA8F6D" w14:textId="77777777" w:rsidR="0010523F" w:rsidRPr="00E16EDD" w:rsidRDefault="0010523F" w:rsidP="00BD13B5">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69BD461A" w14:textId="77777777" w:rsidR="0010523F" w:rsidRPr="00D97774" w:rsidRDefault="0010523F" w:rsidP="00BD13B5">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1D3736CD" w14:textId="77777777" w:rsidR="0010523F" w:rsidRDefault="0010523F" w:rsidP="00BD13B5">
    <w:pPr>
      <w:widowControl w:val="0"/>
      <w:tabs>
        <w:tab w:val="center" w:pos="1985"/>
      </w:tabs>
      <w:spacing w:line="240" w:lineRule="atLeast"/>
      <w:rPr>
        <w:sz w:val="20"/>
      </w:rPr>
    </w:pPr>
  </w:p>
  <w:p w14:paraId="6A3E2AC4" w14:textId="77777777" w:rsidR="0010523F" w:rsidRPr="00D97774" w:rsidRDefault="0010523F" w:rsidP="00BD13B5">
    <w:pPr>
      <w:widowControl w:val="0"/>
      <w:tabs>
        <w:tab w:val="center" w:pos="1985"/>
      </w:tabs>
      <w:spacing w:line="240" w:lineRule="atLeast"/>
      <w:rPr>
        <w:sz w:val="20"/>
      </w:rPr>
    </w:pPr>
  </w:p>
  <w:p w14:paraId="6DFB884D" w14:textId="77777777" w:rsidR="0010523F" w:rsidRPr="00D446B8" w:rsidRDefault="0010523F" w:rsidP="005E46A8">
    <w:pPr>
      <w:widowControl w:val="0"/>
      <w:tabs>
        <w:tab w:val="center" w:pos="1980"/>
        <w:tab w:val="center" w:pos="9214"/>
        <w:tab w:val="center" w:pos="16727"/>
      </w:tabs>
      <w:ind w:right="11"/>
      <w:rPr>
        <w:sz w:val="18"/>
        <w:szCs w:val="18"/>
        <w:lang w:val="it-IT"/>
      </w:rPr>
    </w:pPr>
    <w:r w:rsidRPr="00D446B8">
      <w:rPr>
        <w:sz w:val="18"/>
        <w:szCs w:val="18"/>
        <w:lang w:val="it-IT"/>
      </w:rPr>
      <w:tab/>
      <w:t>Ricardo D. Calvetti</w:t>
    </w:r>
    <w:r w:rsidRPr="00D446B8">
      <w:rPr>
        <w:sz w:val="18"/>
        <w:szCs w:val="18"/>
        <w:lang w:val="it-IT"/>
      </w:rPr>
      <w:tab/>
      <w:t>Rodolfo E. Berisso</w:t>
    </w:r>
  </w:p>
  <w:p w14:paraId="65A8EFC6" w14:textId="77777777" w:rsidR="0010523F" w:rsidRPr="00D446B8" w:rsidRDefault="0010523F" w:rsidP="005E46A8">
    <w:pPr>
      <w:widowControl w:val="0"/>
      <w:tabs>
        <w:tab w:val="center" w:pos="1980"/>
        <w:tab w:val="center" w:pos="9214"/>
        <w:tab w:val="center" w:pos="16727"/>
      </w:tabs>
      <w:ind w:right="11"/>
      <w:rPr>
        <w:sz w:val="18"/>
        <w:szCs w:val="18"/>
        <w:lang w:val="pt-BR"/>
      </w:rPr>
    </w:pPr>
    <w:r w:rsidRPr="00D446B8">
      <w:rPr>
        <w:sz w:val="18"/>
        <w:szCs w:val="18"/>
        <w:lang w:val="it-IT"/>
      </w:rPr>
      <w:tab/>
    </w:r>
    <w:r w:rsidRPr="00D446B8">
      <w:rPr>
        <w:i/>
        <w:sz w:val="18"/>
        <w:szCs w:val="18"/>
        <w:lang w:val="pt-BR"/>
      </w:rPr>
      <w:t>Socio</w:t>
    </w:r>
    <w:r w:rsidRPr="00D446B8">
      <w:rPr>
        <w:i/>
        <w:sz w:val="18"/>
        <w:szCs w:val="18"/>
        <w:lang w:val="pt-BR"/>
      </w:rPr>
      <w:tab/>
    </w:r>
    <w:r w:rsidRPr="00D446B8">
      <w:rPr>
        <w:sz w:val="18"/>
        <w:szCs w:val="18"/>
        <w:u w:val="single"/>
        <w:lang w:val="pt-BR"/>
      </w:rPr>
      <w:t>Apoderado</w:t>
    </w:r>
  </w:p>
  <w:p w14:paraId="1D037E3C" w14:textId="77777777" w:rsidR="0010523F" w:rsidRPr="004D5003" w:rsidRDefault="0010523F" w:rsidP="00BD13B5">
    <w:pPr>
      <w:widowControl w:val="0"/>
      <w:tabs>
        <w:tab w:val="center" w:pos="1985"/>
      </w:tabs>
      <w:spacing w:line="240" w:lineRule="atLeast"/>
      <w:rPr>
        <w:sz w:val="20"/>
        <w:lang w:val="pt-BR"/>
      </w:rPr>
    </w:pPr>
    <w:r w:rsidRPr="004D5003">
      <w:rPr>
        <w:sz w:val="20"/>
        <w:lang w:val="pt-BR"/>
      </w:rPr>
      <w:tab/>
      <w:t>Contador Público (UADE)</w:t>
    </w:r>
  </w:p>
  <w:p w14:paraId="2A0E8E94" w14:textId="77777777" w:rsidR="0010523F" w:rsidRPr="00B46E4E" w:rsidRDefault="0010523F" w:rsidP="00BD13B5">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0B8081E2" w14:textId="77777777" w:rsidR="0010523F" w:rsidRPr="00D6392F" w:rsidRDefault="0010523F">
    <w:pPr>
      <w:pStyle w:val="Piedepgina"/>
      <w:ind w:right="360"/>
      <w:jc w:val="center"/>
      <w:rPr>
        <w:sz w:val="22"/>
        <w:szCs w:val="22"/>
      </w:rPr>
    </w:pPr>
    <w:r w:rsidRPr="00D6392F">
      <w:rPr>
        <w:rStyle w:val="Nmerodepgina"/>
        <w:rFonts w:eastAsia="SimSun"/>
        <w:sz w:val="22"/>
        <w:szCs w:val="22"/>
      </w:rPr>
      <w:fldChar w:fldCharType="begin"/>
    </w:r>
    <w:r w:rsidRPr="00D6392F">
      <w:rPr>
        <w:rStyle w:val="Nmerodepgina"/>
        <w:rFonts w:eastAsia="SimSun"/>
        <w:sz w:val="22"/>
        <w:szCs w:val="22"/>
      </w:rPr>
      <w:instrText xml:space="preserve"> PAGE </w:instrText>
    </w:r>
    <w:r w:rsidRPr="00D6392F">
      <w:rPr>
        <w:rStyle w:val="Nmerodepgina"/>
        <w:rFonts w:eastAsia="SimSun"/>
        <w:sz w:val="22"/>
        <w:szCs w:val="22"/>
      </w:rPr>
      <w:fldChar w:fldCharType="separate"/>
    </w:r>
    <w:r>
      <w:rPr>
        <w:rStyle w:val="Nmerodepgina"/>
        <w:rFonts w:eastAsia="SimSun"/>
        <w:noProof/>
        <w:sz w:val="22"/>
        <w:szCs w:val="22"/>
      </w:rPr>
      <w:t>33</w:t>
    </w:r>
    <w:r w:rsidRPr="00D6392F">
      <w:rPr>
        <w:rStyle w:val="Nmerodepgina"/>
        <w:rFonts w:eastAsia="SimSun"/>
        <w:sz w:val="22"/>
        <w:szCs w:val="22"/>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10B7" w14:textId="77777777" w:rsidR="0010523F" w:rsidRPr="00586593" w:rsidRDefault="0010523F" w:rsidP="00B46016">
    <w:pPr>
      <w:pStyle w:val="Textoindependiente2"/>
      <w:tabs>
        <w:tab w:val="right" w:pos="10440"/>
      </w:tabs>
    </w:pPr>
    <w:r w:rsidRPr="00586593">
      <w:t>Véase nuestro informe de fecha:</w:t>
    </w:r>
  </w:p>
  <w:p w14:paraId="4DB8FE31" w14:textId="77777777" w:rsidR="0010523F" w:rsidRPr="00E16EDD" w:rsidRDefault="0010523F" w:rsidP="00CD7C42">
    <w:pPr>
      <w:pStyle w:val="Lilianita"/>
      <w:tabs>
        <w:tab w:val="right" w:pos="10440"/>
      </w:tabs>
      <w:rPr>
        <w:rFonts w:ascii="Times New Roman" w:hAnsi="Times New Roman"/>
        <w:lang w:val="es-AR"/>
      </w:rPr>
    </w:pPr>
    <w:r>
      <w:rPr>
        <w:rFonts w:ascii="Times New Roman" w:hAnsi="Times New Roman"/>
        <w:lang w:val="es-AR"/>
      </w:rPr>
      <w:t>11 de noviembre de 2019</w:t>
    </w:r>
  </w:p>
  <w:p w14:paraId="4CFC831A" w14:textId="77777777" w:rsidR="0010523F" w:rsidRPr="00E16EDD" w:rsidRDefault="0010523F" w:rsidP="00B46016">
    <w:pPr>
      <w:spacing w:line="80" w:lineRule="exact"/>
      <w:rPr>
        <w:sz w:val="20"/>
      </w:rPr>
    </w:pPr>
  </w:p>
  <w:p w14:paraId="0E3E6C77" w14:textId="77777777" w:rsidR="0010523F" w:rsidRPr="00E16EDD" w:rsidRDefault="0010523F" w:rsidP="00B46016">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0BD3D9EA" w14:textId="77777777" w:rsidR="0010523F" w:rsidRPr="00D97774" w:rsidRDefault="0010523F" w:rsidP="00B46016">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595BA0D3" w14:textId="77777777" w:rsidR="0010523F" w:rsidRDefault="0010523F" w:rsidP="00B46016">
    <w:pPr>
      <w:widowControl w:val="0"/>
      <w:tabs>
        <w:tab w:val="center" w:pos="1985"/>
      </w:tabs>
      <w:spacing w:line="240" w:lineRule="atLeast"/>
      <w:rPr>
        <w:sz w:val="20"/>
      </w:rPr>
    </w:pPr>
  </w:p>
  <w:p w14:paraId="2B35AF0C" w14:textId="77777777" w:rsidR="0010523F" w:rsidRPr="00D97774" w:rsidRDefault="0010523F" w:rsidP="00B46016">
    <w:pPr>
      <w:widowControl w:val="0"/>
      <w:tabs>
        <w:tab w:val="center" w:pos="1985"/>
      </w:tabs>
      <w:spacing w:line="240" w:lineRule="atLeast"/>
      <w:rPr>
        <w:sz w:val="20"/>
      </w:rPr>
    </w:pPr>
  </w:p>
  <w:p w14:paraId="45892485" w14:textId="77777777" w:rsidR="0010523F" w:rsidRPr="00D446B8" w:rsidRDefault="0010523F" w:rsidP="00B46016">
    <w:pPr>
      <w:widowControl w:val="0"/>
      <w:tabs>
        <w:tab w:val="center" w:pos="1980"/>
        <w:tab w:val="center" w:pos="9214"/>
        <w:tab w:val="center" w:pos="16727"/>
      </w:tabs>
      <w:ind w:right="11"/>
      <w:rPr>
        <w:sz w:val="18"/>
        <w:szCs w:val="18"/>
        <w:lang w:val="it-IT"/>
      </w:rPr>
    </w:pPr>
    <w:r w:rsidRPr="00D446B8">
      <w:rPr>
        <w:sz w:val="18"/>
        <w:szCs w:val="18"/>
        <w:lang w:val="it-IT"/>
      </w:rPr>
      <w:tab/>
      <w:t>Ricardo D. Calvetti</w:t>
    </w:r>
    <w:r w:rsidRPr="00D446B8">
      <w:rPr>
        <w:sz w:val="18"/>
        <w:szCs w:val="18"/>
        <w:lang w:val="it-IT"/>
      </w:rPr>
      <w:tab/>
      <w:t>Rodolfo E. Berisso</w:t>
    </w:r>
  </w:p>
  <w:p w14:paraId="394ACEE5" w14:textId="77777777" w:rsidR="0010523F" w:rsidRPr="00D446B8" w:rsidRDefault="0010523F" w:rsidP="00B46016">
    <w:pPr>
      <w:widowControl w:val="0"/>
      <w:tabs>
        <w:tab w:val="center" w:pos="1980"/>
        <w:tab w:val="center" w:pos="9214"/>
        <w:tab w:val="center" w:pos="16727"/>
      </w:tabs>
      <w:ind w:right="11"/>
      <w:rPr>
        <w:sz w:val="18"/>
        <w:szCs w:val="18"/>
        <w:lang w:val="pt-BR"/>
      </w:rPr>
    </w:pPr>
    <w:r w:rsidRPr="00D446B8">
      <w:rPr>
        <w:sz w:val="18"/>
        <w:szCs w:val="18"/>
        <w:lang w:val="it-IT"/>
      </w:rPr>
      <w:tab/>
    </w:r>
    <w:r w:rsidRPr="00D446B8">
      <w:rPr>
        <w:i/>
        <w:sz w:val="18"/>
        <w:szCs w:val="18"/>
        <w:lang w:val="pt-BR"/>
      </w:rPr>
      <w:t>Socio</w:t>
    </w:r>
    <w:r w:rsidRPr="00D446B8">
      <w:rPr>
        <w:i/>
        <w:sz w:val="18"/>
        <w:szCs w:val="18"/>
        <w:lang w:val="pt-BR"/>
      </w:rPr>
      <w:tab/>
    </w:r>
    <w:r w:rsidRPr="00D446B8">
      <w:rPr>
        <w:sz w:val="18"/>
        <w:szCs w:val="18"/>
        <w:u w:val="single"/>
        <w:lang w:val="pt-BR"/>
      </w:rPr>
      <w:t>Apoderado</w:t>
    </w:r>
  </w:p>
  <w:p w14:paraId="05EFF319" w14:textId="77777777" w:rsidR="0010523F" w:rsidRPr="004D5003" w:rsidRDefault="0010523F" w:rsidP="00B46016">
    <w:pPr>
      <w:widowControl w:val="0"/>
      <w:tabs>
        <w:tab w:val="center" w:pos="1985"/>
      </w:tabs>
      <w:spacing w:line="240" w:lineRule="atLeast"/>
      <w:rPr>
        <w:sz w:val="20"/>
        <w:lang w:val="pt-BR"/>
      </w:rPr>
    </w:pPr>
    <w:r w:rsidRPr="004D5003">
      <w:rPr>
        <w:sz w:val="20"/>
        <w:lang w:val="pt-BR"/>
      </w:rPr>
      <w:tab/>
      <w:t>Contador Público (UADE)</w:t>
    </w:r>
  </w:p>
  <w:p w14:paraId="614DB9A2" w14:textId="77777777" w:rsidR="0010523F" w:rsidRPr="00B46E4E" w:rsidRDefault="0010523F" w:rsidP="00B46016">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7DD7547D" w14:textId="77777777" w:rsidR="0010523F" w:rsidRDefault="0010523F">
    <w:pPr>
      <w:pStyle w:val="Piedepgina"/>
      <w:jc w:val="center"/>
      <w:rPr>
        <w:sz w:val="23"/>
        <w:szCs w:val="23"/>
      </w:rPr>
    </w:pPr>
    <w:r>
      <w:rPr>
        <w:rStyle w:val="Nmerodepgina"/>
        <w:rFonts w:eastAsia="SimSun"/>
        <w:sz w:val="23"/>
        <w:szCs w:val="23"/>
      </w:rPr>
      <w:fldChar w:fldCharType="begin"/>
    </w:r>
    <w:r>
      <w:rPr>
        <w:rStyle w:val="Nmerodepgina"/>
        <w:rFonts w:eastAsia="SimSun"/>
        <w:sz w:val="23"/>
        <w:szCs w:val="23"/>
      </w:rPr>
      <w:instrText xml:space="preserve"> PAGE </w:instrText>
    </w:r>
    <w:r>
      <w:rPr>
        <w:rStyle w:val="Nmerodepgina"/>
        <w:rFonts w:eastAsia="SimSun"/>
        <w:sz w:val="23"/>
        <w:szCs w:val="23"/>
      </w:rPr>
      <w:fldChar w:fldCharType="separate"/>
    </w:r>
    <w:r>
      <w:rPr>
        <w:rStyle w:val="Nmerodepgina"/>
        <w:rFonts w:eastAsia="SimSun"/>
        <w:noProof/>
        <w:sz w:val="23"/>
        <w:szCs w:val="23"/>
      </w:rPr>
      <w:t>32</w:t>
    </w:r>
    <w:r>
      <w:rPr>
        <w:rStyle w:val="Nmerodepgina"/>
        <w:rFonts w:eastAsia="SimSun"/>
        <w:sz w:val="23"/>
        <w:szCs w:val="23"/>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C404B" w14:textId="3676DA25" w:rsidR="0010523F" w:rsidRPr="0010523F" w:rsidRDefault="0010523F" w:rsidP="001052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8557" w14:textId="77777777" w:rsidR="0010523F" w:rsidRDefault="0010523F">
    <w:pPr>
      <w:pStyle w:val="Piedepgina"/>
      <w:framePr w:wrap="around" w:vAnchor="text" w:hAnchor="margin" w:xAlign="right" w:y="1"/>
      <w:rPr>
        <w:rStyle w:val="Nmerodepgina"/>
        <w:rFonts w:eastAsia="SimSun"/>
        <w:sz w:val="23"/>
        <w:szCs w:val="23"/>
      </w:rPr>
    </w:pPr>
    <w:r>
      <w:rPr>
        <w:rStyle w:val="Nmerodepgina"/>
        <w:rFonts w:eastAsia="SimSun"/>
        <w:sz w:val="23"/>
        <w:szCs w:val="23"/>
      </w:rPr>
      <w:fldChar w:fldCharType="begin"/>
    </w:r>
    <w:r>
      <w:rPr>
        <w:rStyle w:val="Nmerodepgina"/>
        <w:rFonts w:eastAsia="SimSun"/>
        <w:sz w:val="23"/>
        <w:szCs w:val="23"/>
      </w:rPr>
      <w:instrText xml:space="preserve">PAGE  </w:instrText>
    </w:r>
    <w:r>
      <w:rPr>
        <w:rStyle w:val="Nmerodepgina"/>
        <w:rFonts w:eastAsia="SimSun"/>
        <w:sz w:val="23"/>
        <w:szCs w:val="23"/>
      </w:rPr>
      <w:fldChar w:fldCharType="separate"/>
    </w:r>
    <w:r>
      <w:rPr>
        <w:rStyle w:val="Nmerodepgina"/>
        <w:rFonts w:eastAsia="SimSun"/>
        <w:noProof/>
        <w:sz w:val="23"/>
        <w:szCs w:val="23"/>
      </w:rPr>
      <w:t>2</w:t>
    </w:r>
    <w:r>
      <w:rPr>
        <w:rStyle w:val="Nmerodepgina"/>
        <w:rFonts w:eastAsia="SimSun"/>
        <w:sz w:val="23"/>
        <w:szCs w:val="23"/>
      </w:rPr>
      <w:fldChar w:fldCharType="end"/>
    </w:r>
  </w:p>
  <w:p w14:paraId="669F2622" w14:textId="77777777" w:rsidR="0010523F" w:rsidRDefault="0010523F">
    <w:pPr>
      <w:pStyle w:val="Piedepgina"/>
      <w:ind w:right="360"/>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E345" w14:textId="77777777" w:rsidR="0010523F" w:rsidRPr="00586593" w:rsidRDefault="0010523F" w:rsidP="00CD6631">
    <w:pPr>
      <w:pStyle w:val="Textoindependiente2"/>
      <w:tabs>
        <w:tab w:val="right" w:pos="10440"/>
      </w:tabs>
    </w:pPr>
    <w:r w:rsidRPr="00586593">
      <w:t>Véase nuestro informe de fecha:</w:t>
    </w:r>
  </w:p>
  <w:p w14:paraId="54487B1A" w14:textId="77777777" w:rsidR="0010523F" w:rsidRPr="00586593" w:rsidRDefault="0010523F" w:rsidP="00CD6631">
    <w:pPr>
      <w:pStyle w:val="Lilianita"/>
      <w:tabs>
        <w:tab w:val="right" w:pos="10440"/>
      </w:tabs>
      <w:rPr>
        <w:rFonts w:ascii="Times New Roman" w:hAnsi="Times New Roman"/>
        <w:lang w:val="es-AR"/>
      </w:rPr>
    </w:pPr>
    <w:r w:rsidRPr="00586593">
      <w:rPr>
        <w:rFonts w:ascii="Times New Roman" w:hAnsi="Times New Roman"/>
        <w:lang w:val="es-AR"/>
      </w:rPr>
      <w:t>10 de mayo de 2012</w:t>
    </w:r>
  </w:p>
  <w:p w14:paraId="7BA76548" w14:textId="77777777" w:rsidR="0010523F" w:rsidRPr="00586593" w:rsidRDefault="0010523F" w:rsidP="00CD6631">
    <w:pPr>
      <w:spacing w:line="120" w:lineRule="exact"/>
      <w:rPr>
        <w:sz w:val="20"/>
      </w:rPr>
    </w:pPr>
  </w:p>
  <w:p w14:paraId="5FE56BB2" w14:textId="77777777" w:rsidR="0010523F" w:rsidRPr="00586593" w:rsidRDefault="0010523F" w:rsidP="00CD6631">
    <w:pPr>
      <w:widowControl w:val="0"/>
      <w:tabs>
        <w:tab w:val="center" w:pos="1980"/>
        <w:tab w:val="center" w:pos="5584"/>
        <w:tab w:val="center" w:pos="8533"/>
      </w:tabs>
      <w:ind w:right="12"/>
      <w:rPr>
        <w:sz w:val="20"/>
      </w:rPr>
    </w:pPr>
    <w:r w:rsidRPr="00586593">
      <w:rPr>
        <w:sz w:val="20"/>
      </w:rPr>
      <w:tab/>
      <w:t>KPMG</w:t>
    </w:r>
  </w:p>
  <w:p w14:paraId="7F618545" w14:textId="77777777" w:rsidR="0010523F" w:rsidRPr="00586593" w:rsidRDefault="0010523F" w:rsidP="00CD6631">
    <w:pPr>
      <w:widowControl w:val="0"/>
      <w:tabs>
        <w:tab w:val="center" w:pos="1980"/>
        <w:tab w:val="center" w:pos="5584"/>
        <w:tab w:val="center" w:pos="8533"/>
      </w:tabs>
      <w:ind w:right="12"/>
      <w:rPr>
        <w:sz w:val="20"/>
        <w:lang w:val="es-ES"/>
      </w:rPr>
    </w:pPr>
    <w:r w:rsidRPr="00586593">
      <w:rPr>
        <w:sz w:val="20"/>
      </w:rPr>
      <w:tab/>
      <w:t xml:space="preserve">Reg. de Asoc. </w:t>
    </w:r>
    <w:r w:rsidRPr="00586593">
      <w:rPr>
        <w:sz w:val="20"/>
        <w:lang w:val="es-ES"/>
      </w:rPr>
      <w:t>Prof. CPCECABA Tº 2 Fº 6</w:t>
    </w:r>
  </w:p>
  <w:p w14:paraId="5B42A0B3" w14:textId="77777777" w:rsidR="0010523F" w:rsidRPr="00586593" w:rsidRDefault="0010523F" w:rsidP="00CD6631">
    <w:pPr>
      <w:widowControl w:val="0"/>
      <w:tabs>
        <w:tab w:val="center" w:pos="1980"/>
        <w:tab w:val="center" w:pos="8080"/>
        <w:tab w:val="center" w:pos="12474"/>
      </w:tabs>
      <w:ind w:right="12"/>
      <w:rPr>
        <w:sz w:val="20"/>
        <w:lang w:val="es-ES"/>
      </w:rPr>
    </w:pPr>
  </w:p>
  <w:p w14:paraId="261BDDF4" w14:textId="77777777" w:rsidR="0010523F" w:rsidRPr="00586593" w:rsidRDefault="0010523F" w:rsidP="00CD6631">
    <w:pPr>
      <w:widowControl w:val="0"/>
      <w:tabs>
        <w:tab w:val="center" w:pos="1980"/>
        <w:tab w:val="center" w:pos="8080"/>
        <w:tab w:val="center" w:pos="12474"/>
      </w:tabs>
      <w:ind w:right="12"/>
      <w:rPr>
        <w:sz w:val="20"/>
        <w:lang w:val="es-ES"/>
      </w:rPr>
    </w:pPr>
  </w:p>
  <w:p w14:paraId="161E94D6" w14:textId="77777777" w:rsidR="0010523F" w:rsidRPr="00586593" w:rsidRDefault="0010523F" w:rsidP="00CD6631">
    <w:pPr>
      <w:widowControl w:val="0"/>
      <w:tabs>
        <w:tab w:val="center" w:pos="1980"/>
        <w:tab w:val="center" w:pos="8080"/>
        <w:tab w:val="center" w:pos="12474"/>
      </w:tabs>
      <w:ind w:right="12"/>
      <w:rPr>
        <w:sz w:val="20"/>
        <w:lang w:val="es-ES"/>
      </w:rPr>
    </w:pPr>
  </w:p>
  <w:p w14:paraId="2E409C40" w14:textId="77777777" w:rsidR="0010523F" w:rsidRPr="000F17B0" w:rsidRDefault="0010523F" w:rsidP="00CD6631">
    <w:pPr>
      <w:widowControl w:val="0"/>
      <w:tabs>
        <w:tab w:val="center" w:pos="1980"/>
        <w:tab w:val="center" w:pos="8080"/>
        <w:tab w:val="center" w:pos="12474"/>
      </w:tabs>
      <w:ind w:right="12"/>
      <w:rPr>
        <w:sz w:val="20"/>
        <w:lang w:val="es-MX"/>
      </w:rPr>
    </w:pPr>
    <w:r w:rsidRPr="00586593">
      <w:rPr>
        <w:sz w:val="20"/>
        <w:lang w:val="es-ES"/>
      </w:rPr>
      <w:tab/>
    </w:r>
    <w:r w:rsidRPr="000F17B0">
      <w:rPr>
        <w:sz w:val="20"/>
        <w:lang w:val="es-MX"/>
      </w:rPr>
      <w:t>Néstor R. García</w:t>
    </w:r>
    <w:r w:rsidRPr="000F17B0">
      <w:rPr>
        <w:sz w:val="20"/>
        <w:lang w:val="es-MX"/>
      </w:rPr>
      <w:tab/>
    </w:r>
  </w:p>
  <w:p w14:paraId="7FB71A2A" w14:textId="77777777" w:rsidR="0010523F" w:rsidRPr="00586593" w:rsidRDefault="0010523F" w:rsidP="00CD6631">
    <w:pPr>
      <w:widowControl w:val="0"/>
      <w:tabs>
        <w:tab w:val="center" w:pos="1980"/>
        <w:tab w:val="center" w:pos="8080"/>
        <w:tab w:val="center" w:pos="12474"/>
      </w:tabs>
      <w:ind w:right="12"/>
      <w:rPr>
        <w:sz w:val="20"/>
      </w:rPr>
    </w:pPr>
    <w:r w:rsidRPr="000F17B0">
      <w:rPr>
        <w:sz w:val="20"/>
        <w:lang w:val="es-MX"/>
      </w:rPr>
      <w:tab/>
    </w:r>
    <w:r w:rsidRPr="00586593">
      <w:rPr>
        <w:i/>
        <w:sz w:val="20"/>
      </w:rPr>
      <w:t>Socio</w:t>
    </w:r>
    <w:r w:rsidRPr="00586593">
      <w:rPr>
        <w:i/>
        <w:sz w:val="20"/>
      </w:rPr>
      <w:tab/>
    </w:r>
  </w:p>
  <w:p w14:paraId="2E73B213" w14:textId="77777777" w:rsidR="0010523F" w:rsidRPr="00586593" w:rsidRDefault="0010523F" w:rsidP="00CD6631">
    <w:pPr>
      <w:widowControl w:val="0"/>
      <w:tabs>
        <w:tab w:val="center" w:pos="1980"/>
        <w:tab w:val="center" w:pos="8080"/>
        <w:tab w:val="center" w:pos="12474"/>
      </w:tabs>
      <w:ind w:right="12"/>
      <w:rPr>
        <w:sz w:val="20"/>
      </w:rPr>
    </w:pPr>
    <w:r w:rsidRPr="00586593">
      <w:rPr>
        <w:sz w:val="20"/>
      </w:rPr>
      <w:tab/>
      <w:t>Contador Público (UBA)</w:t>
    </w:r>
  </w:p>
  <w:p w14:paraId="27833D46" w14:textId="77777777" w:rsidR="0010523F" w:rsidRDefault="0010523F" w:rsidP="00CD6631">
    <w:pPr>
      <w:widowControl w:val="0"/>
      <w:tabs>
        <w:tab w:val="center" w:pos="1980"/>
        <w:tab w:val="center" w:pos="8080"/>
        <w:tab w:val="center" w:pos="12474"/>
      </w:tabs>
      <w:ind w:right="12"/>
      <w:rPr>
        <w:sz w:val="20"/>
      </w:rPr>
    </w:pPr>
    <w:r>
      <w:rPr>
        <w:sz w:val="20"/>
      </w:rPr>
      <w:tab/>
      <w:t xml:space="preserve">  CPCECABA Tº CCVII Fº 61</w:t>
    </w:r>
  </w:p>
  <w:p w14:paraId="70D26D02" w14:textId="77777777" w:rsidR="0010523F" w:rsidRPr="00CD6631" w:rsidRDefault="0010523F" w:rsidP="00CD6631">
    <w:pPr>
      <w:widowControl w:val="0"/>
      <w:tabs>
        <w:tab w:val="center" w:pos="1980"/>
        <w:tab w:val="center" w:pos="8080"/>
        <w:tab w:val="center" w:pos="12474"/>
      </w:tabs>
      <w:ind w:right="12"/>
      <w:rPr>
        <w:rStyle w:val="Nmerodepgina"/>
        <w:rFonts w:eastAsia="SimSun"/>
      </w:rPr>
    </w:pPr>
  </w:p>
  <w:p w14:paraId="53ACE9F9" w14:textId="77777777" w:rsidR="0010523F" w:rsidRDefault="0010523F">
    <w:pPr>
      <w:pStyle w:val="Piedepgina"/>
      <w:ind w:right="360"/>
      <w:jc w:val="center"/>
      <w:rPr>
        <w:sz w:val="23"/>
        <w:szCs w:val="23"/>
      </w:rPr>
    </w:pPr>
    <w:r>
      <w:rPr>
        <w:rStyle w:val="Nmerodepgina"/>
        <w:rFonts w:eastAsia="SimSun"/>
        <w:sz w:val="23"/>
        <w:szCs w:val="23"/>
      </w:rPr>
      <w:fldChar w:fldCharType="begin"/>
    </w:r>
    <w:r>
      <w:rPr>
        <w:rStyle w:val="Nmerodepgina"/>
        <w:rFonts w:eastAsia="SimSun"/>
        <w:sz w:val="23"/>
        <w:szCs w:val="23"/>
      </w:rPr>
      <w:instrText xml:space="preserve"> PAGE </w:instrText>
    </w:r>
    <w:r>
      <w:rPr>
        <w:rStyle w:val="Nmerodepgina"/>
        <w:rFonts w:eastAsia="SimSun"/>
        <w:sz w:val="23"/>
        <w:szCs w:val="23"/>
      </w:rPr>
      <w:fldChar w:fldCharType="separate"/>
    </w:r>
    <w:r>
      <w:rPr>
        <w:rStyle w:val="Nmerodepgina"/>
        <w:rFonts w:eastAsia="SimSun"/>
        <w:noProof/>
        <w:sz w:val="23"/>
        <w:szCs w:val="23"/>
      </w:rPr>
      <w:t>3</w:t>
    </w:r>
    <w:r>
      <w:rPr>
        <w:rStyle w:val="Nmerodepgina"/>
        <w:rFonts w:eastAsia="SimSun"/>
        <w:sz w:val="23"/>
        <w:szCs w:val="23"/>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E2200" w14:textId="131B7D25" w:rsidR="00751D9D" w:rsidRDefault="00751D9D">
    <w:pPr>
      <w:pStyle w:val="Piedepgina"/>
      <w:jc w:val="center"/>
    </w:pPr>
  </w:p>
  <w:p w14:paraId="4F3E8EA8" w14:textId="3555AEDF" w:rsidR="0010523F" w:rsidRPr="00D6392F" w:rsidRDefault="00751D9D">
    <w:pPr>
      <w:pStyle w:val="Piedepgina"/>
      <w:jc w:val="center"/>
      <w:rPr>
        <w:sz w:val="22"/>
        <w:szCs w:val="22"/>
      </w:rPr>
    </w:pPr>
    <w:r>
      <w:rPr>
        <w:sz w:val="22"/>
        <w:szCs w:val="22"/>
      </w:rPr>
      <w:t>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85AF" w14:textId="77777777" w:rsidR="0010523F" w:rsidRDefault="0010523F">
    <w:pPr>
      <w:pStyle w:val="Piedepgin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208372"/>
      <w:docPartObj>
        <w:docPartGallery w:val="Page Numbers (Bottom of Page)"/>
        <w:docPartUnique/>
      </w:docPartObj>
    </w:sdtPr>
    <w:sdtEndPr>
      <w:rPr>
        <w:noProof/>
        <w:sz w:val="22"/>
        <w:szCs w:val="22"/>
      </w:rPr>
    </w:sdtEndPr>
    <w:sdtContent>
      <w:p w14:paraId="366B4BDF" w14:textId="77777777" w:rsidR="0010523F" w:rsidRDefault="0010523F">
        <w:pPr>
          <w:pStyle w:val="Piedepgina"/>
          <w:jc w:val="center"/>
          <w:rPr>
            <w:noProof/>
            <w:sz w:val="22"/>
            <w:szCs w:val="22"/>
          </w:rPr>
        </w:pPr>
      </w:p>
      <w:p w14:paraId="4D4A746A" w14:textId="77777777" w:rsidR="0010523F" w:rsidRPr="00E70CC3" w:rsidRDefault="00282FB2" w:rsidP="00F86A8F">
        <w:pPr>
          <w:pStyle w:val="Piedepgina"/>
          <w:rPr>
            <w:sz w:val="22"/>
            <w:szCs w:val="22"/>
          </w:rP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530606"/>
      <w:docPartObj>
        <w:docPartGallery w:val="Page Numbers (Bottom of Page)"/>
        <w:docPartUnique/>
      </w:docPartObj>
    </w:sdtPr>
    <w:sdtEndPr/>
    <w:sdtContent>
      <w:p w14:paraId="187264EA" w14:textId="77777777" w:rsidR="0010523F" w:rsidRPr="00586593" w:rsidRDefault="0010523F" w:rsidP="007C6FAF">
        <w:pPr>
          <w:pStyle w:val="Textoindependiente2"/>
          <w:tabs>
            <w:tab w:val="right" w:pos="10440"/>
          </w:tabs>
        </w:pPr>
        <w:r w:rsidRPr="00586593">
          <w:t>Véase nuestro informe de fecha:</w:t>
        </w:r>
      </w:p>
      <w:p w14:paraId="779621FF" w14:textId="77777777" w:rsidR="0010523F" w:rsidRPr="00E16EDD" w:rsidRDefault="0010523F" w:rsidP="007C6FAF">
        <w:pPr>
          <w:pStyle w:val="Lilianita"/>
          <w:tabs>
            <w:tab w:val="right" w:pos="10440"/>
          </w:tabs>
          <w:rPr>
            <w:rFonts w:ascii="Times New Roman" w:hAnsi="Times New Roman"/>
            <w:lang w:val="es-AR"/>
          </w:rPr>
        </w:pPr>
        <w:r>
          <w:rPr>
            <w:rFonts w:ascii="Times New Roman" w:hAnsi="Times New Roman"/>
            <w:lang w:val="es-AR"/>
          </w:rPr>
          <w:t>11 de noviembre de 2019</w:t>
        </w:r>
      </w:p>
      <w:p w14:paraId="55A32E4B" w14:textId="77777777" w:rsidR="0010523F" w:rsidRPr="00E16EDD" w:rsidRDefault="0010523F" w:rsidP="007C6FAF">
        <w:pPr>
          <w:spacing w:line="80" w:lineRule="exact"/>
          <w:rPr>
            <w:sz w:val="20"/>
          </w:rPr>
        </w:pPr>
      </w:p>
      <w:p w14:paraId="7033DA6B" w14:textId="77777777" w:rsidR="0010523F" w:rsidRPr="00E16EDD" w:rsidRDefault="0010523F" w:rsidP="007C6FAF">
        <w:pPr>
          <w:pStyle w:val="Lilianita"/>
          <w:widowControl w:val="0"/>
          <w:tabs>
            <w:tab w:val="center" w:pos="1985"/>
          </w:tabs>
          <w:spacing w:line="240" w:lineRule="atLeast"/>
          <w:rPr>
            <w:rFonts w:ascii="Times New Roman" w:hAnsi="Times New Roman"/>
            <w:lang w:val="es-AR"/>
          </w:rPr>
        </w:pPr>
        <w:r w:rsidRPr="00E16EDD">
          <w:rPr>
            <w:rFonts w:ascii="Times New Roman" w:hAnsi="Times New Roman"/>
            <w:lang w:val="es-AR"/>
          </w:rPr>
          <w:tab/>
          <w:t>KPMG</w:t>
        </w:r>
      </w:p>
      <w:p w14:paraId="104F3FA6" w14:textId="77777777" w:rsidR="0010523F" w:rsidRPr="00D97774" w:rsidRDefault="0010523F" w:rsidP="007C6FAF">
        <w:pPr>
          <w:widowControl w:val="0"/>
          <w:tabs>
            <w:tab w:val="center" w:pos="1985"/>
          </w:tabs>
          <w:spacing w:line="240" w:lineRule="atLeast"/>
          <w:rPr>
            <w:sz w:val="20"/>
          </w:rPr>
        </w:pPr>
        <w:r w:rsidRPr="00E16EDD">
          <w:rPr>
            <w:sz w:val="20"/>
          </w:rPr>
          <w:tab/>
          <w:t xml:space="preserve">Reg. de Asoc. </w:t>
        </w:r>
        <w:r w:rsidRPr="00D97774">
          <w:rPr>
            <w:sz w:val="20"/>
          </w:rPr>
          <w:t>Prof. CPCECABA Tº 2 Fº 6</w:t>
        </w:r>
      </w:p>
      <w:p w14:paraId="4B4971AF" w14:textId="77777777" w:rsidR="0010523F" w:rsidRPr="00D97774" w:rsidRDefault="0010523F" w:rsidP="007C6FAF">
        <w:pPr>
          <w:widowControl w:val="0"/>
          <w:tabs>
            <w:tab w:val="center" w:pos="1985"/>
          </w:tabs>
          <w:spacing w:line="240" w:lineRule="atLeast"/>
          <w:rPr>
            <w:sz w:val="20"/>
          </w:rPr>
        </w:pPr>
      </w:p>
      <w:p w14:paraId="5B9B311F" w14:textId="77777777" w:rsidR="0010523F" w:rsidRPr="00D446B8" w:rsidRDefault="0010523F" w:rsidP="001957FB">
        <w:pPr>
          <w:widowControl w:val="0"/>
          <w:tabs>
            <w:tab w:val="center" w:pos="1980"/>
            <w:tab w:val="center" w:pos="12758"/>
            <w:tab w:val="center" w:pos="16727"/>
          </w:tabs>
          <w:ind w:right="11"/>
          <w:rPr>
            <w:sz w:val="18"/>
            <w:szCs w:val="18"/>
            <w:lang w:val="it-IT"/>
          </w:rPr>
        </w:pPr>
        <w:r w:rsidRPr="00D446B8">
          <w:rPr>
            <w:sz w:val="18"/>
            <w:szCs w:val="18"/>
            <w:lang w:val="it-IT"/>
          </w:rPr>
          <w:tab/>
          <w:t>Ricardo D. Calvetti</w:t>
        </w:r>
        <w:r>
          <w:rPr>
            <w:sz w:val="18"/>
            <w:szCs w:val="18"/>
            <w:lang w:val="it-IT"/>
          </w:rPr>
          <w:t xml:space="preserve">            </w:t>
        </w:r>
        <w:r w:rsidRPr="00D446B8">
          <w:rPr>
            <w:sz w:val="18"/>
            <w:szCs w:val="18"/>
            <w:lang w:val="it-IT"/>
          </w:rPr>
          <w:tab/>
          <w:t>Rodolfo E. Berisso</w:t>
        </w:r>
      </w:p>
      <w:p w14:paraId="6BB85756" w14:textId="77777777" w:rsidR="0010523F" w:rsidRPr="00D446B8" w:rsidRDefault="0010523F" w:rsidP="002968D0">
        <w:pPr>
          <w:widowControl w:val="0"/>
          <w:tabs>
            <w:tab w:val="center" w:pos="1980"/>
            <w:tab w:val="center" w:pos="13467"/>
            <w:tab w:val="center" w:pos="16727"/>
          </w:tabs>
          <w:ind w:left="1701" w:right="11"/>
          <w:rPr>
            <w:sz w:val="18"/>
            <w:szCs w:val="18"/>
            <w:lang w:val="pt-BR"/>
          </w:rPr>
        </w:pPr>
        <w:r w:rsidRPr="00D446B8">
          <w:rPr>
            <w:sz w:val="18"/>
            <w:szCs w:val="18"/>
            <w:lang w:val="it-IT"/>
          </w:rPr>
          <w:tab/>
        </w:r>
        <w:r w:rsidRPr="00D446B8">
          <w:rPr>
            <w:i/>
            <w:sz w:val="18"/>
            <w:szCs w:val="18"/>
            <w:lang w:val="pt-BR"/>
          </w:rPr>
          <w:t>Socio</w:t>
        </w:r>
        <w:r>
          <w:rPr>
            <w:i/>
            <w:sz w:val="18"/>
            <w:szCs w:val="18"/>
            <w:lang w:val="pt-BR"/>
          </w:rPr>
          <w:t xml:space="preserve">                                                                                                                                                </w:t>
        </w:r>
        <w:r w:rsidRPr="00D446B8">
          <w:rPr>
            <w:sz w:val="18"/>
            <w:szCs w:val="18"/>
            <w:u w:val="single"/>
            <w:lang w:val="pt-BR"/>
          </w:rPr>
          <w:t>Apoderado</w:t>
        </w:r>
      </w:p>
      <w:p w14:paraId="19FB7FB9" w14:textId="77777777" w:rsidR="0010523F" w:rsidRPr="004D5003" w:rsidRDefault="0010523F" w:rsidP="007C6FAF">
        <w:pPr>
          <w:widowControl w:val="0"/>
          <w:tabs>
            <w:tab w:val="center" w:pos="1985"/>
          </w:tabs>
          <w:spacing w:line="240" w:lineRule="atLeast"/>
          <w:rPr>
            <w:sz w:val="20"/>
            <w:lang w:val="pt-BR"/>
          </w:rPr>
        </w:pPr>
        <w:r w:rsidRPr="004D5003">
          <w:rPr>
            <w:sz w:val="20"/>
            <w:lang w:val="pt-BR"/>
          </w:rPr>
          <w:tab/>
          <w:t>Contador Público (UADE)</w:t>
        </w:r>
      </w:p>
      <w:p w14:paraId="605F8AE3" w14:textId="77777777" w:rsidR="0010523F" w:rsidRPr="00B46E4E" w:rsidRDefault="0010523F" w:rsidP="007C6FAF">
        <w:pPr>
          <w:widowControl w:val="0"/>
          <w:tabs>
            <w:tab w:val="center" w:pos="1980"/>
            <w:tab w:val="center" w:pos="8080"/>
            <w:tab w:val="center" w:pos="12474"/>
          </w:tabs>
          <w:ind w:right="12"/>
          <w:rPr>
            <w:sz w:val="20"/>
            <w:lang w:val="pt-BR"/>
          </w:rPr>
        </w:pPr>
        <w:r w:rsidRPr="004D5003">
          <w:rPr>
            <w:sz w:val="20"/>
            <w:lang w:val="pt-BR"/>
          </w:rPr>
          <w:tab/>
        </w:r>
        <w:r w:rsidRPr="00B46E4E">
          <w:rPr>
            <w:sz w:val="20"/>
            <w:lang w:val="pt-BR"/>
          </w:rPr>
          <w:t>CPCECABA Tº 250 Fº 53</w:t>
        </w:r>
      </w:p>
      <w:p w14:paraId="4C600686" w14:textId="77777777" w:rsidR="0010523F" w:rsidRDefault="0010523F" w:rsidP="0071006A">
        <w:pPr>
          <w:pStyle w:val="Textoindependiente2"/>
          <w:tabs>
            <w:tab w:val="right" w:pos="10440"/>
          </w:tabs>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742943"/>
      <w:docPartObj>
        <w:docPartGallery w:val="Page Numbers (Bottom of Page)"/>
        <w:docPartUnique/>
      </w:docPartObj>
    </w:sdtPr>
    <w:sdtEndPr/>
    <w:sdtContent>
      <w:p w14:paraId="41B9C401" w14:textId="77777777" w:rsidR="0010523F" w:rsidRDefault="0010523F">
        <w:pPr>
          <w:pStyle w:val="Piedepgina"/>
          <w:jc w:val="center"/>
        </w:pPr>
        <w:r>
          <w:fldChar w:fldCharType="begin"/>
        </w:r>
        <w:r>
          <w:instrText>PAGE   \* MERGEFORMAT</w:instrText>
        </w:r>
        <w:r>
          <w:fldChar w:fldCharType="separate"/>
        </w:r>
        <w:r w:rsidRPr="00F3740B">
          <w:rPr>
            <w:noProof/>
            <w:lang w:val="es-ES"/>
          </w:rPr>
          <w:t>1</w:t>
        </w:r>
        <w:r>
          <w:fldChar w:fldCharType="end"/>
        </w:r>
      </w:p>
    </w:sdtContent>
  </w:sdt>
  <w:p w14:paraId="0EA13674" w14:textId="77777777" w:rsidR="0010523F" w:rsidRPr="00D6392F" w:rsidRDefault="0010523F">
    <w:pPr>
      <w:pStyle w:val="Piedepgina"/>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52D82" w14:textId="77777777" w:rsidR="00282FB2" w:rsidRDefault="00282FB2">
      <w:r>
        <w:separator/>
      </w:r>
    </w:p>
  </w:footnote>
  <w:footnote w:type="continuationSeparator" w:id="0">
    <w:p w14:paraId="5E8D7504" w14:textId="77777777" w:rsidR="00282FB2" w:rsidRDefault="00282FB2">
      <w:r>
        <w:continuationSeparator/>
      </w:r>
    </w:p>
  </w:footnote>
  <w:footnote w:type="continuationNotice" w:id="1">
    <w:p w14:paraId="65B55075" w14:textId="77777777" w:rsidR="00282FB2" w:rsidRDefault="00282F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3F9E" w14:textId="77777777" w:rsidR="0010523F" w:rsidRDefault="0010523F">
    <w:pPr>
      <w:pStyle w:val="Encabezado"/>
      <w:jc w:val="center"/>
      <w:rPr>
        <w:sz w:val="23"/>
        <w:szCs w:val="23"/>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3C7F" w14:textId="77777777" w:rsidR="0010523F" w:rsidRDefault="0010523F">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4B50B" w14:textId="77777777" w:rsidR="0010523F" w:rsidRDefault="0010523F">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566C" w14:textId="77777777" w:rsidR="0010523F" w:rsidRDefault="0010523F">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1639" w14:textId="77777777" w:rsidR="0010523F" w:rsidRDefault="0010523F">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B2F3" w14:textId="77777777" w:rsidR="0010523F" w:rsidRDefault="0010523F">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0902" w14:textId="77777777" w:rsidR="0010523F" w:rsidRDefault="0010523F">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AEA7" w14:textId="77777777" w:rsidR="0010523F" w:rsidRDefault="0010523F">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5F6C" w14:textId="77777777" w:rsidR="0010523F" w:rsidRDefault="0010523F">
    <w:pPr>
      <w:pStyle w:val="Encabezado"/>
      <w:rPr>
        <w:sz w:val="23"/>
        <w:szCs w:val="23"/>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7403" w14:textId="77777777" w:rsidR="0010523F" w:rsidRDefault="0010523F">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2AFC" w14:textId="77777777" w:rsidR="0010523F" w:rsidRPr="00C458A7" w:rsidRDefault="0010523F" w:rsidP="00E22442">
    <w:pPr>
      <w:tabs>
        <w:tab w:val="left" w:pos="851"/>
        <w:tab w:val="right" w:pos="5463"/>
      </w:tabs>
      <w:rPr>
        <w:b/>
      </w:rPr>
    </w:pPr>
    <w:r w:rsidRPr="00745AD0">
      <w:rPr>
        <w:b/>
      </w:rPr>
      <w:t>PAN AMERICAN ENERGY, S.L., SUCURSAL ARGENTINA</w:t>
    </w:r>
    <w:r w:rsidRPr="00C458A7" w:rsidDel="005411E5">
      <w:rPr>
        <w:b/>
      </w:rPr>
      <w:t xml:space="preserve"> </w:t>
    </w:r>
  </w:p>
  <w:p w14:paraId="0089E6E2" w14:textId="77777777" w:rsidR="0010523F" w:rsidRPr="00D811CD" w:rsidRDefault="0010523F" w:rsidP="000971FF">
    <w:pPr>
      <w:pStyle w:val="Encabezado"/>
      <w:tabs>
        <w:tab w:val="left" w:pos="1985"/>
        <w:tab w:val="decimal" w:pos="5103"/>
        <w:tab w:val="left" w:pos="6237"/>
        <w:tab w:val="left" w:pos="8080"/>
      </w:tabs>
      <w:spacing w:line="160" w:lineRule="exact"/>
      <w:rPr>
        <w:szCs w:val="24"/>
      </w:rPr>
    </w:pPr>
  </w:p>
  <w:p w14:paraId="456B1DB4" w14:textId="77777777" w:rsidR="0010523F" w:rsidRPr="00D811CD" w:rsidRDefault="0010523F" w:rsidP="00E22442">
    <w:pPr>
      <w:tabs>
        <w:tab w:val="left" w:pos="993"/>
        <w:tab w:val="right" w:pos="7503"/>
      </w:tabs>
      <w:ind w:right="-90"/>
    </w:pPr>
    <w:r w:rsidRPr="00D811CD">
      <w:rPr>
        <w:b/>
      </w:rPr>
      <w:t xml:space="preserve">NOTAS A LOS ESTADOS FINANCIEROS INTERMEDIOS CONDENSADOS </w:t>
    </w:r>
    <w:r w:rsidRPr="001957FB">
      <w:rPr>
        <w:sz w:val="22"/>
        <w:szCs w:val="22"/>
      </w:rPr>
      <w:t>al 3</w:t>
    </w:r>
    <w:r>
      <w:rPr>
        <w:sz w:val="22"/>
        <w:szCs w:val="22"/>
      </w:rPr>
      <w:t>0</w:t>
    </w:r>
    <w:r w:rsidRPr="001957FB">
      <w:rPr>
        <w:sz w:val="22"/>
        <w:szCs w:val="22"/>
      </w:rPr>
      <w:t xml:space="preserve"> de </w:t>
    </w:r>
    <w:r>
      <w:rPr>
        <w:sz w:val="22"/>
        <w:szCs w:val="22"/>
      </w:rPr>
      <w:t>septiembre</w:t>
    </w:r>
    <w:r w:rsidRPr="001957FB">
      <w:rPr>
        <w:sz w:val="22"/>
        <w:szCs w:val="22"/>
      </w:rPr>
      <w:t xml:space="preserve"> de 2019 presentadas en forma comparativa (en millones de pesos)</w:t>
    </w:r>
  </w:p>
  <w:p w14:paraId="395F65AC" w14:textId="77777777" w:rsidR="0010523F" w:rsidRDefault="0010523F" w:rsidP="000971FF">
    <w:pPr>
      <w:tabs>
        <w:tab w:val="right" w:pos="5463"/>
      </w:tabs>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00B6" w14:textId="77777777" w:rsidR="0010523F" w:rsidRDefault="0010523F">
    <w:pPr>
      <w:pStyle w:val="Encabezado"/>
      <w:jc w:val="center"/>
      <w:rPr>
        <w:sz w:val="31"/>
        <w:szCs w:val="31"/>
      </w:rPr>
    </w:pPr>
  </w:p>
  <w:p w14:paraId="57B8FE16" w14:textId="77777777" w:rsidR="0010523F" w:rsidRDefault="0010523F">
    <w:pPr>
      <w:pStyle w:val="Encabezado"/>
      <w:jc w:val="center"/>
      <w:rPr>
        <w:sz w:val="27"/>
        <w:szCs w:val="27"/>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1BF6" w14:textId="77777777" w:rsidR="0010523F" w:rsidRDefault="0010523F" w:rsidP="00A82F31">
    <w:pPr>
      <w:tabs>
        <w:tab w:val="left" w:pos="1985"/>
        <w:tab w:val="decimal" w:pos="5103"/>
        <w:tab w:val="left" w:pos="6237"/>
        <w:tab w:val="left" w:pos="8080"/>
      </w:tabs>
      <w:rPr>
        <w:sz w:val="23"/>
        <w:szCs w:val="23"/>
      </w:rPr>
    </w:pPr>
  </w:p>
  <w:p w14:paraId="34A275CC" w14:textId="77777777" w:rsidR="0010523F" w:rsidRPr="00C458A7" w:rsidRDefault="0010523F" w:rsidP="00E22442">
    <w:pPr>
      <w:tabs>
        <w:tab w:val="right" w:pos="5463"/>
      </w:tabs>
      <w:rPr>
        <w:b/>
      </w:rPr>
    </w:pPr>
    <w:r w:rsidRPr="00C458A7">
      <w:rPr>
        <w:b/>
      </w:rPr>
      <w:t>PAN AMERICAN ENERGY</w:t>
    </w:r>
    <w:r>
      <w:rPr>
        <w:b/>
      </w:rPr>
      <w:t>,</w:t>
    </w:r>
    <w:r w:rsidRPr="00C458A7">
      <w:rPr>
        <w:b/>
      </w:rPr>
      <w:t xml:space="preserve"> </w:t>
    </w:r>
    <w:r>
      <w:rPr>
        <w:b/>
      </w:rPr>
      <w:t xml:space="preserve">S.L., </w:t>
    </w:r>
    <w:r w:rsidRPr="00C458A7">
      <w:rPr>
        <w:b/>
      </w:rPr>
      <w:t>SUCURSAL ARGENTINA</w:t>
    </w:r>
  </w:p>
  <w:p w14:paraId="578DED3F" w14:textId="77777777" w:rsidR="0010523F" w:rsidRPr="00D811CD" w:rsidRDefault="0010523F" w:rsidP="00A82F31">
    <w:pPr>
      <w:pStyle w:val="Encabezado"/>
      <w:tabs>
        <w:tab w:val="left" w:pos="1985"/>
        <w:tab w:val="decimal" w:pos="5103"/>
        <w:tab w:val="left" w:pos="6237"/>
        <w:tab w:val="left" w:pos="8080"/>
      </w:tabs>
      <w:spacing w:line="160" w:lineRule="exact"/>
      <w:rPr>
        <w:szCs w:val="24"/>
      </w:rPr>
    </w:pPr>
  </w:p>
  <w:p w14:paraId="7AD3776E" w14:textId="77777777" w:rsidR="0010523F" w:rsidRPr="001957FB" w:rsidRDefault="0010523F" w:rsidP="00E22442">
    <w:pPr>
      <w:tabs>
        <w:tab w:val="right" w:pos="7503"/>
      </w:tabs>
      <w:ind w:right="-90"/>
      <w:rPr>
        <w:sz w:val="22"/>
        <w:szCs w:val="22"/>
      </w:rPr>
    </w:pPr>
    <w:r w:rsidRPr="00D811CD">
      <w:rPr>
        <w:b/>
      </w:rPr>
      <w:t xml:space="preserve">NOTAS A LOS ESTADOS FINANCIEROS INTERMEDIOS CONDENSADOS </w:t>
    </w:r>
    <w:r w:rsidRPr="001957FB">
      <w:rPr>
        <w:sz w:val="22"/>
        <w:szCs w:val="22"/>
      </w:rPr>
      <w:t>al 3</w:t>
    </w:r>
    <w:r>
      <w:rPr>
        <w:sz w:val="22"/>
        <w:szCs w:val="22"/>
      </w:rPr>
      <w:t>0</w:t>
    </w:r>
    <w:r w:rsidRPr="001957FB">
      <w:rPr>
        <w:sz w:val="22"/>
        <w:szCs w:val="22"/>
      </w:rPr>
      <w:t xml:space="preserve"> de </w:t>
    </w:r>
    <w:r>
      <w:rPr>
        <w:sz w:val="22"/>
        <w:szCs w:val="22"/>
      </w:rPr>
      <w:t>septiembre</w:t>
    </w:r>
    <w:r w:rsidRPr="001957FB">
      <w:rPr>
        <w:sz w:val="22"/>
        <w:szCs w:val="22"/>
      </w:rPr>
      <w:t xml:space="preserve"> de 2019 presentadas en forma comparativa (en millones de pesos)</w:t>
    </w:r>
  </w:p>
  <w:p w14:paraId="1D99A63B" w14:textId="77777777" w:rsidR="0010523F" w:rsidRPr="00D6392F" w:rsidRDefault="0010523F" w:rsidP="00A82F31">
    <w:pPr>
      <w:tabs>
        <w:tab w:val="right" w:pos="7503"/>
      </w:tabs>
      <w:rPr>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01E8" w14:textId="77777777" w:rsidR="0010523F" w:rsidRPr="00C458A7" w:rsidRDefault="0010523F" w:rsidP="00352A29">
    <w:pPr>
      <w:tabs>
        <w:tab w:val="left" w:pos="851"/>
        <w:tab w:val="left" w:pos="993"/>
        <w:tab w:val="right" w:pos="5463"/>
      </w:tabs>
      <w:rPr>
        <w:b/>
      </w:rPr>
    </w:pPr>
    <w:r w:rsidRPr="00745AD0">
      <w:rPr>
        <w:b/>
      </w:rPr>
      <w:t>PAN AMERICAN ENERGY, S.L., SUCURSAL ARGENTINA</w:t>
    </w:r>
    <w:r w:rsidRPr="00C458A7" w:rsidDel="005411E5">
      <w:rPr>
        <w:b/>
      </w:rPr>
      <w:t xml:space="preserve"> </w:t>
    </w:r>
  </w:p>
  <w:p w14:paraId="1CB2E146" w14:textId="77777777" w:rsidR="0010523F" w:rsidRPr="00D811CD" w:rsidRDefault="0010523F" w:rsidP="000971FF">
    <w:pPr>
      <w:pStyle w:val="Encabezado"/>
      <w:tabs>
        <w:tab w:val="left" w:pos="1985"/>
        <w:tab w:val="decimal" w:pos="5103"/>
        <w:tab w:val="left" w:pos="6237"/>
        <w:tab w:val="left" w:pos="8080"/>
      </w:tabs>
      <w:spacing w:line="160" w:lineRule="exact"/>
      <w:rPr>
        <w:szCs w:val="24"/>
      </w:rPr>
    </w:pPr>
  </w:p>
  <w:p w14:paraId="1578F28E" w14:textId="77777777" w:rsidR="0010523F" w:rsidRPr="00D811CD" w:rsidRDefault="0010523F" w:rsidP="00352A29">
    <w:pPr>
      <w:tabs>
        <w:tab w:val="left" w:pos="993"/>
        <w:tab w:val="right" w:pos="7503"/>
      </w:tabs>
      <w:ind w:right="-90"/>
    </w:pPr>
    <w:r w:rsidRPr="00D811CD">
      <w:rPr>
        <w:b/>
      </w:rPr>
      <w:t xml:space="preserve">NOTAS A LOS ESTADOS FINANCIEROS INTERMEDIOS CONDENSADOS </w:t>
    </w:r>
    <w:r w:rsidRPr="001957FB">
      <w:rPr>
        <w:sz w:val="22"/>
        <w:szCs w:val="22"/>
      </w:rPr>
      <w:t>al 3</w:t>
    </w:r>
    <w:r>
      <w:rPr>
        <w:sz w:val="22"/>
        <w:szCs w:val="22"/>
      </w:rPr>
      <w:t>0</w:t>
    </w:r>
    <w:r w:rsidRPr="001957FB">
      <w:rPr>
        <w:sz w:val="22"/>
        <w:szCs w:val="22"/>
      </w:rPr>
      <w:t xml:space="preserve"> de </w:t>
    </w:r>
    <w:r>
      <w:rPr>
        <w:sz w:val="22"/>
        <w:szCs w:val="22"/>
      </w:rPr>
      <w:t>septiembre</w:t>
    </w:r>
    <w:r w:rsidRPr="001957FB">
      <w:rPr>
        <w:sz w:val="22"/>
        <w:szCs w:val="22"/>
      </w:rPr>
      <w:t xml:space="preserve"> de 2019 presentadas en forma comparativa (en millones de pesos)</w:t>
    </w:r>
  </w:p>
  <w:p w14:paraId="5BFDE6EF" w14:textId="77777777" w:rsidR="0010523F" w:rsidRDefault="0010523F" w:rsidP="000971FF">
    <w:pPr>
      <w:tabs>
        <w:tab w:val="right" w:pos="5463"/>
      </w:tabs>
      <w:ind w:left="142"/>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8DB3" w14:textId="77777777" w:rsidR="0010523F" w:rsidRDefault="0010523F" w:rsidP="00E22442">
    <w:pPr>
      <w:tabs>
        <w:tab w:val="left" w:pos="709"/>
        <w:tab w:val="left" w:pos="1985"/>
        <w:tab w:val="decimal" w:pos="5103"/>
        <w:tab w:val="left" w:pos="6237"/>
        <w:tab w:val="left" w:pos="8080"/>
      </w:tabs>
      <w:rPr>
        <w:sz w:val="23"/>
        <w:szCs w:val="23"/>
      </w:rPr>
    </w:pPr>
  </w:p>
  <w:p w14:paraId="5BBB09FB" w14:textId="77777777" w:rsidR="0010523F" w:rsidRPr="00C458A7" w:rsidRDefault="0010523F" w:rsidP="00FB0632">
    <w:pPr>
      <w:tabs>
        <w:tab w:val="right" w:pos="5463"/>
      </w:tabs>
      <w:rPr>
        <w:b/>
      </w:rPr>
    </w:pPr>
    <w:r w:rsidRPr="00C458A7">
      <w:rPr>
        <w:b/>
      </w:rPr>
      <w:t>PAN AMERICAN ENERGY</w:t>
    </w:r>
    <w:r>
      <w:rPr>
        <w:b/>
      </w:rPr>
      <w:t>,</w:t>
    </w:r>
    <w:r w:rsidRPr="00C458A7">
      <w:rPr>
        <w:b/>
      </w:rPr>
      <w:t xml:space="preserve"> </w:t>
    </w:r>
    <w:r>
      <w:rPr>
        <w:b/>
      </w:rPr>
      <w:t xml:space="preserve">S.L., </w:t>
    </w:r>
    <w:r w:rsidRPr="00C458A7">
      <w:rPr>
        <w:b/>
      </w:rPr>
      <w:t>SUCURSAL ARGENTINA</w:t>
    </w:r>
  </w:p>
  <w:p w14:paraId="317AC910" w14:textId="77777777" w:rsidR="0010523F" w:rsidRPr="00D811CD" w:rsidRDefault="0010523F" w:rsidP="00A82F31">
    <w:pPr>
      <w:pStyle w:val="Encabezado"/>
      <w:tabs>
        <w:tab w:val="left" w:pos="1985"/>
        <w:tab w:val="decimal" w:pos="5103"/>
        <w:tab w:val="left" w:pos="6237"/>
        <w:tab w:val="left" w:pos="8080"/>
      </w:tabs>
      <w:spacing w:line="160" w:lineRule="exact"/>
      <w:rPr>
        <w:szCs w:val="24"/>
      </w:rPr>
    </w:pPr>
  </w:p>
  <w:p w14:paraId="4E802D59" w14:textId="77777777" w:rsidR="0010523F" w:rsidRPr="001957FB" w:rsidRDefault="0010523F" w:rsidP="00FB0632">
    <w:pPr>
      <w:tabs>
        <w:tab w:val="right" w:pos="7503"/>
      </w:tabs>
      <w:ind w:right="-90"/>
      <w:rPr>
        <w:sz w:val="22"/>
        <w:szCs w:val="22"/>
      </w:rPr>
    </w:pPr>
    <w:r w:rsidRPr="00D811CD">
      <w:rPr>
        <w:b/>
      </w:rPr>
      <w:t xml:space="preserve">NOTAS A LOS ESTADOS FINANCIEROS INTERMEDIOS CONDENSADOS </w:t>
    </w:r>
    <w:r w:rsidRPr="001957FB">
      <w:rPr>
        <w:sz w:val="22"/>
        <w:szCs w:val="22"/>
      </w:rPr>
      <w:t>al 3</w:t>
    </w:r>
    <w:r>
      <w:rPr>
        <w:sz w:val="22"/>
        <w:szCs w:val="22"/>
      </w:rPr>
      <w:t>0</w:t>
    </w:r>
    <w:r w:rsidRPr="001957FB">
      <w:rPr>
        <w:sz w:val="22"/>
        <w:szCs w:val="22"/>
      </w:rPr>
      <w:t xml:space="preserve"> de </w:t>
    </w:r>
    <w:r>
      <w:rPr>
        <w:sz w:val="22"/>
        <w:szCs w:val="22"/>
      </w:rPr>
      <w:t>septiembre</w:t>
    </w:r>
    <w:r w:rsidRPr="001957FB">
      <w:rPr>
        <w:sz w:val="22"/>
        <w:szCs w:val="22"/>
      </w:rPr>
      <w:t xml:space="preserve"> de 2019 presentadas en forma comparativa (en millones de pesos)</w:t>
    </w:r>
  </w:p>
  <w:p w14:paraId="26589490" w14:textId="77777777" w:rsidR="0010523F" w:rsidRPr="00D6392F" w:rsidRDefault="0010523F" w:rsidP="00A82F31">
    <w:pPr>
      <w:tabs>
        <w:tab w:val="right" w:pos="7503"/>
      </w:tabs>
      <w:rPr>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9BCC" w14:textId="77777777" w:rsidR="0010523F" w:rsidRDefault="0010523F">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CDFB5" w14:textId="77777777" w:rsidR="0010523F" w:rsidRPr="006C0CFD" w:rsidRDefault="0010523F">
    <w:pPr>
      <w:pStyle w:val="Encabezado"/>
      <w:rPr>
        <w:b/>
      </w:rPr>
    </w:pPr>
    <w:r w:rsidRPr="006C0CFD">
      <w:rPr>
        <w:b/>
      </w:rPr>
      <w:t>PAN AMERICAN ENERGY, S.L.</w:t>
    </w:r>
    <w:r>
      <w:rPr>
        <w:b/>
      </w:rPr>
      <w:t>,</w:t>
    </w:r>
    <w:r w:rsidRPr="006C0CFD">
      <w:rPr>
        <w:b/>
      </w:rPr>
      <w:t xml:space="preserve"> SUCURSAL ARGENTINA</w:t>
    </w:r>
  </w:p>
  <w:p w14:paraId="46AEFC85" w14:textId="77777777" w:rsidR="0010523F" w:rsidRPr="006C0CFD" w:rsidRDefault="0010523F">
    <w:pPr>
      <w:pStyle w:val="Encabezado"/>
      <w:rPr>
        <w:b/>
      </w:rPr>
    </w:pPr>
  </w:p>
  <w:p w14:paraId="421A4505" w14:textId="77777777" w:rsidR="0010523F" w:rsidRDefault="0010523F">
    <w:pPr>
      <w:pStyle w:val="Encabezado"/>
    </w:pPr>
    <w:r w:rsidRPr="006C0CFD">
      <w:rPr>
        <w:b/>
      </w:rPr>
      <w:t>NOTAS A LOS ESTADOS FINANCIEROS INTERMEDIOS CONDENSADOS</w:t>
    </w:r>
    <w:r>
      <w:t xml:space="preserve"> al 30 de septiembre de 2019 presentadas en forma comparativa (en millones de pesos)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9A5E" w14:textId="77777777" w:rsidR="0010523F" w:rsidRDefault="0010523F" w:rsidP="00A82F31">
    <w:pPr>
      <w:tabs>
        <w:tab w:val="right" w:pos="5463"/>
      </w:tabs>
      <w:rPr>
        <w:b/>
      </w:rPr>
    </w:pPr>
  </w:p>
  <w:p w14:paraId="5530D76C" w14:textId="77777777" w:rsidR="0010523F" w:rsidRDefault="0010523F" w:rsidP="00A82F31">
    <w:pPr>
      <w:tabs>
        <w:tab w:val="right" w:pos="5463"/>
      </w:tabs>
      <w:rPr>
        <w:b/>
      </w:rPr>
    </w:pPr>
    <w:r>
      <w:rPr>
        <w:b/>
      </w:rPr>
      <w:t>PAN AMERICAN ENERGY LLC (SUCURSAL ARGENTINA)</w:t>
    </w:r>
  </w:p>
  <w:p w14:paraId="4DC52AD1" w14:textId="77777777" w:rsidR="0010523F" w:rsidRPr="00D6392F" w:rsidRDefault="0010523F" w:rsidP="00A82F31">
    <w:pPr>
      <w:pStyle w:val="Encabezado"/>
      <w:tabs>
        <w:tab w:val="left" w:pos="1985"/>
        <w:tab w:val="decimal" w:pos="5103"/>
        <w:tab w:val="left" w:pos="6237"/>
        <w:tab w:val="left" w:pos="8080"/>
      </w:tabs>
      <w:spacing w:line="160" w:lineRule="exact"/>
      <w:rPr>
        <w:sz w:val="22"/>
        <w:szCs w:val="22"/>
      </w:rPr>
    </w:pPr>
  </w:p>
  <w:p w14:paraId="200872F0" w14:textId="77777777" w:rsidR="0010523F" w:rsidRPr="0016780F" w:rsidRDefault="0010523F" w:rsidP="008F1A95">
    <w:pPr>
      <w:tabs>
        <w:tab w:val="right" w:pos="7503"/>
      </w:tabs>
      <w:ind w:right="-90"/>
      <w:rPr>
        <w:sz w:val="22"/>
        <w:szCs w:val="22"/>
      </w:rPr>
    </w:pPr>
    <w:r w:rsidRPr="0016780F">
      <w:rPr>
        <w:b/>
        <w:sz w:val="22"/>
        <w:szCs w:val="22"/>
      </w:rPr>
      <w:t>NOTAS</w:t>
    </w:r>
    <w:r>
      <w:rPr>
        <w:b/>
        <w:sz w:val="22"/>
        <w:szCs w:val="22"/>
      </w:rPr>
      <w:t xml:space="preserve"> </w:t>
    </w:r>
    <w:r w:rsidRPr="0016780F">
      <w:rPr>
        <w:b/>
        <w:sz w:val="22"/>
        <w:szCs w:val="22"/>
      </w:rPr>
      <w:t>A</w:t>
    </w:r>
    <w:r>
      <w:rPr>
        <w:b/>
        <w:sz w:val="22"/>
        <w:szCs w:val="22"/>
      </w:rPr>
      <w:t xml:space="preserve"> </w:t>
    </w:r>
    <w:r w:rsidRPr="0016780F">
      <w:rPr>
        <w:b/>
        <w:sz w:val="22"/>
        <w:szCs w:val="22"/>
      </w:rPr>
      <w:t>LOS</w:t>
    </w:r>
    <w:r>
      <w:rPr>
        <w:b/>
        <w:sz w:val="22"/>
        <w:szCs w:val="22"/>
      </w:rPr>
      <w:t xml:space="preserve"> </w:t>
    </w:r>
    <w:r w:rsidRPr="0016780F">
      <w:rPr>
        <w:b/>
        <w:sz w:val="22"/>
        <w:szCs w:val="22"/>
      </w:rPr>
      <w:t>ESTADOS</w:t>
    </w:r>
    <w:r>
      <w:rPr>
        <w:b/>
        <w:sz w:val="22"/>
        <w:szCs w:val="22"/>
      </w:rPr>
      <w:t xml:space="preserve"> </w:t>
    </w:r>
    <w:r w:rsidRPr="0016780F">
      <w:rPr>
        <w:b/>
        <w:sz w:val="22"/>
        <w:szCs w:val="22"/>
      </w:rPr>
      <w:t>FINANCIEROS</w:t>
    </w:r>
    <w:r>
      <w:rPr>
        <w:b/>
        <w:sz w:val="22"/>
        <w:szCs w:val="22"/>
      </w:rPr>
      <w:t xml:space="preserve"> INTERMEDIOS CONDENSADOS </w:t>
    </w:r>
    <w:r w:rsidRPr="0016780F">
      <w:rPr>
        <w:sz w:val="22"/>
        <w:szCs w:val="22"/>
      </w:rPr>
      <w:t>al</w:t>
    </w:r>
    <w:r>
      <w:rPr>
        <w:sz w:val="22"/>
        <w:szCs w:val="22"/>
      </w:rPr>
      <w:t xml:space="preserve"> 30 de junio de 2018 </w:t>
    </w:r>
    <w:r w:rsidRPr="0016780F">
      <w:rPr>
        <w:sz w:val="22"/>
        <w:szCs w:val="22"/>
      </w:rPr>
      <w:t>presentadas</w:t>
    </w:r>
    <w:r>
      <w:rPr>
        <w:sz w:val="22"/>
        <w:szCs w:val="22"/>
      </w:rPr>
      <w:t xml:space="preserve"> </w:t>
    </w:r>
    <w:r w:rsidRPr="0016780F">
      <w:rPr>
        <w:sz w:val="22"/>
        <w:szCs w:val="22"/>
      </w:rPr>
      <w:t>en</w:t>
    </w:r>
    <w:r>
      <w:rPr>
        <w:sz w:val="22"/>
        <w:szCs w:val="22"/>
      </w:rPr>
      <w:t xml:space="preserve"> </w:t>
    </w:r>
    <w:r w:rsidRPr="0016780F">
      <w:rPr>
        <w:sz w:val="22"/>
        <w:szCs w:val="22"/>
      </w:rPr>
      <w:t>forma</w:t>
    </w:r>
    <w:r>
      <w:rPr>
        <w:sz w:val="22"/>
        <w:szCs w:val="22"/>
      </w:rPr>
      <w:t xml:space="preserve"> comparativa (en millones de pesos)</w:t>
    </w:r>
  </w:p>
  <w:p w14:paraId="7F2E20F3" w14:textId="77777777" w:rsidR="0010523F" w:rsidRPr="00D6392F" w:rsidRDefault="0010523F" w:rsidP="00A82F31">
    <w:pPr>
      <w:tabs>
        <w:tab w:val="right" w:pos="7503"/>
      </w:tabs>
      <w:rPr>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794C9" w14:textId="77777777" w:rsidR="0010523F" w:rsidRPr="006C0CFD" w:rsidRDefault="0010523F">
    <w:pPr>
      <w:pStyle w:val="Encabezado"/>
      <w:rPr>
        <w:b/>
      </w:rPr>
    </w:pPr>
    <w:r w:rsidRPr="006C0CFD">
      <w:rPr>
        <w:b/>
      </w:rPr>
      <w:t>PAN AMERICAN ENERGY, S.L.</w:t>
    </w:r>
    <w:r>
      <w:rPr>
        <w:b/>
      </w:rPr>
      <w:t>,</w:t>
    </w:r>
    <w:r w:rsidRPr="006C0CFD">
      <w:rPr>
        <w:b/>
      </w:rPr>
      <w:t xml:space="preserve"> SUCURSAL ARGENTINA</w:t>
    </w:r>
  </w:p>
  <w:p w14:paraId="7A63C805" w14:textId="77777777" w:rsidR="0010523F" w:rsidRPr="006C0CFD" w:rsidRDefault="0010523F">
    <w:pPr>
      <w:pStyle w:val="Encabezado"/>
      <w:rPr>
        <w:b/>
      </w:rPr>
    </w:pPr>
  </w:p>
  <w:p w14:paraId="60FD6253" w14:textId="77777777" w:rsidR="0010523F" w:rsidRDefault="0010523F">
    <w:pPr>
      <w:pStyle w:val="Encabezado"/>
    </w:pPr>
    <w:r w:rsidRPr="006C0CFD">
      <w:rPr>
        <w:b/>
      </w:rPr>
      <w:t>NOTAS A LOS ESTADOS FINANCIEROS INTERMEDIOS CONDENSADOS</w:t>
    </w:r>
    <w:r>
      <w:t xml:space="preserve"> al 30 de septiembre de 2019 presentadas en forma comparativa (en millones de pesos)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E238" w14:textId="77777777" w:rsidR="0010523F" w:rsidRDefault="0010523F">
    <w:pPr>
      <w:pStyle w:val="Encabezado"/>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33946" w14:textId="77777777" w:rsidR="0010523F" w:rsidRPr="00B07680" w:rsidRDefault="0010523F">
    <w:pPr>
      <w:pStyle w:val="Encabezad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AF08" w14:textId="77777777" w:rsidR="0010523F" w:rsidRDefault="0010523F">
    <w:pPr>
      <w:pStyle w:val="Encabezado"/>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95CD" w14:textId="77777777" w:rsidR="0010523F" w:rsidRDefault="0010523F">
    <w:pPr>
      <w:pStyle w:val="Encabezad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E3C0" w14:textId="77777777" w:rsidR="0010523F" w:rsidRDefault="0010523F">
    <w:pPr>
      <w:pStyle w:val="Encabezado"/>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D915" w14:textId="77777777" w:rsidR="0010523F" w:rsidRDefault="0010523F">
    <w:pPr>
      <w:pStyle w:val="Encabezad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E2CC" w14:textId="77777777" w:rsidR="0010523F" w:rsidRPr="0071006A" w:rsidRDefault="0010523F">
    <w:pPr>
      <w:pStyle w:val="Encabezado"/>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2448" w14:textId="77777777" w:rsidR="0010523F" w:rsidRDefault="0010523F">
    <w:pPr>
      <w:pStyle w:val="Encabezad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AEEF" w14:textId="77777777" w:rsidR="0010523F" w:rsidRDefault="0010523F">
    <w:pPr>
      <w:pStyle w:val="Encabezado"/>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EDB3" w14:textId="77777777" w:rsidR="0010523F" w:rsidRDefault="0010523F">
    <w:pPr>
      <w:pStyle w:val="Encabezado"/>
      <w:jc w:val="center"/>
      <w:rPr>
        <w:sz w:val="23"/>
        <w:szCs w:val="23"/>
      </w:rPr>
    </w:pPr>
  </w:p>
  <w:p w14:paraId="6C77D753" w14:textId="77777777" w:rsidR="0010523F" w:rsidRDefault="0010523F">
    <w:pPr>
      <w:pStyle w:val="Encabezado"/>
      <w:rPr>
        <w:sz w:val="23"/>
        <w:szCs w:val="23"/>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41A3" w14:textId="77777777" w:rsidR="0010523F" w:rsidRDefault="0010523F">
    <w:pPr>
      <w:pStyle w:val="Encabezado"/>
      <w:jc w:val="center"/>
      <w:rPr>
        <w:sz w:val="23"/>
        <w:szCs w:val="23"/>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52D7" w14:textId="77777777" w:rsidR="0010523F" w:rsidRDefault="0010523F">
    <w:pPr>
      <w:pStyle w:val="Encabezado"/>
      <w:rPr>
        <w:sz w:val="23"/>
        <w:szCs w:val="23"/>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BE97" w14:textId="77777777" w:rsidR="0010523F" w:rsidRDefault="0010523F">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2BF8" w14:textId="77777777" w:rsidR="0010523F" w:rsidRPr="00C46E51" w:rsidRDefault="0010523F" w:rsidP="00F86A8F">
    <w:pPr>
      <w:pStyle w:val="BodyText"/>
      <w:rPr>
        <w:lang w:val="es-AR"/>
      </w:rPr>
    </w:pPr>
    <w:r>
      <w:rPr>
        <w:noProof/>
        <w:lang w:val="es-AR" w:eastAsia="es-AR"/>
      </w:rPr>
      <w:drawing>
        <wp:inline distT="0" distB="0" distL="0" distR="0" wp14:anchorId="6E3117F5" wp14:editId="6C71119B">
          <wp:extent cx="1006031" cy="462987"/>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1" cstate="print">
                    <a:extLst>
                      <a:ext uri="{28A0092B-C50C-407E-A947-70E740481C1C}">
                        <a14:useLocalDpi xmlns:a14="http://schemas.microsoft.com/office/drawing/2010/main" val="0"/>
                      </a:ext>
                    </a:extLst>
                  </a:blip>
                  <a:srcRect l="5398" t="16276"/>
                  <a:stretch/>
                </pic:blipFill>
                <pic:spPr bwMode="auto">
                  <a:xfrm>
                    <a:off x="0" y="0"/>
                    <a:ext cx="1038951" cy="478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CF8F" w14:textId="77777777" w:rsidR="0010523F" w:rsidRDefault="0010523F">
    <w:pPr>
      <w:pStyle w:val="Encabezado"/>
      <w:rPr>
        <w:sz w:val="23"/>
        <w:szCs w:val="23"/>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5BD0" w14:textId="77777777" w:rsidR="0010523F" w:rsidRDefault="001052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40D136"/>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E3C80AA2"/>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5F36F29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AA669AB6"/>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E90E5794"/>
    <w:lvl w:ilvl="0">
      <w:start w:val="1"/>
      <w:numFmt w:val="bullet"/>
      <w:pStyle w:val="Listaconvietas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37F2ACE0"/>
    <w:lvl w:ilvl="0">
      <w:start w:val="1"/>
      <w:numFmt w:val="bullet"/>
      <w:pStyle w:val="bul"/>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8AF142"/>
    <w:lvl w:ilvl="0">
      <w:start w:val="1"/>
      <w:numFmt w:val="decimal"/>
      <w:pStyle w:val="Listaconnmeros"/>
      <w:lvlText w:val="%1."/>
      <w:lvlJc w:val="left"/>
      <w:pPr>
        <w:tabs>
          <w:tab w:val="num" w:pos="360"/>
        </w:tabs>
        <w:ind w:left="360" w:hanging="360"/>
      </w:pPr>
    </w:lvl>
  </w:abstractNum>
  <w:abstractNum w:abstractNumId="7" w15:restartNumberingAfterBreak="0">
    <w:nsid w:val="00000016"/>
    <w:multiLevelType w:val="multilevel"/>
    <w:tmpl w:val="110AFF88"/>
    <w:lvl w:ilvl="0">
      <w:start w:val="1"/>
      <w:numFmt w:val="lowerRoman"/>
      <w:lvlText w:val="(%1)"/>
      <w:lvlJc w:val="left"/>
      <w:pPr>
        <w:widowControl w:val="0"/>
        <w:tabs>
          <w:tab w:val="num" w:pos="1296"/>
        </w:tabs>
        <w:autoSpaceDE w:val="0"/>
        <w:autoSpaceDN w:val="0"/>
        <w:adjustRightInd w:val="0"/>
        <w:ind w:left="1296" w:hanging="432"/>
      </w:pPr>
      <w:rPr>
        <w:rFonts w:ascii="Times New Roman" w:hAnsi="Times New Roman" w:cs="Times New Roman"/>
        <w:sz w:val="20"/>
        <w:szCs w:val="20"/>
      </w:rPr>
    </w:lvl>
    <w:lvl w:ilvl="1">
      <w:start w:val="1"/>
      <w:numFmt w:val="lowerRoman"/>
      <w:lvlText w:val="(%2)"/>
      <w:lvlJc w:val="left"/>
      <w:pPr>
        <w:widowControl w:val="0"/>
        <w:tabs>
          <w:tab w:val="num" w:pos="1296"/>
        </w:tabs>
        <w:autoSpaceDE w:val="0"/>
        <w:autoSpaceDN w:val="0"/>
        <w:adjustRightInd w:val="0"/>
        <w:ind w:left="1296" w:hanging="432"/>
      </w:pPr>
      <w:rPr>
        <w:rFonts w:ascii="Times New Roman" w:hAnsi="Times New Roman" w:cs="Times New Roman"/>
        <w:sz w:val="20"/>
        <w:szCs w:val="20"/>
      </w:rPr>
    </w:lvl>
    <w:lvl w:ilvl="2">
      <w:start w:val="1"/>
      <w:numFmt w:val="upperLetter"/>
      <w:pStyle w:val="3Level-Ablock"/>
      <w:lvlText w:val="(%3)"/>
      <w:lvlJc w:val="left"/>
      <w:pPr>
        <w:widowControl w:val="0"/>
        <w:tabs>
          <w:tab w:val="num" w:pos="1296"/>
        </w:tabs>
        <w:autoSpaceDE w:val="0"/>
        <w:autoSpaceDN w:val="0"/>
        <w:adjustRightInd w:val="0"/>
        <w:ind w:left="1296" w:hanging="432"/>
      </w:pPr>
      <w:rPr>
        <w:rFonts w:ascii="Times New Roman" w:hAnsi="Times New Roman" w:cs="Times New Roman"/>
        <w:sz w:val="21"/>
        <w:szCs w:val="21"/>
      </w:rPr>
    </w:lvl>
    <w:lvl w:ilvl="3">
      <w:start w:val="1"/>
      <w:numFmt w:val="decimal"/>
      <w:lvlText w:val="(%4)"/>
      <w:lvlJc w:val="left"/>
      <w:pPr>
        <w:widowControl w:val="0"/>
        <w:tabs>
          <w:tab w:val="num" w:pos="2304"/>
        </w:tabs>
        <w:autoSpaceDE w:val="0"/>
        <w:autoSpaceDN w:val="0"/>
        <w:adjustRightInd w:val="0"/>
        <w:ind w:left="2304" w:hanging="360"/>
      </w:pPr>
      <w:rPr>
        <w:rFonts w:ascii="Times New Roman" w:hAnsi="Times New Roman" w:cs="Times New Roman"/>
        <w:sz w:val="20"/>
        <w:szCs w:val="20"/>
      </w:rPr>
    </w:lvl>
    <w:lvl w:ilvl="4">
      <w:start w:val="1"/>
      <w:numFmt w:val="lowerLetter"/>
      <w:lvlText w:val="(%5)"/>
      <w:lvlJc w:val="left"/>
      <w:pPr>
        <w:widowControl w:val="0"/>
        <w:tabs>
          <w:tab w:val="num" w:pos="2664"/>
        </w:tabs>
        <w:autoSpaceDE w:val="0"/>
        <w:autoSpaceDN w:val="0"/>
        <w:adjustRightInd w:val="0"/>
        <w:ind w:left="2664" w:hanging="360"/>
      </w:pPr>
      <w:rPr>
        <w:rFonts w:ascii="Times New Roman" w:hAnsi="Times New Roman" w:cs="Times New Roman"/>
        <w:sz w:val="20"/>
        <w:szCs w:val="20"/>
      </w:rPr>
    </w:lvl>
    <w:lvl w:ilvl="5">
      <w:start w:val="1"/>
      <w:numFmt w:val="lowerRoman"/>
      <w:lvlText w:val="(%6)"/>
      <w:lvlJc w:val="left"/>
      <w:pPr>
        <w:widowControl w:val="0"/>
        <w:tabs>
          <w:tab w:val="num" w:pos="3024"/>
        </w:tabs>
        <w:autoSpaceDE w:val="0"/>
        <w:autoSpaceDN w:val="0"/>
        <w:adjustRightInd w:val="0"/>
        <w:ind w:left="3024" w:hanging="360"/>
      </w:pPr>
      <w:rPr>
        <w:rFonts w:ascii="Times New Roman" w:hAnsi="Times New Roman" w:cs="Times New Roman"/>
        <w:sz w:val="20"/>
        <w:szCs w:val="20"/>
      </w:rPr>
    </w:lvl>
    <w:lvl w:ilvl="6">
      <w:start w:val="1"/>
      <w:numFmt w:val="decimal"/>
      <w:lvlText w:val="%7."/>
      <w:lvlJc w:val="left"/>
      <w:pPr>
        <w:widowControl w:val="0"/>
        <w:tabs>
          <w:tab w:val="num" w:pos="3384"/>
        </w:tabs>
        <w:autoSpaceDE w:val="0"/>
        <w:autoSpaceDN w:val="0"/>
        <w:adjustRightInd w:val="0"/>
        <w:ind w:left="3384" w:hanging="360"/>
      </w:pPr>
      <w:rPr>
        <w:rFonts w:ascii="Times New Roman" w:hAnsi="Times New Roman" w:cs="Times New Roman"/>
        <w:sz w:val="20"/>
        <w:szCs w:val="20"/>
      </w:rPr>
    </w:lvl>
    <w:lvl w:ilvl="7">
      <w:start w:val="1"/>
      <w:numFmt w:val="lowerLetter"/>
      <w:lvlText w:val="%8."/>
      <w:lvlJc w:val="left"/>
      <w:pPr>
        <w:widowControl w:val="0"/>
        <w:tabs>
          <w:tab w:val="num" w:pos="3744"/>
        </w:tabs>
        <w:autoSpaceDE w:val="0"/>
        <w:autoSpaceDN w:val="0"/>
        <w:adjustRightInd w:val="0"/>
        <w:ind w:left="3744" w:hanging="360"/>
      </w:pPr>
      <w:rPr>
        <w:rFonts w:ascii="Times New Roman" w:hAnsi="Times New Roman" w:cs="Times New Roman"/>
        <w:sz w:val="20"/>
        <w:szCs w:val="20"/>
      </w:rPr>
    </w:lvl>
    <w:lvl w:ilvl="8">
      <w:start w:val="1"/>
      <w:numFmt w:val="lowerRoman"/>
      <w:lvlText w:val="%9."/>
      <w:lvlJc w:val="left"/>
      <w:pPr>
        <w:widowControl w:val="0"/>
        <w:tabs>
          <w:tab w:val="num" w:pos="4104"/>
        </w:tabs>
        <w:autoSpaceDE w:val="0"/>
        <w:autoSpaceDN w:val="0"/>
        <w:adjustRightInd w:val="0"/>
        <w:ind w:left="4104" w:hanging="360"/>
      </w:pPr>
      <w:rPr>
        <w:rFonts w:ascii="Times New Roman" w:hAnsi="Times New Roman" w:cs="Times New Roman"/>
        <w:sz w:val="20"/>
        <w:szCs w:val="20"/>
      </w:rPr>
    </w:lvl>
  </w:abstractNum>
  <w:abstractNum w:abstractNumId="8" w15:restartNumberingAfterBreak="0">
    <w:nsid w:val="00000035"/>
    <w:multiLevelType w:val="multilevel"/>
    <w:tmpl w:val="E8AA5864"/>
    <w:lvl w:ilvl="0">
      <w:start w:val="1"/>
      <w:numFmt w:val="lowerRoman"/>
      <w:lvlText w:val="(%1)"/>
      <w:lvlJc w:val="left"/>
      <w:pPr>
        <w:widowControl w:val="0"/>
        <w:tabs>
          <w:tab w:val="num" w:pos="1296"/>
        </w:tabs>
        <w:autoSpaceDE w:val="0"/>
        <w:autoSpaceDN w:val="0"/>
        <w:adjustRightInd w:val="0"/>
        <w:ind w:left="1296" w:hanging="432"/>
      </w:pPr>
      <w:rPr>
        <w:rFonts w:ascii="Times New Roman" w:hAnsi="Times New Roman" w:cs="Times New Roman"/>
        <w:sz w:val="20"/>
        <w:szCs w:val="20"/>
      </w:rPr>
    </w:lvl>
    <w:lvl w:ilvl="1">
      <w:start w:val="1"/>
      <w:numFmt w:val="lowerRoman"/>
      <w:lvlText w:val="(%2)"/>
      <w:lvlJc w:val="left"/>
      <w:pPr>
        <w:widowControl w:val="0"/>
        <w:tabs>
          <w:tab w:val="num" w:pos="1296"/>
        </w:tabs>
        <w:autoSpaceDE w:val="0"/>
        <w:autoSpaceDN w:val="0"/>
        <w:adjustRightInd w:val="0"/>
        <w:ind w:left="1296" w:hanging="432"/>
      </w:pPr>
      <w:rPr>
        <w:rFonts w:ascii="Times New Roman" w:hAnsi="Times New Roman" w:cs="Times New Roman"/>
        <w:sz w:val="20"/>
        <w:szCs w:val="20"/>
      </w:rPr>
    </w:lvl>
    <w:lvl w:ilvl="2">
      <w:start w:val="1"/>
      <w:numFmt w:val="lowerLetter"/>
      <w:pStyle w:val="3Level-ablock0"/>
      <w:lvlText w:val="(%3)"/>
      <w:lvlJc w:val="left"/>
      <w:pPr>
        <w:widowControl w:val="0"/>
        <w:tabs>
          <w:tab w:val="num" w:pos="1296"/>
        </w:tabs>
        <w:autoSpaceDE w:val="0"/>
        <w:autoSpaceDN w:val="0"/>
        <w:adjustRightInd w:val="0"/>
        <w:ind w:left="1296" w:hanging="432"/>
      </w:pPr>
      <w:rPr>
        <w:rFonts w:ascii="Times New Roman" w:hAnsi="Times New Roman" w:cs="Times New Roman"/>
        <w:sz w:val="21"/>
        <w:szCs w:val="21"/>
      </w:rPr>
    </w:lvl>
    <w:lvl w:ilvl="3">
      <w:start w:val="1"/>
      <w:numFmt w:val="decimal"/>
      <w:lvlText w:val="(%4)"/>
      <w:lvlJc w:val="left"/>
      <w:pPr>
        <w:widowControl w:val="0"/>
        <w:tabs>
          <w:tab w:val="num" w:pos="2304"/>
        </w:tabs>
        <w:autoSpaceDE w:val="0"/>
        <w:autoSpaceDN w:val="0"/>
        <w:adjustRightInd w:val="0"/>
        <w:ind w:left="2304" w:hanging="360"/>
      </w:pPr>
      <w:rPr>
        <w:rFonts w:ascii="Times New Roman" w:hAnsi="Times New Roman" w:cs="Times New Roman"/>
        <w:sz w:val="20"/>
        <w:szCs w:val="20"/>
      </w:rPr>
    </w:lvl>
    <w:lvl w:ilvl="4">
      <w:start w:val="1"/>
      <w:numFmt w:val="lowerLetter"/>
      <w:lvlText w:val="(%5)"/>
      <w:lvlJc w:val="left"/>
      <w:pPr>
        <w:widowControl w:val="0"/>
        <w:tabs>
          <w:tab w:val="num" w:pos="2664"/>
        </w:tabs>
        <w:autoSpaceDE w:val="0"/>
        <w:autoSpaceDN w:val="0"/>
        <w:adjustRightInd w:val="0"/>
        <w:ind w:left="2664" w:hanging="360"/>
      </w:pPr>
      <w:rPr>
        <w:rFonts w:ascii="Times New Roman" w:hAnsi="Times New Roman" w:cs="Times New Roman"/>
        <w:sz w:val="20"/>
        <w:szCs w:val="20"/>
      </w:rPr>
    </w:lvl>
    <w:lvl w:ilvl="5">
      <w:start w:val="1"/>
      <w:numFmt w:val="lowerRoman"/>
      <w:lvlText w:val="(%6)"/>
      <w:lvlJc w:val="left"/>
      <w:pPr>
        <w:widowControl w:val="0"/>
        <w:tabs>
          <w:tab w:val="num" w:pos="3024"/>
        </w:tabs>
        <w:autoSpaceDE w:val="0"/>
        <w:autoSpaceDN w:val="0"/>
        <w:adjustRightInd w:val="0"/>
        <w:ind w:left="3024" w:hanging="360"/>
      </w:pPr>
      <w:rPr>
        <w:rFonts w:ascii="Times New Roman" w:hAnsi="Times New Roman" w:cs="Times New Roman"/>
        <w:sz w:val="20"/>
        <w:szCs w:val="20"/>
      </w:rPr>
    </w:lvl>
    <w:lvl w:ilvl="6">
      <w:start w:val="1"/>
      <w:numFmt w:val="decimal"/>
      <w:lvlText w:val="%7."/>
      <w:lvlJc w:val="left"/>
      <w:pPr>
        <w:widowControl w:val="0"/>
        <w:tabs>
          <w:tab w:val="num" w:pos="3384"/>
        </w:tabs>
        <w:autoSpaceDE w:val="0"/>
        <w:autoSpaceDN w:val="0"/>
        <w:adjustRightInd w:val="0"/>
        <w:ind w:left="3384" w:hanging="360"/>
      </w:pPr>
      <w:rPr>
        <w:rFonts w:ascii="Times New Roman" w:hAnsi="Times New Roman" w:cs="Times New Roman"/>
        <w:sz w:val="20"/>
        <w:szCs w:val="20"/>
      </w:rPr>
    </w:lvl>
    <w:lvl w:ilvl="7">
      <w:start w:val="1"/>
      <w:numFmt w:val="lowerLetter"/>
      <w:lvlText w:val="%8."/>
      <w:lvlJc w:val="left"/>
      <w:pPr>
        <w:widowControl w:val="0"/>
        <w:tabs>
          <w:tab w:val="num" w:pos="3744"/>
        </w:tabs>
        <w:autoSpaceDE w:val="0"/>
        <w:autoSpaceDN w:val="0"/>
        <w:adjustRightInd w:val="0"/>
        <w:ind w:left="3744" w:hanging="360"/>
      </w:pPr>
      <w:rPr>
        <w:rFonts w:ascii="Times New Roman" w:hAnsi="Times New Roman" w:cs="Times New Roman"/>
        <w:sz w:val="20"/>
        <w:szCs w:val="20"/>
      </w:rPr>
    </w:lvl>
    <w:lvl w:ilvl="8">
      <w:start w:val="1"/>
      <w:numFmt w:val="lowerRoman"/>
      <w:lvlText w:val="%9."/>
      <w:lvlJc w:val="left"/>
      <w:pPr>
        <w:widowControl w:val="0"/>
        <w:tabs>
          <w:tab w:val="num" w:pos="4104"/>
        </w:tabs>
        <w:autoSpaceDE w:val="0"/>
        <w:autoSpaceDN w:val="0"/>
        <w:adjustRightInd w:val="0"/>
        <w:ind w:left="4104" w:hanging="360"/>
      </w:pPr>
      <w:rPr>
        <w:rFonts w:ascii="Times New Roman" w:hAnsi="Times New Roman" w:cs="Times New Roman"/>
        <w:sz w:val="20"/>
        <w:szCs w:val="20"/>
      </w:rPr>
    </w:lvl>
  </w:abstractNum>
  <w:abstractNum w:abstractNumId="9" w15:restartNumberingAfterBreak="0">
    <w:nsid w:val="0000003E"/>
    <w:multiLevelType w:val="multilevel"/>
    <w:tmpl w:val="17F0AF28"/>
    <w:lvl w:ilvl="0">
      <w:start w:val="1"/>
      <w:numFmt w:val="lowerLetter"/>
      <w:pStyle w:val="1Level-ablock"/>
      <w:lvlText w:val="(%1)"/>
      <w:lvlJc w:val="left"/>
      <w:pPr>
        <w:widowControl w:val="0"/>
        <w:tabs>
          <w:tab w:val="num" w:pos="432"/>
        </w:tabs>
        <w:autoSpaceDE w:val="0"/>
        <w:autoSpaceDN w:val="0"/>
        <w:adjustRightInd w:val="0"/>
        <w:ind w:left="432" w:hanging="432"/>
      </w:pPr>
      <w:rPr>
        <w:rFonts w:ascii="Times New Roman" w:hAnsi="Times New Roman" w:cs="Times New Roman"/>
        <w:sz w:val="21"/>
        <w:szCs w:val="21"/>
      </w:rPr>
    </w:lvl>
    <w:lvl w:ilvl="1">
      <w:start w:val="1"/>
      <w:numFmt w:val="lowerLetter"/>
      <w:lvlText w:val="%2)"/>
      <w:lvlJc w:val="left"/>
      <w:pPr>
        <w:widowControl w:val="0"/>
        <w:tabs>
          <w:tab w:val="num" w:pos="720"/>
        </w:tabs>
        <w:autoSpaceDE w:val="0"/>
        <w:autoSpaceDN w:val="0"/>
        <w:adjustRightInd w:val="0"/>
        <w:ind w:left="720" w:hanging="360"/>
      </w:pPr>
      <w:rPr>
        <w:rFonts w:ascii="Times New Roman" w:hAnsi="Times New Roman" w:cs="Times New Roman"/>
        <w:sz w:val="20"/>
        <w:szCs w:val="20"/>
      </w:rPr>
    </w:lvl>
    <w:lvl w:ilvl="2">
      <w:start w:val="1"/>
      <w:numFmt w:val="lowerRoman"/>
      <w:lvlText w:val="%3)"/>
      <w:lvlJc w:val="left"/>
      <w:pPr>
        <w:widowControl w:val="0"/>
        <w:tabs>
          <w:tab w:val="num" w:pos="1080"/>
        </w:tabs>
        <w:autoSpaceDE w:val="0"/>
        <w:autoSpaceDN w:val="0"/>
        <w:adjustRightInd w:val="0"/>
        <w:ind w:left="1080" w:hanging="360"/>
      </w:pPr>
      <w:rPr>
        <w:rFonts w:ascii="Times New Roman" w:hAnsi="Times New Roman" w:cs="Times New Roman"/>
        <w:sz w:val="20"/>
        <w:szCs w:val="20"/>
      </w:rPr>
    </w:lvl>
    <w:lvl w:ilvl="3">
      <w:start w:val="1"/>
      <w:numFmt w:val="decimal"/>
      <w:lvlText w:val="(%4)"/>
      <w:lvlJc w:val="left"/>
      <w:pPr>
        <w:widowControl w:val="0"/>
        <w:tabs>
          <w:tab w:val="num" w:pos="1440"/>
        </w:tabs>
        <w:autoSpaceDE w:val="0"/>
        <w:autoSpaceDN w:val="0"/>
        <w:adjustRightInd w:val="0"/>
        <w:ind w:left="1440" w:hanging="360"/>
      </w:pPr>
      <w:rPr>
        <w:rFonts w:ascii="Times New Roman" w:hAnsi="Times New Roman" w:cs="Times New Roman"/>
        <w:sz w:val="20"/>
        <w:szCs w:val="20"/>
      </w:rPr>
    </w:lvl>
    <w:lvl w:ilvl="4">
      <w:start w:val="1"/>
      <w:numFmt w:val="lowerLetter"/>
      <w:lvlText w:val="(%5)"/>
      <w:lvlJc w:val="left"/>
      <w:pPr>
        <w:widowControl w:val="0"/>
        <w:tabs>
          <w:tab w:val="num" w:pos="1800"/>
        </w:tabs>
        <w:autoSpaceDE w:val="0"/>
        <w:autoSpaceDN w:val="0"/>
        <w:adjustRightInd w:val="0"/>
        <w:ind w:left="1800" w:hanging="360"/>
      </w:pPr>
      <w:rPr>
        <w:rFonts w:ascii="Times New Roman" w:hAnsi="Times New Roman" w:cs="Times New Roman"/>
        <w:sz w:val="20"/>
        <w:szCs w:val="20"/>
      </w:rPr>
    </w:lvl>
    <w:lvl w:ilvl="5">
      <w:start w:val="1"/>
      <w:numFmt w:val="lowerRoman"/>
      <w:lvlText w:val="(%6)"/>
      <w:lvlJc w:val="left"/>
      <w:pPr>
        <w:widowControl w:val="0"/>
        <w:tabs>
          <w:tab w:val="num" w:pos="2160"/>
        </w:tabs>
        <w:autoSpaceDE w:val="0"/>
        <w:autoSpaceDN w:val="0"/>
        <w:adjustRightInd w:val="0"/>
        <w:ind w:left="2160" w:hanging="360"/>
      </w:pPr>
      <w:rPr>
        <w:rFonts w:ascii="Times New Roman" w:hAnsi="Times New Roman" w:cs="Times New Roman"/>
        <w:sz w:val="20"/>
        <w:szCs w:val="20"/>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z w:val="20"/>
        <w:szCs w:val="20"/>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z w:val="20"/>
        <w:szCs w:val="20"/>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z w:val="20"/>
        <w:szCs w:val="20"/>
      </w:rPr>
    </w:lvl>
  </w:abstractNum>
  <w:abstractNum w:abstractNumId="10" w15:restartNumberingAfterBreak="0">
    <w:nsid w:val="00000049"/>
    <w:multiLevelType w:val="hybridMultilevel"/>
    <w:tmpl w:val="61FC5440"/>
    <w:name w:val="AOAnx"/>
    <w:lvl w:ilvl="0" w:tplc="FFFFFFFF">
      <w:start w:val="1"/>
      <w:numFmt w:val="bullet"/>
      <w:lvlText w:val=""/>
      <w:lvlJc w:val="left"/>
      <w:pPr>
        <w:tabs>
          <w:tab w:val="left" w:pos="1080"/>
        </w:tabs>
        <w:ind w:left="1080" w:hanging="360"/>
      </w:pPr>
      <w:rPr>
        <w:rFonts w:ascii="Symbol" w:hAnsi="Symbol" w:cs="Symbol"/>
        <w:strike w:val="0"/>
        <w:dstrike w:val="0"/>
        <w:u w:val="none"/>
        <w:effect w:val="none"/>
      </w:rPr>
    </w:lvl>
    <w:lvl w:ilvl="1" w:tplc="FFFFFFFF">
      <w:start w:val="1"/>
      <w:numFmt w:val="bullet"/>
      <w:lvlText w:val=""/>
      <w:lvlJc w:val="left"/>
      <w:pPr>
        <w:tabs>
          <w:tab w:val="left" w:pos="2160"/>
        </w:tabs>
        <w:ind w:left="2160" w:hanging="360"/>
      </w:pPr>
      <w:rPr>
        <w:rFonts w:ascii="Symbol" w:hAnsi="Symbol" w:cs="Symbol"/>
        <w:strike w:val="0"/>
        <w:dstrike w:val="0"/>
        <w:u w:val="none"/>
        <w:effect w:val="none"/>
      </w:rPr>
    </w:lvl>
    <w:lvl w:ilvl="2" w:tplc="FFFFFFFF">
      <w:start w:val="1"/>
      <w:numFmt w:val="bullet"/>
      <w:lvlText w:val=""/>
      <w:lvlJc w:val="left"/>
      <w:pPr>
        <w:tabs>
          <w:tab w:val="left" w:pos="2880"/>
        </w:tabs>
        <w:ind w:left="2880" w:hanging="360"/>
      </w:pPr>
      <w:rPr>
        <w:rFonts w:ascii="Wingdings" w:hAnsi="Wingdings" w:cs="Wingdings"/>
        <w:strike w:val="0"/>
        <w:dstrike w:val="0"/>
        <w:u w:val="none"/>
        <w:effect w:val="none"/>
      </w:rPr>
    </w:lvl>
    <w:lvl w:ilvl="3" w:tplc="FFFFFFFF">
      <w:start w:val="1"/>
      <w:numFmt w:val="bullet"/>
      <w:lvlText w:val=""/>
      <w:lvlJc w:val="left"/>
      <w:pPr>
        <w:tabs>
          <w:tab w:val="left" w:pos="3600"/>
        </w:tabs>
        <w:ind w:left="3600" w:hanging="360"/>
      </w:pPr>
      <w:rPr>
        <w:rFonts w:ascii="Symbol" w:hAnsi="Symbol" w:cs="Symbol"/>
        <w:strike w:val="0"/>
        <w:dstrike w:val="0"/>
        <w:u w:val="none"/>
        <w:effect w:val="none"/>
      </w:rPr>
    </w:lvl>
    <w:lvl w:ilvl="4" w:tplc="FFFFFFFF">
      <w:start w:val="1"/>
      <w:numFmt w:val="bullet"/>
      <w:lvlText w:val="o"/>
      <w:lvlJc w:val="left"/>
      <w:pPr>
        <w:tabs>
          <w:tab w:val="left" w:pos="4320"/>
        </w:tabs>
        <w:ind w:left="4320" w:hanging="360"/>
      </w:pPr>
      <w:rPr>
        <w:rFonts w:ascii="Courier New" w:hAnsi="Courier New" w:cs="Courier New"/>
        <w:strike w:val="0"/>
        <w:dstrike w:val="0"/>
        <w:u w:val="none"/>
        <w:effect w:val="none"/>
      </w:rPr>
    </w:lvl>
    <w:lvl w:ilvl="5" w:tplc="FFFFFFFF">
      <w:start w:val="1"/>
      <w:numFmt w:val="bullet"/>
      <w:lvlText w:val=""/>
      <w:lvlJc w:val="left"/>
      <w:pPr>
        <w:tabs>
          <w:tab w:val="left" w:pos="5040"/>
        </w:tabs>
        <w:ind w:left="5040" w:hanging="360"/>
      </w:pPr>
      <w:rPr>
        <w:rFonts w:ascii="Wingdings" w:hAnsi="Wingdings" w:cs="Wingdings"/>
        <w:strike w:val="0"/>
        <w:dstrike w:val="0"/>
        <w:u w:val="none"/>
        <w:effect w:val="none"/>
      </w:rPr>
    </w:lvl>
    <w:lvl w:ilvl="6" w:tplc="FFFFFFFF">
      <w:start w:val="1"/>
      <w:numFmt w:val="bullet"/>
      <w:lvlText w:val=""/>
      <w:lvlJc w:val="left"/>
      <w:pPr>
        <w:tabs>
          <w:tab w:val="left" w:pos="5760"/>
        </w:tabs>
        <w:ind w:left="5760" w:hanging="360"/>
      </w:pPr>
      <w:rPr>
        <w:rFonts w:ascii="Symbol" w:hAnsi="Symbol" w:cs="Symbol"/>
        <w:strike w:val="0"/>
        <w:dstrike w:val="0"/>
        <w:u w:val="none"/>
        <w:effect w:val="none"/>
      </w:rPr>
    </w:lvl>
    <w:lvl w:ilvl="7" w:tplc="FFFFFFFF">
      <w:start w:val="1"/>
      <w:numFmt w:val="bullet"/>
      <w:lvlText w:val="o"/>
      <w:lvlJc w:val="left"/>
      <w:pPr>
        <w:tabs>
          <w:tab w:val="left" w:pos="6480"/>
        </w:tabs>
        <w:ind w:left="6480" w:hanging="360"/>
      </w:pPr>
      <w:rPr>
        <w:rFonts w:ascii="Courier New" w:hAnsi="Courier New" w:cs="Courier New"/>
        <w:strike w:val="0"/>
        <w:dstrike w:val="0"/>
        <w:u w:val="none"/>
        <w:effect w:val="none"/>
      </w:rPr>
    </w:lvl>
    <w:lvl w:ilvl="8" w:tplc="FFFFFFFF">
      <w:start w:val="1"/>
      <w:numFmt w:val="bullet"/>
      <w:lvlText w:val=""/>
      <w:lvlJc w:val="left"/>
      <w:pPr>
        <w:tabs>
          <w:tab w:val="left" w:pos="7200"/>
        </w:tabs>
        <w:ind w:left="7200" w:hanging="360"/>
      </w:pPr>
      <w:rPr>
        <w:rFonts w:ascii="Wingdings" w:hAnsi="Wingdings" w:cs="Wingdings"/>
        <w:strike w:val="0"/>
        <w:dstrike w:val="0"/>
        <w:u w:val="none"/>
        <w:effect w:val="none"/>
      </w:rPr>
    </w:lvl>
  </w:abstractNum>
  <w:abstractNum w:abstractNumId="11" w15:restartNumberingAfterBreak="0">
    <w:nsid w:val="00000051"/>
    <w:multiLevelType w:val="multilevel"/>
    <w:tmpl w:val="EB1876B2"/>
    <w:lvl w:ilvl="0">
      <w:start w:val="1"/>
      <w:numFmt w:val="lowerRoman"/>
      <w:lvlText w:val="(%1)"/>
      <w:lvlJc w:val="left"/>
      <w:pPr>
        <w:widowControl w:val="0"/>
        <w:tabs>
          <w:tab w:val="num" w:pos="1296"/>
        </w:tabs>
        <w:autoSpaceDE w:val="0"/>
        <w:autoSpaceDN w:val="0"/>
        <w:adjustRightInd w:val="0"/>
        <w:ind w:left="1296" w:hanging="432"/>
      </w:pPr>
      <w:rPr>
        <w:rFonts w:ascii="Times New Roman" w:hAnsi="Times New Roman" w:cs="Times New Roman"/>
        <w:sz w:val="20"/>
        <w:szCs w:val="20"/>
      </w:rPr>
    </w:lvl>
    <w:lvl w:ilvl="1">
      <w:start w:val="1"/>
      <w:numFmt w:val="lowerRoman"/>
      <w:lvlText w:val="(%2)"/>
      <w:lvlJc w:val="left"/>
      <w:pPr>
        <w:widowControl w:val="0"/>
        <w:tabs>
          <w:tab w:val="num" w:pos="1296"/>
        </w:tabs>
        <w:autoSpaceDE w:val="0"/>
        <w:autoSpaceDN w:val="0"/>
        <w:adjustRightInd w:val="0"/>
        <w:ind w:left="1296" w:hanging="432"/>
      </w:pPr>
      <w:rPr>
        <w:rFonts w:ascii="Times New Roman" w:hAnsi="Times New Roman" w:cs="Times New Roman"/>
        <w:sz w:val="20"/>
        <w:szCs w:val="20"/>
      </w:rPr>
    </w:lvl>
    <w:lvl w:ilvl="2">
      <w:start w:val="1"/>
      <w:numFmt w:val="lowerLetter"/>
      <w:pStyle w:val="3Level-iblock"/>
      <w:lvlText w:val="(%3)"/>
      <w:lvlJc w:val="left"/>
      <w:pPr>
        <w:widowControl w:val="0"/>
        <w:tabs>
          <w:tab w:val="num" w:pos="1296"/>
        </w:tabs>
        <w:autoSpaceDE w:val="0"/>
        <w:autoSpaceDN w:val="0"/>
        <w:adjustRightInd w:val="0"/>
        <w:ind w:left="1296" w:hanging="432"/>
      </w:pPr>
      <w:rPr>
        <w:rFonts w:ascii="Times New Roman" w:hAnsi="Times New Roman" w:cs="Times New Roman"/>
        <w:sz w:val="21"/>
        <w:szCs w:val="21"/>
      </w:rPr>
    </w:lvl>
    <w:lvl w:ilvl="3">
      <w:start w:val="1"/>
      <w:numFmt w:val="decimal"/>
      <w:lvlText w:val="(%4)"/>
      <w:lvlJc w:val="left"/>
      <w:pPr>
        <w:widowControl w:val="0"/>
        <w:tabs>
          <w:tab w:val="num" w:pos="2304"/>
        </w:tabs>
        <w:autoSpaceDE w:val="0"/>
        <w:autoSpaceDN w:val="0"/>
        <w:adjustRightInd w:val="0"/>
        <w:ind w:left="2304" w:hanging="360"/>
      </w:pPr>
      <w:rPr>
        <w:rFonts w:ascii="Times New Roman" w:hAnsi="Times New Roman" w:cs="Times New Roman"/>
        <w:sz w:val="20"/>
        <w:szCs w:val="20"/>
      </w:rPr>
    </w:lvl>
    <w:lvl w:ilvl="4">
      <w:start w:val="1"/>
      <w:numFmt w:val="lowerLetter"/>
      <w:lvlText w:val="(%5)"/>
      <w:lvlJc w:val="left"/>
      <w:pPr>
        <w:widowControl w:val="0"/>
        <w:tabs>
          <w:tab w:val="num" w:pos="2664"/>
        </w:tabs>
        <w:autoSpaceDE w:val="0"/>
        <w:autoSpaceDN w:val="0"/>
        <w:adjustRightInd w:val="0"/>
        <w:ind w:left="2664" w:hanging="360"/>
      </w:pPr>
      <w:rPr>
        <w:rFonts w:ascii="Times New Roman" w:hAnsi="Times New Roman" w:cs="Times New Roman"/>
        <w:sz w:val="20"/>
        <w:szCs w:val="20"/>
      </w:rPr>
    </w:lvl>
    <w:lvl w:ilvl="5">
      <w:start w:val="1"/>
      <w:numFmt w:val="lowerRoman"/>
      <w:lvlText w:val="(%6)"/>
      <w:lvlJc w:val="left"/>
      <w:pPr>
        <w:widowControl w:val="0"/>
        <w:tabs>
          <w:tab w:val="num" w:pos="3024"/>
        </w:tabs>
        <w:autoSpaceDE w:val="0"/>
        <w:autoSpaceDN w:val="0"/>
        <w:adjustRightInd w:val="0"/>
        <w:ind w:left="3024" w:hanging="360"/>
      </w:pPr>
      <w:rPr>
        <w:rFonts w:ascii="Times New Roman" w:hAnsi="Times New Roman" w:cs="Times New Roman"/>
        <w:sz w:val="20"/>
        <w:szCs w:val="20"/>
      </w:rPr>
    </w:lvl>
    <w:lvl w:ilvl="6">
      <w:start w:val="1"/>
      <w:numFmt w:val="decimal"/>
      <w:lvlText w:val="%7."/>
      <w:lvlJc w:val="left"/>
      <w:pPr>
        <w:widowControl w:val="0"/>
        <w:tabs>
          <w:tab w:val="num" w:pos="3384"/>
        </w:tabs>
        <w:autoSpaceDE w:val="0"/>
        <w:autoSpaceDN w:val="0"/>
        <w:adjustRightInd w:val="0"/>
        <w:ind w:left="3384" w:hanging="360"/>
      </w:pPr>
      <w:rPr>
        <w:rFonts w:ascii="Times New Roman" w:hAnsi="Times New Roman" w:cs="Times New Roman"/>
        <w:sz w:val="20"/>
        <w:szCs w:val="20"/>
      </w:rPr>
    </w:lvl>
    <w:lvl w:ilvl="7">
      <w:start w:val="1"/>
      <w:numFmt w:val="lowerLetter"/>
      <w:lvlText w:val="%8."/>
      <w:lvlJc w:val="left"/>
      <w:pPr>
        <w:widowControl w:val="0"/>
        <w:tabs>
          <w:tab w:val="num" w:pos="3744"/>
        </w:tabs>
        <w:autoSpaceDE w:val="0"/>
        <w:autoSpaceDN w:val="0"/>
        <w:adjustRightInd w:val="0"/>
        <w:ind w:left="3744" w:hanging="360"/>
      </w:pPr>
      <w:rPr>
        <w:rFonts w:ascii="Times New Roman" w:hAnsi="Times New Roman" w:cs="Times New Roman"/>
        <w:sz w:val="20"/>
        <w:szCs w:val="20"/>
      </w:rPr>
    </w:lvl>
    <w:lvl w:ilvl="8">
      <w:start w:val="1"/>
      <w:numFmt w:val="lowerRoman"/>
      <w:lvlText w:val="%9."/>
      <w:lvlJc w:val="left"/>
      <w:pPr>
        <w:widowControl w:val="0"/>
        <w:tabs>
          <w:tab w:val="num" w:pos="4104"/>
        </w:tabs>
        <w:autoSpaceDE w:val="0"/>
        <w:autoSpaceDN w:val="0"/>
        <w:adjustRightInd w:val="0"/>
        <w:ind w:left="4104" w:hanging="360"/>
      </w:pPr>
      <w:rPr>
        <w:rFonts w:ascii="Times New Roman" w:hAnsi="Times New Roman" w:cs="Times New Roman"/>
        <w:sz w:val="20"/>
        <w:szCs w:val="20"/>
      </w:rPr>
    </w:lvl>
  </w:abstractNum>
  <w:abstractNum w:abstractNumId="12" w15:restartNumberingAfterBreak="0">
    <w:nsid w:val="02A1014E"/>
    <w:multiLevelType w:val="multilevel"/>
    <w:tmpl w:val="745A2A6C"/>
    <w:name w:val="List "/>
    <w:lvl w:ilvl="0">
      <w:start w:val="1"/>
      <w:numFmt w:val="none"/>
      <w:suff w:val="nothing"/>
      <w:lvlText w:val=""/>
      <w:lvlJc w:val="left"/>
      <w:pPr>
        <w:ind w:left="0" w:firstLine="720"/>
      </w:pPr>
    </w:lvl>
    <w:lvl w:ilvl="1">
      <w:start w:val="1"/>
      <w:numFmt w:val="lowerLetter"/>
      <w:lvlText w:val="(%2)"/>
      <w:lvlJc w:val="left"/>
      <w:pPr>
        <w:tabs>
          <w:tab w:val="num" w:pos="1440"/>
        </w:tabs>
        <w:ind w:left="0" w:firstLine="720"/>
      </w:pPr>
    </w:lvl>
    <w:lvl w:ilvl="2">
      <w:start w:val="1"/>
      <w:numFmt w:val="decimal"/>
      <w:lvlText w:val="(%3)"/>
      <w:lvlJc w:val="left"/>
      <w:pPr>
        <w:tabs>
          <w:tab w:val="num" w:pos="2160"/>
        </w:tabs>
        <w:ind w:left="720" w:firstLine="720"/>
      </w:pPr>
    </w:lvl>
    <w:lvl w:ilvl="3">
      <w:start w:val="1"/>
      <w:numFmt w:val="upperLetter"/>
      <w:lvlText w:val="(%4)"/>
      <w:lvlJc w:val="left"/>
      <w:pPr>
        <w:tabs>
          <w:tab w:val="num" w:pos="2880"/>
        </w:tabs>
        <w:ind w:left="1440" w:firstLine="720"/>
      </w:pPr>
    </w:lvl>
    <w:lvl w:ilvl="4">
      <w:start w:val="1"/>
      <w:numFmt w:val="lowerRoman"/>
      <w:lvlText w:val="(%5)"/>
      <w:lvlJc w:val="left"/>
      <w:pPr>
        <w:tabs>
          <w:tab w:val="num" w:pos="3600"/>
        </w:tabs>
        <w:ind w:left="2160" w:firstLine="720"/>
      </w:pPr>
    </w:lvl>
    <w:lvl w:ilvl="5">
      <w:start w:val="1"/>
      <w:numFmt w:val="decimal"/>
      <w:lvlText w:val="(%6)"/>
      <w:lvlJc w:val="left"/>
      <w:pPr>
        <w:tabs>
          <w:tab w:val="num" w:pos="1440"/>
        </w:tabs>
        <w:ind w:left="0" w:firstLine="720"/>
      </w:pPr>
    </w:lvl>
    <w:lvl w:ilvl="6">
      <w:start w:val="1"/>
      <w:numFmt w:val="lowerRoman"/>
      <w:lvlText w:val="(%7)"/>
      <w:lvlJc w:val="left"/>
      <w:pPr>
        <w:tabs>
          <w:tab w:val="num" w:pos="1440"/>
        </w:tabs>
        <w:ind w:left="0" w:firstLine="720"/>
      </w:pPr>
    </w:lvl>
    <w:lvl w:ilvl="7">
      <w:start w:val="1"/>
      <w:numFmt w:val="upperLetter"/>
      <w:pStyle w:val="L9"/>
      <w:lvlText w:val="(%8)"/>
      <w:lvlJc w:val="left"/>
      <w:pPr>
        <w:tabs>
          <w:tab w:val="num" w:pos="2160"/>
        </w:tabs>
        <w:ind w:left="720" w:firstLine="720"/>
      </w:pPr>
    </w:lvl>
    <w:lvl w:ilvl="8">
      <w:start w:val="1"/>
      <w:numFmt w:val="lowerRoman"/>
      <w:pStyle w:val="L9"/>
      <w:lvlText w:val="(%9)"/>
      <w:lvlJc w:val="left"/>
      <w:pPr>
        <w:tabs>
          <w:tab w:val="num" w:pos="2880"/>
        </w:tabs>
        <w:ind w:left="1440" w:firstLine="720"/>
      </w:pPr>
    </w:lvl>
  </w:abstractNum>
  <w:abstractNum w:abstractNumId="13" w15:restartNumberingAfterBreak="0">
    <w:nsid w:val="02BA4EE7"/>
    <w:multiLevelType w:val="hybridMultilevel"/>
    <w:tmpl w:val="6FD24662"/>
    <w:lvl w:ilvl="0" w:tplc="E50C87F4">
      <w:start w:val="1"/>
      <w:numFmt w:val="decimal"/>
      <w:pStyle w:val="STBListNumber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2E8227E"/>
    <w:multiLevelType w:val="hybridMultilevel"/>
    <w:tmpl w:val="B818ECEE"/>
    <w:styleLink w:val="SimpleListsList1"/>
    <w:lvl w:ilvl="0" w:tplc="210E932C">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3673153"/>
    <w:multiLevelType w:val="hybridMultilevel"/>
    <w:tmpl w:val="14E04874"/>
    <w:lvl w:ilvl="0" w:tplc="8AB83ECA">
      <w:start w:val="1"/>
      <w:numFmt w:val="decimal"/>
      <w:lvlText w:val="(%1)"/>
      <w:lvlJc w:val="left"/>
      <w:pPr>
        <w:ind w:left="2911" w:hanging="360"/>
      </w:pPr>
    </w:lvl>
    <w:lvl w:ilvl="1" w:tplc="2C0A0019">
      <w:start w:val="1"/>
      <w:numFmt w:val="lowerLetter"/>
      <w:lvlText w:val="%2."/>
      <w:lvlJc w:val="left"/>
      <w:pPr>
        <w:ind w:left="3631" w:hanging="360"/>
      </w:pPr>
    </w:lvl>
    <w:lvl w:ilvl="2" w:tplc="2C0A001B">
      <w:start w:val="1"/>
      <w:numFmt w:val="lowerRoman"/>
      <w:lvlText w:val="%3."/>
      <w:lvlJc w:val="right"/>
      <w:pPr>
        <w:ind w:left="4351" w:hanging="180"/>
      </w:pPr>
    </w:lvl>
    <w:lvl w:ilvl="3" w:tplc="2C0A000F">
      <w:start w:val="1"/>
      <w:numFmt w:val="decimal"/>
      <w:lvlText w:val="%4."/>
      <w:lvlJc w:val="left"/>
      <w:pPr>
        <w:ind w:left="5071" w:hanging="360"/>
      </w:pPr>
    </w:lvl>
    <w:lvl w:ilvl="4" w:tplc="2C0A0019">
      <w:start w:val="1"/>
      <w:numFmt w:val="lowerLetter"/>
      <w:lvlText w:val="%5."/>
      <w:lvlJc w:val="left"/>
      <w:pPr>
        <w:ind w:left="5791" w:hanging="360"/>
      </w:pPr>
    </w:lvl>
    <w:lvl w:ilvl="5" w:tplc="2C0A001B">
      <w:start w:val="1"/>
      <w:numFmt w:val="lowerRoman"/>
      <w:lvlText w:val="%6."/>
      <w:lvlJc w:val="right"/>
      <w:pPr>
        <w:ind w:left="6511" w:hanging="180"/>
      </w:pPr>
    </w:lvl>
    <w:lvl w:ilvl="6" w:tplc="2C0A000F">
      <w:start w:val="1"/>
      <w:numFmt w:val="decimal"/>
      <w:lvlText w:val="%7."/>
      <w:lvlJc w:val="left"/>
      <w:pPr>
        <w:ind w:left="7231" w:hanging="360"/>
      </w:pPr>
    </w:lvl>
    <w:lvl w:ilvl="7" w:tplc="2C0A0019">
      <w:start w:val="1"/>
      <w:numFmt w:val="lowerLetter"/>
      <w:lvlText w:val="%8."/>
      <w:lvlJc w:val="left"/>
      <w:pPr>
        <w:ind w:left="7951" w:hanging="360"/>
      </w:pPr>
    </w:lvl>
    <w:lvl w:ilvl="8" w:tplc="2C0A001B">
      <w:start w:val="1"/>
      <w:numFmt w:val="lowerRoman"/>
      <w:lvlText w:val="%9."/>
      <w:lvlJc w:val="right"/>
      <w:pPr>
        <w:ind w:left="8671" w:hanging="180"/>
      </w:pPr>
    </w:lvl>
  </w:abstractNum>
  <w:abstractNum w:abstractNumId="16" w15:restartNumberingAfterBreak="0">
    <w:nsid w:val="03A7561A"/>
    <w:multiLevelType w:val="hybridMultilevel"/>
    <w:tmpl w:val="EA0E9BCC"/>
    <w:lvl w:ilvl="0" w:tplc="83BEB2C6">
      <w:start w:val="59"/>
      <w:numFmt w:val="decimal"/>
      <w:pStyle w:val="TableBullet"/>
      <w:lvlText w:val="%1"/>
      <w:lvlJc w:val="left"/>
      <w:pPr>
        <w:ind w:left="384" w:hanging="195"/>
      </w:pPr>
      <w:rPr>
        <w:rFonts w:ascii="Garamond" w:eastAsia="Garamond" w:hAnsi="Garamond" w:cs="Garamond" w:hint="default"/>
        <w:spacing w:val="-1"/>
        <w:w w:val="99"/>
        <w:position w:val="10"/>
        <w:sz w:val="14"/>
        <w:szCs w:val="14"/>
        <w:lang w:val="es-ES" w:eastAsia="es-ES" w:bidi="es-ES"/>
      </w:rPr>
    </w:lvl>
    <w:lvl w:ilvl="1" w:tplc="09FA3DB2">
      <w:numFmt w:val="bullet"/>
      <w:lvlText w:val="•"/>
      <w:lvlJc w:val="left"/>
      <w:pPr>
        <w:ind w:left="1436" w:hanging="195"/>
      </w:pPr>
      <w:rPr>
        <w:rFonts w:hint="default"/>
        <w:lang w:val="es-ES" w:eastAsia="es-ES" w:bidi="es-ES"/>
      </w:rPr>
    </w:lvl>
    <w:lvl w:ilvl="2" w:tplc="4FDE7C8E">
      <w:numFmt w:val="bullet"/>
      <w:lvlText w:val="•"/>
      <w:lvlJc w:val="left"/>
      <w:pPr>
        <w:ind w:left="2493" w:hanging="195"/>
      </w:pPr>
      <w:rPr>
        <w:rFonts w:hint="default"/>
        <w:lang w:val="es-ES" w:eastAsia="es-ES" w:bidi="es-ES"/>
      </w:rPr>
    </w:lvl>
    <w:lvl w:ilvl="3" w:tplc="CA0A71E8">
      <w:numFmt w:val="bullet"/>
      <w:lvlText w:val="•"/>
      <w:lvlJc w:val="left"/>
      <w:pPr>
        <w:ind w:left="3549" w:hanging="195"/>
      </w:pPr>
      <w:rPr>
        <w:rFonts w:hint="default"/>
        <w:lang w:val="es-ES" w:eastAsia="es-ES" w:bidi="es-ES"/>
      </w:rPr>
    </w:lvl>
    <w:lvl w:ilvl="4" w:tplc="45984038">
      <w:numFmt w:val="bullet"/>
      <w:lvlText w:val="•"/>
      <w:lvlJc w:val="left"/>
      <w:pPr>
        <w:ind w:left="4606" w:hanging="195"/>
      </w:pPr>
      <w:rPr>
        <w:rFonts w:hint="default"/>
        <w:lang w:val="es-ES" w:eastAsia="es-ES" w:bidi="es-ES"/>
      </w:rPr>
    </w:lvl>
    <w:lvl w:ilvl="5" w:tplc="F85461EE">
      <w:numFmt w:val="bullet"/>
      <w:lvlText w:val="•"/>
      <w:lvlJc w:val="left"/>
      <w:pPr>
        <w:ind w:left="5663" w:hanging="195"/>
      </w:pPr>
      <w:rPr>
        <w:rFonts w:hint="default"/>
        <w:lang w:val="es-ES" w:eastAsia="es-ES" w:bidi="es-ES"/>
      </w:rPr>
    </w:lvl>
    <w:lvl w:ilvl="6" w:tplc="4C7EFE12">
      <w:numFmt w:val="bullet"/>
      <w:lvlText w:val="•"/>
      <w:lvlJc w:val="left"/>
      <w:pPr>
        <w:ind w:left="6719" w:hanging="195"/>
      </w:pPr>
      <w:rPr>
        <w:rFonts w:hint="default"/>
        <w:lang w:val="es-ES" w:eastAsia="es-ES" w:bidi="es-ES"/>
      </w:rPr>
    </w:lvl>
    <w:lvl w:ilvl="7" w:tplc="994226E6">
      <w:numFmt w:val="bullet"/>
      <w:lvlText w:val="•"/>
      <w:lvlJc w:val="left"/>
      <w:pPr>
        <w:ind w:left="7776" w:hanging="195"/>
      </w:pPr>
      <w:rPr>
        <w:rFonts w:hint="default"/>
        <w:lang w:val="es-ES" w:eastAsia="es-ES" w:bidi="es-ES"/>
      </w:rPr>
    </w:lvl>
    <w:lvl w:ilvl="8" w:tplc="A2C01A60">
      <w:numFmt w:val="bullet"/>
      <w:lvlText w:val="•"/>
      <w:lvlJc w:val="left"/>
      <w:pPr>
        <w:ind w:left="8833" w:hanging="195"/>
      </w:pPr>
      <w:rPr>
        <w:rFonts w:hint="default"/>
        <w:lang w:val="es-ES" w:eastAsia="es-ES" w:bidi="es-ES"/>
      </w:rPr>
    </w:lvl>
  </w:abstractNum>
  <w:abstractNum w:abstractNumId="17" w15:restartNumberingAfterBreak="0">
    <w:nsid w:val="06AF1EA0"/>
    <w:multiLevelType w:val="hybridMultilevel"/>
    <w:tmpl w:val="77568230"/>
    <w:lvl w:ilvl="0" w:tplc="A04AAF8E">
      <w:start w:val="1"/>
      <w:numFmt w:val="decimal"/>
      <w:lvlText w:val="(%1)"/>
      <w:lvlJc w:val="left"/>
      <w:pPr>
        <w:ind w:left="704" w:hanging="42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8" w15:restartNumberingAfterBreak="0">
    <w:nsid w:val="0984408E"/>
    <w:multiLevelType w:val="multilevel"/>
    <w:tmpl w:val="CF020DFA"/>
    <w:styleLink w:val="PwCListNumbers1"/>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19" w15:restartNumberingAfterBreak="0">
    <w:nsid w:val="098F5522"/>
    <w:multiLevelType w:val="hybridMultilevel"/>
    <w:tmpl w:val="DB7226F0"/>
    <w:lvl w:ilvl="0" w:tplc="F04083E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0C247E57"/>
    <w:multiLevelType w:val="hybridMultilevel"/>
    <w:tmpl w:val="52ECB5F8"/>
    <w:name w:val="STB List Number 1"/>
    <w:lvl w:ilvl="0" w:tplc="C41AAA4A">
      <w:start w:val="1"/>
      <w:numFmt w:val="decimal"/>
      <w:pStyle w:val="STBListNumber1"/>
      <w:lvlText w:val="(%1)"/>
      <w:lvlJc w:val="left"/>
      <w:pPr>
        <w:tabs>
          <w:tab w:val="num" w:pos="1440"/>
        </w:tabs>
        <w:ind w:left="0" w:firstLine="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E2E20E9"/>
    <w:multiLevelType w:val="hybridMultilevel"/>
    <w:tmpl w:val="BCC2D09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0F99175D"/>
    <w:multiLevelType w:val="hybridMultilevel"/>
    <w:tmpl w:val="DE7A8252"/>
    <w:lvl w:ilvl="0" w:tplc="48F4135C">
      <w:start w:val="1"/>
      <w:numFmt w:val="decimal"/>
      <w:pStyle w:val="STBListNumber2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08036C1"/>
    <w:multiLevelType w:val="hybridMultilevel"/>
    <w:tmpl w:val="D464AE3A"/>
    <w:lvl w:ilvl="0" w:tplc="81123522">
      <w:start w:val="1"/>
      <w:numFmt w:val="bullet"/>
      <w:pStyle w:val="STBBullet3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4A0735D"/>
    <w:multiLevelType w:val="hybridMultilevel"/>
    <w:tmpl w:val="76B0C93C"/>
    <w:lvl w:ilvl="0" w:tplc="BD6EA04C">
      <w:start w:val="1"/>
      <w:numFmt w:val="bullet"/>
      <w:pStyle w:val="TableBullet3"/>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5940FC9"/>
    <w:multiLevelType w:val="hybridMultilevel"/>
    <w:tmpl w:val="951AA074"/>
    <w:lvl w:ilvl="0" w:tplc="1A22FBC2">
      <w:start w:val="1"/>
      <w:numFmt w:val="low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420522"/>
    <w:multiLevelType w:val="hybridMultilevel"/>
    <w:tmpl w:val="423AF64A"/>
    <w:lvl w:ilvl="0" w:tplc="C90C676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962ABD"/>
    <w:multiLevelType w:val="hybridMultilevel"/>
    <w:tmpl w:val="A49A1564"/>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8" w15:restartNumberingAfterBreak="0">
    <w:nsid w:val="1AA864C6"/>
    <w:multiLevelType w:val="singleLevel"/>
    <w:tmpl w:val="55BA45CA"/>
    <w:lvl w:ilvl="0">
      <w:start w:val="1"/>
      <w:numFmt w:val="bullet"/>
      <w:pStyle w:val="CG-Bullet"/>
      <w:lvlText w:val=""/>
      <w:lvlJc w:val="left"/>
      <w:pPr>
        <w:tabs>
          <w:tab w:val="num" w:pos="1170"/>
        </w:tabs>
        <w:ind w:left="1170" w:hanging="360"/>
      </w:pPr>
      <w:rPr>
        <w:rFonts w:ascii="Symbol" w:hAnsi="Symbol" w:hint="default"/>
        <w:lang w:val="es-AR"/>
      </w:rPr>
    </w:lvl>
  </w:abstractNum>
  <w:abstractNum w:abstractNumId="29" w15:restartNumberingAfterBreak="0">
    <w:nsid w:val="1AD6370F"/>
    <w:multiLevelType w:val="hybridMultilevel"/>
    <w:tmpl w:val="20C20E54"/>
    <w:lvl w:ilvl="0" w:tplc="24DA4AB8">
      <w:start w:val="1"/>
      <w:numFmt w:val="bullet"/>
      <w:pStyle w:val="STBBullet4DBL"/>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1E7F1A15"/>
    <w:multiLevelType w:val="hybridMultilevel"/>
    <w:tmpl w:val="AD1486C8"/>
    <w:lvl w:ilvl="0" w:tplc="11E871C0">
      <w:start w:val="1"/>
      <w:numFmt w:val="decimal"/>
      <w:pStyle w:val="STBListNumber3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42C6BE3"/>
    <w:multiLevelType w:val="hybridMultilevel"/>
    <w:tmpl w:val="55F4F0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252E1FA5"/>
    <w:multiLevelType w:val="hybridMultilevel"/>
    <w:tmpl w:val="87CABC00"/>
    <w:lvl w:ilvl="0" w:tplc="FCA4E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C22197"/>
    <w:multiLevelType w:val="multilevel"/>
    <w:tmpl w:val="F81012C8"/>
    <w:styleLink w:val="SimpleListsList"/>
    <w:lvl w:ilvl="0">
      <w:start w:val="1"/>
      <w:numFmt w:val="none"/>
      <w:lvlRestart w:val="0"/>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360" w:hanging="360"/>
      </w:pPr>
      <w:rPr>
        <w:rFonts w:hint="default"/>
      </w:rPr>
    </w:lvl>
    <w:lvl w:ilvl="4">
      <w:start w:val="1"/>
      <w:numFmt w:val="lowerLetter"/>
      <w:lvlText w:val="(%5)"/>
      <w:lvlJc w:val="left"/>
      <w:pPr>
        <w:tabs>
          <w:tab w:val="num" w:pos="720"/>
        </w:tabs>
        <w:ind w:left="720" w:hanging="360"/>
      </w:pPr>
      <w:rPr>
        <w:rFonts w:hint="default"/>
      </w:rPr>
    </w:lvl>
    <w:lvl w:ilvl="5">
      <w:start w:val="1"/>
      <w:numFmt w:val="lowerRoman"/>
      <w:lvlText w:val="(%6)"/>
      <w:lvlJc w:val="left"/>
      <w:pPr>
        <w:tabs>
          <w:tab w:val="num" w:pos="1440"/>
        </w:tabs>
        <w:ind w:left="1440" w:hanging="720"/>
      </w:pPr>
      <w:rPr>
        <w:rFonts w:hint="default"/>
      </w:rPr>
    </w:lvl>
    <w:lvl w:ilvl="6">
      <w:start w:val="1"/>
      <w:numFmt w:val="decimal"/>
      <w:lvlText w:val="%7."/>
      <w:lvlJc w:val="left"/>
      <w:pPr>
        <w:tabs>
          <w:tab w:val="num" w:pos="1800"/>
        </w:tabs>
        <w:ind w:left="1800" w:hanging="360"/>
      </w:pPr>
      <w:rPr>
        <w:rFonts w:hint="default"/>
      </w:rPr>
    </w:lvl>
    <w:lvl w:ilvl="7">
      <w:start w:val="1"/>
      <w:numFmt w:val="bullet"/>
      <w:lvlText w:val=""/>
      <w:lvlJc w:val="left"/>
      <w:pPr>
        <w:tabs>
          <w:tab w:val="num" w:pos="720"/>
        </w:tabs>
        <w:ind w:left="720" w:hanging="360"/>
      </w:pPr>
      <w:rPr>
        <w:rFonts w:ascii="Symbol" w:hAnsi="Symbol" w:hint="default"/>
      </w:rPr>
    </w:lvl>
    <w:lvl w:ilvl="8">
      <w:start w:val="1"/>
      <w:numFmt w:val="bullet"/>
      <w:lvlText w:val=""/>
      <w:lvlJc w:val="left"/>
      <w:pPr>
        <w:tabs>
          <w:tab w:val="num" w:pos="1080"/>
        </w:tabs>
        <w:ind w:left="1080" w:hanging="360"/>
      </w:pPr>
      <w:rPr>
        <w:rFonts w:ascii="Symbol" w:hAnsi="Symbol" w:hint="default"/>
      </w:rPr>
    </w:lvl>
  </w:abstractNum>
  <w:abstractNum w:abstractNumId="34" w15:restartNumberingAfterBreak="0">
    <w:nsid w:val="276452DE"/>
    <w:multiLevelType w:val="hybridMultilevel"/>
    <w:tmpl w:val="DE947006"/>
    <w:lvl w:ilvl="0" w:tplc="4F388D86">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28381C77"/>
    <w:multiLevelType w:val="hybridMultilevel"/>
    <w:tmpl w:val="DB46C988"/>
    <w:lvl w:ilvl="0" w:tplc="D0F002EE">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29ED2EF9"/>
    <w:multiLevelType w:val="hybridMultilevel"/>
    <w:tmpl w:val="B7CED5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2BE95638"/>
    <w:multiLevelType w:val="hybridMultilevel"/>
    <w:tmpl w:val="CCDED9EC"/>
    <w:lvl w:ilvl="0" w:tplc="2C0A0001">
      <w:start w:val="1"/>
      <w:numFmt w:val="bullet"/>
      <w:lvlText w:val=""/>
      <w:lvlJc w:val="left"/>
      <w:pPr>
        <w:ind w:left="720" w:hanging="360"/>
      </w:pPr>
      <w:rPr>
        <w:rFonts w:ascii="Symbol" w:hAnsi="Symbol" w:hint="default"/>
      </w:rPr>
    </w:lvl>
    <w:lvl w:ilvl="1" w:tplc="FD428688">
      <w:numFmt w:val="bullet"/>
      <w:lvlText w:val="-"/>
      <w:lvlJc w:val="left"/>
      <w:pPr>
        <w:ind w:left="1440" w:hanging="360"/>
      </w:pPr>
      <w:rPr>
        <w:rFonts w:ascii="Times New Roman" w:eastAsia="Times New Roman"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3094670C"/>
    <w:multiLevelType w:val="multilevel"/>
    <w:tmpl w:val="EFF2C24A"/>
    <w:name w:val="TableFootnotesListTemplate"/>
    <w:styleLink w:val="TableFootnotesList"/>
    <w:lvl w:ilvl="0">
      <w:start w:val="1"/>
      <w:numFmt w:val="none"/>
      <w:suff w:val="nothing"/>
      <w:lvlText w:val=""/>
      <w:lvlJc w:val="left"/>
      <w:pPr>
        <w:ind w:left="0" w:firstLine="0"/>
      </w:pPr>
      <w:rPr>
        <w:rFonts w:hint="default"/>
        <w:u w:val="none"/>
      </w:rPr>
    </w:lvl>
    <w:lvl w:ilvl="1">
      <w:start w:val="1"/>
      <w:numFmt w:val="decimal"/>
      <w:lvlText w:val="(%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39" w15:restartNumberingAfterBreak="0">
    <w:nsid w:val="30FC7828"/>
    <w:multiLevelType w:val="hybridMultilevel"/>
    <w:tmpl w:val="6E2E53F4"/>
    <w:lvl w:ilvl="0" w:tplc="A568F548">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40" w15:restartNumberingAfterBreak="0">
    <w:nsid w:val="32145B82"/>
    <w:multiLevelType w:val="hybridMultilevel"/>
    <w:tmpl w:val="AA8400E0"/>
    <w:lvl w:ilvl="0" w:tplc="EDEE6648">
      <w:start w:val="1"/>
      <w:numFmt w:val="decimal"/>
      <w:pStyle w:val="STBListNumber4"/>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AD124B7"/>
    <w:multiLevelType w:val="hybridMultilevel"/>
    <w:tmpl w:val="8B48E8EE"/>
    <w:lvl w:ilvl="0" w:tplc="93049EDC">
      <w:start w:val="1"/>
      <w:numFmt w:val="bullet"/>
      <w:pStyle w:val="Vie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5E43EA"/>
    <w:multiLevelType w:val="multilevel"/>
    <w:tmpl w:val="C360B154"/>
    <w:lvl w:ilvl="0">
      <w:start w:val="1"/>
      <w:numFmt w:val="decimal"/>
      <w:pStyle w:val="BodyTextNumbered"/>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43" w15:restartNumberingAfterBreak="0">
    <w:nsid w:val="3C6A7180"/>
    <w:multiLevelType w:val="hybridMultilevel"/>
    <w:tmpl w:val="5032F5A4"/>
    <w:lvl w:ilvl="0" w:tplc="183AE846">
      <w:start w:val="1"/>
      <w:numFmt w:val="bullet"/>
      <w:pStyle w:val="TableBullet2"/>
      <w:lvlText w:val=""/>
      <w:lvlJc w:val="left"/>
      <w:pPr>
        <w:tabs>
          <w:tab w:val="num" w:pos="720"/>
        </w:tabs>
        <w:ind w:left="720" w:hanging="360"/>
      </w:pPr>
      <w:rPr>
        <w:rFonts w:ascii="Symbol" w:hAnsi="Symbol" w:hint="default"/>
      </w:rPr>
    </w:lvl>
    <w:lvl w:ilvl="1" w:tplc="1D220B0A">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D3B44B0"/>
    <w:multiLevelType w:val="multilevel"/>
    <w:tmpl w:val="510A7464"/>
    <w:lvl w:ilvl="0">
      <w:start w:val="4"/>
      <w:numFmt w:val="decimal"/>
      <w:lvlText w:val="%1."/>
      <w:lvlJc w:val="left"/>
      <w:pPr>
        <w:tabs>
          <w:tab w:val="num" w:pos="340"/>
        </w:tabs>
        <w:ind w:left="340" w:hanging="340"/>
      </w:pPr>
      <w:rPr>
        <w:rFonts w:ascii="Times New Roman" w:hAnsi="Times New Roman" w:cs="Times New Roman" w:hint="default"/>
        <w:b w:val="0"/>
        <w:i w:val="0"/>
        <w:sz w:val="22"/>
        <w:szCs w:val="24"/>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5" w15:restartNumberingAfterBreak="0">
    <w:nsid w:val="3E4406B1"/>
    <w:multiLevelType w:val="hybridMultilevel"/>
    <w:tmpl w:val="A808C494"/>
    <w:lvl w:ilvl="0" w:tplc="ED929E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15:restartNumberingAfterBreak="0">
    <w:nsid w:val="419A7161"/>
    <w:multiLevelType w:val="hybridMultilevel"/>
    <w:tmpl w:val="DD861F8C"/>
    <w:lvl w:ilvl="0" w:tplc="9F1C67F4">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490623DA"/>
    <w:multiLevelType w:val="hybridMultilevel"/>
    <w:tmpl w:val="12C08D1C"/>
    <w:lvl w:ilvl="0" w:tplc="DAA47B68">
      <w:start w:val="3"/>
      <w:numFmt w:val="bullet"/>
      <w:lvlText w:val="●"/>
      <w:lvlJc w:val="left"/>
      <w:pPr>
        <w:ind w:left="720" w:hanging="360"/>
      </w:pPr>
      <w:rPr>
        <w:rFonts w:ascii="Calibri" w:hAnsi="Calibri" w:hint="default"/>
        <w:b w:val="0"/>
        <w:i w:val="0"/>
        <w:color w:val="000000" w:themeColor="text1"/>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15:restartNumberingAfterBreak="0">
    <w:nsid w:val="4926684B"/>
    <w:multiLevelType w:val="hybridMultilevel"/>
    <w:tmpl w:val="BE625BA2"/>
    <w:lvl w:ilvl="0" w:tplc="433CACFC">
      <w:start w:val="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15:restartNumberingAfterBreak="0">
    <w:nsid w:val="49963177"/>
    <w:multiLevelType w:val="hybridMultilevel"/>
    <w:tmpl w:val="ABB2377A"/>
    <w:lvl w:ilvl="0" w:tplc="9CF8603A">
      <w:start w:val="1"/>
      <w:numFmt w:val="bullet"/>
      <w:pStyle w:val="STBBullet3"/>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9D3685A"/>
    <w:multiLevelType w:val="hybridMultilevel"/>
    <w:tmpl w:val="12083B6C"/>
    <w:lvl w:ilvl="0" w:tplc="04090001">
      <w:start w:val="1"/>
      <w:numFmt w:val="bullet"/>
      <w:lvlText w:val=""/>
      <w:lvlJc w:val="left"/>
      <w:pPr>
        <w:ind w:left="720" w:hanging="360"/>
      </w:pPr>
      <w:rPr>
        <w:rFonts w:ascii="Symbol" w:hAnsi="Symbol" w:hint="default"/>
      </w:rPr>
    </w:lvl>
    <w:lvl w:ilvl="1" w:tplc="A9F818D6">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FB739E"/>
    <w:multiLevelType w:val="hybridMultilevel"/>
    <w:tmpl w:val="A06E3F94"/>
    <w:lvl w:ilvl="0" w:tplc="0540B372">
      <w:start w:val="1"/>
      <w:numFmt w:val="decimal"/>
      <w:pStyle w:val="STBListNumber4DB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894919"/>
    <w:multiLevelType w:val="hybridMultilevel"/>
    <w:tmpl w:val="A7DAF884"/>
    <w:lvl w:ilvl="0" w:tplc="72BE5F5E">
      <w:start w:val="1"/>
      <w:numFmt w:val="lowerLetter"/>
      <w:lvlText w:val="(%1)"/>
      <w:lvlJc w:val="left"/>
      <w:pPr>
        <w:ind w:left="720" w:hanging="360"/>
      </w:pPr>
      <w:rPr>
        <w:b w: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53" w15:restartNumberingAfterBreak="0">
    <w:nsid w:val="4E140C15"/>
    <w:multiLevelType w:val="hybridMultilevel"/>
    <w:tmpl w:val="A62674AC"/>
    <w:lvl w:ilvl="0" w:tplc="490E2ECA">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1D92BE0"/>
    <w:multiLevelType w:val="hybridMultilevel"/>
    <w:tmpl w:val="B8E00340"/>
    <w:lvl w:ilvl="0" w:tplc="0608B310">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start w:val="1"/>
      <w:numFmt w:val="bullet"/>
      <w:lvlText w:val=""/>
      <w:lvlJc w:val="left"/>
      <w:pPr>
        <w:ind w:left="2880" w:hanging="360"/>
      </w:pPr>
      <w:rPr>
        <w:rFonts w:ascii="Symbol" w:hAnsi="Symbol" w:hint="default"/>
      </w:rPr>
    </w:lvl>
    <w:lvl w:ilvl="4" w:tplc="0C0A0019">
      <w:start w:val="1"/>
      <w:numFmt w:val="bullet"/>
      <w:lvlText w:val="o"/>
      <w:lvlJc w:val="left"/>
      <w:pPr>
        <w:ind w:left="3600" w:hanging="360"/>
      </w:pPr>
      <w:rPr>
        <w:rFonts w:ascii="Courier New" w:hAnsi="Courier New" w:cs="Courier New" w:hint="default"/>
      </w:rPr>
    </w:lvl>
    <w:lvl w:ilvl="5" w:tplc="0C0A001B">
      <w:start w:val="1"/>
      <w:numFmt w:val="bullet"/>
      <w:lvlText w:val=""/>
      <w:lvlJc w:val="left"/>
      <w:pPr>
        <w:ind w:left="4320" w:hanging="360"/>
      </w:pPr>
      <w:rPr>
        <w:rFonts w:ascii="Wingdings" w:hAnsi="Wingdings" w:hint="default"/>
      </w:rPr>
    </w:lvl>
    <w:lvl w:ilvl="6" w:tplc="0C0A000F">
      <w:start w:val="1"/>
      <w:numFmt w:val="bullet"/>
      <w:lvlText w:val=""/>
      <w:lvlJc w:val="left"/>
      <w:pPr>
        <w:ind w:left="5040" w:hanging="360"/>
      </w:pPr>
      <w:rPr>
        <w:rFonts w:ascii="Symbol" w:hAnsi="Symbol" w:hint="default"/>
      </w:rPr>
    </w:lvl>
    <w:lvl w:ilvl="7" w:tplc="0C0A0019">
      <w:start w:val="1"/>
      <w:numFmt w:val="bullet"/>
      <w:lvlText w:val="o"/>
      <w:lvlJc w:val="left"/>
      <w:pPr>
        <w:ind w:left="5760" w:hanging="360"/>
      </w:pPr>
      <w:rPr>
        <w:rFonts w:ascii="Courier New" w:hAnsi="Courier New" w:cs="Courier New" w:hint="default"/>
      </w:rPr>
    </w:lvl>
    <w:lvl w:ilvl="8" w:tplc="0C0A001B">
      <w:start w:val="1"/>
      <w:numFmt w:val="bullet"/>
      <w:lvlText w:val=""/>
      <w:lvlJc w:val="left"/>
      <w:pPr>
        <w:ind w:left="6480" w:hanging="360"/>
      </w:pPr>
      <w:rPr>
        <w:rFonts w:ascii="Wingdings" w:hAnsi="Wingdings" w:hint="default"/>
      </w:rPr>
    </w:lvl>
  </w:abstractNum>
  <w:abstractNum w:abstractNumId="55" w15:restartNumberingAfterBreak="0">
    <w:nsid w:val="53AB119D"/>
    <w:multiLevelType w:val="hybridMultilevel"/>
    <w:tmpl w:val="F55EE1EE"/>
    <w:lvl w:ilvl="0" w:tplc="8C2E441E">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6" w15:restartNumberingAfterBreak="0">
    <w:nsid w:val="551C630A"/>
    <w:multiLevelType w:val="hybridMultilevel"/>
    <w:tmpl w:val="A3EC3A98"/>
    <w:lvl w:ilvl="0" w:tplc="5E3814D4">
      <w:start w:val="1"/>
      <w:numFmt w:val="bullet"/>
      <w:pStyle w:val="STB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57EB282F"/>
    <w:multiLevelType w:val="multilevel"/>
    <w:tmpl w:val="D3BEB3F6"/>
    <w:lvl w:ilvl="0">
      <w:start w:val="1"/>
      <w:numFmt w:val="decimal"/>
      <w:lvlText w:val="(%1)"/>
      <w:lvlJc w:val="left"/>
      <w:pPr>
        <w:tabs>
          <w:tab w:val="num" w:pos="360"/>
        </w:tabs>
        <w:ind w:left="360" w:hanging="360"/>
      </w:pPr>
      <w:rPr>
        <w:rFonts w:cs="Times New Roman" w:hint="default"/>
        <w:sz w:val="19"/>
        <w:szCs w:val="19"/>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8" w15:restartNumberingAfterBreak="0">
    <w:nsid w:val="58D369A3"/>
    <w:multiLevelType w:val="hybridMultilevel"/>
    <w:tmpl w:val="A4585DD4"/>
    <w:lvl w:ilvl="0" w:tplc="638A30A6">
      <w:start w:val="1"/>
      <w:numFmt w:val="decimal"/>
      <w:pStyle w:val="1"/>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597F34BA"/>
    <w:multiLevelType w:val="hybridMultilevel"/>
    <w:tmpl w:val="114E431C"/>
    <w:lvl w:ilvl="0" w:tplc="49FCD316">
      <w:start w:val="1"/>
      <w:numFmt w:val="decimal"/>
      <w:pStyle w:val="STBListNumber1DB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AFD6C32"/>
    <w:multiLevelType w:val="multilevel"/>
    <w:tmpl w:val="C83AF0E4"/>
    <w:lvl w:ilvl="0">
      <w:start w:val="1"/>
      <w:numFmt w:val="lowerRoman"/>
      <w:lvlText w:val="(%1)"/>
      <w:lvlJc w:val="left"/>
      <w:pPr>
        <w:tabs>
          <w:tab w:val="num" w:pos="864"/>
        </w:tabs>
        <w:ind w:left="864" w:hanging="432"/>
      </w:pPr>
      <w:rPr>
        <w:rFonts w:hint="default"/>
      </w:rPr>
    </w:lvl>
    <w:lvl w:ilvl="1">
      <w:start w:val="1"/>
      <w:numFmt w:val="lowerRoman"/>
      <w:pStyle w:val="2Leveliblock"/>
      <w:lvlText w:val="(%2)"/>
      <w:lvlJc w:val="left"/>
      <w:pPr>
        <w:tabs>
          <w:tab w:val="num" w:pos="864"/>
        </w:tabs>
        <w:ind w:left="864" w:hanging="432"/>
      </w:pPr>
      <w:rPr>
        <w:rFonts w:hint="default"/>
        <w:lang w:val="es-AR"/>
      </w:rPr>
    </w:lvl>
    <w:lvl w:ilvl="2">
      <w:start w:val="1"/>
      <w:numFmt w:val="lowerRoman"/>
      <w:lvlText w:val="%3)"/>
      <w:lvlJc w:val="left"/>
      <w:pPr>
        <w:tabs>
          <w:tab w:val="num" w:pos="1512"/>
        </w:tabs>
        <w:ind w:left="1512" w:hanging="360"/>
      </w:pPr>
      <w:rPr>
        <w:rFonts w:hint="default"/>
      </w:rPr>
    </w:lvl>
    <w:lvl w:ilvl="3">
      <w:start w:val="1"/>
      <w:numFmt w:val="decimal"/>
      <w:lvlText w:val="(%4)"/>
      <w:lvlJc w:val="left"/>
      <w:pPr>
        <w:tabs>
          <w:tab w:val="num" w:pos="1872"/>
        </w:tabs>
        <w:ind w:left="1872" w:hanging="360"/>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592"/>
        </w:tabs>
        <w:ind w:left="2592" w:hanging="360"/>
      </w:pPr>
      <w:rPr>
        <w:rFonts w:hint="default"/>
      </w:rPr>
    </w:lvl>
    <w:lvl w:ilvl="6">
      <w:start w:val="1"/>
      <w:numFmt w:val="decimal"/>
      <w:lvlText w:val="%7."/>
      <w:lvlJc w:val="left"/>
      <w:pPr>
        <w:tabs>
          <w:tab w:val="num" w:pos="2952"/>
        </w:tabs>
        <w:ind w:left="2952" w:hanging="360"/>
      </w:pPr>
      <w:rPr>
        <w:rFonts w:hint="default"/>
      </w:rPr>
    </w:lvl>
    <w:lvl w:ilvl="7">
      <w:start w:val="1"/>
      <w:numFmt w:val="lowerLetter"/>
      <w:lvlText w:val="%8."/>
      <w:lvlJc w:val="left"/>
      <w:pPr>
        <w:tabs>
          <w:tab w:val="num" w:pos="3312"/>
        </w:tabs>
        <w:ind w:left="3312" w:hanging="360"/>
      </w:pPr>
      <w:rPr>
        <w:rFonts w:hint="default"/>
      </w:rPr>
    </w:lvl>
    <w:lvl w:ilvl="8">
      <w:start w:val="1"/>
      <w:numFmt w:val="lowerRoman"/>
      <w:lvlText w:val="%9."/>
      <w:lvlJc w:val="left"/>
      <w:pPr>
        <w:tabs>
          <w:tab w:val="num" w:pos="3672"/>
        </w:tabs>
        <w:ind w:left="3672" w:hanging="360"/>
      </w:pPr>
      <w:rPr>
        <w:rFonts w:hint="default"/>
      </w:rPr>
    </w:lvl>
  </w:abstractNum>
  <w:abstractNum w:abstractNumId="61" w15:restartNumberingAfterBreak="0">
    <w:nsid w:val="5E1760CB"/>
    <w:multiLevelType w:val="multilevel"/>
    <w:tmpl w:val="8BAE1610"/>
    <w:name w:val="Heading"/>
    <w:lvl w:ilvl="0">
      <w:start w:val="1"/>
      <w:numFmt w:val="none"/>
      <w:suff w:val="nothing"/>
      <w:lvlText w:val=""/>
      <w:lvlJc w:val="left"/>
      <w:rPr>
        <w:rFonts w:ascii="Times New Roman" w:hAnsi="Times New Roman" w:cs="Times New Roman"/>
        <w:b w:val="0"/>
        <w:i w:val="0"/>
        <w:caps w:val="0"/>
        <w:strike w:val="0"/>
        <w:dstrike w:val="0"/>
        <w:color w:val="000000"/>
      </w:rPr>
    </w:lvl>
    <w:lvl w:ilvl="1">
      <w:start w:val="1"/>
      <w:numFmt w:val="none"/>
      <w:suff w:val="nothing"/>
      <w:lvlText w:val=""/>
      <w:lvlJc w:val="left"/>
      <w:pPr>
        <w:ind w:left="720"/>
      </w:pPr>
      <w:rPr>
        <w:rFonts w:ascii="Times New Roman" w:hAnsi="Times New Roman" w:cs="Times New Roman"/>
        <w:b w:val="0"/>
        <w:i w:val="0"/>
        <w:caps w:val="0"/>
        <w:strike w:val="0"/>
        <w:dstrike w:val="0"/>
        <w:color w:val="000000"/>
      </w:rPr>
    </w:lvl>
    <w:lvl w:ilvl="2">
      <w:start w:val="1"/>
      <w:numFmt w:val="none"/>
      <w:suff w:val="nothing"/>
      <w:lvlText w:val=""/>
      <w:lvlJc w:val="left"/>
      <w:pPr>
        <w:ind w:left="1440"/>
      </w:pPr>
      <w:rPr>
        <w:rFonts w:ascii="Times New Roman" w:hAnsi="Times New Roman" w:cs="Times New Roman"/>
        <w:b w:val="0"/>
        <w:i w:val="0"/>
        <w:caps w:val="0"/>
        <w:strike w:val="0"/>
        <w:dstrike w:val="0"/>
        <w:color w:val="000000"/>
      </w:rPr>
    </w:lvl>
    <w:lvl w:ilvl="3">
      <w:start w:val="1"/>
      <w:numFmt w:val="lowerRoman"/>
      <w:lvlText w:val="(%4)"/>
      <w:lvlJc w:val="left"/>
      <w:pPr>
        <w:ind w:left="2160" w:hanging="90"/>
      </w:pPr>
      <w:rPr>
        <w:rFonts w:ascii="Times New Roman" w:hAnsi="Times New Roman" w:cs="Times New Roman"/>
        <w:b w:val="0"/>
        <w:i w:val="0"/>
        <w:caps w:val="0"/>
        <w:strike w:val="0"/>
        <w:dstrike w:val="0"/>
        <w:color w:val="000000"/>
      </w:rPr>
    </w:lvl>
    <w:lvl w:ilvl="4">
      <w:start w:val="1"/>
      <w:numFmt w:val="none"/>
      <w:suff w:val="nothing"/>
      <w:lvlText w:val=""/>
      <w:lvlJc w:val="left"/>
      <w:pPr>
        <w:ind w:left="2880"/>
      </w:pPr>
      <w:rPr>
        <w:rFonts w:ascii="Times New Roman" w:hAnsi="Times New Roman" w:cs="Times New Roman"/>
        <w:b w:val="0"/>
        <w:i w:val="0"/>
        <w:caps w:val="0"/>
        <w:strike w:val="0"/>
        <w:dstrike w:val="0"/>
        <w:color w:val="000000"/>
      </w:rPr>
    </w:lvl>
    <w:lvl w:ilvl="5">
      <w:start w:val="1"/>
      <w:numFmt w:val="none"/>
      <w:suff w:val="nothing"/>
      <w:lvlText w:val=""/>
      <w:lvlJc w:val="left"/>
      <w:pPr>
        <w:ind w:left="3600"/>
      </w:pPr>
      <w:rPr>
        <w:rFonts w:ascii="Times New Roman" w:hAnsi="Times New Roman" w:cs="Times New Roman"/>
        <w:b w:val="0"/>
        <w:i w:val="0"/>
        <w:caps w:val="0"/>
        <w:strike w:val="0"/>
        <w:dstrike w:val="0"/>
        <w:color w:val="000000"/>
      </w:rPr>
    </w:lvl>
    <w:lvl w:ilvl="6">
      <w:start w:val="1"/>
      <w:numFmt w:val="none"/>
      <w:suff w:val="nothing"/>
      <w:lvlText w:val=""/>
      <w:lvlJc w:val="left"/>
      <w:pPr>
        <w:ind w:left="4320"/>
      </w:pPr>
      <w:rPr>
        <w:rFonts w:ascii="Times New Roman" w:hAnsi="Times New Roman" w:cs="Times New Roman"/>
        <w:b w:val="0"/>
        <w:i w:val="0"/>
        <w:caps w:val="0"/>
        <w:strike w:val="0"/>
        <w:dstrike w:val="0"/>
        <w:color w:val="000000"/>
      </w:rPr>
    </w:lvl>
    <w:lvl w:ilvl="7">
      <w:start w:val="1"/>
      <w:numFmt w:val="none"/>
      <w:suff w:val="nothing"/>
      <w:lvlText w:val=""/>
      <w:lvlJc w:val="left"/>
      <w:pPr>
        <w:ind w:left="5040"/>
      </w:pPr>
      <w:rPr>
        <w:rFonts w:ascii="Times New Roman" w:hAnsi="Times New Roman" w:cs="Times New Roman"/>
        <w:b w:val="0"/>
        <w:i w:val="0"/>
        <w:caps w:val="0"/>
        <w:strike w:val="0"/>
        <w:dstrike w:val="0"/>
        <w:color w:val="000000"/>
      </w:rPr>
    </w:lvl>
    <w:lvl w:ilvl="8">
      <w:start w:val="1"/>
      <w:numFmt w:val="none"/>
      <w:suff w:val="nothing"/>
      <w:lvlText w:val=""/>
      <w:lvlJc w:val="left"/>
      <w:pPr>
        <w:ind w:left="5400"/>
      </w:pPr>
      <w:rPr>
        <w:rFonts w:ascii="Times New Roman" w:hAnsi="Times New Roman" w:cs="Times New Roman"/>
        <w:b w:val="0"/>
        <w:i w:val="0"/>
        <w:caps w:val="0"/>
        <w:strike w:val="0"/>
        <w:dstrike w:val="0"/>
        <w:color w:val="000000"/>
      </w:rPr>
    </w:lvl>
  </w:abstractNum>
  <w:abstractNum w:abstractNumId="62" w15:restartNumberingAfterBreak="0">
    <w:nsid w:val="6155577A"/>
    <w:multiLevelType w:val="hybridMultilevel"/>
    <w:tmpl w:val="C568B8A4"/>
    <w:lvl w:ilvl="0" w:tplc="129A0494">
      <w:start w:val="1"/>
      <w:numFmt w:val="bullet"/>
      <w:pStyle w:val="STB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35920F1"/>
    <w:multiLevelType w:val="hybridMultilevel"/>
    <w:tmpl w:val="1770663A"/>
    <w:lvl w:ilvl="0" w:tplc="1DF23F52">
      <w:start w:val="1"/>
      <w:numFmt w:val="bullet"/>
      <w:pStyle w:val="STBBullet2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7EE66BA"/>
    <w:multiLevelType w:val="hybridMultilevel"/>
    <w:tmpl w:val="7EE204F8"/>
    <w:lvl w:ilvl="0" w:tplc="AA04108A">
      <w:start w:val="1"/>
      <w:numFmt w:val="decimal"/>
      <w:pStyle w:val="STB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8211280"/>
    <w:multiLevelType w:val="hybridMultilevel"/>
    <w:tmpl w:val="CB225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2A66B7"/>
    <w:multiLevelType w:val="hybridMultilevel"/>
    <w:tmpl w:val="993890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7" w15:restartNumberingAfterBreak="0">
    <w:nsid w:val="68DE54A0"/>
    <w:multiLevelType w:val="hybridMultilevel"/>
    <w:tmpl w:val="80C8F4DA"/>
    <w:lvl w:ilvl="0" w:tplc="0DF49580">
      <w:start w:val="1"/>
      <w:numFmt w:val="bullet"/>
      <w:pStyle w:val="BodyTextItal"/>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B49113E"/>
    <w:multiLevelType w:val="hybridMultilevel"/>
    <w:tmpl w:val="BF34E3BE"/>
    <w:lvl w:ilvl="0" w:tplc="D67628E2">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9" w15:restartNumberingAfterBreak="0">
    <w:nsid w:val="71DF3A8C"/>
    <w:multiLevelType w:val="hybridMultilevel"/>
    <w:tmpl w:val="958ED4B4"/>
    <w:lvl w:ilvl="0" w:tplc="47FCF37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0" w15:restartNumberingAfterBreak="0">
    <w:nsid w:val="725A49B9"/>
    <w:multiLevelType w:val="hybridMultilevel"/>
    <w:tmpl w:val="29BA40DA"/>
    <w:lvl w:ilvl="0" w:tplc="A9F818D6">
      <w:start w:val="1"/>
      <w:numFmt w:val="lowerRoman"/>
      <w:lvlText w:val="(%1)"/>
      <w:lvlJc w:val="left"/>
      <w:pPr>
        <w:ind w:left="1429"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71" w15:restartNumberingAfterBreak="0">
    <w:nsid w:val="75227C8A"/>
    <w:multiLevelType w:val="hybridMultilevel"/>
    <w:tmpl w:val="0E5E77F0"/>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start w:val="1"/>
      <w:numFmt w:val="bullet"/>
      <w:lvlText w:val="o"/>
      <w:lvlJc w:val="left"/>
      <w:pPr>
        <w:ind w:left="3744" w:hanging="360"/>
      </w:pPr>
      <w:rPr>
        <w:rFonts w:ascii="Courier New" w:hAnsi="Courier New" w:hint="default"/>
      </w:rPr>
    </w:lvl>
    <w:lvl w:ilvl="5" w:tplc="04090005">
      <w:start w:val="1"/>
      <w:numFmt w:val="bullet"/>
      <w:lvlText w:val=""/>
      <w:lvlJc w:val="left"/>
      <w:pPr>
        <w:ind w:left="4464" w:hanging="360"/>
      </w:pPr>
      <w:rPr>
        <w:rFonts w:ascii="Wingdings" w:hAnsi="Wingdings" w:hint="default"/>
      </w:rPr>
    </w:lvl>
    <w:lvl w:ilvl="6" w:tplc="04090001">
      <w:start w:val="1"/>
      <w:numFmt w:val="bullet"/>
      <w:lvlText w:val=""/>
      <w:lvlJc w:val="left"/>
      <w:pPr>
        <w:ind w:left="5184" w:hanging="360"/>
      </w:pPr>
      <w:rPr>
        <w:rFonts w:ascii="Symbol" w:hAnsi="Symbol" w:hint="default"/>
      </w:rPr>
    </w:lvl>
    <w:lvl w:ilvl="7" w:tplc="04090003">
      <w:start w:val="1"/>
      <w:numFmt w:val="bullet"/>
      <w:lvlText w:val="o"/>
      <w:lvlJc w:val="left"/>
      <w:pPr>
        <w:ind w:left="5904" w:hanging="360"/>
      </w:pPr>
      <w:rPr>
        <w:rFonts w:ascii="Courier New" w:hAnsi="Courier New" w:hint="default"/>
      </w:rPr>
    </w:lvl>
    <w:lvl w:ilvl="8" w:tplc="04090005">
      <w:start w:val="1"/>
      <w:numFmt w:val="bullet"/>
      <w:lvlText w:val=""/>
      <w:lvlJc w:val="left"/>
      <w:pPr>
        <w:ind w:left="6624" w:hanging="360"/>
      </w:pPr>
      <w:rPr>
        <w:rFonts w:ascii="Wingdings" w:hAnsi="Wingdings" w:hint="default"/>
      </w:rPr>
    </w:lvl>
  </w:abstractNum>
  <w:abstractNum w:abstractNumId="72" w15:restartNumberingAfterBreak="0">
    <w:nsid w:val="78B80A10"/>
    <w:multiLevelType w:val="multilevel"/>
    <w:tmpl w:val="7E1ED764"/>
    <w:name w:val="FlatNumbersListTemplate"/>
    <w:styleLink w:val="FlatNumbersList"/>
    <w:lvl w:ilvl="0">
      <w:start w:val="1"/>
      <w:numFmt w:val="decimal"/>
      <w:lvlText w:val="%1."/>
      <w:lvlJc w:val="left"/>
      <w:pPr>
        <w:tabs>
          <w:tab w:val="num" w:pos="720"/>
        </w:tabs>
        <w:ind w:left="1080" w:hanging="360"/>
      </w:pPr>
      <w:rPr>
        <w:rFonts w:hint="default"/>
      </w:rPr>
    </w:lvl>
    <w:lvl w:ilvl="1">
      <w:start w:val="1"/>
      <w:numFmt w:val="decimal"/>
      <w:lvlRestart w:val="0"/>
      <w:lvlText w:val="%2."/>
      <w:lvlJc w:val="left"/>
      <w:pPr>
        <w:ind w:left="0" w:firstLine="720"/>
      </w:pPr>
      <w:rPr>
        <w:rFonts w:hint="default"/>
      </w:rPr>
    </w:lvl>
    <w:lvl w:ilvl="2">
      <w:start w:val="1"/>
      <w:numFmt w:val="lowerLetter"/>
      <w:lvlRestart w:val="0"/>
      <w:lvlText w:val="(%3)"/>
      <w:lvlJc w:val="left"/>
      <w:pPr>
        <w:ind w:left="0" w:firstLine="720"/>
      </w:pPr>
      <w:rPr>
        <w:rFonts w:hint="default"/>
      </w:rPr>
    </w:lvl>
    <w:lvl w:ilvl="3">
      <w:start w:val="1"/>
      <w:numFmt w:val="lowerRoman"/>
      <w:lvlRestart w:val="0"/>
      <w:lvlText w:val="(%4)"/>
      <w:lvlJc w:val="left"/>
      <w:pPr>
        <w:ind w:left="0" w:firstLine="720"/>
      </w:pPr>
      <w:rPr>
        <w:rFonts w:hint="default"/>
      </w:rPr>
    </w:lvl>
    <w:lvl w:ilvl="4">
      <w:start w:val="1"/>
      <w:numFmt w:val="ordinalText"/>
      <w:lvlRestart w:val="0"/>
      <w:suff w:val="space"/>
      <w:lvlText w:val="%5,"/>
      <w:lvlJc w:val="left"/>
      <w:pPr>
        <w:ind w:left="0" w:firstLine="720"/>
      </w:pPr>
      <w:rPr>
        <w:rFonts w:hint="default"/>
      </w:rPr>
    </w:lvl>
    <w:lvl w:ilvl="5">
      <w:start w:val="1"/>
      <w:numFmt w:val="none"/>
      <w:lvlRestart w:val="0"/>
      <w:lvlText w:val="Q:"/>
      <w:lvlJc w:val="left"/>
      <w:pPr>
        <w:ind w:left="1440" w:hanging="720"/>
      </w:pPr>
      <w:rPr>
        <w:rFonts w:hint="default"/>
      </w:rPr>
    </w:lvl>
    <w:lvl w:ilvl="6">
      <w:start w:val="1"/>
      <w:numFmt w:val="none"/>
      <w:lvlRestart w:val="0"/>
      <w:lvlText w:val="A:"/>
      <w:lvlJc w:val="left"/>
      <w:pPr>
        <w:ind w:left="1440" w:hanging="720"/>
      </w:pPr>
      <w:rPr>
        <w:rFonts w:hint="default"/>
      </w:rPr>
    </w:lvl>
    <w:lvl w:ilvl="7">
      <w:start w:val="1"/>
      <w:numFmt w:val="decimal"/>
      <w:lvlRestart w:val="0"/>
      <w:lvlText w:val="(%8)"/>
      <w:lvlJc w:val="left"/>
      <w:pPr>
        <w:ind w:left="720" w:hanging="720"/>
      </w:pPr>
      <w:rPr>
        <w:rFonts w:hint="default"/>
        <w:b/>
        <w:i w:val="0"/>
      </w:rPr>
    </w:lvl>
    <w:lvl w:ilvl="8">
      <w:start w:val="1"/>
      <w:numFmt w:val="upperLetter"/>
      <w:lvlRestart w:val="0"/>
      <w:lvlText w:val="(%9)"/>
      <w:lvlJc w:val="left"/>
      <w:pPr>
        <w:ind w:left="720" w:hanging="720"/>
      </w:pPr>
      <w:rPr>
        <w:rFonts w:hint="default"/>
        <w:b/>
        <w:i w:val="0"/>
      </w:rPr>
    </w:lvl>
  </w:abstractNum>
  <w:abstractNum w:abstractNumId="73" w15:restartNumberingAfterBreak="0">
    <w:nsid w:val="7BBF344B"/>
    <w:multiLevelType w:val="hybridMultilevel"/>
    <w:tmpl w:val="82044D08"/>
    <w:lvl w:ilvl="0" w:tplc="E188D1B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4" w15:restartNumberingAfterBreak="0">
    <w:nsid w:val="7D143CF1"/>
    <w:multiLevelType w:val="hybridMultilevel"/>
    <w:tmpl w:val="46768594"/>
    <w:lvl w:ilvl="0" w:tplc="0A9EB08C">
      <w:start w:val="1"/>
      <w:numFmt w:val="bullet"/>
      <w:pStyle w:val="STB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D2B223F"/>
    <w:multiLevelType w:val="hybridMultilevel"/>
    <w:tmpl w:val="975E5BE8"/>
    <w:lvl w:ilvl="0" w:tplc="FE3CF4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6" w15:restartNumberingAfterBreak="0">
    <w:nsid w:val="7E8765D1"/>
    <w:multiLevelType w:val="hybridMultilevel"/>
    <w:tmpl w:val="207232AE"/>
    <w:lvl w:ilvl="0" w:tplc="B5147640">
      <w:start w:val="1"/>
      <w:numFmt w:val="bullet"/>
      <w:pStyle w:val="STBBullet1DBL"/>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1"/>
  </w:num>
  <w:num w:numId="3">
    <w:abstractNumId w:val="71"/>
  </w:num>
  <w:num w:numId="4">
    <w:abstractNumId w:val="28"/>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54"/>
  </w:num>
  <w:num w:numId="10">
    <w:abstractNumId w:val="27"/>
  </w:num>
  <w:num w:numId="11">
    <w:abstractNumId w:val="70"/>
  </w:num>
  <w:num w:numId="12">
    <w:abstractNumId w:val="69"/>
  </w:num>
  <w:num w:numId="13">
    <w:abstractNumId w:val="43"/>
  </w:num>
  <w:num w:numId="14">
    <w:abstractNumId w:val="16"/>
  </w:num>
  <w:num w:numId="15">
    <w:abstractNumId w:val="60"/>
  </w:num>
  <w:num w:numId="16">
    <w:abstractNumId w:val="6"/>
  </w:num>
  <w:num w:numId="17">
    <w:abstractNumId w:val="53"/>
  </w:num>
  <w:num w:numId="18">
    <w:abstractNumId w:val="24"/>
  </w:num>
  <w:num w:numId="19">
    <w:abstractNumId w:val="67"/>
  </w:num>
  <w:num w:numId="20">
    <w:abstractNumId w:val="4"/>
  </w:num>
  <w:num w:numId="21">
    <w:abstractNumId w:val="3"/>
  </w:num>
  <w:num w:numId="22">
    <w:abstractNumId w:val="2"/>
  </w:num>
  <w:num w:numId="23">
    <w:abstractNumId w:val="1"/>
  </w:num>
  <w:num w:numId="24">
    <w:abstractNumId w:val="0"/>
  </w:num>
  <w:num w:numId="25">
    <w:abstractNumId w:val="42"/>
  </w:num>
  <w:num w:numId="26">
    <w:abstractNumId w:val="62"/>
  </w:num>
  <w:num w:numId="27">
    <w:abstractNumId w:val="74"/>
  </w:num>
  <w:num w:numId="28">
    <w:abstractNumId w:val="76"/>
  </w:num>
  <w:num w:numId="29">
    <w:abstractNumId w:val="63"/>
  </w:num>
  <w:num w:numId="30">
    <w:abstractNumId w:val="49"/>
  </w:num>
  <w:num w:numId="31">
    <w:abstractNumId w:val="23"/>
  </w:num>
  <w:num w:numId="32">
    <w:abstractNumId w:val="56"/>
  </w:num>
  <w:num w:numId="33">
    <w:abstractNumId w:val="29"/>
  </w:num>
  <w:num w:numId="34">
    <w:abstractNumId w:val="59"/>
  </w:num>
  <w:num w:numId="35">
    <w:abstractNumId w:val="64"/>
  </w:num>
  <w:num w:numId="36">
    <w:abstractNumId w:val="22"/>
  </w:num>
  <w:num w:numId="37">
    <w:abstractNumId w:val="13"/>
  </w:num>
  <w:num w:numId="38">
    <w:abstractNumId w:val="30"/>
  </w:num>
  <w:num w:numId="39">
    <w:abstractNumId w:val="40"/>
  </w:num>
  <w:num w:numId="40">
    <w:abstractNumId w:val="51"/>
  </w:num>
  <w:num w:numId="41">
    <w:abstractNumId w:val="14"/>
  </w:num>
  <w:num w:numId="42">
    <w:abstractNumId w:val="72"/>
  </w:num>
  <w:num w:numId="43">
    <w:abstractNumId w:val="33"/>
  </w:num>
  <w:num w:numId="44">
    <w:abstractNumId w:val="38"/>
  </w:num>
  <w:num w:numId="45">
    <w:abstractNumId w:val="1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7"/>
  </w:num>
  <w:num w:numId="49">
    <w:abstractNumId w:val="11"/>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num>
  <w:num w:numId="52">
    <w:abstractNumId w:val="50"/>
  </w:num>
  <w:num w:numId="53">
    <w:abstractNumId w:val="47"/>
  </w:num>
  <w:num w:numId="54">
    <w:abstractNumId w:val="57"/>
  </w:num>
  <w:num w:numId="55">
    <w:abstractNumId w:val="44"/>
  </w:num>
  <w:num w:numId="56">
    <w:abstractNumId w:val="26"/>
  </w:num>
  <w:num w:numId="57">
    <w:abstractNumId w:val="32"/>
  </w:num>
  <w:num w:numId="58">
    <w:abstractNumId w:val="37"/>
  </w:num>
  <w:num w:numId="59">
    <w:abstractNumId w:val="35"/>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num>
  <w:num w:numId="62">
    <w:abstractNumId w:val="34"/>
  </w:num>
  <w:num w:numId="63">
    <w:abstractNumId w:val="31"/>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6"/>
  </w:num>
  <w:num w:numId="66">
    <w:abstractNumId w:val="75"/>
  </w:num>
  <w:num w:numId="67">
    <w:abstractNumId w:val="68"/>
  </w:num>
  <w:num w:numId="68">
    <w:abstractNumId w:val="73"/>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num>
  <w:num w:numId="71">
    <w:abstractNumId w:val="21"/>
  </w:num>
  <w:num w:numId="72">
    <w:abstractNumId w:val="36"/>
  </w:num>
  <w:num w:numId="73">
    <w:abstractNumId w:val="17"/>
  </w:num>
  <w:num w:numId="74">
    <w:abstractNumId w:val="55"/>
  </w:num>
  <w:num w:numId="75">
    <w:abstractNumId w:val="46"/>
  </w:num>
  <w:num w:numId="76">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GB" w:vendorID="64" w:dllVersion="6" w:nlCheck="1" w:checkStyle="1"/>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A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BC"/>
    <w:rsid w:val="00000111"/>
    <w:rsid w:val="0000058D"/>
    <w:rsid w:val="000015BB"/>
    <w:rsid w:val="0000168E"/>
    <w:rsid w:val="00001E00"/>
    <w:rsid w:val="00001ED8"/>
    <w:rsid w:val="000021FF"/>
    <w:rsid w:val="00002330"/>
    <w:rsid w:val="000023FA"/>
    <w:rsid w:val="00002415"/>
    <w:rsid w:val="00002740"/>
    <w:rsid w:val="00002760"/>
    <w:rsid w:val="00002F78"/>
    <w:rsid w:val="00003175"/>
    <w:rsid w:val="00003374"/>
    <w:rsid w:val="000036A2"/>
    <w:rsid w:val="00003F9B"/>
    <w:rsid w:val="00004565"/>
    <w:rsid w:val="00004B95"/>
    <w:rsid w:val="000057AF"/>
    <w:rsid w:val="00005A25"/>
    <w:rsid w:val="0000676A"/>
    <w:rsid w:val="00006986"/>
    <w:rsid w:val="00006B11"/>
    <w:rsid w:val="00006F04"/>
    <w:rsid w:val="00007B6E"/>
    <w:rsid w:val="00007FB7"/>
    <w:rsid w:val="00007FCA"/>
    <w:rsid w:val="00010860"/>
    <w:rsid w:val="00010BD5"/>
    <w:rsid w:val="0001112F"/>
    <w:rsid w:val="000111B8"/>
    <w:rsid w:val="0001165F"/>
    <w:rsid w:val="00011AB1"/>
    <w:rsid w:val="00011B2B"/>
    <w:rsid w:val="00011FC0"/>
    <w:rsid w:val="00012000"/>
    <w:rsid w:val="00012149"/>
    <w:rsid w:val="00012877"/>
    <w:rsid w:val="000128DC"/>
    <w:rsid w:val="00012B98"/>
    <w:rsid w:val="00013132"/>
    <w:rsid w:val="00013676"/>
    <w:rsid w:val="00013716"/>
    <w:rsid w:val="000138DB"/>
    <w:rsid w:val="000148C1"/>
    <w:rsid w:val="00014900"/>
    <w:rsid w:val="00014FC1"/>
    <w:rsid w:val="00015779"/>
    <w:rsid w:val="00015D89"/>
    <w:rsid w:val="00015D8B"/>
    <w:rsid w:val="00016202"/>
    <w:rsid w:val="000164CC"/>
    <w:rsid w:val="00016655"/>
    <w:rsid w:val="000168F1"/>
    <w:rsid w:val="00020258"/>
    <w:rsid w:val="000208A9"/>
    <w:rsid w:val="000213D4"/>
    <w:rsid w:val="00021953"/>
    <w:rsid w:val="00021B29"/>
    <w:rsid w:val="000223E8"/>
    <w:rsid w:val="00022828"/>
    <w:rsid w:val="000229AF"/>
    <w:rsid w:val="0002305D"/>
    <w:rsid w:val="00023093"/>
    <w:rsid w:val="000230F3"/>
    <w:rsid w:val="00023490"/>
    <w:rsid w:val="00023998"/>
    <w:rsid w:val="0002414E"/>
    <w:rsid w:val="00024157"/>
    <w:rsid w:val="00024497"/>
    <w:rsid w:val="00024551"/>
    <w:rsid w:val="00024A82"/>
    <w:rsid w:val="00025594"/>
    <w:rsid w:val="00025833"/>
    <w:rsid w:val="00025B4E"/>
    <w:rsid w:val="00025C20"/>
    <w:rsid w:val="000262E8"/>
    <w:rsid w:val="00027284"/>
    <w:rsid w:val="000273ED"/>
    <w:rsid w:val="00027657"/>
    <w:rsid w:val="000309DD"/>
    <w:rsid w:val="000310D5"/>
    <w:rsid w:val="00031CCE"/>
    <w:rsid w:val="000354B4"/>
    <w:rsid w:val="00035AE3"/>
    <w:rsid w:val="000361D8"/>
    <w:rsid w:val="00036374"/>
    <w:rsid w:val="00036393"/>
    <w:rsid w:val="00036549"/>
    <w:rsid w:val="000368F7"/>
    <w:rsid w:val="00036AF7"/>
    <w:rsid w:val="00036FBE"/>
    <w:rsid w:val="00037638"/>
    <w:rsid w:val="00037C12"/>
    <w:rsid w:val="00040249"/>
    <w:rsid w:val="0004081E"/>
    <w:rsid w:val="00040B9A"/>
    <w:rsid w:val="00040FB8"/>
    <w:rsid w:val="00042142"/>
    <w:rsid w:val="00043494"/>
    <w:rsid w:val="00043D5E"/>
    <w:rsid w:val="00043EFE"/>
    <w:rsid w:val="000450FD"/>
    <w:rsid w:val="00045E3F"/>
    <w:rsid w:val="000468D6"/>
    <w:rsid w:val="00046903"/>
    <w:rsid w:val="000469B1"/>
    <w:rsid w:val="0004703C"/>
    <w:rsid w:val="00047A1E"/>
    <w:rsid w:val="0005026F"/>
    <w:rsid w:val="0005027E"/>
    <w:rsid w:val="0005041D"/>
    <w:rsid w:val="00050B3D"/>
    <w:rsid w:val="00050BFF"/>
    <w:rsid w:val="00050F35"/>
    <w:rsid w:val="000518A5"/>
    <w:rsid w:val="00051A26"/>
    <w:rsid w:val="0005259B"/>
    <w:rsid w:val="00052BB7"/>
    <w:rsid w:val="0005351C"/>
    <w:rsid w:val="000536C2"/>
    <w:rsid w:val="00053CDA"/>
    <w:rsid w:val="000540C5"/>
    <w:rsid w:val="0005451E"/>
    <w:rsid w:val="0005472C"/>
    <w:rsid w:val="00054BE2"/>
    <w:rsid w:val="00055073"/>
    <w:rsid w:val="000553F0"/>
    <w:rsid w:val="00056A33"/>
    <w:rsid w:val="00057D39"/>
    <w:rsid w:val="00060004"/>
    <w:rsid w:val="000607E7"/>
    <w:rsid w:val="00060B34"/>
    <w:rsid w:val="00060FAF"/>
    <w:rsid w:val="000610A5"/>
    <w:rsid w:val="0006126A"/>
    <w:rsid w:val="00061632"/>
    <w:rsid w:val="00061CD9"/>
    <w:rsid w:val="00062222"/>
    <w:rsid w:val="0006235E"/>
    <w:rsid w:val="0006294C"/>
    <w:rsid w:val="00063BCB"/>
    <w:rsid w:val="00063F74"/>
    <w:rsid w:val="00064051"/>
    <w:rsid w:val="0006576F"/>
    <w:rsid w:val="00065BA0"/>
    <w:rsid w:val="00065E38"/>
    <w:rsid w:val="00065F93"/>
    <w:rsid w:val="00065FAE"/>
    <w:rsid w:val="0006625B"/>
    <w:rsid w:val="00066462"/>
    <w:rsid w:val="00066FB1"/>
    <w:rsid w:val="000672B2"/>
    <w:rsid w:val="0006762C"/>
    <w:rsid w:val="000676A4"/>
    <w:rsid w:val="000676D7"/>
    <w:rsid w:val="00070341"/>
    <w:rsid w:val="000709B4"/>
    <w:rsid w:val="00071167"/>
    <w:rsid w:val="00071450"/>
    <w:rsid w:val="00071D16"/>
    <w:rsid w:val="00071F70"/>
    <w:rsid w:val="0007200D"/>
    <w:rsid w:val="00072382"/>
    <w:rsid w:val="00073407"/>
    <w:rsid w:val="00073F0C"/>
    <w:rsid w:val="00073F70"/>
    <w:rsid w:val="000751F6"/>
    <w:rsid w:val="000752CE"/>
    <w:rsid w:val="000753EF"/>
    <w:rsid w:val="00075992"/>
    <w:rsid w:val="00075A69"/>
    <w:rsid w:val="00075F65"/>
    <w:rsid w:val="00076812"/>
    <w:rsid w:val="00076D16"/>
    <w:rsid w:val="00076E17"/>
    <w:rsid w:val="0007724C"/>
    <w:rsid w:val="00080682"/>
    <w:rsid w:val="000808A7"/>
    <w:rsid w:val="00081780"/>
    <w:rsid w:val="000817F8"/>
    <w:rsid w:val="00081AB8"/>
    <w:rsid w:val="00081F37"/>
    <w:rsid w:val="000829B8"/>
    <w:rsid w:val="00083734"/>
    <w:rsid w:val="00083EA3"/>
    <w:rsid w:val="00084470"/>
    <w:rsid w:val="00084A05"/>
    <w:rsid w:val="00084A7F"/>
    <w:rsid w:val="0008529B"/>
    <w:rsid w:val="0008572C"/>
    <w:rsid w:val="000858B2"/>
    <w:rsid w:val="000869EE"/>
    <w:rsid w:val="00086D9A"/>
    <w:rsid w:val="0008757A"/>
    <w:rsid w:val="00090E67"/>
    <w:rsid w:val="00091133"/>
    <w:rsid w:val="00091584"/>
    <w:rsid w:val="00091A04"/>
    <w:rsid w:val="00091E54"/>
    <w:rsid w:val="000926EB"/>
    <w:rsid w:val="00092A76"/>
    <w:rsid w:val="00093265"/>
    <w:rsid w:val="00093B99"/>
    <w:rsid w:val="00094022"/>
    <w:rsid w:val="000943A5"/>
    <w:rsid w:val="000946A4"/>
    <w:rsid w:val="00095B17"/>
    <w:rsid w:val="00096C0F"/>
    <w:rsid w:val="00096EDA"/>
    <w:rsid w:val="00097235"/>
    <w:rsid w:val="000A090B"/>
    <w:rsid w:val="000A111F"/>
    <w:rsid w:val="000A1C93"/>
    <w:rsid w:val="000A1D5F"/>
    <w:rsid w:val="000A22C4"/>
    <w:rsid w:val="000A3596"/>
    <w:rsid w:val="000A3C9C"/>
    <w:rsid w:val="000A3FE4"/>
    <w:rsid w:val="000A482E"/>
    <w:rsid w:val="000A4F7F"/>
    <w:rsid w:val="000A562E"/>
    <w:rsid w:val="000A5A86"/>
    <w:rsid w:val="000A6AC3"/>
    <w:rsid w:val="000A6D05"/>
    <w:rsid w:val="000A7168"/>
    <w:rsid w:val="000A742F"/>
    <w:rsid w:val="000A788F"/>
    <w:rsid w:val="000B00A6"/>
    <w:rsid w:val="000B04E1"/>
    <w:rsid w:val="000B08D2"/>
    <w:rsid w:val="000B08F2"/>
    <w:rsid w:val="000B0B55"/>
    <w:rsid w:val="000B0C22"/>
    <w:rsid w:val="000B0C68"/>
    <w:rsid w:val="000B1B09"/>
    <w:rsid w:val="000B1B12"/>
    <w:rsid w:val="000B28F6"/>
    <w:rsid w:val="000B3FD3"/>
    <w:rsid w:val="000B4661"/>
    <w:rsid w:val="000B4901"/>
    <w:rsid w:val="000B4EE2"/>
    <w:rsid w:val="000B50FE"/>
    <w:rsid w:val="000B54EE"/>
    <w:rsid w:val="000B571B"/>
    <w:rsid w:val="000B5B3A"/>
    <w:rsid w:val="000B612C"/>
    <w:rsid w:val="000B62D5"/>
    <w:rsid w:val="000B682A"/>
    <w:rsid w:val="000B68E3"/>
    <w:rsid w:val="000B70B3"/>
    <w:rsid w:val="000B70C3"/>
    <w:rsid w:val="000B7510"/>
    <w:rsid w:val="000B7512"/>
    <w:rsid w:val="000C01DA"/>
    <w:rsid w:val="000C0382"/>
    <w:rsid w:val="000C0792"/>
    <w:rsid w:val="000C0EAE"/>
    <w:rsid w:val="000C1135"/>
    <w:rsid w:val="000C16F6"/>
    <w:rsid w:val="000C1EE4"/>
    <w:rsid w:val="000C1F8C"/>
    <w:rsid w:val="000C2A14"/>
    <w:rsid w:val="000C2FFD"/>
    <w:rsid w:val="000C306E"/>
    <w:rsid w:val="000C345B"/>
    <w:rsid w:val="000C3858"/>
    <w:rsid w:val="000C3A20"/>
    <w:rsid w:val="000C407C"/>
    <w:rsid w:val="000C48E6"/>
    <w:rsid w:val="000C4987"/>
    <w:rsid w:val="000C51C0"/>
    <w:rsid w:val="000C53F1"/>
    <w:rsid w:val="000C603E"/>
    <w:rsid w:val="000C6E26"/>
    <w:rsid w:val="000C7469"/>
    <w:rsid w:val="000D009B"/>
    <w:rsid w:val="000D0626"/>
    <w:rsid w:val="000D0776"/>
    <w:rsid w:val="000D0E29"/>
    <w:rsid w:val="000D0EE2"/>
    <w:rsid w:val="000D1F83"/>
    <w:rsid w:val="000D22D4"/>
    <w:rsid w:val="000D230D"/>
    <w:rsid w:val="000D2747"/>
    <w:rsid w:val="000D2C3C"/>
    <w:rsid w:val="000D3051"/>
    <w:rsid w:val="000D322D"/>
    <w:rsid w:val="000D35F9"/>
    <w:rsid w:val="000D3AE2"/>
    <w:rsid w:val="000D3D29"/>
    <w:rsid w:val="000D49F3"/>
    <w:rsid w:val="000D564F"/>
    <w:rsid w:val="000D5791"/>
    <w:rsid w:val="000D57C6"/>
    <w:rsid w:val="000D6099"/>
    <w:rsid w:val="000D687B"/>
    <w:rsid w:val="000D726B"/>
    <w:rsid w:val="000D7EA8"/>
    <w:rsid w:val="000E0599"/>
    <w:rsid w:val="000E07F1"/>
    <w:rsid w:val="000E120B"/>
    <w:rsid w:val="000E1308"/>
    <w:rsid w:val="000E18D7"/>
    <w:rsid w:val="000E1B0D"/>
    <w:rsid w:val="000E1BE1"/>
    <w:rsid w:val="000E1DFC"/>
    <w:rsid w:val="000E22CA"/>
    <w:rsid w:val="000E2727"/>
    <w:rsid w:val="000E2923"/>
    <w:rsid w:val="000E298C"/>
    <w:rsid w:val="000E2E50"/>
    <w:rsid w:val="000E2EEE"/>
    <w:rsid w:val="000E377D"/>
    <w:rsid w:val="000E406E"/>
    <w:rsid w:val="000E41C0"/>
    <w:rsid w:val="000E4466"/>
    <w:rsid w:val="000E46CD"/>
    <w:rsid w:val="000E474B"/>
    <w:rsid w:val="000E4757"/>
    <w:rsid w:val="000E4D19"/>
    <w:rsid w:val="000E50E4"/>
    <w:rsid w:val="000E5A38"/>
    <w:rsid w:val="000E5C39"/>
    <w:rsid w:val="000E6B94"/>
    <w:rsid w:val="000E7996"/>
    <w:rsid w:val="000E7D37"/>
    <w:rsid w:val="000E7FEB"/>
    <w:rsid w:val="000F06C5"/>
    <w:rsid w:val="000F0E64"/>
    <w:rsid w:val="000F0FEB"/>
    <w:rsid w:val="000F1E80"/>
    <w:rsid w:val="000F24A2"/>
    <w:rsid w:val="000F2569"/>
    <w:rsid w:val="000F2764"/>
    <w:rsid w:val="000F308B"/>
    <w:rsid w:val="000F3398"/>
    <w:rsid w:val="000F3D99"/>
    <w:rsid w:val="000F4053"/>
    <w:rsid w:val="000F40BC"/>
    <w:rsid w:val="000F45C6"/>
    <w:rsid w:val="000F4868"/>
    <w:rsid w:val="000F4A86"/>
    <w:rsid w:val="000F53C4"/>
    <w:rsid w:val="000F6DEC"/>
    <w:rsid w:val="000F71F3"/>
    <w:rsid w:val="000F7421"/>
    <w:rsid w:val="000F775A"/>
    <w:rsid w:val="000F783C"/>
    <w:rsid w:val="000F79F2"/>
    <w:rsid w:val="000F7EFF"/>
    <w:rsid w:val="0010038F"/>
    <w:rsid w:val="001005A6"/>
    <w:rsid w:val="0010076A"/>
    <w:rsid w:val="00101021"/>
    <w:rsid w:val="00101A65"/>
    <w:rsid w:val="00101CF3"/>
    <w:rsid w:val="00101FB1"/>
    <w:rsid w:val="00102EC9"/>
    <w:rsid w:val="0010346F"/>
    <w:rsid w:val="00103A24"/>
    <w:rsid w:val="00103C92"/>
    <w:rsid w:val="00103FE2"/>
    <w:rsid w:val="00105083"/>
    <w:rsid w:val="0010523F"/>
    <w:rsid w:val="0010539B"/>
    <w:rsid w:val="001054FA"/>
    <w:rsid w:val="00105C05"/>
    <w:rsid w:val="00105F45"/>
    <w:rsid w:val="00107F23"/>
    <w:rsid w:val="001107A1"/>
    <w:rsid w:val="001110E5"/>
    <w:rsid w:val="001113FC"/>
    <w:rsid w:val="00111771"/>
    <w:rsid w:val="001118B8"/>
    <w:rsid w:val="00111DAD"/>
    <w:rsid w:val="00112622"/>
    <w:rsid w:val="00112DC3"/>
    <w:rsid w:val="00112F62"/>
    <w:rsid w:val="00113395"/>
    <w:rsid w:val="001135C0"/>
    <w:rsid w:val="00113C92"/>
    <w:rsid w:val="00114661"/>
    <w:rsid w:val="00114EE7"/>
    <w:rsid w:val="0011501F"/>
    <w:rsid w:val="001152DD"/>
    <w:rsid w:val="001155BC"/>
    <w:rsid w:val="001157E6"/>
    <w:rsid w:val="001158D9"/>
    <w:rsid w:val="00116122"/>
    <w:rsid w:val="0011635E"/>
    <w:rsid w:val="00116581"/>
    <w:rsid w:val="00116DA4"/>
    <w:rsid w:val="00117700"/>
    <w:rsid w:val="00117ABE"/>
    <w:rsid w:val="00117E88"/>
    <w:rsid w:val="0012064E"/>
    <w:rsid w:val="0012088B"/>
    <w:rsid w:val="00120B46"/>
    <w:rsid w:val="00121006"/>
    <w:rsid w:val="00121A22"/>
    <w:rsid w:val="00121FE1"/>
    <w:rsid w:val="00122291"/>
    <w:rsid w:val="0012343E"/>
    <w:rsid w:val="00124C69"/>
    <w:rsid w:val="00124E73"/>
    <w:rsid w:val="001256BD"/>
    <w:rsid w:val="00125B4F"/>
    <w:rsid w:val="00127672"/>
    <w:rsid w:val="00127FBC"/>
    <w:rsid w:val="00130F4F"/>
    <w:rsid w:val="00131320"/>
    <w:rsid w:val="00131A26"/>
    <w:rsid w:val="00131E06"/>
    <w:rsid w:val="00132C6D"/>
    <w:rsid w:val="0013346A"/>
    <w:rsid w:val="00133787"/>
    <w:rsid w:val="00134BC8"/>
    <w:rsid w:val="0013516E"/>
    <w:rsid w:val="00135314"/>
    <w:rsid w:val="001355F8"/>
    <w:rsid w:val="00135AF0"/>
    <w:rsid w:val="00135C08"/>
    <w:rsid w:val="00136320"/>
    <w:rsid w:val="0013734F"/>
    <w:rsid w:val="001379F2"/>
    <w:rsid w:val="00137D7C"/>
    <w:rsid w:val="00137DBD"/>
    <w:rsid w:val="00140077"/>
    <w:rsid w:val="0014090B"/>
    <w:rsid w:val="0014126C"/>
    <w:rsid w:val="00142B49"/>
    <w:rsid w:val="0014379F"/>
    <w:rsid w:val="00143A3E"/>
    <w:rsid w:val="001440DC"/>
    <w:rsid w:val="00144D3F"/>
    <w:rsid w:val="001459E2"/>
    <w:rsid w:val="00145FD4"/>
    <w:rsid w:val="001465BB"/>
    <w:rsid w:val="00146A80"/>
    <w:rsid w:val="00147691"/>
    <w:rsid w:val="00147D3B"/>
    <w:rsid w:val="00150DDC"/>
    <w:rsid w:val="00151F62"/>
    <w:rsid w:val="001521DA"/>
    <w:rsid w:val="001525FA"/>
    <w:rsid w:val="00152D4F"/>
    <w:rsid w:val="00153348"/>
    <w:rsid w:val="001533A1"/>
    <w:rsid w:val="0015369E"/>
    <w:rsid w:val="00153772"/>
    <w:rsid w:val="00153A96"/>
    <w:rsid w:val="001545D6"/>
    <w:rsid w:val="00154C8B"/>
    <w:rsid w:val="00155307"/>
    <w:rsid w:val="001561E2"/>
    <w:rsid w:val="00156A2C"/>
    <w:rsid w:val="00156A5B"/>
    <w:rsid w:val="00156C30"/>
    <w:rsid w:val="00157369"/>
    <w:rsid w:val="001603FF"/>
    <w:rsid w:val="0016073B"/>
    <w:rsid w:val="00161309"/>
    <w:rsid w:val="00161799"/>
    <w:rsid w:val="00161A69"/>
    <w:rsid w:val="00161F7D"/>
    <w:rsid w:val="00162095"/>
    <w:rsid w:val="00162288"/>
    <w:rsid w:val="00162893"/>
    <w:rsid w:val="001629CF"/>
    <w:rsid w:val="00162ADC"/>
    <w:rsid w:val="001631E4"/>
    <w:rsid w:val="00163AE7"/>
    <w:rsid w:val="00163CF5"/>
    <w:rsid w:val="001642EC"/>
    <w:rsid w:val="001642F7"/>
    <w:rsid w:val="00164D62"/>
    <w:rsid w:val="001650AD"/>
    <w:rsid w:val="001654D1"/>
    <w:rsid w:val="00165F45"/>
    <w:rsid w:val="001667C4"/>
    <w:rsid w:val="001669C1"/>
    <w:rsid w:val="00166C6F"/>
    <w:rsid w:val="00166CD2"/>
    <w:rsid w:val="00166D47"/>
    <w:rsid w:val="00166FE2"/>
    <w:rsid w:val="00167058"/>
    <w:rsid w:val="001674EA"/>
    <w:rsid w:val="00167A6A"/>
    <w:rsid w:val="00167C0A"/>
    <w:rsid w:val="001714DD"/>
    <w:rsid w:val="001716C5"/>
    <w:rsid w:val="00171A13"/>
    <w:rsid w:val="00172395"/>
    <w:rsid w:val="001728F4"/>
    <w:rsid w:val="001737B8"/>
    <w:rsid w:val="00173FE6"/>
    <w:rsid w:val="00174080"/>
    <w:rsid w:val="00174383"/>
    <w:rsid w:val="001747A9"/>
    <w:rsid w:val="00174CC6"/>
    <w:rsid w:val="00174FA2"/>
    <w:rsid w:val="00175006"/>
    <w:rsid w:val="0017565B"/>
    <w:rsid w:val="00175894"/>
    <w:rsid w:val="001758A7"/>
    <w:rsid w:val="00175A7D"/>
    <w:rsid w:val="00177C41"/>
    <w:rsid w:val="00180090"/>
    <w:rsid w:val="0018079F"/>
    <w:rsid w:val="001818BA"/>
    <w:rsid w:val="00181B65"/>
    <w:rsid w:val="00183070"/>
    <w:rsid w:val="001842AA"/>
    <w:rsid w:val="00184A0A"/>
    <w:rsid w:val="00184E0A"/>
    <w:rsid w:val="00185092"/>
    <w:rsid w:val="00185148"/>
    <w:rsid w:val="001854D3"/>
    <w:rsid w:val="00185559"/>
    <w:rsid w:val="0018569F"/>
    <w:rsid w:val="00185A56"/>
    <w:rsid w:val="00185DB5"/>
    <w:rsid w:val="0018755E"/>
    <w:rsid w:val="00187A10"/>
    <w:rsid w:val="00190065"/>
    <w:rsid w:val="001919E0"/>
    <w:rsid w:val="00191AF9"/>
    <w:rsid w:val="00191E63"/>
    <w:rsid w:val="00191EEE"/>
    <w:rsid w:val="0019213C"/>
    <w:rsid w:val="001921EA"/>
    <w:rsid w:val="0019273B"/>
    <w:rsid w:val="00193207"/>
    <w:rsid w:val="00193AF4"/>
    <w:rsid w:val="0019413B"/>
    <w:rsid w:val="00194532"/>
    <w:rsid w:val="00194785"/>
    <w:rsid w:val="00194EA4"/>
    <w:rsid w:val="001967E3"/>
    <w:rsid w:val="00196A0C"/>
    <w:rsid w:val="00196E1D"/>
    <w:rsid w:val="001973BF"/>
    <w:rsid w:val="001A0831"/>
    <w:rsid w:val="001A1AE2"/>
    <w:rsid w:val="001A1FDB"/>
    <w:rsid w:val="001A264C"/>
    <w:rsid w:val="001A266B"/>
    <w:rsid w:val="001A28B3"/>
    <w:rsid w:val="001A29FF"/>
    <w:rsid w:val="001A33B8"/>
    <w:rsid w:val="001A3A24"/>
    <w:rsid w:val="001A3ACE"/>
    <w:rsid w:val="001A4487"/>
    <w:rsid w:val="001A47A7"/>
    <w:rsid w:val="001A482B"/>
    <w:rsid w:val="001A4EC9"/>
    <w:rsid w:val="001A54D6"/>
    <w:rsid w:val="001A577E"/>
    <w:rsid w:val="001A5DAB"/>
    <w:rsid w:val="001A62E2"/>
    <w:rsid w:val="001A6DD8"/>
    <w:rsid w:val="001A70C5"/>
    <w:rsid w:val="001A7235"/>
    <w:rsid w:val="001A734D"/>
    <w:rsid w:val="001A7ACB"/>
    <w:rsid w:val="001A7C62"/>
    <w:rsid w:val="001A7FED"/>
    <w:rsid w:val="001B090A"/>
    <w:rsid w:val="001B1AF7"/>
    <w:rsid w:val="001B1D11"/>
    <w:rsid w:val="001B1E02"/>
    <w:rsid w:val="001B2293"/>
    <w:rsid w:val="001B2758"/>
    <w:rsid w:val="001B29F7"/>
    <w:rsid w:val="001B2ACB"/>
    <w:rsid w:val="001B36FB"/>
    <w:rsid w:val="001B4121"/>
    <w:rsid w:val="001B43FC"/>
    <w:rsid w:val="001B5417"/>
    <w:rsid w:val="001B5D98"/>
    <w:rsid w:val="001B6331"/>
    <w:rsid w:val="001B6546"/>
    <w:rsid w:val="001B6C1C"/>
    <w:rsid w:val="001B6D42"/>
    <w:rsid w:val="001B7BBD"/>
    <w:rsid w:val="001B7D40"/>
    <w:rsid w:val="001B7F0A"/>
    <w:rsid w:val="001C0378"/>
    <w:rsid w:val="001C0580"/>
    <w:rsid w:val="001C0D25"/>
    <w:rsid w:val="001C0F1E"/>
    <w:rsid w:val="001C166A"/>
    <w:rsid w:val="001C1A23"/>
    <w:rsid w:val="001C1AAE"/>
    <w:rsid w:val="001C27F6"/>
    <w:rsid w:val="001C3015"/>
    <w:rsid w:val="001C3331"/>
    <w:rsid w:val="001C4786"/>
    <w:rsid w:val="001C4906"/>
    <w:rsid w:val="001C4A1A"/>
    <w:rsid w:val="001C5295"/>
    <w:rsid w:val="001C555E"/>
    <w:rsid w:val="001C562C"/>
    <w:rsid w:val="001C5C55"/>
    <w:rsid w:val="001C6BC2"/>
    <w:rsid w:val="001C7006"/>
    <w:rsid w:val="001C7252"/>
    <w:rsid w:val="001C74FF"/>
    <w:rsid w:val="001C76B4"/>
    <w:rsid w:val="001C7CAC"/>
    <w:rsid w:val="001D10A1"/>
    <w:rsid w:val="001D13D7"/>
    <w:rsid w:val="001D1565"/>
    <w:rsid w:val="001D25A7"/>
    <w:rsid w:val="001D356E"/>
    <w:rsid w:val="001D391D"/>
    <w:rsid w:val="001D41B7"/>
    <w:rsid w:val="001D48DB"/>
    <w:rsid w:val="001D4D4C"/>
    <w:rsid w:val="001D521C"/>
    <w:rsid w:val="001D5987"/>
    <w:rsid w:val="001D5F92"/>
    <w:rsid w:val="001D6598"/>
    <w:rsid w:val="001D65B7"/>
    <w:rsid w:val="001D68A9"/>
    <w:rsid w:val="001D6B19"/>
    <w:rsid w:val="001D6E6B"/>
    <w:rsid w:val="001D6E9B"/>
    <w:rsid w:val="001D705D"/>
    <w:rsid w:val="001D7292"/>
    <w:rsid w:val="001D72DE"/>
    <w:rsid w:val="001D7A0B"/>
    <w:rsid w:val="001D7E95"/>
    <w:rsid w:val="001D7FAD"/>
    <w:rsid w:val="001E019F"/>
    <w:rsid w:val="001E1181"/>
    <w:rsid w:val="001E1299"/>
    <w:rsid w:val="001E12EF"/>
    <w:rsid w:val="001E2602"/>
    <w:rsid w:val="001E323B"/>
    <w:rsid w:val="001E36A3"/>
    <w:rsid w:val="001E3981"/>
    <w:rsid w:val="001E3AA5"/>
    <w:rsid w:val="001E40C8"/>
    <w:rsid w:val="001E528F"/>
    <w:rsid w:val="001E6CD7"/>
    <w:rsid w:val="001E6D13"/>
    <w:rsid w:val="001E6D51"/>
    <w:rsid w:val="001E6E07"/>
    <w:rsid w:val="001E7461"/>
    <w:rsid w:val="001E777C"/>
    <w:rsid w:val="001E7803"/>
    <w:rsid w:val="001E79E9"/>
    <w:rsid w:val="001F0EFF"/>
    <w:rsid w:val="001F1426"/>
    <w:rsid w:val="001F19DF"/>
    <w:rsid w:val="001F1BC3"/>
    <w:rsid w:val="001F1E6D"/>
    <w:rsid w:val="001F2079"/>
    <w:rsid w:val="001F2A46"/>
    <w:rsid w:val="001F2C79"/>
    <w:rsid w:val="001F3631"/>
    <w:rsid w:val="001F3B80"/>
    <w:rsid w:val="001F4577"/>
    <w:rsid w:val="001F4F32"/>
    <w:rsid w:val="001F5AEF"/>
    <w:rsid w:val="001F5F4C"/>
    <w:rsid w:val="001F5FB4"/>
    <w:rsid w:val="001F5FF0"/>
    <w:rsid w:val="001F6201"/>
    <w:rsid w:val="001F69D8"/>
    <w:rsid w:val="001F7872"/>
    <w:rsid w:val="001F7CA4"/>
    <w:rsid w:val="001F7D25"/>
    <w:rsid w:val="00200849"/>
    <w:rsid w:val="002009F4"/>
    <w:rsid w:val="00200ED5"/>
    <w:rsid w:val="002014CF"/>
    <w:rsid w:val="0020193E"/>
    <w:rsid w:val="002019A3"/>
    <w:rsid w:val="00201D7C"/>
    <w:rsid w:val="0020248B"/>
    <w:rsid w:val="00202662"/>
    <w:rsid w:val="00202C73"/>
    <w:rsid w:val="00202EC5"/>
    <w:rsid w:val="0020387D"/>
    <w:rsid w:val="00203908"/>
    <w:rsid w:val="00203995"/>
    <w:rsid w:val="00203C91"/>
    <w:rsid w:val="00204025"/>
    <w:rsid w:val="002043EF"/>
    <w:rsid w:val="0020592C"/>
    <w:rsid w:val="00206ADA"/>
    <w:rsid w:val="00206CFE"/>
    <w:rsid w:val="0021016C"/>
    <w:rsid w:val="002103AE"/>
    <w:rsid w:val="00210EC7"/>
    <w:rsid w:val="00211C98"/>
    <w:rsid w:val="00212376"/>
    <w:rsid w:val="00212728"/>
    <w:rsid w:val="002134AB"/>
    <w:rsid w:val="002139D4"/>
    <w:rsid w:val="00213CC2"/>
    <w:rsid w:val="00214856"/>
    <w:rsid w:val="00214D4A"/>
    <w:rsid w:val="00214F1A"/>
    <w:rsid w:val="00214F4E"/>
    <w:rsid w:val="002175A1"/>
    <w:rsid w:val="00217ACE"/>
    <w:rsid w:val="00217BF8"/>
    <w:rsid w:val="002200AA"/>
    <w:rsid w:val="00220577"/>
    <w:rsid w:val="00220EF2"/>
    <w:rsid w:val="00221318"/>
    <w:rsid w:val="002213DD"/>
    <w:rsid w:val="00221E93"/>
    <w:rsid w:val="002228F9"/>
    <w:rsid w:val="00222981"/>
    <w:rsid w:val="00222B52"/>
    <w:rsid w:val="0022392F"/>
    <w:rsid w:val="00223996"/>
    <w:rsid w:val="00223A19"/>
    <w:rsid w:val="00223C89"/>
    <w:rsid w:val="002243FC"/>
    <w:rsid w:val="00224E61"/>
    <w:rsid w:val="00225261"/>
    <w:rsid w:val="00225B49"/>
    <w:rsid w:val="00225DFE"/>
    <w:rsid w:val="0022690E"/>
    <w:rsid w:val="00226E73"/>
    <w:rsid w:val="002270B3"/>
    <w:rsid w:val="00227552"/>
    <w:rsid w:val="002275ED"/>
    <w:rsid w:val="00227F1E"/>
    <w:rsid w:val="00227FF4"/>
    <w:rsid w:val="00231479"/>
    <w:rsid w:val="002314B9"/>
    <w:rsid w:val="00231711"/>
    <w:rsid w:val="00231942"/>
    <w:rsid w:val="00231C89"/>
    <w:rsid w:val="00232364"/>
    <w:rsid w:val="00232739"/>
    <w:rsid w:val="00232E4A"/>
    <w:rsid w:val="002331B9"/>
    <w:rsid w:val="00233262"/>
    <w:rsid w:val="00235131"/>
    <w:rsid w:val="002351BF"/>
    <w:rsid w:val="002358F0"/>
    <w:rsid w:val="00235E5D"/>
    <w:rsid w:val="00236143"/>
    <w:rsid w:val="00236BCA"/>
    <w:rsid w:val="002370A4"/>
    <w:rsid w:val="0023736C"/>
    <w:rsid w:val="0024052C"/>
    <w:rsid w:val="00240AD4"/>
    <w:rsid w:val="00240CB8"/>
    <w:rsid w:val="00241A82"/>
    <w:rsid w:val="00242D1B"/>
    <w:rsid w:val="00245163"/>
    <w:rsid w:val="00245FCC"/>
    <w:rsid w:val="00246949"/>
    <w:rsid w:val="00246B23"/>
    <w:rsid w:val="002478E3"/>
    <w:rsid w:val="00247A28"/>
    <w:rsid w:val="00247A48"/>
    <w:rsid w:val="00247B8B"/>
    <w:rsid w:val="0025075D"/>
    <w:rsid w:val="002509E0"/>
    <w:rsid w:val="00250AB9"/>
    <w:rsid w:val="00251886"/>
    <w:rsid w:val="00251A52"/>
    <w:rsid w:val="00251B09"/>
    <w:rsid w:val="002526B5"/>
    <w:rsid w:val="00253AEF"/>
    <w:rsid w:val="0025452C"/>
    <w:rsid w:val="00254B8B"/>
    <w:rsid w:val="00254C2B"/>
    <w:rsid w:val="002576BF"/>
    <w:rsid w:val="002603C1"/>
    <w:rsid w:val="00260429"/>
    <w:rsid w:val="0026098F"/>
    <w:rsid w:val="00260F66"/>
    <w:rsid w:val="0026150A"/>
    <w:rsid w:val="00261EA2"/>
    <w:rsid w:val="00262AE9"/>
    <w:rsid w:val="00263A19"/>
    <w:rsid w:val="00264CF3"/>
    <w:rsid w:val="00265D83"/>
    <w:rsid w:val="0026665F"/>
    <w:rsid w:val="00266C0F"/>
    <w:rsid w:val="00266C26"/>
    <w:rsid w:val="00266F3C"/>
    <w:rsid w:val="00267B6A"/>
    <w:rsid w:val="00267BB6"/>
    <w:rsid w:val="00267DDF"/>
    <w:rsid w:val="00270B1C"/>
    <w:rsid w:val="0027139F"/>
    <w:rsid w:val="00272512"/>
    <w:rsid w:val="00273323"/>
    <w:rsid w:val="002739A3"/>
    <w:rsid w:val="00273A4F"/>
    <w:rsid w:val="00273F02"/>
    <w:rsid w:val="00273F3A"/>
    <w:rsid w:val="002743B1"/>
    <w:rsid w:val="002743DE"/>
    <w:rsid w:val="00274589"/>
    <w:rsid w:val="00274A0C"/>
    <w:rsid w:val="00274A36"/>
    <w:rsid w:val="00274FCB"/>
    <w:rsid w:val="0027531C"/>
    <w:rsid w:val="00275340"/>
    <w:rsid w:val="002757C5"/>
    <w:rsid w:val="00275B1F"/>
    <w:rsid w:val="00275E5A"/>
    <w:rsid w:val="00276185"/>
    <w:rsid w:val="00276888"/>
    <w:rsid w:val="00276B7B"/>
    <w:rsid w:val="002771D1"/>
    <w:rsid w:val="00277261"/>
    <w:rsid w:val="00280253"/>
    <w:rsid w:val="00280A40"/>
    <w:rsid w:val="00280B09"/>
    <w:rsid w:val="00280B7F"/>
    <w:rsid w:val="00280CAE"/>
    <w:rsid w:val="00281A0A"/>
    <w:rsid w:val="00282037"/>
    <w:rsid w:val="00282FB2"/>
    <w:rsid w:val="00283436"/>
    <w:rsid w:val="0028351A"/>
    <w:rsid w:val="0028420C"/>
    <w:rsid w:val="0028445A"/>
    <w:rsid w:val="0028481B"/>
    <w:rsid w:val="00284A43"/>
    <w:rsid w:val="00284F13"/>
    <w:rsid w:val="002853EF"/>
    <w:rsid w:val="0028607B"/>
    <w:rsid w:val="0028609C"/>
    <w:rsid w:val="00286377"/>
    <w:rsid w:val="0028669B"/>
    <w:rsid w:val="002870D5"/>
    <w:rsid w:val="00287231"/>
    <w:rsid w:val="0028756E"/>
    <w:rsid w:val="00287906"/>
    <w:rsid w:val="00290C39"/>
    <w:rsid w:val="00290D15"/>
    <w:rsid w:val="00291396"/>
    <w:rsid w:val="00291559"/>
    <w:rsid w:val="00292227"/>
    <w:rsid w:val="00292B2C"/>
    <w:rsid w:val="00292BAA"/>
    <w:rsid w:val="00292C5D"/>
    <w:rsid w:val="00293887"/>
    <w:rsid w:val="00293F97"/>
    <w:rsid w:val="0029420A"/>
    <w:rsid w:val="00294CBD"/>
    <w:rsid w:val="002954E3"/>
    <w:rsid w:val="00295689"/>
    <w:rsid w:val="00295FB5"/>
    <w:rsid w:val="002961AB"/>
    <w:rsid w:val="00297594"/>
    <w:rsid w:val="00297932"/>
    <w:rsid w:val="00297BD6"/>
    <w:rsid w:val="002A2AE1"/>
    <w:rsid w:val="002A364B"/>
    <w:rsid w:val="002A382D"/>
    <w:rsid w:val="002A3A80"/>
    <w:rsid w:val="002A488A"/>
    <w:rsid w:val="002A56D0"/>
    <w:rsid w:val="002A5959"/>
    <w:rsid w:val="002A5E8E"/>
    <w:rsid w:val="002A6B1E"/>
    <w:rsid w:val="002A786B"/>
    <w:rsid w:val="002A7BD4"/>
    <w:rsid w:val="002A7C0C"/>
    <w:rsid w:val="002B0E4B"/>
    <w:rsid w:val="002B1061"/>
    <w:rsid w:val="002B1B47"/>
    <w:rsid w:val="002B1C3F"/>
    <w:rsid w:val="002B1C74"/>
    <w:rsid w:val="002B1D10"/>
    <w:rsid w:val="002B2263"/>
    <w:rsid w:val="002B2CE4"/>
    <w:rsid w:val="002B33D7"/>
    <w:rsid w:val="002B4245"/>
    <w:rsid w:val="002B4469"/>
    <w:rsid w:val="002B481C"/>
    <w:rsid w:val="002B5627"/>
    <w:rsid w:val="002B5758"/>
    <w:rsid w:val="002B5AC6"/>
    <w:rsid w:val="002B5EC2"/>
    <w:rsid w:val="002B6C29"/>
    <w:rsid w:val="002B7151"/>
    <w:rsid w:val="002B7DE5"/>
    <w:rsid w:val="002C0047"/>
    <w:rsid w:val="002C0648"/>
    <w:rsid w:val="002C0E86"/>
    <w:rsid w:val="002C13D9"/>
    <w:rsid w:val="002C1620"/>
    <w:rsid w:val="002C17CF"/>
    <w:rsid w:val="002C3530"/>
    <w:rsid w:val="002C36E1"/>
    <w:rsid w:val="002C4108"/>
    <w:rsid w:val="002C453E"/>
    <w:rsid w:val="002C50AE"/>
    <w:rsid w:val="002C53FD"/>
    <w:rsid w:val="002C5437"/>
    <w:rsid w:val="002C5939"/>
    <w:rsid w:val="002C59E2"/>
    <w:rsid w:val="002C5C23"/>
    <w:rsid w:val="002C5D71"/>
    <w:rsid w:val="002C633A"/>
    <w:rsid w:val="002C6580"/>
    <w:rsid w:val="002C7523"/>
    <w:rsid w:val="002C762D"/>
    <w:rsid w:val="002C76C3"/>
    <w:rsid w:val="002C7D33"/>
    <w:rsid w:val="002C7DF4"/>
    <w:rsid w:val="002D00ED"/>
    <w:rsid w:val="002D06A0"/>
    <w:rsid w:val="002D0DFD"/>
    <w:rsid w:val="002D0E38"/>
    <w:rsid w:val="002D0E8A"/>
    <w:rsid w:val="002D1221"/>
    <w:rsid w:val="002D1371"/>
    <w:rsid w:val="002D1482"/>
    <w:rsid w:val="002D16D9"/>
    <w:rsid w:val="002D1740"/>
    <w:rsid w:val="002D1AF8"/>
    <w:rsid w:val="002D1D9F"/>
    <w:rsid w:val="002D238D"/>
    <w:rsid w:val="002D23ED"/>
    <w:rsid w:val="002D29D6"/>
    <w:rsid w:val="002D2D91"/>
    <w:rsid w:val="002D2F48"/>
    <w:rsid w:val="002D3024"/>
    <w:rsid w:val="002D347A"/>
    <w:rsid w:val="002D41C6"/>
    <w:rsid w:val="002D4712"/>
    <w:rsid w:val="002D47A9"/>
    <w:rsid w:val="002D5A8A"/>
    <w:rsid w:val="002D71EE"/>
    <w:rsid w:val="002D75E8"/>
    <w:rsid w:val="002D77D8"/>
    <w:rsid w:val="002D7F32"/>
    <w:rsid w:val="002E0376"/>
    <w:rsid w:val="002E0AEE"/>
    <w:rsid w:val="002E11C8"/>
    <w:rsid w:val="002E1794"/>
    <w:rsid w:val="002E1CF9"/>
    <w:rsid w:val="002E2274"/>
    <w:rsid w:val="002E2841"/>
    <w:rsid w:val="002E28FA"/>
    <w:rsid w:val="002E31A5"/>
    <w:rsid w:val="002E38A9"/>
    <w:rsid w:val="002E396E"/>
    <w:rsid w:val="002E44C0"/>
    <w:rsid w:val="002E4740"/>
    <w:rsid w:val="002E5B12"/>
    <w:rsid w:val="002E5FB8"/>
    <w:rsid w:val="002E67CF"/>
    <w:rsid w:val="002E6F86"/>
    <w:rsid w:val="002E7ABD"/>
    <w:rsid w:val="002F0126"/>
    <w:rsid w:val="002F04CE"/>
    <w:rsid w:val="002F0B42"/>
    <w:rsid w:val="002F1318"/>
    <w:rsid w:val="002F1477"/>
    <w:rsid w:val="002F1C90"/>
    <w:rsid w:val="002F211C"/>
    <w:rsid w:val="002F220D"/>
    <w:rsid w:val="002F22B1"/>
    <w:rsid w:val="002F235D"/>
    <w:rsid w:val="002F25D2"/>
    <w:rsid w:val="002F29B9"/>
    <w:rsid w:val="002F2BAB"/>
    <w:rsid w:val="002F382B"/>
    <w:rsid w:val="002F3C9F"/>
    <w:rsid w:val="002F401B"/>
    <w:rsid w:val="002F470B"/>
    <w:rsid w:val="002F48BB"/>
    <w:rsid w:val="002F4930"/>
    <w:rsid w:val="002F54B8"/>
    <w:rsid w:val="002F677D"/>
    <w:rsid w:val="002F705C"/>
    <w:rsid w:val="002F7330"/>
    <w:rsid w:val="002F7642"/>
    <w:rsid w:val="002F7716"/>
    <w:rsid w:val="002F7E75"/>
    <w:rsid w:val="003002F7"/>
    <w:rsid w:val="00300331"/>
    <w:rsid w:val="00301657"/>
    <w:rsid w:val="00301982"/>
    <w:rsid w:val="0030202E"/>
    <w:rsid w:val="00303264"/>
    <w:rsid w:val="00303296"/>
    <w:rsid w:val="00303C5B"/>
    <w:rsid w:val="00303F25"/>
    <w:rsid w:val="00305404"/>
    <w:rsid w:val="00305564"/>
    <w:rsid w:val="00305BC9"/>
    <w:rsid w:val="003064FF"/>
    <w:rsid w:val="00306CD0"/>
    <w:rsid w:val="00307260"/>
    <w:rsid w:val="003079F6"/>
    <w:rsid w:val="00307BCB"/>
    <w:rsid w:val="00307E7A"/>
    <w:rsid w:val="003109AE"/>
    <w:rsid w:val="003114B1"/>
    <w:rsid w:val="003116E7"/>
    <w:rsid w:val="00311733"/>
    <w:rsid w:val="00311C0B"/>
    <w:rsid w:val="003123FC"/>
    <w:rsid w:val="003124A2"/>
    <w:rsid w:val="00312797"/>
    <w:rsid w:val="00313412"/>
    <w:rsid w:val="00313D66"/>
    <w:rsid w:val="00314254"/>
    <w:rsid w:val="003144AE"/>
    <w:rsid w:val="003152EE"/>
    <w:rsid w:val="003156FE"/>
    <w:rsid w:val="003157D9"/>
    <w:rsid w:val="0031605F"/>
    <w:rsid w:val="003166CB"/>
    <w:rsid w:val="00316DEB"/>
    <w:rsid w:val="00320A91"/>
    <w:rsid w:val="003211C5"/>
    <w:rsid w:val="00321BCC"/>
    <w:rsid w:val="00321CB1"/>
    <w:rsid w:val="00322411"/>
    <w:rsid w:val="00322B6C"/>
    <w:rsid w:val="00322FD1"/>
    <w:rsid w:val="0032304D"/>
    <w:rsid w:val="0032365B"/>
    <w:rsid w:val="003238AB"/>
    <w:rsid w:val="003245A5"/>
    <w:rsid w:val="003247D8"/>
    <w:rsid w:val="00325103"/>
    <w:rsid w:val="00325364"/>
    <w:rsid w:val="00325AB4"/>
    <w:rsid w:val="00325F73"/>
    <w:rsid w:val="00326921"/>
    <w:rsid w:val="003269AD"/>
    <w:rsid w:val="00326A0A"/>
    <w:rsid w:val="00326C51"/>
    <w:rsid w:val="00327045"/>
    <w:rsid w:val="0032735F"/>
    <w:rsid w:val="0032743A"/>
    <w:rsid w:val="0032745D"/>
    <w:rsid w:val="003277A2"/>
    <w:rsid w:val="00327C31"/>
    <w:rsid w:val="00327FF8"/>
    <w:rsid w:val="003301B4"/>
    <w:rsid w:val="00330F32"/>
    <w:rsid w:val="0033141C"/>
    <w:rsid w:val="00331532"/>
    <w:rsid w:val="00331EF0"/>
    <w:rsid w:val="0033229B"/>
    <w:rsid w:val="003322C1"/>
    <w:rsid w:val="003324B4"/>
    <w:rsid w:val="0033260D"/>
    <w:rsid w:val="00332977"/>
    <w:rsid w:val="00333722"/>
    <w:rsid w:val="00333C02"/>
    <w:rsid w:val="003341AC"/>
    <w:rsid w:val="0033456F"/>
    <w:rsid w:val="00334667"/>
    <w:rsid w:val="00335295"/>
    <w:rsid w:val="00335CA9"/>
    <w:rsid w:val="0033687F"/>
    <w:rsid w:val="003371D7"/>
    <w:rsid w:val="0033736B"/>
    <w:rsid w:val="003375C7"/>
    <w:rsid w:val="00340DD7"/>
    <w:rsid w:val="003410C6"/>
    <w:rsid w:val="0034111E"/>
    <w:rsid w:val="00341971"/>
    <w:rsid w:val="00341D0B"/>
    <w:rsid w:val="00341ED8"/>
    <w:rsid w:val="00342B1F"/>
    <w:rsid w:val="00343641"/>
    <w:rsid w:val="00343E84"/>
    <w:rsid w:val="0034417A"/>
    <w:rsid w:val="0034690E"/>
    <w:rsid w:val="00346DD7"/>
    <w:rsid w:val="00347808"/>
    <w:rsid w:val="00347B6E"/>
    <w:rsid w:val="0035034A"/>
    <w:rsid w:val="00350874"/>
    <w:rsid w:val="003508EA"/>
    <w:rsid w:val="003511BA"/>
    <w:rsid w:val="00351565"/>
    <w:rsid w:val="00352177"/>
    <w:rsid w:val="00353312"/>
    <w:rsid w:val="003535D4"/>
    <w:rsid w:val="00353BFA"/>
    <w:rsid w:val="00353C42"/>
    <w:rsid w:val="00353D9E"/>
    <w:rsid w:val="00354811"/>
    <w:rsid w:val="003560AE"/>
    <w:rsid w:val="00356213"/>
    <w:rsid w:val="00356328"/>
    <w:rsid w:val="003570D9"/>
    <w:rsid w:val="00360535"/>
    <w:rsid w:val="00361747"/>
    <w:rsid w:val="00361BFC"/>
    <w:rsid w:val="00361F0C"/>
    <w:rsid w:val="00361FD6"/>
    <w:rsid w:val="00362877"/>
    <w:rsid w:val="003629E8"/>
    <w:rsid w:val="00362E13"/>
    <w:rsid w:val="00363236"/>
    <w:rsid w:val="00363599"/>
    <w:rsid w:val="00363F9D"/>
    <w:rsid w:val="003646FE"/>
    <w:rsid w:val="00364F20"/>
    <w:rsid w:val="00364F82"/>
    <w:rsid w:val="0036598A"/>
    <w:rsid w:val="00365C5B"/>
    <w:rsid w:val="00366406"/>
    <w:rsid w:val="00370615"/>
    <w:rsid w:val="003711A2"/>
    <w:rsid w:val="003714B6"/>
    <w:rsid w:val="003715CB"/>
    <w:rsid w:val="00371D97"/>
    <w:rsid w:val="003720F6"/>
    <w:rsid w:val="003723E9"/>
    <w:rsid w:val="003725F2"/>
    <w:rsid w:val="00372B48"/>
    <w:rsid w:val="0037391F"/>
    <w:rsid w:val="003740AA"/>
    <w:rsid w:val="0037418B"/>
    <w:rsid w:val="0037429D"/>
    <w:rsid w:val="0037481C"/>
    <w:rsid w:val="00374AFB"/>
    <w:rsid w:val="003752CD"/>
    <w:rsid w:val="00375524"/>
    <w:rsid w:val="0037583F"/>
    <w:rsid w:val="00375A2B"/>
    <w:rsid w:val="00375B6A"/>
    <w:rsid w:val="00375CCE"/>
    <w:rsid w:val="0037631C"/>
    <w:rsid w:val="003763CC"/>
    <w:rsid w:val="00376725"/>
    <w:rsid w:val="003768EA"/>
    <w:rsid w:val="00376A7A"/>
    <w:rsid w:val="00376BB2"/>
    <w:rsid w:val="00376D6C"/>
    <w:rsid w:val="00377363"/>
    <w:rsid w:val="00377AF3"/>
    <w:rsid w:val="00380098"/>
    <w:rsid w:val="00380560"/>
    <w:rsid w:val="00380A32"/>
    <w:rsid w:val="00380CC5"/>
    <w:rsid w:val="00380D2A"/>
    <w:rsid w:val="00383AE2"/>
    <w:rsid w:val="00383D71"/>
    <w:rsid w:val="0038463C"/>
    <w:rsid w:val="003848F8"/>
    <w:rsid w:val="00384C6C"/>
    <w:rsid w:val="00385AB8"/>
    <w:rsid w:val="00386C2D"/>
    <w:rsid w:val="00387592"/>
    <w:rsid w:val="00387895"/>
    <w:rsid w:val="00387EB2"/>
    <w:rsid w:val="003903F4"/>
    <w:rsid w:val="00390488"/>
    <w:rsid w:val="00390E2A"/>
    <w:rsid w:val="00391070"/>
    <w:rsid w:val="00391272"/>
    <w:rsid w:val="0039249B"/>
    <w:rsid w:val="0039264D"/>
    <w:rsid w:val="00392755"/>
    <w:rsid w:val="00392883"/>
    <w:rsid w:val="003938EB"/>
    <w:rsid w:val="0039457B"/>
    <w:rsid w:val="00394B4C"/>
    <w:rsid w:val="0039545B"/>
    <w:rsid w:val="0039601A"/>
    <w:rsid w:val="003963F4"/>
    <w:rsid w:val="003968B7"/>
    <w:rsid w:val="00396D32"/>
    <w:rsid w:val="003977BB"/>
    <w:rsid w:val="00397BD8"/>
    <w:rsid w:val="00397BFC"/>
    <w:rsid w:val="00397C18"/>
    <w:rsid w:val="003A0578"/>
    <w:rsid w:val="003A09A5"/>
    <w:rsid w:val="003A0B1C"/>
    <w:rsid w:val="003A147F"/>
    <w:rsid w:val="003A14F0"/>
    <w:rsid w:val="003A1FCD"/>
    <w:rsid w:val="003A28C4"/>
    <w:rsid w:val="003A33CB"/>
    <w:rsid w:val="003A357A"/>
    <w:rsid w:val="003A3768"/>
    <w:rsid w:val="003A37B5"/>
    <w:rsid w:val="003A3B24"/>
    <w:rsid w:val="003A3D57"/>
    <w:rsid w:val="003A41CC"/>
    <w:rsid w:val="003A42A1"/>
    <w:rsid w:val="003A4A0A"/>
    <w:rsid w:val="003A4A62"/>
    <w:rsid w:val="003A537F"/>
    <w:rsid w:val="003A5759"/>
    <w:rsid w:val="003A5DAD"/>
    <w:rsid w:val="003A6640"/>
    <w:rsid w:val="003A6670"/>
    <w:rsid w:val="003A7158"/>
    <w:rsid w:val="003A75E0"/>
    <w:rsid w:val="003A772C"/>
    <w:rsid w:val="003A7B61"/>
    <w:rsid w:val="003B1FF9"/>
    <w:rsid w:val="003B2676"/>
    <w:rsid w:val="003B303D"/>
    <w:rsid w:val="003B4291"/>
    <w:rsid w:val="003B44FB"/>
    <w:rsid w:val="003B45A0"/>
    <w:rsid w:val="003B4753"/>
    <w:rsid w:val="003B4950"/>
    <w:rsid w:val="003B5710"/>
    <w:rsid w:val="003B5C7A"/>
    <w:rsid w:val="003B5CB3"/>
    <w:rsid w:val="003B60DB"/>
    <w:rsid w:val="003B6412"/>
    <w:rsid w:val="003B6CE0"/>
    <w:rsid w:val="003B6E16"/>
    <w:rsid w:val="003B744B"/>
    <w:rsid w:val="003B78B5"/>
    <w:rsid w:val="003B7D5D"/>
    <w:rsid w:val="003C010D"/>
    <w:rsid w:val="003C061F"/>
    <w:rsid w:val="003C0BA0"/>
    <w:rsid w:val="003C1138"/>
    <w:rsid w:val="003C1771"/>
    <w:rsid w:val="003C1BA3"/>
    <w:rsid w:val="003C1D60"/>
    <w:rsid w:val="003C1E6C"/>
    <w:rsid w:val="003C2081"/>
    <w:rsid w:val="003C2317"/>
    <w:rsid w:val="003C3E13"/>
    <w:rsid w:val="003C41C9"/>
    <w:rsid w:val="003C4C42"/>
    <w:rsid w:val="003C4EF1"/>
    <w:rsid w:val="003C52DE"/>
    <w:rsid w:val="003C5557"/>
    <w:rsid w:val="003C5789"/>
    <w:rsid w:val="003C5D15"/>
    <w:rsid w:val="003C649C"/>
    <w:rsid w:val="003C65FD"/>
    <w:rsid w:val="003C6ACB"/>
    <w:rsid w:val="003C7A64"/>
    <w:rsid w:val="003D03E4"/>
    <w:rsid w:val="003D04D6"/>
    <w:rsid w:val="003D06A5"/>
    <w:rsid w:val="003D0CD6"/>
    <w:rsid w:val="003D14CE"/>
    <w:rsid w:val="003D17F3"/>
    <w:rsid w:val="003D1C24"/>
    <w:rsid w:val="003D1E26"/>
    <w:rsid w:val="003D1E6E"/>
    <w:rsid w:val="003D25A6"/>
    <w:rsid w:val="003D28E4"/>
    <w:rsid w:val="003D31BC"/>
    <w:rsid w:val="003D3BBA"/>
    <w:rsid w:val="003D3C81"/>
    <w:rsid w:val="003D40DE"/>
    <w:rsid w:val="003D56F2"/>
    <w:rsid w:val="003D5E6B"/>
    <w:rsid w:val="003D6661"/>
    <w:rsid w:val="003D699B"/>
    <w:rsid w:val="003D6C08"/>
    <w:rsid w:val="003D758E"/>
    <w:rsid w:val="003D79A5"/>
    <w:rsid w:val="003E0089"/>
    <w:rsid w:val="003E05C2"/>
    <w:rsid w:val="003E0F43"/>
    <w:rsid w:val="003E1060"/>
    <w:rsid w:val="003E10F1"/>
    <w:rsid w:val="003E129C"/>
    <w:rsid w:val="003E140F"/>
    <w:rsid w:val="003E14CE"/>
    <w:rsid w:val="003E203F"/>
    <w:rsid w:val="003E275B"/>
    <w:rsid w:val="003E2CB3"/>
    <w:rsid w:val="003E36E3"/>
    <w:rsid w:val="003E3BEA"/>
    <w:rsid w:val="003E3E6E"/>
    <w:rsid w:val="003E5A47"/>
    <w:rsid w:val="003E6614"/>
    <w:rsid w:val="003E6676"/>
    <w:rsid w:val="003E6A13"/>
    <w:rsid w:val="003E6BA6"/>
    <w:rsid w:val="003E775F"/>
    <w:rsid w:val="003E7A5D"/>
    <w:rsid w:val="003F0549"/>
    <w:rsid w:val="003F28A5"/>
    <w:rsid w:val="003F294D"/>
    <w:rsid w:val="003F3003"/>
    <w:rsid w:val="003F3591"/>
    <w:rsid w:val="003F47AD"/>
    <w:rsid w:val="003F540F"/>
    <w:rsid w:val="003F561F"/>
    <w:rsid w:val="004005BB"/>
    <w:rsid w:val="004006A4"/>
    <w:rsid w:val="00400CB2"/>
    <w:rsid w:val="0040145C"/>
    <w:rsid w:val="004023C5"/>
    <w:rsid w:val="004028A6"/>
    <w:rsid w:val="004039BC"/>
    <w:rsid w:val="00403E2A"/>
    <w:rsid w:val="00404255"/>
    <w:rsid w:val="004043BC"/>
    <w:rsid w:val="004043F7"/>
    <w:rsid w:val="004044F0"/>
    <w:rsid w:val="00404691"/>
    <w:rsid w:val="00405755"/>
    <w:rsid w:val="004059E3"/>
    <w:rsid w:val="00405B7B"/>
    <w:rsid w:val="00407336"/>
    <w:rsid w:val="00407A10"/>
    <w:rsid w:val="00407B69"/>
    <w:rsid w:val="0041002C"/>
    <w:rsid w:val="0041025E"/>
    <w:rsid w:val="00410282"/>
    <w:rsid w:val="0041046D"/>
    <w:rsid w:val="00411E88"/>
    <w:rsid w:val="00411EF5"/>
    <w:rsid w:val="00412DB1"/>
    <w:rsid w:val="00412EF3"/>
    <w:rsid w:val="0041345E"/>
    <w:rsid w:val="00413CAF"/>
    <w:rsid w:val="00414DBF"/>
    <w:rsid w:val="004152CD"/>
    <w:rsid w:val="00415823"/>
    <w:rsid w:val="00416D0D"/>
    <w:rsid w:val="0041714D"/>
    <w:rsid w:val="004174BA"/>
    <w:rsid w:val="004179A8"/>
    <w:rsid w:val="00417C97"/>
    <w:rsid w:val="0042075E"/>
    <w:rsid w:val="00420900"/>
    <w:rsid w:val="00420AB9"/>
    <w:rsid w:val="0042198D"/>
    <w:rsid w:val="0042263A"/>
    <w:rsid w:val="004226A7"/>
    <w:rsid w:val="00422A66"/>
    <w:rsid w:val="004232CF"/>
    <w:rsid w:val="004236CF"/>
    <w:rsid w:val="00423FBE"/>
    <w:rsid w:val="004240DE"/>
    <w:rsid w:val="004243ED"/>
    <w:rsid w:val="004243FB"/>
    <w:rsid w:val="0042481D"/>
    <w:rsid w:val="004248F1"/>
    <w:rsid w:val="0042560B"/>
    <w:rsid w:val="004264F3"/>
    <w:rsid w:val="00426920"/>
    <w:rsid w:val="00427107"/>
    <w:rsid w:val="0042711D"/>
    <w:rsid w:val="0042729A"/>
    <w:rsid w:val="004277AE"/>
    <w:rsid w:val="004277C6"/>
    <w:rsid w:val="00427B4D"/>
    <w:rsid w:val="00430707"/>
    <w:rsid w:val="004307C2"/>
    <w:rsid w:val="00430BB8"/>
    <w:rsid w:val="00432DC2"/>
    <w:rsid w:val="004330DA"/>
    <w:rsid w:val="0043364C"/>
    <w:rsid w:val="00433BD7"/>
    <w:rsid w:val="004340AD"/>
    <w:rsid w:val="004343AA"/>
    <w:rsid w:val="004350E2"/>
    <w:rsid w:val="00435569"/>
    <w:rsid w:val="00435F34"/>
    <w:rsid w:val="00436014"/>
    <w:rsid w:val="00436539"/>
    <w:rsid w:val="00437369"/>
    <w:rsid w:val="00440176"/>
    <w:rsid w:val="004401EE"/>
    <w:rsid w:val="004408AF"/>
    <w:rsid w:val="00440B2C"/>
    <w:rsid w:val="00441476"/>
    <w:rsid w:val="00441ACC"/>
    <w:rsid w:val="00442030"/>
    <w:rsid w:val="0044247F"/>
    <w:rsid w:val="00442911"/>
    <w:rsid w:val="00443437"/>
    <w:rsid w:val="0044414C"/>
    <w:rsid w:val="00444ABC"/>
    <w:rsid w:val="00445093"/>
    <w:rsid w:val="00445349"/>
    <w:rsid w:val="00445403"/>
    <w:rsid w:val="004458F4"/>
    <w:rsid w:val="00445CF8"/>
    <w:rsid w:val="004460C9"/>
    <w:rsid w:val="004463C0"/>
    <w:rsid w:val="004501EA"/>
    <w:rsid w:val="004507AF"/>
    <w:rsid w:val="00450C4C"/>
    <w:rsid w:val="00450E09"/>
    <w:rsid w:val="00450E66"/>
    <w:rsid w:val="00451503"/>
    <w:rsid w:val="0045215F"/>
    <w:rsid w:val="00452BE0"/>
    <w:rsid w:val="00452DE8"/>
    <w:rsid w:val="00452F8B"/>
    <w:rsid w:val="00453222"/>
    <w:rsid w:val="00453397"/>
    <w:rsid w:val="0045438B"/>
    <w:rsid w:val="00454845"/>
    <w:rsid w:val="004549FF"/>
    <w:rsid w:val="00454C2D"/>
    <w:rsid w:val="00457315"/>
    <w:rsid w:val="00457445"/>
    <w:rsid w:val="004576A6"/>
    <w:rsid w:val="00457856"/>
    <w:rsid w:val="004601D9"/>
    <w:rsid w:val="0046043A"/>
    <w:rsid w:val="00460476"/>
    <w:rsid w:val="00460AF0"/>
    <w:rsid w:val="00461428"/>
    <w:rsid w:val="00461C26"/>
    <w:rsid w:val="0046249A"/>
    <w:rsid w:val="00462AC5"/>
    <w:rsid w:val="00462AEC"/>
    <w:rsid w:val="0046313A"/>
    <w:rsid w:val="00463E7F"/>
    <w:rsid w:val="00464333"/>
    <w:rsid w:val="004647EE"/>
    <w:rsid w:val="00464865"/>
    <w:rsid w:val="0046493B"/>
    <w:rsid w:val="00465ED5"/>
    <w:rsid w:val="00465F1A"/>
    <w:rsid w:val="0046603D"/>
    <w:rsid w:val="00466888"/>
    <w:rsid w:val="00466FC2"/>
    <w:rsid w:val="004676C2"/>
    <w:rsid w:val="0047003A"/>
    <w:rsid w:val="00470701"/>
    <w:rsid w:val="00470BC2"/>
    <w:rsid w:val="0047210A"/>
    <w:rsid w:val="00472607"/>
    <w:rsid w:val="0047264C"/>
    <w:rsid w:val="004727F2"/>
    <w:rsid w:val="00472FC3"/>
    <w:rsid w:val="00473374"/>
    <w:rsid w:val="00474521"/>
    <w:rsid w:val="004746F4"/>
    <w:rsid w:val="004747AB"/>
    <w:rsid w:val="00474973"/>
    <w:rsid w:val="00474B2D"/>
    <w:rsid w:val="00474C38"/>
    <w:rsid w:val="0047510D"/>
    <w:rsid w:val="004754BA"/>
    <w:rsid w:val="004758CE"/>
    <w:rsid w:val="004758F7"/>
    <w:rsid w:val="00475A07"/>
    <w:rsid w:val="00475F4B"/>
    <w:rsid w:val="00475FE0"/>
    <w:rsid w:val="00477317"/>
    <w:rsid w:val="004774B3"/>
    <w:rsid w:val="00477673"/>
    <w:rsid w:val="00477B53"/>
    <w:rsid w:val="00477D4D"/>
    <w:rsid w:val="0048029E"/>
    <w:rsid w:val="004803A8"/>
    <w:rsid w:val="004803B8"/>
    <w:rsid w:val="00481166"/>
    <w:rsid w:val="00481451"/>
    <w:rsid w:val="0048175F"/>
    <w:rsid w:val="00482060"/>
    <w:rsid w:val="0048294A"/>
    <w:rsid w:val="00483F9B"/>
    <w:rsid w:val="00483FF8"/>
    <w:rsid w:val="0048615F"/>
    <w:rsid w:val="0048642C"/>
    <w:rsid w:val="00486D9F"/>
    <w:rsid w:val="0048757E"/>
    <w:rsid w:val="00490099"/>
    <w:rsid w:val="004914DA"/>
    <w:rsid w:val="00492375"/>
    <w:rsid w:val="00492C21"/>
    <w:rsid w:val="00493270"/>
    <w:rsid w:val="00493303"/>
    <w:rsid w:val="0049357F"/>
    <w:rsid w:val="00493F7D"/>
    <w:rsid w:val="00494236"/>
    <w:rsid w:val="004943A1"/>
    <w:rsid w:val="00495057"/>
    <w:rsid w:val="00495627"/>
    <w:rsid w:val="0049577F"/>
    <w:rsid w:val="00495E0A"/>
    <w:rsid w:val="004961AD"/>
    <w:rsid w:val="004968B6"/>
    <w:rsid w:val="004977D0"/>
    <w:rsid w:val="0049799C"/>
    <w:rsid w:val="00497DB3"/>
    <w:rsid w:val="00497EFC"/>
    <w:rsid w:val="004A061E"/>
    <w:rsid w:val="004A09D3"/>
    <w:rsid w:val="004A1E9F"/>
    <w:rsid w:val="004A1FCC"/>
    <w:rsid w:val="004A259A"/>
    <w:rsid w:val="004A28ED"/>
    <w:rsid w:val="004A2F4E"/>
    <w:rsid w:val="004A37F2"/>
    <w:rsid w:val="004A3E0F"/>
    <w:rsid w:val="004A3EED"/>
    <w:rsid w:val="004A4A49"/>
    <w:rsid w:val="004A5A75"/>
    <w:rsid w:val="004A64BD"/>
    <w:rsid w:val="004A676C"/>
    <w:rsid w:val="004A6C98"/>
    <w:rsid w:val="004A71EF"/>
    <w:rsid w:val="004A7743"/>
    <w:rsid w:val="004A7CBA"/>
    <w:rsid w:val="004B0907"/>
    <w:rsid w:val="004B11B1"/>
    <w:rsid w:val="004B12D5"/>
    <w:rsid w:val="004B1818"/>
    <w:rsid w:val="004B1961"/>
    <w:rsid w:val="004B1E62"/>
    <w:rsid w:val="004B2092"/>
    <w:rsid w:val="004B218B"/>
    <w:rsid w:val="004B33CC"/>
    <w:rsid w:val="004B3ABE"/>
    <w:rsid w:val="004B3C4E"/>
    <w:rsid w:val="004B4152"/>
    <w:rsid w:val="004B43C1"/>
    <w:rsid w:val="004B533D"/>
    <w:rsid w:val="004B5467"/>
    <w:rsid w:val="004B6940"/>
    <w:rsid w:val="004B7B48"/>
    <w:rsid w:val="004B7EA7"/>
    <w:rsid w:val="004C095B"/>
    <w:rsid w:val="004C0ADB"/>
    <w:rsid w:val="004C1A80"/>
    <w:rsid w:val="004C1EDC"/>
    <w:rsid w:val="004C2B37"/>
    <w:rsid w:val="004C3CA2"/>
    <w:rsid w:val="004C3E38"/>
    <w:rsid w:val="004C3E75"/>
    <w:rsid w:val="004C3F9A"/>
    <w:rsid w:val="004C4298"/>
    <w:rsid w:val="004C4F11"/>
    <w:rsid w:val="004C560C"/>
    <w:rsid w:val="004C6E10"/>
    <w:rsid w:val="004C74DF"/>
    <w:rsid w:val="004C7618"/>
    <w:rsid w:val="004C76A1"/>
    <w:rsid w:val="004C76B5"/>
    <w:rsid w:val="004C785D"/>
    <w:rsid w:val="004D0311"/>
    <w:rsid w:val="004D0769"/>
    <w:rsid w:val="004D0921"/>
    <w:rsid w:val="004D0936"/>
    <w:rsid w:val="004D17D6"/>
    <w:rsid w:val="004D1E2C"/>
    <w:rsid w:val="004D2340"/>
    <w:rsid w:val="004D25D4"/>
    <w:rsid w:val="004D3267"/>
    <w:rsid w:val="004D32DE"/>
    <w:rsid w:val="004D3749"/>
    <w:rsid w:val="004D38D3"/>
    <w:rsid w:val="004D44DD"/>
    <w:rsid w:val="004D477C"/>
    <w:rsid w:val="004D4A9E"/>
    <w:rsid w:val="004D526F"/>
    <w:rsid w:val="004D605C"/>
    <w:rsid w:val="004D62ED"/>
    <w:rsid w:val="004D6C70"/>
    <w:rsid w:val="004D7098"/>
    <w:rsid w:val="004D728B"/>
    <w:rsid w:val="004E0646"/>
    <w:rsid w:val="004E0958"/>
    <w:rsid w:val="004E0D42"/>
    <w:rsid w:val="004E185E"/>
    <w:rsid w:val="004E267B"/>
    <w:rsid w:val="004E2958"/>
    <w:rsid w:val="004E2B16"/>
    <w:rsid w:val="004E2E0B"/>
    <w:rsid w:val="004E2F05"/>
    <w:rsid w:val="004E2F15"/>
    <w:rsid w:val="004E2F8F"/>
    <w:rsid w:val="004E399E"/>
    <w:rsid w:val="004E3DC7"/>
    <w:rsid w:val="004E47E0"/>
    <w:rsid w:val="004E5585"/>
    <w:rsid w:val="004E5618"/>
    <w:rsid w:val="004E575E"/>
    <w:rsid w:val="004E5F93"/>
    <w:rsid w:val="004E6806"/>
    <w:rsid w:val="004E7AC7"/>
    <w:rsid w:val="004F0724"/>
    <w:rsid w:val="004F0A01"/>
    <w:rsid w:val="004F0C13"/>
    <w:rsid w:val="004F0DF9"/>
    <w:rsid w:val="004F20EE"/>
    <w:rsid w:val="004F2B82"/>
    <w:rsid w:val="004F3201"/>
    <w:rsid w:val="004F3975"/>
    <w:rsid w:val="004F49AE"/>
    <w:rsid w:val="004F5DE0"/>
    <w:rsid w:val="004F5FBC"/>
    <w:rsid w:val="004F60AB"/>
    <w:rsid w:val="004F6E64"/>
    <w:rsid w:val="004F77CF"/>
    <w:rsid w:val="004F7AD2"/>
    <w:rsid w:val="0050145A"/>
    <w:rsid w:val="00501657"/>
    <w:rsid w:val="00501FB6"/>
    <w:rsid w:val="00502718"/>
    <w:rsid w:val="00502A81"/>
    <w:rsid w:val="00502D9A"/>
    <w:rsid w:val="00502FF8"/>
    <w:rsid w:val="005030F0"/>
    <w:rsid w:val="00503239"/>
    <w:rsid w:val="00503448"/>
    <w:rsid w:val="00503D89"/>
    <w:rsid w:val="005040C3"/>
    <w:rsid w:val="00504D60"/>
    <w:rsid w:val="00505C65"/>
    <w:rsid w:val="00506936"/>
    <w:rsid w:val="005071B3"/>
    <w:rsid w:val="00507B7B"/>
    <w:rsid w:val="00510F0B"/>
    <w:rsid w:val="00511812"/>
    <w:rsid w:val="00511EC2"/>
    <w:rsid w:val="00511F70"/>
    <w:rsid w:val="005121E4"/>
    <w:rsid w:val="00512C74"/>
    <w:rsid w:val="00512E8F"/>
    <w:rsid w:val="00512FDE"/>
    <w:rsid w:val="005134E6"/>
    <w:rsid w:val="00513659"/>
    <w:rsid w:val="00513B68"/>
    <w:rsid w:val="00514101"/>
    <w:rsid w:val="0051432F"/>
    <w:rsid w:val="00514769"/>
    <w:rsid w:val="00514927"/>
    <w:rsid w:val="00514965"/>
    <w:rsid w:val="00514E64"/>
    <w:rsid w:val="005153B8"/>
    <w:rsid w:val="00516597"/>
    <w:rsid w:val="005168A1"/>
    <w:rsid w:val="005168E9"/>
    <w:rsid w:val="00516E5F"/>
    <w:rsid w:val="00517656"/>
    <w:rsid w:val="00517B65"/>
    <w:rsid w:val="00520959"/>
    <w:rsid w:val="005209AC"/>
    <w:rsid w:val="00520A78"/>
    <w:rsid w:val="00521DA3"/>
    <w:rsid w:val="005221EF"/>
    <w:rsid w:val="00522EF0"/>
    <w:rsid w:val="0052332B"/>
    <w:rsid w:val="005238BF"/>
    <w:rsid w:val="00523AD1"/>
    <w:rsid w:val="00523EE1"/>
    <w:rsid w:val="00524A1D"/>
    <w:rsid w:val="00524D5D"/>
    <w:rsid w:val="00524E19"/>
    <w:rsid w:val="00525C20"/>
    <w:rsid w:val="00526503"/>
    <w:rsid w:val="00526900"/>
    <w:rsid w:val="00526D61"/>
    <w:rsid w:val="00526FB5"/>
    <w:rsid w:val="00527507"/>
    <w:rsid w:val="005276FA"/>
    <w:rsid w:val="005304C1"/>
    <w:rsid w:val="00530586"/>
    <w:rsid w:val="00530683"/>
    <w:rsid w:val="00530850"/>
    <w:rsid w:val="005308D5"/>
    <w:rsid w:val="00530B10"/>
    <w:rsid w:val="005310A3"/>
    <w:rsid w:val="00531381"/>
    <w:rsid w:val="005313E7"/>
    <w:rsid w:val="00532F92"/>
    <w:rsid w:val="00533765"/>
    <w:rsid w:val="0053402D"/>
    <w:rsid w:val="005343C6"/>
    <w:rsid w:val="00534E54"/>
    <w:rsid w:val="00535071"/>
    <w:rsid w:val="0053685A"/>
    <w:rsid w:val="00536941"/>
    <w:rsid w:val="00536986"/>
    <w:rsid w:val="00537305"/>
    <w:rsid w:val="00537332"/>
    <w:rsid w:val="00537513"/>
    <w:rsid w:val="005377C1"/>
    <w:rsid w:val="00537B3A"/>
    <w:rsid w:val="00540313"/>
    <w:rsid w:val="00541199"/>
    <w:rsid w:val="005416BA"/>
    <w:rsid w:val="0054177A"/>
    <w:rsid w:val="00541933"/>
    <w:rsid w:val="00542B16"/>
    <w:rsid w:val="00543FFE"/>
    <w:rsid w:val="005444DE"/>
    <w:rsid w:val="0054458D"/>
    <w:rsid w:val="005449B5"/>
    <w:rsid w:val="0054529F"/>
    <w:rsid w:val="005454DB"/>
    <w:rsid w:val="005456E6"/>
    <w:rsid w:val="00546285"/>
    <w:rsid w:val="0054642B"/>
    <w:rsid w:val="00546462"/>
    <w:rsid w:val="00546ABD"/>
    <w:rsid w:val="005475E9"/>
    <w:rsid w:val="00547B08"/>
    <w:rsid w:val="005507B1"/>
    <w:rsid w:val="00550E33"/>
    <w:rsid w:val="00550FB3"/>
    <w:rsid w:val="005510A3"/>
    <w:rsid w:val="005516E3"/>
    <w:rsid w:val="00551A3D"/>
    <w:rsid w:val="005520BB"/>
    <w:rsid w:val="00552129"/>
    <w:rsid w:val="0055334E"/>
    <w:rsid w:val="005538E8"/>
    <w:rsid w:val="00554431"/>
    <w:rsid w:val="00554577"/>
    <w:rsid w:val="00554E8D"/>
    <w:rsid w:val="00555080"/>
    <w:rsid w:val="005554F6"/>
    <w:rsid w:val="005556C6"/>
    <w:rsid w:val="00556448"/>
    <w:rsid w:val="00556D70"/>
    <w:rsid w:val="00557249"/>
    <w:rsid w:val="00557806"/>
    <w:rsid w:val="00560998"/>
    <w:rsid w:val="00561A19"/>
    <w:rsid w:val="00561FF9"/>
    <w:rsid w:val="00562F32"/>
    <w:rsid w:val="00563BB0"/>
    <w:rsid w:val="00563D22"/>
    <w:rsid w:val="00564377"/>
    <w:rsid w:val="00564B49"/>
    <w:rsid w:val="00565543"/>
    <w:rsid w:val="00565DCA"/>
    <w:rsid w:val="00565F15"/>
    <w:rsid w:val="005662ED"/>
    <w:rsid w:val="00566688"/>
    <w:rsid w:val="005669BB"/>
    <w:rsid w:val="00567767"/>
    <w:rsid w:val="00567E81"/>
    <w:rsid w:val="005707E8"/>
    <w:rsid w:val="0057092D"/>
    <w:rsid w:val="00570A95"/>
    <w:rsid w:val="00571C11"/>
    <w:rsid w:val="00571D26"/>
    <w:rsid w:val="005724CD"/>
    <w:rsid w:val="005728ED"/>
    <w:rsid w:val="00572F0F"/>
    <w:rsid w:val="00573029"/>
    <w:rsid w:val="005731EF"/>
    <w:rsid w:val="00573962"/>
    <w:rsid w:val="00573E9D"/>
    <w:rsid w:val="00573FAF"/>
    <w:rsid w:val="005742B4"/>
    <w:rsid w:val="00574702"/>
    <w:rsid w:val="005749F9"/>
    <w:rsid w:val="0057553B"/>
    <w:rsid w:val="005758C7"/>
    <w:rsid w:val="00576EC8"/>
    <w:rsid w:val="00577724"/>
    <w:rsid w:val="00577D1C"/>
    <w:rsid w:val="00577E24"/>
    <w:rsid w:val="005805B6"/>
    <w:rsid w:val="00580D64"/>
    <w:rsid w:val="0058151A"/>
    <w:rsid w:val="00581B82"/>
    <w:rsid w:val="00581DBB"/>
    <w:rsid w:val="005829A4"/>
    <w:rsid w:val="00583429"/>
    <w:rsid w:val="005834CB"/>
    <w:rsid w:val="00583BB8"/>
    <w:rsid w:val="00583D82"/>
    <w:rsid w:val="0058402F"/>
    <w:rsid w:val="00584D73"/>
    <w:rsid w:val="00585537"/>
    <w:rsid w:val="0058566B"/>
    <w:rsid w:val="00585790"/>
    <w:rsid w:val="00585993"/>
    <w:rsid w:val="0058628B"/>
    <w:rsid w:val="0058668D"/>
    <w:rsid w:val="0058710B"/>
    <w:rsid w:val="00587934"/>
    <w:rsid w:val="00587A97"/>
    <w:rsid w:val="00587C2D"/>
    <w:rsid w:val="00587E98"/>
    <w:rsid w:val="005906E6"/>
    <w:rsid w:val="00591783"/>
    <w:rsid w:val="00592697"/>
    <w:rsid w:val="00593373"/>
    <w:rsid w:val="00593A7F"/>
    <w:rsid w:val="00593AF7"/>
    <w:rsid w:val="0059430F"/>
    <w:rsid w:val="00594356"/>
    <w:rsid w:val="00594A4A"/>
    <w:rsid w:val="00594DAA"/>
    <w:rsid w:val="00595465"/>
    <w:rsid w:val="005957D7"/>
    <w:rsid w:val="00596725"/>
    <w:rsid w:val="005A0089"/>
    <w:rsid w:val="005A0654"/>
    <w:rsid w:val="005A1380"/>
    <w:rsid w:val="005A2213"/>
    <w:rsid w:val="005A241E"/>
    <w:rsid w:val="005A2D53"/>
    <w:rsid w:val="005A2E44"/>
    <w:rsid w:val="005A3393"/>
    <w:rsid w:val="005A36C5"/>
    <w:rsid w:val="005A3B1F"/>
    <w:rsid w:val="005A410B"/>
    <w:rsid w:val="005A4669"/>
    <w:rsid w:val="005A5EE9"/>
    <w:rsid w:val="005A74F3"/>
    <w:rsid w:val="005A7874"/>
    <w:rsid w:val="005A7C7A"/>
    <w:rsid w:val="005B07CC"/>
    <w:rsid w:val="005B0DD7"/>
    <w:rsid w:val="005B0DE8"/>
    <w:rsid w:val="005B14D3"/>
    <w:rsid w:val="005B1E21"/>
    <w:rsid w:val="005B1F1D"/>
    <w:rsid w:val="005B1F20"/>
    <w:rsid w:val="005B22DB"/>
    <w:rsid w:val="005B25CE"/>
    <w:rsid w:val="005B283F"/>
    <w:rsid w:val="005B2BB1"/>
    <w:rsid w:val="005B2D17"/>
    <w:rsid w:val="005B2ED0"/>
    <w:rsid w:val="005B2F3C"/>
    <w:rsid w:val="005B3AC3"/>
    <w:rsid w:val="005B3BC3"/>
    <w:rsid w:val="005B4320"/>
    <w:rsid w:val="005B44A3"/>
    <w:rsid w:val="005B6001"/>
    <w:rsid w:val="005B692C"/>
    <w:rsid w:val="005B6A8F"/>
    <w:rsid w:val="005B7B89"/>
    <w:rsid w:val="005B7DE3"/>
    <w:rsid w:val="005C0092"/>
    <w:rsid w:val="005C0395"/>
    <w:rsid w:val="005C0B18"/>
    <w:rsid w:val="005C1266"/>
    <w:rsid w:val="005C1269"/>
    <w:rsid w:val="005C1763"/>
    <w:rsid w:val="005C1C6F"/>
    <w:rsid w:val="005C1CC5"/>
    <w:rsid w:val="005C2169"/>
    <w:rsid w:val="005C2937"/>
    <w:rsid w:val="005C2F54"/>
    <w:rsid w:val="005C33BB"/>
    <w:rsid w:val="005C3460"/>
    <w:rsid w:val="005C3A97"/>
    <w:rsid w:val="005C3CDC"/>
    <w:rsid w:val="005C3EED"/>
    <w:rsid w:val="005C51B3"/>
    <w:rsid w:val="005C5E8E"/>
    <w:rsid w:val="005C6045"/>
    <w:rsid w:val="005C63A2"/>
    <w:rsid w:val="005C63BE"/>
    <w:rsid w:val="005C742E"/>
    <w:rsid w:val="005D0FFE"/>
    <w:rsid w:val="005D10A0"/>
    <w:rsid w:val="005D134B"/>
    <w:rsid w:val="005D1619"/>
    <w:rsid w:val="005D1A3E"/>
    <w:rsid w:val="005D1A95"/>
    <w:rsid w:val="005D24D4"/>
    <w:rsid w:val="005D24E9"/>
    <w:rsid w:val="005D27D4"/>
    <w:rsid w:val="005D2AE7"/>
    <w:rsid w:val="005D2E36"/>
    <w:rsid w:val="005D50F8"/>
    <w:rsid w:val="005D5221"/>
    <w:rsid w:val="005D5375"/>
    <w:rsid w:val="005D5F0B"/>
    <w:rsid w:val="005D6E07"/>
    <w:rsid w:val="005D71CF"/>
    <w:rsid w:val="005D78A0"/>
    <w:rsid w:val="005D79FE"/>
    <w:rsid w:val="005E04C5"/>
    <w:rsid w:val="005E05B4"/>
    <w:rsid w:val="005E0C3C"/>
    <w:rsid w:val="005E0FDF"/>
    <w:rsid w:val="005E21AC"/>
    <w:rsid w:val="005E28C1"/>
    <w:rsid w:val="005E3BF9"/>
    <w:rsid w:val="005E3EF2"/>
    <w:rsid w:val="005E4720"/>
    <w:rsid w:val="005E4B3D"/>
    <w:rsid w:val="005E532F"/>
    <w:rsid w:val="005E593C"/>
    <w:rsid w:val="005E6698"/>
    <w:rsid w:val="005E6C94"/>
    <w:rsid w:val="005E6E05"/>
    <w:rsid w:val="005E6F07"/>
    <w:rsid w:val="005E7711"/>
    <w:rsid w:val="005E7E74"/>
    <w:rsid w:val="005E7E80"/>
    <w:rsid w:val="005F0AC0"/>
    <w:rsid w:val="005F1013"/>
    <w:rsid w:val="005F1261"/>
    <w:rsid w:val="005F12BD"/>
    <w:rsid w:val="005F12F8"/>
    <w:rsid w:val="005F1594"/>
    <w:rsid w:val="005F1949"/>
    <w:rsid w:val="005F205D"/>
    <w:rsid w:val="005F2340"/>
    <w:rsid w:val="005F2778"/>
    <w:rsid w:val="005F2C2C"/>
    <w:rsid w:val="005F2DB1"/>
    <w:rsid w:val="005F343E"/>
    <w:rsid w:val="005F344B"/>
    <w:rsid w:val="005F3BCE"/>
    <w:rsid w:val="005F3E6A"/>
    <w:rsid w:val="005F42D2"/>
    <w:rsid w:val="005F4493"/>
    <w:rsid w:val="005F4537"/>
    <w:rsid w:val="005F4AAE"/>
    <w:rsid w:val="005F4B4A"/>
    <w:rsid w:val="005F51E3"/>
    <w:rsid w:val="005F5422"/>
    <w:rsid w:val="005F5459"/>
    <w:rsid w:val="005F5606"/>
    <w:rsid w:val="005F5CD4"/>
    <w:rsid w:val="005F69DF"/>
    <w:rsid w:val="005F6AAF"/>
    <w:rsid w:val="005F7833"/>
    <w:rsid w:val="006007E6"/>
    <w:rsid w:val="00600D17"/>
    <w:rsid w:val="00601015"/>
    <w:rsid w:val="006011F1"/>
    <w:rsid w:val="006017B2"/>
    <w:rsid w:val="00601BA8"/>
    <w:rsid w:val="0060229B"/>
    <w:rsid w:val="00602458"/>
    <w:rsid w:val="00602614"/>
    <w:rsid w:val="00602940"/>
    <w:rsid w:val="0060314A"/>
    <w:rsid w:val="00603466"/>
    <w:rsid w:val="00603EF1"/>
    <w:rsid w:val="00604045"/>
    <w:rsid w:val="0060407C"/>
    <w:rsid w:val="00605CF1"/>
    <w:rsid w:val="00606FDA"/>
    <w:rsid w:val="0060779D"/>
    <w:rsid w:val="006103F5"/>
    <w:rsid w:val="0061080D"/>
    <w:rsid w:val="0061098C"/>
    <w:rsid w:val="00610C4A"/>
    <w:rsid w:val="00610CFF"/>
    <w:rsid w:val="0061119C"/>
    <w:rsid w:val="006111D9"/>
    <w:rsid w:val="00611DF3"/>
    <w:rsid w:val="006120F9"/>
    <w:rsid w:val="006126A6"/>
    <w:rsid w:val="006127B6"/>
    <w:rsid w:val="00613421"/>
    <w:rsid w:val="00613565"/>
    <w:rsid w:val="006135E8"/>
    <w:rsid w:val="00614C67"/>
    <w:rsid w:val="00615110"/>
    <w:rsid w:val="006155A9"/>
    <w:rsid w:val="00615E1D"/>
    <w:rsid w:val="0061612F"/>
    <w:rsid w:val="00616197"/>
    <w:rsid w:val="0061634A"/>
    <w:rsid w:val="00616A43"/>
    <w:rsid w:val="00617C83"/>
    <w:rsid w:val="00620223"/>
    <w:rsid w:val="006216B3"/>
    <w:rsid w:val="006219A8"/>
    <w:rsid w:val="006219C7"/>
    <w:rsid w:val="0062273D"/>
    <w:rsid w:val="006227B2"/>
    <w:rsid w:val="00623169"/>
    <w:rsid w:val="0062385A"/>
    <w:rsid w:val="006239C2"/>
    <w:rsid w:val="00623BD9"/>
    <w:rsid w:val="00623C73"/>
    <w:rsid w:val="00624CA0"/>
    <w:rsid w:val="00624F16"/>
    <w:rsid w:val="00625ACF"/>
    <w:rsid w:val="00625C8B"/>
    <w:rsid w:val="00626330"/>
    <w:rsid w:val="006264C0"/>
    <w:rsid w:val="00626584"/>
    <w:rsid w:val="00626CB7"/>
    <w:rsid w:val="00626E28"/>
    <w:rsid w:val="006273B6"/>
    <w:rsid w:val="0062767D"/>
    <w:rsid w:val="006276AE"/>
    <w:rsid w:val="00627A3A"/>
    <w:rsid w:val="00627AF6"/>
    <w:rsid w:val="00630E5F"/>
    <w:rsid w:val="00630EF9"/>
    <w:rsid w:val="00631422"/>
    <w:rsid w:val="00632BDB"/>
    <w:rsid w:val="00633346"/>
    <w:rsid w:val="00633996"/>
    <w:rsid w:val="00633D11"/>
    <w:rsid w:val="00633D77"/>
    <w:rsid w:val="006342C5"/>
    <w:rsid w:val="00634942"/>
    <w:rsid w:val="00635385"/>
    <w:rsid w:val="006356B5"/>
    <w:rsid w:val="00635EBF"/>
    <w:rsid w:val="00635EEF"/>
    <w:rsid w:val="00636BA4"/>
    <w:rsid w:val="00637732"/>
    <w:rsid w:val="00637AA4"/>
    <w:rsid w:val="00637FA7"/>
    <w:rsid w:val="00640284"/>
    <w:rsid w:val="00640531"/>
    <w:rsid w:val="0064073C"/>
    <w:rsid w:val="00641E71"/>
    <w:rsid w:val="00642607"/>
    <w:rsid w:val="00642B35"/>
    <w:rsid w:val="0064322D"/>
    <w:rsid w:val="0064484A"/>
    <w:rsid w:val="00645E63"/>
    <w:rsid w:val="00646DF4"/>
    <w:rsid w:val="00647352"/>
    <w:rsid w:val="00647562"/>
    <w:rsid w:val="00647E43"/>
    <w:rsid w:val="006506F3"/>
    <w:rsid w:val="00650CF3"/>
    <w:rsid w:val="006515F8"/>
    <w:rsid w:val="00651B51"/>
    <w:rsid w:val="00651D42"/>
    <w:rsid w:val="00653856"/>
    <w:rsid w:val="00653AAB"/>
    <w:rsid w:val="0065408D"/>
    <w:rsid w:val="006544CA"/>
    <w:rsid w:val="00655374"/>
    <w:rsid w:val="00655976"/>
    <w:rsid w:val="00655F43"/>
    <w:rsid w:val="0065637A"/>
    <w:rsid w:val="00656A5D"/>
    <w:rsid w:val="00656D98"/>
    <w:rsid w:val="00657746"/>
    <w:rsid w:val="0065793C"/>
    <w:rsid w:val="00657BE1"/>
    <w:rsid w:val="0066000E"/>
    <w:rsid w:val="006605A3"/>
    <w:rsid w:val="00660DD1"/>
    <w:rsid w:val="00660EA2"/>
    <w:rsid w:val="00661153"/>
    <w:rsid w:val="006633FE"/>
    <w:rsid w:val="006636B0"/>
    <w:rsid w:val="006646A7"/>
    <w:rsid w:val="00664B9A"/>
    <w:rsid w:val="00664E02"/>
    <w:rsid w:val="00664E89"/>
    <w:rsid w:val="006654B7"/>
    <w:rsid w:val="00665680"/>
    <w:rsid w:val="00666C67"/>
    <w:rsid w:val="006672EB"/>
    <w:rsid w:val="00667739"/>
    <w:rsid w:val="00667972"/>
    <w:rsid w:val="006679A4"/>
    <w:rsid w:val="00671915"/>
    <w:rsid w:val="006725F3"/>
    <w:rsid w:val="006735B7"/>
    <w:rsid w:val="00673E7D"/>
    <w:rsid w:val="00674294"/>
    <w:rsid w:val="00674F3A"/>
    <w:rsid w:val="006750A4"/>
    <w:rsid w:val="0067565E"/>
    <w:rsid w:val="00675A8F"/>
    <w:rsid w:val="00675D60"/>
    <w:rsid w:val="00676955"/>
    <w:rsid w:val="006776EF"/>
    <w:rsid w:val="00677881"/>
    <w:rsid w:val="00680761"/>
    <w:rsid w:val="00680F1D"/>
    <w:rsid w:val="00680F89"/>
    <w:rsid w:val="00681567"/>
    <w:rsid w:val="0068171A"/>
    <w:rsid w:val="00681903"/>
    <w:rsid w:val="006820DD"/>
    <w:rsid w:val="006832F1"/>
    <w:rsid w:val="006833DB"/>
    <w:rsid w:val="006835CC"/>
    <w:rsid w:val="00683B22"/>
    <w:rsid w:val="006842AF"/>
    <w:rsid w:val="0068437F"/>
    <w:rsid w:val="006847C3"/>
    <w:rsid w:val="00684E0A"/>
    <w:rsid w:val="006855DB"/>
    <w:rsid w:val="00685D35"/>
    <w:rsid w:val="006864F0"/>
    <w:rsid w:val="00686BE5"/>
    <w:rsid w:val="00687699"/>
    <w:rsid w:val="006877E6"/>
    <w:rsid w:val="006879BF"/>
    <w:rsid w:val="00687D01"/>
    <w:rsid w:val="00690AB8"/>
    <w:rsid w:val="00690E40"/>
    <w:rsid w:val="00691975"/>
    <w:rsid w:val="00691AA6"/>
    <w:rsid w:val="00691E48"/>
    <w:rsid w:val="00692AAC"/>
    <w:rsid w:val="0069300F"/>
    <w:rsid w:val="00693389"/>
    <w:rsid w:val="00693634"/>
    <w:rsid w:val="006941BB"/>
    <w:rsid w:val="006949C8"/>
    <w:rsid w:val="00695864"/>
    <w:rsid w:val="0069654C"/>
    <w:rsid w:val="00696C3F"/>
    <w:rsid w:val="00696EF5"/>
    <w:rsid w:val="00697132"/>
    <w:rsid w:val="0069742C"/>
    <w:rsid w:val="0069761B"/>
    <w:rsid w:val="006979B8"/>
    <w:rsid w:val="00697DDA"/>
    <w:rsid w:val="006A0495"/>
    <w:rsid w:val="006A180A"/>
    <w:rsid w:val="006A1C4C"/>
    <w:rsid w:val="006A1D06"/>
    <w:rsid w:val="006A2852"/>
    <w:rsid w:val="006A2ED2"/>
    <w:rsid w:val="006A36E9"/>
    <w:rsid w:val="006A3823"/>
    <w:rsid w:val="006A498F"/>
    <w:rsid w:val="006A4DB6"/>
    <w:rsid w:val="006A512A"/>
    <w:rsid w:val="006A538A"/>
    <w:rsid w:val="006A591D"/>
    <w:rsid w:val="006A59EC"/>
    <w:rsid w:val="006A5DA0"/>
    <w:rsid w:val="006A658E"/>
    <w:rsid w:val="006A6993"/>
    <w:rsid w:val="006A7116"/>
    <w:rsid w:val="006A72E9"/>
    <w:rsid w:val="006A7393"/>
    <w:rsid w:val="006A77A0"/>
    <w:rsid w:val="006B01EF"/>
    <w:rsid w:val="006B123C"/>
    <w:rsid w:val="006B124E"/>
    <w:rsid w:val="006B1857"/>
    <w:rsid w:val="006B19B9"/>
    <w:rsid w:val="006B22A1"/>
    <w:rsid w:val="006B2468"/>
    <w:rsid w:val="006B25DD"/>
    <w:rsid w:val="006B26F9"/>
    <w:rsid w:val="006B3B4B"/>
    <w:rsid w:val="006B4F0B"/>
    <w:rsid w:val="006B5386"/>
    <w:rsid w:val="006B5A00"/>
    <w:rsid w:val="006B5BC3"/>
    <w:rsid w:val="006B5D40"/>
    <w:rsid w:val="006B662C"/>
    <w:rsid w:val="006B6764"/>
    <w:rsid w:val="006B7008"/>
    <w:rsid w:val="006C04CC"/>
    <w:rsid w:val="006C06E0"/>
    <w:rsid w:val="006C0EDC"/>
    <w:rsid w:val="006C117F"/>
    <w:rsid w:val="006C13B6"/>
    <w:rsid w:val="006C2274"/>
    <w:rsid w:val="006C3227"/>
    <w:rsid w:val="006C36B1"/>
    <w:rsid w:val="006C3926"/>
    <w:rsid w:val="006C3A2A"/>
    <w:rsid w:val="006C3B13"/>
    <w:rsid w:val="006C467E"/>
    <w:rsid w:val="006C4810"/>
    <w:rsid w:val="006C4BE6"/>
    <w:rsid w:val="006C51BA"/>
    <w:rsid w:val="006C55B0"/>
    <w:rsid w:val="006C576E"/>
    <w:rsid w:val="006C5A82"/>
    <w:rsid w:val="006C5A89"/>
    <w:rsid w:val="006C5C32"/>
    <w:rsid w:val="006C7106"/>
    <w:rsid w:val="006C7410"/>
    <w:rsid w:val="006C756A"/>
    <w:rsid w:val="006D024D"/>
    <w:rsid w:val="006D0804"/>
    <w:rsid w:val="006D0EE9"/>
    <w:rsid w:val="006D11FC"/>
    <w:rsid w:val="006D1FDA"/>
    <w:rsid w:val="006D24D3"/>
    <w:rsid w:val="006D28FD"/>
    <w:rsid w:val="006D32E8"/>
    <w:rsid w:val="006D3B1C"/>
    <w:rsid w:val="006D3BED"/>
    <w:rsid w:val="006D42A4"/>
    <w:rsid w:val="006D4482"/>
    <w:rsid w:val="006D462A"/>
    <w:rsid w:val="006D4E9C"/>
    <w:rsid w:val="006D586B"/>
    <w:rsid w:val="006D5B4E"/>
    <w:rsid w:val="006D69B5"/>
    <w:rsid w:val="006D6DF0"/>
    <w:rsid w:val="006D7609"/>
    <w:rsid w:val="006E04C2"/>
    <w:rsid w:val="006E09AF"/>
    <w:rsid w:val="006E19E5"/>
    <w:rsid w:val="006E258A"/>
    <w:rsid w:val="006E2868"/>
    <w:rsid w:val="006E2FA5"/>
    <w:rsid w:val="006E3136"/>
    <w:rsid w:val="006E324D"/>
    <w:rsid w:val="006E4616"/>
    <w:rsid w:val="006E4769"/>
    <w:rsid w:val="006E4BB8"/>
    <w:rsid w:val="006E67A9"/>
    <w:rsid w:val="006E6BC2"/>
    <w:rsid w:val="006E700B"/>
    <w:rsid w:val="006E74D3"/>
    <w:rsid w:val="006E7A99"/>
    <w:rsid w:val="006F009C"/>
    <w:rsid w:val="006F0479"/>
    <w:rsid w:val="006F0CDD"/>
    <w:rsid w:val="006F0E16"/>
    <w:rsid w:val="006F0E93"/>
    <w:rsid w:val="006F15B8"/>
    <w:rsid w:val="006F170B"/>
    <w:rsid w:val="006F1718"/>
    <w:rsid w:val="006F1D27"/>
    <w:rsid w:val="006F1D96"/>
    <w:rsid w:val="006F237F"/>
    <w:rsid w:val="006F23FE"/>
    <w:rsid w:val="006F247D"/>
    <w:rsid w:val="006F25A5"/>
    <w:rsid w:val="006F276E"/>
    <w:rsid w:val="006F3051"/>
    <w:rsid w:val="006F33D7"/>
    <w:rsid w:val="006F3B43"/>
    <w:rsid w:val="006F3F1A"/>
    <w:rsid w:val="006F7292"/>
    <w:rsid w:val="006F738A"/>
    <w:rsid w:val="00701B97"/>
    <w:rsid w:val="007020DF"/>
    <w:rsid w:val="007026E8"/>
    <w:rsid w:val="00702B5E"/>
    <w:rsid w:val="00703241"/>
    <w:rsid w:val="007038E0"/>
    <w:rsid w:val="00703996"/>
    <w:rsid w:val="0070477A"/>
    <w:rsid w:val="00704C55"/>
    <w:rsid w:val="007051B8"/>
    <w:rsid w:val="00705959"/>
    <w:rsid w:val="00705A3B"/>
    <w:rsid w:val="00705C35"/>
    <w:rsid w:val="00705E41"/>
    <w:rsid w:val="0070665A"/>
    <w:rsid w:val="0070723C"/>
    <w:rsid w:val="007074A8"/>
    <w:rsid w:val="00707A28"/>
    <w:rsid w:val="00707AC5"/>
    <w:rsid w:val="00707C9C"/>
    <w:rsid w:val="00707E7F"/>
    <w:rsid w:val="00710049"/>
    <w:rsid w:val="007106A5"/>
    <w:rsid w:val="00710A8C"/>
    <w:rsid w:val="007110D5"/>
    <w:rsid w:val="007111E5"/>
    <w:rsid w:val="00712071"/>
    <w:rsid w:val="007120B0"/>
    <w:rsid w:val="00712374"/>
    <w:rsid w:val="00712BCB"/>
    <w:rsid w:val="00712C8A"/>
    <w:rsid w:val="0071316E"/>
    <w:rsid w:val="00713EF8"/>
    <w:rsid w:val="007141B4"/>
    <w:rsid w:val="007145EF"/>
    <w:rsid w:val="00715142"/>
    <w:rsid w:val="00715593"/>
    <w:rsid w:val="00715D49"/>
    <w:rsid w:val="00715DAA"/>
    <w:rsid w:val="0071606F"/>
    <w:rsid w:val="007163C5"/>
    <w:rsid w:val="00716A0D"/>
    <w:rsid w:val="0071743D"/>
    <w:rsid w:val="00717C9B"/>
    <w:rsid w:val="00717DDA"/>
    <w:rsid w:val="00720438"/>
    <w:rsid w:val="00720476"/>
    <w:rsid w:val="007205A2"/>
    <w:rsid w:val="00720AFD"/>
    <w:rsid w:val="00720DF2"/>
    <w:rsid w:val="007216C9"/>
    <w:rsid w:val="00721A6E"/>
    <w:rsid w:val="0072202B"/>
    <w:rsid w:val="00722038"/>
    <w:rsid w:val="00722666"/>
    <w:rsid w:val="00722DFC"/>
    <w:rsid w:val="00723ED3"/>
    <w:rsid w:val="007240BE"/>
    <w:rsid w:val="00724412"/>
    <w:rsid w:val="0072458B"/>
    <w:rsid w:val="00724CCB"/>
    <w:rsid w:val="0072555D"/>
    <w:rsid w:val="00725B39"/>
    <w:rsid w:val="007265C3"/>
    <w:rsid w:val="007268FB"/>
    <w:rsid w:val="00726F85"/>
    <w:rsid w:val="007278DB"/>
    <w:rsid w:val="00727C1E"/>
    <w:rsid w:val="007309ED"/>
    <w:rsid w:val="00731F76"/>
    <w:rsid w:val="00732952"/>
    <w:rsid w:val="00732D47"/>
    <w:rsid w:val="00734B2B"/>
    <w:rsid w:val="007356B6"/>
    <w:rsid w:val="00735C19"/>
    <w:rsid w:val="00736783"/>
    <w:rsid w:val="007368F0"/>
    <w:rsid w:val="00736B1E"/>
    <w:rsid w:val="00736D63"/>
    <w:rsid w:val="00736E60"/>
    <w:rsid w:val="0073734B"/>
    <w:rsid w:val="007377ED"/>
    <w:rsid w:val="00737854"/>
    <w:rsid w:val="007403EA"/>
    <w:rsid w:val="00740BD3"/>
    <w:rsid w:val="00740D56"/>
    <w:rsid w:val="007415AA"/>
    <w:rsid w:val="007418BE"/>
    <w:rsid w:val="00741C9B"/>
    <w:rsid w:val="00742064"/>
    <w:rsid w:val="0074281D"/>
    <w:rsid w:val="00742C86"/>
    <w:rsid w:val="007439E9"/>
    <w:rsid w:val="0074406B"/>
    <w:rsid w:val="007449E5"/>
    <w:rsid w:val="00744D6C"/>
    <w:rsid w:val="00745945"/>
    <w:rsid w:val="00745B77"/>
    <w:rsid w:val="0074688B"/>
    <w:rsid w:val="00746929"/>
    <w:rsid w:val="007470F6"/>
    <w:rsid w:val="00747409"/>
    <w:rsid w:val="0074746D"/>
    <w:rsid w:val="007476D6"/>
    <w:rsid w:val="00750546"/>
    <w:rsid w:val="00750580"/>
    <w:rsid w:val="007508A7"/>
    <w:rsid w:val="00751D9D"/>
    <w:rsid w:val="00752345"/>
    <w:rsid w:val="0075260E"/>
    <w:rsid w:val="00752996"/>
    <w:rsid w:val="00752998"/>
    <w:rsid w:val="0075303C"/>
    <w:rsid w:val="00753048"/>
    <w:rsid w:val="00753427"/>
    <w:rsid w:val="007546C5"/>
    <w:rsid w:val="007549E2"/>
    <w:rsid w:val="00754D54"/>
    <w:rsid w:val="00754E53"/>
    <w:rsid w:val="007552B1"/>
    <w:rsid w:val="007564E4"/>
    <w:rsid w:val="00756A92"/>
    <w:rsid w:val="00756C47"/>
    <w:rsid w:val="007577DE"/>
    <w:rsid w:val="00757F41"/>
    <w:rsid w:val="007601DC"/>
    <w:rsid w:val="00760389"/>
    <w:rsid w:val="00760E26"/>
    <w:rsid w:val="00761121"/>
    <w:rsid w:val="007612B8"/>
    <w:rsid w:val="007612D3"/>
    <w:rsid w:val="0076163D"/>
    <w:rsid w:val="00761FC8"/>
    <w:rsid w:val="007628E1"/>
    <w:rsid w:val="00762F7C"/>
    <w:rsid w:val="007637D3"/>
    <w:rsid w:val="007640D7"/>
    <w:rsid w:val="0076432C"/>
    <w:rsid w:val="0076629B"/>
    <w:rsid w:val="00766CA1"/>
    <w:rsid w:val="00767464"/>
    <w:rsid w:val="0076781E"/>
    <w:rsid w:val="00767B10"/>
    <w:rsid w:val="00767F73"/>
    <w:rsid w:val="007708BA"/>
    <w:rsid w:val="00770B2F"/>
    <w:rsid w:val="00770BDB"/>
    <w:rsid w:val="00770DF0"/>
    <w:rsid w:val="00771146"/>
    <w:rsid w:val="007711DF"/>
    <w:rsid w:val="00771486"/>
    <w:rsid w:val="00771DB3"/>
    <w:rsid w:val="00771E7D"/>
    <w:rsid w:val="007721AD"/>
    <w:rsid w:val="0077238F"/>
    <w:rsid w:val="00772A61"/>
    <w:rsid w:val="00772CC1"/>
    <w:rsid w:val="00772CE7"/>
    <w:rsid w:val="00772D47"/>
    <w:rsid w:val="007730CF"/>
    <w:rsid w:val="0077323E"/>
    <w:rsid w:val="00773896"/>
    <w:rsid w:val="007743EE"/>
    <w:rsid w:val="00774F2D"/>
    <w:rsid w:val="00775220"/>
    <w:rsid w:val="00775510"/>
    <w:rsid w:val="007759DD"/>
    <w:rsid w:val="00775B53"/>
    <w:rsid w:val="00775E7C"/>
    <w:rsid w:val="00775F9D"/>
    <w:rsid w:val="007761FA"/>
    <w:rsid w:val="0077668A"/>
    <w:rsid w:val="0077697C"/>
    <w:rsid w:val="0077792D"/>
    <w:rsid w:val="0078254E"/>
    <w:rsid w:val="0078295D"/>
    <w:rsid w:val="0078369B"/>
    <w:rsid w:val="00783ECA"/>
    <w:rsid w:val="00786BB3"/>
    <w:rsid w:val="00786F22"/>
    <w:rsid w:val="00786FCD"/>
    <w:rsid w:val="00790F8F"/>
    <w:rsid w:val="00791507"/>
    <w:rsid w:val="0079256A"/>
    <w:rsid w:val="0079257C"/>
    <w:rsid w:val="007927B1"/>
    <w:rsid w:val="0079324F"/>
    <w:rsid w:val="0079340A"/>
    <w:rsid w:val="007935F3"/>
    <w:rsid w:val="00793C21"/>
    <w:rsid w:val="00793F57"/>
    <w:rsid w:val="00794196"/>
    <w:rsid w:val="00795329"/>
    <w:rsid w:val="00795D26"/>
    <w:rsid w:val="00795EAB"/>
    <w:rsid w:val="00796CE5"/>
    <w:rsid w:val="0079731A"/>
    <w:rsid w:val="00797874"/>
    <w:rsid w:val="00797C6C"/>
    <w:rsid w:val="00797DE9"/>
    <w:rsid w:val="007A0438"/>
    <w:rsid w:val="007A08D5"/>
    <w:rsid w:val="007A14D0"/>
    <w:rsid w:val="007A1956"/>
    <w:rsid w:val="007A1C84"/>
    <w:rsid w:val="007A1F9B"/>
    <w:rsid w:val="007A2583"/>
    <w:rsid w:val="007A3005"/>
    <w:rsid w:val="007A4692"/>
    <w:rsid w:val="007A5820"/>
    <w:rsid w:val="007A5D2A"/>
    <w:rsid w:val="007A60DB"/>
    <w:rsid w:val="007A64A6"/>
    <w:rsid w:val="007A6564"/>
    <w:rsid w:val="007A6A13"/>
    <w:rsid w:val="007A73AB"/>
    <w:rsid w:val="007A7858"/>
    <w:rsid w:val="007A798C"/>
    <w:rsid w:val="007B00A7"/>
    <w:rsid w:val="007B0502"/>
    <w:rsid w:val="007B113F"/>
    <w:rsid w:val="007B1C87"/>
    <w:rsid w:val="007B1CE6"/>
    <w:rsid w:val="007B1D82"/>
    <w:rsid w:val="007B2387"/>
    <w:rsid w:val="007B31D8"/>
    <w:rsid w:val="007B33DB"/>
    <w:rsid w:val="007B3C41"/>
    <w:rsid w:val="007B3C5A"/>
    <w:rsid w:val="007B45D4"/>
    <w:rsid w:val="007B468A"/>
    <w:rsid w:val="007B59A6"/>
    <w:rsid w:val="007B5B05"/>
    <w:rsid w:val="007B5CBB"/>
    <w:rsid w:val="007B5F3E"/>
    <w:rsid w:val="007B6432"/>
    <w:rsid w:val="007B65CE"/>
    <w:rsid w:val="007B6F50"/>
    <w:rsid w:val="007B727F"/>
    <w:rsid w:val="007B7661"/>
    <w:rsid w:val="007B7880"/>
    <w:rsid w:val="007B7F75"/>
    <w:rsid w:val="007B7FA3"/>
    <w:rsid w:val="007C0F86"/>
    <w:rsid w:val="007C15B6"/>
    <w:rsid w:val="007C1D59"/>
    <w:rsid w:val="007C204F"/>
    <w:rsid w:val="007C2463"/>
    <w:rsid w:val="007C24A8"/>
    <w:rsid w:val="007C2E65"/>
    <w:rsid w:val="007C2FB2"/>
    <w:rsid w:val="007C391D"/>
    <w:rsid w:val="007C4172"/>
    <w:rsid w:val="007C41BB"/>
    <w:rsid w:val="007C43ED"/>
    <w:rsid w:val="007C4A37"/>
    <w:rsid w:val="007C4BD5"/>
    <w:rsid w:val="007C5D09"/>
    <w:rsid w:val="007C621E"/>
    <w:rsid w:val="007C681D"/>
    <w:rsid w:val="007C6C15"/>
    <w:rsid w:val="007C6C5C"/>
    <w:rsid w:val="007C7BA1"/>
    <w:rsid w:val="007C7CC9"/>
    <w:rsid w:val="007D02EE"/>
    <w:rsid w:val="007D1048"/>
    <w:rsid w:val="007D1D43"/>
    <w:rsid w:val="007D21E3"/>
    <w:rsid w:val="007D2CF2"/>
    <w:rsid w:val="007D340B"/>
    <w:rsid w:val="007D37E4"/>
    <w:rsid w:val="007D46B8"/>
    <w:rsid w:val="007D4E02"/>
    <w:rsid w:val="007D51B0"/>
    <w:rsid w:val="007D5343"/>
    <w:rsid w:val="007D57D0"/>
    <w:rsid w:val="007D5E51"/>
    <w:rsid w:val="007D5F61"/>
    <w:rsid w:val="007D6414"/>
    <w:rsid w:val="007D66D2"/>
    <w:rsid w:val="007D6B20"/>
    <w:rsid w:val="007D7C83"/>
    <w:rsid w:val="007D7FD0"/>
    <w:rsid w:val="007E076C"/>
    <w:rsid w:val="007E138B"/>
    <w:rsid w:val="007E19C9"/>
    <w:rsid w:val="007E1B93"/>
    <w:rsid w:val="007E1BA1"/>
    <w:rsid w:val="007E2441"/>
    <w:rsid w:val="007E3BCD"/>
    <w:rsid w:val="007E3C52"/>
    <w:rsid w:val="007E3D98"/>
    <w:rsid w:val="007E43A2"/>
    <w:rsid w:val="007E4B33"/>
    <w:rsid w:val="007E4C21"/>
    <w:rsid w:val="007E4C78"/>
    <w:rsid w:val="007E69F5"/>
    <w:rsid w:val="007E71CD"/>
    <w:rsid w:val="007E7721"/>
    <w:rsid w:val="007E7B1E"/>
    <w:rsid w:val="007E7E35"/>
    <w:rsid w:val="007F0528"/>
    <w:rsid w:val="007F05FC"/>
    <w:rsid w:val="007F08F2"/>
    <w:rsid w:val="007F0F82"/>
    <w:rsid w:val="007F1D5D"/>
    <w:rsid w:val="007F1E23"/>
    <w:rsid w:val="007F272B"/>
    <w:rsid w:val="007F2F82"/>
    <w:rsid w:val="007F323E"/>
    <w:rsid w:val="007F3C50"/>
    <w:rsid w:val="007F433A"/>
    <w:rsid w:val="007F45C2"/>
    <w:rsid w:val="007F4D84"/>
    <w:rsid w:val="007F51B5"/>
    <w:rsid w:val="007F5A05"/>
    <w:rsid w:val="007F5CFF"/>
    <w:rsid w:val="007F5F35"/>
    <w:rsid w:val="007F63FA"/>
    <w:rsid w:val="007F6DFE"/>
    <w:rsid w:val="007F6E8F"/>
    <w:rsid w:val="007F72ED"/>
    <w:rsid w:val="007F75B9"/>
    <w:rsid w:val="00800154"/>
    <w:rsid w:val="00801F44"/>
    <w:rsid w:val="00802D07"/>
    <w:rsid w:val="0080347E"/>
    <w:rsid w:val="008038A8"/>
    <w:rsid w:val="00804C34"/>
    <w:rsid w:val="00804D9A"/>
    <w:rsid w:val="00804DF8"/>
    <w:rsid w:val="0080536B"/>
    <w:rsid w:val="0080562A"/>
    <w:rsid w:val="00805984"/>
    <w:rsid w:val="008062B1"/>
    <w:rsid w:val="008063AF"/>
    <w:rsid w:val="008063C8"/>
    <w:rsid w:val="008065BC"/>
    <w:rsid w:val="0080754A"/>
    <w:rsid w:val="00807A49"/>
    <w:rsid w:val="00807DB8"/>
    <w:rsid w:val="0081085F"/>
    <w:rsid w:val="00810ECF"/>
    <w:rsid w:val="008112F0"/>
    <w:rsid w:val="0081152F"/>
    <w:rsid w:val="008118A3"/>
    <w:rsid w:val="00811B31"/>
    <w:rsid w:val="00812B98"/>
    <w:rsid w:val="00812D36"/>
    <w:rsid w:val="008134FC"/>
    <w:rsid w:val="00813599"/>
    <w:rsid w:val="00813E4A"/>
    <w:rsid w:val="00813F4E"/>
    <w:rsid w:val="00814C14"/>
    <w:rsid w:val="00814DF6"/>
    <w:rsid w:val="008164FD"/>
    <w:rsid w:val="008173C4"/>
    <w:rsid w:val="00817410"/>
    <w:rsid w:val="00817530"/>
    <w:rsid w:val="008175CD"/>
    <w:rsid w:val="00820431"/>
    <w:rsid w:val="008204BA"/>
    <w:rsid w:val="008206BD"/>
    <w:rsid w:val="00820828"/>
    <w:rsid w:val="00820F52"/>
    <w:rsid w:val="008221AF"/>
    <w:rsid w:val="0082294B"/>
    <w:rsid w:val="008230C2"/>
    <w:rsid w:val="0082322F"/>
    <w:rsid w:val="00823812"/>
    <w:rsid w:val="00823A6C"/>
    <w:rsid w:val="0082437F"/>
    <w:rsid w:val="008243B0"/>
    <w:rsid w:val="00824827"/>
    <w:rsid w:val="00824E3F"/>
    <w:rsid w:val="00825090"/>
    <w:rsid w:val="00825216"/>
    <w:rsid w:val="00825341"/>
    <w:rsid w:val="008259A1"/>
    <w:rsid w:val="00825A01"/>
    <w:rsid w:val="00826471"/>
    <w:rsid w:val="00826819"/>
    <w:rsid w:val="00826E7E"/>
    <w:rsid w:val="00827416"/>
    <w:rsid w:val="008278EB"/>
    <w:rsid w:val="008279A6"/>
    <w:rsid w:val="00830DF0"/>
    <w:rsid w:val="008319CA"/>
    <w:rsid w:val="00832BF0"/>
    <w:rsid w:val="008331DB"/>
    <w:rsid w:val="0083378F"/>
    <w:rsid w:val="00833CA7"/>
    <w:rsid w:val="00833DCA"/>
    <w:rsid w:val="00833DCB"/>
    <w:rsid w:val="00834000"/>
    <w:rsid w:val="008343BD"/>
    <w:rsid w:val="00835213"/>
    <w:rsid w:val="0083569E"/>
    <w:rsid w:val="008357C3"/>
    <w:rsid w:val="00835B61"/>
    <w:rsid w:val="00836163"/>
    <w:rsid w:val="008361E1"/>
    <w:rsid w:val="0083663A"/>
    <w:rsid w:val="008366FF"/>
    <w:rsid w:val="008367E3"/>
    <w:rsid w:val="00836A2B"/>
    <w:rsid w:val="00836D44"/>
    <w:rsid w:val="00837291"/>
    <w:rsid w:val="00837682"/>
    <w:rsid w:val="00837E31"/>
    <w:rsid w:val="00837F8E"/>
    <w:rsid w:val="008400CB"/>
    <w:rsid w:val="008401F9"/>
    <w:rsid w:val="00840AE6"/>
    <w:rsid w:val="008419CC"/>
    <w:rsid w:val="008421B4"/>
    <w:rsid w:val="00842A07"/>
    <w:rsid w:val="00843413"/>
    <w:rsid w:val="00843957"/>
    <w:rsid w:val="00844209"/>
    <w:rsid w:val="00844318"/>
    <w:rsid w:val="008447CD"/>
    <w:rsid w:val="00844EEE"/>
    <w:rsid w:val="00844F86"/>
    <w:rsid w:val="0084574B"/>
    <w:rsid w:val="00845947"/>
    <w:rsid w:val="008459BE"/>
    <w:rsid w:val="00847B57"/>
    <w:rsid w:val="00847EBC"/>
    <w:rsid w:val="00850C3F"/>
    <w:rsid w:val="00850EEA"/>
    <w:rsid w:val="0085152D"/>
    <w:rsid w:val="008515F5"/>
    <w:rsid w:val="008519DC"/>
    <w:rsid w:val="00852358"/>
    <w:rsid w:val="008525C3"/>
    <w:rsid w:val="00852881"/>
    <w:rsid w:val="008538CD"/>
    <w:rsid w:val="00853B4B"/>
    <w:rsid w:val="00853D8B"/>
    <w:rsid w:val="0085455D"/>
    <w:rsid w:val="00854F9A"/>
    <w:rsid w:val="0085513E"/>
    <w:rsid w:val="00856201"/>
    <w:rsid w:val="008564E2"/>
    <w:rsid w:val="00856E04"/>
    <w:rsid w:val="008570D3"/>
    <w:rsid w:val="00857EE0"/>
    <w:rsid w:val="00860052"/>
    <w:rsid w:val="00860B76"/>
    <w:rsid w:val="008615C4"/>
    <w:rsid w:val="0086196A"/>
    <w:rsid w:val="00862B7B"/>
    <w:rsid w:val="008635AD"/>
    <w:rsid w:val="00864432"/>
    <w:rsid w:val="00864FB9"/>
    <w:rsid w:val="00865699"/>
    <w:rsid w:val="00865E8C"/>
    <w:rsid w:val="0086608E"/>
    <w:rsid w:val="008663E5"/>
    <w:rsid w:val="008673C3"/>
    <w:rsid w:val="00867F0D"/>
    <w:rsid w:val="00870720"/>
    <w:rsid w:val="00870858"/>
    <w:rsid w:val="00870B9A"/>
    <w:rsid w:val="008715A2"/>
    <w:rsid w:val="008718B6"/>
    <w:rsid w:val="00871A30"/>
    <w:rsid w:val="00871BB8"/>
    <w:rsid w:val="00871CF8"/>
    <w:rsid w:val="0087205E"/>
    <w:rsid w:val="008720F0"/>
    <w:rsid w:val="008723A6"/>
    <w:rsid w:val="008724B3"/>
    <w:rsid w:val="00873335"/>
    <w:rsid w:val="008735BC"/>
    <w:rsid w:val="00873D88"/>
    <w:rsid w:val="00873D98"/>
    <w:rsid w:val="00874D4B"/>
    <w:rsid w:val="00875CB0"/>
    <w:rsid w:val="00876033"/>
    <w:rsid w:val="00876CB3"/>
    <w:rsid w:val="00876F8D"/>
    <w:rsid w:val="00877F6A"/>
    <w:rsid w:val="008806B9"/>
    <w:rsid w:val="00880CD4"/>
    <w:rsid w:val="00881208"/>
    <w:rsid w:val="00881B62"/>
    <w:rsid w:val="008824EF"/>
    <w:rsid w:val="00882519"/>
    <w:rsid w:val="00882DEC"/>
    <w:rsid w:val="0088330D"/>
    <w:rsid w:val="00883F26"/>
    <w:rsid w:val="0088442A"/>
    <w:rsid w:val="00885E53"/>
    <w:rsid w:val="00885E7E"/>
    <w:rsid w:val="00886184"/>
    <w:rsid w:val="008869AB"/>
    <w:rsid w:val="008870E4"/>
    <w:rsid w:val="00887A41"/>
    <w:rsid w:val="008913C9"/>
    <w:rsid w:val="00891479"/>
    <w:rsid w:val="008914DD"/>
    <w:rsid w:val="00891866"/>
    <w:rsid w:val="0089196A"/>
    <w:rsid w:val="00891D2F"/>
    <w:rsid w:val="00891F3B"/>
    <w:rsid w:val="00892383"/>
    <w:rsid w:val="00892DC1"/>
    <w:rsid w:val="008938E3"/>
    <w:rsid w:val="008938E9"/>
    <w:rsid w:val="00893A17"/>
    <w:rsid w:val="00893C8A"/>
    <w:rsid w:val="00893CAF"/>
    <w:rsid w:val="00894610"/>
    <w:rsid w:val="00894906"/>
    <w:rsid w:val="00894DB2"/>
    <w:rsid w:val="00895370"/>
    <w:rsid w:val="008956A3"/>
    <w:rsid w:val="00896D16"/>
    <w:rsid w:val="008971FE"/>
    <w:rsid w:val="0089728B"/>
    <w:rsid w:val="0089764C"/>
    <w:rsid w:val="008977CA"/>
    <w:rsid w:val="008A0329"/>
    <w:rsid w:val="008A09F0"/>
    <w:rsid w:val="008A0ACE"/>
    <w:rsid w:val="008A125C"/>
    <w:rsid w:val="008A2AAF"/>
    <w:rsid w:val="008A42A9"/>
    <w:rsid w:val="008A4327"/>
    <w:rsid w:val="008A4468"/>
    <w:rsid w:val="008A44C3"/>
    <w:rsid w:val="008A4CB3"/>
    <w:rsid w:val="008A5080"/>
    <w:rsid w:val="008A5185"/>
    <w:rsid w:val="008A547E"/>
    <w:rsid w:val="008A5D24"/>
    <w:rsid w:val="008A626D"/>
    <w:rsid w:val="008A6420"/>
    <w:rsid w:val="008A7661"/>
    <w:rsid w:val="008A7824"/>
    <w:rsid w:val="008B02B8"/>
    <w:rsid w:val="008B138E"/>
    <w:rsid w:val="008B1456"/>
    <w:rsid w:val="008B1652"/>
    <w:rsid w:val="008B1840"/>
    <w:rsid w:val="008B1A10"/>
    <w:rsid w:val="008B1FD8"/>
    <w:rsid w:val="008B2546"/>
    <w:rsid w:val="008B3048"/>
    <w:rsid w:val="008B38BD"/>
    <w:rsid w:val="008B3CB5"/>
    <w:rsid w:val="008B4013"/>
    <w:rsid w:val="008B42E4"/>
    <w:rsid w:val="008B4A05"/>
    <w:rsid w:val="008B4E0A"/>
    <w:rsid w:val="008B5191"/>
    <w:rsid w:val="008B6720"/>
    <w:rsid w:val="008B6AC4"/>
    <w:rsid w:val="008B71AD"/>
    <w:rsid w:val="008B7C68"/>
    <w:rsid w:val="008B7DA6"/>
    <w:rsid w:val="008C0059"/>
    <w:rsid w:val="008C0A4C"/>
    <w:rsid w:val="008C0AD8"/>
    <w:rsid w:val="008C1C9D"/>
    <w:rsid w:val="008C1DE2"/>
    <w:rsid w:val="008C1F55"/>
    <w:rsid w:val="008C2CA0"/>
    <w:rsid w:val="008C3419"/>
    <w:rsid w:val="008C3631"/>
    <w:rsid w:val="008C3830"/>
    <w:rsid w:val="008C3D2F"/>
    <w:rsid w:val="008C40B4"/>
    <w:rsid w:val="008C448F"/>
    <w:rsid w:val="008C5632"/>
    <w:rsid w:val="008C57F2"/>
    <w:rsid w:val="008C60EE"/>
    <w:rsid w:val="008C639F"/>
    <w:rsid w:val="008C68BF"/>
    <w:rsid w:val="008C6D3D"/>
    <w:rsid w:val="008D1C57"/>
    <w:rsid w:val="008D1CA4"/>
    <w:rsid w:val="008D2403"/>
    <w:rsid w:val="008D25AE"/>
    <w:rsid w:val="008D2F8A"/>
    <w:rsid w:val="008D30D5"/>
    <w:rsid w:val="008D33D7"/>
    <w:rsid w:val="008D366C"/>
    <w:rsid w:val="008D38B2"/>
    <w:rsid w:val="008D5E06"/>
    <w:rsid w:val="008D6CE2"/>
    <w:rsid w:val="008D7274"/>
    <w:rsid w:val="008D77C1"/>
    <w:rsid w:val="008D77F1"/>
    <w:rsid w:val="008D7870"/>
    <w:rsid w:val="008D7CC2"/>
    <w:rsid w:val="008D7FA8"/>
    <w:rsid w:val="008E0224"/>
    <w:rsid w:val="008E0416"/>
    <w:rsid w:val="008E04E6"/>
    <w:rsid w:val="008E083E"/>
    <w:rsid w:val="008E12D4"/>
    <w:rsid w:val="008E1CB5"/>
    <w:rsid w:val="008E1EF0"/>
    <w:rsid w:val="008E211E"/>
    <w:rsid w:val="008E220E"/>
    <w:rsid w:val="008E30B4"/>
    <w:rsid w:val="008E3D87"/>
    <w:rsid w:val="008E4049"/>
    <w:rsid w:val="008E4D86"/>
    <w:rsid w:val="008E5625"/>
    <w:rsid w:val="008E5B95"/>
    <w:rsid w:val="008E632D"/>
    <w:rsid w:val="008E6746"/>
    <w:rsid w:val="008E6A4C"/>
    <w:rsid w:val="008E7B48"/>
    <w:rsid w:val="008E7EF0"/>
    <w:rsid w:val="008F0B8B"/>
    <w:rsid w:val="008F0B9D"/>
    <w:rsid w:val="008F0D1B"/>
    <w:rsid w:val="008F0DFA"/>
    <w:rsid w:val="008F1F95"/>
    <w:rsid w:val="008F2546"/>
    <w:rsid w:val="008F284E"/>
    <w:rsid w:val="008F2933"/>
    <w:rsid w:val="008F2D2C"/>
    <w:rsid w:val="008F2FD2"/>
    <w:rsid w:val="008F2FD8"/>
    <w:rsid w:val="008F3146"/>
    <w:rsid w:val="008F33DF"/>
    <w:rsid w:val="008F40DA"/>
    <w:rsid w:val="008F449A"/>
    <w:rsid w:val="008F4C07"/>
    <w:rsid w:val="008F51FD"/>
    <w:rsid w:val="008F5BB7"/>
    <w:rsid w:val="008F61FB"/>
    <w:rsid w:val="008F78C7"/>
    <w:rsid w:val="008F7D39"/>
    <w:rsid w:val="009001B7"/>
    <w:rsid w:val="009001C1"/>
    <w:rsid w:val="00900248"/>
    <w:rsid w:val="0090083A"/>
    <w:rsid w:val="00900D25"/>
    <w:rsid w:val="00900DFC"/>
    <w:rsid w:val="00900E20"/>
    <w:rsid w:val="009010CA"/>
    <w:rsid w:val="00901E5D"/>
    <w:rsid w:val="00902481"/>
    <w:rsid w:val="009032C4"/>
    <w:rsid w:val="00903D6B"/>
    <w:rsid w:val="00903FB3"/>
    <w:rsid w:val="009041DF"/>
    <w:rsid w:val="009046B2"/>
    <w:rsid w:val="00904A8B"/>
    <w:rsid w:val="00905003"/>
    <w:rsid w:val="0090510B"/>
    <w:rsid w:val="00905658"/>
    <w:rsid w:val="00905682"/>
    <w:rsid w:val="00905C40"/>
    <w:rsid w:val="0090649F"/>
    <w:rsid w:val="009064A2"/>
    <w:rsid w:val="009068DE"/>
    <w:rsid w:val="00910801"/>
    <w:rsid w:val="009108D5"/>
    <w:rsid w:val="009114EC"/>
    <w:rsid w:val="00911F59"/>
    <w:rsid w:val="009123DD"/>
    <w:rsid w:val="0091271F"/>
    <w:rsid w:val="00912D3D"/>
    <w:rsid w:val="0091325D"/>
    <w:rsid w:val="0091353C"/>
    <w:rsid w:val="00913D0F"/>
    <w:rsid w:val="00914347"/>
    <w:rsid w:val="00914692"/>
    <w:rsid w:val="00914D79"/>
    <w:rsid w:val="0091536A"/>
    <w:rsid w:val="00915A96"/>
    <w:rsid w:val="00915BF0"/>
    <w:rsid w:val="00915D57"/>
    <w:rsid w:val="0091687D"/>
    <w:rsid w:val="00916BFC"/>
    <w:rsid w:val="00916CCD"/>
    <w:rsid w:val="009179EA"/>
    <w:rsid w:val="00917CC2"/>
    <w:rsid w:val="009204BB"/>
    <w:rsid w:val="009205A3"/>
    <w:rsid w:val="00921711"/>
    <w:rsid w:val="00921D74"/>
    <w:rsid w:val="009225AC"/>
    <w:rsid w:val="009227A7"/>
    <w:rsid w:val="00922BA0"/>
    <w:rsid w:val="00923305"/>
    <w:rsid w:val="009236F8"/>
    <w:rsid w:val="009238FF"/>
    <w:rsid w:val="009239F7"/>
    <w:rsid w:val="0092493B"/>
    <w:rsid w:val="00925009"/>
    <w:rsid w:val="00925CE1"/>
    <w:rsid w:val="00926779"/>
    <w:rsid w:val="00927E20"/>
    <w:rsid w:val="00930077"/>
    <w:rsid w:val="00930D6D"/>
    <w:rsid w:val="00930F86"/>
    <w:rsid w:val="00931286"/>
    <w:rsid w:val="00931438"/>
    <w:rsid w:val="009316CA"/>
    <w:rsid w:val="00931F4B"/>
    <w:rsid w:val="00932260"/>
    <w:rsid w:val="009327A1"/>
    <w:rsid w:val="00932AD6"/>
    <w:rsid w:val="00934B9C"/>
    <w:rsid w:val="009355C6"/>
    <w:rsid w:val="00935673"/>
    <w:rsid w:val="009356FD"/>
    <w:rsid w:val="00935F8E"/>
    <w:rsid w:val="00935FC6"/>
    <w:rsid w:val="009360E6"/>
    <w:rsid w:val="009369F6"/>
    <w:rsid w:val="009375D4"/>
    <w:rsid w:val="00937B22"/>
    <w:rsid w:val="00937FF2"/>
    <w:rsid w:val="00940221"/>
    <w:rsid w:val="00940C1F"/>
    <w:rsid w:val="00940CF7"/>
    <w:rsid w:val="009411E0"/>
    <w:rsid w:val="0094165D"/>
    <w:rsid w:val="00941699"/>
    <w:rsid w:val="00941963"/>
    <w:rsid w:val="00941B59"/>
    <w:rsid w:val="009426C8"/>
    <w:rsid w:val="00942801"/>
    <w:rsid w:val="00942808"/>
    <w:rsid w:val="009428D9"/>
    <w:rsid w:val="00943006"/>
    <w:rsid w:val="009430D9"/>
    <w:rsid w:val="0094324E"/>
    <w:rsid w:val="009435AE"/>
    <w:rsid w:val="0094448B"/>
    <w:rsid w:val="00944A1B"/>
    <w:rsid w:val="00944B4D"/>
    <w:rsid w:val="00944F35"/>
    <w:rsid w:val="00945473"/>
    <w:rsid w:val="00945A41"/>
    <w:rsid w:val="009466FC"/>
    <w:rsid w:val="00946BF1"/>
    <w:rsid w:val="00947186"/>
    <w:rsid w:val="0094758D"/>
    <w:rsid w:val="00947704"/>
    <w:rsid w:val="009477F1"/>
    <w:rsid w:val="0094784B"/>
    <w:rsid w:val="009479DE"/>
    <w:rsid w:val="00950687"/>
    <w:rsid w:val="00950DD3"/>
    <w:rsid w:val="00950F46"/>
    <w:rsid w:val="00951220"/>
    <w:rsid w:val="009513BE"/>
    <w:rsid w:val="009516FB"/>
    <w:rsid w:val="00952707"/>
    <w:rsid w:val="009527BF"/>
    <w:rsid w:val="00952A50"/>
    <w:rsid w:val="00952B5A"/>
    <w:rsid w:val="00952B7B"/>
    <w:rsid w:val="00954510"/>
    <w:rsid w:val="00954B38"/>
    <w:rsid w:val="00955E6B"/>
    <w:rsid w:val="0095602C"/>
    <w:rsid w:val="0095725D"/>
    <w:rsid w:val="0095751B"/>
    <w:rsid w:val="009604ED"/>
    <w:rsid w:val="00960724"/>
    <w:rsid w:val="009614A7"/>
    <w:rsid w:val="0096177E"/>
    <w:rsid w:val="0096230D"/>
    <w:rsid w:val="0096263D"/>
    <w:rsid w:val="00962BC6"/>
    <w:rsid w:val="00962FF5"/>
    <w:rsid w:val="0096302B"/>
    <w:rsid w:val="00963AF8"/>
    <w:rsid w:val="0096428D"/>
    <w:rsid w:val="00964667"/>
    <w:rsid w:val="0096499D"/>
    <w:rsid w:val="00964AA9"/>
    <w:rsid w:val="00964B90"/>
    <w:rsid w:val="00964E37"/>
    <w:rsid w:val="009665F4"/>
    <w:rsid w:val="00966D36"/>
    <w:rsid w:val="0096739E"/>
    <w:rsid w:val="009673A7"/>
    <w:rsid w:val="0096746E"/>
    <w:rsid w:val="0096763E"/>
    <w:rsid w:val="009703EF"/>
    <w:rsid w:val="00970543"/>
    <w:rsid w:val="0097077B"/>
    <w:rsid w:val="0097149D"/>
    <w:rsid w:val="009718B4"/>
    <w:rsid w:val="00971AB2"/>
    <w:rsid w:val="00971FDB"/>
    <w:rsid w:val="00972295"/>
    <w:rsid w:val="009729A8"/>
    <w:rsid w:val="009730EC"/>
    <w:rsid w:val="00975486"/>
    <w:rsid w:val="0097564F"/>
    <w:rsid w:val="009758A3"/>
    <w:rsid w:val="00976204"/>
    <w:rsid w:val="00976F35"/>
    <w:rsid w:val="009806CF"/>
    <w:rsid w:val="00980C90"/>
    <w:rsid w:val="00981371"/>
    <w:rsid w:val="00981798"/>
    <w:rsid w:val="00981A68"/>
    <w:rsid w:val="00981BD0"/>
    <w:rsid w:val="00981E1B"/>
    <w:rsid w:val="00981F6C"/>
    <w:rsid w:val="00981F7C"/>
    <w:rsid w:val="0098258E"/>
    <w:rsid w:val="00983069"/>
    <w:rsid w:val="00983C48"/>
    <w:rsid w:val="00983C9D"/>
    <w:rsid w:val="00983D0A"/>
    <w:rsid w:val="009840C6"/>
    <w:rsid w:val="009841E3"/>
    <w:rsid w:val="00984272"/>
    <w:rsid w:val="00984733"/>
    <w:rsid w:val="00985981"/>
    <w:rsid w:val="0098604A"/>
    <w:rsid w:val="00986BC9"/>
    <w:rsid w:val="00987026"/>
    <w:rsid w:val="0098771D"/>
    <w:rsid w:val="00987DD9"/>
    <w:rsid w:val="0099001E"/>
    <w:rsid w:val="00990AE0"/>
    <w:rsid w:val="009911CE"/>
    <w:rsid w:val="00991346"/>
    <w:rsid w:val="00991487"/>
    <w:rsid w:val="00991494"/>
    <w:rsid w:val="00991CE3"/>
    <w:rsid w:val="00991E34"/>
    <w:rsid w:val="009926C2"/>
    <w:rsid w:val="009928DA"/>
    <w:rsid w:val="00993264"/>
    <w:rsid w:val="00993CDE"/>
    <w:rsid w:val="00994215"/>
    <w:rsid w:val="00994A38"/>
    <w:rsid w:val="0099501B"/>
    <w:rsid w:val="009952D8"/>
    <w:rsid w:val="00995E43"/>
    <w:rsid w:val="00996DE2"/>
    <w:rsid w:val="009970D9"/>
    <w:rsid w:val="00997B9A"/>
    <w:rsid w:val="00997F7F"/>
    <w:rsid w:val="009A02DD"/>
    <w:rsid w:val="009A03E6"/>
    <w:rsid w:val="009A09B8"/>
    <w:rsid w:val="009A1089"/>
    <w:rsid w:val="009A13F0"/>
    <w:rsid w:val="009A1D72"/>
    <w:rsid w:val="009A227E"/>
    <w:rsid w:val="009A277A"/>
    <w:rsid w:val="009A2780"/>
    <w:rsid w:val="009A28F4"/>
    <w:rsid w:val="009A3910"/>
    <w:rsid w:val="009A3CC9"/>
    <w:rsid w:val="009A4080"/>
    <w:rsid w:val="009A408B"/>
    <w:rsid w:val="009A4440"/>
    <w:rsid w:val="009A5F46"/>
    <w:rsid w:val="009A6B4E"/>
    <w:rsid w:val="009B0B9E"/>
    <w:rsid w:val="009B1056"/>
    <w:rsid w:val="009B17CF"/>
    <w:rsid w:val="009B1B6F"/>
    <w:rsid w:val="009B26D7"/>
    <w:rsid w:val="009B2ED2"/>
    <w:rsid w:val="009B2F1E"/>
    <w:rsid w:val="009B308D"/>
    <w:rsid w:val="009B3650"/>
    <w:rsid w:val="009B374E"/>
    <w:rsid w:val="009B54DA"/>
    <w:rsid w:val="009B5891"/>
    <w:rsid w:val="009B6410"/>
    <w:rsid w:val="009B6738"/>
    <w:rsid w:val="009C0231"/>
    <w:rsid w:val="009C0BFD"/>
    <w:rsid w:val="009C146A"/>
    <w:rsid w:val="009C1A6A"/>
    <w:rsid w:val="009C1ACF"/>
    <w:rsid w:val="009C20B8"/>
    <w:rsid w:val="009C37B5"/>
    <w:rsid w:val="009C3C5B"/>
    <w:rsid w:val="009C4055"/>
    <w:rsid w:val="009C4673"/>
    <w:rsid w:val="009C4AA9"/>
    <w:rsid w:val="009C5099"/>
    <w:rsid w:val="009C52DD"/>
    <w:rsid w:val="009C55A1"/>
    <w:rsid w:val="009C6793"/>
    <w:rsid w:val="009C690E"/>
    <w:rsid w:val="009C7361"/>
    <w:rsid w:val="009D0027"/>
    <w:rsid w:val="009D00AF"/>
    <w:rsid w:val="009D0243"/>
    <w:rsid w:val="009D0716"/>
    <w:rsid w:val="009D09C1"/>
    <w:rsid w:val="009D0F24"/>
    <w:rsid w:val="009D135A"/>
    <w:rsid w:val="009D1414"/>
    <w:rsid w:val="009D1AB8"/>
    <w:rsid w:val="009D206B"/>
    <w:rsid w:val="009D20FC"/>
    <w:rsid w:val="009D24BD"/>
    <w:rsid w:val="009D25EE"/>
    <w:rsid w:val="009D2837"/>
    <w:rsid w:val="009D2D3E"/>
    <w:rsid w:val="009D36F0"/>
    <w:rsid w:val="009D389B"/>
    <w:rsid w:val="009D4E1A"/>
    <w:rsid w:val="009D52D3"/>
    <w:rsid w:val="009D5D0C"/>
    <w:rsid w:val="009D6114"/>
    <w:rsid w:val="009D6522"/>
    <w:rsid w:val="009D67B9"/>
    <w:rsid w:val="009D6A3D"/>
    <w:rsid w:val="009D6CDF"/>
    <w:rsid w:val="009D6E19"/>
    <w:rsid w:val="009D6FD6"/>
    <w:rsid w:val="009D7952"/>
    <w:rsid w:val="009D7A41"/>
    <w:rsid w:val="009D7A6D"/>
    <w:rsid w:val="009D7E30"/>
    <w:rsid w:val="009D7F97"/>
    <w:rsid w:val="009D7FC0"/>
    <w:rsid w:val="009D7FE1"/>
    <w:rsid w:val="009E0F25"/>
    <w:rsid w:val="009E11A6"/>
    <w:rsid w:val="009E12AA"/>
    <w:rsid w:val="009E1353"/>
    <w:rsid w:val="009E1820"/>
    <w:rsid w:val="009E1EAE"/>
    <w:rsid w:val="009E21A0"/>
    <w:rsid w:val="009E2788"/>
    <w:rsid w:val="009E37D1"/>
    <w:rsid w:val="009E3F16"/>
    <w:rsid w:val="009E41B6"/>
    <w:rsid w:val="009E455E"/>
    <w:rsid w:val="009E47B6"/>
    <w:rsid w:val="009E4860"/>
    <w:rsid w:val="009E4993"/>
    <w:rsid w:val="009E6643"/>
    <w:rsid w:val="009E674B"/>
    <w:rsid w:val="009E76BE"/>
    <w:rsid w:val="009F0870"/>
    <w:rsid w:val="009F0E27"/>
    <w:rsid w:val="009F117D"/>
    <w:rsid w:val="009F148C"/>
    <w:rsid w:val="009F14B9"/>
    <w:rsid w:val="009F1960"/>
    <w:rsid w:val="009F20F8"/>
    <w:rsid w:val="009F261E"/>
    <w:rsid w:val="009F2F03"/>
    <w:rsid w:val="009F3147"/>
    <w:rsid w:val="009F3DE1"/>
    <w:rsid w:val="009F42D3"/>
    <w:rsid w:val="009F453C"/>
    <w:rsid w:val="009F4E3A"/>
    <w:rsid w:val="009F5219"/>
    <w:rsid w:val="009F5241"/>
    <w:rsid w:val="009F5553"/>
    <w:rsid w:val="009F5ACA"/>
    <w:rsid w:val="009F5BCF"/>
    <w:rsid w:val="009F65CE"/>
    <w:rsid w:val="009F671E"/>
    <w:rsid w:val="009F6B34"/>
    <w:rsid w:val="009F6CD0"/>
    <w:rsid w:val="009F6ED2"/>
    <w:rsid w:val="009F713D"/>
    <w:rsid w:val="00A00093"/>
    <w:rsid w:val="00A0027D"/>
    <w:rsid w:val="00A00282"/>
    <w:rsid w:val="00A00336"/>
    <w:rsid w:val="00A004EA"/>
    <w:rsid w:val="00A00FE0"/>
    <w:rsid w:val="00A0175B"/>
    <w:rsid w:val="00A02BA4"/>
    <w:rsid w:val="00A030DA"/>
    <w:rsid w:val="00A031E6"/>
    <w:rsid w:val="00A032C5"/>
    <w:rsid w:val="00A03B6B"/>
    <w:rsid w:val="00A03C4C"/>
    <w:rsid w:val="00A04271"/>
    <w:rsid w:val="00A045EA"/>
    <w:rsid w:val="00A04CF4"/>
    <w:rsid w:val="00A04DDF"/>
    <w:rsid w:val="00A04DF1"/>
    <w:rsid w:val="00A05764"/>
    <w:rsid w:val="00A05D7D"/>
    <w:rsid w:val="00A06224"/>
    <w:rsid w:val="00A06241"/>
    <w:rsid w:val="00A067BF"/>
    <w:rsid w:val="00A06C2D"/>
    <w:rsid w:val="00A06EF9"/>
    <w:rsid w:val="00A0717E"/>
    <w:rsid w:val="00A074A2"/>
    <w:rsid w:val="00A07763"/>
    <w:rsid w:val="00A10821"/>
    <w:rsid w:val="00A1099D"/>
    <w:rsid w:val="00A10BD7"/>
    <w:rsid w:val="00A118BA"/>
    <w:rsid w:val="00A12065"/>
    <w:rsid w:val="00A125DD"/>
    <w:rsid w:val="00A1304A"/>
    <w:rsid w:val="00A1356A"/>
    <w:rsid w:val="00A13595"/>
    <w:rsid w:val="00A146A8"/>
    <w:rsid w:val="00A154F9"/>
    <w:rsid w:val="00A15702"/>
    <w:rsid w:val="00A1596F"/>
    <w:rsid w:val="00A160CD"/>
    <w:rsid w:val="00A16C1D"/>
    <w:rsid w:val="00A16FE2"/>
    <w:rsid w:val="00A1735C"/>
    <w:rsid w:val="00A17610"/>
    <w:rsid w:val="00A17FCA"/>
    <w:rsid w:val="00A2031E"/>
    <w:rsid w:val="00A20354"/>
    <w:rsid w:val="00A208E8"/>
    <w:rsid w:val="00A219F3"/>
    <w:rsid w:val="00A22C5E"/>
    <w:rsid w:val="00A22E7F"/>
    <w:rsid w:val="00A23D5B"/>
    <w:rsid w:val="00A24D1C"/>
    <w:rsid w:val="00A2598D"/>
    <w:rsid w:val="00A25ACB"/>
    <w:rsid w:val="00A25CF8"/>
    <w:rsid w:val="00A25EB8"/>
    <w:rsid w:val="00A26901"/>
    <w:rsid w:val="00A270D1"/>
    <w:rsid w:val="00A272A0"/>
    <w:rsid w:val="00A2739B"/>
    <w:rsid w:val="00A27C91"/>
    <w:rsid w:val="00A27E89"/>
    <w:rsid w:val="00A27EAC"/>
    <w:rsid w:val="00A27FF9"/>
    <w:rsid w:val="00A30667"/>
    <w:rsid w:val="00A306F3"/>
    <w:rsid w:val="00A30A42"/>
    <w:rsid w:val="00A30D74"/>
    <w:rsid w:val="00A315E6"/>
    <w:rsid w:val="00A31AFD"/>
    <w:rsid w:val="00A3223F"/>
    <w:rsid w:val="00A32B10"/>
    <w:rsid w:val="00A32B39"/>
    <w:rsid w:val="00A32BDB"/>
    <w:rsid w:val="00A33B13"/>
    <w:rsid w:val="00A33BFC"/>
    <w:rsid w:val="00A33C79"/>
    <w:rsid w:val="00A3433A"/>
    <w:rsid w:val="00A3447B"/>
    <w:rsid w:val="00A344D9"/>
    <w:rsid w:val="00A34C9D"/>
    <w:rsid w:val="00A35476"/>
    <w:rsid w:val="00A357F0"/>
    <w:rsid w:val="00A35FE4"/>
    <w:rsid w:val="00A363B3"/>
    <w:rsid w:val="00A36AB3"/>
    <w:rsid w:val="00A36D9E"/>
    <w:rsid w:val="00A370DF"/>
    <w:rsid w:val="00A37848"/>
    <w:rsid w:val="00A404DB"/>
    <w:rsid w:val="00A40EA0"/>
    <w:rsid w:val="00A4106D"/>
    <w:rsid w:val="00A416A7"/>
    <w:rsid w:val="00A421CD"/>
    <w:rsid w:val="00A4259F"/>
    <w:rsid w:val="00A43801"/>
    <w:rsid w:val="00A43EC8"/>
    <w:rsid w:val="00A44479"/>
    <w:rsid w:val="00A444B7"/>
    <w:rsid w:val="00A44657"/>
    <w:rsid w:val="00A44819"/>
    <w:rsid w:val="00A4484B"/>
    <w:rsid w:val="00A45D20"/>
    <w:rsid w:val="00A46C69"/>
    <w:rsid w:val="00A473AD"/>
    <w:rsid w:val="00A476B1"/>
    <w:rsid w:val="00A47BB5"/>
    <w:rsid w:val="00A47F04"/>
    <w:rsid w:val="00A5048D"/>
    <w:rsid w:val="00A50958"/>
    <w:rsid w:val="00A51365"/>
    <w:rsid w:val="00A513B0"/>
    <w:rsid w:val="00A51E5C"/>
    <w:rsid w:val="00A52810"/>
    <w:rsid w:val="00A52CD9"/>
    <w:rsid w:val="00A52E21"/>
    <w:rsid w:val="00A531E6"/>
    <w:rsid w:val="00A53827"/>
    <w:rsid w:val="00A53A53"/>
    <w:rsid w:val="00A549DA"/>
    <w:rsid w:val="00A5552A"/>
    <w:rsid w:val="00A556EB"/>
    <w:rsid w:val="00A557AF"/>
    <w:rsid w:val="00A56094"/>
    <w:rsid w:val="00A5613F"/>
    <w:rsid w:val="00A56955"/>
    <w:rsid w:val="00A572BC"/>
    <w:rsid w:val="00A57721"/>
    <w:rsid w:val="00A57748"/>
    <w:rsid w:val="00A57CE4"/>
    <w:rsid w:val="00A57D4D"/>
    <w:rsid w:val="00A60857"/>
    <w:rsid w:val="00A60E0D"/>
    <w:rsid w:val="00A61747"/>
    <w:rsid w:val="00A617ED"/>
    <w:rsid w:val="00A61D4F"/>
    <w:rsid w:val="00A61E9A"/>
    <w:rsid w:val="00A6214B"/>
    <w:rsid w:val="00A649C8"/>
    <w:rsid w:val="00A65AF0"/>
    <w:rsid w:val="00A65F9C"/>
    <w:rsid w:val="00A6724D"/>
    <w:rsid w:val="00A672BF"/>
    <w:rsid w:val="00A700FA"/>
    <w:rsid w:val="00A7010B"/>
    <w:rsid w:val="00A706B9"/>
    <w:rsid w:val="00A70A0F"/>
    <w:rsid w:val="00A70D23"/>
    <w:rsid w:val="00A70F94"/>
    <w:rsid w:val="00A71C23"/>
    <w:rsid w:val="00A71D13"/>
    <w:rsid w:val="00A71D91"/>
    <w:rsid w:val="00A72396"/>
    <w:rsid w:val="00A724B6"/>
    <w:rsid w:val="00A739BA"/>
    <w:rsid w:val="00A74078"/>
    <w:rsid w:val="00A743C7"/>
    <w:rsid w:val="00A74C6E"/>
    <w:rsid w:val="00A763D1"/>
    <w:rsid w:val="00A7641B"/>
    <w:rsid w:val="00A7647D"/>
    <w:rsid w:val="00A77253"/>
    <w:rsid w:val="00A77CB9"/>
    <w:rsid w:val="00A801B2"/>
    <w:rsid w:val="00A802CB"/>
    <w:rsid w:val="00A80374"/>
    <w:rsid w:val="00A805CA"/>
    <w:rsid w:val="00A81256"/>
    <w:rsid w:val="00A812CB"/>
    <w:rsid w:val="00A816BF"/>
    <w:rsid w:val="00A82411"/>
    <w:rsid w:val="00A82A08"/>
    <w:rsid w:val="00A830D5"/>
    <w:rsid w:val="00A842BB"/>
    <w:rsid w:val="00A84FAE"/>
    <w:rsid w:val="00A855F6"/>
    <w:rsid w:val="00A8760D"/>
    <w:rsid w:val="00A87756"/>
    <w:rsid w:val="00A90657"/>
    <w:rsid w:val="00A90677"/>
    <w:rsid w:val="00A90AA7"/>
    <w:rsid w:val="00A91547"/>
    <w:rsid w:val="00A9240F"/>
    <w:rsid w:val="00A93250"/>
    <w:rsid w:val="00A9345D"/>
    <w:rsid w:val="00A93820"/>
    <w:rsid w:val="00A940B8"/>
    <w:rsid w:val="00A94F08"/>
    <w:rsid w:val="00A9520F"/>
    <w:rsid w:val="00A95668"/>
    <w:rsid w:val="00A959CA"/>
    <w:rsid w:val="00A95BBF"/>
    <w:rsid w:val="00A95C17"/>
    <w:rsid w:val="00A95D88"/>
    <w:rsid w:val="00A96504"/>
    <w:rsid w:val="00A9687D"/>
    <w:rsid w:val="00A97C40"/>
    <w:rsid w:val="00A97D30"/>
    <w:rsid w:val="00AA009D"/>
    <w:rsid w:val="00AA09A0"/>
    <w:rsid w:val="00AA0B34"/>
    <w:rsid w:val="00AA1158"/>
    <w:rsid w:val="00AA2B0E"/>
    <w:rsid w:val="00AA3298"/>
    <w:rsid w:val="00AA3946"/>
    <w:rsid w:val="00AA426C"/>
    <w:rsid w:val="00AA46FF"/>
    <w:rsid w:val="00AA4CBF"/>
    <w:rsid w:val="00AA5614"/>
    <w:rsid w:val="00AA5EE0"/>
    <w:rsid w:val="00AA62D3"/>
    <w:rsid w:val="00AA68F2"/>
    <w:rsid w:val="00AA6BC7"/>
    <w:rsid w:val="00AA6C41"/>
    <w:rsid w:val="00AA70E2"/>
    <w:rsid w:val="00AA743E"/>
    <w:rsid w:val="00AA7A9B"/>
    <w:rsid w:val="00AA7ABD"/>
    <w:rsid w:val="00AB035A"/>
    <w:rsid w:val="00AB03F8"/>
    <w:rsid w:val="00AB0440"/>
    <w:rsid w:val="00AB0A84"/>
    <w:rsid w:val="00AB0B13"/>
    <w:rsid w:val="00AB106A"/>
    <w:rsid w:val="00AB11A7"/>
    <w:rsid w:val="00AB1B05"/>
    <w:rsid w:val="00AB1B44"/>
    <w:rsid w:val="00AB1C96"/>
    <w:rsid w:val="00AB21DD"/>
    <w:rsid w:val="00AB2621"/>
    <w:rsid w:val="00AB327A"/>
    <w:rsid w:val="00AB3DE1"/>
    <w:rsid w:val="00AB407D"/>
    <w:rsid w:val="00AB4115"/>
    <w:rsid w:val="00AB4356"/>
    <w:rsid w:val="00AB448E"/>
    <w:rsid w:val="00AB47D3"/>
    <w:rsid w:val="00AB4C51"/>
    <w:rsid w:val="00AB5141"/>
    <w:rsid w:val="00AB5AF2"/>
    <w:rsid w:val="00AB6007"/>
    <w:rsid w:val="00AB61CD"/>
    <w:rsid w:val="00AB67C9"/>
    <w:rsid w:val="00AB7612"/>
    <w:rsid w:val="00AB764F"/>
    <w:rsid w:val="00AC035C"/>
    <w:rsid w:val="00AC14C4"/>
    <w:rsid w:val="00AC160C"/>
    <w:rsid w:val="00AC16B2"/>
    <w:rsid w:val="00AC1B5F"/>
    <w:rsid w:val="00AC1C62"/>
    <w:rsid w:val="00AC2BF4"/>
    <w:rsid w:val="00AC2CC6"/>
    <w:rsid w:val="00AC2E9A"/>
    <w:rsid w:val="00AC333D"/>
    <w:rsid w:val="00AC3C67"/>
    <w:rsid w:val="00AC3C6D"/>
    <w:rsid w:val="00AC428A"/>
    <w:rsid w:val="00AC46D1"/>
    <w:rsid w:val="00AC581B"/>
    <w:rsid w:val="00AC5D56"/>
    <w:rsid w:val="00AC615C"/>
    <w:rsid w:val="00AC66EF"/>
    <w:rsid w:val="00AC6B3C"/>
    <w:rsid w:val="00AC6FF3"/>
    <w:rsid w:val="00AC710F"/>
    <w:rsid w:val="00AD013A"/>
    <w:rsid w:val="00AD0AC5"/>
    <w:rsid w:val="00AD0FB2"/>
    <w:rsid w:val="00AD11BE"/>
    <w:rsid w:val="00AD1C74"/>
    <w:rsid w:val="00AD2538"/>
    <w:rsid w:val="00AD353F"/>
    <w:rsid w:val="00AD35E9"/>
    <w:rsid w:val="00AD49A0"/>
    <w:rsid w:val="00AD4BF2"/>
    <w:rsid w:val="00AD4DFB"/>
    <w:rsid w:val="00AD51A4"/>
    <w:rsid w:val="00AD6B7D"/>
    <w:rsid w:val="00AD76BB"/>
    <w:rsid w:val="00AD76CE"/>
    <w:rsid w:val="00AD7C69"/>
    <w:rsid w:val="00AE0203"/>
    <w:rsid w:val="00AE0D8E"/>
    <w:rsid w:val="00AE2149"/>
    <w:rsid w:val="00AE22AF"/>
    <w:rsid w:val="00AE3E75"/>
    <w:rsid w:val="00AE4313"/>
    <w:rsid w:val="00AE471B"/>
    <w:rsid w:val="00AE4AFA"/>
    <w:rsid w:val="00AE5260"/>
    <w:rsid w:val="00AE5672"/>
    <w:rsid w:val="00AE5F0E"/>
    <w:rsid w:val="00AE61BB"/>
    <w:rsid w:val="00AE6527"/>
    <w:rsid w:val="00AE6E53"/>
    <w:rsid w:val="00AF0028"/>
    <w:rsid w:val="00AF01FD"/>
    <w:rsid w:val="00AF04C2"/>
    <w:rsid w:val="00AF07AE"/>
    <w:rsid w:val="00AF0E4A"/>
    <w:rsid w:val="00AF0EE2"/>
    <w:rsid w:val="00AF14DA"/>
    <w:rsid w:val="00AF14F4"/>
    <w:rsid w:val="00AF2235"/>
    <w:rsid w:val="00AF264A"/>
    <w:rsid w:val="00AF2E26"/>
    <w:rsid w:val="00AF3A7D"/>
    <w:rsid w:val="00AF4A5E"/>
    <w:rsid w:val="00AF5BCA"/>
    <w:rsid w:val="00AF678A"/>
    <w:rsid w:val="00AF67AA"/>
    <w:rsid w:val="00AF7B91"/>
    <w:rsid w:val="00B0014C"/>
    <w:rsid w:val="00B0035B"/>
    <w:rsid w:val="00B0041E"/>
    <w:rsid w:val="00B0055E"/>
    <w:rsid w:val="00B0114C"/>
    <w:rsid w:val="00B011E6"/>
    <w:rsid w:val="00B01E26"/>
    <w:rsid w:val="00B024B3"/>
    <w:rsid w:val="00B03255"/>
    <w:rsid w:val="00B03B84"/>
    <w:rsid w:val="00B03FCD"/>
    <w:rsid w:val="00B0405A"/>
    <w:rsid w:val="00B043F7"/>
    <w:rsid w:val="00B044E5"/>
    <w:rsid w:val="00B0488E"/>
    <w:rsid w:val="00B04C1B"/>
    <w:rsid w:val="00B04E72"/>
    <w:rsid w:val="00B06C08"/>
    <w:rsid w:val="00B06EDF"/>
    <w:rsid w:val="00B07352"/>
    <w:rsid w:val="00B1080E"/>
    <w:rsid w:val="00B108EC"/>
    <w:rsid w:val="00B109B2"/>
    <w:rsid w:val="00B1150D"/>
    <w:rsid w:val="00B11986"/>
    <w:rsid w:val="00B11FBC"/>
    <w:rsid w:val="00B1231E"/>
    <w:rsid w:val="00B1305A"/>
    <w:rsid w:val="00B13426"/>
    <w:rsid w:val="00B13B87"/>
    <w:rsid w:val="00B13BB4"/>
    <w:rsid w:val="00B145F7"/>
    <w:rsid w:val="00B1493B"/>
    <w:rsid w:val="00B1550A"/>
    <w:rsid w:val="00B16D61"/>
    <w:rsid w:val="00B17A3C"/>
    <w:rsid w:val="00B17B0C"/>
    <w:rsid w:val="00B17F7A"/>
    <w:rsid w:val="00B207A7"/>
    <w:rsid w:val="00B20DB5"/>
    <w:rsid w:val="00B2187E"/>
    <w:rsid w:val="00B21966"/>
    <w:rsid w:val="00B21DA9"/>
    <w:rsid w:val="00B22131"/>
    <w:rsid w:val="00B23473"/>
    <w:rsid w:val="00B23607"/>
    <w:rsid w:val="00B23F44"/>
    <w:rsid w:val="00B24B40"/>
    <w:rsid w:val="00B25103"/>
    <w:rsid w:val="00B25599"/>
    <w:rsid w:val="00B259F2"/>
    <w:rsid w:val="00B25CAB"/>
    <w:rsid w:val="00B25D39"/>
    <w:rsid w:val="00B25D94"/>
    <w:rsid w:val="00B25F2D"/>
    <w:rsid w:val="00B278E0"/>
    <w:rsid w:val="00B27AD7"/>
    <w:rsid w:val="00B27D00"/>
    <w:rsid w:val="00B315E8"/>
    <w:rsid w:val="00B31C8A"/>
    <w:rsid w:val="00B31F7F"/>
    <w:rsid w:val="00B33106"/>
    <w:rsid w:val="00B34960"/>
    <w:rsid w:val="00B34ADD"/>
    <w:rsid w:val="00B34C8B"/>
    <w:rsid w:val="00B351D3"/>
    <w:rsid w:val="00B35200"/>
    <w:rsid w:val="00B35270"/>
    <w:rsid w:val="00B356D3"/>
    <w:rsid w:val="00B36B9E"/>
    <w:rsid w:val="00B36BD0"/>
    <w:rsid w:val="00B37043"/>
    <w:rsid w:val="00B3712C"/>
    <w:rsid w:val="00B37364"/>
    <w:rsid w:val="00B373C3"/>
    <w:rsid w:val="00B37C3D"/>
    <w:rsid w:val="00B40714"/>
    <w:rsid w:val="00B409EF"/>
    <w:rsid w:val="00B40A9A"/>
    <w:rsid w:val="00B42369"/>
    <w:rsid w:val="00B43B98"/>
    <w:rsid w:val="00B4415D"/>
    <w:rsid w:val="00B4483E"/>
    <w:rsid w:val="00B44DFA"/>
    <w:rsid w:val="00B44F05"/>
    <w:rsid w:val="00B45682"/>
    <w:rsid w:val="00B4588F"/>
    <w:rsid w:val="00B459CD"/>
    <w:rsid w:val="00B45EE8"/>
    <w:rsid w:val="00B46FF7"/>
    <w:rsid w:val="00B47941"/>
    <w:rsid w:val="00B5077F"/>
    <w:rsid w:val="00B509D5"/>
    <w:rsid w:val="00B50D52"/>
    <w:rsid w:val="00B50DFF"/>
    <w:rsid w:val="00B50F90"/>
    <w:rsid w:val="00B52B59"/>
    <w:rsid w:val="00B52CDF"/>
    <w:rsid w:val="00B52E6B"/>
    <w:rsid w:val="00B530EF"/>
    <w:rsid w:val="00B55482"/>
    <w:rsid w:val="00B5615F"/>
    <w:rsid w:val="00B563A1"/>
    <w:rsid w:val="00B564E0"/>
    <w:rsid w:val="00B5737E"/>
    <w:rsid w:val="00B60466"/>
    <w:rsid w:val="00B60950"/>
    <w:rsid w:val="00B60A85"/>
    <w:rsid w:val="00B620F6"/>
    <w:rsid w:val="00B62485"/>
    <w:rsid w:val="00B63273"/>
    <w:rsid w:val="00B63387"/>
    <w:rsid w:val="00B65ABC"/>
    <w:rsid w:val="00B65B65"/>
    <w:rsid w:val="00B66058"/>
    <w:rsid w:val="00B664E4"/>
    <w:rsid w:val="00B66A39"/>
    <w:rsid w:val="00B66EE4"/>
    <w:rsid w:val="00B6749A"/>
    <w:rsid w:val="00B67A1A"/>
    <w:rsid w:val="00B67A35"/>
    <w:rsid w:val="00B67C6D"/>
    <w:rsid w:val="00B7009F"/>
    <w:rsid w:val="00B705F9"/>
    <w:rsid w:val="00B70952"/>
    <w:rsid w:val="00B70C62"/>
    <w:rsid w:val="00B70E04"/>
    <w:rsid w:val="00B7250F"/>
    <w:rsid w:val="00B7308B"/>
    <w:rsid w:val="00B7399A"/>
    <w:rsid w:val="00B73ECE"/>
    <w:rsid w:val="00B7406A"/>
    <w:rsid w:val="00B744A0"/>
    <w:rsid w:val="00B74525"/>
    <w:rsid w:val="00B74C58"/>
    <w:rsid w:val="00B75480"/>
    <w:rsid w:val="00B75AD9"/>
    <w:rsid w:val="00B75B2F"/>
    <w:rsid w:val="00B76C09"/>
    <w:rsid w:val="00B76CE8"/>
    <w:rsid w:val="00B80B47"/>
    <w:rsid w:val="00B820F0"/>
    <w:rsid w:val="00B82662"/>
    <w:rsid w:val="00B82FA3"/>
    <w:rsid w:val="00B8322B"/>
    <w:rsid w:val="00B83B96"/>
    <w:rsid w:val="00B83E81"/>
    <w:rsid w:val="00B84881"/>
    <w:rsid w:val="00B84B60"/>
    <w:rsid w:val="00B84E68"/>
    <w:rsid w:val="00B8577D"/>
    <w:rsid w:val="00B85AE2"/>
    <w:rsid w:val="00B85C1F"/>
    <w:rsid w:val="00B85E10"/>
    <w:rsid w:val="00B85E9E"/>
    <w:rsid w:val="00B85FAF"/>
    <w:rsid w:val="00B867D4"/>
    <w:rsid w:val="00B87165"/>
    <w:rsid w:val="00B87388"/>
    <w:rsid w:val="00B901CA"/>
    <w:rsid w:val="00B9035E"/>
    <w:rsid w:val="00B90619"/>
    <w:rsid w:val="00B906A1"/>
    <w:rsid w:val="00B90720"/>
    <w:rsid w:val="00B912FF"/>
    <w:rsid w:val="00B930CB"/>
    <w:rsid w:val="00B9320F"/>
    <w:rsid w:val="00B9374A"/>
    <w:rsid w:val="00B94514"/>
    <w:rsid w:val="00B948B3"/>
    <w:rsid w:val="00B94C03"/>
    <w:rsid w:val="00B95BCB"/>
    <w:rsid w:val="00B9667C"/>
    <w:rsid w:val="00B9684E"/>
    <w:rsid w:val="00B96A0D"/>
    <w:rsid w:val="00B97809"/>
    <w:rsid w:val="00B97E24"/>
    <w:rsid w:val="00BA00AC"/>
    <w:rsid w:val="00BA15EB"/>
    <w:rsid w:val="00BA170B"/>
    <w:rsid w:val="00BA1B61"/>
    <w:rsid w:val="00BA1BB7"/>
    <w:rsid w:val="00BA1F99"/>
    <w:rsid w:val="00BA24AA"/>
    <w:rsid w:val="00BA306C"/>
    <w:rsid w:val="00BA3378"/>
    <w:rsid w:val="00BA3585"/>
    <w:rsid w:val="00BA5C6D"/>
    <w:rsid w:val="00BA5D4B"/>
    <w:rsid w:val="00BA6AFD"/>
    <w:rsid w:val="00BA7823"/>
    <w:rsid w:val="00BA78F8"/>
    <w:rsid w:val="00BB02AC"/>
    <w:rsid w:val="00BB0EAF"/>
    <w:rsid w:val="00BB0FFD"/>
    <w:rsid w:val="00BB16EC"/>
    <w:rsid w:val="00BB1A13"/>
    <w:rsid w:val="00BB2787"/>
    <w:rsid w:val="00BB27E4"/>
    <w:rsid w:val="00BB2B40"/>
    <w:rsid w:val="00BB30E8"/>
    <w:rsid w:val="00BB3BAD"/>
    <w:rsid w:val="00BB4DB8"/>
    <w:rsid w:val="00BB4FDE"/>
    <w:rsid w:val="00BB575E"/>
    <w:rsid w:val="00BB5A54"/>
    <w:rsid w:val="00BB5E52"/>
    <w:rsid w:val="00BB605A"/>
    <w:rsid w:val="00BB6894"/>
    <w:rsid w:val="00BB6E24"/>
    <w:rsid w:val="00BB6F21"/>
    <w:rsid w:val="00BB72AE"/>
    <w:rsid w:val="00BB7AE3"/>
    <w:rsid w:val="00BB7CED"/>
    <w:rsid w:val="00BB7D33"/>
    <w:rsid w:val="00BB7E50"/>
    <w:rsid w:val="00BB7FFE"/>
    <w:rsid w:val="00BC01F7"/>
    <w:rsid w:val="00BC0888"/>
    <w:rsid w:val="00BC0893"/>
    <w:rsid w:val="00BC09D0"/>
    <w:rsid w:val="00BC0AA1"/>
    <w:rsid w:val="00BC0D53"/>
    <w:rsid w:val="00BC11B8"/>
    <w:rsid w:val="00BC14D4"/>
    <w:rsid w:val="00BC192C"/>
    <w:rsid w:val="00BC30DB"/>
    <w:rsid w:val="00BC33F1"/>
    <w:rsid w:val="00BC3471"/>
    <w:rsid w:val="00BC3592"/>
    <w:rsid w:val="00BC4BF9"/>
    <w:rsid w:val="00BC4DFA"/>
    <w:rsid w:val="00BC5861"/>
    <w:rsid w:val="00BC5BC1"/>
    <w:rsid w:val="00BC613D"/>
    <w:rsid w:val="00BC6185"/>
    <w:rsid w:val="00BC64B7"/>
    <w:rsid w:val="00BC68B4"/>
    <w:rsid w:val="00BC6AF0"/>
    <w:rsid w:val="00BC6BCE"/>
    <w:rsid w:val="00BC782D"/>
    <w:rsid w:val="00BC7A62"/>
    <w:rsid w:val="00BD0B0B"/>
    <w:rsid w:val="00BD0DFD"/>
    <w:rsid w:val="00BD19EB"/>
    <w:rsid w:val="00BD1A02"/>
    <w:rsid w:val="00BD1B0F"/>
    <w:rsid w:val="00BD1D6D"/>
    <w:rsid w:val="00BD263B"/>
    <w:rsid w:val="00BD3700"/>
    <w:rsid w:val="00BD3721"/>
    <w:rsid w:val="00BD3D79"/>
    <w:rsid w:val="00BD3F70"/>
    <w:rsid w:val="00BD406A"/>
    <w:rsid w:val="00BD41A9"/>
    <w:rsid w:val="00BD429D"/>
    <w:rsid w:val="00BD47AA"/>
    <w:rsid w:val="00BD4CE2"/>
    <w:rsid w:val="00BD516D"/>
    <w:rsid w:val="00BD5DF3"/>
    <w:rsid w:val="00BD7242"/>
    <w:rsid w:val="00BD7422"/>
    <w:rsid w:val="00BD7B07"/>
    <w:rsid w:val="00BE0155"/>
    <w:rsid w:val="00BE052D"/>
    <w:rsid w:val="00BE0C8F"/>
    <w:rsid w:val="00BE15EF"/>
    <w:rsid w:val="00BE1747"/>
    <w:rsid w:val="00BE28DA"/>
    <w:rsid w:val="00BE2B72"/>
    <w:rsid w:val="00BE3AA6"/>
    <w:rsid w:val="00BE3AB3"/>
    <w:rsid w:val="00BE3F19"/>
    <w:rsid w:val="00BE483B"/>
    <w:rsid w:val="00BE48AD"/>
    <w:rsid w:val="00BE4AD1"/>
    <w:rsid w:val="00BE4BA6"/>
    <w:rsid w:val="00BE4E07"/>
    <w:rsid w:val="00BE5157"/>
    <w:rsid w:val="00BE5CFF"/>
    <w:rsid w:val="00BE5D49"/>
    <w:rsid w:val="00BE62A1"/>
    <w:rsid w:val="00BE67B9"/>
    <w:rsid w:val="00BE68F3"/>
    <w:rsid w:val="00BE6951"/>
    <w:rsid w:val="00BE69C9"/>
    <w:rsid w:val="00BE6A96"/>
    <w:rsid w:val="00BE6E36"/>
    <w:rsid w:val="00BE75D2"/>
    <w:rsid w:val="00BF00CB"/>
    <w:rsid w:val="00BF13FB"/>
    <w:rsid w:val="00BF14B1"/>
    <w:rsid w:val="00BF1B30"/>
    <w:rsid w:val="00BF1C8F"/>
    <w:rsid w:val="00BF24F4"/>
    <w:rsid w:val="00BF2814"/>
    <w:rsid w:val="00BF34E6"/>
    <w:rsid w:val="00BF38DB"/>
    <w:rsid w:val="00BF4A7B"/>
    <w:rsid w:val="00BF53F8"/>
    <w:rsid w:val="00BF57FA"/>
    <w:rsid w:val="00BF5869"/>
    <w:rsid w:val="00BF7CC4"/>
    <w:rsid w:val="00C008BD"/>
    <w:rsid w:val="00C01468"/>
    <w:rsid w:val="00C014D3"/>
    <w:rsid w:val="00C01AB5"/>
    <w:rsid w:val="00C02259"/>
    <w:rsid w:val="00C035EF"/>
    <w:rsid w:val="00C03955"/>
    <w:rsid w:val="00C03F38"/>
    <w:rsid w:val="00C0423F"/>
    <w:rsid w:val="00C0435D"/>
    <w:rsid w:val="00C05DBE"/>
    <w:rsid w:val="00C06B99"/>
    <w:rsid w:val="00C07790"/>
    <w:rsid w:val="00C07A8E"/>
    <w:rsid w:val="00C07CD0"/>
    <w:rsid w:val="00C106FF"/>
    <w:rsid w:val="00C1098F"/>
    <w:rsid w:val="00C10D34"/>
    <w:rsid w:val="00C112BF"/>
    <w:rsid w:val="00C1171A"/>
    <w:rsid w:val="00C118F1"/>
    <w:rsid w:val="00C12208"/>
    <w:rsid w:val="00C12D73"/>
    <w:rsid w:val="00C12FB3"/>
    <w:rsid w:val="00C13423"/>
    <w:rsid w:val="00C14023"/>
    <w:rsid w:val="00C1460F"/>
    <w:rsid w:val="00C14CD8"/>
    <w:rsid w:val="00C15B77"/>
    <w:rsid w:val="00C15DCA"/>
    <w:rsid w:val="00C15E47"/>
    <w:rsid w:val="00C16815"/>
    <w:rsid w:val="00C16F84"/>
    <w:rsid w:val="00C17089"/>
    <w:rsid w:val="00C206A9"/>
    <w:rsid w:val="00C20847"/>
    <w:rsid w:val="00C20969"/>
    <w:rsid w:val="00C21089"/>
    <w:rsid w:val="00C21178"/>
    <w:rsid w:val="00C217D2"/>
    <w:rsid w:val="00C21F44"/>
    <w:rsid w:val="00C22395"/>
    <w:rsid w:val="00C22987"/>
    <w:rsid w:val="00C23933"/>
    <w:rsid w:val="00C243BE"/>
    <w:rsid w:val="00C24A62"/>
    <w:rsid w:val="00C24F54"/>
    <w:rsid w:val="00C254E6"/>
    <w:rsid w:val="00C256DF"/>
    <w:rsid w:val="00C25A6B"/>
    <w:rsid w:val="00C25EDB"/>
    <w:rsid w:val="00C26002"/>
    <w:rsid w:val="00C27344"/>
    <w:rsid w:val="00C27C03"/>
    <w:rsid w:val="00C30D3E"/>
    <w:rsid w:val="00C31300"/>
    <w:rsid w:val="00C31B61"/>
    <w:rsid w:val="00C32030"/>
    <w:rsid w:val="00C32279"/>
    <w:rsid w:val="00C32B6D"/>
    <w:rsid w:val="00C32C5E"/>
    <w:rsid w:val="00C32D99"/>
    <w:rsid w:val="00C32E50"/>
    <w:rsid w:val="00C33823"/>
    <w:rsid w:val="00C33C41"/>
    <w:rsid w:val="00C33D11"/>
    <w:rsid w:val="00C34090"/>
    <w:rsid w:val="00C34179"/>
    <w:rsid w:val="00C34A37"/>
    <w:rsid w:val="00C34AEB"/>
    <w:rsid w:val="00C35406"/>
    <w:rsid w:val="00C35F2E"/>
    <w:rsid w:val="00C365F6"/>
    <w:rsid w:val="00C36C7A"/>
    <w:rsid w:val="00C37190"/>
    <w:rsid w:val="00C3773A"/>
    <w:rsid w:val="00C37C4D"/>
    <w:rsid w:val="00C37E69"/>
    <w:rsid w:val="00C40077"/>
    <w:rsid w:val="00C4063A"/>
    <w:rsid w:val="00C41135"/>
    <w:rsid w:val="00C411D9"/>
    <w:rsid w:val="00C41241"/>
    <w:rsid w:val="00C41422"/>
    <w:rsid w:val="00C414A0"/>
    <w:rsid w:val="00C41B32"/>
    <w:rsid w:val="00C41EA0"/>
    <w:rsid w:val="00C4271E"/>
    <w:rsid w:val="00C42A5C"/>
    <w:rsid w:val="00C42AFB"/>
    <w:rsid w:val="00C42C63"/>
    <w:rsid w:val="00C4342B"/>
    <w:rsid w:val="00C43963"/>
    <w:rsid w:val="00C442B0"/>
    <w:rsid w:val="00C44811"/>
    <w:rsid w:val="00C45103"/>
    <w:rsid w:val="00C45195"/>
    <w:rsid w:val="00C453FC"/>
    <w:rsid w:val="00C45423"/>
    <w:rsid w:val="00C45877"/>
    <w:rsid w:val="00C45EF2"/>
    <w:rsid w:val="00C45F11"/>
    <w:rsid w:val="00C4654E"/>
    <w:rsid w:val="00C46937"/>
    <w:rsid w:val="00C46983"/>
    <w:rsid w:val="00C46AB3"/>
    <w:rsid w:val="00C46F44"/>
    <w:rsid w:val="00C4775C"/>
    <w:rsid w:val="00C50452"/>
    <w:rsid w:val="00C50D0C"/>
    <w:rsid w:val="00C5103F"/>
    <w:rsid w:val="00C51675"/>
    <w:rsid w:val="00C51D52"/>
    <w:rsid w:val="00C51ED0"/>
    <w:rsid w:val="00C524D4"/>
    <w:rsid w:val="00C527A7"/>
    <w:rsid w:val="00C52E6B"/>
    <w:rsid w:val="00C532A6"/>
    <w:rsid w:val="00C5370C"/>
    <w:rsid w:val="00C53827"/>
    <w:rsid w:val="00C545F9"/>
    <w:rsid w:val="00C54696"/>
    <w:rsid w:val="00C555CC"/>
    <w:rsid w:val="00C5570C"/>
    <w:rsid w:val="00C5626E"/>
    <w:rsid w:val="00C567C2"/>
    <w:rsid w:val="00C56A54"/>
    <w:rsid w:val="00C5701A"/>
    <w:rsid w:val="00C57AE7"/>
    <w:rsid w:val="00C6032C"/>
    <w:rsid w:val="00C6057B"/>
    <w:rsid w:val="00C60593"/>
    <w:rsid w:val="00C6145B"/>
    <w:rsid w:val="00C61C97"/>
    <w:rsid w:val="00C62ABA"/>
    <w:rsid w:val="00C62B1D"/>
    <w:rsid w:val="00C62DAD"/>
    <w:rsid w:val="00C62F61"/>
    <w:rsid w:val="00C63056"/>
    <w:rsid w:val="00C631C4"/>
    <w:rsid w:val="00C634DF"/>
    <w:rsid w:val="00C64380"/>
    <w:rsid w:val="00C6514C"/>
    <w:rsid w:val="00C6594B"/>
    <w:rsid w:val="00C65962"/>
    <w:rsid w:val="00C65A71"/>
    <w:rsid w:val="00C65CFF"/>
    <w:rsid w:val="00C65EC7"/>
    <w:rsid w:val="00C662D8"/>
    <w:rsid w:val="00C66319"/>
    <w:rsid w:val="00C66405"/>
    <w:rsid w:val="00C66FCF"/>
    <w:rsid w:val="00C675BF"/>
    <w:rsid w:val="00C67BE9"/>
    <w:rsid w:val="00C67E98"/>
    <w:rsid w:val="00C7012A"/>
    <w:rsid w:val="00C71092"/>
    <w:rsid w:val="00C711B2"/>
    <w:rsid w:val="00C71B4A"/>
    <w:rsid w:val="00C71F1C"/>
    <w:rsid w:val="00C71F6B"/>
    <w:rsid w:val="00C7273C"/>
    <w:rsid w:val="00C72BD3"/>
    <w:rsid w:val="00C72CEF"/>
    <w:rsid w:val="00C73982"/>
    <w:rsid w:val="00C73AD8"/>
    <w:rsid w:val="00C74201"/>
    <w:rsid w:val="00C74814"/>
    <w:rsid w:val="00C75874"/>
    <w:rsid w:val="00C75DB9"/>
    <w:rsid w:val="00C75EFC"/>
    <w:rsid w:val="00C76416"/>
    <w:rsid w:val="00C76FD1"/>
    <w:rsid w:val="00C777D5"/>
    <w:rsid w:val="00C77B3F"/>
    <w:rsid w:val="00C77C1C"/>
    <w:rsid w:val="00C77C20"/>
    <w:rsid w:val="00C82DCE"/>
    <w:rsid w:val="00C8320E"/>
    <w:rsid w:val="00C8387E"/>
    <w:rsid w:val="00C85376"/>
    <w:rsid w:val="00C855B8"/>
    <w:rsid w:val="00C858CE"/>
    <w:rsid w:val="00C85EA0"/>
    <w:rsid w:val="00C86343"/>
    <w:rsid w:val="00C863DC"/>
    <w:rsid w:val="00C86667"/>
    <w:rsid w:val="00C86B6E"/>
    <w:rsid w:val="00C86D01"/>
    <w:rsid w:val="00C876A2"/>
    <w:rsid w:val="00C87A46"/>
    <w:rsid w:val="00C90484"/>
    <w:rsid w:val="00C90624"/>
    <w:rsid w:val="00C90873"/>
    <w:rsid w:val="00C90DB3"/>
    <w:rsid w:val="00C919D4"/>
    <w:rsid w:val="00C91FFD"/>
    <w:rsid w:val="00C92147"/>
    <w:rsid w:val="00C92647"/>
    <w:rsid w:val="00C92653"/>
    <w:rsid w:val="00C92E38"/>
    <w:rsid w:val="00C93EB9"/>
    <w:rsid w:val="00C95564"/>
    <w:rsid w:val="00C959C4"/>
    <w:rsid w:val="00C95CDA"/>
    <w:rsid w:val="00C95F49"/>
    <w:rsid w:val="00C96336"/>
    <w:rsid w:val="00C96611"/>
    <w:rsid w:val="00C96BF3"/>
    <w:rsid w:val="00C9787E"/>
    <w:rsid w:val="00C978A4"/>
    <w:rsid w:val="00CA0FF9"/>
    <w:rsid w:val="00CA11E3"/>
    <w:rsid w:val="00CA28D6"/>
    <w:rsid w:val="00CA2F4A"/>
    <w:rsid w:val="00CA3626"/>
    <w:rsid w:val="00CA3E42"/>
    <w:rsid w:val="00CA3FF0"/>
    <w:rsid w:val="00CA43DB"/>
    <w:rsid w:val="00CA4644"/>
    <w:rsid w:val="00CA4878"/>
    <w:rsid w:val="00CA4E1C"/>
    <w:rsid w:val="00CA5685"/>
    <w:rsid w:val="00CA5A8E"/>
    <w:rsid w:val="00CA5C88"/>
    <w:rsid w:val="00CA61F3"/>
    <w:rsid w:val="00CA6A73"/>
    <w:rsid w:val="00CA6BAC"/>
    <w:rsid w:val="00CA6D56"/>
    <w:rsid w:val="00CA7241"/>
    <w:rsid w:val="00CA7315"/>
    <w:rsid w:val="00CA74E6"/>
    <w:rsid w:val="00CB09DB"/>
    <w:rsid w:val="00CB24DE"/>
    <w:rsid w:val="00CB24F6"/>
    <w:rsid w:val="00CB3337"/>
    <w:rsid w:val="00CB36F3"/>
    <w:rsid w:val="00CB387F"/>
    <w:rsid w:val="00CB3F6D"/>
    <w:rsid w:val="00CB4FBC"/>
    <w:rsid w:val="00CB527C"/>
    <w:rsid w:val="00CB5DCB"/>
    <w:rsid w:val="00CB5FDE"/>
    <w:rsid w:val="00CB60B1"/>
    <w:rsid w:val="00CB619C"/>
    <w:rsid w:val="00CB70A4"/>
    <w:rsid w:val="00CB744F"/>
    <w:rsid w:val="00CB74AE"/>
    <w:rsid w:val="00CB75EF"/>
    <w:rsid w:val="00CB76F1"/>
    <w:rsid w:val="00CB783D"/>
    <w:rsid w:val="00CB79BD"/>
    <w:rsid w:val="00CB7B02"/>
    <w:rsid w:val="00CB7FAA"/>
    <w:rsid w:val="00CC0994"/>
    <w:rsid w:val="00CC0CC5"/>
    <w:rsid w:val="00CC0D5A"/>
    <w:rsid w:val="00CC0E6A"/>
    <w:rsid w:val="00CC28D9"/>
    <w:rsid w:val="00CC293B"/>
    <w:rsid w:val="00CC2BE0"/>
    <w:rsid w:val="00CC2C99"/>
    <w:rsid w:val="00CC3367"/>
    <w:rsid w:val="00CC3872"/>
    <w:rsid w:val="00CC4025"/>
    <w:rsid w:val="00CC54B7"/>
    <w:rsid w:val="00CC569F"/>
    <w:rsid w:val="00CC572B"/>
    <w:rsid w:val="00CC6691"/>
    <w:rsid w:val="00CC7342"/>
    <w:rsid w:val="00CC756F"/>
    <w:rsid w:val="00CC7627"/>
    <w:rsid w:val="00CD08C6"/>
    <w:rsid w:val="00CD0BEF"/>
    <w:rsid w:val="00CD0D77"/>
    <w:rsid w:val="00CD17F4"/>
    <w:rsid w:val="00CD1FFE"/>
    <w:rsid w:val="00CD2030"/>
    <w:rsid w:val="00CD2CA2"/>
    <w:rsid w:val="00CD44B7"/>
    <w:rsid w:val="00CD4E8A"/>
    <w:rsid w:val="00CD5420"/>
    <w:rsid w:val="00CD5FE8"/>
    <w:rsid w:val="00CD64F1"/>
    <w:rsid w:val="00CD67B2"/>
    <w:rsid w:val="00CD68FD"/>
    <w:rsid w:val="00CD6BB9"/>
    <w:rsid w:val="00CD704C"/>
    <w:rsid w:val="00CD797A"/>
    <w:rsid w:val="00CD7A18"/>
    <w:rsid w:val="00CD7B31"/>
    <w:rsid w:val="00CE0C36"/>
    <w:rsid w:val="00CE184D"/>
    <w:rsid w:val="00CE2058"/>
    <w:rsid w:val="00CE2575"/>
    <w:rsid w:val="00CE2871"/>
    <w:rsid w:val="00CE2A05"/>
    <w:rsid w:val="00CE2D7E"/>
    <w:rsid w:val="00CE2E31"/>
    <w:rsid w:val="00CE341C"/>
    <w:rsid w:val="00CE406A"/>
    <w:rsid w:val="00CE48F3"/>
    <w:rsid w:val="00CE4B84"/>
    <w:rsid w:val="00CE4F7A"/>
    <w:rsid w:val="00CE5332"/>
    <w:rsid w:val="00CE5503"/>
    <w:rsid w:val="00CE57E0"/>
    <w:rsid w:val="00CE5882"/>
    <w:rsid w:val="00CE59FD"/>
    <w:rsid w:val="00CE5C2E"/>
    <w:rsid w:val="00CE6060"/>
    <w:rsid w:val="00CE63BD"/>
    <w:rsid w:val="00CE6995"/>
    <w:rsid w:val="00CE6B01"/>
    <w:rsid w:val="00CE6F43"/>
    <w:rsid w:val="00CE7C14"/>
    <w:rsid w:val="00CE7D6A"/>
    <w:rsid w:val="00CE7ED9"/>
    <w:rsid w:val="00CF0023"/>
    <w:rsid w:val="00CF012D"/>
    <w:rsid w:val="00CF0906"/>
    <w:rsid w:val="00CF20EE"/>
    <w:rsid w:val="00CF2436"/>
    <w:rsid w:val="00CF2EE0"/>
    <w:rsid w:val="00CF2EEE"/>
    <w:rsid w:val="00CF349A"/>
    <w:rsid w:val="00CF3953"/>
    <w:rsid w:val="00CF3B15"/>
    <w:rsid w:val="00CF4170"/>
    <w:rsid w:val="00CF47C7"/>
    <w:rsid w:val="00CF4BA5"/>
    <w:rsid w:val="00CF6262"/>
    <w:rsid w:val="00CF729E"/>
    <w:rsid w:val="00D00087"/>
    <w:rsid w:val="00D0022D"/>
    <w:rsid w:val="00D004BF"/>
    <w:rsid w:val="00D006AC"/>
    <w:rsid w:val="00D00AD0"/>
    <w:rsid w:val="00D00B21"/>
    <w:rsid w:val="00D0155E"/>
    <w:rsid w:val="00D01581"/>
    <w:rsid w:val="00D01615"/>
    <w:rsid w:val="00D016FA"/>
    <w:rsid w:val="00D024BE"/>
    <w:rsid w:val="00D0258A"/>
    <w:rsid w:val="00D02ABC"/>
    <w:rsid w:val="00D0327D"/>
    <w:rsid w:val="00D039C0"/>
    <w:rsid w:val="00D0470E"/>
    <w:rsid w:val="00D04714"/>
    <w:rsid w:val="00D04816"/>
    <w:rsid w:val="00D04CDF"/>
    <w:rsid w:val="00D04FE3"/>
    <w:rsid w:val="00D0537B"/>
    <w:rsid w:val="00D056F9"/>
    <w:rsid w:val="00D05C7D"/>
    <w:rsid w:val="00D06A07"/>
    <w:rsid w:val="00D0760C"/>
    <w:rsid w:val="00D1037B"/>
    <w:rsid w:val="00D105E7"/>
    <w:rsid w:val="00D10818"/>
    <w:rsid w:val="00D108F8"/>
    <w:rsid w:val="00D10ED7"/>
    <w:rsid w:val="00D10FC5"/>
    <w:rsid w:val="00D1138A"/>
    <w:rsid w:val="00D11612"/>
    <w:rsid w:val="00D11944"/>
    <w:rsid w:val="00D12583"/>
    <w:rsid w:val="00D125BB"/>
    <w:rsid w:val="00D13052"/>
    <w:rsid w:val="00D133AD"/>
    <w:rsid w:val="00D14F63"/>
    <w:rsid w:val="00D1578E"/>
    <w:rsid w:val="00D15C94"/>
    <w:rsid w:val="00D16104"/>
    <w:rsid w:val="00D170E5"/>
    <w:rsid w:val="00D17D88"/>
    <w:rsid w:val="00D20FD7"/>
    <w:rsid w:val="00D21458"/>
    <w:rsid w:val="00D21652"/>
    <w:rsid w:val="00D21704"/>
    <w:rsid w:val="00D219AE"/>
    <w:rsid w:val="00D21C25"/>
    <w:rsid w:val="00D21FA9"/>
    <w:rsid w:val="00D229A9"/>
    <w:rsid w:val="00D22B54"/>
    <w:rsid w:val="00D22F7D"/>
    <w:rsid w:val="00D234CB"/>
    <w:rsid w:val="00D234F7"/>
    <w:rsid w:val="00D239A1"/>
    <w:rsid w:val="00D242F4"/>
    <w:rsid w:val="00D2468B"/>
    <w:rsid w:val="00D246DD"/>
    <w:rsid w:val="00D24905"/>
    <w:rsid w:val="00D24B23"/>
    <w:rsid w:val="00D24C7F"/>
    <w:rsid w:val="00D25422"/>
    <w:rsid w:val="00D258F6"/>
    <w:rsid w:val="00D25DB9"/>
    <w:rsid w:val="00D25E69"/>
    <w:rsid w:val="00D26246"/>
    <w:rsid w:val="00D2665B"/>
    <w:rsid w:val="00D26686"/>
    <w:rsid w:val="00D26AE8"/>
    <w:rsid w:val="00D2779D"/>
    <w:rsid w:val="00D27922"/>
    <w:rsid w:val="00D27BCB"/>
    <w:rsid w:val="00D27C53"/>
    <w:rsid w:val="00D30759"/>
    <w:rsid w:val="00D30DC7"/>
    <w:rsid w:val="00D315E1"/>
    <w:rsid w:val="00D31831"/>
    <w:rsid w:val="00D3244E"/>
    <w:rsid w:val="00D33353"/>
    <w:rsid w:val="00D338EA"/>
    <w:rsid w:val="00D33A40"/>
    <w:rsid w:val="00D33DBE"/>
    <w:rsid w:val="00D34089"/>
    <w:rsid w:val="00D341BF"/>
    <w:rsid w:val="00D34487"/>
    <w:rsid w:val="00D34743"/>
    <w:rsid w:val="00D36644"/>
    <w:rsid w:val="00D3785A"/>
    <w:rsid w:val="00D37E6C"/>
    <w:rsid w:val="00D402C2"/>
    <w:rsid w:val="00D4030D"/>
    <w:rsid w:val="00D41A9B"/>
    <w:rsid w:val="00D42229"/>
    <w:rsid w:val="00D42DBD"/>
    <w:rsid w:val="00D4312F"/>
    <w:rsid w:val="00D439FC"/>
    <w:rsid w:val="00D43C38"/>
    <w:rsid w:val="00D43E65"/>
    <w:rsid w:val="00D45E6F"/>
    <w:rsid w:val="00D463E2"/>
    <w:rsid w:val="00D46B52"/>
    <w:rsid w:val="00D47843"/>
    <w:rsid w:val="00D47EDB"/>
    <w:rsid w:val="00D47F74"/>
    <w:rsid w:val="00D5058B"/>
    <w:rsid w:val="00D50723"/>
    <w:rsid w:val="00D509CA"/>
    <w:rsid w:val="00D50DBA"/>
    <w:rsid w:val="00D51699"/>
    <w:rsid w:val="00D5332D"/>
    <w:rsid w:val="00D5388B"/>
    <w:rsid w:val="00D54020"/>
    <w:rsid w:val="00D540D3"/>
    <w:rsid w:val="00D542C4"/>
    <w:rsid w:val="00D54B06"/>
    <w:rsid w:val="00D54FC7"/>
    <w:rsid w:val="00D55D0B"/>
    <w:rsid w:val="00D566E0"/>
    <w:rsid w:val="00D56C9E"/>
    <w:rsid w:val="00D56DD0"/>
    <w:rsid w:val="00D57112"/>
    <w:rsid w:val="00D57C02"/>
    <w:rsid w:val="00D57CE7"/>
    <w:rsid w:val="00D57D60"/>
    <w:rsid w:val="00D605BC"/>
    <w:rsid w:val="00D60958"/>
    <w:rsid w:val="00D60D2B"/>
    <w:rsid w:val="00D61330"/>
    <w:rsid w:val="00D62073"/>
    <w:rsid w:val="00D63DD5"/>
    <w:rsid w:val="00D63E2A"/>
    <w:rsid w:val="00D64691"/>
    <w:rsid w:val="00D64D83"/>
    <w:rsid w:val="00D65008"/>
    <w:rsid w:val="00D65F61"/>
    <w:rsid w:val="00D66735"/>
    <w:rsid w:val="00D66F24"/>
    <w:rsid w:val="00D67461"/>
    <w:rsid w:val="00D67528"/>
    <w:rsid w:val="00D67C86"/>
    <w:rsid w:val="00D67C93"/>
    <w:rsid w:val="00D70851"/>
    <w:rsid w:val="00D71123"/>
    <w:rsid w:val="00D71D57"/>
    <w:rsid w:val="00D730B1"/>
    <w:rsid w:val="00D73409"/>
    <w:rsid w:val="00D73AB4"/>
    <w:rsid w:val="00D7427A"/>
    <w:rsid w:val="00D74474"/>
    <w:rsid w:val="00D745D4"/>
    <w:rsid w:val="00D7467D"/>
    <w:rsid w:val="00D74FBE"/>
    <w:rsid w:val="00D75912"/>
    <w:rsid w:val="00D75994"/>
    <w:rsid w:val="00D76285"/>
    <w:rsid w:val="00D7655F"/>
    <w:rsid w:val="00D766BF"/>
    <w:rsid w:val="00D77080"/>
    <w:rsid w:val="00D77132"/>
    <w:rsid w:val="00D774A5"/>
    <w:rsid w:val="00D77774"/>
    <w:rsid w:val="00D801B5"/>
    <w:rsid w:val="00D80F43"/>
    <w:rsid w:val="00D8198D"/>
    <w:rsid w:val="00D82539"/>
    <w:rsid w:val="00D837F4"/>
    <w:rsid w:val="00D83B21"/>
    <w:rsid w:val="00D841AE"/>
    <w:rsid w:val="00D84CF7"/>
    <w:rsid w:val="00D85B40"/>
    <w:rsid w:val="00D86022"/>
    <w:rsid w:val="00D86223"/>
    <w:rsid w:val="00D86281"/>
    <w:rsid w:val="00D8628B"/>
    <w:rsid w:val="00D866BD"/>
    <w:rsid w:val="00D86F77"/>
    <w:rsid w:val="00D87595"/>
    <w:rsid w:val="00D87EB8"/>
    <w:rsid w:val="00D92264"/>
    <w:rsid w:val="00D9228F"/>
    <w:rsid w:val="00D9232A"/>
    <w:rsid w:val="00D923E5"/>
    <w:rsid w:val="00D92504"/>
    <w:rsid w:val="00D926F6"/>
    <w:rsid w:val="00D934BE"/>
    <w:rsid w:val="00D93C1B"/>
    <w:rsid w:val="00D93E4A"/>
    <w:rsid w:val="00D93F0E"/>
    <w:rsid w:val="00D94208"/>
    <w:rsid w:val="00D94242"/>
    <w:rsid w:val="00D94439"/>
    <w:rsid w:val="00D9486D"/>
    <w:rsid w:val="00D949B8"/>
    <w:rsid w:val="00D94B52"/>
    <w:rsid w:val="00D954FD"/>
    <w:rsid w:val="00D95995"/>
    <w:rsid w:val="00D95C67"/>
    <w:rsid w:val="00D979A5"/>
    <w:rsid w:val="00D97AF6"/>
    <w:rsid w:val="00DA04AD"/>
    <w:rsid w:val="00DA107D"/>
    <w:rsid w:val="00DA116B"/>
    <w:rsid w:val="00DA142E"/>
    <w:rsid w:val="00DA1DEC"/>
    <w:rsid w:val="00DA212F"/>
    <w:rsid w:val="00DA2448"/>
    <w:rsid w:val="00DA24AE"/>
    <w:rsid w:val="00DA24EE"/>
    <w:rsid w:val="00DA2A6E"/>
    <w:rsid w:val="00DA3064"/>
    <w:rsid w:val="00DA3436"/>
    <w:rsid w:val="00DA36C1"/>
    <w:rsid w:val="00DA3D99"/>
    <w:rsid w:val="00DA40FF"/>
    <w:rsid w:val="00DA41EF"/>
    <w:rsid w:val="00DA447E"/>
    <w:rsid w:val="00DA5DDC"/>
    <w:rsid w:val="00DA643B"/>
    <w:rsid w:val="00DA6BB5"/>
    <w:rsid w:val="00DA6E9F"/>
    <w:rsid w:val="00DA717D"/>
    <w:rsid w:val="00DA79D9"/>
    <w:rsid w:val="00DA7C91"/>
    <w:rsid w:val="00DB0550"/>
    <w:rsid w:val="00DB055D"/>
    <w:rsid w:val="00DB06D0"/>
    <w:rsid w:val="00DB0AC3"/>
    <w:rsid w:val="00DB10F3"/>
    <w:rsid w:val="00DB12B4"/>
    <w:rsid w:val="00DB1C48"/>
    <w:rsid w:val="00DB255F"/>
    <w:rsid w:val="00DB2DEC"/>
    <w:rsid w:val="00DB3221"/>
    <w:rsid w:val="00DB343A"/>
    <w:rsid w:val="00DB382D"/>
    <w:rsid w:val="00DB46F3"/>
    <w:rsid w:val="00DB47FF"/>
    <w:rsid w:val="00DB4ADF"/>
    <w:rsid w:val="00DB4BC8"/>
    <w:rsid w:val="00DB5691"/>
    <w:rsid w:val="00DB5A8C"/>
    <w:rsid w:val="00DB5FB5"/>
    <w:rsid w:val="00DB63F8"/>
    <w:rsid w:val="00DB6740"/>
    <w:rsid w:val="00DB7C15"/>
    <w:rsid w:val="00DC036C"/>
    <w:rsid w:val="00DC0885"/>
    <w:rsid w:val="00DC0988"/>
    <w:rsid w:val="00DC0C5D"/>
    <w:rsid w:val="00DC184C"/>
    <w:rsid w:val="00DC2E5E"/>
    <w:rsid w:val="00DC3283"/>
    <w:rsid w:val="00DC3342"/>
    <w:rsid w:val="00DC3BEB"/>
    <w:rsid w:val="00DC3D92"/>
    <w:rsid w:val="00DC413C"/>
    <w:rsid w:val="00DC428F"/>
    <w:rsid w:val="00DC48AA"/>
    <w:rsid w:val="00DC49CE"/>
    <w:rsid w:val="00DC4DE9"/>
    <w:rsid w:val="00DC54B7"/>
    <w:rsid w:val="00DC567D"/>
    <w:rsid w:val="00DC5D2B"/>
    <w:rsid w:val="00DC5EC8"/>
    <w:rsid w:val="00DC7A5E"/>
    <w:rsid w:val="00DC7DC8"/>
    <w:rsid w:val="00DD01AB"/>
    <w:rsid w:val="00DD0497"/>
    <w:rsid w:val="00DD0811"/>
    <w:rsid w:val="00DD0D8B"/>
    <w:rsid w:val="00DD11FF"/>
    <w:rsid w:val="00DD1664"/>
    <w:rsid w:val="00DD1E9E"/>
    <w:rsid w:val="00DD1EE7"/>
    <w:rsid w:val="00DD204D"/>
    <w:rsid w:val="00DD23C3"/>
    <w:rsid w:val="00DD24EF"/>
    <w:rsid w:val="00DD27E6"/>
    <w:rsid w:val="00DD2F06"/>
    <w:rsid w:val="00DD30EA"/>
    <w:rsid w:val="00DD354B"/>
    <w:rsid w:val="00DD42FC"/>
    <w:rsid w:val="00DD4CDE"/>
    <w:rsid w:val="00DD4D5C"/>
    <w:rsid w:val="00DD4E18"/>
    <w:rsid w:val="00DD4EBD"/>
    <w:rsid w:val="00DD54E7"/>
    <w:rsid w:val="00DD6035"/>
    <w:rsid w:val="00DD69EF"/>
    <w:rsid w:val="00DD6DA2"/>
    <w:rsid w:val="00DD7838"/>
    <w:rsid w:val="00DD7942"/>
    <w:rsid w:val="00DE18AD"/>
    <w:rsid w:val="00DE1966"/>
    <w:rsid w:val="00DE1A9E"/>
    <w:rsid w:val="00DE1DA1"/>
    <w:rsid w:val="00DE22E5"/>
    <w:rsid w:val="00DE281A"/>
    <w:rsid w:val="00DE2919"/>
    <w:rsid w:val="00DE29FC"/>
    <w:rsid w:val="00DE2DD6"/>
    <w:rsid w:val="00DE3E22"/>
    <w:rsid w:val="00DE3ED1"/>
    <w:rsid w:val="00DE41FE"/>
    <w:rsid w:val="00DE4629"/>
    <w:rsid w:val="00DE4CA7"/>
    <w:rsid w:val="00DE599A"/>
    <w:rsid w:val="00DE5B2C"/>
    <w:rsid w:val="00DE5C9A"/>
    <w:rsid w:val="00DE6A34"/>
    <w:rsid w:val="00DE7439"/>
    <w:rsid w:val="00DE74B8"/>
    <w:rsid w:val="00DE74EF"/>
    <w:rsid w:val="00DE74F1"/>
    <w:rsid w:val="00DE75C5"/>
    <w:rsid w:val="00DE79C4"/>
    <w:rsid w:val="00DE7CE8"/>
    <w:rsid w:val="00DF0240"/>
    <w:rsid w:val="00DF092F"/>
    <w:rsid w:val="00DF0B50"/>
    <w:rsid w:val="00DF0DBB"/>
    <w:rsid w:val="00DF1BCB"/>
    <w:rsid w:val="00DF1C56"/>
    <w:rsid w:val="00DF2194"/>
    <w:rsid w:val="00DF3009"/>
    <w:rsid w:val="00DF465C"/>
    <w:rsid w:val="00DF49AF"/>
    <w:rsid w:val="00DF638A"/>
    <w:rsid w:val="00DF6678"/>
    <w:rsid w:val="00DF7553"/>
    <w:rsid w:val="00DF7BA8"/>
    <w:rsid w:val="00DF7F2C"/>
    <w:rsid w:val="00E003E4"/>
    <w:rsid w:val="00E00700"/>
    <w:rsid w:val="00E00FD5"/>
    <w:rsid w:val="00E014FC"/>
    <w:rsid w:val="00E0169C"/>
    <w:rsid w:val="00E0174E"/>
    <w:rsid w:val="00E024E8"/>
    <w:rsid w:val="00E0276C"/>
    <w:rsid w:val="00E03D74"/>
    <w:rsid w:val="00E0469F"/>
    <w:rsid w:val="00E047BD"/>
    <w:rsid w:val="00E048EB"/>
    <w:rsid w:val="00E04E22"/>
    <w:rsid w:val="00E052CF"/>
    <w:rsid w:val="00E052D4"/>
    <w:rsid w:val="00E06527"/>
    <w:rsid w:val="00E06EB4"/>
    <w:rsid w:val="00E071C7"/>
    <w:rsid w:val="00E072BA"/>
    <w:rsid w:val="00E07F83"/>
    <w:rsid w:val="00E1005B"/>
    <w:rsid w:val="00E109C6"/>
    <w:rsid w:val="00E10ACB"/>
    <w:rsid w:val="00E1124A"/>
    <w:rsid w:val="00E11CE7"/>
    <w:rsid w:val="00E123FE"/>
    <w:rsid w:val="00E12901"/>
    <w:rsid w:val="00E12B58"/>
    <w:rsid w:val="00E12C46"/>
    <w:rsid w:val="00E12D66"/>
    <w:rsid w:val="00E12E59"/>
    <w:rsid w:val="00E12E73"/>
    <w:rsid w:val="00E131FD"/>
    <w:rsid w:val="00E13754"/>
    <w:rsid w:val="00E137CA"/>
    <w:rsid w:val="00E13B09"/>
    <w:rsid w:val="00E13E62"/>
    <w:rsid w:val="00E14424"/>
    <w:rsid w:val="00E14800"/>
    <w:rsid w:val="00E14CD7"/>
    <w:rsid w:val="00E14E43"/>
    <w:rsid w:val="00E15458"/>
    <w:rsid w:val="00E16125"/>
    <w:rsid w:val="00E17590"/>
    <w:rsid w:val="00E17752"/>
    <w:rsid w:val="00E2085F"/>
    <w:rsid w:val="00E20D6C"/>
    <w:rsid w:val="00E20D8A"/>
    <w:rsid w:val="00E21967"/>
    <w:rsid w:val="00E21A00"/>
    <w:rsid w:val="00E21A7F"/>
    <w:rsid w:val="00E22864"/>
    <w:rsid w:val="00E2318E"/>
    <w:rsid w:val="00E23458"/>
    <w:rsid w:val="00E24007"/>
    <w:rsid w:val="00E244BC"/>
    <w:rsid w:val="00E24B14"/>
    <w:rsid w:val="00E250D1"/>
    <w:rsid w:val="00E25262"/>
    <w:rsid w:val="00E25498"/>
    <w:rsid w:val="00E255EB"/>
    <w:rsid w:val="00E25639"/>
    <w:rsid w:val="00E25644"/>
    <w:rsid w:val="00E25A4C"/>
    <w:rsid w:val="00E25F2C"/>
    <w:rsid w:val="00E26E19"/>
    <w:rsid w:val="00E27870"/>
    <w:rsid w:val="00E27BE0"/>
    <w:rsid w:val="00E27CDB"/>
    <w:rsid w:val="00E3008E"/>
    <w:rsid w:val="00E31669"/>
    <w:rsid w:val="00E31837"/>
    <w:rsid w:val="00E32651"/>
    <w:rsid w:val="00E32D56"/>
    <w:rsid w:val="00E335F0"/>
    <w:rsid w:val="00E33C43"/>
    <w:rsid w:val="00E33D34"/>
    <w:rsid w:val="00E34994"/>
    <w:rsid w:val="00E35A22"/>
    <w:rsid w:val="00E360BE"/>
    <w:rsid w:val="00E3640A"/>
    <w:rsid w:val="00E366BA"/>
    <w:rsid w:val="00E369C8"/>
    <w:rsid w:val="00E36DCC"/>
    <w:rsid w:val="00E37029"/>
    <w:rsid w:val="00E37F0A"/>
    <w:rsid w:val="00E37FDA"/>
    <w:rsid w:val="00E404BD"/>
    <w:rsid w:val="00E41310"/>
    <w:rsid w:val="00E41367"/>
    <w:rsid w:val="00E41A63"/>
    <w:rsid w:val="00E426A3"/>
    <w:rsid w:val="00E4270A"/>
    <w:rsid w:val="00E42BBF"/>
    <w:rsid w:val="00E43364"/>
    <w:rsid w:val="00E43664"/>
    <w:rsid w:val="00E448CF"/>
    <w:rsid w:val="00E45129"/>
    <w:rsid w:val="00E457D9"/>
    <w:rsid w:val="00E45AD4"/>
    <w:rsid w:val="00E45C22"/>
    <w:rsid w:val="00E45C86"/>
    <w:rsid w:val="00E4602D"/>
    <w:rsid w:val="00E469E4"/>
    <w:rsid w:val="00E46C23"/>
    <w:rsid w:val="00E46C5E"/>
    <w:rsid w:val="00E471E1"/>
    <w:rsid w:val="00E47DB8"/>
    <w:rsid w:val="00E47F26"/>
    <w:rsid w:val="00E5002F"/>
    <w:rsid w:val="00E502AE"/>
    <w:rsid w:val="00E50902"/>
    <w:rsid w:val="00E50965"/>
    <w:rsid w:val="00E51360"/>
    <w:rsid w:val="00E517C7"/>
    <w:rsid w:val="00E5187F"/>
    <w:rsid w:val="00E51DEE"/>
    <w:rsid w:val="00E521F6"/>
    <w:rsid w:val="00E526FB"/>
    <w:rsid w:val="00E52CDC"/>
    <w:rsid w:val="00E52DCA"/>
    <w:rsid w:val="00E53509"/>
    <w:rsid w:val="00E537D2"/>
    <w:rsid w:val="00E549C6"/>
    <w:rsid w:val="00E55132"/>
    <w:rsid w:val="00E553DD"/>
    <w:rsid w:val="00E55A8B"/>
    <w:rsid w:val="00E55FC8"/>
    <w:rsid w:val="00E566B2"/>
    <w:rsid w:val="00E56A35"/>
    <w:rsid w:val="00E57456"/>
    <w:rsid w:val="00E577AA"/>
    <w:rsid w:val="00E577C1"/>
    <w:rsid w:val="00E611DA"/>
    <w:rsid w:val="00E61720"/>
    <w:rsid w:val="00E61D2F"/>
    <w:rsid w:val="00E61F15"/>
    <w:rsid w:val="00E6216B"/>
    <w:rsid w:val="00E63073"/>
    <w:rsid w:val="00E64549"/>
    <w:rsid w:val="00E64875"/>
    <w:rsid w:val="00E64E31"/>
    <w:rsid w:val="00E6518F"/>
    <w:rsid w:val="00E653CC"/>
    <w:rsid w:val="00E660A3"/>
    <w:rsid w:val="00E66B7A"/>
    <w:rsid w:val="00E66E43"/>
    <w:rsid w:val="00E67895"/>
    <w:rsid w:val="00E70416"/>
    <w:rsid w:val="00E705B5"/>
    <w:rsid w:val="00E70C5A"/>
    <w:rsid w:val="00E70DD7"/>
    <w:rsid w:val="00E716B6"/>
    <w:rsid w:val="00E71F07"/>
    <w:rsid w:val="00E72456"/>
    <w:rsid w:val="00E72573"/>
    <w:rsid w:val="00E725C6"/>
    <w:rsid w:val="00E72B61"/>
    <w:rsid w:val="00E72E84"/>
    <w:rsid w:val="00E74318"/>
    <w:rsid w:val="00E74561"/>
    <w:rsid w:val="00E7500D"/>
    <w:rsid w:val="00E7508E"/>
    <w:rsid w:val="00E750FC"/>
    <w:rsid w:val="00E756F2"/>
    <w:rsid w:val="00E759A1"/>
    <w:rsid w:val="00E75BBA"/>
    <w:rsid w:val="00E75CD5"/>
    <w:rsid w:val="00E7623A"/>
    <w:rsid w:val="00E76262"/>
    <w:rsid w:val="00E77C24"/>
    <w:rsid w:val="00E80456"/>
    <w:rsid w:val="00E804E8"/>
    <w:rsid w:val="00E817BA"/>
    <w:rsid w:val="00E8195F"/>
    <w:rsid w:val="00E8198D"/>
    <w:rsid w:val="00E81B6F"/>
    <w:rsid w:val="00E81D1C"/>
    <w:rsid w:val="00E82329"/>
    <w:rsid w:val="00E8264B"/>
    <w:rsid w:val="00E83459"/>
    <w:rsid w:val="00E8355E"/>
    <w:rsid w:val="00E835A4"/>
    <w:rsid w:val="00E8382F"/>
    <w:rsid w:val="00E839C2"/>
    <w:rsid w:val="00E844C8"/>
    <w:rsid w:val="00E849E5"/>
    <w:rsid w:val="00E84D77"/>
    <w:rsid w:val="00E85A65"/>
    <w:rsid w:val="00E86ECC"/>
    <w:rsid w:val="00E87982"/>
    <w:rsid w:val="00E87A83"/>
    <w:rsid w:val="00E87AAF"/>
    <w:rsid w:val="00E87B60"/>
    <w:rsid w:val="00E87C3B"/>
    <w:rsid w:val="00E90DA1"/>
    <w:rsid w:val="00E90F03"/>
    <w:rsid w:val="00E9131E"/>
    <w:rsid w:val="00E913A3"/>
    <w:rsid w:val="00E917DD"/>
    <w:rsid w:val="00E94527"/>
    <w:rsid w:val="00E945DB"/>
    <w:rsid w:val="00E9583B"/>
    <w:rsid w:val="00E958BF"/>
    <w:rsid w:val="00E95C2B"/>
    <w:rsid w:val="00E9627F"/>
    <w:rsid w:val="00E97B2D"/>
    <w:rsid w:val="00EA0001"/>
    <w:rsid w:val="00EA0482"/>
    <w:rsid w:val="00EA061D"/>
    <w:rsid w:val="00EA1A87"/>
    <w:rsid w:val="00EA2496"/>
    <w:rsid w:val="00EA2807"/>
    <w:rsid w:val="00EA293A"/>
    <w:rsid w:val="00EA30E3"/>
    <w:rsid w:val="00EA3C59"/>
    <w:rsid w:val="00EA42F4"/>
    <w:rsid w:val="00EA5AEF"/>
    <w:rsid w:val="00EA5E5F"/>
    <w:rsid w:val="00EA6C06"/>
    <w:rsid w:val="00EA6E11"/>
    <w:rsid w:val="00EA7870"/>
    <w:rsid w:val="00EA7DEB"/>
    <w:rsid w:val="00EB0300"/>
    <w:rsid w:val="00EB04AF"/>
    <w:rsid w:val="00EB08BB"/>
    <w:rsid w:val="00EB0EC8"/>
    <w:rsid w:val="00EB1417"/>
    <w:rsid w:val="00EB152D"/>
    <w:rsid w:val="00EB1BF4"/>
    <w:rsid w:val="00EB2E70"/>
    <w:rsid w:val="00EB3183"/>
    <w:rsid w:val="00EB31DC"/>
    <w:rsid w:val="00EB333B"/>
    <w:rsid w:val="00EB334B"/>
    <w:rsid w:val="00EB3E97"/>
    <w:rsid w:val="00EB4EDA"/>
    <w:rsid w:val="00EB5154"/>
    <w:rsid w:val="00EB5F27"/>
    <w:rsid w:val="00EB5FC5"/>
    <w:rsid w:val="00EB63D7"/>
    <w:rsid w:val="00EB64F9"/>
    <w:rsid w:val="00EB6A11"/>
    <w:rsid w:val="00EB78AA"/>
    <w:rsid w:val="00EC0649"/>
    <w:rsid w:val="00EC0848"/>
    <w:rsid w:val="00EC1389"/>
    <w:rsid w:val="00EC1906"/>
    <w:rsid w:val="00EC1A2F"/>
    <w:rsid w:val="00EC1EFC"/>
    <w:rsid w:val="00EC2572"/>
    <w:rsid w:val="00EC26DA"/>
    <w:rsid w:val="00EC29E1"/>
    <w:rsid w:val="00EC339D"/>
    <w:rsid w:val="00EC41E4"/>
    <w:rsid w:val="00EC4860"/>
    <w:rsid w:val="00EC5B61"/>
    <w:rsid w:val="00EC5E29"/>
    <w:rsid w:val="00EC5EF2"/>
    <w:rsid w:val="00EC645B"/>
    <w:rsid w:val="00EC7202"/>
    <w:rsid w:val="00EC77BA"/>
    <w:rsid w:val="00EC77E2"/>
    <w:rsid w:val="00EC7A39"/>
    <w:rsid w:val="00ED01D5"/>
    <w:rsid w:val="00ED0657"/>
    <w:rsid w:val="00ED11A8"/>
    <w:rsid w:val="00ED136A"/>
    <w:rsid w:val="00ED1455"/>
    <w:rsid w:val="00ED1F96"/>
    <w:rsid w:val="00ED35D2"/>
    <w:rsid w:val="00ED3816"/>
    <w:rsid w:val="00ED392A"/>
    <w:rsid w:val="00ED3DF2"/>
    <w:rsid w:val="00ED480B"/>
    <w:rsid w:val="00ED4A4C"/>
    <w:rsid w:val="00ED4A50"/>
    <w:rsid w:val="00ED4F83"/>
    <w:rsid w:val="00ED5304"/>
    <w:rsid w:val="00ED56A4"/>
    <w:rsid w:val="00ED6953"/>
    <w:rsid w:val="00ED6AAC"/>
    <w:rsid w:val="00ED6BF2"/>
    <w:rsid w:val="00ED7AA7"/>
    <w:rsid w:val="00EE11FD"/>
    <w:rsid w:val="00EE1508"/>
    <w:rsid w:val="00EE1E19"/>
    <w:rsid w:val="00EE24FE"/>
    <w:rsid w:val="00EE2C11"/>
    <w:rsid w:val="00EE2EEF"/>
    <w:rsid w:val="00EE38AA"/>
    <w:rsid w:val="00EE3BED"/>
    <w:rsid w:val="00EE4B61"/>
    <w:rsid w:val="00EE50E6"/>
    <w:rsid w:val="00EE5CD9"/>
    <w:rsid w:val="00EE5FC3"/>
    <w:rsid w:val="00EE64B4"/>
    <w:rsid w:val="00EE7141"/>
    <w:rsid w:val="00EE7335"/>
    <w:rsid w:val="00EE7AD0"/>
    <w:rsid w:val="00EE7EDF"/>
    <w:rsid w:val="00EF052C"/>
    <w:rsid w:val="00EF070D"/>
    <w:rsid w:val="00EF14E4"/>
    <w:rsid w:val="00EF1B26"/>
    <w:rsid w:val="00EF1E44"/>
    <w:rsid w:val="00EF1F74"/>
    <w:rsid w:val="00EF29A6"/>
    <w:rsid w:val="00EF3ABF"/>
    <w:rsid w:val="00EF3EA4"/>
    <w:rsid w:val="00EF48CC"/>
    <w:rsid w:val="00EF4A22"/>
    <w:rsid w:val="00EF4B7E"/>
    <w:rsid w:val="00EF4CCF"/>
    <w:rsid w:val="00EF5294"/>
    <w:rsid w:val="00EF544E"/>
    <w:rsid w:val="00EF5AB6"/>
    <w:rsid w:val="00EF5E9D"/>
    <w:rsid w:val="00EF6239"/>
    <w:rsid w:val="00EF6AC1"/>
    <w:rsid w:val="00EF6DE9"/>
    <w:rsid w:val="00EF7418"/>
    <w:rsid w:val="00EF780E"/>
    <w:rsid w:val="00F0051C"/>
    <w:rsid w:val="00F0083E"/>
    <w:rsid w:val="00F00AC6"/>
    <w:rsid w:val="00F00B60"/>
    <w:rsid w:val="00F0225D"/>
    <w:rsid w:val="00F02450"/>
    <w:rsid w:val="00F03031"/>
    <w:rsid w:val="00F036F5"/>
    <w:rsid w:val="00F0402C"/>
    <w:rsid w:val="00F0488B"/>
    <w:rsid w:val="00F05158"/>
    <w:rsid w:val="00F06328"/>
    <w:rsid w:val="00F06BEE"/>
    <w:rsid w:val="00F06EB6"/>
    <w:rsid w:val="00F07591"/>
    <w:rsid w:val="00F10097"/>
    <w:rsid w:val="00F100B1"/>
    <w:rsid w:val="00F10EE4"/>
    <w:rsid w:val="00F112D5"/>
    <w:rsid w:val="00F11DD4"/>
    <w:rsid w:val="00F12144"/>
    <w:rsid w:val="00F1309C"/>
    <w:rsid w:val="00F132D7"/>
    <w:rsid w:val="00F13539"/>
    <w:rsid w:val="00F13637"/>
    <w:rsid w:val="00F140F0"/>
    <w:rsid w:val="00F14B1B"/>
    <w:rsid w:val="00F14DC8"/>
    <w:rsid w:val="00F15177"/>
    <w:rsid w:val="00F157C6"/>
    <w:rsid w:val="00F15A06"/>
    <w:rsid w:val="00F15B09"/>
    <w:rsid w:val="00F15D8B"/>
    <w:rsid w:val="00F1634B"/>
    <w:rsid w:val="00F168B4"/>
    <w:rsid w:val="00F16CAF"/>
    <w:rsid w:val="00F16EE4"/>
    <w:rsid w:val="00F17AE1"/>
    <w:rsid w:val="00F17C73"/>
    <w:rsid w:val="00F200C8"/>
    <w:rsid w:val="00F21D79"/>
    <w:rsid w:val="00F2277A"/>
    <w:rsid w:val="00F2280F"/>
    <w:rsid w:val="00F23214"/>
    <w:rsid w:val="00F234A6"/>
    <w:rsid w:val="00F24AC5"/>
    <w:rsid w:val="00F2505D"/>
    <w:rsid w:val="00F25329"/>
    <w:rsid w:val="00F258A1"/>
    <w:rsid w:val="00F26A65"/>
    <w:rsid w:val="00F270AF"/>
    <w:rsid w:val="00F27E13"/>
    <w:rsid w:val="00F27ECA"/>
    <w:rsid w:val="00F30686"/>
    <w:rsid w:val="00F30809"/>
    <w:rsid w:val="00F30C10"/>
    <w:rsid w:val="00F31457"/>
    <w:rsid w:val="00F318B6"/>
    <w:rsid w:val="00F31BBA"/>
    <w:rsid w:val="00F31D5B"/>
    <w:rsid w:val="00F31F83"/>
    <w:rsid w:val="00F3298E"/>
    <w:rsid w:val="00F33976"/>
    <w:rsid w:val="00F34244"/>
    <w:rsid w:val="00F3459D"/>
    <w:rsid w:val="00F34E11"/>
    <w:rsid w:val="00F3547E"/>
    <w:rsid w:val="00F354A4"/>
    <w:rsid w:val="00F356D6"/>
    <w:rsid w:val="00F35807"/>
    <w:rsid w:val="00F35B1A"/>
    <w:rsid w:val="00F35EC6"/>
    <w:rsid w:val="00F364AE"/>
    <w:rsid w:val="00F36CA8"/>
    <w:rsid w:val="00F36DCE"/>
    <w:rsid w:val="00F37A71"/>
    <w:rsid w:val="00F37D6D"/>
    <w:rsid w:val="00F407A5"/>
    <w:rsid w:val="00F417F8"/>
    <w:rsid w:val="00F41A50"/>
    <w:rsid w:val="00F41C8A"/>
    <w:rsid w:val="00F42197"/>
    <w:rsid w:val="00F421D0"/>
    <w:rsid w:val="00F42213"/>
    <w:rsid w:val="00F43442"/>
    <w:rsid w:val="00F439D3"/>
    <w:rsid w:val="00F4445E"/>
    <w:rsid w:val="00F445AA"/>
    <w:rsid w:val="00F44C86"/>
    <w:rsid w:val="00F45595"/>
    <w:rsid w:val="00F45DDC"/>
    <w:rsid w:val="00F46255"/>
    <w:rsid w:val="00F465B4"/>
    <w:rsid w:val="00F46FDA"/>
    <w:rsid w:val="00F474CC"/>
    <w:rsid w:val="00F4789C"/>
    <w:rsid w:val="00F479A4"/>
    <w:rsid w:val="00F47B98"/>
    <w:rsid w:val="00F5022A"/>
    <w:rsid w:val="00F50967"/>
    <w:rsid w:val="00F50CBC"/>
    <w:rsid w:val="00F50D33"/>
    <w:rsid w:val="00F51E0A"/>
    <w:rsid w:val="00F55861"/>
    <w:rsid w:val="00F561FA"/>
    <w:rsid w:val="00F56263"/>
    <w:rsid w:val="00F5731D"/>
    <w:rsid w:val="00F576DA"/>
    <w:rsid w:val="00F5773B"/>
    <w:rsid w:val="00F57EC9"/>
    <w:rsid w:val="00F6077F"/>
    <w:rsid w:val="00F60790"/>
    <w:rsid w:val="00F6088C"/>
    <w:rsid w:val="00F60E3E"/>
    <w:rsid w:val="00F61D00"/>
    <w:rsid w:val="00F61F13"/>
    <w:rsid w:val="00F63C9E"/>
    <w:rsid w:val="00F63EB2"/>
    <w:rsid w:val="00F651F9"/>
    <w:rsid w:val="00F668D2"/>
    <w:rsid w:val="00F669A7"/>
    <w:rsid w:val="00F66D0F"/>
    <w:rsid w:val="00F670D7"/>
    <w:rsid w:val="00F70080"/>
    <w:rsid w:val="00F70319"/>
    <w:rsid w:val="00F703A5"/>
    <w:rsid w:val="00F704FE"/>
    <w:rsid w:val="00F71223"/>
    <w:rsid w:val="00F712CE"/>
    <w:rsid w:val="00F7146A"/>
    <w:rsid w:val="00F71847"/>
    <w:rsid w:val="00F71D38"/>
    <w:rsid w:val="00F72210"/>
    <w:rsid w:val="00F726DE"/>
    <w:rsid w:val="00F73255"/>
    <w:rsid w:val="00F73760"/>
    <w:rsid w:val="00F73777"/>
    <w:rsid w:val="00F754DA"/>
    <w:rsid w:val="00F75867"/>
    <w:rsid w:val="00F75949"/>
    <w:rsid w:val="00F75BCC"/>
    <w:rsid w:val="00F761A9"/>
    <w:rsid w:val="00F76A0C"/>
    <w:rsid w:val="00F76E8C"/>
    <w:rsid w:val="00F77757"/>
    <w:rsid w:val="00F77E67"/>
    <w:rsid w:val="00F77F51"/>
    <w:rsid w:val="00F8056F"/>
    <w:rsid w:val="00F815AF"/>
    <w:rsid w:val="00F81D11"/>
    <w:rsid w:val="00F820F6"/>
    <w:rsid w:val="00F834C3"/>
    <w:rsid w:val="00F8388C"/>
    <w:rsid w:val="00F83B03"/>
    <w:rsid w:val="00F83C94"/>
    <w:rsid w:val="00F83F11"/>
    <w:rsid w:val="00F8408C"/>
    <w:rsid w:val="00F84DE7"/>
    <w:rsid w:val="00F8595C"/>
    <w:rsid w:val="00F85CB6"/>
    <w:rsid w:val="00F868A5"/>
    <w:rsid w:val="00F868AE"/>
    <w:rsid w:val="00F86BCD"/>
    <w:rsid w:val="00F86FB3"/>
    <w:rsid w:val="00F873A8"/>
    <w:rsid w:val="00F874C6"/>
    <w:rsid w:val="00F875C2"/>
    <w:rsid w:val="00F87C78"/>
    <w:rsid w:val="00F87DFA"/>
    <w:rsid w:val="00F9151A"/>
    <w:rsid w:val="00F9172B"/>
    <w:rsid w:val="00F91B39"/>
    <w:rsid w:val="00F93418"/>
    <w:rsid w:val="00F93BD2"/>
    <w:rsid w:val="00F94EF2"/>
    <w:rsid w:val="00F94EF5"/>
    <w:rsid w:val="00F94FC5"/>
    <w:rsid w:val="00F95A07"/>
    <w:rsid w:val="00F961D6"/>
    <w:rsid w:val="00F97439"/>
    <w:rsid w:val="00F978D4"/>
    <w:rsid w:val="00F97D97"/>
    <w:rsid w:val="00FA0374"/>
    <w:rsid w:val="00FA0CFC"/>
    <w:rsid w:val="00FA22B5"/>
    <w:rsid w:val="00FA2FF1"/>
    <w:rsid w:val="00FA40E3"/>
    <w:rsid w:val="00FA4123"/>
    <w:rsid w:val="00FA4177"/>
    <w:rsid w:val="00FA457F"/>
    <w:rsid w:val="00FA46F3"/>
    <w:rsid w:val="00FA4F52"/>
    <w:rsid w:val="00FA5DD8"/>
    <w:rsid w:val="00FA6500"/>
    <w:rsid w:val="00FA655A"/>
    <w:rsid w:val="00FA7BF5"/>
    <w:rsid w:val="00FA7FEC"/>
    <w:rsid w:val="00FB0C05"/>
    <w:rsid w:val="00FB17B6"/>
    <w:rsid w:val="00FB21A3"/>
    <w:rsid w:val="00FB2433"/>
    <w:rsid w:val="00FB3062"/>
    <w:rsid w:val="00FB327D"/>
    <w:rsid w:val="00FB3B6B"/>
    <w:rsid w:val="00FB41EE"/>
    <w:rsid w:val="00FB476D"/>
    <w:rsid w:val="00FB4D6F"/>
    <w:rsid w:val="00FB52F5"/>
    <w:rsid w:val="00FB647A"/>
    <w:rsid w:val="00FB65C7"/>
    <w:rsid w:val="00FB6C01"/>
    <w:rsid w:val="00FB6E7A"/>
    <w:rsid w:val="00FB732E"/>
    <w:rsid w:val="00FB7CA0"/>
    <w:rsid w:val="00FC041B"/>
    <w:rsid w:val="00FC0469"/>
    <w:rsid w:val="00FC13C8"/>
    <w:rsid w:val="00FC1520"/>
    <w:rsid w:val="00FC161B"/>
    <w:rsid w:val="00FC2FEC"/>
    <w:rsid w:val="00FC311B"/>
    <w:rsid w:val="00FC3743"/>
    <w:rsid w:val="00FC396A"/>
    <w:rsid w:val="00FC3F23"/>
    <w:rsid w:val="00FC4797"/>
    <w:rsid w:val="00FC496A"/>
    <w:rsid w:val="00FC4AEC"/>
    <w:rsid w:val="00FC4E1A"/>
    <w:rsid w:val="00FC4ECA"/>
    <w:rsid w:val="00FC514B"/>
    <w:rsid w:val="00FC57D6"/>
    <w:rsid w:val="00FC5E81"/>
    <w:rsid w:val="00FC6096"/>
    <w:rsid w:val="00FC6257"/>
    <w:rsid w:val="00FC6654"/>
    <w:rsid w:val="00FC6763"/>
    <w:rsid w:val="00FC7B72"/>
    <w:rsid w:val="00FD01F8"/>
    <w:rsid w:val="00FD03C0"/>
    <w:rsid w:val="00FD0A90"/>
    <w:rsid w:val="00FD13C2"/>
    <w:rsid w:val="00FD1490"/>
    <w:rsid w:val="00FD1A72"/>
    <w:rsid w:val="00FD1C68"/>
    <w:rsid w:val="00FD26B9"/>
    <w:rsid w:val="00FD2E86"/>
    <w:rsid w:val="00FD3050"/>
    <w:rsid w:val="00FD3BE9"/>
    <w:rsid w:val="00FD3C9A"/>
    <w:rsid w:val="00FD40B7"/>
    <w:rsid w:val="00FD4622"/>
    <w:rsid w:val="00FD4AF6"/>
    <w:rsid w:val="00FD4F23"/>
    <w:rsid w:val="00FD5073"/>
    <w:rsid w:val="00FD56D3"/>
    <w:rsid w:val="00FD6948"/>
    <w:rsid w:val="00FD69D4"/>
    <w:rsid w:val="00FD72AC"/>
    <w:rsid w:val="00FD76A6"/>
    <w:rsid w:val="00FD78B4"/>
    <w:rsid w:val="00FD7F91"/>
    <w:rsid w:val="00FE03F7"/>
    <w:rsid w:val="00FE055C"/>
    <w:rsid w:val="00FE09CF"/>
    <w:rsid w:val="00FE0FAA"/>
    <w:rsid w:val="00FE1A70"/>
    <w:rsid w:val="00FE23AB"/>
    <w:rsid w:val="00FE2B92"/>
    <w:rsid w:val="00FE2DF8"/>
    <w:rsid w:val="00FE2FEA"/>
    <w:rsid w:val="00FE3259"/>
    <w:rsid w:val="00FE38C6"/>
    <w:rsid w:val="00FE466C"/>
    <w:rsid w:val="00FE46B3"/>
    <w:rsid w:val="00FE4AB5"/>
    <w:rsid w:val="00FE548A"/>
    <w:rsid w:val="00FE6668"/>
    <w:rsid w:val="00FE66EA"/>
    <w:rsid w:val="00FE6859"/>
    <w:rsid w:val="00FE69D5"/>
    <w:rsid w:val="00FE6E18"/>
    <w:rsid w:val="00FE6E5C"/>
    <w:rsid w:val="00FE6EC4"/>
    <w:rsid w:val="00FE7203"/>
    <w:rsid w:val="00FE7F77"/>
    <w:rsid w:val="00FF0172"/>
    <w:rsid w:val="00FF03F8"/>
    <w:rsid w:val="00FF0757"/>
    <w:rsid w:val="00FF0E10"/>
    <w:rsid w:val="00FF1204"/>
    <w:rsid w:val="00FF1242"/>
    <w:rsid w:val="00FF1396"/>
    <w:rsid w:val="00FF15B0"/>
    <w:rsid w:val="00FF15BD"/>
    <w:rsid w:val="00FF1EEF"/>
    <w:rsid w:val="00FF2225"/>
    <w:rsid w:val="00FF298D"/>
    <w:rsid w:val="00FF299A"/>
    <w:rsid w:val="00FF37FE"/>
    <w:rsid w:val="00FF3B02"/>
    <w:rsid w:val="00FF3EC5"/>
    <w:rsid w:val="00FF474F"/>
    <w:rsid w:val="00FF571E"/>
    <w:rsid w:val="00FF57ED"/>
    <w:rsid w:val="00FF5CA4"/>
    <w:rsid w:val="00FF5D15"/>
    <w:rsid w:val="00FF6C78"/>
    <w:rsid w:val="00FF704D"/>
    <w:rsid w:val="00FF7610"/>
    <w:rsid w:val="00FF76E6"/>
    <w:rsid w:val="00FF7723"/>
    <w:rsid w:val="00FF777F"/>
    <w:rsid w:val="00FF79B5"/>
    <w:rsid w:val="00FF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C898"/>
  <w15:docId w15:val="{E190CBAE-CE92-44C1-802A-20AF5B51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iPriority="99" w:unhideWhenUsed="1" w:qFormat="1"/>
    <w:lsdException w:name="envelope return" w:locked="1" w:semiHidden="1" w:uiPriority="99" w:unhideWhenUsed="1"/>
    <w:lsdException w:name="footnote reference" w:locked="1" w:semiHidden="1" w:uiPriority="99"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nhideWhenUsed="1" w:qFormat="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locked="1" w:semiHidden="1" w:uiPriority="99" w:unhideWhenUsed="1" w:qFormat="1"/>
    <w:lsdException w:name="List Number" w:locked="1"/>
    <w:lsdException w:name="List 2" w:locked="1" w:semiHidden="1" w:uiPriority="99" w:unhideWhenUsed="1"/>
    <w:lsdException w:name="List 3" w:locked="1" w:semiHidden="1" w:uiPriority="99" w:unhideWhenUsed="1"/>
    <w:lsdException w:name="List 4" w:locked="1" w:uiPriority="99"/>
    <w:lsdException w:name="List 5" w:locked="1" w:uiPriority="99"/>
    <w:lsdException w:name="List Bullet 2" w:locked="1" w:semiHidden="1" w:unhideWhenUsed="1" w:qFormat="1"/>
    <w:lsdException w:name="List Bullet 3" w:locked="1" w:semiHidden="1" w:uiPriority="99" w:unhideWhenUsed="1" w:qFormat="1"/>
    <w:lsdException w:name="List Bullet 4" w:locked="1" w:semiHidden="1" w:uiPriority="1" w:unhideWhenUsed="1" w:qFormat="1"/>
    <w:lsdException w:name="List Bullet 5" w:locked="1" w:semiHidden="1" w:uiPriority="1" w:unhideWhenUsed="1" w:qFormat="1"/>
    <w:lsdException w:name="List Number 2" w:locked="1" w:semiHidden="1" w:uiPriority="19" w:unhideWhenUsed="1"/>
    <w:lsdException w:name="List Number 3" w:locked="1" w:semiHidden="1" w:uiPriority="19" w:unhideWhenUsed="1"/>
    <w:lsdException w:name="List Number 4" w:locked="1" w:semiHidden="1" w:uiPriority="19" w:unhideWhenUsed="1"/>
    <w:lsdException w:name="List Number 5" w:locked="1" w:semiHidden="1" w:uiPriority="19" w:unhideWhenUsed="1"/>
    <w:lsdException w:name="Title" w:locked="1" w:uiPriority="10" w:qFormat="1"/>
    <w:lsdException w:name="Closing" w:locked="1" w:semiHidden="1" w:uiPriority="99" w:unhideWhenUsed="1" w:qFormat="1"/>
    <w:lsdException w:name="Signature" w:locked="1" w:semiHidden="1" w:uiPriority="99" w:unhideWhenUsed="1"/>
    <w:lsdException w:name="Default Paragraph Font" w:locked="1" w:semiHidden="1" w:uiPriority="1" w:unhideWhenUsed="1"/>
    <w:lsdException w:name="Body Text" w:locked="1" w:semiHidden="1" w:uiPriority="99" w:unhideWhenUsed="1" w:qFormat="1"/>
    <w:lsdException w:name="Body Text Indent" w:locked="1" w:semiHidden="1" w:unhideWhenUsed="1" w:qFormat="1"/>
    <w:lsdException w:name="List Continue" w:locked="1" w:semiHidden="1" w:uiPriority="99" w:unhideWhenUsed="1" w:qFormat="1"/>
    <w:lsdException w:name="List Continue 2" w:locked="1" w:semiHidden="1" w:uiPriority="99" w:unhideWhenUsed="1" w:qFormat="1"/>
    <w:lsdException w:name="List Continue 3" w:locked="1" w:semiHidden="1" w:uiPriority="99" w:unhideWhenUsed="1" w:qFormat="1"/>
    <w:lsdException w:name="List Continue 4" w:locked="1" w:semiHidden="1" w:uiPriority="2" w:unhideWhenUsed="1" w:qFormat="1"/>
    <w:lsdException w:name="List Continue 5" w:locked="1" w:semiHidden="1" w:uiPriority="2" w:unhideWhenUsed="1" w:qFormat="1"/>
    <w:lsdException w:name="Message Header" w:locked="1" w:semiHidden="1" w:uiPriority="99" w:unhideWhenUsed="1"/>
    <w:lsdException w:name="Subtitle" w:locked="1" w:uiPriority="11" w:qFormat="1"/>
    <w:lsdException w:name="Salutation" w:locked="1" w:uiPriority="9" w:qFormat="1"/>
    <w:lsdException w:name="Date" w:locked="1" w:uiPriority="99"/>
    <w:lsdException w:name="Body Text First Indent" w:locked="1" w:uiPriority="99" w:qFormat="1"/>
    <w:lsdException w:name="Body Text First Indent 2" w:locked="1" w:semiHidden="1" w:uiPriority="99" w:unhideWhenUsed="1"/>
    <w:lsdException w:name="Note Heading" w:locked="1" w:semiHidden="1" w:uiPriority="99" w:unhideWhenUsed="1"/>
    <w:lsdException w:name="Body Text 2" w:locked="1" w:semiHidden="1" w:unhideWhenUsed="1" w:qFormat="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qFormat="1"/>
    <w:lsdException w:name="Hyperlink" w:locked="1" w:semiHidden="1" w:uiPriority="99" w:unhideWhenUsed="1"/>
    <w:lsdException w:name="FollowedHyperlink" w:locked="1" w:semiHidden="1" w:uiPriority="99" w:unhideWhenUsed="1" w:qFormat="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iPriority="99"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iPriority="99"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921"/>
    <w:rPr>
      <w:sz w:val="24"/>
      <w:szCs w:val="24"/>
      <w:lang w:val="es-ES_tradnl" w:eastAsia="es-ES"/>
    </w:rPr>
  </w:style>
  <w:style w:type="paragraph" w:styleId="Ttulo1">
    <w:name w:val="heading 1"/>
    <w:aliases w:val="1,Título 11,h1"/>
    <w:basedOn w:val="Normal"/>
    <w:next w:val="Normal"/>
    <w:link w:val="Ttulo1Car"/>
    <w:qFormat/>
    <w:rsid w:val="00E25644"/>
    <w:pPr>
      <w:keepNext/>
      <w:spacing w:before="240" w:after="60"/>
      <w:outlineLvl w:val="0"/>
    </w:pPr>
    <w:rPr>
      <w:rFonts w:ascii="Arial" w:hAnsi="Arial"/>
      <w:b/>
      <w:kern w:val="32"/>
      <w:sz w:val="32"/>
      <w:szCs w:val="20"/>
    </w:rPr>
  </w:style>
  <w:style w:type="paragraph" w:styleId="Ttulo2">
    <w:name w:val="heading 2"/>
    <w:basedOn w:val="Normal"/>
    <w:next w:val="fdBodyText"/>
    <w:link w:val="Ttulo2Car"/>
    <w:qFormat/>
    <w:locked/>
    <w:rsid w:val="006E2FA5"/>
    <w:pPr>
      <w:outlineLvl w:val="1"/>
    </w:pPr>
    <w:rPr>
      <w:rFonts w:eastAsia="SimSun"/>
      <w:sz w:val="20"/>
      <w:szCs w:val="20"/>
      <w:lang w:val="en-US" w:eastAsia="en-US"/>
    </w:rPr>
  </w:style>
  <w:style w:type="paragraph" w:styleId="Ttulo3">
    <w:name w:val="heading 3"/>
    <w:basedOn w:val="Normal"/>
    <w:next w:val="fdBodyText"/>
    <w:link w:val="Ttulo3Car"/>
    <w:qFormat/>
    <w:locked/>
    <w:rsid w:val="006E2FA5"/>
    <w:pPr>
      <w:outlineLvl w:val="2"/>
    </w:pPr>
    <w:rPr>
      <w:rFonts w:eastAsia="SimSun"/>
      <w:sz w:val="20"/>
      <w:szCs w:val="20"/>
      <w:lang w:val="en-US" w:eastAsia="en-US"/>
    </w:rPr>
  </w:style>
  <w:style w:type="paragraph" w:styleId="Ttulo4">
    <w:name w:val="heading 4"/>
    <w:basedOn w:val="Normal"/>
    <w:next w:val="Normal"/>
    <w:link w:val="Ttulo4Car"/>
    <w:qFormat/>
    <w:rsid w:val="00E25644"/>
    <w:pPr>
      <w:keepNext/>
      <w:spacing w:before="240" w:after="60"/>
      <w:outlineLvl w:val="3"/>
    </w:pPr>
    <w:rPr>
      <w:rFonts w:ascii="Calibri" w:hAnsi="Calibri"/>
      <w:b/>
      <w:sz w:val="28"/>
      <w:szCs w:val="20"/>
    </w:rPr>
  </w:style>
  <w:style w:type="paragraph" w:styleId="Ttulo5">
    <w:name w:val="heading 5"/>
    <w:basedOn w:val="Normal"/>
    <w:next w:val="fdBodyText"/>
    <w:link w:val="Ttulo5Car"/>
    <w:qFormat/>
    <w:locked/>
    <w:rsid w:val="006E2FA5"/>
    <w:pPr>
      <w:outlineLvl w:val="4"/>
    </w:pPr>
    <w:rPr>
      <w:rFonts w:eastAsia="SimSun"/>
      <w:sz w:val="20"/>
      <w:szCs w:val="20"/>
      <w:lang w:val="en-US" w:eastAsia="en-US"/>
    </w:rPr>
  </w:style>
  <w:style w:type="paragraph" w:styleId="Ttulo6">
    <w:name w:val="heading 6"/>
    <w:basedOn w:val="Normal"/>
    <w:next w:val="Normal"/>
    <w:link w:val="Ttulo6Car"/>
    <w:qFormat/>
    <w:rsid w:val="00EC77E2"/>
    <w:pPr>
      <w:spacing w:before="240" w:after="60"/>
      <w:outlineLvl w:val="5"/>
    </w:pPr>
    <w:rPr>
      <w:rFonts w:ascii="Calibri" w:hAnsi="Calibri"/>
      <w:b/>
      <w:sz w:val="20"/>
      <w:szCs w:val="20"/>
    </w:rPr>
  </w:style>
  <w:style w:type="paragraph" w:styleId="Ttulo7">
    <w:name w:val="heading 7"/>
    <w:basedOn w:val="Normal"/>
    <w:next w:val="Normal"/>
    <w:link w:val="Ttulo7Car"/>
    <w:qFormat/>
    <w:rsid w:val="00E25644"/>
    <w:pPr>
      <w:keepNext/>
      <w:autoSpaceDE w:val="0"/>
      <w:autoSpaceDN w:val="0"/>
      <w:adjustRightInd w:val="0"/>
      <w:outlineLvl w:val="6"/>
    </w:pPr>
    <w:rPr>
      <w:rFonts w:ascii="Calibri" w:hAnsi="Calibri"/>
      <w:szCs w:val="20"/>
    </w:rPr>
  </w:style>
  <w:style w:type="paragraph" w:styleId="Ttulo8">
    <w:name w:val="heading 8"/>
    <w:basedOn w:val="Normal"/>
    <w:next w:val="fdBodyText"/>
    <w:link w:val="Ttulo8Car"/>
    <w:qFormat/>
    <w:locked/>
    <w:rsid w:val="006E2FA5"/>
    <w:pPr>
      <w:outlineLvl w:val="7"/>
    </w:pPr>
    <w:rPr>
      <w:rFonts w:eastAsia="SimSun"/>
      <w:sz w:val="20"/>
      <w:szCs w:val="20"/>
      <w:lang w:val="en-US" w:eastAsia="en-US"/>
    </w:rPr>
  </w:style>
  <w:style w:type="paragraph" w:styleId="Ttulo9">
    <w:name w:val="heading 9"/>
    <w:aliases w:val="9"/>
    <w:basedOn w:val="Normal"/>
    <w:next w:val="fdBodyText"/>
    <w:link w:val="Ttulo9Car"/>
    <w:qFormat/>
    <w:locked/>
    <w:rsid w:val="006E2FA5"/>
    <w:pPr>
      <w:outlineLvl w:val="8"/>
    </w:pPr>
    <w:rPr>
      <w:rFonts w:eastAsia="SimSun"/>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Título 11 Car,h1 Car"/>
    <w:link w:val="Ttulo1"/>
    <w:locked/>
    <w:rsid w:val="00A93820"/>
    <w:rPr>
      <w:rFonts w:ascii="Arial" w:hAnsi="Arial" w:cs="Times New Roman"/>
      <w:b/>
      <w:kern w:val="32"/>
      <w:sz w:val="32"/>
      <w:lang w:val="es-ES" w:eastAsia="es-ES"/>
    </w:rPr>
  </w:style>
  <w:style w:type="paragraph" w:customStyle="1" w:styleId="fdBodyText">
    <w:name w:val="fd Body Text"/>
    <w:basedOn w:val="Normal"/>
    <w:uiPriority w:val="99"/>
    <w:rsid w:val="00F356D6"/>
    <w:pPr>
      <w:spacing w:after="200"/>
      <w:ind w:firstLine="360"/>
    </w:pPr>
    <w:rPr>
      <w:sz w:val="20"/>
      <w:szCs w:val="20"/>
      <w:lang w:val="en-US" w:eastAsia="en-US"/>
    </w:rPr>
  </w:style>
  <w:style w:type="character" w:customStyle="1" w:styleId="Ttulo2Car">
    <w:name w:val="Título 2 Car"/>
    <w:link w:val="Ttulo2"/>
    <w:locked/>
    <w:rsid w:val="006E2FA5"/>
    <w:rPr>
      <w:rFonts w:eastAsia="SimSun" w:cs="Times New Roman"/>
      <w:sz w:val="20"/>
      <w:szCs w:val="20"/>
      <w:lang w:val="en-US" w:eastAsia="en-US"/>
    </w:rPr>
  </w:style>
  <w:style w:type="character" w:customStyle="1" w:styleId="Ttulo3Car">
    <w:name w:val="Título 3 Car"/>
    <w:link w:val="Ttulo3"/>
    <w:locked/>
    <w:rsid w:val="006E2FA5"/>
    <w:rPr>
      <w:rFonts w:eastAsia="SimSun" w:cs="Times New Roman"/>
      <w:sz w:val="20"/>
      <w:szCs w:val="20"/>
      <w:lang w:val="en-US" w:eastAsia="en-US"/>
    </w:rPr>
  </w:style>
  <w:style w:type="character" w:customStyle="1" w:styleId="Ttulo4Car">
    <w:name w:val="Título 4 Car"/>
    <w:link w:val="Ttulo4"/>
    <w:locked/>
    <w:rsid w:val="00036AF7"/>
    <w:rPr>
      <w:rFonts w:ascii="Calibri" w:hAnsi="Calibri" w:cs="Times New Roman"/>
      <w:b/>
      <w:sz w:val="28"/>
      <w:lang w:val="es-ES" w:eastAsia="es-ES"/>
    </w:rPr>
  </w:style>
  <w:style w:type="character" w:customStyle="1" w:styleId="Ttulo5Car">
    <w:name w:val="Título 5 Car"/>
    <w:link w:val="Ttulo5"/>
    <w:locked/>
    <w:rsid w:val="006E2FA5"/>
    <w:rPr>
      <w:rFonts w:eastAsia="SimSun" w:cs="Times New Roman"/>
      <w:sz w:val="20"/>
      <w:szCs w:val="20"/>
      <w:lang w:val="en-US" w:eastAsia="en-US"/>
    </w:rPr>
  </w:style>
  <w:style w:type="character" w:customStyle="1" w:styleId="Ttulo6Car">
    <w:name w:val="Título 6 Car"/>
    <w:link w:val="Ttulo6"/>
    <w:locked/>
    <w:rsid w:val="00036AF7"/>
    <w:rPr>
      <w:rFonts w:ascii="Calibri" w:hAnsi="Calibri" w:cs="Times New Roman"/>
      <w:b/>
      <w:lang w:val="es-ES" w:eastAsia="es-ES"/>
    </w:rPr>
  </w:style>
  <w:style w:type="character" w:customStyle="1" w:styleId="Ttulo7Car">
    <w:name w:val="Título 7 Car"/>
    <w:link w:val="Ttulo7"/>
    <w:locked/>
    <w:rsid w:val="00036AF7"/>
    <w:rPr>
      <w:rFonts w:ascii="Calibri" w:hAnsi="Calibri" w:cs="Times New Roman"/>
      <w:sz w:val="24"/>
      <w:lang w:val="es-ES" w:eastAsia="es-ES"/>
    </w:rPr>
  </w:style>
  <w:style w:type="character" w:customStyle="1" w:styleId="Ttulo8Car">
    <w:name w:val="Título 8 Car"/>
    <w:link w:val="Ttulo8"/>
    <w:locked/>
    <w:rsid w:val="006E2FA5"/>
    <w:rPr>
      <w:rFonts w:eastAsia="SimSun" w:cs="Times New Roman"/>
      <w:sz w:val="20"/>
      <w:szCs w:val="20"/>
      <w:lang w:val="en-US" w:eastAsia="en-US"/>
    </w:rPr>
  </w:style>
  <w:style w:type="character" w:customStyle="1" w:styleId="Ttulo9Car">
    <w:name w:val="Título 9 Car"/>
    <w:aliases w:val="9 Car"/>
    <w:link w:val="Ttulo9"/>
    <w:locked/>
    <w:rsid w:val="006E2FA5"/>
    <w:rPr>
      <w:rFonts w:eastAsia="SimSun" w:cs="Times New Roman"/>
      <w:sz w:val="20"/>
      <w:szCs w:val="20"/>
      <w:lang w:val="en-US" w:eastAsia="en-US"/>
    </w:rPr>
  </w:style>
  <w:style w:type="paragraph" w:styleId="Sangra2detindependiente">
    <w:name w:val="Body Text Indent 2"/>
    <w:aliases w:val="bti2"/>
    <w:basedOn w:val="Normal"/>
    <w:link w:val="Sangra2detindependienteCar"/>
    <w:qFormat/>
    <w:rsid w:val="00E25644"/>
    <w:pPr>
      <w:widowControl w:val="0"/>
      <w:tabs>
        <w:tab w:val="left" w:pos="664"/>
      </w:tabs>
      <w:spacing w:before="120" w:after="60"/>
      <w:ind w:left="1985"/>
      <w:jc w:val="both"/>
    </w:pPr>
    <w:rPr>
      <w:szCs w:val="20"/>
    </w:rPr>
  </w:style>
  <w:style w:type="character" w:customStyle="1" w:styleId="Sangra2detindependienteCar">
    <w:name w:val="Sangría 2 de t. independiente Car"/>
    <w:aliases w:val="bti2 Car"/>
    <w:link w:val="Sangra2detindependiente"/>
    <w:locked/>
    <w:rsid w:val="00036AF7"/>
    <w:rPr>
      <w:rFonts w:cs="Times New Roman"/>
      <w:sz w:val="24"/>
      <w:lang w:val="es-ES" w:eastAsia="es-ES"/>
    </w:rPr>
  </w:style>
  <w:style w:type="paragraph" w:customStyle="1" w:styleId="Texto">
    <w:name w:val="Texto"/>
    <w:basedOn w:val="Normal"/>
    <w:uiPriority w:val="99"/>
    <w:qFormat/>
    <w:rsid w:val="00E25644"/>
    <w:pPr>
      <w:jc w:val="both"/>
    </w:pPr>
    <w:rPr>
      <w:rFonts w:ascii="Book Antiqua" w:hAnsi="Book Antiqua"/>
      <w:sz w:val="20"/>
      <w:szCs w:val="20"/>
      <w:lang w:eastAsia="en-US"/>
    </w:rPr>
  </w:style>
  <w:style w:type="paragraph" w:styleId="Piedepgina">
    <w:name w:val="footer"/>
    <w:basedOn w:val="Normal"/>
    <w:link w:val="PiedepginaCar"/>
    <w:uiPriority w:val="99"/>
    <w:rsid w:val="00E25644"/>
    <w:pPr>
      <w:tabs>
        <w:tab w:val="center" w:pos="4252"/>
        <w:tab w:val="right" w:pos="8504"/>
      </w:tabs>
    </w:pPr>
    <w:rPr>
      <w:szCs w:val="20"/>
    </w:rPr>
  </w:style>
  <w:style w:type="character" w:customStyle="1" w:styleId="PiedepginaCar">
    <w:name w:val="Pie de página Car"/>
    <w:link w:val="Piedepgina"/>
    <w:uiPriority w:val="99"/>
    <w:locked/>
    <w:rsid w:val="00036AF7"/>
    <w:rPr>
      <w:rFonts w:cs="Times New Roman"/>
      <w:sz w:val="24"/>
      <w:lang w:val="es-ES" w:eastAsia="es-ES"/>
    </w:rPr>
  </w:style>
  <w:style w:type="character" w:styleId="Nmerodepgina">
    <w:name w:val="page number"/>
    <w:rsid w:val="00E25644"/>
    <w:rPr>
      <w:rFonts w:cs="Times New Roman"/>
    </w:rPr>
  </w:style>
  <w:style w:type="paragraph" w:styleId="Encabezado">
    <w:name w:val="header"/>
    <w:basedOn w:val="Normal"/>
    <w:link w:val="EncabezadoCar"/>
    <w:uiPriority w:val="99"/>
    <w:rsid w:val="00E25644"/>
    <w:pPr>
      <w:tabs>
        <w:tab w:val="center" w:pos="4252"/>
        <w:tab w:val="right" w:pos="8504"/>
      </w:tabs>
    </w:pPr>
    <w:rPr>
      <w:szCs w:val="20"/>
    </w:rPr>
  </w:style>
  <w:style w:type="character" w:customStyle="1" w:styleId="EncabezadoCar">
    <w:name w:val="Encabezado Car"/>
    <w:link w:val="Encabezado"/>
    <w:uiPriority w:val="99"/>
    <w:locked/>
    <w:rsid w:val="00036AF7"/>
    <w:rPr>
      <w:rFonts w:cs="Times New Roman"/>
      <w:sz w:val="24"/>
      <w:lang w:val="es-ES" w:eastAsia="es-ES"/>
    </w:rPr>
  </w:style>
  <w:style w:type="character" w:styleId="Hipervnculo">
    <w:name w:val="Hyperlink"/>
    <w:uiPriority w:val="99"/>
    <w:rsid w:val="00E25644"/>
    <w:rPr>
      <w:rFonts w:cs="Times New Roman"/>
      <w:color w:val="0000FF"/>
      <w:u w:val="single"/>
    </w:rPr>
  </w:style>
  <w:style w:type="paragraph" w:styleId="Textonotapie">
    <w:name w:val="footnote text"/>
    <w:aliases w:val="fn,Car,Footnote Text Char2 Char1,Footnote Text Char Char Char2,Footnote Text Char2 Char1 Char Char,Footnote Text Char Char Char2 Char Char,Footnote Text Char2 Char1 Char Char Char Char,Footnote Text Char Char,fn Char Char,fn Char Ch"/>
    <w:basedOn w:val="Normal"/>
    <w:link w:val="TextonotapieCar"/>
    <w:qFormat/>
    <w:rsid w:val="00E25644"/>
    <w:rPr>
      <w:sz w:val="20"/>
      <w:szCs w:val="20"/>
    </w:rPr>
  </w:style>
  <w:style w:type="character" w:customStyle="1" w:styleId="TextonotapieCar">
    <w:name w:val="Texto nota pie Car"/>
    <w:aliases w:val="fn Car,Car Car20,Footnote Text Char2 Char1 Car1,Footnote Text Char Char Char2 Car1,Footnote Text Char2 Char1 Char Char Car1,Footnote Text Char Char Char2 Char Char Car1,Footnote Text Char2 Char1 Char Char Char Char Car1,fn Char Ch Car"/>
    <w:link w:val="Textonotapie"/>
    <w:locked/>
    <w:rsid w:val="00A572BC"/>
    <w:rPr>
      <w:rFonts w:cs="Times New Roman"/>
      <w:lang w:val="es-ES" w:eastAsia="es-ES"/>
    </w:rPr>
  </w:style>
  <w:style w:type="character" w:styleId="Refdenotaalpie">
    <w:name w:val="footnote reference"/>
    <w:aliases w:val="Ref,de nota al pie,Ref1"/>
    <w:uiPriority w:val="99"/>
    <w:rsid w:val="00E25644"/>
    <w:rPr>
      <w:rFonts w:cs="Times New Roman"/>
      <w:vertAlign w:val="superscript"/>
    </w:rPr>
  </w:style>
  <w:style w:type="paragraph" w:styleId="Sangradetextonormal">
    <w:name w:val="Body Text Indent"/>
    <w:basedOn w:val="Normal"/>
    <w:link w:val="SangradetextonormalCar"/>
    <w:qFormat/>
    <w:rsid w:val="00E25644"/>
    <w:pPr>
      <w:spacing w:after="120"/>
      <w:ind w:left="283"/>
    </w:pPr>
    <w:rPr>
      <w:szCs w:val="20"/>
    </w:rPr>
  </w:style>
  <w:style w:type="character" w:customStyle="1" w:styleId="SangradetextonormalCar">
    <w:name w:val="Sangría de texto normal Car"/>
    <w:link w:val="Sangradetextonormal"/>
    <w:locked/>
    <w:rsid w:val="00036AF7"/>
    <w:rPr>
      <w:rFonts w:cs="Times New Roman"/>
      <w:sz w:val="24"/>
      <w:lang w:val="es-ES" w:eastAsia="es-ES"/>
    </w:rPr>
  </w:style>
  <w:style w:type="paragraph" w:styleId="Textoindependiente">
    <w:name w:val="Body Text"/>
    <w:aliases w:val="b,bt,body text,Second Heading,CG-Single Sp 0,!Body Text,5(J),5s2(J),s9,Second Heading 9,Bodytext,BT,bt wide"/>
    <w:basedOn w:val="Normal"/>
    <w:link w:val="TextoindependienteCar"/>
    <w:uiPriority w:val="99"/>
    <w:qFormat/>
    <w:rsid w:val="00E25644"/>
    <w:pPr>
      <w:spacing w:after="120"/>
    </w:pPr>
    <w:rPr>
      <w:szCs w:val="20"/>
    </w:rPr>
  </w:style>
  <w:style w:type="character" w:customStyle="1" w:styleId="TextoindependienteCar">
    <w:name w:val="Texto independiente Car"/>
    <w:aliases w:val="b Car,bt Car,body text Car2,Second Heading Car,CG-Single Sp 0 Car,!Body Text Car,5(J) Car,5s2(J) Car,s9 Car,Second Heading 9 Car,Bodytext Car,BT Car,bt wide Car1"/>
    <w:link w:val="Textoindependiente"/>
    <w:uiPriority w:val="99"/>
    <w:locked/>
    <w:rsid w:val="00F8595C"/>
    <w:rPr>
      <w:rFonts w:cs="Times New Roman"/>
      <w:sz w:val="24"/>
      <w:lang w:val="es-ES" w:eastAsia="es-ES"/>
    </w:rPr>
  </w:style>
  <w:style w:type="paragraph" w:styleId="Textoindependiente2">
    <w:name w:val="Body Text 2"/>
    <w:aliases w:val="bt2"/>
    <w:basedOn w:val="Normal"/>
    <w:link w:val="Textoindependiente2Car"/>
    <w:qFormat/>
    <w:rsid w:val="00E25644"/>
    <w:pPr>
      <w:spacing w:after="120" w:line="480" w:lineRule="auto"/>
    </w:pPr>
    <w:rPr>
      <w:szCs w:val="20"/>
    </w:rPr>
  </w:style>
  <w:style w:type="character" w:customStyle="1" w:styleId="Textoindependiente2Car">
    <w:name w:val="Texto independiente 2 Car"/>
    <w:aliases w:val="bt2 Car"/>
    <w:link w:val="Textoindependiente2"/>
    <w:locked/>
    <w:rsid w:val="00036AF7"/>
    <w:rPr>
      <w:rFonts w:cs="Times New Roman"/>
      <w:sz w:val="24"/>
      <w:lang w:val="es-ES" w:eastAsia="es-ES"/>
    </w:rPr>
  </w:style>
  <w:style w:type="paragraph" w:styleId="Sangra3detindependiente">
    <w:name w:val="Body Text Indent 3"/>
    <w:aliases w:val="bti3"/>
    <w:basedOn w:val="Normal"/>
    <w:link w:val="Sangra3detindependienteCar"/>
    <w:qFormat/>
    <w:rsid w:val="00E25644"/>
    <w:pPr>
      <w:ind w:firstLine="708"/>
      <w:jc w:val="both"/>
    </w:pPr>
    <w:rPr>
      <w:sz w:val="16"/>
      <w:szCs w:val="20"/>
    </w:rPr>
  </w:style>
  <w:style w:type="character" w:customStyle="1" w:styleId="Sangra3detindependienteCar">
    <w:name w:val="Sangría 3 de t. independiente Car"/>
    <w:aliases w:val="bti3 Car"/>
    <w:link w:val="Sangra3detindependiente"/>
    <w:locked/>
    <w:rsid w:val="00036AF7"/>
    <w:rPr>
      <w:rFonts w:cs="Times New Roman"/>
      <w:sz w:val="16"/>
      <w:lang w:val="es-ES" w:eastAsia="es-ES"/>
    </w:rPr>
  </w:style>
  <w:style w:type="paragraph" w:styleId="Textoindependiente3">
    <w:name w:val="Body Text 3"/>
    <w:basedOn w:val="Normal"/>
    <w:link w:val="Textoindependiente3Car"/>
    <w:qFormat/>
    <w:rsid w:val="00E25644"/>
    <w:pPr>
      <w:jc w:val="both"/>
    </w:pPr>
    <w:rPr>
      <w:sz w:val="16"/>
      <w:szCs w:val="20"/>
    </w:rPr>
  </w:style>
  <w:style w:type="character" w:customStyle="1" w:styleId="Textoindependiente3Car">
    <w:name w:val="Texto independiente 3 Car"/>
    <w:link w:val="Textoindependiente3"/>
    <w:locked/>
    <w:rsid w:val="00036AF7"/>
    <w:rPr>
      <w:rFonts w:cs="Times New Roman"/>
      <w:sz w:val="16"/>
      <w:lang w:val="es-ES" w:eastAsia="es-ES"/>
    </w:rPr>
  </w:style>
  <w:style w:type="paragraph" w:styleId="Textodeglobo">
    <w:name w:val="Balloon Text"/>
    <w:basedOn w:val="Normal"/>
    <w:link w:val="TextodegloboCar"/>
    <w:rsid w:val="00E25644"/>
    <w:rPr>
      <w:sz w:val="2"/>
      <w:szCs w:val="20"/>
    </w:rPr>
  </w:style>
  <w:style w:type="character" w:customStyle="1" w:styleId="TextodegloboCar">
    <w:name w:val="Texto de globo Car"/>
    <w:link w:val="Textodeglobo"/>
    <w:semiHidden/>
    <w:locked/>
    <w:rsid w:val="00036AF7"/>
    <w:rPr>
      <w:rFonts w:cs="Times New Roman"/>
      <w:sz w:val="2"/>
      <w:lang w:val="es-ES" w:eastAsia="es-ES"/>
    </w:rPr>
  </w:style>
  <w:style w:type="character" w:customStyle="1" w:styleId="BalloonTextChar">
    <w:name w:val="Balloon Text Char"/>
    <w:uiPriority w:val="99"/>
    <w:locked/>
    <w:rsid w:val="006E2FA5"/>
    <w:rPr>
      <w:rFonts w:ascii="Tahoma" w:hAnsi="Tahoma" w:cs="Tahoma"/>
      <w:sz w:val="16"/>
      <w:szCs w:val="16"/>
    </w:rPr>
  </w:style>
  <w:style w:type="character" w:styleId="Hipervnculovisitado">
    <w:name w:val="FollowedHyperlink"/>
    <w:uiPriority w:val="99"/>
    <w:qFormat/>
    <w:rsid w:val="00E25644"/>
    <w:rPr>
      <w:rFonts w:cs="Times New Roman"/>
      <w:color w:val="800080"/>
      <w:u w:val="single"/>
    </w:rPr>
  </w:style>
  <w:style w:type="character" w:customStyle="1" w:styleId="DeltaViewInsertion">
    <w:name w:val="DeltaView Insertion"/>
    <w:uiPriority w:val="99"/>
    <w:rsid w:val="00E25644"/>
    <w:rPr>
      <w:b/>
      <w:spacing w:val="0"/>
      <w:u w:val="double"/>
    </w:rPr>
  </w:style>
  <w:style w:type="character" w:customStyle="1" w:styleId="DeltaViewDeletion">
    <w:name w:val="DeltaView Deletion"/>
    <w:rsid w:val="00E25644"/>
    <w:rPr>
      <w:strike/>
      <w:spacing w:val="0"/>
    </w:rPr>
  </w:style>
  <w:style w:type="paragraph" w:customStyle="1" w:styleId="CharChar1CarCarCharCharCarCarCharCharCharCarCar">
    <w:name w:val="Char Char1 Car Car Char Char Car Car Char Char Char Car Car"/>
    <w:basedOn w:val="Normal"/>
    <w:rsid w:val="00E25644"/>
    <w:pPr>
      <w:spacing w:after="160" w:line="240" w:lineRule="exact"/>
    </w:pPr>
    <w:rPr>
      <w:rFonts w:ascii="Verdana" w:eastAsia="PMingLiU" w:hAnsi="Verdana"/>
      <w:sz w:val="20"/>
      <w:szCs w:val="20"/>
      <w:lang w:val="en-US" w:eastAsia="en-US"/>
    </w:rPr>
  </w:style>
  <w:style w:type="paragraph" w:styleId="NormalWeb">
    <w:name w:val="Normal (Web)"/>
    <w:basedOn w:val="Normal"/>
    <w:uiPriority w:val="99"/>
    <w:rsid w:val="00E25644"/>
    <w:pPr>
      <w:spacing w:before="100" w:beforeAutospacing="1" w:after="100" w:afterAutospacing="1"/>
    </w:pPr>
    <w:rPr>
      <w:rFonts w:ascii="Verdana" w:hAnsi="Verdana"/>
      <w:color w:val="000000"/>
      <w:sz w:val="16"/>
      <w:szCs w:val="16"/>
    </w:rPr>
  </w:style>
  <w:style w:type="character" w:customStyle="1" w:styleId="a1">
    <w:name w:val="a1"/>
    <w:rsid w:val="00E25644"/>
  </w:style>
  <w:style w:type="paragraph" w:customStyle="1" w:styleId="CharChar1CarCarCharCharCarCarCharCharCharCarCarCharCharCarCar">
    <w:name w:val="Char Char1 Car Car Char Char Car Car Char Char Char Car Car Char Char Car Car"/>
    <w:basedOn w:val="Normal"/>
    <w:rsid w:val="00E25644"/>
    <w:pPr>
      <w:spacing w:after="160" w:line="240" w:lineRule="exact"/>
    </w:pPr>
    <w:rPr>
      <w:rFonts w:ascii="Verdana" w:eastAsia="PMingLiU" w:hAnsi="Verdana"/>
      <w:sz w:val="20"/>
      <w:szCs w:val="20"/>
      <w:lang w:val="en-US" w:eastAsia="en-US"/>
    </w:rPr>
  </w:style>
  <w:style w:type="paragraph" w:styleId="TDC1">
    <w:name w:val="toc 1"/>
    <w:basedOn w:val="Normal"/>
    <w:next w:val="Normal"/>
    <w:autoRedefine/>
    <w:uiPriority w:val="39"/>
    <w:qFormat/>
    <w:rsid w:val="00E25644"/>
    <w:pPr>
      <w:spacing w:before="360"/>
    </w:pPr>
    <w:rPr>
      <w:rFonts w:ascii="Calibri Light" w:hAnsi="Calibri Light" w:cs="Calibri Light"/>
      <w:b/>
      <w:bCs/>
      <w:caps/>
    </w:rPr>
  </w:style>
  <w:style w:type="paragraph" w:customStyle="1" w:styleId="TitleLItalics">
    <w:name w:val="Title L Italics"/>
    <w:basedOn w:val="Normal"/>
    <w:rsid w:val="00E25644"/>
    <w:pPr>
      <w:keepNext/>
      <w:spacing w:after="240"/>
    </w:pPr>
    <w:rPr>
      <w:i/>
      <w:sz w:val="20"/>
      <w:szCs w:val="20"/>
      <w:lang w:val="en-US"/>
    </w:rPr>
  </w:style>
  <w:style w:type="paragraph" w:customStyle="1" w:styleId="CG-Title-Center">
    <w:name w:val="CG-Title-Center"/>
    <w:aliases w:val="t5,CG-Title-Left-Bold-Ital"/>
    <w:basedOn w:val="Normal"/>
    <w:next w:val="Normal"/>
    <w:uiPriority w:val="99"/>
    <w:rsid w:val="00E25644"/>
    <w:pPr>
      <w:keepNext/>
      <w:spacing w:after="240"/>
      <w:jc w:val="center"/>
    </w:pPr>
    <w:rPr>
      <w:sz w:val="20"/>
      <w:szCs w:val="20"/>
      <w:lang w:val="en-US"/>
    </w:rPr>
  </w:style>
  <w:style w:type="paragraph" w:customStyle="1" w:styleId="Estndar">
    <w:name w:val="Estándar"/>
    <w:basedOn w:val="Normal"/>
    <w:rsid w:val="00DE6A34"/>
    <w:rPr>
      <w:szCs w:val="20"/>
      <w:lang w:val="en-US"/>
    </w:rPr>
  </w:style>
  <w:style w:type="table" w:styleId="Tablaconcuadrcula">
    <w:name w:val="Table Grid"/>
    <w:basedOn w:val="Tablanormal"/>
    <w:rsid w:val="006E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SingleSp">
    <w:name w:val="CG-Single Sp"/>
    <w:aliases w:val="s1,DPWfd tbl stub10,Second Heading 1,0.,0,s1s2,dx-Bd Single Sp,0.5 s2"/>
    <w:basedOn w:val="Normal"/>
    <w:uiPriority w:val="99"/>
    <w:rsid w:val="00927E20"/>
    <w:pPr>
      <w:spacing w:after="240"/>
      <w:jc w:val="both"/>
    </w:pPr>
    <w:rPr>
      <w:sz w:val="20"/>
      <w:szCs w:val="20"/>
      <w:lang w:val="en-US"/>
    </w:rPr>
  </w:style>
  <w:style w:type="paragraph" w:customStyle="1" w:styleId="TableFirst">
    <w:name w:val="Table First"/>
    <w:basedOn w:val="Normal"/>
    <w:rsid w:val="00927E20"/>
    <w:pPr>
      <w:pBdr>
        <w:bottom w:val="single" w:sz="4" w:space="1" w:color="auto"/>
      </w:pBdr>
      <w:spacing w:after="120"/>
      <w:jc w:val="both"/>
    </w:pPr>
    <w:rPr>
      <w:rFonts w:eastAsia="PMingLiU"/>
      <w:b/>
      <w:sz w:val="20"/>
      <w:lang w:val="en-US" w:eastAsia="en-US"/>
    </w:rPr>
  </w:style>
  <w:style w:type="paragraph" w:customStyle="1" w:styleId="Vieta">
    <w:name w:val="Viñeta"/>
    <w:basedOn w:val="Normal"/>
    <w:link w:val="VietaCar"/>
    <w:rsid w:val="00927E20"/>
    <w:pPr>
      <w:numPr>
        <w:numId w:val="2"/>
      </w:numPr>
      <w:spacing w:after="120"/>
      <w:jc w:val="both"/>
    </w:pPr>
    <w:rPr>
      <w:noProof/>
      <w:spacing w:val="4"/>
      <w:sz w:val="20"/>
      <w:szCs w:val="20"/>
      <w:lang w:val="en-US" w:eastAsia="en-US"/>
    </w:rPr>
  </w:style>
  <w:style w:type="character" w:customStyle="1" w:styleId="VietaCar">
    <w:name w:val="Viñeta Car"/>
    <w:link w:val="Vieta"/>
    <w:locked/>
    <w:rsid w:val="00927E20"/>
    <w:rPr>
      <w:noProof/>
      <w:spacing w:val="4"/>
    </w:rPr>
  </w:style>
  <w:style w:type="character" w:customStyle="1" w:styleId="DeltaViewMoveDestination">
    <w:name w:val="DeltaView Move Destination"/>
    <w:rsid w:val="00927E20"/>
    <w:rPr>
      <w:color w:val="00C000"/>
      <w:spacing w:val="0"/>
      <w:u w:val="double"/>
    </w:rPr>
  </w:style>
  <w:style w:type="paragraph" w:customStyle="1" w:styleId="Normal1">
    <w:name w:val="Normal1"/>
    <w:basedOn w:val="Normal"/>
    <w:rsid w:val="00927E20"/>
    <w:pPr>
      <w:spacing w:before="100" w:beforeAutospacing="1" w:after="100" w:afterAutospacing="1"/>
    </w:pPr>
  </w:style>
  <w:style w:type="paragraph" w:customStyle="1" w:styleId="DPWfdtblbody9">
    <w:name w:val="DPWfd tbl body9"/>
    <w:aliases w:val="y9"/>
    <w:basedOn w:val="Normal"/>
    <w:uiPriority w:val="99"/>
    <w:rsid w:val="00927E20"/>
    <w:pPr>
      <w:autoSpaceDE w:val="0"/>
      <w:autoSpaceDN w:val="0"/>
      <w:adjustRightInd w:val="0"/>
      <w:spacing w:line="180" w:lineRule="exact"/>
      <w:jc w:val="both"/>
    </w:pPr>
    <w:rPr>
      <w:sz w:val="18"/>
      <w:szCs w:val="20"/>
      <w:lang w:val="en-US"/>
    </w:rPr>
  </w:style>
  <w:style w:type="character" w:customStyle="1" w:styleId="apple-style-span">
    <w:name w:val="apple-style-span"/>
    <w:rsid w:val="00927E20"/>
  </w:style>
  <w:style w:type="character" w:styleId="Textoennegrita">
    <w:name w:val="Strong"/>
    <w:uiPriority w:val="22"/>
    <w:qFormat/>
    <w:rsid w:val="005D24E9"/>
    <w:rPr>
      <w:rFonts w:cs="Times New Roman"/>
      <w:b/>
    </w:rPr>
  </w:style>
  <w:style w:type="paragraph" w:customStyle="1" w:styleId="Default">
    <w:name w:val="Default"/>
    <w:rsid w:val="004D1E2C"/>
    <w:pPr>
      <w:autoSpaceDE w:val="0"/>
      <w:autoSpaceDN w:val="0"/>
      <w:adjustRightInd w:val="0"/>
    </w:pPr>
    <w:rPr>
      <w:color w:val="000000"/>
      <w:sz w:val="24"/>
      <w:szCs w:val="24"/>
      <w:lang w:val="es-ES" w:eastAsia="es-ES"/>
    </w:rPr>
  </w:style>
  <w:style w:type="paragraph" w:styleId="Textoindependienteprimerasangra2">
    <w:name w:val="Body Text First Indent 2"/>
    <w:basedOn w:val="Sangradetextonormal"/>
    <w:link w:val="Textoindependienteprimerasangra2Car"/>
    <w:uiPriority w:val="99"/>
    <w:rsid w:val="00240CB8"/>
    <w:pPr>
      <w:ind w:firstLine="210"/>
    </w:pPr>
    <w:rPr>
      <w:szCs w:val="24"/>
    </w:rPr>
  </w:style>
  <w:style w:type="character" w:customStyle="1" w:styleId="Textoindependienteprimerasangra2Car">
    <w:name w:val="Texto independiente primera sangría 2 Car"/>
    <w:link w:val="Textoindependienteprimerasangra2"/>
    <w:uiPriority w:val="99"/>
    <w:locked/>
    <w:rsid w:val="00036AF7"/>
    <w:rPr>
      <w:rFonts w:cs="Times New Roman"/>
      <w:sz w:val="24"/>
      <w:szCs w:val="24"/>
      <w:lang w:val="es-ES" w:eastAsia="es-ES"/>
    </w:rPr>
  </w:style>
  <w:style w:type="paragraph" w:customStyle="1" w:styleId="DPWfdPF">
    <w:name w:val="DPW fd PF"/>
    <w:aliases w:val="p,pf,f,DPW PF,f Car,D,DPW fd PF Char1 Char Char,DPW fd PF Char1 Char Char1,DPW fd PF Char1 Char Char Char Char Char Char,DPW fd PF Char1 Char Char Char Char Char Char Char Char"/>
    <w:basedOn w:val="Normal"/>
    <w:rsid w:val="005E6C94"/>
    <w:pPr>
      <w:spacing w:after="200"/>
      <w:ind w:firstLine="360"/>
    </w:pPr>
    <w:rPr>
      <w:rFonts w:eastAsia="MS Mincho"/>
      <w:sz w:val="20"/>
      <w:szCs w:val="20"/>
      <w:lang w:val="en-US"/>
    </w:rPr>
  </w:style>
  <w:style w:type="paragraph" w:customStyle="1" w:styleId="LeftHeadingBoldItalic">
    <w:name w:val="Left Heading Bold Italic"/>
    <w:basedOn w:val="Normal"/>
    <w:rsid w:val="00F07591"/>
    <w:pPr>
      <w:keepNext/>
      <w:keepLines/>
      <w:autoSpaceDE w:val="0"/>
      <w:autoSpaceDN w:val="0"/>
      <w:spacing w:after="240"/>
      <w:jc w:val="both"/>
    </w:pPr>
    <w:rPr>
      <w:rFonts w:ascii="Times New Roman Bold" w:hAnsi="Times New Roman Bold"/>
      <w:b/>
      <w:i/>
      <w:sz w:val="20"/>
      <w:szCs w:val="20"/>
      <w:lang w:val="en-US"/>
    </w:rPr>
  </w:style>
  <w:style w:type="paragraph" w:customStyle="1" w:styleId="leftheadingbolditalic0">
    <w:name w:val="leftheadingbolditalic"/>
    <w:basedOn w:val="Normal"/>
    <w:semiHidden/>
    <w:rsid w:val="00F07591"/>
    <w:pPr>
      <w:spacing w:before="100" w:beforeAutospacing="1" w:after="100" w:afterAutospacing="1"/>
    </w:pPr>
  </w:style>
  <w:style w:type="paragraph" w:customStyle="1" w:styleId="Texprin">
    <w:name w:val="Texprin"/>
    <w:basedOn w:val="Normal"/>
    <w:rsid w:val="00F07591"/>
    <w:pPr>
      <w:jc w:val="both"/>
    </w:pPr>
    <w:rPr>
      <w:rFonts w:ascii="Arial" w:hAnsi="Arial"/>
      <w:sz w:val="19"/>
      <w:szCs w:val="20"/>
      <w:lang w:eastAsia="en-US"/>
    </w:rPr>
  </w:style>
  <w:style w:type="paragraph" w:customStyle="1" w:styleId="Revision1">
    <w:name w:val="Revision1"/>
    <w:hidden/>
    <w:uiPriority w:val="99"/>
    <w:semiHidden/>
    <w:rsid w:val="00A10BD7"/>
    <w:rPr>
      <w:sz w:val="24"/>
      <w:szCs w:val="24"/>
      <w:lang w:val="es-ES" w:eastAsia="es-ES"/>
    </w:rPr>
  </w:style>
  <w:style w:type="character" w:styleId="Refdecomentario">
    <w:name w:val="annotation reference"/>
    <w:rsid w:val="00ED01D5"/>
    <w:rPr>
      <w:rFonts w:cs="Times New Roman"/>
      <w:sz w:val="16"/>
    </w:rPr>
  </w:style>
  <w:style w:type="paragraph" w:styleId="Textocomentario">
    <w:name w:val="annotation text"/>
    <w:basedOn w:val="Normal"/>
    <w:link w:val="TextocomentarioCar"/>
    <w:rsid w:val="00ED01D5"/>
    <w:rPr>
      <w:sz w:val="20"/>
      <w:szCs w:val="20"/>
    </w:rPr>
  </w:style>
  <w:style w:type="character" w:customStyle="1" w:styleId="TextocomentarioCar">
    <w:name w:val="Texto comentario Car"/>
    <w:link w:val="Textocomentario"/>
    <w:locked/>
    <w:rsid w:val="00ED01D5"/>
    <w:rPr>
      <w:rFonts w:cs="Times New Roman"/>
      <w:lang w:val="es-ES" w:eastAsia="es-ES"/>
    </w:rPr>
  </w:style>
  <w:style w:type="paragraph" w:styleId="Asuntodelcomentario">
    <w:name w:val="annotation subject"/>
    <w:basedOn w:val="Textocomentario"/>
    <w:next w:val="Textocomentario"/>
    <w:link w:val="AsuntodelcomentarioCar"/>
    <w:rsid w:val="00ED01D5"/>
    <w:rPr>
      <w:b/>
    </w:rPr>
  </w:style>
  <w:style w:type="character" w:customStyle="1" w:styleId="AsuntodelcomentarioCar">
    <w:name w:val="Asunto del comentario Car"/>
    <w:link w:val="Asuntodelcomentario"/>
    <w:locked/>
    <w:rsid w:val="00ED01D5"/>
    <w:rPr>
      <w:rFonts w:cs="Times New Roman"/>
      <w:b/>
      <w:lang w:val="es-ES" w:eastAsia="es-ES"/>
    </w:rPr>
  </w:style>
  <w:style w:type="paragraph" w:customStyle="1" w:styleId="Sinespaciado1">
    <w:name w:val="Sin espaciado1"/>
    <w:rsid w:val="00524E19"/>
    <w:pPr>
      <w:jc w:val="both"/>
    </w:pPr>
    <w:rPr>
      <w:sz w:val="24"/>
      <w:szCs w:val="22"/>
      <w:lang w:val="es-AR"/>
    </w:rPr>
  </w:style>
  <w:style w:type="paragraph" w:customStyle="1" w:styleId="Revisin1">
    <w:name w:val="Revisión1"/>
    <w:hidden/>
    <w:semiHidden/>
    <w:rsid w:val="00996DE2"/>
    <w:rPr>
      <w:sz w:val="24"/>
      <w:szCs w:val="24"/>
      <w:lang w:val="es-ES" w:eastAsia="es-ES"/>
    </w:rPr>
  </w:style>
  <w:style w:type="character" w:styleId="nfasis">
    <w:name w:val="Emphasis"/>
    <w:uiPriority w:val="20"/>
    <w:qFormat/>
    <w:rsid w:val="00D86F77"/>
    <w:rPr>
      <w:rFonts w:cs="Times New Roman"/>
      <w:i/>
    </w:rPr>
  </w:style>
  <w:style w:type="character" w:customStyle="1" w:styleId="1CharChar">
    <w:name w:val="1 Char Char"/>
    <w:rsid w:val="00F8595C"/>
    <w:rPr>
      <w:rFonts w:ascii="Arial" w:hAnsi="Arial"/>
      <w:b/>
      <w:kern w:val="32"/>
      <w:sz w:val="32"/>
      <w:lang w:val="es-ES" w:eastAsia="es-ES"/>
    </w:rPr>
  </w:style>
  <w:style w:type="paragraph" w:customStyle="1" w:styleId="NoSpacing1">
    <w:name w:val="No Spacing1"/>
    <w:rsid w:val="005B3BC3"/>
    <w:pPr>
      <w:jc w:val="both"/>
    </w:pPr>
    <w:rPr>
      <w:sz w:val="24"/>
      <w:szCs w:val="22"/>
      <w:lang w:val="es-AR"/>
    </w:rPr>
  </w:style>
  <w:style w:type="paragraph" w:customStyle="1" w:styleId="Revision2">
    <w:name w:val="Revision2"/>
    <w:hidden/>
    <w:semiHidden/>
    <w:rsid w:val="005B3BC3"/>
    <w:rPr>
      <w:sz w:val="24"/>
      <w:szCs w:val="24"/>
      <w:lang w:val="es-ES" w:eastAsia="es-ES"/>
    </w:rPr>
  </w:style>
  <w:style w:type="paragraph" w:customStyle="1" w:styleId="DPWfd">
    <w:name w:val="DPW fd"/>
    <w:aliases w:val="n"/>
    <w:basedOn w:val="Normal"/>
    <w:rsid w:val="00C77B3F"/>
    <w:rPr>
      <w:sz w:val="20"/>
      <w:szCs w:val="20"/>
      <w:lang w:val="en-US" w:eastAsia="en-US"/>
    </w:rPr>
  </w:style>
  <w:style w:type="paragraph" w:customStyle="1" w:styleId="fdBullet2">
    <w:name w:val="fd Bullet2"/>
    <w:basedOn w:val="Normal"/>
    <w:rsid w:val="00FC57D6"/>
    <w:pPr>
      <w:tabs>
        <w:tab w:val="num" w:pos="720"/>
        <w:tab w:val="num" w:pos="2160"/>
      </w:tabs>
      <w:spacing w:after="200"/>
      <w:ind w:left="720" w:hanging="360"/>
    </w:pPr>
    <w:rPr>
      <w:sz w:val="20"/>
      <w:szCs w:val="20"/>
      <w:lang w:val="en-US" w:eastAsia="en-US"/>
    </w:rPr>
  </w:style>
  <w:style w:type="paragraph" w:styleId="Subttulo">
    <w:name w:val="Subtitle"/>
    <w:aliases w:val="sub"/>
    <w:basedOn w:val="Normal"/>
    <w:link w:val="SubttuloCar"/>
    <w:uiPriority w:val="11"/>
    <w:qFormat/>
    <w:rsid w:val="006A59EC"/>
    <w:pPr>
      <w:keepNext/>
      <w:adjustRightInd w:val="0"/>
      <w:spacing w:after="120"/>
      <w:jc w:val="both"/>
    </w:pPr>
    <w:rPr>
      <w:b/>
      <w:bCs/>
      <w:sz w:val="20"/>
      <w:szCs w:val="20"/>
      <w:lang w:val="en-US" w:eastAsia="en-US"/>
    </w:rPr>
  </w:style>
  <w:style w:type="character" w:customStyle="1" w:styleId="SubttuloCar">
    <w:name w:val="Subtítulo Car"/>
    <w:aliases w:val="sub Car"/>
    <w:link w:val="Subttulo"/>
    <w:uiPriority w:val="11"/>
    <w:locked/>
    <w:rsid w:val="006A59EC"/>
    <w:rPr>
      <w:rFonts w:eastAsia="Times New Roman" w:cs="Times New Roman"/>
      <w:b/>
      <w:bCs/>
      <w:lang w:val="en-US" w:eastAsia="en-US"/>
    </w:rPr>
  </w:style>
  <w:style w:type="paragraph" w:customStyle="1" w:styleId="bti">
    <w:name w:val="bti"/>
    <w:aliases w:val="BodyTextInd"/>
    <w:basedOn w:val="Sangradetextonormal"/>
    <w:uiPriority w:val="99"/>
    <w:rsid w:val="00FE6859"/>
    <w:pPr>
      <w:autoSpaceDE w:val="0"/>
      <w:autoSpaceDN w:val="0"/>
      <w:adjustRightInd w:val="0"/>
      <w:spacing w:after="240"/>
      <w:ind w:left="0" w:firstLine="360"/>
      <w:jc w:val="both"/>
    </w:pPr>
    <w:rPr>
      <w:color w:val="000000"/>
      <w:sz w:val="20"/>
      <w:szCs w:val="18"/>
      <w:lang w:val="en-US" w:eastAsia="pt-BR"/>
    </w:rPr>
  </w:style>
  <w:style w:type="paragraph" w:customStyle="1" w:styleId="bul">
    <w:name w:val="bul"/>
    <w:basedOn w:val="Normal"/>
    <w:rsid w:val="00FE6859"/>
    <w:pPr>
      <w:numPr>
        <w:numId w:val="1"/>
      </w:numPr>
      <w:tabs>
        <w:tab w:val="clear" w:pos="643"/>
        <w:tab w:val="num" w:pos="1130"/>
      </w:tabs>
      <w:spacing w:after="240"/>
      <w:ind w:left="1130"/>
      <w:jc w:val="both"/>
    </w:pPr>
    <w:rPr>
      <w:sz w:val="20"/>
      <w:lang w:val="en-US" w:eastAsia="pt-BR"/>
    </w:rPr>
  </w:style>
  <w:style w:type="character" w:customStyle="1" w:styleId="DPWfdBullet2Char">
    <w:name w:val="DPWfd Bullet2 Char"/>
    <w:rsid w:val="00760E26"/>
    <w:rPr>
      <w:sz w:val="24"/>
      <w:lang w:val="en-US" w:eastAsia="en-US"/>
    </w:rPr>
  </w:style>
  <w:style w:type="paragraph" w:customStyle="1" w:styleId="ListParagraph1">
    <w:name w:val="List Paragraph1"/>
    <w:basedOn w:val="Normal"/>
    <w:uiPriority w:val="99"/>
    <w:qFormat/>
    <w:rsid w:val="001E3981"/>
    <w:pPr>
      <w:ind w:left="720"/>
      <w:contextualSpacing/>
    </w:pPr>
  </w:style>
  <w:style w:type="paragraph" w:customStyle="1" w:styleId="Prrafodelista1">
    <w:name w:val="Párrafo de lista1"/>
    <w:basedOn w:val="Normal"/>
    <w:qFormat/>
    <w:rsid w:val="00AC6FF3"/>
    <w:pPr>
      <w:ind w:left="720"/>
      <w:contextualSpacing/>
    </w:pPr>
  </w:style>
  <w:style w:type="paragraph" w:styleId="Listaconvietas5">
    <w:name w:val="List Bullet 5"/>
    <w:basedOn w:val="Normal"/>
    <w:uiPriority w:val="1"/>
    <w:qFormat/>
    <w:rsid w:val="00A44657"/>
    <w:pPr>
      <w:tabs>
        <w:tab w:val="num" w:pos="1492"/>
      </w:tabs>
      <w:ind w:left="1492" w:hanging="360"/>
      <w:contextualSpacing/>
    </w:pPr>
  </w:style>
  <w:style w:type="table" w:styleId="Tablaclsica1">
    <w:name w:val="Table Classic 1"/>
    <w:basedOn w:val="Tablanormal"/>
    <w:rsid w:val="00A44657"/>
    <w:pPr>
      <w:spacing w:after="240"/>
    </w:pPr>
    <w:rPr>
      <w:lang w:eastAsia="zh-TW" w:bidi="he-I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fdBlockText">
    <w:name w:val="fd Block Text"/>
    <w:basedOn w:val="Normal"/>
    <w:rsid w:val="006E2FA5"/>
    <w:pPr>
      <w:ind w:left="720" w:right="720"/>
    </w:pPr>
    <w:rPr>
      <w:sz w:val="20"/>
      <w:szCs w:val="20"/>
      <w:lang w:val="en-US" w:eastAsia="en-US"/>
    </w:rPr>
  </w:style>
  <w:style w:type="paragraph" w:styleId="Textodebloque">
    <w:name w:val="Block Text"/>
    <w:aliases w:val="blk,MBP_Bd Single t6 .5 L,MBP_Bd Single Sp .5 L,S2,S...,CG-Single Sp 0.5,s2,!Body Text .5(J),!Body Text .5s2(J),Second Heading 2,CG-Single Sp 0.51,s21,CG-Single,!Body Text .5s2(J)...,CG-Bullet Two"/>
    <w:basedOn w:val="Normal"/>
    <w:qFormat/>
    <w:rsid w:val="006E2FA5"/>
    <w:pPr>
      <w:spacing w:after="240"/>
      <w:ind w:left="1440" w:right="1440"/>
    </w:pPr>
    <w:rPr>
      <w:rFonts w:eastAsia="SimSun"/>
      <w:sz w:val="20"/>
      <w:szCs w:val="20"/>
      <w:lang w:val="en-US" w:eastAsia="en-US"/>
    </w:rPr>
  </w:style>
  <w:style w:type="character" w:customStyle="1" w:styleId="TextodebloqueCar">
    <w:name w:val="Texto de bloque Car"/>
    <w:rsid w:val="006E2FA5"/>
    <w:rPr>
      <w:rFonts w:ascii="Times New Roman" w:eastAsia="SimSun" w:hAnsi="Times New Roman" w:cs="Times New Roman"/>
    </w:rPr>
  </w:style>
  <w:style w:type="paragraph" w:customStyle="1" w:styleId="fdBodyTextNoIndent">
    <w:name w:val="fd Body Text No Indent"/>
    <w:basedOn w:val="Normal"/>
    <w:rsid w:val="006E2FA5"/>
    <w:pPr>
      <w:spacing w:after="200"/>
    </w:pPr>
    <w:rPr>
      <w:rFonts w:ascii="Arial" w:hAnsi="Arial" w:cs="Arial"/>
      <w:sz w:val="20"/>
      <w:szCs w:val="20"/>
      <w:lang w:val="en-US" w:eastAsia="en-US"/>
    </w:rPr>
  </w:style>
  <w:style w:type="character" w:customStyle="1" w:styleId="PiedepginaCar1">
    <w:name w:val="Pie de página Car1"/>
    <w:locked/>
    <w:rsid w:val="006E2FA5"/>
    <w:rPr>
      <w:rFonts w:ascii="Times New Roman" w:hAnsi="Times New Roman" w:cs="Times New Roman"/>
    </w:rPr>
  </w:style>
  <w:style w:type="paragraph" w:styleId="Listaconvietas">
    <w:name w:val="List Bullet"/>
    <w:aliases w:val="lb"/>
    <w:basedOn w:val="Normal"/>
    <w:autoRedefine/>
    <w:uiPriority w:val="99"/>
    <w:qFormat/>
    <w:rsid w:val="006E2FA5"/>
    <w:pPr>
      <w:tabs>
        <w:tab w:val="num" w:pos="720"/>
        <w:tab w:val="num" w:pos="1440"/>
      </w:tabs>
      <w:spacing w:after="240"/>
      <w:ind w:left="720" w:hanging="720"/>
    </w:pPr>
    <w:rPr>
      <w:rFonts w:ascii="Arial" w:hAnsi="Arial" w:cs="Arial"/>
      <w:sz w:val="20"/>
      <w:szCs w:val="20"/>
      <w:lang w:val="en-US" w:eastAsia="en-US"/>
    </w:rPr>
  </w:style>
  <w:style w:type="paragraph" w:styleId="Listaconvietas2">
    <w:name w:val="List Bullet 2"/>
    <w:aliases w:val="lb2"/>
    <w:basedOn w:val="Normal"/>
    <w:autoRedefine/>
    <w:qFormat/>
    <w:rsid w:val="006E2FA5"/>
    <w:pPr>
      <w:tabs>
        <w:tab w:val="num" w:pos="720"/>
        <w:tab w:val="num" w:pos="1440"/>
      </w:tabs>
      <w:spacing w:after="240"/>
      <w:ind w:left="1440" w:hanging="720"/>
    </w:pPr>
    <w:rPr>
      <w:rFonts w:ascii="Arial" w:hAnsi="Arial" w:cs="Arial"/>
      <w:sz w:val="20"/>
      <w:szCs w:val="20"/>
      <w:lang w:val="en-US" w:eastAsia="en-US"/>
    </w:rPr>
  </w:style>
  <w:style w:type="paragraph" w:styleId="Listaconvietas3">
    <w:name w:val="List Bullet 3"/>
    <w:basedOn w:val="Normal"/>
    <w:link w:val="Listaconvietas3Car"/>
    <w:autoRedefine/>
    <w:uiPriority w:val="99"/>
    <w:qFormat/>
    <w:rsid w:val="00C34179"/>
    <w:pPr>
      <w:spacing w:after="240"/>
      <w:ind w:left="360"/>
      <w:jc w:val="both"/>
    </w:pPr>
    <w:rPr>
      <w:sz w:val="20"/>
      <w:szCs w:val="20"/>
      <w:lang w:val="es-AR" w:eastAsia="en-US"/>
    </w:rPr>
  </w:style>
  <w:style w:type="paragraph" w:styleId="Lista">
    <w:name w:val="List"/>
    <w:basedOn w:val="Normal"/>
    <w:uiPriority w:val="99"/>
    <w:rsid w:val="006E2FA5"/>
    <w:pPr>
      <w:tabs>
        <w:tab w:val="num" w:pos="720"/>
      </w:tabs>
      <w:ind w:left="720" w:hanging="720"/>
    </w:pPr>
    <w:rPr>
      <w:rFonts w:ascii="Arial" w:hAnsi="Arial" w:cs="Arial"/>
      <w:sz w:val="20"/>
      <w:szCs w:val="20"/>
      <w:lang w:val="en-US" w:eastAsia="en-US"/>
    </w:rPr>
  </w:style>
  <w:style w:type="paragraph" w:styleId="Lista2">
    <w:name w:val="List 2"/>
    <w:basedOn w:val="Normal"/>
    <w:uiPriority w:val="99"/>
    <w:rsid w:val="006E2FA5"/>
    <w:pPr>
      <w:tabs>
        <w:tab w:val="num" w:pos="1440"/>
        <w:tab w:val="num" w:pos="2160"/>
      </w:tabs>
      <w:ind w:left="1440" w:hanging="720"/>
    </w:pPr>
    <w:rPr>
      <w:rFonts w:ascii="Arial" w:hAnsi="Arial" w:cs="Arial"/>
      <w:sz w:val="20"/>
      <w:szCs w:val="20"/>
      <w:lang w:val="en-US" w:eastAsia="en-US"/>
    </w:rPr>
  </w:style>
  <w:style w:type="paragraph" w:styleId="Continuarlista">
    <w:name w:val="List Continue"/>
    <w:basedOn w:val="Normal"/>
    <w:uiPriority w:val="99"/>
    <w:qFormat/>
    <w:rsid w:val="006E2FA5"/>
    <w:pPr>
      <w:spacing w:after="120"/>
      <w:ind w:left="720" w:hanging="360"/>
    </w:pPr>
    <w:rPr>
      <w:rFonts w:ascii="Arial" w:hAnsi="Arial" w:cs="Arial"/>
      <w:sz w:val="20"/>
      <w:szCs w:val="20"/>
      <w:lang w:val="en-US" w:eastAsia="en-US"/>
    </w:rPr>
  </w:style>
  <w:style w:type="paragraph" w:styleId="Continuarlista2">
    <w:name w:val="List Continue 2"/>
    <w:basedOn w:val="Normal"/>
    <w:uiPriority w:val="99"/>
    <w:qFormat/>
    <w:rsid w:val="006E2FA5"/>
    <w:pPr>
      <w:tabs>
        <w:tab w:val="left" w:pos="1440"/>
      </w:tabs>
      <w:spacing w:after="120"/>
      <w:ind w:left="1440" w:hanging="720"/>
    </w:pPr>
    <w:rPr>
      <w:rFonts w:ascii="Arial" w:hAnsi="Arial" w:cs="Arial"/>
      <w:sz w:val="20"/>
      <w:szCs w:val="20"/>
      <w:lang w:val="en-US" w:eastAsia="en-US"/>
    </w:rPr>
  </w:style>
  <w:style w:type="paragraph" w:styleId="Ttulo">
    <w:name w:val="Title"/>
    <w:aliases w:val="t"/>
    <w:basedOn w:val="Normal"/>
    <w:next w:val="Textoindependiente"/>
    <w:link w:val="TtuloCar"/>
    <w:uiPriority w:val="10"/>
    <w:qFormat/>
    <w:locked/>
    <w:rsid w:val="006E2FA5"/>
    <w:pPr>
      <w:keepNext/>
      <w:spacing w:after="240"/>
    </w:pPr>
    <w:rPr>
      <w:rFonts w:eastAsia="SimSun"/>
      <w:sz w:val="20"/>
      <w:szCs w:val="20"/>
      <w:lang w:val="en-US" w:eastAsia="en-US"/>
    </w:rPr>
  </w:style>
  <w:style w:type="character" w:customStyle="1" w:styleId="TtuloCar">
    <w:name w:val="Título Car"/>
    <w:aliases w:val="t Car"/>
    <w:link w:val="Ttulo"/>
    <w:uiPriority w:val="10"/>
    <w:locked/>
    <w:rsid w:val="006E2FA5"/>
    <w:rPr>
      <w:rFonts w:eastAsia="SimSun" w:cs="Times New Roman"/>
      <w:sz w:val="20"/>
      <w:szCs w:val="20"/>
      <w:lang w:val="en-US" w:eastAsia="en-US"/>
    </w:rPr>
  </w:style>
  <w:style w:type="paragraph" w:styleId="TDC2">
    <w:name w:val="toc 2"/>
    <w:basedOn w:val="Normal"/>
    <w:next w:val="Normal"/>
    <w:autoRedefine/>
    <w:uiPriority w:val="39"/>
    <w:locked/>
    <w:rsid w:val="006E2FA5"/>
    <w:pPr>
      <w:spacing w:before="240"/>
    </w:pPr>
    <w:rPr>
      <w:rFonts w:ascii="Calibri" w:hAnsi="Calibri" w:cs="Calibri"/>
      <w:b/>
      <w:bCs/>
      <w:sz w:val="20"/>
      <w:szCs w:val="20"/>
    </w:rPr>
  </w:style>
  <w:style w:type="paragraph" w:styleId="TDC3">
    <w:name w:val="toc 3"/>
    <w:basedOn w:val="Normal"/>
    <w:next w:val="Normal"/>
    <w:autoRedefine/>
    <w:uiPriority w:val="39"/>
    <w:locked/>
    <w:rsid w:val="006E2FA5"/>
    <w:pPr>
      <w:ind w:left="240"/>
    </w:pPr>
    <w:rPr>
      <w:rFonts w:ascii="Calibri" w:hAnsi="Calibri" w:cs="Calibri"/>
      <w:sz w:val="20"/>
      <w:szCs w:val="20"/>
    </w:rPr>
  </w:style>
  <w:style w:type="paragraph" w:styleId="TDC4">
    <w:name w:val="toc 4"/>
    <w:basedOn w:val="Normal"/>
    <w:next w:val="Normal"/>
    <w:autoRedefine/>
    <w:uiPriority w:val="39"/>
    <w:locked/>
    <w:rsid w:val="006E2FA5"/>
    <w:pPr>
      <w:ind w:left="480"/>
    </w:pPr>
    <w:rPr>
      <w:rFonts w:ascii="Calibri" w:hAnsi="Calibri" w:cs="Calibri"/>
      <w:sz w:val="20"/>
      <w:szCs w:val="20"/>
    </w:rPr>
  </w:style>
  <w:style w:type="paragraph" w:styleId="TDC5">
    <w:name w:val="toc 5"/>
    <w:basedOn w:val="Normal"/>
    <w:next w:val="Normal"/>
    <w:autoRedefine/>
    <w:uiPriority w:val="39"/>
    <w:locked/>
    <w:rsid w:val="006E2FA5"/>
    <w:pPr>
      <w:ind w:left="720"/>
    </w:pPr>
    <w:rPr>
      <w:rFonts w:ascii="Calibri" w:hAnsi="Calibri" w:cs="Calibri"/>
      <w:sz w:val="20"/>
      <w:szCs w:val="20"/>
    </w:rPr>
  </w:style>
  <w:style w:type="paragraph" w:styleId="TDC6">
    <w:name w:val="toc 6"/>
    <w:basedOn w:val="Normal"/>
    <w:next w:val="Normal"/>
    <w:autoRedefine/>
    <w:uiPriority w:val="39"/>
    <w:locked/>
    <w:rsid w:val="006E2FA5"/>
    <w:pPr>
      <w:ind w:left="960"/>
    </w:pPr>
    <w:rPr>
      <w:rFonts w:ascii="Calibri" w:hAnsi="Calibri" w:cs="Calibri"/>
      <w:sz w:val="20"/>
      <w:szCs w:val="20"/>
    </w:rPr>
  </w:style>
  <w:style w:type="paragraph" w:styleId="TDC7">
    <w:name w:val="toc 7"/>
    <w:basedOn w:val="Normal"/>
    <w:next w:val="Normal"/>
    <w:autoRedefine/>
    <w:uiPriority w:val="39"/>
    <w:locked/>
    <w:rsid w:val="006E2FA5"/>
    <w:pPr>
      <w:ind w:left="1200"/>
    </w:pPr>
    <w:rPr>
      <w:rFonts w:ascii="Calibri" w:hAnsi="Calibri" w:cs="Calibri"/>
      <w:sz w:val="20"/>
      <w:szCs w:val="20"/>
    </w:rPr>
  </w:style>
  <w:style w:type="paragraph" w:styleId="TDC8">
    <w:name w:val="toc 8"/>
    <w:basedOn w:val="Normal"/>
    <w:next w:val="Normal"/>
    <w:autoRedefine/>
    <w:uiPriority w:val="39"/>
    <w:locked/>
    <w:rsid w:val="006E2FA5"/>
    <w:pPr>
      <w:ind w:left="1440"/>
    </w:pPr>
    <w:rPr>
      <w:rFonts w:ascii="Calibri" w:hAnsi="Calibri" w:cs="Calibri"/>
      <w:sz w:val="20"/>
      <w:szCs w:val="20"/>
    </w:rPr>
  </w:style>
  <w:style w:type="paragraph" w:styleId="TDC9">
    <w:name w:val="toc 9"/>
    <w:basedOn w:val="Normal"/>
    <w:next w:val="Normal"/>
    <w:autoRedefine/>
    <w:uiPriority w:val="39"/>
    <w:locked/>
    <w:rsid w:val="006E2FA5"/>
    <w:pPr>
      <w:ind w:left="1680"/>
    </w:pPr>
    <w:rPr>
      <w:rFonts w:ascii="Calibri" w:hAnsi="Calibri" w:cs="Calibri"/>
      <w:sz w:val="20"/>
      <w:szCs w:val="20"/>
    </w:rPr>
  </w:style>
  <w:style w:type="paragraph" w:customStyle="1" w:styleId="fdBullet1">
    <w:name w:val="fd Bullet1"/>
    <w:basedOn w:val="Normal"/>
    <w:rsid w:val="006E2FA5"/>
    <w:pPr>
      <w:tabs>
        <w:tab w:val="num" w:pos="2160"/>
      </w:tabs>
      <w:spacing w:after="200"/>
      <w:ind w:left="360" w:hanging="360"/>
    </w:pPr>
    <w:rPr>
      <w:sz w:val="20"/>
      <w:szCs w:val="20"/>
      <w:lang w:val="en-US" w:eastAsia="en-US"/>
    </w:rPr>
  </w:style>
  <w:style w:type="paragraph" w:customStyle="1" w:styleId="fdBullet3">
    <w:name w:val="fd Bullet3"/>
    <w:basedOn w:val="Normal"/>
    <w:rsid w:val="006E2FA5"/>
    <w:pPr>
      <w:tabs>
        <w:tab w:val="num" w:pos="1080"/>
        <w:tab w:val="num" w:pos="2160"/>
      </w:tabs>
      <w:spacing w:after="200"/>
      <w:ind w:left="1080" w:hanging="360"/>
    </w:pPr>
    <w:rPr>
      <w:sz w:val="20"/>
      <w:szCs w:val="20"/>
      <w:lang w:val="en-US" w:eastAsia="en-US"/>
    </w:rPr>
  </w:style>
  <w:style w:type="paragraph" w:customStyle="1" w:styleId="fdCenterLine">
    <w:name w:val="fd Center Line"/>
    <w:basedOn w:val="Normal"/>
    <w:next w:val="Normal"/>
    <w:rsid w:val="006E2FA5"/>
    <w:pPr>
      <w:pBdr>
        <w:top w:val="single" w:sz="4" w:space="0" w:color="auto"/>
      </w:pBdr>
      <w:spacing w:before="100" w:beforeAutospacing="1"/>
      <w:ind w:left="3744" w:right="3744"/>
      <w:jc w:val="center"/>
    </w:pPr>
    <w:rPr>
      <w:sz w:val="10"/>
      <w:szCs w:val="10"/>
      <w:lang w:val="en-US" w:eastAsia="en-US"/>
    </w:rPr>
  </w:style>
  <w:style w:type="paragraph" w:customStyle="1" w:styleId="fdCovCenterLine">
    <w:name w:val="fd Cov Center Line"/>
    <w:basedOn w:val="Normal"/>
    <w:next w:val="Normal"/>
    <w:rsid w:val="006E2FA5"/>
    <w:pPr>
      <w:pBdr>
        <w:top w:val="single" w:sz="4" w:space="0" w:color="auto"/>
      </w:pBdr>
      <w:spacing w:before="100" w:beforeAutospacing="1"/>
      <w:ind w:left="4320" w:right="4320"/>
      <w:jc w:val="center"/>
    </w:pPr>
    <w:rPr>
      <w:sz w:val="10"/>
      <w:szCs w:val="10"/>
      <w:lang w:val="en-US" w:eastAsia="en-US"/>
    </w:rPr>
  </w:style>
  <w:style w:type="paragraph" w:customStyle="1" w:styleId="fdTitleBoldCenter">
    <w:name w:val="fd Title Bold Center"/>
    <w:basedOn w:val="Normal"/>
    <w:next w:val="fdBodyText"/>
    <w:rsid w:val="006E2FA5"/>
    <w:pPr>
      <w:keepNext/>
      <w:spacing w:before="200" w:after="200"/>
      <w:jc w:val="center"/>
    </w:pPr>
    <w:rPr>
      <w:b/>
      <w:bCs/>
      <w:sz w:val="20"/>
      <w:szCs w:val="20"/>
      <w:lang w:val="en-US" w:eastAsia="en-US"/>
    </w:rPr>
  </w:style>
  <w:style w:type="paragraph" w:customStyle="1" w:styleId="fdTitleBoldLeft">
    <w:name w:val="fd Title Bold Left"/>
    <w:basedOn w:val="Normal"/>
    <w:next w:val="fdBodyText"/>
    <w:rsid w:val="006E2FA5"/>
    <w:pPr>
      <w:keepNext/>
      <w:spacing w:after="200"/>
    </w:pPr>
    <w:rPr>
      <w:b/>
      <w:bCs/>
      <w:sz w:val="20"/>
      <w:szCs w:val="20"/>
      <w:lang w:val="en-US" w:eastAsia="en-US"/>
    </w:rPr>
  </w:style>
  <w:style w:type="paragraph" w:customStyle="1" w:styleId="fdTitleBoldRight">
    <w:name w:val="fd Title Bold Right"/>
    <w:basedOn w:val="Normal"/>
    <w:next w:val="fdBodyText"/>
    <w:rsid w:val="006E2FA5"/>
    <w:pPr>
      <w:keepNext/>
      <w:spacing w:after="200"/>
      <w:jc w:val="right"/>
    </w:pPr>
    <w:rPr>
      <w:b/>
      <w:bCs/>
      <w:sz w:val="20"/>
      <w:szCs w:val="20"/>
      <w:lang w:val="en-US" w:eastAsia="en-US"/>
    </w:rPr>
  </w:style>
  <w:style w:type="paragraph" w:customStyle="1" w:styleId="fdTitleItal">
    <w:name w:val="fd Title Ital"/>
    <w:basedOn w:val="Normal"/>
    <w:next w:val="fdBodyText"/>
    <w:rsid w:val="006E2FA5"/>
    <w:pPr>
      <w:keepNext/>
      <w:spacing w:after="200"/>
      <w:ind w:left="360"/>
    </w:pPr>
    <w:rPr>
      <w:i/>
      <w:iCs/>
      <w:sz w:val="20"/>
      <w:szCs w:val="20"/>
      <w:lang w:val="en-US" w:eastAsia="en-US"/>
    </w:rPr>
  </w:style>
  <w:style w:type="paragraph" w:customStyle="1" w:styleId="fdTitleItalBold">
    <w:name w:val="fd Title Ital Bold"/>
    <w:basedOn w:val="Normal"/>
    <w:next w:val="fdBodyText"/>
    <w:rsid w:val="006E2FA5"/>
    <w:pPr>
      <w:keepNext/>
      <w:spacing w:after="200"/>
      <w:ind w:left="187"/>
    </w:pPr>
    <w:rPr>
      <w:b/>
      <w:bCs/>
      <w:i/>
      <w:iCs/>
      <w:sz w:val="20"/>
      <w:szCs w:val="20"/>
      <w:lang w:val="en-US" w:eastAsia="en-US"/>
    </w:rPr>
  </w:style>
  <w:style w:type="paragraph" w:customStyle="1" w:styleId="fdsumdef">
    <w:name w:val="fd sumdef"/>
    <w:basedOn w:val="Normal"/>
    <w:rsid w:val="006E2FA5"/>
    <w:pPr>
      <w:tabs>
        <w:tab w:val="right" w:leader="dot" w:pos="4400"/>
      </w:tabs>
      <w:ind w:left="360" w:right="360" w:hanging="360"/>
    </w:pPr>
    <w:rPr>
      <w:sz w:val="20"/>
      <w:szCs w:val="20"/>
      <w:lang w:val="en-US" w:eastAsia="en-US"/>
    </w:rPr>
  </w:style>
  <w:style w:type="paragraph" w:customStyle="1" w:styleId="fdsumtxt">
    <w:name w:val="fd sumtxt"/>
    <w:basedOn w:val="Normal"/>
    <w:rsid w:val="006E2FA5"/>
    <w:pPr>
      <w:spacing w:after="200"/>
      <w:ind w:left="144"/>
    </w:pPr>
    <w:rPr>
      <w:sz w:val="20"/>
      <w:szCs w:val="20"/>
      <w:lang w:val="en-US" w:eastAsia="en-US"/>
    </w:rPr>
  </w:style>
  <w:style w:type="paragraph" w:customStyle="1" w:styleId="fdtblftnline">
    <w:name w:val="fd tbl ftn line"/>
    <w:basedOn w:val="Normal"/>
    <w:next w:val="fdtblftn10"/>
    <w:rsid w:val="006E2FA5"/>
    <w:pPr>
      <w:keepNext/>
      <w:pBdr>
        <w:bottom w:val="single" w:sz="4" w:space="1" w:color="auto"/>
      </w:pBdr>
      <w:spacing w:after="50"/>
      <w:ind w:right="7920"/>
    </w:pPr>
    <w:rPr>
      <w:sz w:val="10"/>
      <w:szCs w:val="10"/>
      <w:lang w:val="en-US" w:eastAsia="en-US"/>
    </w:rPr>
  </w:style>
  <w:style w:type="paragraph" w:customStyle="1" w:styleId="fdtblftn10">
    <w:name w:val="fd tbl ftn10"/>
    <w:basedOn w:val="Normal"/>
    <w:rsid w:val="006E2FA5"/>
    <w:pPr>
      <w:spacing w:after="100"/>
      <w:ind w:left="360" w:hanging="360"/>
    </w:pPr>
    <w:rPr>
      <w:sz w:val="20"/>
      <w:szCs w:val="20"/>
      <w:lang w:val="en-US" w:eastAsia="en-US"/>
    </w:rPr>
  </w:style>
  <w:style w:type="paragraph" w:customStyle="1" w:styleId="fdtblftn7">
    <w:name w:val="fd tbl ftn7"/>
    <w:basedOn w:val="Normal"/>
    <w:rsid w:val="006E2FA5"/>
    <w:pPr>
      <w:spacing w:after="70"/>
      <w:ind w:left="216" w:hanging="216"/>
    </w:pPr>
    <w:rPr>
      <w:sz w:val="14"/>
      <w:szCs w:val="14"/>
      <w:lang w:val="en-US" w:eastAsia="en-US"/>
    </w:rPr>
  </w:style>
  <w:style w:type="paragraph" w:customStyle="1" w:styleId="fdtblftn8">
    <w:name w:val="fd tbl ftn8"/>
    <w:basedOn w:val="Normal"/>
    <w:rsid w:val="006E2FA5"/>
    <w:pPr>
      <w:spacing w:after="80"/>
      <w:ind w:left="360" w:hanging="360"/>
    </w:pPr>
    <w:rPr>
      <w:sz w:val="16"/>
      <w:szCs w:val="16"/>
      <w:lang w:val="en-US" w:eastAsia="en-US"/>
    </w:rPr>
  </w:style>
  <w:style w:type="paragraph" w:customStyle="1" w:styleId="fdtblftn9">
    <w:name w:val="fd tbl ftn9"/>
    <w:basedOn w:val="Normal"/>
    <w:rsid w:val="006E2FA5"/>
    <w:pPr>
      <w:spacing w:after="90"/>
      <w:ind w:left="360" w:hanging="360"/>
    </w:pPr>
    <w:rPr>
      <w:sz w:val="18"/>
      <w:szCs w:val="18"/>
      <w:lang w:val="en-US" w:eastAsia="en-US"/>
    </w:rPr>
  </w:style>
  <w:style w:type="paragraph" w:customStyle="1" w:styleId="fdtblhead7">
    <w:name w:val="fd tbl head7"/>
    <w:basedOn w:val="Normal"/>
    <w:rsid w:val="006E2FA5"/>
    <w:pPr>
      <w:spacing w:before="20" w:after="40" w:line="180" w:lineRule="exact"/>
      <w:jc w:val="center"/>
    </w:pPr>
    <w:rPr>
      <w:b/>
      <w:bCs/>
      <w:sz w:val="14"/>
      <w:szCs w:val="14"/>
      <w:lang w:val="en-US" w:eastAsia="en-US"/>
    </w:rPr>
  </w:style>
  <w:style w:type="paragraph" w:customStyle="1" w:styleId="fdtblhead8">
    <w:name w:val="fd tbl head8"/>
    <w:basedOn w:val="Normal"/>
    <w:rsid w:val="006E2FA5"/>
    <w:pPr>
      <w:spacing w:before="20" w:after="40" w:line="180" w:lineRule="exact"/>
      <w:jc w:val="center"/>
    </w:pPr>
    <w:rPr>
      <w:b/>
      <w:bCs/>
      <w:sz w:val="16"/>
      <w:szCs w:val="16"/>
      <w:lang w:val="en-US" w:eastAsia="en-US"/>
    </w:rPr>
  </w:style>
  <w:style w:type="paragraph" w:customStyle="1" w:styleId="fdtblnum10">
    <w:name w:val="fd tbl num10"/>
    <w:basedOn w:val="Normal"/>
    <w:rsid w:val="006E2FA5"/>
    <w:rPr>
      <w:sz w:val="20"/>
      <w:szCs w:val="20"/>
      <w:lang w:val="en-US" w:eastAsia="en-US"/>
    </w:rPr>
  </w:style>
  <w:style w:type="paragraph" w:customStyle="1" w:styleId="fdtblnum8">
    <w:name w:val="fd tbl num8"/>
    <w:basedOn w:val="Normal"/>
    <w:rsid w:val="006E2FA5"/>
    <w:rPr>
      <w:sz w:val="16"/>
      <w:szCs w:val="16"/>
      <w:lang w:val="en-US" w:eastAsia="en-US"/>
    </w:rPr>
  </w:style>
  <w:style w:type="paragraph" w:customStyle="1" w:styleId="fdtblnum9">
    <w:name w:val="fd tbl num9"/>
    <w:basedOn w:val="Normal"/>
    <w:rsid w:val="006E2FA5"/>
    <w:rPr>
      <w:sz w:val="18"/>
      <w:szCs w:val="18"/>
      <w:lang w:val="en-US" w:eastAsia="en-US"/>
    </w:rPr>
  </w:style>
  <w:style w:type="paragraph" w:customStyle="1" w:styleId="fdtblstub10">
    <w:name w:val="fd tbl stub10"/>
    <w:basedOn w:val="Normal"/>
    <w:rsid w:val="006E2FA5"/>
    <w:pPr>
      <w:tabs>
        <w:tab w:val="right" w:leader="dot" w:pos="4982"/>
      </w:tabs>
      <w:ind w:left="187" w:right="187" w:hanging="187"/>
    </w:pPr>
    <w:rPr>
      <w:sz w:val="20"/>
      <w:szCs w:val="20"/>
      <w:lang w:val="en-US" w:eastAsia="en-US"/>
    </w:rPr>
  </w:style>
  <w:style w:type="paragraph" w:customStyle="1" w:styleId="fdtblstub8">
    <w:name w:val="fd tbl stub8"/>
    <w:basedOn w:val="Normal"/>
    <w:rsid w:val="006E2FA5"/>
    <w:pPr>
      <w:tabs>
        <w:tab w:val="right" w:leader="dot" w:pos="4982"/>
      </w:tabs>
      <w:ind w:left="187" w:right="158" w:hanging="187"/>
    </w:pPr>
    <w:rPr>
      <w:sz w:val="16"/>
      <w:szCs w:val="16"/>
      <w:lang w:val="en-US" w:eastAsia="en-US"/>
    </w:rPr>
  </w:style>
  <w:style w:type="paragraph" w:customStyle="1" w:styleId="fdtblstub9">
    <w:name w:val="fd tbl stub9"/>
    <w:basedOn w:val="Normal"/>
    <w:rsid w:val="006E2FA5"/>
    <w:pPr>
      <w:tabs>
        <w:tab w:val="right" w:leader="dot" w:pos="4982"/>
      </w:tabs>
      <w:ind w:left="187" w:right="187" w:hanging="187"/>
    </w:pPr>
    <w:rPr>
      <w:sz w:val="18"/>
      <w:szCs w:val="18"/>
      <w:lang w:val="en-US" w:eastAsia="en-US"/>
    </w:rPr>
  </w:style>
  <w:style w:type="paragraph" w:customStyle="1" w:styleId="fdTOC1BoldLeft">
    <w:name w:val="fd TOC1 Bold Left"/>
    <w:basedOn w:val="Normal"/>
    <w:next w:val="fdBodyText"/>
    <w:rsid w:val="006E2FA5"/>
    <w:pPr>
      <w:keepNext/>
      <w:spacing w:after="200"/>
    </w:pPr>
    <w:rPr>
      <w:b/>
      <w:bCs/>
      <w:sz w:val="20"/>
      <w:szCs w:val="20"/>
      <w:lang w:val="en-US" w:eastAsia="en-US"/>
    </w:rPr>
  </w:style>
  <w:style w:type="paragraph" w:customStyle="1" w:styleId="fdTOC1Center">
    <w:name w:val="fd TOC1 Center"/>
    <w:basedOn w:val="Normal"/>
    <w:next w:val="fdBodyText"/>
    <w:rsid w:val="006E2FA5"/>
    <w:pPr>
      <w:keepNext/>
      <w:spacing w:before="400" w:after="200"/>
      <w:jc w:val="center"/>
    </w:pPr>
    <w:rPr>
      <w:b/>
      <w:bCs/>
      <w:sz w:val="20"/>
      <w:szCs w:val="20"/>
      <w:lang w:val="en-US" w:eastAsia="en-US"/>
    </w:rPr>
  </w:style>
  <w:style w:type="paragraph" w:customStyle="1" w:styleId="fdTOC1CenterCaps">
    <w:name w:val="fd TOC1 Center Caps"/>
    <w:basedOn w:val="Normal"/>
    <w:next w:val="fdBodyText"/>
    <w:rsid w:val="006E2FA5"/>
    <w:pPr>
      <w:keepNext/>
      <w:spacing w:before="400" w:after="200"/>
      <w:jc w:val="center"/>
    </w:pPr>
    <w:rPr>
      <w:b/>
      <w:bCs/>
      <w:caps/>
      <w:sz w:val="20"/>
      <w:szCs w:val="20"/>
      <w:lang w:val="en-US" w:eastAsia="en-US"/>
    </w:rPr>
  </w:style>
  <w:style w:type="paragraph" w:customStyle="1" w:styleId="fdTOC2BoldLeft">
    <w:name w:val="fd TOC2 Bold Left"/>
    <w:basedOn w:val="Normal"/>
    <w:next w:val="fdBodyText"/>
    <w:rsid w:val="006E2FA5"/>
    <w:pPr>
      <w:keepNext/>
      <w:spacing w:after="200"/>
    </w:pPr>
    <w:rPr>
      <w:b/>
      <w:bCs/>
      <w:sz w:val="20"/>
      <w:szCs w:val="20"/>
      <w:lang w:val="en-US" w:eastAsia="en-US"/>
    </w:rPr>
  </w:style>
  <w:style w:type="paragraph" w:customStyle="1" w:styleId="fdsumtxtbullet">
    <w:name w:val="fd sumtxt bullet"/>
    <w:basedOn w:val="Normal"/>
    <w:rsid w:val="006E2FA5"/>
    <w:pPr>
      <w:keepNext/>
      <w:tabs>
        <w:tab w:val="num" w:pos="173"/>
      </w:tabs>
      <w:spacing w:after="200"/>
      <w:ind w:left="360" w:hanging="216"/>
    </w:pPr>
    <w:rPr>
      <w:sz w:val="20"/>
      <w:szCs w:val="20"/>
      <w:lang w:val="en-US" w:eastAsia="en-US"/>
    </w:rPr>
  </w:style>
  <w:style w:type="paragraph" w:customStyle="1" w:styleId="fdtblstub10indented">
    <w:name w:val="fd tbl stub10 indented"/>
    <w:basedOn w:val="Normal"/>
    <w:rsid w:val="006E2FA5"/>
    <w:pPr>
      <w:tabs>
        <w:tab w:val="right" w:leader="dot" w:pos="4982"/>
      </w:tabs>
      <w:ind w:left="346" w:right="173" w:hanging="173"/>
    </w:pPr>
    <w:rPr>
      <w:rFonts w:ascii="Arial" w:hAnsi="Arial" w:cs="Arial"/>
      <w:sz w:val="20"/>
      <w:szCs w:val="20"/>
      <w:lang w:val="en-US" w:eastAsia="en-US"/>
    </w:rPr>
  </w:style>
  <w:style w:type="paragraph" w:customStyle="1" w:styleId="fdtblstub9indented">
    <w:name w:val="fd tbl stub9 indented"/>
    <w:basedOn w:val="Normal"/>
    <w:rsid w:val="006E2FA5"/>
    <w:pPr>
      <w:tabs>
        <w:tab w:val="right" w:leader="dot" w:pos="4982"/>
      </w:tabs>
      <w:ind w:left="346" w:right="173" w:hanging="173"/>
    </w:pPr>
    <w:rPr>
      <w:rFonts w:ascii="Arial" w:hAnsi="Arial" w:cs="Arial"/>
      <w:sz w:val="18"/>
      <w:szCs w:val="18"/>
      <w:lang w:val="en-US" w:eastAsia="en-US"/>
    </w:rPr>
  </w:style>
  <w:style w:type="paragraph" w:customStyle="1" w:styleId="fdtblstub8indented">
    <w:name w:val="fd tbl stub8 indented"/>
    <w:basedOn w:val="Normal"/>
    <w:rsid w:val="006E2FA5"/>
    <w:pPr>
      <w:tabs>
        <w:tab w:val="right" w:leader="dot" w:pos="4982"/>
      </w:tabs>
      <w:ind w:left="346" w:right="173" w:hanging="173"/>
    </w:pPr>
    <w:rPr>
      <w:rFonts w:ascii="Arial" w:hAnsi="Arial" w:cs="Arial"/>
      <w:sz w:val="16"/>
      <w:szCs w:val="16"/>
      <w:lang w:val="en-US" w:eastAsia="en-US"/>
    </w:rPr>
  </w:style>
  <w:style w:type="paragraph" w:customStyle="1" w:styleId="Textodeglobo1">
    <w:name w:val="Texto de globo1"/>
    <w:basedOn w:val="Normal"/>
    <w:rsid w:val="006E2FA5"/>
    <w:rPr>
      <w:rFonts w:ascii="Tahoma" w:hAnsi="Tahoma" w:cs="Tahoma"/>
      <w:sz w:val="16"/>
      <w:szCs w:val="16"/>
      <w:lang w:val="en-US" w:eastAsia="en-US"/>
    </w:rPr>
  </w:style>
  <w:style w:type="character" w:customStyle="1" w:styleId="TextodegloboCar1">
    <w:name w:val="Texto de globo Car1"/>
    <w:semiHidden/>
    <w:locked/>
    <w:rsid w:val="006E2FA5"/>
    <w:rPr>
      <w:rFonts w:cs="Arial"/>
      <w:sz w:val="2"/>
      <w:lang w:val="en-US" w:eastAsia="en-US"/>
    </w:rPr>
  </w:style>
  <w:style w:type="paragraph" w:customStyle="1" w:styleId="Style1">
    <w:name w:val="Style 1"/>
    <w:basedOn w:val="Normal"/>
    <w:uiPriority w:val="99"/>
    <w:rsid w:val="006E2FA5"/>
    <w:pPr>
      <w:widowControl w:val="0"/>
      <w:ind w:firstLine="360"/>
    </w:pPr>
    <w:rPr>
      <w:color w:val="000000"/>
      <w:sz w:val="20"/>
      <w:szCs w:val="20"/>
    </w:rPr>
  </w:style>
  <w:style w:type="paragraph" w:customStyle="1" w:styleId="Style2">
    <w:name w:val="Style 2"/>
    <w:basedOn w:val="Normal"/>
    <w:rsid w:val="006E2FA5"/>
    <w:pPr>
      <w:widowControl w:val="0"/>
      <w:spacing w:before="180"/>
      <w:ind w:firstLine="360"/>
      <w:jc w:val="both"/>
    </w:pPr>
    <w:rPr>
      <w:color w:val="000000"/>
      <w:sz w:val="20"/>
      <w:szCs w:val="20"/>
    </w:rPr>
  </w:style>
  <w:style w:type="paragraph" w:customStyle="1" w:styleId="Style5">
    <w:name w:val="Style 5"/>
    <w:basedOn w:val="Normal"/>
    <w:rsid w:val="006E2FA5"/>
    <w:pPr>
      <w:widowControl w:val="0"/>
      <w:spacing w:line="420" w:lineRule="atLeast"/>
      <w:ind w:left="360"/>
    </w:pPr>
    <w:rPr>
      <w:color w:val="000000"/>
      <w:sz w:val="20"/>
      <w:szCs w:val="20"/>
    </w:rPr>
  </w:style>
  <w:style w:type="paragraph" w:customStyle="1" w:styleId="Style6">
    <w:name w:val="Style 6"/>
    <w:basedOn w:val="Normal"/>
    <w:rsid w:val="006E2FA5"/>
    <w:pPr>
      <w:widowControl w:val="0"/>
      <w:spacing w:before="180"/>
      <w:jc w:val="center"/>
    </w:pPr>
    <w:rPr>
      <w:color w:val="000000"/>
      <w:sz w:val="20"/>
      <w:szCs w:val="20"/>
    </w:rPr>
  </w:style>
  <w:style w:type="paragraph" w:customStyle="1" w:styleId="Style3">
    <w:name w:val="Style 3"/>
    <w:basedOn w:val="Normal"/>
    <w:rsid w:val="006E2FA5"/>
    <w:pPr>
      <w:widowControl w:val="0"/>
      <w:spacing w:before="180"/>
      <w:ind w:left="360" w:firstLine="216"/>
    </w:pPr>
    <w:rPr>
      <w:color w:val="000000"/>
      <w:sz w:val="20"/>
      <w:szCs w:val="20"/>
    </w:rPr>
  </w:style>
  <w:style w:type="paragraph" w:customStyle="1" w:styleId="Style4">
    <w:name w:val="Style 4"/>
    <w:basedOn w:val="Normal"/>
    <w:rsid w:val="006E2FA5"/>
    <w:pPr>
      <w:widowControl w:val="0"/>
      <w:ind w:left="720" w:right="72" w:firstLine="360"/>
    </w:pPr>
    <w:rPr>
      <w:color w:val="000000"/>
      <w:sz w:val="20"/>
      <w:szCs w:val="20"/>
    </w:rPr>
  </w:style>
  <w:style w:type="paragraph" w:customStyle="1" w:styleId="Revisin2">
    <w:name w:val="Revisión2"/>
    <w:hidden/>
    <w:semiHidden/>
    <w:rsid w:val="006E2FA5"/>
    <w:rPr>
      <w:rFonts w:ascii="Arial" w:hAnsi="Arial" w:cs="Arial"/>
    </w:rPr>
  </w:style>
  <w:style w:type="character" w:customStyle="1" w:styleId="apple-converted-space">
    <w:name w:val="apple-converted-space"/>
    <w:rsid w:val="00113395"/>
    <w:rPr>
      <w:rFonts w:cs="Times New Roman"/>
    </w:rPr>
  </w:style>
  <w:style w:type="paragraph" w:customStyle="1" w:styleId="Heading1">
    <w:name w:val="Heading1"/>
    <w:basedOn w:val="Textosinformato"/>
    <w:qFormat/>
    <w:rsid w:val="00A90677"/>
    <w:pPr>
      <w:ind w:right="-143"/>
      <w:jc w:val="center"/>
      <w:outlineLvl w:val="0"/>
    </w:pPr>
    <w:rPr>
      <w:rFonts w:ascii="Times New Roman" w:hAnsi="Times New Roman" w:cs="Times New Roman"/>
      <w:b/>
    </w:rPr>
  </w:style>
  <w:style w:type="paragraph" w:styleId="Textosinformato">
    <w:name w:val="Plain Text"/>
    <w:basedOn w:val="Normal"/>
    <w:link w:val="TextosinformatoCar"/>
    <w:uiPriority w:val="99"/>
    <w:locked/>
    <w:rsid w:val="00A90677"/>
    <w:rPr>
      <w:rFonts w:ascii="Courier New" w:hAnsi="Courier New" w:cs="Courier New"/>
      <w:sz w:val="20"/>
      <w:szCs w:val="20"/>
    </w:rPr>
  </w:style>
  <w:style w:type="character" w:customStyle="1" w:styleId="TextosinformatoCar">
    <w:name w:val="Texto sin formato Car"/>
    <w:link w:val="Textosinformato"/>
    <w:uiPriority w:val="99"/>
    <w:rsid w:val="00A90677"/>
    <w:rPr>
      <w:rFonts w:ascii="Courier New" w:hAnsi="Courier New" w:cs="Courier New"/>
      <w:lang w:val="es-ES" w:eastAsia="es-ES"/>
    </w:rPr>
  </w:style>
  <w:style w:type="paragraph" w:customStyle="1" w:styleId="Char">
    <w:name w:val="Char"/>
    <w:basedOn w:val="Normal"/>
    <w:rsid w:val="00862B7B"/>
    <w:pPr>
      <w:spacing w:after="160" w:line="240" w:lineRule="exact"/>
    </w:pPr>
    <w:rPr>
      <w:rFonts w:ascii="Verdana" w:eastAsia="PMingLiU" w:hAnsi="Verdana"/>
      <w:sz w:val="20"/>
      <w:szCs w:val="20"/>
      <w:lang w:val="en-US" w:eastAsia="en-US"/>
    </w:rPr>
  </w:style>
  <w:style w:type="paragraph" w:customStyle="1" w:styleId="BlockTextJ">
    <w:name w:val="Block Text J"/>
    <w:basedOn w:val="Normal"/>
    <w:qFormat/>
    <w:rsid w:val="00862B7B"/>
    <w:pPr>
      <w:spacing w:after="240"/>
      <w:jc w:val="both"/>
    </w:pPr>
    <w:rPr>
      <w:sz w:val="20"/>
      <w:szCs w:val="20"/>
      <w:lang w:val="en-US"/>
    </w:rPr>
  </w:style>
  <w:style w:type="paragraph" w:customStyle="1" w:styleId="CenteredB">
    <w:name w:val="Centered B"/>
    <w:basedOn w:val="Normal"/>
    <w:qFormat/>
    <w:rsid w:val="00862B7B"/>
    <w:pPr>
      <w:spacing w:after="240"/>
      <w:jc w:val="center"/>
    </w:pPr>
    <w:rPr>
      <w:b/>
      <w:sz w:val="20"/>
      <w:lang w:val="en-US" w:eastAsia="en-US"/>
    </w:rPr>
  </w:style>
  <w:style w:type="paragraph" w:styleId="Textoindependienteprimerasangra">
    <w:name w:val="Body Text First Indent"/>
    <w:basedOn w:val="Textoindependiente"/>
    <w:link w:val="TextoindependienteprimerasangraCar"/>
    <w:uiPriority w:val="99"/>
    <w:unhideWhenUsed/>
    <w:qFormat/>
    <w:locked/>
    <w:rsid w:val="00B278E0"/>
    <w:pPr>
      <w:ind w:firstLine="210"/>
    </w:pPr>
    <w:rPr>
      <w:szCs w:val="24"/>
      <w:lang w:val="x-none"/>
    </w:rPr>
  </w:style>
  <w:style w:type="character" w:customStyle="1" w:styleId="TextoindependienteprimerasangraCar">
    <w:name w:val="Texto independiente primera sangría Car"/>
    <w:link w:val="Textoindependienteprimerasangra"/>
    <w:uiPriority w:val="99"/>
    <w:rsid w:val="00B278E0"/>
    <w:rPr>
      <w:rFonts w:cs="Times New Roman"/>
      <w:sz w:val="24"/>
      <w:szCs w:val="24"/>
      <w:lang w:val="x-none" w:eastAsia="es-ES"/>
    </w:rPr>
  </w:style>
  <w:style w:type="paragraph" w:styleId="Mapadeldocumento">
    <w:name w:val="Document Map"/>
    <w:basedOn w:val="Normal"/>
    <w:link w:val="MapadeldocumentoCar"/>
    <w:unhideWhenUsed/>
    <w:locked/>
    <w:rsid w:val="00B278E0"/>
    <w:pPr>
      <w:shd w:val="clear" w:color="auto" w:fill="000080"/>
    </w:pPr>
    <w:rPr>
      <w:rFonts w:ascii="Tahoma" w:hAnsi="Tahoma"/>
      <w:sz w:val="20"/>
      <w:szCs w:val="20"/>
      <w:lang w:val="x-none"/>
    </w:rPr>
  </w:style>
  <w:style w:type="character" w:customStyle="1" w:styleId="MapadeldocumentoCar">
    <w:name w:val="Mapa del documento Car"/>
    <w:link w:val="Mapadeldocumento"/>
    <w:rsid w:val="00B278E0"/>
    <w:rPr>
      <w:rFonts w:ascii="Tahoma" w:hAnsi="Tahoma"/>
      <w:shd w:val="clear" w:color="auto" w:fill="000080"/>
      <w:lang w:val="x-none" w:eastAsia="es-ES"/>
    </w:rPr>
  </w:style>
  <w:style w:type="paragraph" w:styleId="Prrafodelista">
    <w:name w:val="List Paragraph"/>
    <w:aliases w:val="Rainbow"/>
    <w:basedOn w:val="Normal"/>
    <w:link w:val="PrrafodelistaCar"/>
    <w:uiPriority w:val="34"/>
    <w:qFormat/>
    <w:rsid w:val="00B278E0"/>
    <w:pPr>
      <w:ind w:left="708"/>
    </w:pPr>
    <w:rPr>
      <w:lang w:val="es-AR"/>
    </w:rPr>
  </w:style>
  <w:style w:type="paragraph" w:customStyle="1" w:styleId="OmniPage770">
    <w:name w:val="OmniPage #770"/>
    <w:rsid w:val="00B278E0"/>
    <w:pPr>
      <w:tabs>
        <w:tab w:val="left" w:pos="162"/>
        <w:tab w:val="right" w:pos="10668"/>
      </w:tabs>
      <w:autoSpaceDE w:val="0"/>
      <w:autoSpaceDN w:val="0"/>
      <w:adjustRightInd w:val="0"/>
      <w:jc w:val="both"/>
    </w:pPr>
    <w:rPr>
      <w:sz w:val="18"/>
      <w:szCs w:val="18"/>
    </w:rPr>
  </w:style>
  <w:style w:type="paragraph" w:customStyle="1" w:styleId="HPCarta">
    <w:name w:val="HP Carta"/>
    <w:uiPriority w:val="99"/>
    <w:rsid w:val="00B278E0"/>
    <w:pPr>
      <w:widowControl w:val="0"/>
      <w:tabs>
        <w:tab w:val="left" w:pos="-720"/>
      </w:tabs>
      <w:suppressAutoHyphens/>
      <w:spacing w:line="360" w:lineRule="auto"/>
    </w:pPr>
    <w:rPr>
      <w:rFonts w:ascii="Courier" w:hAnsi="Courier"/>
      <w:sz w:val="24"/>
      <w:lang w:eastAsia="es-ES"/>
    </w:rPr>
  </w:style>
  <w:style w:type="paragraph" w:customStyle="1" w:styleId="C8H">
    <w:name w:val="C8H"/>
    <w:uiPriority w:val="99"/>
    <w:rsid w:val="00B278E0"/>
    <w:pPr>
      <w:spacing w:line="160" w:lineRule="exact"/>
      <w:jc w:val="center"/>
    </w:pPr>
    <w:rPr>
      <w:b/>
      <w:noProof/>
      <w:sz w:val="16"/>
    </w:rPr>
  </w:style>
  <w:style w:type="paragraph" w:customStyle="1" w:styleId="Nt">
    <w:name w:val="Nt"/>
    <w:basedOn w:val="Normal"/>
    <w:uiPriority w:val="99"/>
    <w:rsid w:val="00B278E0"/>
    <w:pPr>
      <w:autoSpaceDE w:val="0"/>
      <w:autoSpaceDN w:val="0"/>
      <w:adjustRightInd w:val="0"/>
      <w:spacing w:after="240"/>
      <w:jc w:val="both"/>
    </w:pPr>
    <w:rPr>
      <w:noProof/>
      <w:sz w:val="20"/>
      <w:szCs w:val="20"/>
      <w:lang w:val="es-AR" w:eastAsia="en-US"/>
    </w:rPr>
  </w:style>
  <w:style w:type="paragraph" w:customStyle="1" w:styleId="arcor">
    <w:name w:val="arcor"/>
    <w:basedOn w:val="Normal"/>
    <w:rsid w:val="00B278E0"/>
    <w:pPr>
      <w:spacing w:after="160" w:line="240" w:lineRule="exact"/>
      <w:jc w:val="center"/>
    </w:pPr>
    <w:rPr>
      <w:b/>
      <w:bCs/>
      <w:noProof/>
      <w:sz w:val="18"/>
      <w:szCs w:val="18"/>
      <w:lang w:val="es-AR" w:eastAsia="es-AR"/>
    </w:rPr>
  </w:style>
  <w:style w:type="paragraph" w:customStyle="1" w:styleId="A4">
    <w:name w:val="A4"/>
    <w:uiPriority w:val="99"/>
    <w:rsid w:val="00B278E0"/>
    <w:pPr>
      <w:widowControl w:val="0"/>
      <w:tabs>
        <w:tab w:val="left" w:pos="-720"/>
      </w:tabs>
      <w:suppressAutoHyphens/>
      <w:spacing w:line="360" w:lineRule="auto"/>
    </w:pPr>
    <w:rPr>
      <w:rFonts w:ascii="Courier" w:hAnsi="Courier"/>
      <w:sz w:val="24"/>
      <w:lang w:val="es-ES" w:eastAsia="es-ES"/>
    </w:rPr>
  </w:style>
  <w:style w:type="paragraph" w:customStyle="1" w:styleId="s4">
    <w:name w:val="s4"/>
    <w:basedOn w:val="Normal"/>
    <w:uiPriority w:val="99"/>
    <w:rsid w:val="00B278E0"/>
    <w:pPr>
      <w:ind w:left="57" w:firstLine="284"/>
      <w:jc w:val="both"/>
    </w:pPr>
    <w:rPr>
      <w:rFonts w:ascii="Arial" w:hAnsi="Arial" w:cs="Arial"/>
      <w:sz w:val="20"/>
      <w:szCs w:val="20"/>
      <w:lang w:val="en-US" w:eastAsia="en-US"/>
    </w:rPr>
  </w:style>
  <w:style w:type="paragraph" w:customStyle="1" w:styleId="DeltaViewTableBody">
    <w:name w:val="DeltaView Table Body"/>
    <w:basedOn w:val="Normal"/>
    <w:rsid w:val="00B278E0"/>
    <w:pPr>
      <w:autoSpaceDE w:val="0"/>
      <w:autoSpaceDN w:val="0"/>
      <w:adjustRightInd w:val="0"/>
    </w:pPr>
    <w:rPr>
      <w:rFonts w:ascii="Arial" w:hAnsi="Arial" w:cs="Arial"/>
      <w:lang w:val="en-US" w:eastAsia="en-US"/>
    </w:rPr>
  </w:style>
  <w:style w:type="paragraph" w:customStyle="1" w:styleId="BodyTextContinued">
    <w:name w:val="Body Text Continued"/>
    <w:basedOn w:val="Normal"/>
    <w:uiPriority w:val="99"/>
    <w:rsid w:val="00B278E0"/>
    <w:pPr>
      <w:autoSpaceDE w:val="0"/>
      <w:autoSpaceDN w:val="0"/>
      <w:adjustRightInd w:val="0"/>
      <w:spacing w:after="240"/>
      <w:jc w:val="both"/>
    </w:pPr>
    <w:rPr>
      <w:color w:val="000000"/>
      <w:sz w:val="20"/>
      <w:szCs w:val="20"/>
      <w:lang w:val="en-US" w:eastAsia="en-US"/>
    </w:rPr>
  </w:style>
  <w:style w:type="paragraph" w:customStyle="1" w:styleId="notaalpie">
    <w:name w:val="nota al pie"/>
    <w:basedOn w:val="Normal"/>
    <w:uiPriority w:val="99"/>
    <w:rsid w:val="00B278E0"/>
    <w:pPr>
      <w:autoSpaceDE w:val="0"/>
      <w:autoSpaceDN w:val="0"/>
      <w:adjustRightInd w:val="0"/>
      <w:jc w:val="both"/>
    </w:pPr>
    <w:rPr>
      <w:rFonts w:ascii="Arial" w:hAnsi="Arial" w:cs="Arial"/>
      <w:sz w:val="20"/>
      <w:szCs w:val="20"/>
      <w:lang w:eastAsia="en-US"/>
    </w:rPr>
  </w:style>
  <w:style w:type="paragraph" w:customStyle="1" w:styleId="DPWfdHDCenterCAP">
    <w:name w:val="DPWfd HD Center (CAP)"/>
    <w:aliases w:val="hp"/>
    <w:basedOn w:val="Normal"/>
    <w:next w:val="Normal"/>
    <w:uiPriority w:val="99"/>
    <w:rsid w:val="00B278E0"/>
    <w:pPr>
      <w:keepNext/>
      <w:overflowPunct w:val="0"/>
      <w:autoSpaceDE w:val="0"/>
      <w:autoSpaceDN w:val="0"/>
      <w:adjustRightInd w:val="0"/>
      <w:spacing w:before="200" w:after="200"/>
      <w:jc w:val="center"/>
    </w:pPr>
    <w:rPr>
      <w:b/>
      <w:caps/>
      <w:sz w:val="20"/>
      <w:szCs w:val="20"/>
      <w:lang w:val="en-US"/>
    </w:rPr>
  </w:style>
  <w:style w:type="paragraph" w:customStyle="1" w:styleId="notaalpie0">
    <w:name w:val="notaalpie"/>
    <w:basedOn w:val="Normal"/>
    <w:uiPriority w:val="99"/>
    <w:rsid w:val="00B278E0"/>
    <w:pPr>
      <w:spacing w:before="100" w:beforeAutospacing="1" w:after="100" w:afterAutospacing="1"/>
    </w:pPr>
    <w:rPr>
      <w:lang w:val="en-US" w:eastAsia="en-US"/>
    </w:rPr>
  </w:style>
  <w:style w:type="paragraph" w:customStyle="1" w:styleId="BodyText2Sgl">
    <w:name w:val="Body Text 2 Sgl"/>
    <w:aliases w:val="bt2s,2btx"/>
    <w:link w:val="BodyText2SglChar1"/>
    <w:uiPriority w:val="99"/>
    <w:qFormat/>
    <w:rsid w:val="00B278E0"/>
    <w:pPr>
      <w:autoSpaceDE w:val="0"/>
      <w:autoSpaceDN w:val="0"/>
      <w:adjustRightInd w:val="0"/>
    </w:pPr>
    <w:rPr>
      <w:rFonts w:ascii="Arial" w:eastAsia="SimSun" w:hAnsi="Arial"/>
      <w:sz w:val="24"/>
      <w:szCs w:val="24"/>
      <w:lang w:eastAsia="zh-TW"/>
    </w:rPr>
  </w:style>
  <w:style w:type="paragraph" w:customStyle="1" w:styleId="CharChar">
    <w:name w:val="Char Char"/>
    <w:basedOn w:val="Normal"/>
    <w:uiPriority w:val="99"/>
    <w:rsid w:val="00B278E0"/>
    <w:pPr>
      <w:spacing w:after="160" w:line="240" w:lineRule="exact"/>
    </w:pPr>
    <w:rPr>
      <w:rFonts w:ascii="Verdana" w:eastAsia="PMingLiU" w:hAnsi="Verdana"/>
      <w:sz w:val="20"/>
      <w:szCs w:val="20"/>
      <w:lang w:val="en-US" w:eastAsia="en-US"/>
    </w:rPr>
  </w:style>
  <w:style w:type="paragraph" w:customStyle="1" w:styleId="BodyText22">
    <w:name w:val="Body Text 22"/>
    <w:basedOn w:val="Normal"/>
    <w:uiPriority w:val="99"/>
    <w:rsid w:val="00B278E0"/>
    <w:pPr>
      <w:widowControl w:val="0"/>
      <w:autoSpaceDE w:val="0"/>
      <w:autoSpaceDN w:val="0"/>
      <w:adjustRightInd w:val="0"/>
      <w:jc w:val="both"/>
    </w:pPr>
    <w:rPr>
      <w:sz w:val="20"/>
      <w:szCs w:val="20"/>
      <w:lang w:val="es-AR"/>
    </w:rPr>
  </w:style>
  <w:style w:type="paragraph" w:customStyle="1" w:styleId="Normal10pt">
    <w:name w:val="Normal + 10 pt"/>
    <w:aliases w:val="Negro"/>
    <w:basedOn w:val="Normal"/>
    <w:uiPriority w:val="99"/>
    <w:rsid w:val="00B278E0"/>
    <w:pPr>
      <w:widowControl w:val="0"/>
      <w:autoSpaceDE w:val="0"/>
      <w:autoSpaceDN w:val="0"/>
      <w:adjustRightInd w:val="0"/>
      <w:spacing w:before="100" w:beforeAutospacing="1" w:after="100" w:afterAutospacing="1"/>
      <w:jc w:val="both"/>
    </w:pPr>
    <w:rPr>
      <w:sz w:val="20"/>
      <w:szCs w:val="20"/>
      <w:lang w:val="es-AR"/>
    </w:rPr>
  </w:style>
  <w:style w:type="paragraph" w:customStyle="1" w:styleId="DPWfdHDItalBold">
    <w:name w:val="DPWfd HD Ital Bold"/>
    <w:basedOn w:val="Normal"/>
    <w:next w:val="DPWfdPF"/>
    <w:rsid w:val="00B278E0"/>
    <w:pPr>
      <w:keepNext/>
      <w:spacing w:after="200"/>
      <w:ind w:left="187"/>
    </w:pPr>
    <w:rPr>
      <w:b/>
      <w:bCs/>
      <w:i/>
      <w:iCs/>
      <w:sz w:val="20"/>
      <w:szCs w:val="20"/>
      <w:lang w:val="en-US" w:eastAsia="en-US"/>
    </w:rPr>
  </w:style>
  <w:style w:type="paragraph" w:customStyle="1" w:styleId="BFnormalChar">
    <w:name w:val="_BFnormal Char"/>
    <w:basedOn w:val="Normal"/>
    <w:uiPriority w:val="99"/>
    <w:rsid w:val="00B278E0"/>
    <w:pPr>
      <w:overflowPunct w:val="0"/>
      <w:autoSpaceDE w:val="0"/>
      <w:autoSpaceDN w:val="0"/>
      <w:adjustRightInd w:val="0"/>
      <w:spacing w:after="240"/>
      <w:ind w:firstLine="720"/>
      <w:jc w:val="both"/>
    </w:pPr>
    <w:rPr>
      <w:sz w:val="18"/>
      <w:szCs w:val="20"/>
      <w:lang w:val="en-US"/>
    </w:rPr>
  </w:style>
  <w:style w:type="paragraph" w:customStyle="1" w:styleId="DPWfdtblbody10">
    <w:name w:val="DPWfd tbl body10"/>
    <w:aliases w:val="y1"/>
    <w:basedOn w:val="Normal"/>
    <w:uiPriority w:val="99"/>
    <w:rsid w:val="00B278E0"/>
    <w:pPr>
      <w:overflowPunct w:val="0"/>
      <w:autoSpaceDE w:val="0"/>
      <w:autoSpaceDN w:val="0"/>
      <w:adjustRightInd w:val="0"/>
      <w:spacing w:line="200" w:lineRule="exact"/>
      <w:jc w:val="both"/>
    </w:pPr>
    <w:rPr>
      <w:sz w:val="20"/>
      <w:szCs w:val="20"/>
      <w:lang w:val="en-US"/>
    </w:rPr>
  </w:style>
  <w:style w:type="paragraph" w:customStyle="1" w:styleId="BFitalhead">
    <w:name w:val="_BFitalhead"/>
    <w:basedOn w:val="Normal"/>
    <w:uiPriority w:val="99"/>
    <w:rsid w:val="00B278E0"/>
    <w:pPr>
      <w:keepNext/>
      <w:overflowPunct w:val="0"/>
      <w:autoSpaceDE w:val="0"/>
      <w:autoSpaceDN w:val="0"/>
      <w:adjustRightInd w:val="0"/>
      <w:spacing w:after="240"/>
      <w:ind w:firstLine="360"/>
      <w:jc w:val="both"/>
    </w:pPr>
    <w:rPr>
      <w:i/>
      <w:sz w:val="18"/>
      <w:szCs w:val="20"/>
      <w:lang w:val="en-US"/>
    </w:rPr>
  </w:style>
  <w:style w:type="paragraph" w:customStyle="1" w:styleId="TitleBoldItal">
    <w:name w:val="Title Bold/Ital"/>
    <w:basedOn w:val="Normal"/>
    <w:uiPriority w:val="99"/>
    <w:rsid w:val="00B278E0"/>
    <w:pPr>
      <w:keepNext/>
      <w:spacing w:after="240"/>
    </w:pPr>
    <w:rPr>
      <w:b/>
      <w:i/>
      <w:sz w:val="20"/>
      <w:lang w:val="en-US" w:eastAsia="en-US"/>
    </w:rPr>
  </w:style>
  <w:style w:type="paragraph" w:customStyle="1" w:styleId="NormaProspecto">
    <w:name w:val="Norma Prospecto"/>
    <w:basedOn w:val="Normal"/>
    <w:uiPriority w:val="99"/>
    <w:rsid w:val="00B278E0"/>
    <w:pPr>
      <w:overflowPunct w:val="0"/>
      <w:autoSpaceDE w:val="0"/>
      <w:autoSpaceDN w:val="0"/>
      <w:adjustRightInd w:val="0"/>
      <w:spacing w:after="120"/>
      <w:jc w:val="both"/>
    </w:pPr>
    <w:rPr>
      <w:sz w:val="20"/>
      <w:szCs w:val="20"/>
      <w:lang w:val="es-AR"/>
    </w:rPr>
  </w:style>
  <w:style w:type="paragraph" w:customStyle="1" w:styleId="RightPar8a">
    <w:name w:val="Right Par 8a"/>
    <w:uiPriority w:val="99"/>
    <w:rsid w:val="00B278E0"/>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Piedepgina0">
    <w:name w:val="Pie de p‡gina"/>
    <w:basedOn w:val="Normal"/>
    <w:uiPriority w:val="99"/>
    <w:rsid w:val="00B278E0"/>
    <w:pPr>
      <w:widowControl w:val="0"/>
      <w:tabs>
        <w:tab w:val="left" w:pos="-720"/>
        <w:tab w:val="left" w:pos="0"/>
        <w:tab w:val="center" w:pos="4252"/>
        <w:tab w:val="right" w:pos="8504"/>
      </w:tabs>
      <w:overflowPunct w:val="0"/>
      <w:autoSpaceDE w:val="0"/>
      <w:autoSpaceDN w:val="0"/>
      <w:adjustRightInd w:val="0"/>
    </w:pPr>
    <w:rPr>
      <w:spacing w:val="-2"/>
      <w:sz w:val="20"/>
      <w:szCs w:val="20"/>
      <w:lang w:val="es-AR"/>
    </w:rPr>
  </w:style>
  <w:style w:type="paragraph" w:customStyle="1" w:styleId="hpcarta0">
    <w:name w:val="hpcarta"/>
    <w:basedOn w:val="Normal"/>
    <w:uiPriority w:val="99"/>
    <w:rsid w:val="00B278E0"/>
    <w:pPr>
      <w:spacing w:line="360" w:lineRule="auto"/>
    </w:pPr>
    <w:rPr>
      <w:rFonts w:ascii="Courier" w:hAnsi="Courier"/>
      <w:lang w:val="es-AR"/>
    </w:rPr>
  </w:style>
  <w:style w:type="paragraph" w:customStyle="1" w:styleId="ListBullet1">
    <w:name w:val="List Bullet 1"/>
    <w:basedOn w:val="Normal"/>
    <w:uiPriority w:val="99"/>
    <w:rsid w:val="00B278E0"/>
    <w:pPr>
      <w:tabs>
        <w:tab w:val="num" w:pos="360"/>
      </w:tabs>
      <w:spacing w:after="240"/>
      <w:ind w:left="360" w:hanging="360"/>
      <w:jc w:val="both"/>
    </w:pPr>
    <w:rPr>
      <w:sz w:val="20"/>
      <w:lang w:val="en-US" w:eastAsia="en-US"/>
    </w:rPr>
  </w:style>
  <w:style w:type="paragraph" w:customStyle="1" w:styleId="Estilo1">
    <w:name w:val="Estilo1"/>
    <w:basedOn w:val="Normal"/>
    <w:uiPriority w:val="99"/>
    <w:rsid w:val="00B278E0"/>
    <w:pPr>
      <w:tabs>
        <w:tab w:val="left" w:pos="8640"/>
      </w:tabs>
      <w:spacing w:before="100" w:beforeAutospacing="1" w:after="100" w:afterAutospacing="1"/>
      <w:ind w:right="6"/>
      <w:jc w:val="both"/>
    </w:pPr>
    <w:rPr>
      <w:rFonts w:ascii="Sabon MT" w:hAnsi="Sabon MT"/>
      <w:sz w:val="20"/>
      <w:lang w:val="es-AR" w:eastAsia="en-US"/>
    </w:rPr>
  </w:style>
  <w:style w:type="paragraph" w:customStyle="1" w:styleId="NormalProspecto">
    <w:name w:val="Normal Prospecto"/>
    <w:basedOn w:val="Normal"/>
    <w:uiPriority w:val="99"/>
    <w:rsid w:val="00B278E0"/>
    <w:pPr>
      <w:overflowPunct w:val="0"/>
      <w:autoSpaceDE w:val="0"/>
      <w:autoSpaceDN w:val="0"/>
      <w:adjustRightInd w:val="0"/>
      <w:jc w:val="both"/>
    </w:pPr>
    <w:rPr>
      <w:sz w:val="20"/>
      <w:szCs w:val="20"/>
      <w:lang w:val="es-AR"/>
    </w:rPr>
  </w:style>
  <w:style w:type="paragraph" w:customStyle="1" w:styleId="DPWNormal">
    <w:name w:val="DPW Normal"/>
    <w:basedOn w:val="Normal"/>
    <w:uiPriority w:val="99"/>
    <w:rsid w:val="00B278E0"/>
    <w:pPr>
      <w:overflowPunct w:val="0"/>
      <w:autoSpaceDE w:val="0"/>
      <w:autoSpaceDN w:val="0"/>
      <w:adjustRightInd w:val="0"/>
    </w:pPr>
    <w:rPr>
      <w:sz w:val="20"/>
      <w:szCs w:val="20"/>
      <w:lang w:val="en-US"/>
    </w:rPr>
  </w:style>
  <w:style w:type="paragraph" w:customStyle="1" w:styleId="DPWfdtblhead8">
    <w:name w:val="DPWfd tbl head8"/>
    <w:aliases w:val="h8,Título 81"/>
    <w:basedOn w:val="Normal"/>
    <w:uiPriority w:val="99"/>
    <w:rsid w:val="00B278E0"/>
    <w:pPr>
      <w:overflowPunct w:val="0"/>
      <w:autoSpaceDE w:val="0"/>
      <w:autoSpaceDN w:val="0"/>
      <w:adjustRightInd w:val="0"/>
      <w:spacing w:before="20" w:after="40" w:line="180" w:lineRule="exact"/>
      <w:jc w:val="center"/>
    </w:pPr>
    <w:rPr>
      <w:b/>
      <w:sz w:val="16"/>
      <w:szCs w:val="20"/>
      <w:lang w:val="en-US"/>
    </w:rPr>
  </w:style>
  <w:style w:type="paragraph" w:customStyle="1" w:styleId="DPWfdtblnum10">
    <w:name w:val="DPWfd tbl num10"/>
    <w:basedOn w:val="Normal"/>
    <w:uiPriority w:val="99"/>
    <w:rsid w:val="00B278E0"/>
    <w:pPr>
      <w:overflowPunct w:val="0"/>
      <w:autoSpaceDE w:val="0"/>
      <w:autoSpaceDN w:val="0"/>
      <w:adjustRightInd w:val="0"/>
      <w:spacing w:line="200" w:lineRule="exact"/>
      <w:jc w:val="right"/>
    </w:pPr>
    <w:rPr>
      <w:sz w:val="20"/>
      <w:szCs w:val="20"/>
      <w:lang w:val="en-US"/>
    </w:rPr>
  </w:style>
  <w:style w:type="paragraph" w:customStyle="1" w:styleId="BodyText31">
    <w:name w:val="Body Text 31"/>
    <w:basedOn w:val="Normal"/>
    <w:uiPriority w:val="99"/>
    <w:rsid w:val="00B278E0"/>
    <w:pPr>
      <w:widowControl w:val="0"/>
      <w:tabs>
        <w:tab w:val="left" w:pos="0"/>
      </w:tabs>
      <w:suppressAutoHyphens/>
      <w:overflowPunct w:val="0"/>
      <w:autoSpaceDE w:val="0"/>
      <w:autoSpaceDN w:val="0"/>
      <w:adjustRightInd w:val="0"/>
      <w:ind w:right="-2"/>
      <w:jc w:val="both"/>
    </w:pPr>
    <w:rPr>
      <w:rFonts w:ascii="Courier" w:hAnsi="Courier"/>
      <w:spacing w:val="-2"/>
      <w:sz w:val="20"/>
      <w:szCs w:val="20"/>
    </w:rPr>
  </w:style>
  <w:style w:type="paragraph" w:customStyle="1" w:styleId="DPWfdtblftn9">
    <w:name w:val="DPWfd tbl ftn9"/>
    <w:basedOn w:val="Normal"/>
    <w:uiPriority w:val="99"/>
    <w:rsid w:val="00B278E0"/>
    <w:pPr>
      <w:spacing w:after="90"/>
      <w:ind w:left="360" w:hanging="360"/>
    </w:pPr>
    <w:rPr>
      <w:sz w:val="18"/>
      <w:szCs w:val="20"/>
      <w:lang w:val="en-US" w:eastAsia="en-US"/>
    </w:rPr>
  </w:style>
  <w:style w:type="paragraph" w:customStyle="1" w:styleId="DPWfdtblftnline">
    <w:name w:val="DPWfd tbl ftn line"/>
    <w:basedOn w:val="Normal"/>
    <w:next w:val="Normal"/>
    <w:uiPriority w:val="99"/>
    <w:rsid w:val="00B278E0"/>
    <w:pPr>
      <w:keepNext/>
      <w:pBdr>
        <w:bottom w:val="single" w:sz="4" w:space="1" w:color="auto"/>
      </w:pBdr>
      <w:spacing w:after="50"/>
      <w:ind w:right="7920"/>
    </w:pPr>
    <w:rPr>
      <w:sz w:val="10"/>
      <w:szCs w:val="10"/>
      <w:lang w:val="en-US" w:eastAsia="en-US"/>
    </w:rPr>
  </w:style>
  <w:style w:type="paragraph" w:customStyle="1" w:styleId="CG-Title-Center-Bold">
    <w:name w:val="CG-Title-Center-Bold"/>
    <w:aliases w:val="t1"/>
    <w:basedOn w:val="Normal"/>
    <w:next w:val="Normal"/>
    <w:uiPriority w:val="99"/>
    <w:rsid w:val="00B278E0"/>
    <w:pPr>
      <w:keepNext/>
      <w:spacing w:after="240"/>
      <w:jc w:val="center"/>
    </w:pPr>
    <w:rPr>
      <w:rFonts w:eastAsia="MS Mincho"/>
      <w:b/>
      <w:sz w:val="20"/>
      <w:szCs w:val="20"/>
      <w:lang w:val="en-US" w:eastAsia="en-US"/>
    </w:rPr>
  </w:style>
  <w:style w:type="paragraph" w:customStyle="1" w:styleId="CG-SingleSp1">
    <w:name w:val="CG-Single Sp 1"/>
    <w:aliases w:val="s3"/>
    <w:basedOn w:val="Normal"/>
    <w:uiPriority w:val="99"/>
    <w:rsid w:val="00B278E0"/>
    <w:pPr>
      <w:spacing w:after="240"/>
      <w:ind w:firstLine="1440"/>
    </w:pPr>
    <w:rPr>
      <w:rFonts w:eastAsia="MS Mincho"/>
      <w:sz w:val="20"/>
      <w:szCs w:val="20"/>
      <w:lang w:val="en-US" w:eastAsia="en-US"/>
    </w:rPr>
  </w:style>
  <w:style w:type="paragraph" w:customStyle="1" w:styleId="CG-Tablenote">
    <w:name w:val="CG-Tablenote"/>
    <w:aliases w:val="tn,TableNote"/>
    <w:basedOn w:val="Normal"/>
    <w:uiPriority w:val="99"/>
    <w:rsid w:val="00B278E0"/>
    <w:pPr>
      <w:tabs>
        <w:tab w:val="left" w:pos="360"/>
      </w:tabs>
      <w:ind w:left="360" w:hanging="360"/>
    </w:pPr>
    <w:rPr>
      <w:rFonts w:eastAsia="MS Mincho"/>
      <w:sz w:val="17"/>
      <w:szCs w:val="20"/>
      <w:lang w:eastAsia="en-US"/>
    </w:rPr>
  </w:style>
  <w:style w:type="paragraph" w:customStyle="1" w:styleId="CG-Bullet">
    <w:name w:val="CG-Bullet"/>
    <w:aliases w:val="b1,DPW Bullet1"/>
    <w:basedOn w:val="Normal"/>
    <w:uiPriority w:val="99"/>
    <w:rsid w:val="00B278E0"/>
    <w:pPr>
      <w:numPr>
        <w:numId w:val="4"/>
      </w:numPr>
      <w:spacing w:after="240"/>
    </w:pPr>
    <w:rPr>
      <w:rFonts w:eastAsia="MS Mincho"/>
      <w:sz w:val="20"/>
      <w:szCs w:val="20"/>
      <w:lang w:val="en-US" w:eastAsia="en-US"/>
    </w:rPr>
  </w:style>
  <w:style w:type="paragraph" w:customStyle="1" w:styleId="CG-Title-Left-Italic">
    <w:name w:val="CG-Title-Left-Italic"/>
    <w:aliases w:val="t6"/>
    <w:basedOn w:val="Normal"/>
    <w:next w:val="Normal"/>
    <w:uiPriority w:val="99"/>
    <w:rsid w:val="00B278E0"/>
    <w:pPr>
      <w:keepNext/>
      <w:spacing w:after="240"/>
    </w:pPr>
    <w:rPr>
      <w:rFonts w:eastAsia="MS Mincho"/>
      <w:i/>
      <w:sz w:val="20"/>
      <w:szCs w:val="20"/>
      <w:lang w:val="en-US" w:eastAsia="en-US"/>
    </w:rPr>
  </w:style>
  <w:style w:type="paragraph" w:customStyle="1" w:styleId="CG-Title-Left-Bold">
    <w:name w:val="CG-Title-Left-Bold"/>
    <w:aliases w:val="t3,Title LeftBold TOC3"/>
    <w:basedOn w:val="Normal"/>
    <w:next w:val="Normal"/>
    <w:uiPriority w:val="99"/>
    <w:rsid w:val="00B278E0"/>
    <w:pPr>
      <w:keepNext/>
      <w:spacing w:after="240"/>
    </w:pPr>
    <w:rPr>
      <w:rFonts w:eastAsia="MS Mincho"/>
      <w:b/>
      <w:sz w:val="20"/>
      <w:szCs w:val="20"/>
      <w:lang w:val="en-US" w:eastAsia="en-US"/>
    </w:rPr>
  </w:style>
  <w:style w:type="paragraph" w:customStyle="1" w:styleId="CG-Title-LeftBoldItalics">
    <w:name w:val="CG-Title-Left_Bold_Italics"/>
    <w:basedOn w:val="Normal"/>
    <w:uiPriority w:val="99"/>
    <w:rsid w:val="00B278E0"/>
    <w:pPr>
      <w:keepNext/>
      <w:spacing w:after="240"/>
    </w:pPr>
    <w:rPr>
      <w:rFonts w:eastAsia="MS Mincho"/>
      <w:b/>
      <w:bCs/>
      <w:i/>
      <w:sz w:val="20"/>
      <w:szCs w:val="20"/>
      <w:lang w:val="en-US" w:eastAsia="en-US"/>
    </w:rPr>
  </w:style>
  <w:style w:type="paragraph" w:customStyle="1" w:styleId="1">
    <w:name w:val="(1)"/>
    <w:basedOn w:val="Normal"/>
    <w:uiPriority w:val="99"/>
    <w:rsid w:val="00B278E0"/>
    <w:pPr>
      <w:numPr>
        <w:numId w:val="5"/>
      </w:numPr>
      <w:spacing w:after="240"/>
    </w:pPr>
    <w:rPr>
      <w:sz w:val="22"/>
      <w:szCs w:val="20"/>
      <w:lang w:val="en-US" w:eastAsia="en-US"/>
    </w:rPr>
  </w:style>
  <w:style w:type="paragraph" w:customStyle="1" w:styleId="STBListNumber1">
    <w:name w:val="STB List Number 1"/>
    <w:basedOn w:val="Normal"/>
    <w:qFormat/>
    <w:rsid w:val="00B278E0"/>
    <w:pPr>
      <w:numPr>
        <w:numId w:val="6"/>
      </w:numPr>
      <w:spacing w:after="240"/>
    </w:pPr>
    <w:rPr>
      <w:rFonts w:eastAsia="Calibri"/>
      <w:sz w:val="20"/>
      <w:lang w:val="en-US" w:eastAsia="en-US"/>
    </w:rPr>
  </w:style>
  <w:style w:type="paragraph" w:customStyle="1" w:styleId="L1">
    <w:name w:val="L1"/>
    <w:basedOn w:val="Normal"/>
    <w:uiPriority w:val="99"/>
    <w:qFormat/>
    <w:rsid w:val="00B278E0"/>
    <w:pPr>
      <w:spacing w:after="240"/>
      <w:ind w:firstLine="720"/>
    </w:pPr>
    <w:rPr>
      <w:rFonts w:eastAsia="Calibri" w:cs="Arial"/>
      <w:sz w:val="20"/>
      <w:lang w:val="en-US" w:eastAsia="en-US" w:bidi="en-US"/>
    </w:rPr>
  </w:style>
  <w:style w:type="paragraph" w:customStyle="1" w:styleId="L2">
    <w:name w:val="L2"/>
    <w:basedOn w:val="Normal"/>
    <w:uiPriority w:val="99"/>
    <w:qFormat/>
    <w:rsid w:val="00B278E0"/>
    <w:pPr>
      <w:tabs>
        <w:tab w:val="num" w:pos="1440"/>
      </w:tabs>
      <w:spacing w:after="240"/>
      <w:ind w:firstLine="720"/>
    </w:pPr>
    <w:rPr>
      <w:rFonts w:eastAsia="Calibri" w:cs="Arial"/>
      <w:sz w:val="20"/>
      <w:lang w:val="en-US" w:eastAsia="en-US"/>
    </w:rPr>
  </w:style>
  <w:style w:type="paragraph" w:customStyle="1" w:styleId="L3">
    <w:name w:val="L3"/>
    <w:basedOn w:val="Normal"/>
    <w:uiPriority w:val="99"/>
    <w:qFormat/>
    <w:rsid w:val="00B278E0"/>
    <w:pPr>
      <w:tabs>
        <w:tab w:val="num" w:pos="2160"/>
      </w:tabs>
      <w:spacing w:after="240"/>
      <w:ind w:left="720" w:firstLine="720"/>
    </w:pPr>
    <w:rPr>
      <w:rFonts w:eastAsia="Calibri" w:cs="Arial"/>
      <w:sz w:val="20"/>
      <w:lang w:val="en-US" w:eastAsia="en-US"/>
    </w:rPr>
  </w:style>
  <w:style w:type="paragraph" w:customStyle="1" w:styleId="L4">
    <w:name w:val="L4"/>
    <w:basedOn w:val="Normal"/>
    <w:uiPriority w:val="99"/>
    <w:qFormat/>
    <w:rsid w:val="00B278E0"/>
    <w:pPr>
      <w:tabs>
        <w:tab w:val="num" w:pos="2880"/>
      </w:tabs>
      <w:spacing w:after="240"/>
      <w:ind w:left="1440" w:firstLine="720"/>
    </w:pPr>
    <w:rPr>
      <w:rFonts w:eastAsia="Calibri" w:cs="Arial"/>
      <w:sz w:val="20"/>
      <w:lang w:val="en-US" w:eastAsia="en-US"/>
    </w:rPr>
  </w:style>
  <w:style w:type="paragraph" w:customStyle="1" w:styleId="L5">
    <w:name w:val="L5"/>
    <w:basedOn w:val="Normal"/>
    <w:uiPriority w:val="99"/>
    <w:rsid w:val="00B278E0"/>
    <w:pPr>
      <w:tabs>
        <w:tab w:val="num" w:pos="3600"/>
      </w:tabs>
      <w:spacing w:after="240"/>
      <w:ind w:left="2160" w:firstLine="720"/>
    </w:pPr>
    <w:rPr>
      <w:rFonts w:eastAsia="Calibri" w:cs="Arial"/>
      <w:sz w:val="20"/>
      <w:lang w:val="en-US" w:eastAsia="en-US"/>
    </w:rPr>
  </w:style>
  <w:style w:type="paragraph" w:customStyle="1" w:styleId="L6">
    <w:name w:val="L6"/>
    <w:basedOn w:val="Normal"/>
    <w:uiPriority w:val="99"/>
    <w:qFormat/>
    <w:rsid w:val="00B278E0"/>
    <w:pPr>
      <w:tabs>
        <w:tab w:val="num" w:pos="1440"/>
      </w:tabs>
      <w:spacing w:after="240"/>
      <w:ind w:firstLine="720"/>
    </w:pPr>
    <w:rPr>
      <w:rFonts w:eastAsia="Calibri" w:cs="Arial"/>
      <w:sz w:val="20"/>
      <w:lang w:val="en-US" w:eastAsia="en-US" w:bidi="en-US"/>
    </w:rPr>
  </w:style>
  <w:style w:type="paragraph" w:customStyle="1" w:styleId="L7">
    <w:name w:val="L7"/>
    <w:basedOn w:val="Normal"/>
    <w:uiPriority w:val="99"/>
    <w:qFormat/>
    <w:rsid w:val="00B278E0"/>
    <w:pPr>
      <w:tabs>
        <w:tab w:val="num" w:pos="1440"/>
      </w:tabs>
      <w:spacing w:after="240"/>
      <w:ind w:firstLine="720"/>
    </w:pPr>
    <w:rPr>
      <w:rFonts w:eastAsia="Calibri" w:cs="Arial"/>
      <w:sz w:val="20"/>
      <w:lang w:val="en-US" w:eastAsia="en-US" w:bidi="en-US"/>
    </w:rPr>
  </w:style>
  <w:style w:type="paragraph" w:customStyle="1" w:styleId="L8">
    <w:name w:val="L8"/>
    <w:basedOn w:val="Normal"/>
    <w:uiPriority w:val="99"/>
    <w:qFormat/>
    <w:rsid w:val="00B278E0"/>
    <w:pPr>
      <w:tabs>
        <w:tab w:val="num" w:pos="2160"/>
      </w:tabs>
      <w:spacing w:after="240"/>
      <w:ind w:left="720" w:firstLine="720"/>
    </w:pPr>
    <w:rPr>
      <w:rFonts w:eastAsia="Calibri" w:cs="Arial"/>
      <w:sz w:val="20"/>
      <w:lang w:val="en-US" w:eastAsia="en-US"/>
    </w:rPr>
  </w:style>
  <w:style w:type="paragraph" w:customStyle="1" w:styleId="L9">
    <w:name w:val="L9"/>
    <w:basedOn w:val="Normal"/>
    <w:uiPriority w:val="99"/>
    <w:qFormat/>
    <w:rsid w:val="00B278E0"/>
    <w:pPr>
      <w:numPr>
        <w:ilvl w:val="8"/>
        <w:numId w:val="7"/>
      </w:numPr>
      <w:spacing w:after="240"/>
    </w:pPr>
    <w:rPr>
      <w:rFonts w:eastAsia="Calibri" w:cs="Arial"/>
      <w:sz w:val="20"/>
      <w:lang w:val="en-US" w:eastAsia="en-US"/>
    </w:rPr>
  </w:style>
  <w:style w:type="character" w:customStyle="1" w:styleId="texto1">
    <w:name w:val="texto1"/>
    <w:rsid w:val="00B278E0"/>
    <w:rPr>
      <w:rFonts w:ascii="Verdana" w:hAnsi="Verdana" w:hint="default"/>
      <w:strike w:val="0"/>
      <w:dstrike w:val="0"/>
      <w:color w:val="666666"/>
      <w:sz w:val="15"/>
      <w:szCs w:val="15"/>
      <w:u w:val="none"/>
      <w:effect w:val="none"/>
    </w:rPr>
  </w:style>
  <w:style w:type="character" w:customStyle="1" w:styleId="DeltaViewMoveSource">
    <w:name w:val="DeltaView Move Source"/>
    <w:uiPriority w:val="99"/>
    <w:rsid w:val="00B278E0"/>
    <w:rPr>
      <w:strike/>
      <w:color w:val="00C000"/>
      <w:spacing w:val="0"/>
    </w:rPr>
  </w:style>
  <w:style w:type="character" w:customStyle="1" w:styleId="BodyText2SglChar">
    <w:name w:val="Body Text 2 Sgl Char"/>
    <w:rsid w:val="00B278E0"/>
    <w:rPr>
      <w:rFonts w:ascii="Arial" w:eastAsia="SimSun" w:hAnsi="Arial" w:cs="Arial" w:hint="default"/>
      <w:sz w:val="24"/>
      <w:szCs w:val="24"/>
      <w:lang w:val="en-US" w:eastAsia="zh-TW" w:bidi="ar-SA"/>
    </w:rPr>
  </w:style>
  <w:style w:type="character" w:customStyle="1" w:styleId="DPWfdPFChar">
    <w:name w:val="DPW fd PF Char"/>
    <w:locked/>
    <w:rsid w:val="00B278E0"/>
    <w:rPr>
      <w:lang w:val="en-US" w:eastAsia="es-ES" w:bidi="ar-SA"/>
    </w:rPr>
  </w:style>
  <w:style w:type="character" w:customStyle="1" w:styleId="DPWfdHDItalBoldChar">
    <w:name w:val="DPWfd HD Ital Bold Char"/>
    <w:locked/>
    <w:rsid w:val="00B278E0"/>
    <w:rPr>
      <w:b/>
      <w:bCs/>
      <w:i/>
      <w:iCs/>
      <w:lang w:val="en-US" w:eastAsia="en-US" w:bidi="ar-SA"/>
    </w:rPr>
  </w:style>
  <w:style w:type="character" w:customStyle="1" w:styleId="Table10pt">
    <w:name w:val="Table 10pt"/>
    <w:uiPriority w:val="1"/>
    <w:qFormat/>
    <w:rsid w:val="00B278E0"/>
    <w:rPr>
      <w:rFonts w:ascii="Times New Roman" w:hAnsi="Times New Roman" w:cs="Times New Roman" w:hint="default"/>
      <w:sz w:val="20"/>
    </w:rPr>
  </w:style>
  <w:style w:type="paragraph" w:customStyle="1" w:styleId="BHTexto">
    <w:name w:val="BH Texto"/>
    <w:basedOn w:val="Normal"/>
    <w:link w:val="BHTextoCar"/>
    <w:qFormat/>
    <w:rsid w:val="00C96336"/>
    <w:pPr>
      <w:autoSpaceDE w:val="0"/>
      <w:autoSpaceDN w:val="0"/>
      <w:adjustRightInd w:val="0"/>
      <w:spacing w:before="120" w:after="120"/>
      <w:jc w:val="both"/>
    </w:pPr>
    <w:rPr>
      <w:rFonts w:eastAsia="Calibri"/>
      <w:sz w:val="20"/>
      <w:szCs w:val="20"/>
      <w:lang w:val="en-US" w:eastAsia="es-AR"/>
    </w:rPr>
  </w:style>
  <w:style w:type="character" w:customStyle="1" w:styleId="highlight">
    <w:name w:val="highlight"/>
    <w:rsid w:val="00027657"/>
  </w:style>
  <w:style w:type="character" w:styleId="Textodelmarcadordeposicin">
    <w:name w:val="Placeholder Text"/>
    <w:uiPriority w:val="99"/>
    <w:semiHidden/>
    <w:rsid w:val="00A13595"/>
    <w:rPr>
      <w:color w:val="808080"/>
    </w:rPr>
  </w:style>
  <w:style w:type="paragraph" w:customStyle="1" w:styleId="Char1">
    <w:name w:val="Char1"/>
    <w:basedOn w:val="Normal"/>
    <w:rsid w:val="00F14DC8"/>
    <w:pPr>
      <w:spacing w:after="160" w:line="240" w:lineRule="exact"/>
    </w:pPr>
    <w:rPr>
      <w:rFonts w:ascii="Verdana" w:eastAsia="PMingLiU" w:hAnsi="Verdana"/>
      <w:sz w:val="20"/>
      <w:szCs w:val="20"/>
      <w:lang w:val="en-US" w:eastAsia="en-US"/>
    </w:rPr>
  </w:style>
  <w:style w:type="paragraph" w:customStyle="1" w:styleId="TableNote">
    <w:name w:val="Table Note"/>
    <w:basedOn w:val="Normal"/>
    <w:qFormat/>
    <w:rsid w:val="00EB3E97"/>
    <w:pPr>
      <w:spacing w:after="240"/>
      <w:ind w:left="360" w:hanging="360"/>
    </w:pPr>
    <w:rPr>
      <w:rFonts w:eastAsia="Calibri"/>
      <w:sz w:val="17"/>
      <w:szCs w:val="17"/>
      <w:lang w:val="es-AR"/>
    </w:rPr>
  </w:style>
  <w:style w:type="paragraph" w:customStyle="1" w:styleId="TitleL">
    <w:name w:val="Title L"/>
    <w:basedOn w:val="Normal"/>
    <w:qFormat/>
    <w:rsid w:val="005168A1"/>
    <w:pPr>
      <w:keepNext/>
      <w:spacing w:after="240"/>
    </w:pPr>
    <w:rPr>
      <w:rFonts w:eastAsia="Calibri"/>
      <w:b/>
      <w:bCs/>
      <w:sz w:val="20"/>
      <w:szCs w:val="20"/>
      <w:lang w:val="es-AR"/>
    </w:rPr>
  </w:style>
  <w:style w:type="character" w:customStyle="1" w:styleId="TableNotesChar">
    <w:name w:val="Table Notes Char"/>
    <w:link w:val="TableNotes"/>
    <w:locked/>
    <w:rsid w:val="00D16104"/>
    <w:rPr>
      <w:sz w:val="16"/>
      <w:szCs w:val="24"/>
    </w:rPr>
  </w:style>
  <w:style w:type="paragraph" w:customStyle="1" w:styleId="TableNotes">
    <w:name w:val="Table Notes"/>
    <w:basedOn w:val="Normal"/>
    <w:link w:val="TableNotesChar"/>
    <w:qFormat/>
    <w:rsid w:val="00D16104"/>
    <w:pPr>
      <w:spacing w:after="120"/>
      <w:ind w:left="360" w:hanging="360"/>
      <w:jc w:val="both"/>
    </w:pPr>
    <w:rPr>
      <w:sz w:val="16"/>
      <w:lang w:val="es-AR" w:eastAsia="es-AR"/>
    </w:rPr>
  </w:style>
  <w:style w:type="paragraph" w:customStyle="1" w:styleId="Subtitle3">
    <w:name w:val="Subtitle 3"/>
    <w:basedOn w:val="Normal"/>
    <w:uiPriority w:val="99"/>
    <w:rsid w:val="005F5422"/>
    <w:pPr>
      <w:keepNext/>
      <w:spacing w:after="120"/>
      <w:ind w:firstLine="720"/>
      <w:jc w:val="both"/>
    </w:pPr>
    <w:rPr>
      <w:rFonts w:eastAsia="Calibri"/>
      <w:b/>
      <w:bCs/>
      <w:i/>
      <w:iCs/>
      <w:sz w:val="20"/>
      <w:szCs w:val="20"/>
      <w:lang w:val="es-AR" w:eastAsia="en-US"/>
    </w:rPr>
  </w:style>
  <w:style w:type="paragraph" w:styleId="Revisin">
    <w:name w:val="Revision"/>
    <w:hidden/>
    <w:uiPriority w:val="99"/>
    <w:rsid w:val="002E44C0"/>
    <w:rPr>
      <w:sz w:val="24"/>
      <w:szCs w:val="24"/>
      <w:lang w:val="es-ES" w:eastAsia="es-ES"/>
    </w:rPr>
  </w:style>
  <w:style w:type="paragraph" w:customStyle="1" w:styleId="s1-99396">
    <w:name w:val="s1-99396"/>
    <w:basedOn w:val="Normal"/>
    <w:rsid w:val="00203908"/>
    <w:pPr>
      <w:spacing w:before="100" w:beforeAutospacing="1" w:after="100" w:afterAutospacing="1"/>
    </w:pPr>
    <w:rPr>
      <w:lang w:val="es-AR" w:eastAsia="es-AR"/>
    </w:rPr>
  </w:style>
  <w:style w:type="paragraph" w:customStyle="1" w:styleId="s7-99396">
    <w:name w:val="s7-99396"/>
    <w:basedOn w:val="Normal"/>
    <w:rsid w:val="00203908"/>
    <w:pPr>
      <w:spacing w:before="100" w:beforeAutospacing="1" w:after="100" w:afterAutospacing="1"/>
    </w:pPr>
    <w:rPr>
      <w:lang w:val="es-AR" w:eastAsia="es-AR"/>
    </w:rPr>
  </w:style>
  <w:style w:type="paragraph" w:customStyle="1" w:styleId="BodyBlock">
    <w:name w:val="BodyBlock"/>
    <w:basedOn w:val="Normal"/>
    <w:link w:val="BodyBlockChar"/>
    <w:uiPriority w:val="99"/>
    <w:rsid w:val="00CD0BEF"/>
    <w:pPr>
      <w:tabs>
        <w:tab w:val="left" w:pos="432"/>
      </w:tabs>
      <w:spacing w:after="120" w:line="240" w:lineRule="atLeast"/>
      <w:jc w:val="both"/>
    </w:pPr>
    <w:rPr>
      <w:sz w:val="21"/>
      <w:szCs w:val="20"/>
      <w:lang w:val="en-US" w:eastAsia="en-US"/>
    </w:rPr>
  </w:style>
  <w:style w:type="character" w:customStyle="1" w:styleId="BodyBlockChar">
    <w:name w:val="BodyBlock Char"/>
    <w:link w:val="BodyBlock"/>
    <w:locked/>
    <w:rsid w:val="00CD0BEF"/>
    <w:rPr>
      <w:sz w:val="21"/>
      <w:lang w:val="en-US" w:eastAsia="en-US"/>
    </w:rPr>
  </w:style>
  <w:style w:type="character" w:customStyle="1" w:styleId="Mencinsinresolver1">
    <w:name w:val="Mención sin resolver1"/>
    <w:uiPriority w:val="99"/>
    <w:semiHidden/>
    <w:unhideWhenUsed/>
    <w:rsid w:val="00A940B8"/>
    <w:rPr>
      <w:color w:val="808080"/>
      <w:shd w:val="clear" w:color="auto" w:fill="E6E6E6"/>
    </w:rPr>
  </w:style>
  <w:style w:type="paragraph" w:customStyle="1" w:styleId="TableText">
    <w:name w:val="Table Text"/>
    <w:basedOn w:val="Textoindependiente"/>
    <w:rsid w:val="00FD0A90"/>
    <w:pPr>
      <w:spacing w:after="240"/>
      <w:jc w:val="both"/>
    </w:pPr>
    <w:rPr>
      <w:sz w:val="20"/>
      <w:lang w:val="en-US" w:eastAsia="en-US"/>
    </w:rPr>
  </w:style>
  <w:style w:type="paragraph" w:customStyle="1" w:styleId="Cell-Item">
    <w:name w:val="Cell-Item"/>
    <w:basedOn w:val="Normal"/>
    <w:rsid w:val="00FD0A90"/>
    <w:pPr>
      <w:tabs>
        <w:tab w:val="right" w:leader="dot" w:pos="7200"/>
      </w:tabs>
      <w:spacing w:after="40" w:line="240" w:lineRule="atLeast"/>
      <w:ind w:left="144" w:hanging="144"/>
    </w:pPr>
    <w:rPr>
      <w:sz w:val="21"/>
      <w:szCs w:val="20"/>
      <w:lang w:val="es-AR" w:eastAsia="en-US"/>
    </w:rPr>
  </w:style>
  <w:style w:type="paragraph" w:customStyle="1" w:styleId="Cell-Data">
    <w:name w:val="Cell-Data"/>
    <w:basedOn w:val="Normal"/>
    <w:uiPriority w:val="99"/>
    <w:rsid w:val="00FD0A90"/>
    <w:pPr>
      <w:spacing w:after="40" w:line="240" w:lineRule="atLeast"/>
      <w:jc w:val="right"/>
    </w:pPr>
    <w:rPr>
      <w:sz w:val="21"/>
      <w:szCs w:val="20"/>
      <w:lang w:val="es-AR" w:eastAsia="en-US"/>
    </w:rPr>
  </w:style>
  <w:style w:type="paragraph" w:customStyle="1" w:styleId="BodyText2SglJ">
    <w:name w:val="Body Text 2 Sgl J"/>
    <w:basedOn w:val="Normal"/>
    <w:link w:val="BodyText2SglJChar"/>
    <w:qFormat/>
    <w:rsid w:val="00FD0A90"/>
    <w:pPr>
      <w:spacing w:after="240"/>
      <w:ind w:firstLine="720"/>
      <w:jc w:val="both"/>
    </w:pPr>
    <w:rPr>
      <w:rFonts w:eastAsia="Calibri"/>
      <w:sz w:val="20"/>
      <w:lang w:val="en-US" w:eastAsia="en-US"/>
    </w:rPr>
  </w:style>
  <w:style w:type="character" w:customStyle="1" w:styleId="BodyText2SglJChar">
    <w:name w:val="Body Text 2 Sgl J Char"/>
    <w:link w:val="BodyText2SglJ"/>
    <w:rsid w:val="00FD0A90"/>
    <w:rPr>
      <w:rFonts w:eastAsia="Calibri"/>
      <w:szCs w:val="24"/>
      <w:lang w:val="en-US" w:eastAsia="en-US"/>
    </w:rPr>
  </w:style>
  <w:style w:type="paragraph" w:customStyle="1" w:styleId="SmCell-Item">
    <w:name w:val="SmCell-Item"/>
    <w:basedOn w:val="Normal"/>
    <w:rsid w:val="00FD0A90"/>
    <w:pPr>
      <w:tabs>
        <w:tab w:val="right" w:leader="dot" w:pos="7200"/>
      </w:tabs>
      <w:spacing w:after="40" w:line="220" w:lineRule="exact"/>
      <w:ind w:left="144" w:hanging="144"/>
    </w:pPr>
    <w:rPr>
      <w:sz w:val="19"/>
      <w:szCs w:val="20"/>
      <w:lang w:val="en-US" w:eastAsia="en-US"/>
    </w:rPr>
  </w:style>
  <w:style w:type="paragraph" w:customStyle="1" w:styleId="Cell-Hed">
    <w:name w:val="Cell-Hed"/>
    <w:basedOn w:val="Normal"/>
    <w:uiPriority w:val="99"/>
    <w:rsid w:val="00FD0A90"/>
    <w:pPr>
      <w:keepNext/>
      <w:spacing w:before="40" w:after="20" w:line="220" w:lineRule="exact"/>
      <w:jc w:val="center"/>
    </w:pPr>
    <w:rPr>
      <w:b/>
      <w:sz w:val="19"/>
      <w:szCs w:val="20"/>
      <w:lang w:val="es-AR" w:eastAsia="en-US"/>
    </w:rPr>
  </w:style>
  <w:style w:type="paragraph" w:customStyle="1" w:styleId="TableNotesLine">
    <w:name w:val="Table Notes Line"/>
    <w:basedOn w:val="Normal"/>
    <w:next w:val="Normal"/>
    <w:qFormat/>
    <w:rsid w:val="00FD0A90"/>
    <w:pPr>
      <w:pBdr>
        <w:bottom w:val="single" w:sz="4" w:space="1" w:color="auto"/>
      </w:pBdr>
      <w:spacing w:after="60"/>
      <w:ind w:right="7920"/>
    </w:pPr>
    <w:rPr>
      <w:rFonts w:eastAsia="Calibri"/>
      <w:sz w:val="20"/>
      <w:lang w:val="en-US" w:eastAsia="en-US"/>
    </w:rPr>
  </w:style>
  <w:style w:type="paragraph" w:customStyle="1" w:styleId="BlockTextSgl">
    <w:name w:val="Block Text Sgl"/>
    <w:basedOn w:val="Normal"/>
    <w:qFormat/>
    <w:rsid w:val="00FD0A90"/>
    <w:pPr>
      <w:spacing w:after="240"/>
    </w:pPr>
    <w:rPr>
      <w:rFonts w:eastAsia="Calibri"/>
      <w:sz w:val="20"/>
      <w:lang w:val="en-US" w:eastAsia="en-US"/>
    </w:rPr>
  </w:style>
  <w:style w:type="paragraph" w:customStyle="1" w:styleId="TitleBI">
    <w:name w:val="Title BI"/>
    <w:basedOn w:val="Normal"/>
    <w:next w:val="Normal"/>
    <w:uiPriority w:val="99"/>
    <w:qFormat/>
    <w:rsid w:val="00FD0A90"/>
    <w:pPr>
      <w:keepNext/>
      <w:spacing w:after="240"/>
    </w:pPr>
    <w:rPr>
      <w:rFonts w:eastAsia="Calibri"/>
      <w:b/>
      <w:i/>
      <w:sz w:val="20"/>
      <w:lang w:val="en-US" w:eastAsia="en-US"/>
    </w:rPr>
  </w:style>
  <w:style w:type="paragraph" w:customStyle="1" w:styleId="TitleItalics">
    <w:name w:val="Title Italics"/>
    <w:basedOn w:val="Normal"/>
    <w:qFormat/>
    <w:rsid w:val="00FD0A90"/>
    <w:pPr>
      <w:spacing w:after="240"/>
    </w:pPr>
    <w:rPr>
      <w:rFonts w:ascii="Times New Roman Italic" w:hAnsi="Times New Roman Italic"/>
      <w:i/>
      <w:sz w:val="20"/>
      <w:lang w:val="en-US" w:eastAsia="en-US"/>
    </w:rPr>
  </w:style>
  <w:style w:type="character" w:customStyle="1" w:styleId="Table9pt">
    <w:name w:val="Table 9pt"/>
    <w:uiPriority w:val="1"/>
    <w:qFormat/>
    <w:rsid w:val="00FD0A90"/>
    <w:rPr>
      <w:rFonts w:ascii="Times New Roman" w:hAnsi="Times New Roman"/>
      <w:sz w:val="18"/>
    </w:rPr>
  </w:style>
  <w:style w:type="paragraph" w:customStyle="1" w:styleId="VSmCell-Data">
    <w:name w:val="VSmCell-Data"/>
    <w:basedOn w:val="Normal"/>
    <w:rsid w:val="00FD0A90"/>
    <w:pPr>
      <w:widowControl w:val="0"/>
      <w:autoSpaceDE w:val="0"/>
      <w:autoSpaceDN w:val="0"/>
      <w:adjustRightInd w:val="0"/>
      <w:spacing w:after="40" w:line="200" w:lineRule="exact"/>
      <w:jc w:val="right"/>
    </w:pPr>
    <w:rPr>
      <w:sz w:val="17"/>
      <w:szCs w:val="17"/>
      <w:lang w:val="en-GB"/>
    </w:rPr>
  </w:style>
  <w:style w:type="paragraph" w:customStyle="1" w:styleId="SmCell-Hed">
    <w:name w:val="SmCell-Hed"/>
    <w:basedOn w:val="Normal"/>
    <w:rsid w:val="00CD44B7"/>
    <w:pPr>
      <w:keepNext/>
      <w:spacing w:before="40" w:after="20" w:line="220" w:lineRule="exact"/>
      <w:jc w:val="center"/>
    </w:pPr>
    <w:rPr>
      <w:b/>
      <w:sz w:val="17"/>
      <w:szCs w:val="20"/>
      <w:lang w:val="en-US" w:eastAsia="en-US"/>
    </w:rPr>
  </w:style>
  <w:style w:type="paragraph" w:customStyle="1" w:styleId="SmCell-Data">
    <w:name w:val="SmCell-Data"/>
    <w:basedOn w:val="Normal"/>
    <w:rsid w:val="00CD44B7"/>
    <w:pPr>
      <w:spacing w:after="40" w:line="220" w:lineRule="exact"/>
      <w:jc w:val="right"/>
    </w:pPr>
    <w:rPr>
      <w:sz w:val="19"/>
      <w:szCs w:val="20"/>
      <w:lang w:val="en-US" w:eastAsia="en-US"/>
    </w:rPr>
  </w:style>
  <w:style w:type="table" w:customStyle="1" w:styleId="Tablaconcuadrcula2">
    <w:name w:val="Tabla con cuadrícula2"/>
    <w:basedOn w:val="Tablanormal"/>
    <w:next w:val="Tablaconcuadrcula"/>
    <w:rsid w:val="0096763E"/>
    <w:pPr>
      <w:adjustRightInd w:val="0"/>
    </w:pPr>
    <w:rPr>
      <w:rFonts w:ascii="Calibri" w:eastAsia="Calibri" w:hAnsi="Calibri" w:cs="Calibri"/>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character" w:customStyle="1" w:styleId="Table7pt">
    <w:name w:val="Table 7pt"/>
    <w:qFormat/>
    <w:rsid w:val="0096763E"/>
    <w:rPr>
      <w:rFonts w:ascii="Times New Roman" w:hAnsi="Times New Roman"/>
      <w:b w:val="0"/>
      <w:i w:val="0"/>
      <w:sz w:val="14"/>
    </w:rPr>
  </w:style>
  <w:style w:type="paragraph" w:customStyle="1" w:styleId="TableBullet2">
    <w:name w:val="Table Bullet2"/>
    <w:basedOn w:val="Normal"/>
    <w:rsid w:val="0094758D"/>
    <w:pPr>
      <w:numPr>
        <w:numId w:val="13"/>
      </w:numPr>
      <w:tabs>
        <w:tab w:val="clear" w:pos="720"/>
        <w:tab w:val="left" w:pos="960"/>
        <w:tab w:val="num" w:pos="1080"/>
      </w:tabs>
      <w:spacing w:before="40" w:after="40"/>
      <w:ind w:left="1080"/>
    </w:pPr>
    <w:rPr>
      <w:sz w:val="18"/>
      <w:szCs w:val="18"/>
      <w:lang w:eastAsia="en-US"/>
    </w:rPr>
  </w:style>
  <w:style w:type="character" w:customStyle="1" w:styleId="Listaconvietas3Car">
    <w:name w:val="Lista con viñetas 3 Car"/>
    <w:link w:val="Listaconvietas3"/>
    <w:uiPriority w:val="99"/>
    <w:rsid w:val="00C34179"/>
    <w:rPr>
      <w:lang w:val="es-AR"/>
    </w:rPr>
  </w:style>
  <w:style w:type="paragraph" w:customStyle="1" w:styleId="TableText1">
    <w:name w:val="Table Text 1"/>
    <w:basedOn w:val="Normal"/>
    <w:rsid w:val="00453222"/>
    <w:pPr>
      <w:spacing w:after="60"/>
      <w:ind w:left="482" w:hanging="482"/>
      <w:jc w:val="both"/>
    </w:pPr>
    <w:rPr>
      <w:sz w:val="16"/>
      <w:szCs w:val="16"/>
      <w:lang w:val="en-US" w:eastAsia="en-US"/>
    </w:rPr>
  </w:style>
  <w:style w:type="paragraph" w:customStyle="1" w:styleId="TitleI">
    <w:name w:val="Title I"/>
    <w:basedOn w:val="Normal"/>
    <w:next w:val="Normal"/>
    <w:qFormat/>
    <w:rsid w:val="00453222"/>
    <w:pPr>
      <w:keepNext/>
      <w:spacing w:after="240"/>
    </w:pPr>
    <w:rPr>
      <w:rFonts w:eastAsia="Calibri"/>
      <w:i/>
      <w:sz w:val="20"/>
      <w:lang w:val="en-US" w:eastAsia="en-US"/>
    </w:rPr>
  </w:style>
  <w:style w:type="paragraph" w:customStyle="1" w:styleId="TableParagraph">
    <w:name w:val="Table Paragraph"/>
    <w:basedOn w:val="Normal"/>
    <w:uiPriority w:val="1"/>
    <w:qFormat/>
    <w:rsid w:val="00453222"/>
    <w:pPr>
      <w:widowControl w:val="0"/>
      <w:autoSpaceDE w:val="0"/>
      <w:autoSpaceDN w:val="0"/>
    </w:pPr>
    <w:rPr>
      <w:sz w:val="22"/>
      <w:szCs w:val="22"/>
      <w:lang w:bidi="es-ES"/>
    </w:rPr>
  </w:style>
  <w:style w:type="paragraph" w:customStyle="1" w:styleId="2Leveliblock">
    <w:name w:val="2Level–(i)block"/>
    <w:basedOn w:val="Normal"/>
    <w:rsid w:val="00453222"/>
    <w:pPr>
      <w:numPr>
        <w:ilvl w:val="1"/>
        <w:numId w:val="15"/>
      </w:numPr>
      <w:spacing w:after="120" w:line="240" w:lineRule="atLeast"/>
      <w:jc w:val="both"/>
      <w:outlineLvl w:val="1"/>
    </w:pPr>
    <w:rPr>
      <w:sz w:val="21"/>
      <w:szCs w:val="20"/>
      <w:lang w:val="en-US" w:eastAsia="en-US"/>
    </w:rPr>
  </w:style>
  <w:style w:type="numbering" w:customStyle="1" w:styleId="NoList1">
    <w:name w:val="No List1"/>
    <w:next w:val="Sinlista"/>
    <w:semiHidden/>
    <w:rsid w:val="00453222"/>
  </w:style>
  <w:style w:type="paragraph" w:customStyle="1" w:styleId="zCPMatter">
    <w:name w:val="zCPMatter"/>
    <w:basedOn w:val="Normal"/>
    <w:rsid w:val="00453222"/>
    <w:rPr>
      <w:color w:val="FFFFFF"/>
      <w:lang w:val="en-US" w:eastAsia="en-US"/>
    </w:rPr>
  </w:style>
  <w:style w:type="paragraph" w:customStyle="1" w:styleId="PCDOCSFooter">
    <w:name w:val="PCDOCSFooter"/>
    <w:basedOn w:val="zCPMatter"/>
    <w:rsid w:val="00453222"/>
    <w:pPr>
      <w:spacing w:after="240"/>
    </w:pPr>
    <w:rPr>
      <w:sz w:val="14"/>
    </w:rPr>
  </w:style>
  <w:style w:type="paragraph" w:customStyle="1" w:styleId="PCDOCSFirstFooter">
    <w:name w:val="PCDOCSFirstFooter"/>
    <w:basedOn w:val="PCDOCSFooter"/>
    <w:rsid w:val="00453222"/>
  </w:style>
  <w:style w:type="paragraph" w:customStyle="1" w:styleId="PCDOCSLastFooter">
    <w:name w:val="PCDOCSLastFooter"/>
    <w:basedOn w:val="PCDOCSFooter"/>
    <w:rsid w:val="00453222"/>
    <w:pPr>
      <w:framePr w:w="8640" w:hSpace="187" w:vSpace="187" w:wrap="around" w:vAnchor="page" w:hAnchor="text" w:yAlign="bottom"/>
      <w:spacing w:after="360"/>
    </w:pPr>
  </w:style>
  <w:style w:type="paragraph" w:customStyle="1" w:styleId="Subtitle1">
    <w:name w:val="Subtitle1"/>
    <w:basedOn w:val="Textoindependiente"/>
    <w:link w:val="Subtitle1Char"/>
    <w:rsid w:val="00453222"/>
    <w:pPr>
      <w:keepNext/>
      <w:spacing w:after="240"/>
      <w:jc w:val="both"/>
    </w:pPr>
    <w:rPr>
      <w:rFonts w:ascii="Times New Roman Bold" w:hAnsi="Times New Roman Bold"/>
      <w:b/>
      <w:sz w:val="20"/>
      <w:lang w:val="en-US" w:eastAsia="en-US"/>
    </w:rPr>
  </w:style>
  <w:style w:type="paragraph" w:customStyle="1" w:styleId="CoverText">
    <w:name w:val="Cover Text"/>
    <w:basedOn w:val="Ttulo"/>
    <w:rsid w:val="00453222"/>
    <w:pPr>
      <w:jc w:val="center"/>
      <w:outlineLvl w:val="0"/>
    </w:pPr>
    <w:rPr>
      <w:rFonts w:eastAsia="Times New Roman"/>
      <w:b/>
      <w:bCs/>
      <w:kern w:val="28"/>
    </w:rPr>
  </w:style>
  <w:style w:type="paragraph" w:customStyle="1" w:styleId="Subtitle2">
    <w:name w:val="Subtitle2"/>
    <w:basedOn w:val="Textoindependiente2"/>
    <w:rsid w:val="00453222"/>
    <w:pPr>
      <w:keepNext/>
      <w:spacing w:after="240" w:line="240" w:lineRule="auto"/>
      <w:jc w:val="both"/>
    </w:pPr>
    <w:rPr>
      <w:b/>
      <w:i/>
      <w:sz w:val="20"/>
      <w:lang w:val="en-US" w:eastAsia="en-US"/>
    </w:rPr>
  </w:style>
  <w:style w:type="paragraph" w:customStyle="1" w:styleId="TOCPage">
    <w:name w:val="TOC Page"/>
    <w:basedOn w:val="Textoindependiente"/>
    <w:link w:val="TOCPageChar"/>
    <w:rsid w:val="00453222"/>
    <w:pPr>
      <w:spacing w:after="240"/>
      <w:jc w:val="right"/>
    </w:pPr>
    <w:rPr>
      <w:sz w:val="20"/>
      <w:lang w:val="en-US" w:eastAsia="en-US"/>
    </w:rPr>
  </w:style>
  <w:style w:type="paragraph" w:customStyle="1" w:styleId="TOCHead">
    <w:name w:val="TOC Head"/>
    <w:basedOn w:val="Textoindependiente"/>
    <w:rsid w:val="00453222"/>
    <w:pPr>
      <w:spacing w:after="240"/>
      <w:ind w:firstLine="360"/>
      <w:jc w:val="center"/>
    </w:pPr>
    <w:rPr>
      <w:b/>
      <w:sz w:val="20"/>
      <w:lang w:val="en-US" w:eastAsia="en-US"/>
    </w:rPr>
  </w:style>
  <w:style w:type="paragraph" w:styleId="Descripcin">
    <w:name w:val="caption"/>
    <w:basedOn w:val="Normal"/>
    <w:next w:val="Normal"/>
    <w:uiPriority w:val="35"/>
    <w:qFormat/>
    <w:locked/>
    <w:rsid w:val="00453222"/>
    <w:pPr>
      <w:spacing w:before="120" w:after="120"/>
    </w:pPr>
    <w:rPr>
      <w:b/>
      <w:bCs/>
      <w:sz w:val="20"/>
      <w:szCs w:val="20"/>
      <w:lang w:val="en-US" w:eastAsia="en-US"/>
    </w:rPr>
  </w:style>
  <w:style w:type="paragraph" w:customStyle="1" w:styleId="Tabletext10">
    <w:name w:val="Tabletext1"/>
    <w:basedOn w:val="Textoindependiente"/>
    <w:rsid w:val="00453222"/>
    <w:pPr>
      <w:spacing w:after="60"/>
      <w:ind w:left="482" w:hanging="482"/>
      <w:jc w:val="both"/>
    </w:pPr>
    <w:rPr>
      <w:sz w:val="16"/>
      <w:szCs w:val="16"/>
      <w:lang w:val="en-US" w:eastAsia="en-US"/>
    </w:rPr>
  </w:style>
  <w:style w:type="paragraph" w:customStyle="1" w:styleId="Body-DTP">
    <w:name w:val="Body-DTP"/>
    <w:basedOn w:val="Normal"/>
    <w:link w:val="Body-DTPChar"/>
    <w:rsid w:val="00453222"/>
    <w:pPr>
      <w:spacing w:after="120" w:line="240" w:lineRule="exact"/>
      <w:ind w:firstLine="432"/>
      <w:jc w:val="both"/>
    </w:pPr>
    <w:rPr>
      <w:rFonts w:eastAsia="Batang"/>
      <w:sz w:val="21"/>
      <w:lang w:val="en-GB" w:eastAsia="en-US"/>
    </w:rPr>
  </w:style>
  <w:style w:type="character" w:customStyle="1" w:styleId="Body-DTPChar">
    <w:name w:val="Body-DTP Char"/>
    <w:link w:val="Body-DTP"/>
    <w:rsid w:val="00453222"/>
    <w:rPr>
      <w:rFonts w:eastAsia="Batang"/>
      <w:sz w:val="21"/>
      <w:szCs w:val="24"/>
      <w:lang w:val="en-GB" w:eastAsia="en-US"/>
    </w:rPr>
  </w:style>
  <w:style w:type="paragraph" w:customStyle="1" w:styleId="Bullet1">
    <w:name w:val="Bullet1"/>
    <w:basedOn w:val="Normal"/>
    <w:link w:val="Bullet1Char"/>
    <w:rsid w:val="00453222"/>
    <w:pPr>
      <w:numPr>
        <w:numId w:val="17"/>
      </w:numPr>
      <w:tabs>
        <w:tab w:val="left" w:pos="864"/>
      </w:tabs>
      <w:spacing w:after="240"/>
      <w:jc w:val="both"/>
    </w:pPr>
    <w:rPr>
      <w:sz w:val="20"/>
      <w:szCs w:val="20"/>
      <w:lang w:val="en-GB" w:eastAsia="en-US"/>
    </w:rPr>
  </w:style>
  <w:style w:type="paragraph" w:styleId="Continuarlista3">
    <w:name w:val="List Continue 3"/>
    <w:basedOn w:val="Normal"/>
    <w:uiPriority w:val="99"/>
    <w:qFormat/>
    <w:locked/>
    <w:rsid w:val="00453222"/>
    <w:pPr>
      <w:spacing w:after="120"/>
      <w:ind w:left="1080"/>
    </w:pPr>
    <w:rPr>
      <w:lang w:val="en-US" w:eastAsia="en-US"/>
    </w:rPr>
  </w:style>
  <w:style w:type="paragraph" w:styleId="Listaconnmeros">
    <w:name w:val="List Number"/>
    <w:basedOn w:val="Normal"/>
    <w:locked/>
    <w:rsid w:val="00453222"/>
    <w:pPr>
      <w:numPr>
        <w:numId w:val="16"/>
      </w:numPr>
    </w:pPr>
    <w:rPr>
      <w:lang w:val="en-US" w:eastAsia="en-US"/>
    </w:rPr>
  </w:style>
  <w:style w:type="paragraph" w:customStyle="1" w:styleId="TOCPages">
    <w:name w:val="TOC Pages"/>
    <w:basedOn w:val="Textoindependiente3"/>
    <w:rsid w:val="00453222"/>
    <w:pPr>
      <w:ind w:left="360" w:hanging="360"/>
      <w:jc w:val="right"/>
    </w:pPr>
    <w:rPr>
      <w:b/>
      <w:sz w:val="24"/>
      <w:szCs w:val="16"/>
      <w:u w:val="single"/>
      <w:lang w:val="en-US" w:eastAsia="en-US"/>
    </w:rPr>
  </w:style>
  <w:style w:type="paragraph" w:customStyle="1" w:styleId="Subtitle30">
    <w:name w:val="Subtitle3"/>
    <w:basedOn w:val="Subtitle2"/>
    <w:rsid w:val="00453222"/>
    <w:rPr>
      <w:i w:val="0"/>
    </w:rPr>
  </w:style>
  <w:style w:type="paragraph" w:customStyle="1" w:styleId="Bullet2">
    <w:name w:val="Bullet 2"/>
    <w:basedOn w:val="Bullet1"/>
    <w:rsid w:val="00453222"/>
    <w:pPr>
      <w:tabs>
        <w:tab w:val="clear" w:pos="360"/>
        <w:tab w:val="left" w:pos="657"/>
      </w:tabs>
      <w:ind w:left="693"/>
    </w:pPr>
  </w:style>
  <w:style w:type="paragraph" w:customStyle="1" w:styleId="Subtitle4">
    <w:name w:val="Subtitle4"/>
    <w:basedOn w:val="Subtitle2"/>
    <w:rsid w:val="00453222"/>
    <w:rPr>
      <w:b w:val="0"/>
    </w:rPr>
  </w:style>
  <w:style w:type="paragraph" w:customStyle="1" w:styleId="Subtitle10">
    <w:name w:val="Subtitle 1"/>
    <w:basedOn w:val="Textoindependiente"/>
    <w:rsid w:val="00453222"/>
    <w:pPr>
      <w:spacing w:after="240"/>
      <w:ind w:firstLine="360"/>
      <w:jc w:val="both"/>
    </w:pPr>
    <w:rPr>
      <w:sz w:val="20"/>
      <w:lang w:val="en-US" w:eastAsia="en-US"/>
    </w:rPr>
  </w:style>
  <w:style w:type="paragraph" w:customStyle="1" w:styleId="Bullet20">
    <w:name w:val="Bullet2"/>
    <w:basedOn w:val="Bullet1"/>
    <w:rsid w:val="00453222"/>
    <w:pPr>
      <w:numPr>
        <w:numId w:val="0"/>
      </w:numPr>
      <w:tabs>
        <w:tab w:val="clear" w:pos="864"/>
      </w:tabs>
      <w:ind w:left="744" w:hanging="433"/>
    </w:pPr>
  </w:style>
  <w:style w:type="paragraph" w:customStyle="1" w:styleId="Tabletext0">
    <w:name w:val="Tabletext"/>
    <w:basedOn w:val="Textoindependiente"/>
    <w:rsid w:val="00453222"/>
    <w:pPr>
      <w:tabs>
        <w:tab w:val="left" w:pos="960"/>
      </w:tabs>
      <w:spacing w:after="240"/>
      <w:jc w:val="both"/>
    </w:pPr>
    <w:rPr>
      <w:sz w:val="20"/>
      <w:lang w:val="en-US" w:eastAsia="en-US"/>
    </w:rPr>
  </w:style>
  <w:style w:type="paragraph" w:customStyle="1" w:styleId="TableBullet">
    <w:name w:val="Table Bullet"/>
    <w:basedOn w:val="Tabletext0"/>
    <w:rsid w:val="00453222"/>
    <w:pPr>
      <w:numPr>
        <w:numId w:val="14"/>
      </w:numPr>
      <w:tabs>
        <w:tab w:val="left" w:pos="480"/>
        <w:tab w:val="right" w:leader="dot" w:pos="5013"/>
        <w:tab w:val="right" w:pos="5040"/>
      </w:tabs>
      <w:spacing w:before="40" w:after="40"/>
      <w:ind w:left="480"/>
      <w:jc w:val="left"/>
    </w:pPr>
    <w:rPr>
      <w:sz w:val="18"/>
      <w:szCs w:val="18"/>
    </w:rPr>
  </w:style>
  <w:style w:type="paragraph" w:customStyle="1" w:styleId="TableBullet1">
    <w:name w:val="Table Bullet1"/>
    <w:basedOn w:val="Tabletext0"/>
    <w:rsid w:val="00453222"/>
    <w:pPr>
      <w:tabs>
        <w:tab w:val="left" w:pos="720"/>
      </w:tabs>
      <w:spacing w:before="40" w:after="40"/>
      <w:ind w:left="720" w:hanging="360"/>
      <w:jc w:val="left"/>
    </w:pPr>
    <w:rPr>
      <w:sz w:val="18"/>
      <w:szCs w:val="18"/>
    </w:rPr>
  </w:style>
  <w:style w:type="paragraph" w:customStyle="1" w:styleId="TableBullet3">
    <w:name w:val="Table Bullet3"/>
    <w:basedOn w:val="Tabletext0"/>
    <w:rsid w:val="00453222"/>
    <w:pPr>
      <w:numPr>
        <w:numId w:val="18"/>
      </w:numPr>
      <w:tabs>
        <w:tab w:val="clear" w:pos="1080"/>
        <w:tab w:val="left" w:pos="1440"/>
        <w:tab w:val="right" w:leader="dot" w:pos="4999"/>
      </w:tabs>
      <w:spacing w:before="40" w:after="40"/>
      <w:ind w:left="1440"/>
      <w:jc w:val="left"/>
    </w:pPr>
    <w:rPr>
      <w:sz w:val="18"/>
      <w:szCs w:val="18"/>
      <w:lang w:val="es-ES"/>
    </w:rPr>
  </w:style>
  <w:style w:type="paragraph" w:customStyle="1" w:styleId="BodyTextItal">
    <w:name w:val="Body Text Ital"/>
    <w:basedOn w:val="Textoindependiente"/>
    <w:rsid w:val="00453222"/>
    <w:pPr>
      <w:numPr>
        <w:numId w:val="19"/>
      </w:numPr>
      <w:tabs>
        <w:tab w:val="clear" w:pos="1080"/>
        <w:tab w:val="left" w:pos="960"/>
      </w:tabs>
      <w:spacing w:after="240"/>
      <w:ind w:left="0" w:firstLine="360"/>
      <w:jc w:val="both"/>
    </w:pPr>
    <w:rPr>
      <w:i/>
      <w:sz w:val="20"/>
      <w:lang w:val="en-US" w:eastAsia="en-US"/>
    </w:rPr>
  </w:style>
  <w:style w:type="paragraph" w:customStyle="1" w:styleId="BodyText4">
    <w:name w:val="Body Text 4"/>
    <w:basedOn w:val="Textoindependiente"/>
    <w:link w:val="BodyText4Char"/>
    <w:rsid w:val="00453222"/>
    <w:pPr>
      <w:tabs>
        <w:tab w:val="left" w:pos="960"/>
        <w:tab w:val="left" w:pos="1680"/>
      </w:tabs>
      <w:spacing w:after="240"/>
      <w:ind w:firstLine="1080"/>
      <w:jc w:val="both"/>
    </w:pPr>
    <w:rPr>
      <w:sz w:val="20"/>
      <w:lang w:val="en-US" w:eastAsia="en-US"/>
    </w:rPr>
  </w:style>
  <w:style w:type="character" w:customStyle="1" w:styleId="BodyText4Char">
    <w:name w:val="Body Text 4 Char"/>
    <w:link w:val="BodyText4"/>
    <w:rsid w:val="00453222"/>
    <w:rPr>
      <w:lang w:val="en-US" w:eastAsia="en-US"/>
    </w:rPr>
  </w:style>
  <w:style w:type="paragraph" w:customStyle="1" w:styleId="BodyText2ndIndent">
    <w:name w:val="Body Text 2nd Indent"/>
    <w:basedOn w:val="Textoindependienteprimerasangra"/>
    <w:rsid w:val="00453222"/>
    <w:pPr>
      <w:tabs>
        <w:tab w:val="left" w:pos="960"/>
      </w:tabs>
      <w:ind w:left="1560" w:hanging="597"/>
      <w:jc w:val="both"/>
    </w:pPr>
    <w:rPr>
      <w:sz w:val="20"/>
      <w:szCs w:val="20"/>
      <w:lang w:val="en-US" w:eastAsia="en-US"/>
    </w:rPr>
  </w:style>
  <w:style w:type="paragraph" w:customStyle="1" w:styleId="BodyText3rdIndent">
    <w:name w:val="Body Text 3rd Indent"/>
    <w:basedOn w:val="BodyText2ndIndent"/>
    <w:rsid w:val="00453222"/>
    <w:pPr>
      <w:ind w:left="1920"/>
    </w:pPr>
  </w:style>
  <w:style w:type="paragraph" w:customStyle="1" w:styleId="BodyText1stind">
    <w:name w:val="Body Text 1st ind"/>
    <w:basedOn w:val="Textoindependiente"/>
    <w:rsid w:val="00453222"/>
    <w:pPr>
      <w:tabs>
        <w:tab w:val="left" w:pos="960"/>
      </w:tabs>
      <w:spacing w:after="240"/>
      <w:ind w:left="960" w:hanging="600"/>
      <w:jc w:val="both"/>
    </w:pPr>
    <w:rPr>
      <w:sz w:val="20"/>
      <w:lang w:val="en-US" w:eastAsia="en-US"/>
    </w:rPr>
  </w:style>
  <w:style w:type="character" w:customStyle="1" w:styleId="Subtitle1Char">
    <w:name w:val="Subtitle1 Char"/>
    <w:link w:val="Subtitle1"/>
    <w:rsid w:val="00453222"/>
    <w:rPr>
      <w:rFonts w:ascii="Times New Roman Bold" w:hAnsi="Times New Roman Bold"/>
      <w:b/>
      <w:lang w:val="en-US" w:eastAsia="en-US"/>
    </w:rPr>
  </w:style>
  <w:style w:type="paragraph" w:customStyle="1" w:styleId="Bullet">
    <w:name w:val="Bullet"/>
    <w:basedOn w:val="Normal"/>
    <w:rsid w:val="00453222"/>
    <w:pPr>
      <w:tabs>
        <w:tab w:val="num" w:pos="432"/>
      </w:tabs>
      <w:spacing w:after="120" w:line="240" w:lineRule="exact"/>
      <w:ind w:left="432" w:hanging="432"/>
      <w:jc w:val="both"/>
    </w:pPr>
    <w:rPr>
      <w:sz w:val="21"/>
      <w:szCs w:val="20"/>
      <w:lang w:val="en-US" w:eastAsia="en-US"/>
    </w:rPr>
  </w:style>
  <w:style w:type="paragraph" w:customStyle="1" w:styleId="BodyUSOC">
    <w:name w:val="Body_US_OC"/>
    <w:basedOn w:val="Normal"/>
    <w:link w:val="BodyUSOCChar"/>
    <w:rsid w:val="00453222"/>
    <w:pPr>
      <w:spacing w:after="120" w:line="240" w:lineRule="atLeast"/>
      <w:ind w:firstLine="431"/>
      <w:jc w:val="both"/>
    </w:pPr>
    <w:rPr>
      <w:sz w:val="21"/>
      <w:szCs w:val="20"/>
      <w:lang w:val="en-US" w:eastAsia="en-US"/>
    </w:rPr>
  </w:style>
  <w:style w:type="paragraph" w:customStyle="1" w:styleId="L3HafterL2H">
    <w:name w:val="L3H after L2H"/>
    <w:basedOn w:val="Normal"/>
    <w:next w:val="BodyUSOC"/>
    <w:rsid w:val="00453222"/>
    <w:pPr>
      <w:keepNext/>
      <w:spacing w:after="60" w:line="240" w:lineRule="atLeast"/>
      <w:jc w:val="both"/>
    </w:pPr>
    <w:rPr>
      <w:i/>
      <w:sz w:val="21"/>
      <w:szCs w:val="20"/>
      <w:lang w:val="en-US" w:eastAsia="en-US"/>
    </w:rPr>
  </w:style>
  <w:style w:type="paragraph" w:customStyle="1" w:styleId="Bullet3">
    <w:name w:val="Bullet3"/>
    <w:basedOn w:val="Normal"/>
    <w:rsid w:val="00453222"/>
    <w:pPr>
      <w:tabs>
        <w:tab w:val="num" w:pos="1728"/>
      </w:tabs>
      <w:spacing w:after="120" w:line="240" w:lineRule="exact"/>
      <w:ind w:left="1728" w:hanging="432"/>
      <w:jc w:val="both"/>
    </w:pPr>
    <w:rPr>
      <w:sz w:val="21"/>
      <w:szCs w:val="20"/>
      <w:lang w:val="en-US" w:eastAsia="en-US"/>
    </w:rPr>
  </w:style>
  <w:style w:type="character" w:customStyle="1" w:styleId="BodyUSOCChar">
    <w:name w:val="Body_US_OC Char"/>
    <w:link w:val="BodyUSOC"/>
    <w:rsid w:val="00453222"/>
    <w:rPr>
      <w:sz w:val="21"/>
      <w:lang w:val="en-US" w:eastAsia="en-US"/>
    </w:rPr>
  </w:style>
  <w:style w:type="character" w:customStyle="1" w:styleId="Bullet1Char">
    <w:name w:val="Bullet1 Char"/>
    <w:link w:val="Bullet1"/>
    <w:locked/>
    <w:rsid w:val="00453222"/>
    <w:rPr>
      <w:lang w:val="en-GB"/>
    </w:rPr>
  </w:style>
  <w:style w:type="paragraph" w:customStyle="1" w:styleId="L3Hed">
    <w:name w:val="L3Hed"/>
    <w:basedOn w:val="BodyUSOC"/>
    <w:next w:val="BodyUSOC"/>
    <w:link w:val="L3HedChar"/>
    <w:rsid w:val="00453222"/>
    <w:pPr>
      <w:keepNext/>
      <w:spacing w:before="260" w:after="60"/>
      <w:ind w:firstLine="0"/>
    </w:pPr>
    <w:rPr>
      <w:i/>
    </w:rPr>
  </w:style>
  <w:style w:type="character" w:customStyle="1" w:styleId="L3HedChar">
    <w:name w:val="L3Hed Char"/>
    <w:link w:val="L3Hed"/>
    <w:rsid w:val="00453222"/>
    <w:rPr>
      <w:i/>
      <w:sz w:val="21"/>
      <w:lang w:val="en-US" w:eastAsia="en-US"/>
    </w:rPr>
  </w:style>
  <w:style w:type="paragraph" w:customStyle="1" w:styleId="L1Hed-TopPage">
    <w:name w:val="L1Hed-TopPage"/>
    <w:basedOn w:val="BodyUSOC"/>
    <w:next w:val="BodyUSOC"/>
    <w:uiPriority w:val="99"/>
    <w:rsid w:val="00453222"/>
    <w:pPr>
      <w:pageBreakBefore/>
      <w:spacing w:after="240" w:line="260" w:lineRule="exact"/>
      <w:ind w:firstLine="0"/>
      <w:jc w:val="center"/>
    </w:pPr>
    <w:rPr>
      <w:b/>
      <w:caps/>
      <w:lang w:val="es-AR"/>
    </w:rPr>
  </w:style>
  <w:style w:type="paragraph" w:customStyle="1" w:styleId="L2Hed">
    <w:name w:val="L2Hed"/>
    <w:basedOn w:val="BodyUSOC"/>
    <w:next w:val="BodyUSOC"/>
    <w:rsid w:val="00453222"/>
    <w:pPr>
      <w:keepNext/>
      <w:tabs>
        <w:tab w:val="left" w:pos="432"/>
      </w:tabs>
      <w:spacing w:before="300" w:after="60"/>
      <w:ind w:firstLine="0"/>
    </w:pPr>
    <w:rPr>
      <w:b/>
      <w:lang w:val="es-AR"/>
    </w:rPr>
  </w:style>
  <w:style w:type="paragraph" w:customStyle="1" w:styleId="TableFootnote">
    <w:name w:val="Table Footnote"/>
    <w:basedOn w:val="BodyUSOC"/>
    <w:link w:val="TableFootnoteChar"/>
    <w:rsid w:val="00453222"/>
    <w:pPr>
      <w:spacing w:after="40" w:line="210" w:lineRule="exact"/>
      <w:ind w:left="432" w:hanging="432"/>
    </w:pPr>
    <w:rPr>
      <w:sz w:val="19"/>
      <w:lang w:val="es-AR"/>
    </w:rPr>
  </w:style>
  <w:style w:type="character" w:customStyle="1" w:styleId="TableFootnoteChar">
    <w:name w:val="Table Footnote Char"/>
    <w:link w:val="TableFootnote"/>
    <w:rsid w:val="00453222"/>
    <w:rPr>
      <w:sz w:val="19"/>
      <w:lang w:eastAsia="en-US"/>
    </w:rPr>
  </w:style>
  <w:style w:type="paragraph" w:customStyle="1" w:styleId="Source">
    <w:name w:val="Source"/>
    <w:basedOn w:val="Normal"/>
    <w:uiPriority w:val="99"/>
    <w:rsid w:val="00453222"/>
    <w:pPr>
      <w:widowControl w:val="0"/>
      <w:tabs>
        <w:tab w:val="left" w:pos="-720"/>
        <w:tab w:val="center" w:pos="4703"/>
      </w:tabs>
      <w:suppressAutoHyphens/>
      <w:spacing w:after="200"/>
    </w:pPr>
    <w:rPr>
      <w:snapToGrid w:val="0"/>
      <w:sz w:val="16"/>
      <w:szCs w:val="20"/>
      <w:lang w:val="es-AR" w:eastAsia="en-US" w:bidi="en-US"/>
    </w:rPr>
  </w:style>
  <w:style w:type="character" w:customStyle="1" w:styleId="DocID">
    <w:name w:val="DocID"/>
    <w:unhideWhenUsed/>
    <w:rsid w:val="00453222"/>
    <w:rPr>
      <w:sz w:val="14"/>
    </w:rPr>
  </w:style>
  <w:style w:type="paragraph" w:styleId="Bibliografa">
    <w:name w:val="Bibliography"/>
    <w:basedOn w:val="Normal"/>
    <w:next w:val="Normal"/>
    <w:uiPriority w:val="37"/>
    <w:unhideWhenUsed/>
    <w:rsid w:val="00453222"/>
    <w:rPr>
      <w:rFonts w:eastAsia="Calibri"/>
      <w:sz w:val="20"/>
      <w:lang w:val="en-US" w:eastAsia="en-US"/>
    </w:rPr>
  </w:style>
  <w:style w:type="paragraph" w:styleId="Cierre">
    <w:name w:val="Closing"/>
    <w:basedOn w:val="Normal"/>
    <w:link w:val="CierreCar"/>
    <w:uiPriority w:val="99"/>
    <w:qFormat/>
    <w:locked/>
    <w:rsid w:val="00453222"/>
    <w:pPr>
      <w:spacing w:after="600"/>
      <w:ind w:left="4320"/>
    </w:pPr>
    <w:rPr>
      <w:rFonts w:eastAsia="Calibri"/>
      <w:sz w:val="20"/>
      <w:lang w:val="en-US" w:eastAsia="en-US"/>
    </w:rPr>
  </w:style>
  <w:style w:type="character" w:customStyle="1" w:styleId="CierreCar">
    <w:name w:val="Cierre Car"/>
    <w:link w:val="Cierre"/>
    <w:uiPriority w:val="99"/>
    <w:rsid w:val="00453222"/>
    <w:rPr>
      <w:rFonts w:eastAsia="Calibri"/>
      <w:szCs w:val="24"/>
      <w:lang w:val="en-US" w:eastAsia="en-US"/>
    </w:rPr>
  </w:style>
  <w:style w:type="paragraph" w:styleId="Fecha">
    <w:name w:val="Date"/>
    <w:basedOn w:val="Normal"/>
    <w:next w:val="Normal"/>
    <w:link w:val="FechaCar"/>
    <w:uiPriority w:val="99"/>
    <w:locked/>
    <w:rsid w:val="00453222"/>
    <w:pPr>
      <w:spacing w:after="240"/>
    </w:pPr>
    <w:rPr>
      <w:rFonts w:eastAsia="Calibri"/>
      <w:sz w:val="20"/>
      <w:lang w:val="en-US" w:eastAsia="en-US"/>
    </w:rPr>
  </w:style>
  <w:style w:type="character" w:customStyle="1" w:styleId="FechaCar">
    <w:name w:val="Fecha Car"/>
    <w:link w:val="Fecha"/>
    <w:uiPriority w:val="99"/>
    <w:rsid w:val="00453222"/>
    <w:rPr>
      <w:rFonts w:eastAsia="Calibri"/>
      <w:szCs w:val="24"/>
      <w:lang w:val="en-US" w:eastAsia="en-US"/>
    </w:rPr>
  </w:style>
  <w:style w:type="paragraph" w:styleId="Firmadecorreoelectrnico">
    <w:name w:val="E-mail Signature"/>
    <w:basedOn w:val="Normal"/>
    <w:link w:val="FirmadecorreoelectrnicoCar"/>
    <w:uiPriority w:val="99"/>
    <w:unhideWhenUsed/>
    <w:locked/>
    <w:rsid w:val="00453222"/>
    <w:rPr>
      <w:rFonts w:eastAsia="Calibri"/>
      <w:sz w:val="20"/>
      <w:lang w:val="en-US" w:eastAsia="en-US"/>
    </w:rPr>
  </w:style>
  <w:style w:type="character" w:customStyle="1" w:styleId="FirmadecorreoelectrnicoCar">
    <w:name w:val="Firma de correo electrónico Car"/>
    <w:link w:val="Firmadecorreoelectrnico"/>
    <w:uiPriority w:val="99"/>
    <w:rsid w:val="00453222"/>
    <w:rPr>
      <w:rFonts w:eastAsia="Calibri"/>
      <w:szCs w:val="24"/>
      <w:lang w:val="en-US" w:eastAsia="en-US"/>
    </w:rPr>
  </w:style>
  <w:style w:type="paragraph" w:styleId="Textonotaalfinal">
    <w:name w:val="endnote text"/>
    <w:basedOn w:val="Normal"/>
    <w:next w:val="EndnoteTextMore"/>
    <w:link w:val="TextonotaalfinalCar"/>
    <w:unhideWhenUsed/>
    <w:qFormat/>
    <w:locked/>
    <w:rsid w:val="00453222"/>
    <w:pPr>
      <w:spacing w:after="240"/>
      <w:ind w:left="720" w:hanging="720"/>
    </w:pPr>
    <w:rPr>
      <w:rFonts w:eastAsia="Calibri"/>
      <w:sz w:val="20"/>
      <w:szCs w:val="20"/>
      <w:lang w:val="en-US" w:eastAsia="en-US"/>
    </w:rPr>
  </w:style>
  <w:style w:type="character" w:customStyle="1" w:styleId="TextonotaalfinalCar">
    <w:name w:val="Texto nota al final Car"/>
    <w:link w:val="Textonotaalfinal"/>
    <w:rsid w:val="00453222"/>
    <w:rPr>
      <w:rFonts w:eastAsia="Calibri"/>
      <w:lang w:val="en-US" w:eastAsia="en-US"/>
    </w:rPr>
  </w:style>
  <w:style w:type="paragraph" w:styleId="Direccinsobre">
    <w:name w:val="envelope address"/>
    <w:basedOn w:val="Normal"/>
    <w:uiPriority w:val="99"/>
    <w:unhideWhenUsed/>
    <w:qFormat/>
    <w:locked/>
    <w:rsid w:val="00453222"/>
    <w:pPr>
      <w:framePr w:w="7920" w:h="1980" w:hRule="exact" w:hSpace="180" w:wrap="auto" w:hAnchor="page" w:xAlign="center" w:yAlign="bottom"/>
      <w:ind w:left="2880"/>
    </w:pPr>
    <w:rPr>
      <w:sz w:val="20"/>
      <w:lang w:val="en-US" w:eastAsia="en-US"/>
    </w:rPr>
  </w:style>
  <w:style w:type="paragraph" w:styleId="Remitedesobre">
    <w:name w:val="envelope return"/>
    <w:basedOn w:val="Normal"/>
    <w:uiPriority w:val="99"/>
    <w:unhideWhenUsed/>
    <w:locked/>
    <w:rsid w:val="00453222"/>
    <w:rPr>
      <w:sz w:val="20"/>
      <w:szCs w:val="20"/>
      <w:lang w:val="en-US" w:eastAsia="en-US"/>
    </w:rPr>
  </w:style>
  <w:style w:type="paragraph" w:styleId="DireccinHTML">
    <w:name w:val="HTML Address"/>
    <w:basedOn w:val="Normal"/>
    <w:link w:val="DireccinHTMLCar"/>
    <w:uiPriority w:val="99"/>
    <w:unhideWhenUsed/>
    <w:locked/>
    <w:rsid w:val="00453222"/>
    <w:rPr>
      <w:rFonts w:eastAsia="Calibri"/>
      <w:i/>
      <w:iCs/>
      <w:sz w:val="20"/>
      <w:lang w:val="en-US" w:eastAsia="en-US"/>
    </w:rPr>
  </w:style>
  <w:style w:type="character" w:customStyle="1" w:styleId="DireccinHTMLCar">
    <w:name w:val="Dirección HTML Car"/>
    <w:link w:val="DireccinHTML"/>
    <w:uiPriority w:val="99"/>
    <w:rsid w:val="00453222"/>
    <w:rPr>
      <w:rFonts w:eastAsia="Calibri"/>
      <w:i/>
      <w:iCs/>
      <w:szCs w:val="24"/>
      <w:lang w:val="en-US" w:eastAsia="en-US"/>
    </w:rPr>
  </w:style>
  <w:style w:type="paragraph" w:styleId="HTMLconformatoprevio">
    <w:name w:val="HTML Preformatted"/>
    <w:basedOn w:val="Normal"/>
    <w:link w:val="HTMLconformatoprevioCar"/>
    <w:uiPriority w:val="99"/>
    <w:unhideWhenUsed/>
    <w:locked/>
    <w:rsid w:val="00453222"/>
    <w:rPr>
      <w:rFonts w:ascii="Consolas" w:eastAsia="Calibri" w:hAnsi="Consolas"/>
      <w:sz w:val="20"/>
      <w:szCs w:val="20"/>
      <w:lang w:val="en-US" w:eastAsia="en-US"/>
    </w:rPr>
  </w:style>
  <w:style w:type="character" w:customStyle="1" w:styleId="HTMLconformatoprevioCar">
    <w:name w:val="HTML con formato previo Car"/>
    <w:link w:val="HTMLconformatoprevio"/>
    <w:uiPriority w:val="99"/>
    <w:rsid w:val="00453222"/>
    <w:rPr>
      <w:rFonts w:ascii="Consolas" w:eastAsia="Calibri" w:hAnsi="Consolas"/>
      <w:lang w:val="en-US" w:eastAsia="en-US"/>
    </w:rPr>
  </w:style>
  <w:style w:type="paragraph" w:styleId="ndice1">
    <w:name w:val="index 1"/>
    <w:basedOn w:val="Normal"/>
    <w:next w:val="Normal"/>
    <w:autoRedefine/>
    <w:uiPriority w:val="99"/>
    <w:unhideWhenUsed/>
    <w:locked/>
    <w:rsid w:val="00453222"/>
    <w:pPr>
      <w:ind w:left="220" w:hanging="220"/>
    </w:pPr>
    <w:rPr>
      <w:rFonts w:eastAsia="Calibri"/>
      <w:sz w:val="20"/>
      <w:lang w:val="en-US" w:eastAsia="en-US"/>
    </w:rPr>
  </w:style>
  <w:style w:type="paragraph" w:styleId="ndice2">
    <w:name w:val="index 2"/>
    <w:basedOn w:val="Normal"/>
    <w:next w:val="Normal"/>
    <w:autoRedefine/>
    <w:uiPriority w:val="99"/>
    <w:unhideWhenUsed/>
    <w:locked/>
    <w:rsid w:val="00453222"/>
    <w:pPr>
      <w:ind w:left="440" w:hanging="220"/>
    </w:pPr>
    <w:rPr>
      <w:rFonts w:eastAsia="Calibri"/>
      <w:sz w:val="20"/>
      <w:lang w:val="en-US" w:eastAsia="en-US"/>
    </w:rPr>
  </w:style>
  <w:style w:type="paragraph" w:styleId="ndice3">
    <w:name w:val="index 3"/>
    <w:basedOn w:val="Normal"/>
    <w:next w:val="Normal"/>
    <w:autoRedefine/>
    <w:uiPriority w:val="99"/>
    <w:unhideWhenUsed/>
    <w:locked/>
    <w:rsid w:val="00453222"/>
    <w:pPr>
      <w:ind w:left="660" w:hanging="220"/>
    </w:pPr>
    <w:rPr>
      <w:rFonts w:eastAsia="Calibri"/>
      <w:sz w:val="20"/>
      <w:lang w:val="en-US" w:eastAsia="en-US"/>
    </w:rPr>
  </w:style>
  <w:style w:type="paragraph" w:styleId="ndice4">
    <w:name w:val="index 4"/>
    <w:basedOn w:val="Normal"/>
    <w:next w:val="Normal"/>
    <w:autoRedefine/>
    <w:uiPriority w:val="99"/>
    <w:unhideWhenUsed/>
    <w:locked/>
    <w:rsid w:val="00453222"/>
    <w:pPr>
      <w:ind w:left="880" w:hanging="220"/>
    </w:pPr>
    <w:rPr>
      <w:rFonts w:eastAsia="Calibri"/>
      <w:sz w:val="20"/>
      <w:lang w:val="en-US" w:eastAsia="en-US"/>
    </w:rPr>
  </w:style>
  <w:style w:type="paragraph" w:styleId="ndice5">
    <w:name w:val="index 5"/>
    <w:basedOn w:val="Normal"/>
    <w:next w:val="Normal"/>
    <w:autoRedefine/>
    <w:uiPriority w:val="99"/>
    <w:unhideWhenUsed/>
    <w:locked/>
    <w:rsid w:val="00453222"/>
    <w:pPr>
      <w:ind w:left="1100" w:hanging="220"/>
    </w:pPr>
    <w:rPr>
      <w:rFonts w:eastAsia="Calibri"/>
      <w:sz w:val="20"/>
      <w:lang w:val="en-US" w:eastAsia="en-US"/>
    </w:rPr>
  </w:style>
  <w:style w:type="paragraph" w:styleId="ndice6">
    <w:name w:val="index 6"/>
    <w:basedOn w:val="Normal"/>
    <w:next w:val="Normal"/>
    <w:autoRedefine/>
    <w:uiPriority w:val="99"/>
    <w:unhideWhenUsed/>
    <w:locked/>
    <w:rsid w:val="00453222"/>
    <w:pPr>
      <w:ind w:left="1320" w:hanging="220"/>
    </w:pPr>
    <w:rPr>
      <w:rFonts w:eastAsia="Calibri"/>
      <w:sz w:val="20"/>
      <w:lang w:val="en-US" w:eastAsia="en-US"/>
    </w:rPr>
  </w:style>
  <w:style w:type="paragraph" w:styleId="ndice7">
    <w:name w:val="index 7"/>
    <w:basedOn w:val="Normal"/>
    <w:next w:val="Normal"/>
    <w:autoRedefine/>
    <w:uiPriority w:val="99"/>
    <w:unhideWhenUsed/>
    <w:locked/>
    <w:rsid w:val="00453222"/>
    <w:pPr>
      <w:ind w:left="1540" w:hanging="220"/>
    </w:pPr>
    <w:rPr>
      <w:rFonts w:eastAsia="Calibri"/>
      <w:sz w:val="20"/>
      <w:lang w:val="en-US" w:eastAsia="en-US"/>
    </w:rPr>
  </w:style>
  <w:style w:type="paragraph" w:styleId="ndice8">
    <w:name w:val="index 8"/>
    <w:basedOn w:val="Normal"/>
    <w:next w:val="Normal"/>
    <w:autoRedefine/>
    <w:uiPriority w:val="99"/>
    <w:unhideWhenUsed/>
    <w:locked/>
    <w:rsid w:val="00453222"/>
    <w:pPr>
      <w:ind w:left="1760" w:hanging="220"/>
    </w:pPr>
    <w:rPr>
      <w:rFonts w:eastAsia="Calibri"/>
      <w:sz w:val="20"/>
      <w:lang w:val="en-US" w:eastAsia="en-US"/>
    </w:rPr>
  </w:style>
  <w:style w:type="paragraph" w:styleId="ndice9">
    <w:name w:val="index 9"/>
    <w:basedOn w:val="Normal"/>
    <w:next w:val="Normal"/>
    <w:autoRedefine/>
    <w:uiPriority w:val="99"/>
    <w:unhideWhenUsed/>
    <w:locked/>
    <w:rsid w:val="00453222"/>
    <w:pPr>
      <w:ind w:left="1980" w:hanging="220"/>
    </w:pPr>
    <w:rPr>
      <w:rFonts w:eastAsia="Calibri"/>
      <w:sz w:val="20"/>
      <w:lang w:val="en-US" w:eastAsia="en-US"/>
    </w:rPr>
  </w:style>
  <w:style w:type="paragraph" w:styleId="Ttulodendice">
    <w:name w:val="index heading"/>
    <w:basedOn w:val="Normal"/>
    <w:next w:val="ndice1"/>
    <w:uiPriority w:val="99"/>
    <w:unhideWhenUsed/>
    <w:locked/>
    <w:rsid w:val="00453222"/>
    <w:rPr>
      <w:rFonts w:ascii="Calibri Light" w:hAnsi="Calibri Light"/>
      <w:b/>
      <w:bCs/>
      <w:sz w:val="20"/>
      <w:lang w:val="en-US" w:eastAsia="en-US"/>
    </w:rPr>
  </w:style>
  <w:style w:type="paragraph" w:styleId="Citadestacada">
    <w:name w:val="Intense Quote"/>
    <w:basedOn w:val="Normal"/>
    <w:next w:val="Normal"/>
    <w:link w:val="CitadestacadaCar"/>
    <w:uiPriority w:val="30"/>
    <w:qFormat/>
    <w:rsid w:val="00453222"/>
    <w:pPr>
      <w:pBdr>
        <w:bottom w:val="single" w:sz="4" w:space="4" w:color="5B9BD5"/>
      </w:pBdr>
      <w:spacing w:before="200" w:after="280"/>
      <w:ind w:left="936" w:right="936"/>
    </w:pPr>
    <w:rPr>
      <w:rFonts w:eastAsia="Calibri"/>
      <w:b/>
      <w:bCs/>
      <w:i/>
      <w:iCs/>
      <w:color w:val="5B9BD5"/>
      <w:sz w:val="20"/>
      <w:lang w:val="en-US" w:eastAsia="en-US"/>
    </w:rPr>
  </w:style>
  <w:style w:type="character" w:customStyle="1" w:styleId="CitadestacadaCar">
    <w:name w:val="Cita destacada Car"/>
    <w:link w:val="Citadestacada"/>
    <w:uiPriority w:val="30"/>
    <w:rsid w:val="00453222"/>
    <w:rPr>
      <w:rFonts w:eastAsia="Calibri"/>
      <w:b/>
      <w:bCs/>
      <w:i/>
      <w:iCs/>
      <w:color w:val="5B9BD5"/>
      <w:szCs w:val="24"/>
      <w:lang w:val="en-US" w:eastAsia="en-US"/>
    </w:rPr>
  </w:style>
  <w:style w:type="paragraph" w:styleId="Lista3">
    <w:name w:val="List 3"/>
    <w:basedOn w:val="Normal"/>
    <w:uiPriority w:val="99"/>
    <w:unhideWhenUsed/>
    <w:locked/>
    <w:rsid w:val="00453222"/>
    <w:pPr>
      <w:spacing w:after="240"/>
      <w:ind w:left="1440" w:hanging="720"/>
      <w:jc w:val="both"/>
    </w:pPr>
    <w:rPr>
      <w:rFonts w:eastAsia="Calibri"/>
      <w:sz w:val="20"/>
      <w:lang w:val="en-US" w:eastAsia="en-US"/>
    </w:rPr>
  </w:style>
  <w:style w:type="paragraph" w:styleId="Lista4">
    <w:name w:val="List 4"/>
    <w:basedOn w:val="Normal"/>
    <w:uiPriority w:val="99"/>
    <w:unhideWhenUsed/>
    <w:locked/>
    <w:rsid w:val="00453222"/>
    <w:pPr>
      <w:ind w:left="1440" w:hanging="360"/>
      <w:contextualSpacing/>
    </w:pPr>
    <w:rPr>
      <w:rFonts w:eastAsia="Calibri"/>
      <w:sz w:val="20"/>
      <w:lang w:val="en-US" w:eastAsia="en-US"/>
    </w:rPr>
  </w:style>
  <w:style w:type="paragraph" w:styleId="Lista5">
    <w:name w:val="List 5"/>
    <w:basedOn w:val="Normal"/>
    <w:uiPriority w:val="99"/>
    <w:unhideWhenUsed/>
    <w:locked/>
    <w:rsid w:val="00453222"/>
    <w:pPr>
      <w:ind w:left="1800" w:hanging="360"/>
      <w:contextualSpacing/>
    </w:pPr>
    <w:rPr>
      <w:rFonts w:eastAsia="Calibri"/>
      <w:sz w:val="20"/>
      <w:lang w:val="en-US" w:eastAsia="en-US"/>
    </w:rPr>
  </w:style>
  <w:style w:type="paragraph" w:styleId="Listaconvietas4">
    <w:name w:val="List Bullet 4"/>
    <w:basedOn w:val="Normal"/>
    <w:uiPriority w:val="1"/>
    <w:qFormat/>
    <w:locked/>
    <w:rsid w:val="00453222"/>
    <w:pPr>
      <w:numPr>
        <w:numId w:val="20"/>
      </w:numPr>
      <w:tabs>
        <w:tab w:val="clear" w:pos="1440"/>
      </w:tabs>
      <w:ind w:left="360"/>
      <w:contextualSpacing/>
    </w:pPr>
    <w:rPr>
      <w:rFonts w:eastAsia="Calibri"/>
      <w:sz w:val="20"/>
      <w:lang w:val="en-US" w:eastAsia="en-US"/>
    </w:rPr>
  </w:style>
  <w:style w:type="paragraph" w:styleId="Continuarlista4">
    <w:name w:val="List Continue 4"/>
    <w:basedOn w:val="Normal"/>
    <w:uiPriority w:val="2"/>
    <w:qFormat/>
    <w:locked/>
    <w:rsid w:val="00453222"/>
    <w:pPr>
      <w:spacing w:after="240"/>
      <w:ind w:left="1440"/>
    </w:pPr>
    <w:rPr>
      <w:rFonts w:eastAsia="Calibri"/>
      <w:sz w:val="20"/>
      <w:lang w:val="en-US" w:eastAsia="en-US"/>
    </w:rPr>
  </w:style>
  <w:style w:type="paragraph" w:styleId="Continuarlista5">
    <w:name w:val="List Continue 5"/>
    <w:basedOn w:val="Normal"/>
    <w:uiPriority w:val="2"/>
    <w:qFormat/>
    <w:locked/>
    <w:rsid w:val="00453222"/>
    <w:pPr>
      <w:spacing w:after="240"/>
      <w:ind w:left="1800"/>
    </w:pPr>
    <w:rPr>
      <w:rFonts w:eastAsia="Calibri"/>
      <w:sz w:val="20"/>
      <w:lang w:val="en-US" w:eastAsia="en-US"/>
    </w:rPr>
  </w:style>
  <w:style w:type="paragraph" w:styleId="Listaconnmeros2">
    <w:name w:val="List Number 2"/>
    <w:basedOn w:val="Normal"/>
    <w:uiPriority w:val="19"/>
    <w:semiHidden/>
    <w:unhideWhenUsed/>
    <w:locked/>
    <w:rsid w:val="00453222"/>
    <w:pPr>
      <w:numPr>
        <w:numId w:val="21"/>
      </w:numPr>
      <w:tabs>
        <w:tab w:val="clear" w:pos="720"/>
      </w:tabs>
      <w:ind w:left="927"/>
      <w:contextualSpacing/>
    </w:pPr>
    <w:rPr>
      <w:rFonts w:eastAsia="Calibri"/>
      <w:sz w:val="20"/>
      <w:lang w:val="en-US" w:eastAsia="en-US"/>
    </w:rPr>
  </w:style>
  <w:style w:type="paragraph" w:styleId="Listaconnmeros3">
    <w:name w:val="List Number 3"/>
    <w:basedOn w:val="Normal"/>
    <w:uiPriority w:val="19"/>
    <w:semiHidden/>
    <w:unhideWhenUsed/>
    <w:locked/>
    <w:rsid w:val="00453222"/>
    <w:pPr>
      <w:numPr>
        <w:numId w:val="22"/>
      </w:numPr>
      <w:tabs>
        <w:tab w:val="clear" w:pos="1080"/>
      </w:tabs>
      <w:ind w:left="720"/>
      <w:contextualSpacing/>
    </w:pPr>
    <w:rPr>
      <w:rFonts w:eastAsia="Calibri"/>
      <w:sz w:val="20"/>
      <w:lang w:val="en-US" w:eastAsia="en-US"/>
    </w:rPr>
  </w:style>
  <w:style w:type="paragraph" w:styleId="Listaconnmeros4">
    <w:name w:val="List Number 4"/>
    <w:basedOn w:val="Normal"/>
    <w:uiPriority w:val="19"/>
    <w:semiHidden/>
    <w:unhideWhenUsed/>
    <w:locked/>
    <w:rsid w:val="00453222"/>
    <w:pPr>
      <w:numPr>
        <w:numId w:val="23"/>
      </w:numPr>
      <w:tabs>
        <w:tab w:val="clear" w:pos="1440"/>
      </w:tabs>
      <w:ind w:left="720"/>
      <w:contextualSpacing/>
    </w:pPr>
    <w:rPr>
      <w:rFonts w:eastAsia="Calibri"/>
      <w:sz w:val="20"/>
      <w:lang w:val="en-US" w:eastAsia="en-US"/>
    </w:rPr>
  </w:style>
  <w:style w:type="paragraph" w:styleId="Listaconnmeros5">
    <w:name w:val="List Number 5"/>
    <w:basedOn w:val="Normal"/>
    <w:uiPriority w:val="19"/>
    <w:semiHidden/>
    <w:unhideWhenUsed/>
    <w:locked/>
    <w:rsid w:val="00453222"/>
    <w:pPr>
      <w:numPr>
        <w:numId w:val="24"/>
      </w:numPr>
      <w:tabs>
        <w:tab w:val="clear" w:pos="1800"/>
      </w:tabs>
      <w:ind w:left="720"/>
      <w:contextualSpacing/>
    </w:pPr>
    <w:rPr>
      <w:rFonts w:eastAsia="Calibri"/>
      <w:sz w:val="20"/>
      <w:lang w:val="en-US" w:eastAsia="en-US"/>
    </w:rPr>
  </w:style>
  <w:style w:type="paragraph" w:styleId="Textomacro">
    <w:name w:val="macro"/>
    <w:link w:val="TextomacroCar"/>
    <w:uiPriority w:val="99"/>
    <w:unhideWhenUsed/>
    <w:locked/>
    <w:rsid w:val="00453222"/>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rPr>
  </w:style>
  <w:style w:type="character" w:customStyle="1" w:styleId="TextomacroCar">
    <w:name w:val="Texto macro Car"/>
    <w:link w:val="Textomacro"/>
    <w:uiPriority w:val="99"/>
    <w:rsid w:val="00453222"/>
    <w:rPr>
      <w:rFonts w:ascii="Consolas" w:eastAsia="Calibri" w:hAnsi="Consolas"/>
      <w:lang w:val="en-US" w:eastAsia="en-US"/>
    </w:rPr>
  </w:style>
  <w:style w:type="paragraph" w:styleId="Encabezadodemensaje">
    <w:name w:val="Message Header"/>
    <w:basedOn w:val="Normal"/>
    <w:link w:val="EncabezadodemensajeCar"/>
    <w:uiPriority w:val="99"/>
    <w:unhideWhenUsed/>
    <w:locked/>
    <w:rsid w:val="00453222"/>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 w:val="20"/>
      <w:lang w:val="en-US" w:eastAsia="en-US"/>
    </w:rPr>
  </w:style>
  <w:style w:type="character" w:customStyle="1" w:styleId="EncabezadodemensajeCar">
    <w:name w:val="Encabezado de mensaje Car"/>
    <w:link w:val="Encabezadodemensaje"/>
    <w:uiPriority w:val="99"/>
    <w:rsid w:val="00453222"/>
    <w:rPr>
      <w:rFonts w:ascii="Calibri Light" w:hAnsi="Calibri Light"/>
      <w:szCs w:val="24"/>
      <w:shd w:val="pct20" w:color="auto" w:fill="auto"/>
      <w:lang w:val="en-US" w:eastAsia="en-US"/>
    </w:rPr>
  </w:style>
  <w:style w:type="paragraph" w:styleId="Sinespaciado">
    <w:name w:val="No Spacing"/>
    <w:uiPriority w:val="1"/>
    <w:qFormat/>
    <w:rsid w:val="00453222"/>
    <w:rPr>
      <w:rFonts w:eastAsia="Calibri"/>
      <w:sz w:val="24"/>
      <w:szCs w:val="24"/>
    </w:rPr>
  </w:style>
  <w:style w:type="paragraph" w:styleId="Sangranormal">
    <w:name w:val="Normal Indent"/>
    <w:basedOn w:val="Normal"/>
    <w:uiPriority w:val="99"/>
    <w:unhideWhenUsed/>
    <w:locked/>
    <w:rsid w:val="00453222"/>
    <w:pPr>
      <w:ind w:left="720"/>
    </w:pPr>
    <w:rPr>
      <w:rFonts w:eastAsia="Calibri"/>
      <w:sz w:val="20"/>
      <w:lang w:val="en-US" w:eastAsia="en-US"/>
    </w:rPr>
  </w:style>
  <w:style w:type="paragraph" w:styleId="Encabezadodenota">
    <w:name w:val="Note Heading"/>
    <w:basedOn w:val="Normal"/>
    <w:next w:val="Normal"/>
    <w:link w:val="EncabezadodenotaCar"/>
    <w:uiPriority w:val="99"/>
    <w:unhideWhenUsed/>
    <w:locked/>
    <w:rsid w:val="00453222"/>
    <w:rPr>
      <w:rFonts w:eastAsia="Calibri"/>
      <w:sz w:val="20"/>
      <w:lang w:val="en-US" w:eastAsia="en-US"/>
    </w:rPr>
  </w:style>
  <w:style w:type="character" w:customStyle="1" w:styleId="EncabezadodenotaCar">
    <w:name w:val="Encabezado de nota Car"/>
    <w:link w:val="Encabezadodenota"/>
    <w:uiPriority w:val="99"/>
    <w:rsid w:val="00453222"/>
    <w:rPr>
      <w:rFonts w:eastAsia="Calibri"/>
      <w:szCs w:val="24"/>
      <w:lang w:val="en-US" w:eastAsia="en-US"/>
    </w:rPr>
  </w:style>
  <w:style w:type="paragraph" w:styleId="Cita">
    <w:name w:val="Quote"/>
    <w:basedOn w:val="Normal"/>
    <w:next w:val="Normal"/>
    <w:link w:val="CitaCar"/>
    <w:uiPriority w:val="29"/>
    <w:qFormat/>
    <w:rsid w:val="00453222"/>
    <w:rPr>
      <w:rFonts w:eastAsia="Calibri"/>
      <w:i/>
      <w:iCs/>
      <w:color w:val="000000"/>
      <w:sz w:val="20"/>
      <w:lang w:val="en-US" w:eastAsia="en-US"/>
    </w:rPr>
  </w:style>
  <w:style w:type="character" w:customStyle="1" w:styleId="CitaCar">
    <w:name w:val="Cita Car"/>
    <w:link w:val="Cita"/>
    <w:uiPriority w:val="29"/>
    <w:rsid w:val="00453222"/>
    <w:rPr>
      <w:rFonts w:eastAsia="Calibri"/>
      <w:i/>
      <w:iCs/>
      <w:color w:val="000000"/>
      <w:szCs w:val="24"/>
      <w:lang w:val="en-US" w:eastAsia="en-US"/>
    </w:rPr>
  </w:style>
  <w:style w:type="paragraph" w:styleId="Saludo">
    <w:name w:val="Salutation"/>
    <w:basedOn w:val="Normal"/>
    <w:next w:val="Normal"/>
    <w:link w:val="SaludoCar"/>
    <w:uiPriority w:val="9"/>
    <w:qFormat/>
    <w:locked/>
    <w:rsid w:val="00453222"/>
    <w:rPr>
      <w:rFonts w:eastAsia="Calibri"/>
      <w:sz w:val="20"/>
      <w:lang w:val="en-US" w:eastAsia="en-US"/>
    </w:rPr>
  </w:style>
  <w:style w:type="character" w:customStyle="1" w:styleId="SaludoCar">
    <w:name w:val="Saludo Car"/>
    <w:link w:val="Saludo"/>
    <w:uiPriority w:val="9"/>
    <w:rsid w:val="00453222"/>
    <w:rPr>
      <w:rFonts w:eastAsia="Calibri"/>
      <w:szCs w:val="24"/>
      <w:lang w:val="en-US" w:eastAsia="en-US"/>
    </w:rPr>
  </w:style>
  <w:style w:type="paragraph" w:styleId="Firma">
    <w:name w:val="Signature"/>
    <w:basedOn w:val="Normal"/>
    <w:link w:val="FirmaCar"/>
    <w:uiPriority w:val="99"/>
    <w:unhideWhenUsed/>
    <w:locked/>
    <w:rsid w:val="00453222"/>
    <w:pPr>
      <w:ind w:left="4320"/>
    </w:pPr>
    <w:rPr>
      <w:rFonts w:eastAsia="Calibri"/>
      <w:sz w:val="20"/>
      <w:lang w:val="en-US" w:eastAsia="en-US"/>
    </w:rPr>
  </w:style>
  <w:style w:type="character" w:customStyle="1" w:styleId="FirmaCar">
    <w:name w:val="Firma Car"/>
    <w:link w:val="Firma"/>
    <w:uiPriority w:val="99"/>
    <w:rsid w:val="00453222"/>
    <w:rPr>
      <w:rFonts w:eastAsia="Calibri"/>
      <w:szCs w:val="24"/>
      <w:lang w:val="en-US" w:eastAsia="en-US"/>
    </w:rPr>
  </w:style>
  <w:style w:type="paragraph" w:styleId="Textoconsangra">
    <w:name w:val="table of authorities"/>
    <w:basedOn w:val="Normal"/>
    <w:next w:val="Normal"/>
    <w:uiPriority w:val="99"/>
    <w:unhideWhenUsed/>
    <w:locked/>
    <w:rsid w:val="00453222"/>
    <w:pPr>
      <w:ind w:left="220" w:hanging="220"/>
    </w:pPr>
    <w:rPr>
      <w:rFonts w:eastAsia="Calibri"/>
      <w:sz w:val="20"/>
      <w:lang w:val="en-US" w:eastAsia="en-US"/>
    </w:rPr>
  </w:style>
  <w:style w:type="paragraph" w:styleId="Tabladeilustraciones">
    <w:name w:val="table of figures"/>
    <w:basedOn w:val="Normal"/>
    <w:next w:val="Normal"/>
    <w:uiPriority w:val="99"/>
    <w:unhideWhenUsed/>
    <w:locked/>
    <w:rsid w:val="00453222"/>
    <w:rPr>
      <w:rFonts w:eastAsia="Calibri"/>
      <w:sz w:val="20"/>
      <w:lang w:val="en-US" w:eastAsia="en-US"/>
    </w:rPr>
  </w:style>
  <w:style w:type="paragraph" w:styleId="Encabezadodelista">
    <w:name w:val="toa heading"/>
    <w:basedOn w:val="Normal"/>
    <w:next w:val="Normal"/>
    <w:uiPriority w:val="99"/>
    <w:unhideWhenUsed/>
    <w:locked/>
    <w:rsid w:val="00453222"/>
    <w:pPr>
      <w:spacing w:before="120"/>
    </w:pPr>
    <w:rPr>
      <w:rFonts w:ascii="Calibri Light" w:hAnsi="Calibri Light"/>
      <w:b/>
      <w:bCs/>
      <w:sz w:val="20"/>
      <w:lang w:val="en-US" w:eastAsia="en-US"/>
    </w:rPr>
  </w:style>
  <w:style w:type="paragraph" w:styleId="TtuloTDC">
    <w:name w:val="TOC Heading"/>
    <w:basedOn w:val="Normal"/>
    <w:next w:val="TDC1"/>
    <w:uiPriority w:val="39"/>
    <w:unhideWhenUsed/>
    <w:qFormat/>
    <w:rsid w:val="00453222"/>
    <w:pPr>
      <w:spacing w:after="240"/>
      <w:jc w:val="center"/>
    </w:pPr>
    <w:rPr>
      <w:rFonts w:eastAsia="Calibri"/>
      <w:b/>
      <w:caps/>
      <w:sz w:val="20"/>
      <w:lang w:val="en-US" w:eastAsia="en-US"/>
    </w:rPr>
  </w:style>
  <w:style w:type="paragraph" w:customStyle="1" w:styleId="BlockText5">
    <w:name w:val="Block Text .5"/>
    <w:basedOn w:val="Normal"/>
    <w:qFormat/>
    <w:rsid w:val="00453222"/>
    <w:pPr>
      <w:spacing w:line="480" w:lineRule="auto"/>
      <w:ind w:left="720" w:right="720"/>
    </w:pPr>
    <w:rPr>
      <w:rFonts w:eastAsia="Calibri"/>
      <w:sz w:val="20"/>
      <w:lang w:val="en-US" w:eastAsia="en-US"/>
    </w:rPr>
  </w:style>
  <w:style w:type="paragraph" w:customStyle="1" w:styleId="BlockText5J">
    <w:name w:val="Block Text .5 J"/>
    <w:basedOn w:val="Normal"/>
    <w:qFormat/>
    <w:rsid w:val="00453222"/>
    <w:pPr>
      <w:spacing w:line="480" w:lineRule="auto"/>
      <w:ind w:left="720" w:right="720"/>
      <w:jc w:val="both"/>
    </w:pPr>
    <w:rPr>
      <w:rFonts w:eastAsia="Calibri"/>
      <w:sz w:val="20"/>
      <w:lang w:val="en-US" w:eastAsia="en-US"/>
    </w:rPr>
  </w:style>
  <w:style w:type="paragraph" w:customStyle="1" w:styleId="BlockText5Sgl">
    <w:name w:val="Block Text .5 Sgl"/>
    <w:basedOn w:val="Normal"/>
    <w:qFormat/>
    <w:rsid w:val="00453222"/>
    <w:pPr>
      <w:spacing w:after="240"/>
      <w:ind w:left="720" w:right="720"/>
    </w:pPr>
    <w:rPr>
      <w:rFonts w:eastAsia="Calibri"/>
      <w:sz w:val="20"/>
      <w:lang w:val="en-US" w:eastAsia="en-US"/>
    </w:rPr>
  </w:style>
  <w:style w:type="paragraph" w:customStyle="1" w:styleId="BlockText5SglJ">
    <w:name w:val="Block Text .5 Sgl J"/>
    <w:basedOn w:val="Normal"/>
    <w:qFormat/>
    <w:rsid w:val="00453222"/>
    <w:pPr>
      <w:spacing w:after="240"/>
      <w:ind w:left="720" w:right="720"/>
      <w:jc w:val="both"/>
    </w:pPr>
    <w:rPr>
      <w:rFonts w:eastAsia="Calibri"/>
      <w:sz w:val="20"/>
      <w:lang w:val="en-US" w:eastAsia="en-US"/>
    </w:rPr>
  </w:style>
  <w:style w:type="paragraph" w:customStyle="1" w:styleId="BlockText1">
    <w:name w:val="Block Text 1"/>
    <w:basedOn w:val="Normal"/>
    <w:qFormat/>
    <w:rsid w:val="00453222"/>
    <w:pPr>
      <w:spacing w:line="480" w:lineRule="auto"/>
      <w:ind w:left="1440" w:right="1440"/>
    </w:pPr>
    <w:rPr>
      <w:rFonts w:eastAsia="Calibri"/>
      <w:sz w:val="20"/>
      <w:lang w:val="en-US" w:eastAsia="en-US"/>
    </w:rPr>
  </w:style>
  <w:style w:type="paragraph" w:customStyle="1" w:styleId="BlockText1J">
    <w:name w:val="Block Text 1 J"/>
    <w:basedOn w:val="Normal"/>
    <w:qFormat/>
    <w:rsid w:val="00453222"/>
    <w:pPr>
      <w:spacing w:line="480" w:lineRule="auto"/>
      <w:ind w:left="1440" w:right="1440"/>
      <w:jc w:val="both"/>
    </w:pPr>
    <w:rPr>
      <w:rFonts w:eastAsia="Calibri"/>
      <w:sz w:val="20"/>
      <w:lang w:val="en-US" w:eastAsia="en-US"/>
    </w:rPr>
  </w:style>
  <w:style w:type="paragraph" w:customStyle="1" w:styleId="BlockText1Sgl">
    <w:name w:val="Block Text 1 Sgl"/>
    <w:basedOn w:val="Normal"/>
    <w:qFormat/>
    <w:rsid w:val="00453222"/>
    <w:pPr>
      <w:spacing w:after="240"/>
      <w:ind w:left="1440" w:right="1440"/>
    </w:pPr>
    <w:rPr>
      <w:rFonts w:eastAsia="Calibri"/>
      <w:sz w:val="20"/>
      <w:lang w:val="en-US" w:eastAsia="en-US"/>
    </w:rPr>
  </w:style>
  <w:style w:type="paragraph" w:customStyle="1" w:styleId="BlockText1SglJ">
    <w:name w:val="Block Text 1 Sgl J"/>
    <w:basedOn w:val="Normal"/>
    <w:qFormat/>
    <w:rsid w:val="00453222"/>
    <w:pPr>
      <w:spacing w:after="240"/>
      <w:ind w:left="1440" w:right="1440"/>
      <w:jc w:val="both"/>
    </w:pPr>
    <w:rPr>
      <w:rFonts w:eastAsia="Calibri"/>
      <w:sz w:val="20"/>
      <w:lang w:val="en-US" w:eastAsia="en-US"/>
    </w:rPr>
  </w:style>
  <w:style w:type="paragraph" w:customStyle="1" w:styleId="BlockTextSglJ">
    <w:name w:val="Block Text Sgl J"/>
    <w:basedOn w:val="Normal"/>
    <w:qFormat/>
    <w:rsid w:val="00453222"/>
    <w:pPr>
      <w:spacing w:after="240"/>
      <w:jc w:val="both"/>
    </w:pPr>
    <w:rPr>
      <w:rFonts w:eastAsia="Calibri"/>
      <w:sz w:val="20"/>
      <w:lang w:val="en-US" w:eastAsia="en-US"/>
    </w:rPr>
  </w:style>
  <w:style w:type="paragraph" w:customStyle="1" w:styleId="BodyText2J">
    <w:name w:val="Body Text 2 J"/>
    <w:basedOn w:val="Textoindependiente2"/>
    <w:qFormat/>
    <w:rsid w:val="00453222"/>
    <w:pPr>
      <w:spacing w:after="0"/>
      <w:ind w:firstLine="720"/>
      <w:jc w:val="both"/>
    </w:pPr>
    <w:rPr>
      <w:rFonts w:eastAsia="Calibri"/>
      <w:sz w:val="20"/>
      <w:szCs w:val="24"/>
      <w:lang w:val="en-US" w:eastAsia="en-US"/>
    </w:rPr>
  </w:style>
  <w:style w:type="paragraph" w:customStyle="1" w:styleId="BodyText3J">
    <w:name w:val="Body Text 3 J"/>
    <w:basedOn w:val="Textoindependiente3"/>
    <w:qFormat/>
    <w:rsid w:val="00453222"/>
    <w:pPr>
      <w:spacing w:line="360" w:lineRule="auto"/>
      <w:ind w:firstLine="1440"/>
    </w:pPr>
    <w:rPr>
      <w:rFonts w:eastAsia="Calibri"/>
      <w:szCs w:val="16"/>
      <w:lang w:val="en-US" w:eastAsia="en-US"/>
    </w:rPr>
  </w:style>
  <w:style w:type="paragraph" w:customStyle="1" w:styleId="BodyTextIndentInch">
    <w:name w:val="Body Text Indent Inch"/>
    <w:basedOn w:val="Normal"/>
    <w:qFormat/>
    <w:rsid w:val="00453222"/>
    <w:pPr>
      <w:spacing w:line="480" w:lineRule="auto"/>
      <w:ind w:left="1440"/>
    </w:pPr>
    <w:rPr>
      <w:rFonts w:eastAsia="Calibri"/>
      <w:sz w:val="20"/>
      <w:lang w:val="en-US" w:eastAsia="en-US"/>
    </w:rPr>
  </w:style>
  <w:style w:type="paragraph" w:customStyle="1" w:styleId="BodyTextIndentInchJ">
    <w:name w:val="Body Text Indent Inch J"/>
    <w:basedOn w:val="Normal"/>
    <w:qFormat/>
    <w:rsid w:val="00453222"/>
    <w:pPr>
      <w:spacing w:line="480" w:lineRule="auto"/>
      <w:ind w:left="1440"/>
      <w:jc w:val="both"/>
    </w:pPr>
    <w:rPr>
      <w:rFonts w:eastAsia="Calibri"/>
      <w:sz w:val="20"/>
      <w:lang w:val="en-US" w:eastAsia="en-US"/>
    </w:rPr>
  </w:style>
  <w:style w:type="paragraph" w:customStyle="1" w:styleId="BodyTextIndentInchSgl">
    <w:name w:val="Body Text Indent Inch Sgl"/>
    <w:basedOn w:val="Normal"/>
    <w:qFormat/>
    <w:rsid w:val="00453222"/>
    <w:pPr>
      <w:spacing w:after="240"/>
      <w:ind w:left="1440"/>
    </w:pPr>
    <w:rPr>
      <w:rFonts w:eastAsia="Calibri"/>
      <w:sz w:val="20"/>
      <w:lang w:val="en-US" w:eastAsia="en-US"/>
    </w:rPr>
  </w:style>
  <w:style w:type="paragraph" w:customStyle="1" w:styleId="BodyTextIndentInchSglJ">
    <w:name w:val="Body Text Indent Inch Sgl J"/>
    <w:basedOn w:val="Normal"/>
    <w:qFormat/>
    <w:rsid w:val="00453222"/>
    <w:pPr>
      <w:spacing w:after="240"/>
      <w:ind w:left="1440"/>
      <w:jc w:val="both"/>
    </w:pPr>
    <w:rPr>
      <w:rFonts w:eastAsia="Calibri"/>
      <w:sz w:val="20"/>
      <w:lang w:val="en-US" w:eastAsia="en-US"/>
    </w:rPr>
  </w:style>
  <w:style w:type="paragraph" w:customStyle="1" w:styleId="BodyTextIndentJ">
    <w:name w:val="Body Text Indent J"/>
    <w:basedOn w:val="Normal"/>
    <w:qFormat/>
    <w:rsid w:val="00453222"/>
    <w:pPr>
      <w:spacing w:line="480" w:lineRule="auto"/>
      <w:ind w:left="720"/>
      <w:jc w:val="both"/>
    </w:pPr>
    <w:rPr>
      <w:rFonts w:eastAsia="Calibri"/>
      <w:sz w:val="20"/>
      <w:lang w:val="en-US" w:eastAsia="en-US"/>
    </w:rPr>
  </w:style>
  <w:style w:type="paragraph" w:customStyle="1" w:styleId="BodyTextIndentSgl">
    <w:name w:val="Body Text Indent Sgl"/>
    <w:basedOn w:val="Normal"/>
    <w:qFormat/>
    <w:rsid w:val="00453222"/>
    <w:pPr>
      <w:spacing w:after="240"/>
      <w:ind w:left="720"/>
    </w:pPr>
    <w:rPr>
      <w:rFonts w:eastAsia="Calibri"/>
      <w:sz w:val="20"/>
      <w:lang w:val="en-US" w:eastAsia="en-US"/>
    </w:rPr>
  </w:style>
  <w:style w:type="paragraph" w:customStyle="1" w:styleId="BodyTextIndentSglJ">
    <w:name w:val="Body Text Indent Sgl J"/>
    <w:basedOn w:val="Normal"/>
    <w:qFormat/>
    <w:rsid w:val="00453222"/>
    <w:pPr>
      <w:spacing w:after="240"/>
      <w:ind w:left="720"/>
      <w:jc w:val="both"/>
    </w:pPr>
    <w:rPr>
      <w:rFonts w:eastAsia="Calibri"/>
      <w:sz w:val="20"/>
      <w:lang w:val="en-US" w:eastAsia="en-US"/>
    </w:rPr>
  </w:style>
  <w:style w:type="paragraph" w:customStyle="1" w:styleId="BodyTextJ">
    <w:name w:val="Body Text J"/>
    <w:basedOn w:val="Textoindependiente"/>
    <w:qFormat/>
    <w:rsid w:val="00453222"/>
    <w:pPr>
      <w:spacing w:after="0" w:line="480" w:lineRule="auto"/>
      <w:ind w:firstLine="1440"/>
      <w:jc w:val="both"/>
    </w:pPr>
    <w:rPr>
      <w:rFonts w:eastAsia="Calibri"/>
      <w:sz w:val="20"/>
      <w:szCs w:val="24"/>
      <w:lang w:val="en-US" w:eastAsia="en-US"/>
    </w:rPr>
  </w:style>
  <w:style w:type="paragraph" w:customStyle="1" w:styleId="BodyTextNumbered">
    <w:name w:val="Body Text Numbered"/>
    <w:basedOn w:val="Textoindependiente"/>
    <w:qFormat/>
    <w:rsid w:val="00453222"/>
    <w:pPr>
      <w:numPr>
        <w:numId w:val="25"/>
      </w:numPr>
      <w:tabs>
        <w:tab w:val="left" w:pos="2160"/>
      </w:tabs>
      <w:spacing w:after="0" w:line="480" w:lineRule="auto"/>
      <w:ind w:left="0" w:firstLine="1440"/>
      <w:outlineLvl w:val="0"/>
    </w:pPr>
    <w:rPr>
      <w:rFonts w:eastAsia="Calibri"/>
      <w:sz w:val="20"/>
      <w:szCs w:val="24"/>
      <w:lang w:val="en-US" w:eastAsia="en-US"/>
    </w:rPr>
  </w:style>
  <w:style w:type="paragraph" w:customStyle="1" w:styleId="EndnoteTextMore">
    <w:name w:val="Endnote TextMore"/>
    <w:basedOn w:val="Textonotaalfinal"/>
    <w:qFormat/>
    <w:rsid w:val="00453222"/>
    <w:pPr>
      <w:ind w:firstLine="0"/>
    </w:pPr>
  </w:style>
  <w:style w:type="paragraph" w:customStyle="1" w:styleId="BodyTextSgl">
    <w:name w:val="Body Text Sgl"/>
    <w:basedOn w:val="Normal"/>
    <w:qFormat/>
    <w:rsid w:val="00453222"/>
    <w:pPr>
      <w:spacing w:after="240"/>
      <w:ind w:firstLine="1440"/>
    </w:pPr>
    <w:rPr>
      <w:rFonts w:eastAsia="Calibri"/>
      <w:sz w:val="20"/>
      <w:lang w:val="en-US" w:eastAsia="en-US"/>
    </w:rPr>
  </w:style>
  <w:style w:type="paragraph" w:customStyle="1" w:styleId="BodyTextSglJ">
    <w:name w:val="Body Text Sgl J"/>
    <w:basedOn w:val="Normal"/>
    <w:qFormat/>
    <w:rsid w:val="00453222"/>
    <w:pPr>
      <w:ind w:firstLine="1440"/>
      <w:jc w:val="both"/>
    </w:pPr>
    <w:rPr>
      <w:rFonts w:eastAsia="Calibri"/>
      <w:sz w:val="20"/>
      <w:lang w:val="en-US" w:eastAsia="en-US"/>
    </w:rPr>
  </w:style>
  <w:style w:type="paragraph" w:customStyle="1" w:styleId="CenteredBU">
    <w:name w:val="Centered BU"/>
    <w:basedOn w:val="Normal"/>
    <w:qFormat/>
    <w:rsid w:val="00453222"/>
    <w:pPr>
      <w:spacing w:after="240"/>
      <w:jc w:val="center"/>
    </w:pPr>
    <w:rPr>
      <w:rFonts w:eastAsia="Calibri"/>
      <w:b/>
      <w:sz w:val="20"/>
      <w:u w:val="single"/>
      <w:lang w:val="en-US" w:eastAsia="en-US"/>
    </w:rPr>
  </w:style>
  <w:style w:type="paragraph" w:customStyle="1" w:styleId="CenteredText">
    <w:name w:val="Centered Text"/>
    <w:basedOn w:val="Normal"/>
    <w:qFormat/>
    <w:rsid w:val="00453222"/>
    <w:pPr>
      <w:spacing w:after="240"/>
      <w:jc w:val="center"/>
    </w:pPr>
    <w:rPr>
      <w:rFonts w:eastAsia="Calibri"/>
      <w:sz w:val="20"/>
      <w:lang w:val="en-US" w:eastAsia="en-US"/>
    </w:rPr>
  </w:style>
  <w:style w:type="paragraph" w:customStyle="1" w:styleId="CenteredU">
    <w:name w:val="Centered U"/>
    <w:basedOn w:val="Normal"/>
    <w:qFormat/>
    <w:rsid w:val="00453222"/>
    <w:pPr>
      <w:spacing w:after="240"/>
      <w:jc w:val="center"/>
    </w:pPr>
    <w:rPr>
      <w:rFonts w:eastAsia="Calibri"/>
      <w:sz w:val="20"/>
      <w:u w:val="single"/>
      <w:lang w:val="en-US" w:eastAsia="en-US"/>
    </w:rPr>
  </w:style>
  <w:style w:type="paragraph" w:customStyle="1" w:styleId="FooterLandscape">
    <w:name w:val="Footer Landscape"/>
    <w:basedOn w:val="Normal"/>
    <w:qFormat/>
    <w:rsid w:val="00453222"/>
    <w:pPr>
      <w:tabs>
        <w:tab w:val="center" w:pos="7200"/>
        <w:tab w:val="right" w:pos="14400"/>
      </w:tabs>
    </w:pPr>
    <w:rPr>
      <w:rFonts w:ascii="Arial" w:eastAsia="Calibri" w:hAnsi="Arial"/>
      <w:sz w:val="20"/>
      <w:lang w:val="en-US" w:eastAsia="en-US"/>
    </w:rPr>
  </w:style>
  <w:style w:type="paragraph" w:customStyle="1" w:styleId="FootnoteTextMore">
    <w:name w:val="Footnote TextMore"/>
    <w:basedOn w:val="Normal"/>
    <w:qFormat/>
    <w:rsid w:val="00453222"/>
    <w:pPr>
      <w:spacing w:after="240"/>
      <w:ind w:left="720" w:hanging="720"/>
    </w:pPr>
    <w:rPr>
      <w:rFonts w:eastAsia="Calibri"/>
      <w:sz w:val="20"/>
      <w:lang w:val="en-US" w:eastAsia="en-US"/>
    </w:rPr>
  </w:style>
  <w:style w:type="paragraph" w:customStyle="1" w:styleId="STBBullet1">
    <w:name w:val="STB Bullet 1"/>
    <w:basedOn w:val="Normal"/>
    <w:qFormat/>
    <w:rsid w:val="00453222"/>
    <w:pPr>
      <w:numPr>
        <w:numId w:val="26"/>
      </w:numPr>
      <w:tabs>
        <w:tab w:val="left" w:pos="720"/>
      </w:tabs>
      <w:spacing w:after="240"/>
      <w:ind w:left="0" w:firstLine="360"/>
    </w:pPr>
    <w:rPr>
      <w:rFonts w:eastAsia="Calibri"/>
      <w:sz w:val="20"/>
      <w:lang w:val="en-US" w:eastAsia="en-US"/>
    </w:rPr>
  </w:style>
  <w:style w:type="paragraph" w:customStyle="1" w:styleId="STBBullet2">
    <w:name w:val="STB Bullet 2"/>
    <w:basedOn w:val="Normal"/>
    <w:qFormat/>
    <w:rsid w:val="00453222"/>
    <w:pPr>
      <w:numPr>
        <w:numId w:val="27"/>
      </w:numPr>
      <w:tabs>
        <w:tab w:val="left" w:pos="1080"/>
      </w:tabs>
      <w:ind w:left="0" w:firstLine="720"/>
    </w:pPr>
    <w:rPr>
      <w:rFonts w:eastAsia="Calibri"/>
      <w:sz w:val="20"/>
      <w:lang w:val="en-US" w:eastAsia="en-US"/>
    </w:rPr>
  </w:style>
  <w:style w:type="paragraph" w:customStyle="1" w:styleId="STBBullet1DBL">
    <w:name w:val="STB Bullet 1 DBL"/>
    <w:basedOn w:val="Normal"/>
    <w:qFormat/>
    <w:rsid w:val="00453222"/>
    <w:pPr>
      <w:numPr>
        <w:numId w:val="28"/>
      </w:numPr>
      <w:tabs>
        <w:tab w:val="left" w:pos="720"/>
      </w:tabs>
      <w:spacing w:line="480" w:lineRule="auto"/>
      <w:ind w:left="0" w:firstLine="360"/>
    </w:pPr>
    <w:rPr>
      <w:rFonts w:eastAsia="Calibri"/>
      <w:sz w:val="20"/>
      <w:lang w:val="en-US" w:eastAsia="en-US"/>
    </w:rPr>
  </w:style>
  <w:style w:type="paragraph" w:customStyle="1" w:styleId="STBBullet2DBL">
    <w:name w:val="STB Bullet 2 DBL"/>
    <w:basedOn w:val="Normal"/>
    <w:qFormat/>
    <w:rsid w:val="00453222"/>
    <w:pPr>
      <w:numPr>
        <w:numId w:val="29"/>
      </w:numPr>
      <w:tabs>
        <w:tab w:val="left" w:pos="1080"/>
      </w:tabs>
      <w:spacing w:line="480" w:lineRule="auto"/>
      <w:ind w:left="0" w:firstLine="720"/>
    </w:pPr>
    <w:rPr>
      <w:rFonts w:eastAsia="Calibri"/>
      <w:sz w:val="20"/>
      <w:lang w:val="en-US" w:eastAsia="en-US"/>
    </w:rPr>
  </w:style>
  <w:style w:type="paragraph" w:customStyle="1" w:styleId="STBBullet3">
    <w:name w:val="STB Bullet 3"/>
    <w:basedOn w:val="Normal"/>
    <w:qFormat/>
    <w:rsid w:val="00453222"/>
    <w:pPr>
      <w:numPr>
        <w:numId w:val="30"/>
      </w:numPr>
      <w:tabs>
        <w:tab w:val="left" w:pos="1440"/>
      </w:tabs>
      <w:spacing w:after="240"/>
      <w:ind w:left="0" w:firstLine="1080"/>
    </w:pPr>
    <w:rPr>
      <w:rFonts w:eastAsia="Calibri"/>
      <w:sz w:val="20"/>
      <w:lang w:val="en-US" w:eastAsia="en-US"/>
    </w:rPr>
  </w:style>
  <w:style w:type="paragraph" w:customStyle="1" w:styleId="STBBullet3DBL">
    <w:name w:val="STB Bullet 3 DBL"/>
    <w:basedOn w:val="Normal"/>
    <w:qFormat/>
    <w:rsid w:val="00453222"/>
    <w:pPr>
      <w:numPr>
        <w:numId w:val="31"/>
      </w:numPr>
      <w:tabs>
        <w:tab w:val="left" w:pos="1440"/>
      </w:tabs>
      <w:spacing w:line="480" w:lineRule="auto"/>
      <w:ind w:left="0" w:firstLine="1080"/>
    </w:pPr>
    <w:rPr>
      <w:rFonts w:eastAsia="Calibri"/>
      <w:sz w:val="20"/>
      <w:lang w:val="en-US" w:eastAsia="en-US"/>
    </w:rPr>
  </w:style>
  <w:style w:type="paragraph" w:customStyle="1" w:styleId="STBBullet4">
    <w:name w:val="STB Bullet 4"/>
    <w:basedOn w:val="Normal"/>
    <w:qFormat/>
    <w:rsid w:val="00453222"/>
    <w:pPr>
      <w:numPr>
        <w:numId w:val="32"/>
      </w:numPr>
      <w:tabs>
        <w:tab w:val="left" w:pos="1800"/>
      </w:tabs>
      <w:spacing w:after="240"/>
      <w:ind w:left="0" w:firstLine="1440"/>
    </w:pPr>
    <w:rPr>
      <w:rFonts w:eastAsia="Calibri"/>
      <w:sz w:val="20"/>
      <w:lang w:val="en-US" w:eastAsia="en-US"/>
    </w:rPr>
  </w:style>
  <w:style w:type="paragraph" w:customStyle="1" w:styleId="STBBullet4DBL">
    <w:name w:val="STB Bullet 4 DBL"/>
    <w:basedOn w:val="Normal"/>
    <w:qFormat/>
    <w:rsid w:val="00453222"/>
    <w:pPr>
      <w:numPr>
        <w:numId w:val="33"/>
      </w:numPr>
      <w:tabs>
        <w:tab w:val="left" w:pos="1800"/>
      </w:tabs>
      <w:spacing w:line="480" w:lineRule="auto"/>
      <w:ind w:left="0" w:firstLine="1440"/>
    </w:pPr>
    <w:rPr>
      <w:rFonts w:eastAsia="Calibri"/>
      <w:sz w:val="20"/>
      <w:lang w:val="en-US" w:eastAsia="en-US"/>
    </w:rPr>
  </w:style>
  <w:style w:type="paragraph" w:customStyle="1" w:styleId="STBListNumber1DBL">
    <w:name w:val="STB List Number 1 DBL"/>
    <w:basedOn w:val="Normal"/>
    <w:qFormat/>
    <w:rsid w:val="00453222"/>
    <w:pPr>
      <w:numPr>
        <w:numId w:val="34"/>
      </w:numPr>
      <w:spacing w:line="480" w:lineRule="auto"/>
      <w:ind w:left="0" w:firstLine="720"/>
    </w:pPr>
    <w:rPr>
      <w:rFonts w:eastAsia="Calibri"/>
      <w:sz w:val="20"/>
      <w:lang w:val="en-US" w:eastAsia="en-US"/>
    </w:rPr>
  </w:style>
  <w:style w:type="paragraph" w:customStyle="1" w:styleId="STBListNumber2">
    <w:name w:val="STB List Number 2"/>
    <w:basedOn w:val="Normal"/>
    <w:qFormat/>
    <w:rsid w:val="00453222"/>
    <w:pPr>
      <w:numPr>
        <w:numId w:val="35"/>
      </w:numPr>
      <w:tabs>
        <w:tab w:val="num" w:pos="720"/>
      </w:tabs>
      <w:spacing w:after="240"/>
      <w:ind w:left="0" w:firstLine="1440"/>
    </w:pPr>
    <w:rPr>
      <w:rFonts w:eastAsia="Calibri"/>
      <w:sz w:val="20"/>
      <w:lang w:val="en-US" w:eastAsia="en-US"/>
    </w:rPr>
  </w:style>
  <w:style w:type="paragraph" w:customStyle="1" w:styleId="STBListNumber2DBL">
    <w:name w:val="STB List Number 2 DBL"/>
    <w:basedOn w:val="Normal"/>
    <w:qFormat/>
    <w:rsid w:val="00453222"/>
    <w:pPr>
      <w:numPr>
        <w:numId w:val="36"/>
      </w:numPr>
      <w:tabs>
        <w:tab w:val="num" w:pos="720"/>
      </w:tabs>
      <w:spacing w:line="480" w:lineRule="auto"/>
      <w:ind w:left="0" w:firstLine="1440"/>
    </w:pPr>
    <w:rPr>
      <w:rFonts w:eastAsia="Calibri"/>
      <w:sz w:val="20"/>
      <w:lang w:val="en-US" w:eastAsia="en-US"/>
    </w:rPr>
  </w:style>
  <w:style w:type="paragraph" w:customStyle="1" w:styleId="STBListNumber3">
    <w:name w:val="STB List Number 3"/>
    <w:basedOn w:val="Normal"/>
    <w:qFormat/>
    <w:rsid w:val="00453222"/>
    <w:pPr>
      <w:numPr>
        <w:numId w:val="37"/>
      </w:numPr>
      <w:tabs>
        <w:tab w:val="num" w:pos="720"/>
      </w:tabs>
      <w:spacing w:after="240"/>
      <w:ind w:left="0" w:firstLine="2160"/>
    </w:pPr>
    <w:rPr>
      <w:rFonts w:eastAsia="Calibri"/>
      <w:sz w:val="20"/>
      <w:lang w:val="en-US" w:eastAsia="en-US"/>
    </w:rPr>
  </w:style>
  <w:style w:type="paragraph" w:customStyle="1" w:styleId="STBListNumber3DBL">
    <w:name w:val="STB List Number 3 DBL"/>
    <w:basedOn w:val="Normal"/>
    <w:qFormat/>
    <w:rsid w:val="00453222"/>
    <w:pPr>
      <w:numPr>
        <w:numId w:val="38"/>
      </w:numPr>
      <w:tabs>
        <w:tab w:val="num" w:pos="720"/>
      </w:tabs>
      <w:spacing w:line="480" w:lineRule="auto"/>
      <w:ind w:left="0" w:firstLine="2160"/>
    </w:pPr>
    <w:rPr>
      <w:rFonts w:eastAsia="Calibri"/>
      <w:sz w:val="20"/>
      <w:lang w:val="en-US" w:eastAsia="en-US"/>
    </w:rPr>
  </w:style>
  <w:style w:type="paragraph" w:customStyle="1" w:styleId="STBListNumber4">
    <w:name w:val="STB List Number 4"/>
    <w:basedOn w:val="Normal"/>
    <w:qFormat/>
    <w:rsid w:val="00453222"/>
    <w:pPr>
      <w:numPr>
        <w:numId w:val="39"/>
      </w:numPr>
      <w:tabs>
        <w:tab w:val="num" w:pos="720"/>
      </w:tabs>
      <w:spacing w:after="240"/>
      <w:ind w:left="0" w:firstLine="2880"/>
    </w:pPr>
    <w:rPr>
      <w:rFonts w:eastAsia="Calibri"/>
      <w:sz w:val="20"/>
      <w:lang w:val="en-US" w:eastAsia="en-US"/>
    </w:rPr>
  </w:style>
  <w:style w:type="paragraph" w:customStyle="1" w:styleId="STBListNumber4DBL">
    <w:name w:val="STB List Number 4 DBL"/>
    <w:basedOn w:val="Normal"/>
    <w:qFormat/>
    <w:rsid w:val="00453222"/>
    <w:pPr>
      <w:numPr>
        <w:numId w:val="40"/>
      </w:numPr>
      <w:tabs>
        <w:tab w:val="num" w:pos="720"/>
      </w:tabs>
      <w:spacing w:line="480" w:lineRule="auto"/>
      <w:ind w:left="0" w:firstLine="2880"/>
    </w:pPr>
    <w:rPr>
      <w:rFonts w:eastAsia="Calibri"/>
      <w:sz w:val="20"/>
      <w:lang w:val="en-US" w:eastAsia="en-US"/>
    </w:rPr>
  </w:style>
  <w:style w:type="paragraph" w:customStyle="1" w:styleId="TitleB">
    <w:name w:val="Title B"/>
    <w:basedOn w:val="Normal"/>
    <w:next w:val="Textoindependiente"/>
    <w:qFormat/>
    <w:rsid w:val="00453222"/>
    <w:pPr>
      <w:keepNext/>
      <w:spacing w:after="240"/>
      <w:outlineLvl w:val="0"/>
    </w:pPr>
    <w:rPr>
      <w:rFonts w:eastAsia="Calibri"/>
      <w:b/>
      <w:sz w:val="20"/>
      <w:lang w:val="en-US" w:eastAsia="en-US"/>
    </w:rPr>
  </w:style>
  <w:style w:type="paragraph" w:customStyle="1" w:styleId="TitleBC">
    <w:name w:val="Title BC"/>
    <w:basedOn w:val="Normal"/>
    <w:qFormat/>
    <w:rsid w:val="00453222"/>
    <w:pPr>
      <w:keepNext/>
      <w:spacing w:after="240"/>
      <w:jc w:val="center"/>
      <w:outlineLvl w:val="0"/>
    </w:pPr>
    <w:rPr>
      <w:rFonts w:ascii="Times New Roman Bold" w:eastAsia="Calibri" w:hAnsi="Times New Roman Bold"/>
      <w:b/>
      <w:caps/>
      <w:sz w:val="20"/>
      <w:lang w:val="en-US" w:eastAsia="en-US"/>
    </w:rPr>
  </w:style>
  <w:style w:type="paragraph" w:customStyle="1" w:styleId="TitleBU">
    <w:name w:val="Title BU"/>
    <w:basedOn w:val="Normal"/>
    <w:next w:val="Textoindependiente"/>
    <w:qFormat/>
    <w:rsid w:val="00453222"/>
    <w:pPr>
      <w:spacing w:after="240"/>
      <w:outlineLvl w:val="0"/>
    </w:pPr>
    <w:rPr>
      <w:rFonts w:eastAsia="Calibri"/>
      <w:b/>
      <w:sz w:val="20"/>
      <w:u w:val="single"/>
      <w:lang w:val="en-US" w:eastAsia="en-US"/>
    </w:rPr>
  </w:style>
  <w:style w:type="paragraph" w:customStyle="1" w:styleId="TitleBUC">
    <w:name w:val="Title BUC"/>
    <w:basedOn w:val="Normal"/>
    <w:next w:val="Textoindependiente"/>
    <w:qFormat/>
    <w:rsid w:val="00453222"/>
    <w:pPr>
      <w:spacing w:after="240"/>
      <w:jc w:val="center"/>
      <w:outlineLvl w:val="0"/>
    </w:pPr>
    <w:rPr>
      <w:rFonts w:eastAsia="Calibri"/>
      <w:b/>
      <w:sz w:val="20"/>
      <w:u w:val="single"/>
      <w:lang w:val="en-US" w:eastAsia="en-US"/>
    </w:rPr>
  </w:style>
  <w:style w:type="paragraph" w:customStyle="1" w:styleId="TitleC">
    <w:name w:val="Title C"/>
    <w:basedOn w:val="Normal"/>
    <w:next w:val="Normal"/>
    <w:qFormat/>
    <w:rsid w:val="00453222"/>
    <w:pPr>
      <w:spacing w:after="240"/>
      <w:jc w:val="center"/>
      <w:outlineLvl w:val="0"/>
    </w:pPr>
    <w:rPr>
      <w:rFonts w:eastAsia="Calibri"/>
      <w:sz w:val="20"/>
      <w:lang w:val="en-US" w:eastAsia="en-US"/>
    </w:rPr>
  </w:style>
  <w:style w:type="paragraph" w:customStyle="1" w:styleId="TitleUC">
    <w:name w:val="Title UC"/>
    <w:basedOn w:val="Normal"/>
    <w:next w:val="Normal"/>
    <w:qFormat/>
    <w:rsid w:val="00453222"/>
    <w:pPr>
      <w:spacing w:after="240"/>
      <w:jc w:val="center"/>
      <w:outlineLvl w:val="0"/>
    </w:pPr>
    <w:rPr>
      <w:rFonts w:eastAsia="Calibri"/>
      <w:sz w:val="20"/>
      <w:u w:val="single"/>
      <w:lang w:val="en-US" w:eastAsia="en-US"/>
    </w:rPr>
  </w:style>
  <w:style w:type="paragraph" w:customStyle="1" w:styleId="BlockTextSglJIndent">
    <w:name w:val="Block Text Sgl J Indent"/>
    <w:basedOn w:val="Normal"/>
    <w:qFormat/>
    <w:rsid w:val="00453222"/>
    <w:pPr>
      <w:spacing w:after="240"/>
      <w:ind w:left="720"/>
      <w:jc w:val="both"/>
    </w:pPr>
    <w:rPr>
      <w:rFonts w:eastAsia="Calibri"/>
      <w:sz w:val="20"/>
      <w:lang w:val="en-US" w:eastAsia="en-US"/>
    </w:rPr>
  </w:style>
  <w:style w:type="paragraph" w:customStyle="1" w:styleId="BlockTextSglJIndent2">
    <w:name w:val="Block Text Sgl J Indent 2"/>
    <w:basedOn w:val="Normal"/>
    <w:qFormat/>
    <w:rsid w:val="00453222"/>
    <w:pPr>
      <w:spacing w:after="240"/>
      <w:ind w:left="1440"/>
      <w:jc w:val="both"/>
    </w:pPr>
    <w:rPr>
      <w:rFonts w:eastAsia="Calibri"/>
      <w:sz w:val="20"/>
      <w:lang w:val="en-US" w:eastAsia="en-US"/>
    </w:rPr>
  </w:style>
  <w:style w:type="paragraph" w:customStyle="1" w:styleId="BlockTextSglJIndent3">
    <w:name w:val="Block Text Sgl J Indent 3"/>
    <w:basedOn w:val="Normal"/>
    <w:qFormat/>
    <w:rsid w:val="00453222"/>
    <w:pPr>
      <w:spacing w:after="240"/>
      <w:ind w:left="2160"/>
      <w:jc w:val="both"/>
    </w:pPr>
    <w:rPr>
      <w:rFonts w:eastAsia="Calibri"/>
      <w:sz w:val="20"/>
      <w:lang w:val="en-US" w:eastAsia="en-US"/>
    </w:rPr>
  </w:style>
  <w:style w:type="paragraph" w:customStyle="1" w:styleId="BlockTextSglJIndent4">
    <w:name w:val="Block Text Sgl J Indent 4"/>
    <w:basedOn w:val="Normal"/>
    <w:qFormat/>
    <w:rsid w:val="00453222"/>
    <w:pPr>
      <w:spacing w:after="240"/>
      <w:ind w:left="2880"/>
      <w:jc w:val="both"/>
    </w:pPr>
    <w:rPr>
      <w:rFonts w:eastAsia="Calibri"/>
      <w:sz w:val="20"/>
      <w:lang w:val="en-US" w:eastAsia="en-US"/>
    </w:rPr>
  </w:style>
  <w:style w:type="paragraph" w:customStyle="1" w:styleId="BTSJNSBodyTextSglJNoSpace">
    <w:name w:val="BTSJNS Body Text Sgl J No Space"/>
    <w:basedOn w:val="Normal"/>
    <w:qFormat/>
    <w:rsid w:val="00453222"/>
    <w:pPr>
      <w:jc w:val="both"/>
    </w:pPr>
    <w:rPr>
      <w:rFonts w:eastAsia="Calibri"/>
      <w:sz w:val="22"/>
      <w:lang w:val="en-US" w:eastAsia="en-US"/>
    </w:rPr>
  </w:style>
  <w:style w:type="paragraph" w:customStyle="1" w:styleId="BTFLBodyTextFirstLine5SglJ">
    <w:name w:val="BTFL Body Text First Line .5 Sgl J"/>
    <w:basedOn w:val="BTSJNSBodyTextSglJNoSpace"/>
    <w:qFormat/>
    <w:rsid w:val="00453222"/>
    <w:pPr>
      <w:spacing w:after="240"/>
      <w:ind w:firstLine="720"/>
    </w:pPr>
  </w:style>
  <w:style w:type="paragraph" w:customStyle="1" w:styleId="BTFLLBodyTextFirstLine5SglJLead">
    <w:name w:val="BTFLL Body Text First Line .5 Sgl J Lead"/>
    <w:basedOn w:val="BTFLBodyTextFirstLine5SglJ"/>
    <w:qFormat/>
    <w:rsid w:val="00453222"/>
    <w:pPr>
      <w:spacing w:before="240"/>
    </w:pPr>
  </w:style>
  <w:style w:type="paragraph" w:customStyle="1" w:styleId="BTSJBodyTextSglJ">
    <w:name w:val="BTSJ Body Text Sgl J"/>
    <w:basedOn w:val="Normal"/>
    <w:qFormat/>
    <w:rsid w:val="00453222"/>
    <w:pPr>
      <w:spacing w:after="240"/>
      <w:jc w:val="both"/>
    </w:pPr>
    <w:rPr>
      <w:rFonts w:eastAsia="Calibri"/>
      <w:sz w:val="22"/>
      <w:lang w:val="en-US" w:eastAsia="en-US"/>
    </w:rPr>
  </w:style>
  <w:style w:type="paragraph" w:customStyle="1" w:styleId="BTRJBodyTextSglRightJ">
    <w:name w:val="BTRJ Body Text Sgl Right J"/>
    <w:basedOn w:val="BTSJBodyTextSglJ"/>
    <w:qFormat/>
    <w:rsid w:val="00453222"/>
    <w:pPr>
      <w:jc w:val="right"/>
    </w:pPr>
  </w:style>
  <w:style w:type="paragraph" w:customStyle="1" w:styleId="BTSJLBodyTextSglJLead">
    <w:name w:val="BTSJL Body Text Sgl J Lead"/>
    <w:basedOn w:val="BTSJBodyTextSglJ"/>
    <w:qFormat/>
    <w:rsid w:val="00453222"/>
    <w:pPr>
      <w:spacing w:before="240"/>
    </w:pPr>
  </w:style>
  <w:style w:type="paragraph" w:customStyle="1" w:styleId="BTSJNSLBodyTextSglJNoSpaceLead">
    <w:name w:val="BTSJNSL Body Text Sgl J No Space Lead"/>
    <w:basedOn w:val="BTSJNSBodyTextSglJNoSpace"/>
    <w:qFormat/>
    <w:rsid w:val="00453222"/>
    <w:pPr>
      <w:spacing w:before="240"/>
    </w:pPr>
  </w:style>
  <w:style w:type="character" w:styleId="Ttulodellibro">
    <w:name w:val="Book Title"/>
    <w:uiPriority w:val="33"/>
    <w:qFormat/>
    <w:rsid w:val="00453222"/>
    <w:rPr>
      <w:b/>
      <w:bCs/>
      <w:i/>
      <w:iCs/>
      <w:spacing w:val="5"/>
    </w:rPr>
  </w:style>
  <w:style w:type="character" w:styleId="Refdenotaalfinal">
    <w:name w:val="endnote reference"/>
    <w:uiPriority w:val="99"/>
    <w:unhideWhenUsed/>
    <w:locked/>
    <w:rsid w:val="00453222"/>
    <w:rPr>
      <w:vertAlign w:val="superscript"/>
    </w:rPr>
  </w:style>
  <w:style w:type="character" w:styleId="AcrnimoHTML">
    <w:name w:val="HTML Acronym"/>
    <w:uiPriority w:val="99"/>
    <w:unhideWhenUsed/>
    <w:locked/>
    <w:rsid w:val="00453222"/>
  </w:style>
  <w:style w:type="character" w:styleId="CitaHTML">
    <w:name w:val="HTML Cite"/>
    <w:uiPriority w:val="99"/>
    <w:unhideWhenUsed/>
    <w:locked/>
    <w:rsid w:val="00453222"/>
    <w:rPr>
      <w:i/>
      <w:iCs/>
    </w:rPr>
  </w:style>
  <w:style w:type="character" w:styleId="CdigoHTML">
    <w:name w:val="HTML Code"/>
    <w:uiPriority w:val="99"/>
    <w:unhideWhenUsed/>
    <w:locked/>
    <w:rsid w:val="00453222"/>
    <w:rPr>
      <w:rFonts w:ascii="Consolas" w:hAnsi="Consolas" w:cs="Consolas"/>
      <w:sz w:val="20"/>
      <w:szCs w:val="20"/>
    </w:rPr>
  </w:style>
  <w:style w:type="character" w:styleId="DefinicinHTML">
    <w:name w:val="HTML Definition"/>
    <w:uiPriority w:val="99"/>
    <w:unhideWhenUsed/>
    <w:locked/>
    <w:rsid w:val="00453222"/>
    <w:rPr>
      <w:i/>
      <w:iCs/>
    </w:rPr>
  </w:style>
  <w:style w:type="character" w:styleId="TecladoHTML">
    <w:name w:val="HTML Keyboard"/>
    <w:uiPriority w:val="99"/>
    <w:unhideWhenUsed/>
    <w:locked/>
    <w:rsid w:val="00453222"/>
    <w:rPr>
      <w:rFonts w:ascii="Consolas" w:hAnsi="Consolas" w:cs="Consolas"/>
      <w:sz w:val="20"/>
      <w:szCs w:val="20"/>
    </w:rPr>
  </w:style>
  <w:style w:type="character" w:styleId="EjemplodeHTML">
    <w:name w:val="HTML Sample"/>
    <w:uiPriority w:val="99"/>
    <w:unhideWhenUsed/>
    <w:locked/>
    <w:rsid w:val="00453222"/>
    <w:rPr>
      <w:rFonts w:ascii="Consolas" w:hAnsi="Consolas" w:cs="Consolas"/>
      <w:sz w:val="24"/>
      <w:szCs w:val="24"/>
    </w:rPr>
  </w:style>
  <w:style w:type="character" w:styleId="MquinadeescribirHTML">
    <w:name w:val="HTML Typewriter"/>
    <w:uiPriority w:val="99"/>
    <w:unhideWhenUsed/>
    <w:locked/>
    <w:rsid w:val="00453222"/>
    <w:rPr>
      <w:rFonts w:ascii="Consolas" w:hAnsi="Consolas" w:cs="Consolas"/>
      <w:sz w:val="20"/>
      <w:szCs w:val="20"/>
    </w:rPr>
  </w:style>
  <w:style w:type="character" w:styleId="VariableHTML">
    <w:name w:val="HTML Variable"/>
    <w:uiPriority w:val="99"/>
    <w:unhideWhenUsed/>
    <w:locked/>
    <w:rsid w:val="00453222"/>
    <w:rPr>
      <w:i/>
      <w:iCs/>
    </w:rPr>
  </w:style>
  <w:style w:type="character" w:styleId="nfasisintenso">
    <w:name w:val="Intense Emphasis"/>
    <w:uiPriority w:val="21"/>
    <w:qFormat/>
    <w:rsid w:val="00453222"/>
    <w:rPr>
      <w:i/>
      <w:iCs/>
      <w:color w:val="5B9BD5"/>
    </w:rPr>
  </w:style>
  <w:style w:type="character" w:styleId="Referenciaintensa">
    <w:name w:val="Intense Reference"/>
    <w:uiPriority w:val="32"/>
    <w:qFormat/>
    <w:rsid w:val="00453222"/>
    <w:rPr>
      <w:b/>
      <w:bCs/>
      <w:smallCaps/>
      <w:color w:val="5B9BD5"/>
      <w:spacing w:val="5"/>
    </w:rPr>
  </w:style>
  <w:style w:type="character" w:styleId="Nmerodelnea">
    <w:name w:val="line number"/>
    <w:uiPriority w:val="99"/>
    <w:unhideWhenUsed/>
    <w:locked/>
    <w:rsid w:val="00453222"/>
  </w:style>
  <w:style w:type="character" w:styleId="nfasissutil">
    <w:name w:val="Subtle Emphasis"/>
    <w:uiPriority w:val="19"/>
    <w:qFormat/>
    <w:rsid w:val="00453222"/>
    <w:rPr>
      <w:i/>
      <w:iCs/>
      <w:color w:val="404040"/>
    </w:rPr>
  </w:style>
  <w:style w:type="character" w:styleId="Referenciasutil">
    <w:name w:val="Subtle Reference"/>
    <w:uiPriority w:val="31"/>
    <w:qFormat/>
    <w:rsid w:val="00453222"/>
    <w:rPr>
      <w:smallCaps/>
      <w:color w:val="5A5A5A"/>
    </w:rPr>
  </w:style>
  <w:style w:type="numbering" w:customStyle="1" w:styleId="SimpleListsList1">
    <w:name w:val="SimpleListsList1"/>
    <w:rsid w:val="00453222"/>
    <w:pPr>
      <w:numPr>
        <w:numId w:val="41"/>
      </w:numPr>
    </w:pPr>
  </w:style>
  <w:style w:type="numbering" w:customStyle="1" w:styleId="PwCListNumbers1">
    <w:name w:val="PwCListNumbers1"/>
    <w:rsid w:val="00453222"/>
    <w:pPr>
      <w:numPr>
        <w:numId w:val="45"/>
      </w:numPr>
    </w:pPr>
  </w:style>
  <w:style w:type="numbering" w:customStyle="1" w:styleId="SimpleListsList">
    <w:name w:val="SimpleListsList"/>
    <w:rsid w:val="00453222"/>
    <w:pPr>
      <w:numPr>
        <w:numId w:val="43"/>
      </w:numPr>
    </w:pPr>
  </w:style>
  <w:style w:type="numbering" w:customStyle="1" w:styleId="TableFootnotesList">
    <w:name w:val="TableFootnotesList"/>
    <w:rsid w:val="00453222"/>
    <w:pPr>
      <w:numPr>
        <w:numId w:val="44"/>
      </w:numPr>
    </w:pPr>
  </w:style>
  <w:style w:type="numbering" w:customStyle="1" w:styleId="FlatNumbersList">
    <w:name w:val="FlatNumbersList"/>
    <w:rsid w:val="00453222"/>
    <w:pPr>
      <w:numPr>
        <w:numId w:val="42"/>
      </w:numPr>
    </w:pPr>
  </w:style>
  <w:style w:type="paragraph" w:customStyle="1" w:styleId="TitleCenterBold">
    <w:name w:val="Title Center Bold"/>
    <w:basedOn w:val="Normal"/>
    <w:next w:val="Textoindependiente"/>
    <w:uiPriority w:val="99"/>
    <w:rsid w:val="00453222"/>
    <w:pPr>
      <w:keepNext/>
      <w:spacing w:after="240" w:line="240" w:lineRule="exact"/>
      <w:jc w:val="center"/>
    </w:pPr>
    <w:rPr>
      <w:rFonts w:eastAsia="PMingLiU"/>
      <w:b/>
      <w:bCs/>
      <w:lang w:val="en-US" w:eastAsia="en-US"/>
    </w:rPr>
  </w:style>
  <w:style w:type="character" w:customStyle="1" w:styleId="TOCPageChar">
    <w:name w:val="TOC Page Char"/>
    <w:link w:val="TOCPage"/>
    <w:rsid w:val="00453222"/>
    <w:rPr>
      <w:lang w:val="en-US" w:eastAsia="en-US"/>
    </w:rPr>
  </w:style>
  <w:style w:type="table" w:customStyle="1" w:styleId="TableGrid1">
    <w:name w:val="Table Grid1"/>
    <w:basedOn w:val="Tablanormal"/>
    <w:next w:val="Tablaconcuadrcula"/>
    <w:rsid w:val="0045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mCell-Hed">
    <w:name w:val="VSmCell-Hed"/>
    <w:basedOn w:val="Normal"/>
    <w:rsid w:val="00453222"/>
    <w:pPr>
      <w:keepNext/>
      <w:widowControl w:val="0"/>
      <w:autoSpaceDE w:val="0"/>
      <w:autoSpaceDN w:val="0"/>
      <w:adjustRightInd w:val="0"/>
      <w:spacing w:before="30" w:after="20" w:line="200" w:lineRule="exact"/>
      <w:jc w:val="center"/>
    </w:pPr>
    <w:rPr>
      <w:b/>
      <w:bCs/>
      <w:sz w:val="16"/>
      <w:szCs w:val="16"/>
      <w:lang w:val="en-GB"/>
    </w:rPr>
  </w:style>
  <w:style w:type="paragraph" w:customStyle="1" w:styleId="VSmCell-Item">
    <w:name w:val="VSmCell-Item"/>
    <w:basedOn w:val="Normal"/>
    <w:rsid w:val="00453222"/>
    <w:pPr>
      <w:widowControl w:val="0"/>
      <w:tabs>
        <w:tab w:val="right" w:leader="dot" w:pos="7200"/>
      </w:tabs>
      <w:autoSpaceDE w:val="0"/>
      <w:autoSpaceDN w:val="0"/>
      <w:adjustRightInd w:val="0"/>
      <w:spacing w:after="40" w:line="200" w:lineRule="exact"/>
      <w:ind w:left="144" w:hanging="144"/>
    </w:pPr>
    <w:rPr>
      <w:sz w:val="17"/>
      <w:szCs w:val="17"/>
      <w:lang w:val="en-GB"/>
    </w:rPr>
  </w:style>
  <w:style w:type="character" w:customStyle="1" w:styleId="bodytextCar">
    <w:name w:val="body text Car"/>
    <w:aliases w:val="bt Car Car"/>
    <w:rsid w:val="00453222"/>
    <w:rPr>
      <w:rFonts w:ascii="Garamond" w:hAnsi="Garamond"/>
      <w:spacing w:val="0"/>
      <w:sz w:val="20"/>
      <w:lang w:val="en-GB" w:eastAsia="x-none"/>
    </w:rPr>
  </w:style>
  <w:style w:type="paragraph" w:customStyle="1" w:styleId="TableFN">
    <w:name w:val="Table FN#"/>
    <w:basedOn w:val="Normal"/>
    <w:rsid w:val="00453222"/>
    <w:pPr>
      <w:widowControl w:val="0"/>
      <w:tabs>
        <w:tab w:val="num" w:pos="432"/>
      </w:tabs>
      <w:autoSpaceDE w:val="0"/>
      <w:autoSpaceDN w:val="0"/>
      <w:adjustRightInd w:val="0"/>
      <w:spacing w:after="40" w:line="210" w:lineRule="exact"/>
      <w:ind w:left="432" w:hanging="432"/>
      <w:jc w:val="both"/>
    </w:pPr>
    <w:rPr>
      <w:sz w:val="19"/>
      <w:szCs w:val="19"/>
      <w:lang w:val="en-GB"/>
    </w:rPr>
  </w:style>
  <w:style w:type="paragraph" w:customStyle="1" w:styleId="TableNoteLine">
    <w:name w:val="Table Note Line"/>
    <w:basedOn w:val="Normal"/>
    <w:qFormat/>
    <w:rsid w:val="00453222"/>
    <w:pPr>
      <w:pBdr>
        <w:bottom w:val="single" w:sz="4" w:space="1" w:color="auto"/>
      </w:pBdr>
      <w:spacing w:after="60"/>
      <w:ind w:right="7920"/>
    </w:pPr>
    <w:rPr>
      <w:sz w:val="14"/>
      <w:lang w:val="en-US" w:eastAsia="en-US"/>
    </w:rPr>
  </w:style>
  <w:style w:type="character" w:customStyle="1" w:styleId="Table8pt">
    <w:name w:val="Table 8pt"/>
    <w:uiPriority w:val="1"/>
    <w:qFormat/>
    <w:rsid w:val="00453222"/>
    <w:rPr>
      <w:rFonts w:ascii="Times New Roman" w:hAnsi="Times New Roman"/>
      <w:sz w:val="16"/>
    </w:rPr>
  </w:style>
  <w:style w:type="paragraph" w:customStyle="1" w:styleId="TitleI5">
    <w:name w:val="Title I .5"/>
    <w:basedOn w:val="Normal"/>
    <w:qFormat/>
    <w:rsid w:val="00453222"/>
    <w:pPr>
      <w:keepNext/>
      <w:spacing w:after="240"/>
      <w:ind w:left="720"/>
    </w:pPr>
    <w:rPr>
      <w:rFonts w:eastAsia="Calibri"/>
      <w:i/>
      <w:sz w:val="20"/>
      <w:lang w:val="en-US" w:eastAsia="en-US"/>
    </w:rPr>
  </w:style>
  <w:style w:type="numbering" w:customStyle="1" w:styleId="NoList2">
    <w:name w:val="No List2"/>
    <w:next w:val="Sinlista"/>
    <w:semiHidden/>
    <w:unhideWhenUsed/>
    <w:rsid w:val="00453222"/>
  </w:style>
  <w:style w:type="table" w:customStyle="1" w:styleId="TableGrid2">
    <w:name w:val="Table Grid2"/>
    <w:basedOn w:val="Tablanormal"/>
    <w:next w:val="Tablaconcuadrcula"/>
    <w:rsid w:val="0045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inlista"/>
    <w:semiHidden/>
    <w:unhideWhenUsed/>
    <w:rsid w:val="00453222"/>
  </w:style>
  <w:style w:type="table" w:customStyle="1" w:styleId="TableGrid3">
    <w:name w:val="Table Grid3"/>
    <w:basedOn w:val="Tablanormal"/>
    <w:next w:val="Tablaconcuadrcula"/>
    <w:rsid w:val="0045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
    <w:name w:val="Dash"/>
    <w:aliases w:val="da"/>
    <w:basedOn w:val="Normal"/>
    <w:rsid w:val="00453222"/>
    <w:pPr>
      <w:tabs>
        <w:tab w:val="num" w:pos="0"/>
        <w:tab w:val="left" w:pos="1800"/>
      </w:tabs>
      <w:spacing w:after="200"/>
      <w:ind w:left="1440" w:hanging="720"/>
      <w:jc w:val="both"/>
    </w:pPr>
    <w:rPr>
      <w:rFonts w:eastAsia="SimSun"/>
      <w:sz w:val="20"/>
      <w:szCs w:val="20"/>
      <w:lang w:val="en-US" w:eastAsia="en-US"/>
    </w:rPr>
  </w:style>
  <w:style w:type="numbering" w:customStyle="1" w:styleId="Sinlista1">
    <w:name w:val="Sin lista1"/>
    <w:next w:val="Sinlista"/>
    <w:uiPriority w:val="99"/>
    <w:semiHidden/>
    <w:unhideWhenUsed/>
    <w:rsid w:val="00453222"/>
  </w:style>
  <w:style w:type="table" w:customStyle="1" w:styleId="Tablaconcuadrcula1">
    <w:name w:val="Tabla con cuadrícula1"/>
    <w:basedOn w:val="Tablanormal"/>
    <w:next w:val="Tablaconcuadrcula"/>
    <w:rsid w:val="00453222"/>
    <w:pPr>
      <w:adjustRightInd w:val="0"/>
    </w:pPr>
    <w:rPr>
      <w:rFonts w:ascii="Calibri" w:eastAsia="Calibri" w:hAnsi="Calibri" w:cs="Calibri"/>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numbering" w:customStyle="1" w:styleId="NoList11">
    <w:name w:val="No List11"/>
    <w:next w:val="Sinlista"/>
    <w:semiHidden/>
    <w:unhideWhenUsed/>
    <w:rsid w:val="00453222"/>
  </w:style>
  <w:style w:type="table" w:customStyle="1" w:styleId="TableGrid11">
    <w:name w:val="Table Grid11"/>
    <w:basedOn w:val="Tablanormal"/>
    <w:next w:val="Tablaconcuadrcula"/>
    <w:rsid w:val="0045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Sinlista"/>
    <w:semiHidden/>
    <w:unhideWhenUsed/>
    <w:rsid w:val="00453222"/>
  </w:style>
  <w:style w:type="table" w:customStyle="1" w:styleId="TableGrid21">
    <w:name w:val="Table Grid21"/>
    <w:basedOn w:val="Tablanormal"/>
    <w:next w:val="Tablaconcuadrcula"/>
    <w:rsid w:val="0045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Sinlista"/>
    <w:semiHidden/>
    <w:unhideWhenUsed/>
    <w:rsid w:val="00453222"/>
  </w:style>
  <w:style w:type="table" w:customStyle="1" w:styleId="TableGrid31">
    <w:name w:val="Table Grid31"/>
    <w:basedOn w:val="Tablanormal"/>
    <w:next w:val="Tablaconcuadrcula"/>
    <w:rsid w:val="0045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evel1-TC">
    <w:name w:val="1Level–1.-TC"/>
    <w:basedOn w:val="Normal"/>
    <w:next w:val="Normal"/>
    <w:uiPriority w:val="99"/>
    <w:rsid w:val="00453222"/>
    <w:pPr>
      <w:keepNext/>
      <w:tabs>
        <w:tab w:val="num" w:pos="360"/>
        <w:tab w:val="left" w:pos="432"/>
      </w:tabs>
      <w:spacing w:before="80" w:after="120" w:line="240" w:lineRule="exact"/>
      <w:jc w:val="both"/>
    </w:pPr>
    <w:rPr>
      <w:b/>
      <w:sz w:val="21"/>
      <w:szCs w:val="20"/>
      <w:lang w:val="en-GB" w:eastAsia="en-US"/>
    </w:rPr>
  </w:style>
  <w:style w:type="paragraph" w:customStyle="1" w:styleId="Ttulo21">
    <w:name w:val="Título 21"/>
    <w:aliases w:val="h2"/>
    <w:basedOn w:val="Normal"/>
    <w:next w:val="Normal"/>
    <w:uiPriority w:val="99"/>
    <w:rsid w:val="00453222"/>
    <w:pPr>
      <w:keepNext/>
      <w:widowControl w:val="0"/>
      <w:autoSpaceDE w:val="0"/>
      <w:autoSpaceDN w:val="0"/>
      <w:adjustRightInd w:val="0"/>
      <w:jc w:val="both"/>
    </w:pPr>
    <w:rPr>
      <w:b/>
      <w:bCs/>
      <w:lang w:val="es-AR"/>
    </w:rPr>
  </w:style>
  <w:style w:type="paragraph" w:customStyle="1" w:styleId="Ttulo31">
    <w:name w:val="Título 31"/>
    <w:aliases w:val="h3"/>
    <w:basedOn w:val="Normal"/>
    <w:next w:val="Normal"/>
    <w:uiPriority w:val="99"/>
    <w:rsid w:val="00453222"/>
    <w:pPr>
      <w:keepNext/>
      <w:widowControl w:val="0"/>
      <w:autoSpaceDE w:val="0"/>
      <w:autoSpaceDN w:val="0"/>
      <w:adjustRightInd w:val="0"/>
      <w:ind w:right="49"/>
    </w:pPr>
    <w:rPr>
      <w:rFonts w:ascii="Garamond" w:hAnsi="Garamond" w:cs="Garamond"/>
      <w:b/>
      <w:bCs/>
      <w:sz w:val="16"/>
      <w:szCs w:val="16"/>
    </w:rPr>
  </w:style>
  <w:style w:type="paragraph" w:customStyle="1" w:styleId="Ttulo51">
    <w:name w:val="Título 51"/>
    <w:aliases w:val="h5"/>
    <w:basedOn w:val="Normal"/>
    <w:next w:val="Normal"/>
    <w:uiPriority w:val="99"/>
    <w:rsid w:val="00453222"/>
    <w:pPr>
      <w:keepNext/>
      <w:widowControl w:val="0"/>
      <w:autoSpaceDE w:val="0"/>
      <w:autoSpaceDN w:val="0"/>
      <w:adjustRightInd w:val="0"/>
    </w:pPr>
    <w:rPr>
      <w:rFonts w:ascii="Garamond" w:hAnsi="Garamond" w:cs="Garamond"/>
      <w:b/>
      <w:bCs/>
      <w:sz w:val="21"/>
      <w:szCs w:val="21"/>
      <w:lang w:val="es-AR"/>
    </w:rPr>
  </w:style>
  <w:style w:type="paragraph" w:customStyle="1" w:styleId="Ttulo71">
    <w:name w:val="Título 71"/>
    <w:aliases w:val="h7"/>
    <w:basedOn w:val="Normal"/>
    <w:next w:val="Normal"/>
    <w:uiPriority w:val="99"/>
    <w:rsid w:val="00453222"/>
    <w:pPr>
      <w:widowControl w:val="0"/>
      <w:autoSpaceDE w:val="0"/>
      <w:autoSpaceDN w:val="0"/>
      <w:adjustRightInd w:val="0"/>
      <w:spacing w:before="240" w:after="60"/>
    </w:pPr>
    <w:rPr>
      <w:rFonts w:ascii="Cambria" w:hAnsi="Cambria" w:cs="Cambria"/>
      <w:lang w:val="es-AR"/>
    </w:rPr>
  </w:style>
  <w:style w:type="paragraph" w:customStyle="1" w:styleId="Ttulo91">
    <w:name w:val="Título 91"/>
    <w:aliases w:val="h9"/>
    <w:basedOn w:val="Normal"/>
    <w:next w:val="Normal"/>
    <w:uiPriority w:val="99"/>
    <w:rsid w:val="00453222"/>
    <w:pPr>
      <w:keepNext/>
      <w:widowControl w:val="0"/>
      <w:autoSpaceDE w:val="0"/>
      <w:autoSpaceDN w:val="0"/>
      <w:adjustRightInd w:val="0"/>
      <w:ind w:right="49"/>
      <w:jc w:val="center"/>
    </w:pPr>
    <w:rPr>
      <w:rFonts w:ascii="Garamond" w:hAnsi="Garamond" w:cs="Garamond"/>
      <w:b/>
      <w:bCs/>
      <w:sz w:val="22"/>
      <w:szCs w:val="22"/>
      <w:lang w:val="es-AR"/>
    </w:rPr>
  </w:style>
  <w:style w:type="character" w:customStyle="1" w:styleId="CarCar18">
    <w:name w:val="Car Car18"/>
    <w:uiPriority w:val="99"/>
    <w:rsid w:val="00453222"/>
    <w:rPr>
      <w:rFonts w:ascii="Cambria" w:hAnsi="Cambria"/>
      <w:b/>
      <w:spacing w:val="0"/>
      <w:kern w:val="32"/>
      <w:sz w:val="32"/>
      <w:lang w:val="en-GB"/>
    </w:rPr>
  </w:style>
  <w:style w:type="character" w:customStyle="1" w:styleId="CarCar17">
    <w:name w:val="Car Car17"/>
    <w:hidden/>
    <w:uiPriority w:val="99"/>
    <w:rsid w:val="00453222"/>
    <w:rPr>
      <w:rFonts w:ascii="Cambria" w:hAnsi="Cambria"/>
      <w:b/>
      <w:i/>
      <w:spacing w:val="0"/>
      <w:sz w:val="28"/>
      <w:lang w:val="en-GB"/>
    </w:rPr>
  </w:style>
  <w:style w:type="character" w:customStyle="1" w:styleId="CarCar16">
    <w:name w:val="Car Car16"/>
    <w:hidden/>
    <w:uiPriority w:val="99"/>
    <w:rsid w:val="00453222"/>
    <w:rPr>
      <w:rFonts w:ascii="Cambria" w:hAnsi="Cambria"/>
      <w:b/>
      <w:spacing w:val="0"/>
      <w:sz w:val="26"/>
      <w:lang w:val="en-GB"/>
    </w:rPr>
  </w:style>
  <w:style w:type="character" w:customStyle="1" w:styleId="CarCar15">
    <w:name w:val="Car Car15"/>
    <w:hidden/>
    <w:uiPriority w:val="99"/>
    <w:rsid w:val="00453222"/>
    <w:rPr>
      <w:rFonts w:ascii="Calibri" w:hAnsi="Calibri"/>
      <w:b/>
      <w:i/>
      <w:spacing w:val="0"/>
      <w:sz w:val="26"/>
      <w:lang w:val="en-GB"/>
    </w:rPr>
  </w:style>
  <w:style w:type="character" w:customStyle="1" w:styleId="CarCar13">
    <w:name w:val="Car Car13"/>
    <w:hidden/>
    <w:uiPriority w:val="99"/>
    <w:rsid w:val="00453222"/>
    <w:rPr>
      <w:rFonts w:ascii="Calibri" w:hAnsi="Calibri"/>
      <w:i/>
      <w:spacing w:val="0"/>
      <w:sz w:val="24"/>
      <w:lang w:val="en-GB"/>
    </w:rPr>
  </w:style>
  <w:style w:type="character" w:customStyle="1" w:styleId="CarCar12">
    <w:name w:val="Car Car12"/>
    <w:hidden/>
    <w:uiPriority w:val="99"/>
    <w:rsid w:val="00453222"/>
    <w:rPr>
      <w:rFonts w:ascii="Cambria" w:hAnsi="Cambria"/>
      <w:spacing w:val="0"/>
      <w:sz w:val="24"/>
      <w:lang w:val="en-GB"/>
    </w:rPr>
  </w:style>
  <w:style w:type="character" w:customStyle="1" w:styleId="CarCar11">
    <w:name w:val="Car Car11"/>
    <w:hidden/>
    <w:uiPriority w:val="99"/>
    <w:rsid w:val="00453222"/>
    <w:rPr>
      <w:rFonts w:ascii="Garamond" w:hAnsi="Garamond"/>
      <w:spacing w:val="0"/>
      <w:sz w:val="20"/>
      <w:lang w:val="en-GB"/>
    </w:rPr>
  </w:style>
  <w:style w:type="paragraph" w:customStyle="1" w:styleId="2Levela-TC">
    <w:name w:val="2Level–(a)-TC"/>
    <w:basedOn w:val="Normal"/>
    <w:uiPriority w:val="99"/>
    <w:rsid w:val="00453222"/>
    <w:pPr>
      <w:widowControl w:val="0"/>
      <w:tabs>
        <w:tab w:val="num" w:pos="792"/>
        <w:tab w:val="left" w:pos="864"/>
      </w:tabs>
      <w:autoSpaceDE w:val="0"/>
      <w:autoSpaceDN w:val="0"/>
      <w:adjustRightInd w:val="0"/>
      <w:spacing w:after="120" w:line="240" w:lineRule="exact"/>
      <w:ind w:firstLine="432"/>
      <w:jc w:val="both"/>
    </w:pPr>
    <w:rPr>
      <w:sz w:val="21"/>
      <w:szCs w:val="21"/>
      <w:lang w:val="es-AR"/>
    </w:rPr>
  </w:style>
  <w:style w:type="paragraph" w:customStyle="1" w:styleId="Title20">
    <w:name w:val="Title20"/>
    <w:basedOn w:val="Normal"/>
    <w:uiPriority w:val="99"/>
    <w:rsid w:val="00453222"/>
    <w:pPr>
      <w:widowControl w:val="0"/>
      <w:tabs>
        <w:tab w:val="num" w:pos="792"/>
      </w:tabs>
      <w:autoSpaceDE w:val="0"/>
      <w:autoSpaceDN w:val="0"/>
      <w:adjustRightInd w:val="0"/>
      <w:spacing w:after="80"/>
      <w:ind w:firstLine="432"/>
      <w:jc w:val="center"/>
    </w:pPr>
    <w:rPr>
      <w:b/>
      <w:bCs/>
      <w:sz w:val="40"/>
      <w:szCs w:val="40"/>
      <w:lang w:val="es-AR"/>
    </w:rPr>
  </w:style>
  <w:style w:type="paragraph" w:customStyle="1" w:styleId="3Leveli-TC">
    <w:name w:val="3Level–(i)-TC"/>
    <w:basedOn w:val="Normal"/>
    <w:uiPriority w:val="99"/>
    <w:rsid w:val="00453222"/>
    <w:pPr>
      <w:widowControl w:val="0"/>
      <w:tabs>
        <w:tab w:val="num" w:pos="1296"/>
      </w:tabs>
      <w:autoSpaceDE w:val="0"/>
      <w:autoSpaceDN w:val="0"/>
      <w:adjustRightInd w:val="0"/>
      <w:spacing w:after="120" w:line="240" w:lineRule="exact"/>
      <w:ind w:left="1296" w:hanging="230"/>
      <w:jc w:val="both"/>
    </w:pPr>
    <w:rPr>
      <w:sz w:val="21"/>
      <w:szCs w:val="21"/>
      <w:lang w:val="es-AR"/>
    </w:rPr>
  </w:style>
  <w:style w:type="paragraph" w:customStyle="1" w:styleId="4LevelA-TC">
    <w:name w:val="4Level–(A)-TC"/>
    <w:basedOn w:val="Normal"/>
    <w:uiPriority w:val="99"/>
    <w:rsid w:val="00453222"/>
    <w:pPr>
      <w:widowControl w:val="0"/>
      <w:tabs>
        <w:tab w:val="num" w:pos="1728"/>
      </w:tabs>
      <w:autoSpaceDE w:val="0"/>
      <w:autoSpaceDN w:val="0"/>
      <w:adjustRightInd w:val="0"/>
      <w:spacing w:after="120" w:line="240" w:lineRule="exact"/>
      <w:ind w:left="1728" w:hanging="432"/>
      <w:jc w:val="both"/>
    </w:pPr>
    <w:rPr>
      <w:sz w:val="21"/>
      <w:szCs w:val="21"/>
      <w:lang w:val="es-AR"/>
    </w:rPr>
  </w:style>
  <w:style w:type="paragraph" w:customStyle="1" w:styleId="1Level1-PS">
    <w:name w:val="1Level–1.-PS"/>
    <w:basedOn w:val="Normal"/>
    <w:uiPriority w:val="99"/>
    <w:rsid w:val="00453222"/>
    <w:pPr>
      <w:widowControl w:val="0"/>
      <w:tabs>
        <w:tab w:val="num" w:pos="432"/>
      </w:tabs>
      <w:autoSpaceDE w:val="0"/>
      <w:autoSpaceDN w:val="0"/>
      <w:adjustRightInd w:val="0"/>
      <w:spacing w:after="120" w:line="240" w:lineRule="exact"/>
      <w:ind w:left="432" w:hanging="432"/>
      <w:jc w:val="both"/>
    </w:pPr>
    <w:rPr>
      <w:sz w:val="21"/>
      <w:szCs w:val="21"/>
      <w:lang w:val="es-AR"/>
    </w:rPr>
  </w:style>
  <w:style w:type="paragraph" w:customStyle="1" w:styleId="2Levela-PS">
    <w:name w:val="2Level–(a)-PS"/>
    <w:basedOn w:val="Normal"/>
    <w:uiPriority w:val="99"/>
    <w:rsid w:val="00453222"/>
    <w:pPr>
      <w:widowControl w:val="0"/>
      <w:tabs>
        <w:tab w:val="num" w:pos="1584"/>
      </w:tabs>
      <w:autoSpaceDE w:val="0"/>
      <w:autoSpaceDN w:val="0"/>
      <w:adjustRightInd w:val="0"/>
      <w:spacing w:after="120" w:line="240" w:lineRule="exact"/>
      <w:ind w:left="1296" w:hanging="432"/>
      <w:jc w:val="both"/>
    </w:pPr>
    <w:rPr>
      <w:sz w:val="21"/>
      <w:szCs w:val="21"/>
      <w:lang w:val="es-AR"/>
    </w:rPr>
  </w:style>
  <w:style w:type="paragraph" w:customStyle="1" w:styleId="3Leveli-PS">
    <w:name w:val="3Level–(i)-PS"/>
    <w:basedOn w:val="Normal"/>
    <w:uiPriority w:val="99"/>
    <w:rsid w:val="00453222"/>
    <w:pPr>
      <w:widowControl w:val="0"/>
      <w:tabs>
        <w:tab w:val="num" w:pos="1728"/>
      </w:tabs>
      <w:autoSpaceDE w:val="0"/>
      <w:autoSpaceDN w:val="0"/>
      <w:adjustRightInd w:val="0"/>
      <w:spacing w:after="120" w:line="240" w:lineRule="exact"/>
      <w:ind w:left="1728" w:hanging="216"/>
      <w:jc w:val="both"/>
    </w:pPr>
    <w:rPr>
      <w:sz w:val="21"/>
      <w:szCs w:val="21"/>
      <w:lang w:val="es-AR"/>
    </w:rPr>
  </w:style>
  <w:style w:type="paragraph" w:customStyle="1" w:styleId="2Level11-HS">
    <w:name w:val="2Level–1.1-HS"/>
    <w:basedOn w:val="BodyBlock1"/>
    <w:uiPriority w:val="99"/>
    <w:rsid w:val="00453222"/>
    <w:pPr>
      <w:tabs>
        <w:tab w:val="num" w:pos="792"/>
        <w:tab w:val="left" w:pos="936"/>
      </w:tabs>
    </w:pPr>
  </w:style>
  <w:style w:type="paragraph" w:customStyle="1" w:styleId="BodyBlock1">
    <w:name w:val="BodyBlock1"/>
    <w:basedOn w:val="Normal"/>
    <w:rsid w:val="00453222"/>
    <w:pPr>
      <w:widowControl w:val="0"/>
      <w:tabs>
        <w:tab w:val="left" w:pos="432"/>
      </w:tabs>
      <w:autoSpaceDE w:val="0"/>
      <w:autoSpaceDN w:val="0"/>
      <w:adjustRightInd w:val="0"/>
      <w:spacing w:after="120" w:line="240" w:lineRule="exact"/>
      <w:ind w:left="432"/>
      <w:jc w:val="both"/>
    </w:pPr>
    <w:rPr>
      <w:sz w:val="21"/>
      <w:szCs w:val="21"/>
      <w:lang w:val="es-AR"/>
    </w:rPr>
  </w:style>
  <w:style w:type="paragraph" w:customStyle="1" w:styleId="3Level111-HS">
    <w:name w:val="3Level–1.1.1-HS"/>
    <w:basedOn w:val="BodyBlock2"/>
    <w:uiPriority w:val="99"/>
    <w:rsid w:val="00453222"/>
    <w:pPr>
      <w:tabs>
        <w:tab w:val="num" w:pos="1584"/>
      </w:tabs>
    </w:pPr>
  </w:style>
  <w:style w:type="paragraph" w:customStyle="1" w:styleId="BodyBlock2">
    <w:name w:val="BodyBlock2"/>
    <w:basedOn w:val="BodyBlock1"/>
    <w:uiPriority w:val="99"/>
    <w:rsid w:val="00453222"/>
    <w:pPr>
      <w:ind w:left="864"/>
    </w:pPr>
  </w:style>
  <w:style w:type="paragraph" w:customStyle="1" w:styleId="1Level1block">
    <w:name w:val="1Level–1.block"/>
    <w:basedOn w:val="Normal"/>
    <w:uiPriority w:val="99"/>
    <w:rsid w:val="00453222"/>
    <w:pPr>
      <w:widowControl w:val="0"/>
      <w:tabs>
        <w:tab w:val="num" w:pos="432"/>
      </w:tabs>
      <w:autoSpaceDE w:val="0"/>
      <w:autoSpaceDN w:val="0"/>
      <w:adjustRightInd w:val="0"/>
      <w:spacing w:after="120" w:line="240" w:lineRule="exact"/>
      <w:ind w:left="432" w:hanging="432"/>
      <w:jc w:val="both"/>
    </w:pPr>
    <w:rPr>
      <w:sz w:val="21"/>
      <w:szCs w:val="21"/>
      <w:lang w:val="es-AR"/>
    </w:rPr>
  </w:style>
  <w:style w:type="paragraph" w:customStyle="1" w:styleId="1LevelA">
    <w:name w:val="1Level–(A)"/>
    <w:basedOn w:val="Normal"/>
    <w:uiPriority w:val="99"/>
    <w:rsid w:val="00453222"/>
    <w:pPr>
      <w:widowControl w:val="0"/>
      <w:tabs>
        <w:tab w:val="left" w:pos="864"/>
      </w:tabs>
      <w:autoSpaceDE w:val="0"/>
      <w:autoSpaceDN w:val="0"/>
      <w:adjustRightInd w:val="0"/>
      <w:spacing w:after="120" w:line="240" w:lineRule="exact"/>
      <w:ind w:firstLine="432"/>
      <w:jc w:val="both"/>
    </w:pPr>
    <w:rPr>
      <w:sz w:val="21"/>
      <w:szCs w:val="21"/>
      <w:lang w:val="es-AR"/>
    </w:rPr>
  </w:style>
  <w:style w:type="paragraph" w:customStyle="1" w:styleId="1Level-1">
    <w:name w:val="1Level-(1)"/>
    <w:basedOn w:val="Normal"/>
    <w:uiPriority w:val="99"/>
    <w:rsid w:val="00453222"/>
    <w:pPr>
      <w:widowControl w:val="0"/>
      <w:tabs>
        <w:tab w:val="left" w:pos="864"/>
      </w:tabs>
      <w:autoSpaceDE w:val="0"/>
      <w:autoSpaceDN w:val="0"/>
      <w:adjustRightInd w:val="0"/>
      <w:spacing w:after="120" w:line="240" w:lineRule="exact"/>
      <w:ind w:firstLine="432"/>
      <w:jc w:val="both"/>
    </w:pPr>
    <w:rPr>
      <w:sz w:val="21"/>
      <w:szCs w:val="21"/>
      <w:lang w:val="es-AR"/>
    </w:rPr>
  </w:style>
  <w:style w:type="paragraph" w:customStyle="1" w:styleId="2Level-ALT-ablock-TC">
    <w:name w:val="2Level-[ALT]-(a)block-TC"/>
    <w:basedOn w:val="Normal"/>
    <w:uiPriority w:val="99"/>
    <w:rsid w:val="00453222"/>
    <w:pPr>
      <w:widowControl w:val="0"/>
      <w:tabs>
        <w:tab w:val="num" w:pos="864"/>
      </w:tabs>
      <w:autoSpaceDE w:val="0"/>
      <w:autoSpaceDN w:val="0"/>
      <w:adjustRightInd w:val="0"/>
      <w:spacing w:after="120" w:line="240" w:lineRule="exact"/>
      <w:ind w:left="864" w:hanging="432"/>
      <w:jc w:val="both"/>
    </w:pPr>
    <w:rPr>
      <w:sz w:val="21"/>
      <w:szCs w:val="21"/>
      <w:lang w:val="en-US"/>
    </w:rPr>
  </w:style>
  <w:style w:type="paragraph" w:customStyle="1" w:styleId="2Level-ALT-1block-TC">
    <w:name w:val="2Level-[ALT]-(1)block-TC"/>
    <w:basedOn w:val="Normal"/>
    <w:uiPriority w:val="99"/>
    <w:rsid w:val="00453222"/>
    <w:pPr>
      <w:widowControl w:val="0"/>
      <w:tabs>
        <w:tab w:val="num" w:pos="864"/>
      </w:tabs>
      <w:autoSpaceDE w:val="0"/>
      <w:autoSpaceDN w:val="0"/>
      <w:adjustRightInd w:val="0"/>
      <w:spacing w:after="120" w:line="240" w:lineRule="exact"/>
      <w:ind w:left="864" w:hanging="432"/>
      <w:jc w:val="both"/>
    </w:pPr>
    <w:rPr>
      <w:sz w:val="21"/>
      <w:szCs w:val="21"/>
      <w:lang w:val="en-US"/>
    </w:rPr>
  </w:style>
  <w:style w:type="paragraph" w:customStyle="1" w:styleId="2Level-ALT-Ablock-TC0">
    <w:name w:val="2Level-[ALT]-(A)block-TC"/>
    <w:basedOn w:val="Normal"/>
    <w:uiPriority w:val="99"/>
    <w:rsid w:val="00453222"/>
    <w:pPr>
      <w:widowControl w:val="0"/>
      <w:tabs>
        <w:tab w:val="num" w:pos="864"/>
      </w:tabs>
      <w:autoSpaceDE w:val="0"/>
      <w:autoSpaceDN w:val="0"/>
      <w:adjustRightInd w:val="0"/>
      <w:spacing w:after="120" w:line="240" w:lineRule="exact"/>
      <w:ind w:left="864" w:hanging="432"/>
      <w:jc w:val="both"/>
    </w:pPr>
    <w:rPr>
      <w:sz w:val="21"/>
      <w:szCs w:val="21"/>
      <w:lang w:val="en-US"/>
    </w:rPr>
  </w:style>
  <w:style w:type="paragraph" w:customStyle="1" w:styleId="3Level-ALT-1block-TC">
    <w:name w:val="3Level-[ALT]-(1)block-TC"/>
    <w:basedOn w:val="Normal"/>
    <w:uiPriority w:val="99"/>
    <w:rsid w:val="00453222"/>
    <w:pPr>
      <w:widowControl w:val="0"/>
      <w:tabs>
        <w:tab w:val="num" w:pos="1296"/>
      </w:tabs>
      <w:autoSpaceDE w:val="0"/>
      <w:autoSpaceDN w:val="0"/>
      <w:adjustRightInd w:val="0"/>
      <w:spacing w:after="120" w:line="240" w:lineRule="exact"/>
      <w:ind w:left="1296" w:hanging="432"/>
      <w:jc w:val="both"/>
    </w:pPr>
    <w:rPr>
      <w:sz w:val="21"/>
      <w:szCs w:val="21"/>
      <w:lang w:val="en-US"/>
    </w:rPr>
  </w:style>
  <w:style w:type="paragraph" w:customStyle="1" w:styleId="4Level-ALT-1block-TC">
    <w:name w:val="4Level-[ALT]-(1)block-TC"/>
    <w:basedOn w:val="Normal"/>
    <w:uiPriority w:val="99"/>
    <w:rsid w:val="00453222"/>
    <w:pPr>
      <w:widowControl w:val="0"/>
      <w:tabs>
        <w:tab w:val="num" w:pos="1728"/>
      </w:tabs>
      <w:autoSpaceDE w:val="0"/>
      <w:autoSpaceDN w:val="0"/>
      <w:adjustRightInd w:val="0"/>
      <w:spacing w:after="120" w:line="240" w:lineRule="exact"/>
      <w:ind w:left="1728" w:hanging="432"/>
      <w:jc w:val="both"/>
    </w:pPr>
    <w:rPr>
      <w:sz w:val="21"/>
      <w:szCs w:val="21"/>
      <w:lang w:val="en-US"/>
    </w:rPr>
  </w:style>
  <w:style w:type="paragraph" w:customStyle="1" w:styleId="Schedule1">
    <w:name w:val="Schedule 1"/>
    <w:basedOn w:val="Normal"/>
    <w:uiPriority w:val="99"/>
    <w:rsid w:val="00453222"/>
    <w:pPr>
      <w:widowControl w:val="0"/>
      <w:tabs>
        <w:tab w:val="num" w:pos="567"/>
      </w:tabs>
      <w:autoSpaceDE w:val="0"/>
      <w:autoSpaceDN w:val="0"/>
      <w:adjustRightInd w:val="0"/>
      <w:spacing w:after="140" w:line="290" w:lineRule="auto"/>
      <w:ind w:left="567" w:hanging="567"/>
      <w:jc w:val="both"/>
    </w:pPr>
    <w:rPr>
      <w:rFonts w:ascii="Arial" w:hAnsi="Arial" w:cs="Arial"/>
      <w:kern w:val="20"/>
      <w:sz w:val="20"/>
      <w:szCs w:val="20"/>
      <w:lang w:val="en-US"/>
    </w:rPr>
  </w:style>
  <w:style w:type="paragraph" w:customStyle="1" w:styleId="Schedule2">
    <w:name w:val="Schedule 2"/>
    <w:basedOn w:val="Normal"/>
    <w:uiPriority w:val="99"/>
    <w:rsid w:val="00453222"/>
    <w:pPr>
      <w:widowControl w:val="0"/>
      <w:tabs>
        <w:tab w:val="num" w:pos="1247"/>
      </w:tabs>
      <w:autoSpaceDE w:val="0"/>
      <w:autoSpaceDN w:val="0"/>
      <w:adjustRightInd w:val="0"/>
      <w:spacing w:after="140" w:line="290" w:lineRule="auto"/>
      <w:ind w:left="1247" w:hanging="680"/>
      <w:jc w:val="both"/>
    </w:pPr>
    <w:rPr>
      <w:rFonts w:ascii="Arial" w:hAnsi="Arial" w:cs="Arial"/>
      <w:kern w:val="20"/>
      <w:sz w:val="20"/>
      <w:szCs w:val="20"/>
      <w:lang w:val="en-US"/>
    </w:rPr>
  </w:style>
  <w:style w:type="paragraph" w:customStyle="1" w:styleId="Schedule3">
    <w:name w:val="Schedule 3"/>
    <w:basedOn w:val="Normal"/>
    <w:uiPriority w:val="99"/>
    <w:rsid w:val="00453222"/>
    <w:pPr>
      <w:widowControl w:val="0"/>
      <w:tabs>
        <w:tab w:val="num" w:pos="2041"/>
      </w:tabs>
      <w:autoSpaceDE w:val="0"/>
      <w:autoSpaceDN w:val="0"/>
      <w:adjustRightInd w:val="0"/>
      <w:spacing w:after="140" w:line="290" w:lineRule="auto"/>
      <w:ind w:left="2041" w:hanging="794"/>
      <w:jc w:val="both"/>
    </w:pPr>
    <w:rPr>
      <w:rFonts w:ascii="Arial" w:hAnsi="Arial" w:cs="Arial"/>
      <w:kern w:val="20"/>
      <w:sz w:val="20"/>
      <w:szCs w:val="20"/>
      <w:lang w:val="en-US"/>
    </w:rPr>
  </w:style>
  <w:style w:type="paragraph" w:customStyle="1" w:styleId="Schedule4">
    <w:name w:val="Schedule 4"/>
    <w:basedOn w:val="Normal"/>
    <w:uiPriority w:val="99"/>
    <w:rsid w:val="00453222"/>
    <w:pPr>
      <w:widowControl w:val="0"/>
      <w:tabs>
        <w:tab w:val="num" w:pos="2722"/>
      </w:tabs>
      <w:autoSpaceDE w:val="0"/>
      <w:autoSpaceDN w:val="0"/>
      <w:adjustRightInd w:val="0"/>
      <w:spacing w:after="140" w:line="290" w:lineRule="auto"/>
      <w:ind w:left="2722" w:hanging="681"/>
      <w:jc w:val="both"/>
    </w:pPr>
    <w:rPr>
      <w:rFonts w:ascii="Arial" w:hAnsi="Arial" w:cs="Arial"/>
      <w:kern w:val="20"/>
      <w:sz w:val="20"/>
      <w:szCs w:val="20"/>
      <w:lang w:val="en-US"/>
    </w:rPr>
  </w:style>
  <w:style w:type="paragraph" w:customStyle="1" w:styleId="Schedule5">
    <w:name w:val="Schedule 5"/>
    <w:basedOn w:val="Normal"/>
    <w:uiPriority w:val="99"/>
    <w:rsid w:val="00453222"/>
    <w:pPr>
      <w:widowControl w:val="0"/>
      <w:tabs>
        <w:tab w:val="num" w:pos="3289"/>
      </w:tabs>
      <w:autoSpaceDE w:val="0"/>
      <w:autoSpaceDN w:val="0"/>
      <w:adjustRightInd w:val="0"/>
      <w:spacing w:after="140" w:line="290" w:lineRule="auto"/>
      <w:ind w:left="3289" w:hanging="567"/>
      <w:jc w:val="both"/>
    </w:pPr>
    <w:rPr>
      <w:rFonts w:ascii="Arial" w:hAnsi="Arial" w:cs="Arial"/>
      <w:kern w:val="20"/>
      <w:sz w:val="20"/>
      <w:szCs w:val="20"/>
      <w:lang w:val="en-US"/>
    </w:rPr>
  </w:style>
  <w:style w:type="paragraph" w:customStyle="1" w:styleId="Schedule6">
    <w:name w:val="Schedule 6"/>
    <w:basedOn w:val="Normal"/>
    <w:uiPriority w:val="99"/>
    <w:rsid w:val="00453222"/>
    <w:pPr>
      <w:widowControl w:val="0"/>
      <w:tabs>
        <w:tab w:val="num" w:pos="3969"/>
      </w:tabs>
      <w:autoSpaceDE w:val="0"/>
      <w:autoSpaceDN w:val="0"/>
      <w:adjustRightInd w:val="0"/>
      <w:spacing w:after="140" w:line="290" w:lineRule="auto"/>
      <w:ind w:left="3969" w:hanging="680"/>
      <w:jc w:val="both"/>
    </w:pPr>
    <w:rPr>
      <w:rFonts w:ascii="Arial" w:hAnsi="Arial" w:cs="Arial"/>
      <w:kern w:val="20"/>
      <w:sz w:val="20"/>
      <w:szCs w:val="20"/>
      <w:lang w:val="en-US"/>
    </w:rPr>
  </w:style>
  <w:style w:type="paragraph" w:customStyle="1" w:styleId="bullet10">
    <w:name w:val="bullet 1"/>
    <w:basedOn w:val="Normal"/>
    <w:uiPriority w:val="99"/>
    <w:rsid w:val="00453222"/>
    <w:pPr>
      <w:widowControl w:val="0"/>
      <w:tabs>
        <w:tab w:val="num" w:pos="567"/>
      </w:tabs>
      <w:autoSpaceDE w:val="0"/>
      <w:autoSpaceDN w:val="0"/>
      <w:adjustRightInd w:val="0"/>
      <w:spacing w:after="140" w:line="290" w:lineRule="auto"/>
      <w:ind w:left="567" w:hanging="567"/>
      <w:jc w:val="both"/>
    </w:pPr>
    <w:rPr>
      <w:rFonts w:ascii="Arial" w:hAnsi="Arial" w:cs="Arial"/>
      <w:kern w:val="20"/>
      <w:sz w:val="20"/>
      <w:szCs w:val="20"/>
      <w:lang w:val="en-US"/>
    </w:rPr>
  </w:style>
  <w:style w:type="character" w:customStyle="1" w:styleId="CarCar10">
    <w:name w:val="Car Car10"/>
    <w:hidden/>
    <w:uiPriority w:val="99"/>
    <w:rsid w:val="00453222"/>
    <w:rPr>
      <w:rFonts w:ascii="Garamond" w:hAnsi="Garamond"/>
      <w:spacing w:val="0"/>
      <w:sz w:val="2"/>
      <w:lang w:val="en-GB"/>
    </w:rPr>
  </w:style>
  <w:style w:type="paragraph" w:customStyle="1" w:styleId="BodyBlock3">
    <w:name w:val="BodyBlock3"/>
    <w:basedOn w:val="BodyBlock1"/>
    <w:next w:val="Textoindependiente3"/>
    <w:uiPriority w:val="99"/>
    <w:rsid w:val="00453222"/>
    <w:pPr>
      <w:ind w:left="1296"/>
    </w:pPr>
  </w:style>
  <w:style w:type="character" w:customStyle="1" w:styleId="CarCar9">
    <w:name w:val="Car Car9"/>
    <w:hidden/>
    <w:uiPriority w:val="99"/>
    <w:rsid w:val="00453222"/>
    <w:rPr>
      <w:rFonts w:ascii="Garamond" w:hAnsi="Garamond"/>
      <w:spacing w:val="0"/>
      <w:sz w:val="16"/>
      <w:lang w:val="en-GB"/>
    </w:rPr>
  </w:style>
  <w:style w:type="paragraph" w:customStyle="1" w:styleId="BodyBlock4">
    <w:name w:val="BodyBlock4"/>
    <w:basedOn w:val="BodyBlock3"/>
    <w:uiPriority w:val="99"/>
    <w:rsid w:val="00453222"/>
    <w:pPr>
      <w:ind w:left="1728"/>
    </w:pPr>
  </w:style>
  <w:style w:type="paragraph" w:customStyle="1" w:styleId="VariBody">
    <w:name w:val="VariBody"/>
    <w:basedOn w:val="Normal"/>
    <w:uiPriority w:val="99"/>
    <w:rsid w:val="00453222"/>
    <w:pPr>
      <w:widowControl w:val="0"/>
      <w:autoSpaceDE w:val="0"/>
      <w:autoSpaceDN w:val="0"/>
      <w:adjustRightInd w:val="0"/>
      <w:spacing w:after="100" w:line="259" w:lineRule="auto"/>
      <w:ind w:firstLine="432"/>
      <w:jc w:val="both"/>
    </w:pPr>
    <w:rPr>
      <w:sz w:val="18"/>
      <w:szCs w:val="18"/>
      <w:lang w:val="es-AR"/>
    </w:rPr>
  </w:style>
  <w:style w:type="paragraph" w:customStyle="1" w:styleId="L4Hed">
    <w:name w:val="L4Hed"/>
    <w:basedOn w:val="L3Hed"/>
    <w:uiPriority w:val="99"/>
    <w:rsid w:val="00453222"/>
    <w:pPr>
      <w:widowControl w:val="0"/>
      <w:autoSpaceDE w:val="0"/>
      <w:autoSpaceDN w:val="0"/>
      <w:adjustRightInd w:val="0"/>
      <w:spacing w:before="240" w:line="240" w:lineRule="exact"/>
    </w:pPr>
    <w:rPr>
      <w:i w:val="0"/>
      <w:sz w:val="20"/>
      <w:lang w:val="es-AR" w:eastAsia="es-ES"/>
    </w:rPr>
  </w:style>
  <w:style w:type="paragraph" w:customStyle="1" w:styleId="L4HafterL3H">
    <w:name w:val="L4H after L3H"/>
    <w:basedOn w:val="L4Hed"/>
    <w:uiPriority w:val="99"/>
    <w:rsid w:val="00453222"/>
    <w:pPr>
      <w:spacing w:before="0"/>
    </w:pPr>
  </w:style>
  <w:style w:type="paragraph" w:customStyle="1" w:styleId="L5Hed">
    <w:name w:val="L5Hed"/>
    <w:basedOn w:val="L4Hed"/>
    <w:uiPriority w:val="99"/>
    <w:rsid w:val="00453222"/>
    <w:pPr>
      <w:spacing w:before="220"/>
    </w:pPr>
    <w:rPr>
      <w:b/>
      <w:bCs/>
      <w:i/>
      <w:iCs/>
    </w:rPr>
  </w:style>
  <w:style w:type="paragraph" w:customStyle="1" w:styleId="L5HafterL4H">
    <w:name w:val="L5H after L4H"/>
    <w:basedOn w:val="L5Hed"/>
    <w:uiPriority w:val="99"/>
    <w:rsid w:val="00453222"/>
    <w:pPr>
      <w:spacing w:before="0"/>
    </w:pPr>
  </w:style>
  <w:style w:type="paragraph" w:customStyle="1" w:styleId="L1Hed-NotTopPage">
    <w:name w:val="L1Hed-NotTopPage"/>
    <w:basedOn w:val="L1Hed-TopPage"/>
    <w:uiPriority w:val="99"/>
    <w:rsid w:val="00453222"/>
    <w:pPr>
      <w:keepNext/>
      <w:pageBreakBefore w:val="0"/>
      <w:widowControl w:val="0"/>
      <w:autoSpaceDE w:val="0"/>
      <w:autoSpaceDN w:val="0"/>
      <w:adjustRightInd w:val="0"/>
      <w:spacing w:before="480"/>
    </w:pPr>
    <w:rPr>
      <w:bCs/>
      <w:caps w:val="0"/>
      <w:szCs w:val="21"/>
      <w:lang w:eastAsia="es-ES"/>
    </w:rPr>
  </w:style>
  <w:style w:type="paragraph" w:customStyle="1" w:styleId="Title22">
    <w:name w:val="Title22"/>
    <w:basedOn w:val="Normal"/>
    <w:uiPriority w:val="99"/>
    <w:rsid w:val="00453222"/>
    <w:pPr>
      <w:widowControl w:val="0"/>
      <w:autoSpaceDE w:val="0"/>
      <w:autoSpaceDN w:val="0"/>
      <w:adjustRightInd w:val="0"/>
      <w:spacing w:after="120"/>
      <w:jc w:val="center"/>
    </w:pPr>
    <w:rPr>
      <w:b/>
      <w:bCs/>
      <w:sz w:val="44"/>
      <w:szCs w:val="44"/>
      <w:lang w:val="es-AR"/>
    </w:rPr>
  </w:style>
  <w:style w:type="paragraph" w:customStyle="1" w:styleId="Title16">
    <w:name w:val="Title16"/>
    <w:basedOn w:val="Normal"/>
    <w:uiPriority w:val="99"/>
    <w:rsid w:val="00453222"/>
    <w:pPr>
      <w:widowControl w:val="0"/>
      <w:autoSpaceDE w:val="0"/>
      <w:autoSpaceDN w:val="0"/>
      <w:adjustRightInd w:val="0"/>
      <w:spacing w:after="120"/>
      <w:jc w:val="center"/>
    </w:pPr>
    <w:rPr>
      <w:b/>
      <w:bCs/>
      <w:sz w:val="32"/>
      <w:szCs w:val="32"/>
      <w:lang w:val="es-AR"/>
    </w:rPr>
  </w:style>
  <w:style w:type="paragraph" w:customStyle="1" w:styleId="Title14">
    <w:name w:val="Title14"/>
    <w:basedOn w:val="Normal"/>
    <w:uiPriority w:val="99"/>
    <w:rsid w:val="00453222"/>
    <w:pPr>
      <w:widowControl w:val="0"/>
      <w:autoSpaceDE w:val="0"/>
      <w:autoSpaceDN w:val="0"/>
      <w:adjustRightInd w:val="0"/>
      <w:spacing w:after="120"/>
      <w:jc w:val="center"/>
    </w:pPr>
    <w:rPr>
      <w:b/>
      <w:bCs/>
      <w:sz w:val="28"/>
      <w:szCs w:val="28"/>
      <w:lang w:val="es-AR"/>
    </w:rPr>
  </w:style>
  <w:style w:type="paragraph" w:customStyle="1" w:styleId="Title12">
    <w:name w:val="Title12"/>
    <w:basedOn w:val="Normal"/>
    <w:uiPriority w:val="99"/>
    <w:rsid w:val="00453222"/>
    <w:pPr>
      <w:widowControl w:val="0"/>
      <w:autoSpaceDE w:val="0"/>
      <w:autoSpaceDN w:val="0"/>
      <w:adjustRightInd w:val="0"/>
      <w:spacing w:after="120"/>
      <w:jc w:val="center"/>
    </w:pPr>
    <w:rPr>
      <w:b/>
      <w:bCs/>
      <w:lang w:val="es-AR"/>
    </w:rPr>
  </w:style>
  <w:style w:type="paragraph" w:customStyle="1" w:styleId="1Level1-HS">
    <w:name w:val="1Level–1.-HS"/>
    <w:basedOn w:val="Normal"/>
    <w:uiPriority w:val="99"/>
    <w:rsid w:val="00453222"/>
    <w:pPr>
      <w:widowControl w:val="0"/>
      <w:tabs>
        <w:tab w:val="num" w:pos="360"/>
      </w:tabs>
      <w:autoSpaceDE w:val="0"/>
      <w:autoSpaceDN w:val="0"/>
      <w:adjustRightInd w:val="0"/>
      <w:spacing w:after="120" w:line="240" w:lineRule="exact"/>
      <w:ind w:left="360" w:hanging="360"/>
      <w:jc w:val="both"/>
    </w:pPr>
    <w:rPr>
      <w:sz w:val="21"/>
      <w:szCs w:val="21"/>
      <w:lang w:val="es-AR"/>
    </w:rPr>
  </w:style>
  <w:style w:type="paragraph" w:customStyle="1" w:styleId="2Level1block">
    <w:name w:val="2Level–(1)block"/>
    <w:basedOn w:val="Normal"/>
    <w:rsid w:val="00453222"/>
    <w:pPr>
      <w:widowControl w:val="0"/>
      <w:tabs>
        <w:tab w:val="num" w:pos="780"/>
      </w:tabs>
      <w:autoSpaceDE w:val="0"/>
      <w:autoSpaceDN w:val="0"/>
      <w:adjustRightInd w:val="0"/>
      <w:spacing w:after="120" w:line="240" w:lineRule="exact"/>
      <w:ind w:left="780" w:hanging="360"/>
      <w:jc w:val="both"/>
    </w:pPr>
    <w:rPr>
      <w:sz w:val="21"/>
      <w:szCs w:val="21"/>
      <w:lang w:val="es-AR"/>
    </w:rPr>
  </w:style>
  <w:style w:type="paragraph" w:customStyle="1" w:styleId="2Levelablock">
    <w:name w:val="2Level–(a)block"/>
    <w:basedOn w:val="Normal"/>
    <w:uiPriority w:val="99"/>
    <w:rsid w:val="00453222"/>
    <w:pPr>
      <w:widowControl w:val="0"/>
      <w:tabs>
        <w:tab w:val="num" w:pos="780"/>
      </w:tabs>
      <w:autoSpaceDE w:val="0"/>
      <w:autoSpaceDN w:val="0"/>
      <w:adjustRightInd w:val="0"/>
      <w:spacing w:after="120" w:line="240" w:lineRule="exact"/>
      <w:ind w:left="780" w:hanging="360"/>
      <w:jc w:val="both"/>
    </w:pPr>
    <w:rPr>
      <w:sz w:val="21"/>
      <w:szCs w:val="21"/>
      <w:lang w:val="es-AR"/>
    </w:rPr>
  </w:style>
  <w:style w:type="paragraph" w:customStyle="1" w:styleId="2Leveli-PS">
    <w:name w:val="2Level–(i)-PS"/>
    <w:basedOn w:val="Normal"/>
    <w:uiPriority w:val="99"/>
    <w:rsid w:val="00453222"/>
    <w:pPr>
      <w:widowControl w:val="0"/>
      <w:tabs>
        <w:tab w:val="num" w:pos="360"/>
        <w:tab w:val="left" w:pos="862"/>
        <w:tab w:val="num" w:pos="1152"/>
      </w:tabs>
      <w:autoSpaceDE w:val="0"/>
      <w:autoSpaceDN w:val="0"/>
      <w:adjustRightInd w:val="0"/>
      <w:spacing w:after="120" w:line="240" w:lineRule="exact"/>
      <w:ind w:left="360" w:hanging="360"/>
      <w:jc w:val="both"/>
    </w:pPr>
    <w:rPr>
      <w:sz w:val="21"/>
      <w:szCs w:val="21"/>
      <w:lang w:val="es-AR"/>
    </w:rPr>
  </w:style>
  <w:style w:type="paragraph" w:customStyle="1" w:styleId="3Levela-PS">
    <w:name w:val="3Level–(a)-PS"/>
    <w:basedOn w:val="Normal"/>
    <w:uiPriority w:val="99"/>
    <w:rsid w:val="00453222"/>
    <w:pPr>
      <w:widowControl w:val="0"/>
      <w:tabs>
        <w:tab w:val="num" w:pos="360"/>
      </w:tabs>
      <w:autoSpaceDE w:val="0"/>
      <w:autoSpaceDN w:val="0"/>
      <w:adjustRightInd w:val="0"/>
      <w:spacing w:after="120" w:line="240" w:lineRule="exact"/>
      <w:ind w:left="360" w:hanging="230"/>
      <w:jc w:val="both"/>
    </w:pPr>
    <w:rPr>
      <w:sz w:val="21"/>
      <w:szCs w:val="21"/>
      <w:lang w:val="es-AR"/>
    </w:rPr>
  </w:style>
  <w:style w:type="paragraph" w:customStyle="1" w:styleId="TOC-Item">
    <w:name w:val="TOC-Item"/>
    <w:basedOn w:val="Normal"/>
    <w:uiPriority w:val="99"/>
    <w:rsid w:val="00453222"/>
    <w:pPr>
      <w:keepNext/>
      <w:widowControl w:val="0"/>
      <w:tabs>
        <w:tab w:val="right" w:leader="dot" w:pos="3888"/>
        <w:tab w:val="right" w:pos="4442"/>
      </w:tabs>
      <w:autoSpaceDE w:val="0"/>
      <w:autoSpaceDN w:val="0"/>
      <w:adjustRightInd w:val="0"/>
      <w:spacing w:after="40" w:line="240" w:lineRule="exact"/>
      <w:ind w:left="144" w:right="576" w:hanging="144"/>
    </w:pPr>
    <w:rPr>
      <w:sz w:val="21"/>
      <w:szCs w:val="21"/>
      <w:lang w:val="es-AR"/>
    </w:rPr>
  </w:style>
  <w:style w:type="paragraph" w:customStyle="1" w:styleId="3Level-ALT-i-HS">
    <w:name w:val="3Level-[ALT]-(i)-HS"/>
    <w:basedOn w:val="Normal"/>
    <w:uiPriority w:val="99"/>
    <w:rsid w:val="00453222"/>
    <w:pPr>
      <w:widowControl w:val="0"/>
      <w:tabs>
        <w:tab w:val="left" w:pos="1584"/>
        <w:tab w:val="num" w:pos="1656"/>
        <w:tab w:val="num" w:pos="3240"/>
      </w:tabs>
      <w:autoSpaceDE w:val="0"/>
      <w:autoSpaceDN w:val="0"/>
      <w:adjustRightInd w:val="0"/>
      <w:spacing w:after="120" w:line="240" w:lineRule="exact"/>
      <w:ind w:left="936"/>
      <w:jc w:val="both"/>
    </w:pPr>
    <w:rPr>
      <w:sz w:val="21"/>
      <w:szCs w:val="21"/>
      <w:lang w:val="es-AR"/>
    </w:rPr>
  </w:style>
  <w:style w:type="paragraph" w:customStyle="1" w:styleId="4Level-i-HS">
    <w:name w:val="4Level-(i)-HS"/>
    <w:basedOn w:val="Normal"/>
    <w:uiPriority w:val="99"/>
    <w:rsid w:val="00453222"/>
    <w:pPr>
      <w:widowControl w:val="0"/>
      <w:tabs>
        <w:tab w:val="left" w:pos="2160"/>
        <w:tab w:val="num" w:pos="2304"/>
        <w:tab w:val="num" w:pos="3960"/>
      </w:tabs>
      <w:autoSpaceDE w:val="0"/>
      <w:autoSpaceDN w:val="0"/>
      <w:adjustRightInd w:val="0"/>
      <w:spacing w:after="120" w:line="240" w:lineRule="exact"/>
      <w:ind w:left="1584"/>
      <w:jc w:val="both"/>
    </w:pPr>
    <w:rPr>
      <w:sz w:val="21"/>
      <w:szCs w:val="21"/>
      <w:lang w:val="es-AR"/>
    </w:rPr>
  </w:style>
  <w:style w:type="paragraph" w:customStyle="1" w:styleId="4Level-ALT-a-HS">
    <w:name w:val="4Level-[ALT]-(a)-HS"/>
    <w:basedOn w:val="Normal"/>
    <w:uiPriority w:val="99"/>
    <w:rsid w:val="00453222"/>
    <w:pPr>
      <w:widowControl w:val="0"/>
      <w:tabs>
        <w:tab w:val="num" w:pos="1944"/>
        <w:tab w:val="left" w:pos="2160"/>
        <w:tab w:val="num" w:pos="4680"/>
      </w:tabs>
      <w:autoSpaceDE w:val="0"/>
      <w:autoSpaceDN w:val="0"/>
      <w:adjustRightInd w:val="0"/>
      <w:spacing w:after="120" w:line="240" w:lineRule="exact"/>
      <w:ind w:left="1584"/>
      <w:jc w:val="both"/>
    </w:pPr>
    <w:rPr>
      <w:sz w:val="21"/>
      <w:szCs w:val="21"/>
      <w:lang w:val="es-AR"/>
    </w:rPr>
  </w:style>
  <w:style w:type="paragraph" w:customStyle="1" w:styleId="5Level-a-HS">
    <w:name w:val="5Level-(a)-HS"/>
    <w:basedOn w:val="Normal"/>
    <w:uiPriority w:val="99"/>
    <w:rsid w:val="00453222"/>
    <w:pPr>
      <w:widowControl w:val="0"/>
      <w:tabs>
        <w:tab w:val="num" w:pos="2520"/>
        <w:tab w:val="left" w:pos="2592"/>
        <w:tab w:val="num" w:pos="5400"/>
      </w:tabs>
      <w:autoSpaceDE w:val="0"/>
      <w:autoSpaceDN w:val="0"/>
      <w:adjustRightInd w:val="0"/>
      <w:spacing w:after="120" w:line="240" w:lineRule="exact"/>
      <w:ind w:left="2160"/>
      <w:jc w:val="both"/>
    </w:pPr>
    <w:rPr>
      <w:sz w:val="21"/>
      <w:szCs w:val="21"/>
      <w:lang w:val="es-AR"/>
    </w:rPr>
  </w:style>
  <w:style w:type="paragraph" w:customStyle="1" w:styleId="5Level-ALT-1-HS">
    <w:name w:val="5Level-[ALT]-(1)-HS"/>
    <w:basedOn w:val="Normal"/>
    <w:uiPriority w:val="99"/>
    <w:rsid w:val="00453222"/>
    <w:pPr>
      <w:widowControl w:val="0"/>
      <w:tabs>
        <w:tab w:val="num" w:pos="2520"/>
        <w:tab w:val="left" w:pos="2592"/>
        <w:tab w:val="num" w:pos="6120"/>
      </w:tabs>
      <w:autoSpaceDE w:val="0"/>
      <w:autoSpaceDN w:val="0"/>
      <w:adjustRightInd w:val="0"/>
      <w:spacing w:after="120" w:line="240" w:lineRule="exact"/>
      <w:ind w:left="2160"/>
      <w:jc w:val="both"/>
    </w:pPr>
    <w:rPr>
      <w:sz w:val="21"/>
      <w:szCs w:val="21"/>
      <w:lang w:val="es-AR"/>
    </w:rPr>
  </w:style>
  <w:style w:type="paragraph" w:customStyle="1" w:styleId="6Level-I-HS">
    <w:name w:val="6Level-(I)-HS"/>
    <w:basedOn w:val="Normal"/>
    <w:uiPriority w:val="99"/>
    <w:rsid w:val="00453222"/>
    <w:pPr>
      <w:widowControl w:val="0"/>
      <w:tabs>
        <w:tab w:val="left" w:pos="3024"/>
        <w:tab w:val="num" w:pos="3312"/>
        <w:tab w:val="num" w:pos="6840"/>
      </w:tabs>
      <w:autoSpaceDE w:val="0"/>
      <w:autoSpaceDN w:val="0"/>
      <w:adjustRightInd w:val="0"/>
      <w:spacing w:after="120" w:line="240" w:lineRule="exact"/>
      <w:ind w:left="2592"/>
      <w:jc w:val="both"/>
    </w:pPr>
    <w:rPr>
      <w:sz w:val="21"/>
      <w:szCs w:val="21"/>
      <w:lang w:val="es-AR"/>
    </w:rPr>
  </w:style>
  <w:style w:type="paragraph" w:customStyle="1" w:styleId="alpha2">
    <w:name w:val="alpha 2"/>
    <w:basedOn w:val="Normal"/>
    <w:uiPriority w:val="99"/>
    <w:rsid w:val="00453222"/>
    <w:pPr>
      <w:widowControl w:val="0"/>
      <w:tabs>
        <w:tab w:val="num" w:pos="1247"/>
      </w:tabs>
      <w:autoSpaceDE w:val="0"/>
      <w:autoSpaceDN w:val="0"/>
      <w:adjustRightInd w:val="0"/>
      <w:spacing w:after="140" w:line="290" w:lineRule="auto"/>
      <w:ind w:left="1247" w:hanging="680"/>
      <w:jc w:val="both"/>
    </w:pPr>
    <w:rPr>
      <w:rFonts w:ascii="Arial" w:hAnsi="Arial" w:cs="Arial"/>
      <w:kern w:val="20"/>
      <w:sz w:val="20"/>
      <w:szCs w:val="20"/>
      <w:lang w:val="es-AR"/>
    </w:rPr>
  </w:style>
  <w:style w:type="paragraph" w:customStyle="1" w:styleId="Body2">
    <w:name w:val="Body 2"/>
    <w:basedOn w:val="Normal"/>
    <w:uiPriority w:val="99"/>
    <w:rsid w:val="00453222"/>
    <w:pPr>
      <w:widowControl w:val="0"/>
      <w:autoSpaceDE w:val="0"/>
      <w:autoSpaceDN w:val="0"/>
      <w:adjustRightInd w:val="0"/>
      <w:spacing w:after="140" w:line="290" w:lineRule="auto"/>
      <w:ind w:left="1247"/>
      <w:jc w:val="both"/>
    </w:pPr>
    <w:rPr>
      <w:rFonts w:ascii="Arial" w:hAnsi="Arial" w:cs="Arial"/>
      <w:kern w:val="20"/>
      <w:sz w:val="20"/>
      <w:szCs w:val="20"/>
      <w:lang w:val="en-US"/>
    </w:rPr>
  </w:style>
  <w:style w:type="paragraph" w:customStyle="1" w:styleId="Body">
    <w:name w:val="Body"/>
    <w:uiPriority w:val="99"/>
    <w:rsid w:val="00453222"/>
    <w:pPr>
      <w:widowControl w:val="0"/>
      <w:autoSpaceDE w:val="0"/>
      <w:autoSpaceDN w:val="0"/>
      <w:adjustRightInd w:val="0"/>
      <w:spacing w:after="140" w:line="290" w:lineRule="auto"/>
      <w:jc w:val="both"/>
    </w:pPr>
    <w:rPr>
      <w:rFonts w:ascii="Arial" w:hAnsi="Arial" w:cs="Arial"/>
      <w:kern w:val="20"/>
      <w:sz w:val="24"/>
      <w:szCs w:val="24"/>
      <w:lang w:val="en-GB" w:eastAsia="es-ES"/>
    </w:rPr>
  </w:style>
  <w:style w:type="paragraph" w:customStyle="1" w:styleId="TableFootnotes">
    <w:name w:val="Table Footnotes"/>
    <w:basedOn w:val="Normal"/>
    <w:uiPriority w:val="99"/>
    <w:rsid w:val="00453222"/>
    <w:pPr>
      <w:widowControl w:val="0"/>
      <w:autoSpaceDE w:val="0"/>
      <w:autoSpaceDN w:val="0"/>
      <w:adjustRightInd w:val="0"/>
      <w:spacing w:after="120"/>
      <w:ind w:left="446" w:hanging="446"/>
    </w:pPr>
    <w:rPr>
      <w:color w:val="000000"/>
      <w:sz w:val="17"/>
      <w:szCs w:val="17"/>
      <w:lang w:val="en-US"/>
    </w:rPr>
  </w:style>
  <w:style w:type="paragraph" w:customStyle="1" w:styleId="Table7Par">
    <w:name w:val="Table7Par"/>
    <w:basedOn w:val="Normal"/>
    <w:uiPriority w:val="99"/>
    <w:rsid w:val="00453222"/>
    <w:pPr>
      <w:widowControl w:val="0"/>
      <w:tabs>
        <w:tab w:val="left" w:pos="43"/>
        <w:tab w:val="decimal" w:pos="763"/>
      </w:tabs>
      <w:autoSpaceDE w:val="0"/>
      <w:autoSpaceDN w:val="0"/>
      <w:adjustRightInd w:val="0"/>
    </w:pPr>
    <w:rPr>
      <w:color w:val="000000"/>
      <w:sz w:val="16"/>
      <w:szCs w:val="16"/>
      <w:lang w:val="en-US"/>
    </w:rPr>
  </w:style>
  <w:style w:type="paragraph" w:customStyle="1" w:styleId="TDC11">
    <w:name w:val="TDC 11"/>
    <w:basedOn w:val="Normal"/>
    <w:next w:val="Normal"/>
    <w:autoRedefine/>
    <w:uiPriority w:val="99"/>
    <w:rsid w:val="00453222"/>
    <w:pPr>
      <w:widowControl w:val="0"/>
      <w:autoSpaceDE w:val="0"/>
      <w:autoSpaceDN w:val="0"/>
      <w:adjustRightInd w:val="0"/>
      <w:spacing w:before="120" w:after="120"/>
    </w:pPr>
    <w:rPr>
      <w:b/>
      <w:bCs/>
      <w:caps/>
      <w:sz w:val="20"/>
      <w:szCs w:val="20"/>
      <w:lang w:val="es-AR"/>
    </w:rPr>
  </w:style>
  <w:style w:type="character" w:customStyle="1" w:styleId="CarCar8">
    <w:name w:val="Car Car8"/>
    <w:uiPriority w:val="99"/>
    <w:rsid w:val="00453222"/>
    <w:rPr>
      <w:rFonts w:ascii="Cambria" w:hAnsi="Cambria"/>
      <w:spacing w:val="0"/>
      <w:sz w:val="24"/>
      <w:lang w:val="en-GB"/>
    </w:rPr>
  </w:style>
  <w:style w:type="character" w:customStyle="1" w:styleId="CarCar7">
    <w:name w:val="Car Car7"/>
    <w:hidden/>
    <w:uiPriority w:val="99"/>
    <w:rsid w:val="00453222"/>
    <w:rPr>
      <w:rFonts w:ascii="Garamond" w:hAnsi="Garamond"/>
      <w:spacing w:val="0"/>
      <w:sz w:val="20"/>
      <w:lang w:val="en-GB"/>
    </w:rPr>
  </w:style>
  <w:style w:type="character" w:customStyle="1" w:styleId="Ttulo11CarCar">
    <w:name w:val="Título 1.1. Car Car"/>
    <w:uiPriority w:val="99"/>
    <w:rsid w:val="00453222"/>
    <w:rPr>
      <w:rFonts w:ascii="Cambria" w:hAnsi="Cambria"/>
      <w:b/>
      <w:spacing w:val="0"/>
      <w:kern w:val="28"/>
      <w:sz w:val="32"/>
      <w:lang w:val="en-GB"/>
    </w:rPr>
  </w:style>
  <w:style w:type="character" w:customStyle="1" w:styleId="CarCar6">
    <w:name w:val="Car Car6"/>
    <w:hidden/>
    <w:uiPriority w:val="99"/>
    <w:rsid w:val="00453222"/>
    <w:rPr>
      <w:rFonts w:ascii="Garamond" w:hAnsi="Garamond"/>
      <w:spacing w:val="0"/>
      <w:sz w:val="16"/>
      <w:lang w:val="en-GB"/>
    </w:rPr>
  </w:style>
  <w:style w:type="paragraph" w:customStyle="1" w:styleId="Encabezado1">
    <w:name w:val="Encabezado1"/>
    <w:basedOn w:val="Normal"/>
    <w:uiPriority w:val="99"/>
    <w:rsid w:val="00453222"/>
    <w:pPr>
      <w:widowControl w:val="0"/>
      <w:tabs>
        <w:tab w:val="center" w:pos="4252"/>
        <w:tab w:val="right" w:pos="8504"/>
      </w:tabs>
      <w:autoSpaceDE w:val="0"/>
      <w:autoSpaceDN w:val="0"/>
      <w:adjustRightInd w:val="0"/>
    </w:pPr>
    <w:rPr>
      <w:sz w:val="20"/>
      <w:szCs w:val="20"/>
      <w:lang w:val="es-AR"/>
    </w:rPr>
  </w:style>
  <w:style w:type="character" w:customStyle="1" w:styleId="CarCar5">
    <w:name w:val="Car Car5"/>
    <w:uiPriority w:val="99"/>
    <w:rsid w:val="00453222"/>
    <w:rPr>
      <w:rFonts w:ascii="Garamond" w:hAnsi="Garamond"/>
      <w:spacing w:val="0"/>
      <w:sz w:val="20"/>
      <w:lang w:val="en-GB"/>
    </w:rPr>
  </w:style>
  <w:style w:type="character" w:customStyle="1" w:styleId="CarCar4">
    <w:name w:val="Car Car4"/>
    <w:hidden/>
    <w:uiPriority w:val="99"/>
    <w:rsid w:val="00453222"/>
    <w:rPr>
      <w:rFonts w:ascii="Garamond" w:hAnsi="Garamond"/>
      <w:spacing w:val="0"/>
      <w:sz w:val="20"/>
      <w:lang w:val="en-GB"/>
    </w:rPr>
  </w:style>
  <w:style w:type="character" w:customStyle="1" w:styleId="Refdenotaalpie1">
    <w:name w:val="Ref. de nota al pie1"/>
    <w:hidden/>
    <w:uiPriority w:val="99"/>
    <w:rsid w:val="00453222"/>
    <w:rPr>
      <w:rFonts w:ascii="Garamond" w:hAnsi="Garamond"/>
      <w:spacing w:val="0"/>
      <w:sz w:val="24"/>
      <w:vertAlign w:val="superscript"/>
      <w:lang w:val="en-GB"/>
    </w:rPr>
  </w:style>
  <w:style w:type="character" w:customStyle="1" w:styleId="FootnoteTextCharCar">
    <w:name w:val="Footnote Text Char Car"/>
    <w:aliases w:val="Footnote Text Char2 Char1 Car,Footnote Text Char Char Char2 Car,Footnote Text Char2 Char1 Char Char Car,Footnote Text Char Char Char2 Char Char Car,Footnote Text Char2 Char1 Char Char Char Char Car,Footnote Text Char Char Car"/>
    <w:uiPriority w:val="99"/>
    <w:rsid w:val="00453222"/>
    <w:rPr>
      <w:rFonts w:ascii="Garamond" w:hAnsi="Garamond"/>
      <w:spacing w:val="0"/>
      <w:sz w:val="20"/>
      <w:lang w:val="en-GB"/>
    </w:rPr>
  </w:style>
  <w:style w:type="paragraph" w:customStyle="1" w:styleId="Piedepgina1">
    <w:name w:val="Pie de página1"/>
    <w:basedOn w:val="Normal"/>
    <w:uiPriority w:val="99"/>
    <w:rsid w:val="00453222"/>
    <w:pPr>
      <w:widowControl w:val="0"/>
      <w:tabs>
        <w:tab w:val="center" w:pos="4320"/>
        <w:tab w:val="right" w:pos="8640"/>
      </w:tabs>
      <w:autoSpaceDE w:val="0"/>
      <w:autoSpaceDN w:val="0"/>
      <w:adjustRightInd w:val="0"/>
    </w:pPr>
    <w:rPr>
      <w:rFonts w:ascii="Garamond" w:hAnsi="Garamond" w:cs="Garamond"/>
      <w:lang w:val="es-AR"/>
    </w:rPr>
  </w:style>
  <w:style w:type="character" w:customStyle="1" w:styleId="CarCar3">
    <w:name w:val="Car Car3"/>
    <w:hidden/>
    <w:uiPriority w:val="99"/>
    <w:rsid w:val="00453222"/>
    <w:rPr>
      <w:rFonts w:ascii="Garamond" w:hAnsi="Garamond"/>
      <w:spacing w:val="0"/>
      <w:sz w:val="20"/>
      <w:lang w:val="en-GB"/>
    </w:rPr>
  </w:style>
  <w:style w:type="character" w:customStyle="1" w:styleId="Nmerodepgina1">
    <w:name w:val="Número de página1"/>
    <w:uiPriority w:val="99"/>
    <w:rsid w:val="00453222"/>
    <w:rPr>
      <w:rFonts w:ascii="Garamond" w:hAnsi="Garamond"/>
      <w:spacing w:val="0"/>
      <w:sz w:val="24"/>
      <w:lang w:val="en-GB"/>
    </w:rPr>
  </w:style>
  <w:style w:type="paragraph" w:customStyle="1" w:styleId="Epgrafe1">
    <w:name w:val="Epígrafe1"/>
    <w:basedOn w:val="Normal"/>
    <w:next w:val="Normal"/>
    <w:uiPriority w:val="99"/>
    <w:rsid w:val="00453222"/>
    <w:pPr>
      <w:widowControl w:val="0"/>
      <w:autoSpaceDE w:val="0"/>
      <w:autoSpaceDN w:val="0"/>
      <w:adjustRightInd w:val="0"/>
      <w:ind w:left="2160" w:firstLine="720"/>
    </w:pPr>
    <w:rPr>
      <w:rFonts w:ascii="Garamond" w:hAnsi="Garamond" w:cs="Garamond"/>
      <w:sz w:val="18"/>
      <w:szCs w:val="18"/>
      <w:lang w:val="es-AR"/>
    </w:rPr>
  </w:style>
  <w:style w:type="paragraph" w:customStyle="1" w:styleId="CharChar1">
    <w:name w:val="Char Char1"/>
    <w:basedOn w:val="Normal"/>
    <w:uiPriority w:val="99"/>
    <w:rsid w:val="00453222"/>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TDC21">
    <w:name w:val="TDC 21"/>
    <w:basedOn w:val="Normal"/>
    <w:next w:val="Normal"/>
    <w:autoRedefine/>
    <w:uiPriority w:val="99"/>
    <w:rsid w:val="00453222"/>
    <w:pPr>
      <w:widowControl w:val="0"/>
      <w:autoSpaceDE w:val="0"/>
      <w:autoSpaceDN w:val="0"/>
      <w:adjustRightInd w:val="0"/>
      <w:ind w:left="240"/>
    </w:pPr>
    <w:rPr>
      <w:rFonts w:ascii="Garamond" w:hAnsi="Garamond" w:cs="Garamond"/>
      <w:lang w:val="es-AR"/>
    </w:rPr>
  </w:style>
  <w:style w:type="character" w:customStyle="1" w:styleId="L3HafterL2HChar">
    <w:name w:val="L3H after L2H Char"/>
    <w:uiPriority w:val="99"/>
    <w:rsid w:val="00453222"/>
    <w:rPr>
      <w:rFonts w:ascii="Garamond" w:hAnsi="Garamond"/>
      <w:i/>
      <w:spacing w:val="0"/>
      <w:sz w:val="21"/>
      <w:lang w:val="en-GB"/>
    </w:rPr>
  </w:style>
  <w:style w:type="paragraph" w:customStyle="1" w:styleId="TDC31">
    <w:name w:val="TDC 31"/>
    <w:basedOn w:val="Normal"/>
    <w:next w:val="Normal"/>
    <w:autoRedefine/>
    <w:uiPriority w:val="99"/>
    <w:rsid w:val="00453222"/>
    <w:pPr>
      <w:widowControl w:val="0"/>
      <w:autoSpaceDE w:val="0"/>
      <w:autoSpaceDN w:val="0"/>
      <w:adjustRightInd w:val="0"/>
      <w:ind w:left="480"/>
    </w:pPr>
    <w:rPr>
      <w:rFonts w:ascii="Garamond" w:hAnsi="Garamond" w:cs="Garamond"/>
      <w:lang w:val="es-AR"/>
    </w:rPr>
  </w:style>
  <w:style w:type="character" w:customStyle="1" w:styleId="Body-DTPCar">
    <w:name w:val="Body-DTP Car"/>
    <w:uiPriority w:val="99"/>
    <w:rsid w:val="00453222"/>
    <w:rPr>
      <w:rFonts w:ascii="Garamond" w:hAnsi="Garamond"/>
      <w:spacing w:val="0"/>
      <w:sz w:val="21"/>
      <w:lang w:val="en-GB"/>
    </w:rPr>
  </w:style>
  <w:style w:type="character" w:customStyle="1" w:styleId="TableFootnoteCar">
    <w:name w:val="Table Footnote Car"/>
    <w:uiPriority w:val="99"/>
    <w:rsid w:val="00453222"/>
    <w:rPr>
      <w:rFonts w:ascii="Garamond" w:hAnsi="Garamond"/>
      <w:spacing w:val="0"/>
      <w:sz w:val="19"/>
      <w:lang w:val="en-GB"/>
    </w:rPr>
  </w:style>
  <w:style w:type="character" w:customStyle="1" w:styleId="CommentReference1">
    <w:name w:val="Comment Reference1"/>
    <w:hidden/>
    <w:uiPriority w:val="99"/>
    <w:rsid w:val="00453222"/>
    <w:rPr>
      <w:rFonts w:ascii="Garamond" w:hAnsi="Garamond"/>
      <w:spacing w:val="0"/>
      <w:sz w:val="16"/>
      <w:lang w:val="en-GB"/>
    </w:rPr>
  </w:style>
  <w:style w:type="paragraph" w:customStyle="1" w:styleId="CommentText1">
    <w:name w:val="Comment Text1"/>
    <w:basedOn w:val="Normal"/>
    <w:hidden/>
    <w:uiPriority w:val="99"/>
    <w:rsid w:val="00453222"/>
    <w:pPr>
      <w:widowControl w:val="0"/>
      <w:autoSpaceDE w:val="0"/>
      <w:autoSpaceDN w:val="0"/>
      <w:adjustRightInd w:val="0"/>
    </w:pPr>
    <w:rPr>
      <w:rFonts w:ascii="Garamond" w:hAnsi="Garamond" w:cs="Garamond"/>
      <w:sz w:val="20"/>
      <w:szCs w:val="20"/>
      <w:lang w:val="es-AR"/>
    </w:rPr>
  </w:style>
  <w:style w:type="character" w:customStyle="1" w:styleId="CarCar2">
    <w:name w:val="Car Car2"/>
    <w:hidden/>
    <w:uiPriority w:val="99"/>
    <w:rsid w:val="00453222"/>
    <w:rPr>
      <w:rFonts w:ascii="Garamond" w:hAnsi="Garamond"/>
      <w:spacing w:val="0"/>
      <w:sz w:val="20"/>
      <w:lang w:val="en-GB"/>
    </w:rPr>
  </w:style>
  <w:style w:type="paragraph" w:customStyle="1" w:styleId="CommentSubject1">
    <w:name w:val="Comment Subject1"/>
    <w:basedOn w:val="CommentText1"/>
    <w:next w:val="CommentText1"/>
    <w:hidden/>
    <w:uiPriority w:val="99"/>
    <w:rsid w:val="00453222"/>
    <w:rPr>
      <w:b/>
      <w:bCs/>
    </w:rPr>
  </w:style>
  <w:style w:type="character" w:customStyle="1" w:styleId="CarCar1">
    <w:name w:val="Car Car1"/>
    <w:hidden/>
    <w:uiPriority w:val="99"/>
    <w:rsid w:val="00453222"/>
    <w:rPr>
      <w:rFonts w:ascii="Garamond" w:hAnsi="Garamond"/>
      <w:b/>
      <w:spacing w:val="0"/>
      <w:sz w:val="20"/>
      <w:lang w:val="en-GB"/>
    </w:rPr>
  </w:style>
  <w:style w:type="paragraph" w:customStyle="1" w:styleId="Btext">
    <w:name w:val="Btext"/>
    <w:basedOn w:val="Normal"/>
    <w:uiPriority w:val="99"/>
    <w:rsid w:val="00453222"/>
    <w:pPr>
      <w:widowControl w:val="0"/>
      <w:autoSpaceDE w:val="0"/>
      <w:autoSpaceDN w:val="0"/>
      <w:adjustRightInd w:val="0"/>
      <w:spacing w:after="200"/>
      <w:ind w:firstLine="360"/>
    </w:pPr>
    <w:rPr>
      <w:sz w:val="20"/>
      <w:szCs w:val="20"/>
      <w:lang w:val="en-US"/>
    </w:rPr>
  </w:style>
  <w:style w:type="character" w:customStyle="1" w:styleId="BtextCharChar">
    <w:name w:val="Btext Char Char"/>
    <w:uiPriority w:val="99"/>
    <w:rsid w:val="00453222"/>
    <w:rPr>
      <w:rFonts w:ascii="Garamond" w:hAnsi="Garamond"/>
      <w:spacing w:val="0"/>
      <w:sz w:val="24"/>
      <w:lang w:val="en-US"/>
    </w:rPr>
  </w:style>
  <w:style w:type="character" w:customStyle="1" w:styleId="TableFootnoteCharChar">
    <w:name w:val="Table Footnote Char Char"/>
    <w:uiPriority w:val="99"/>
    <w:rsid w:val="00453222"/>
    <w:rPr>
      <w:rFonts w:ascii="Garamond" w:hAnsi="Garamond"/>
      <w:spacing w:val="0"/>
      <w:sz w:val="19"/>
      <w:lang w:val="en-GB"/>
    </w:rPr>
  </w:style>
  <w:style w:type="paragraph" w:customStyle="1" w:styleId="CarCar1Char">
    <w:name w:val="Car Car1 Char"/>
    <w:basedOn w:val="Normal"/>
    <w:uiPriority w:val="99"/>
    <w:rsid w:val="00453222"/>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CarCar19">
    <w:name w:val="Car Car19"/>
    <w:basedOn w:val="Normal"/>
    <w:uiPriority w:val="99"/>
    <w:rsid w:val="00453222"/>
    <w:pPr>
      <w:widowControl w:val="0"/>
      <w:autoSpaceDE w:val="0"/>
      <w:autoSpaceDN w:val="0"/>
      <w:adjustRightInd w:val="0"/>
      <w:spacing w:after="160" w:line="240" w:lineRule="exact"/>
    </w:pPr>
    <w:rPr>
      <w:rFonts w:ascii="Verdana" w:hAnsi="Verdana" w:cs="Verdana"/>
      <w:sz w:val="20"/>
      <w:szCs w:val="20"/>
      <w:lang w:val="en-US"/>
    </w:rPr>
  </w:style>
  <w:style w:type="character" w:customStyle="1" w:styleId="TableFootnoteCharCharChar">
    <w:name w:val="Table Footnote Char Char Char"/>
    <w:uiPriority w:val="99"/>
    <w:rsid w:val="00453222"/>
    <w:rPr>
      <w:rFonts w:ascii="Garamond" w:hAnsi="Garamond"/>
      <w:spacing w:val="0"/>
      <w:sz w:val="19"/>
      <w:lang w:val="en-GB"/>
    </w:rPr>
  </w:style>
  <w:style w:type="paragraph" w:customStyle="1" w:styleId="Style">
    <w:name w:val="Style"/>
    <w:basedOn w:val="Normal"/>
    <w:uiPriority w:val="99"/>
    <w:rsid w:val="00453222"/>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CarCar4CarCarCarCarCarCarCarCarCharChar">
    <w:name w:val="Car Car4 Car Car Car Car Car Car Car Car Char Char"/>
    <w:basedOn w:val="Normal"/>
    <w:uiPriority w:val="99"/>
    <w:rsid w:val="00453222"/>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CharChar2CarCarCharCharCarCar">
    <w:name w:val="Char Char2 Car Car Char Char Car Car"/>
    <w:basedOn w:val="Normal"/>
    <w:uiPriority w:val="99"/>
    <w:rsid w:val="00453222"/>
    <w:pPr>
      <w:widowControl w:val="0"/>
      <w:autoSpaceDE w:val="0"/>
      <w:autoSpaceDN w:val="0"/>
      <w:adjustRightInd w:val="0"/>
      <w:spacing w:after="160" w:line="240" w:lineRule="exact"/>
    </w:pPr>
    <w:rPr>
      <w:rFonts w:ascii="Verdana" w:hAnsi="Verdana" w:cs="Verdana"/>
      <w:sz w:val="20"/>
      <w:szCs w:val="20"/>
      <w:lang w:val="en-US"/>
    </w:rPr>
  </w:style>
  <w:style w:type="paragraph" w:customStyle="1" w:styleId="InfoMemoBodyTextCharCharCharCharCharCharCharCharCharCharCharCharCharCharCharChar">
    <w:name w:val="Info Memo Body Text Char Char Char Char Char Char Char Char Char Char Char Char Char Char Char Char"/>
    <w:uiPriority w:val="99"/>
    <w:rsid w:val="00453222"/>
    <w:pPr>
      <w:widowControl w:val="0"/>
      <w:suppressAutoHyphens/>
      <w:autoSpaceDE w:val="0"/>
      <w:autoSpaceDN w:val="0"/>
      <w:adjustRightInd w:val="0"/>
      <w:spacing w:after="240" w:line="260" w:lineRule="exact"/>
      <w:jc w:val="both"/>
    </w:pPr>
    <w:rPr>
      <w:rFonts w:ascii="Arial" w:hAnsi="Arial" w:cs="Arial"/>
      <w:sz w:val="24"/>
      <w:szCs w:val="24"/>
      <w:lang w:eastAsia="es-ES"/>
    </w:rPr>
  </w:style>
  <w:style w:type="paragraph" w:customStyle="1" w:styleId="NORMALPAE">
    <w:name w:val="NORMAL PAE"/>
    <w:basedOn w:val="Normal"/>
    <w:uiPriority w:val="99"/>
    <w:rsid w:val="00453222"/>
    <w:pPr>
      <w:widowControl w:val="0"/>
      <w:tabs>
        <w:tab w:val="left" w:pos="2765"/>
        <w:tab w:val="left" w:pos="4183"/>
      </w:tabs>
      <w:autoSpaceDE w:val="0"/>
      <w:autoSpaceDN w:val="0"/>
      <w:adjustRightInd w:val="0"/>
      <w:spacing w:before="120"/>
      <w:jc w:val="both"/>
    </w:pPr>
    <w:rPr>
      <w:rFonts w:ascii="Arial" w:hAnsi="Arial" w:cs="Arial"/>
      <w:sz w:val="22"/>
      <w:szCs w:val="22"/>
      <w:lang w:val="es-AR"/>
    </w:rPr>
  </w:style>
  <w:style w:type="character" w:customStyle="1" w:styleId="NORMALPAEChar">
    <w:name w:val="NORMAL PAE Char"/>
    <w:uiPriority w:val="99"/>
    <w:rsid w:val="00453222"/>
    <w:rPr>
      <w:rFonts w:ascii="Arial" w:hAnsi="Arial"/>
      <w:spacing w:val="0"/>
      <w:sz w:val="22"/>
      <w:lang w:val="es-AR"/>
    </w:rPr>
  </w:style>
  <w:style w:type="character" w:customStyle="1" w:styleId="Estilo1Car">
    <w:name w:val="Estilo1 Car"/>
    <w:uiPriority w:val="99"/>
    <w:rsid w:val="00453222"/>
    <w:rPr>
      <w:rFonts w:ascii="Sabon MT" w:hAnsi="Sabon MT"/>
      <w:spacing w:val="0"/>
      <w:sz w:val="24"/>
      <w:lang w:val="es-AR"/>
    </w:rPr>
  </w:style>
  <w:style w:type="paragraph" w:customStyle="1" w:styleId="Estilo4">
    <w:name w:val="Estilo4"/>
    <w:basedOn w:val="Normal"/>
    <w:uiPriority w:val="99"/>
    <w:rsid w:val="00453222"/>
    <w:pPr>
      <w:widowControl w:val="0"/>
      <w:tabs>
        <w:tab w:val="left" w:pos="-1134"/>
        <w:tab w:val="left" w:pos="1"/>
        <w:tab w:val="left" w:pos="8280"/>
      </w:tabs>
      <w:autoSpaceDE w:val="0"/>
      <w:autoSpaceDN w:val="0"/>
      <w:adjustRightInd w:val="0"/>
      <w:spacing w:before="100" w:beforeAutospacing="1" w:after="100" w:afterAutospacing="1"/>
      <w:ind w:left="-357" w:right="-533"/>
      <w:jc w:val="both"/>
    </w:pPr>
    <w:rPr>
      <w:rFonts w:ascii="Sabon MT" w:hAnsi="Sabon MT" w:cs="Sabon MT"/>
      <w:sz w:val="18"/>
      <w:szCs w:val="18"/>
      <w:lang w:val="es-AR"/>
    </w:rPr>
  </w:style>
  <w:style w:type="paragraph" w:customStyle="1" w:styleId="TextSubheading">
    <w:name w:val="Text Subheading"/>
    <w:basedOn w:val="Normal"/>
    <w:next w:val="Normal"/>
    <w:uiPriority w:val="99"/>
    <w:rsid w:val="00453222"/>
    <w:pPr>
      <w:widowControl w:val="0"/>
      <w:autoSpaceDE w:val="0"/>
      <w:autoSpaceDN w:val="0"/>
      <w:adjustRightInd w:val="0"/>
      <w:spacing w:before="180" w:line="320" w:lineRule="atLeast"/>
    </w:pPr>
    <w:rPr>
      <w:b/>
      <w:bCs/>
      <w:color w:val="000000"/>
    </w:rPr>
  </w:style>
  <w:style w:type="character" w:customStyle="1" w:styleId="TABLES10PT">
    <w:name w:val="TABLES10PT"/>
    <w:uiPriority w:val="99"/>
    <w:rsid w:val="00453222"/>
    <w:rPr>
      <w:rFonts w:ascii="Times New Roman" w:hAnsi="Times New Roman"/>
      <w:spacing w:val="0"/>
      <w:sz w:val="20"/>
      <w:lang w:val="en-GB"/>
    </w:rPr>
  </w:style>
  <w:style w:type="character" w:customStyle="1" w:styleId="CarCar14">
    <w:name w:val="Car Car14"/>
    <w:uiPriority w:val="99"/>
    <w:rsid w:val="00453222"/>
    <w:rPr>
      <w:rFonts w:ascii="Cambria" w:hAnsi="Cambria"/>
      <w:spacing w:val="0"/>
      <w:sz w:val="24"/>
      <w:lang w:val="en-GB"/>
    </w:rPr>
  </w:style>
  <w:style w:type="paragraph" w:customStyle="1" w:styleId="EstiloTabla">
    <w:name w:val="EstiloTabla"/>
    <w:basedOn w:val="Normal"/>
    <w:uiPriority w:val="99"/>
    <w:rsid w:val="00453222"/>
    <w:pPr>
      <w:widowControl w:val="0"/>
      <w:autoSpaceDE w:val="0"/>
      <w:autoSpaceDN w:val="0"/>
      <w:adjustRightInd w:val="0"/>
      <w:jc w:val="both"/>
    </w:pPr>
    <w:rPr>
      <w:rFonts w:ascii="Arial" w:hAnsi="Arial" w:cs="Arial"/>
      <w:sz w:val="16"/>
      <w:szCs w:val="16"/>
    </w:rPr>
  </w:style>
  <w:style w:type="character" w:customStyle="1" w:styleId="EstiloTablaCar">
    <w:name w:val="EstiloTabla Car"/>
    <w:uiPriority w:val="99"/>
    <w:rsid w:val="00453222"/>
    <w:rPr>
      <w:rFonts w:ascii="Arial" w:hAnsi="Arial"/>
      <w:spacing w:val="0"/>
      <w:sz w:val="16"/>
      <w:lang w:val="es-ES"/>
    </w:rPr>
  </w:style>
  <w:style w:type="paragraph" w:customStyle="1" w:styleId="CPNNormal">
    <w:name w:val="CPNNormal"/>
    <w:uiPriority w:val="99"/>
    <w:rsid w:val="00453222"/>
    <w:pPr>
      <w:widowControl w:val="0"/>
      <w:tabs>
        <w:tab w:val="left" w:pos="-720"/>
      </w:tabs>
      <w:autoSpaceDE w:val="0"/>
      <w:autoSpaceDN w:val="0"/>
      <w:adjustRightInd w:val="0"/>
      <w:spacing w:after="240" w:line="260" w:lineRule="exact"/>
      <w:ind w:firstLine="539"/>
      <w:jc w:val="both"/>
    </w:pPr>
    <w:rPr>
      <w:rFonts w:ascii="Garamond" w:hAnsi="Garamond" w:cs="Garamond"/>
      <w:color w:val="000000"/>
      <w:sz w:val="24"/>
      <w:szCs w:val="24"/>
      <w:lang w:val="es-AR" w:eastAsia="es-ES"/>
    </w:rPr>
  </w:style>
  <w:style w:type="paragraph" w:customStyle="1" w:styleId="Estilo2">
    <w:name w:val="Estilo2"/>
    <w:basedOn w:val="Normal"/>
    <w:uiPriority w:val="99"/>
    <w:rsid w:val="00453222"/>
    <w:pPr>
      <w:widowControl w:val="0"/>
      <w:tabs>
        <w:tab w:val="left" w:pos="8640"/>
      </w:tabs>
      <w:autoSpaceDE w:val="0"/>
      <w:autoSpaceDN w:val="0"/>
      <w:adjustRightInd w:val="0"/>
      <w:spacing w:before="100" w:after="100"/>
      <w:ind w:right="6"/>
      <w:jc w:val="center"/>
    </w:pPr>
    <w:rPr>
      <w:rFonts w:ascii="Frutiger 65 Bold" w:hAnsi="Frutiger 65 Bold" w:cs="Frutiger 65 Bold"/>
      <w:b/>
      <w:bCs/>
      <w:kern w:val="32"/>
      <w:sz w:val="20"/>
      <w:szCs w:val="20"/>
      <w:lang w:val="es-AR"/>
    </w:rPr>
  </w:style>
  <w:style w:type="character" w:customStyle="1" w:styleId="Estilo2Car">
    <w:name w:val="Estilo2 Car"/>
    <w:uiPriority w:val="99"/>
    <w:rsid w:val="00453222"/>
    <w:rPr>
      <w:rFonts w:ascii="Frutiger 65 Bold" w:hAnsi="Frutiger 65 Bold"/>
      <w:b/>
      <w:spacing w:val="0"/>
      <w:kern w:val="32"/>
      <w:sz w:val="24"/>
      <w:lang w:val="es-AR"/>
    </w:rPr>
  </w:style>
  <w:style w:type="paragraph" w:customStyle="1" w:styleId="carcarcar">
    <w:name w:val="car car car"/>
    <w:basedOn w:val="Ttulo21"/>
    <w:uiPriority w:val="99"/>
    <w:rsid w:val="00453222"/>
    <w:pPr>
      <w:spacing w:before="240" w:after="60"/>
      <w:jc w:val="center"/>
    </w:pPr>
    <w:rPr>
      <w:sz w:val="18"/>
      <w:szCs w:val="18"/>
      <w:lang w:val="es-ES"/>
    </w:rPr>
  </w:style>
  <w:style w:type="paragraph" w:customStyle="1" w:styleId="BFboldhead">
    <w:name w:val="_BFboldhead"/>
    <w:basedOn w:val="Normal"/>
    <w:uiPriority w:val="99"/>
    <w:rsid w:val="00453222"/>
    <w:pPr>
      <w:keepNext/>
      <w:widowControl w:val="0"/>
      <w:autoSpaceDE w:val="0"/>
      <w:autoSpaceDN w:val="0"/>
      <w:adjustRightInd w:val="0"/>
      <w:spacing w:after="240"/>
      <w:jc w:val="both"/>
    </w:pPr>
    <w:rPr>
      <w:b/>
      <w:bCs/>
      <w:sz w:val="18"/>
      <w:szCs w:val="18"/>
      <w:lang w:val="en-US"/>
    </w:rPr>
  </w:style>
  <w:style w:type="character" w:customStyle="1" w:styleId="btCar1">
    <w:name w:val="bt Car1"/>
    <w:aliases w:val="b Car1,Bodytext Car1,body text Car1,BT Car1,bt wide Car,by Car,Body Text Char1 Car,Body Text Char Char Car,ts Car,Body Text cont Car,Ctrl+1 Car,Body Text Proposal2 Car,a Car,Body Text CIM Car Car"/>
    <w:uiPriority w:val="99"/>
    <w:rsid w:val="00453222"/>
    <w:rPr>
      <w:rFonts w:ascii="Garamond" w:hAnsi="Garamond"/>
      <w:spacing w:val="0"/>
      <w:sz w:val="24"/>
      <w:lang w:val="en-US"/>
    </w:rPr>
  </w:style>
  <w:style w:type="character" w:customStyle="1" w:styleId="st1">
    <w:name w:val="st1"/>
    <w:uiPriority w:val="99"/>
    <w:rsid w:val="00453222"/>
    <w:rPr>
      <w:rFonts w:ascii="Garamond" w:hAnsi="Garamond"/>
      <w:spacing w:val="0"/>
      <w:sz w:val="24"/>
      <w:lang w:val="en-GB"/>
    </w:rPr>
  </w:style>
  <w:style w:type="paragraph" w:customStyle="1" w:styleId="s6-2990">
    <w:name w:val="s6-2990"/>
    <w:basedOn w:val="Normal"/>
    <w:uiPriority w:val="99"/>
    <w:rsid w:val="00453222"/>
    <w:pPr>
      <w:widowControl w:val="0"/>
      <w:autoSpaceDE w:val="0"/>
      <w:autoSpaceDN w:val="0"/>
      <w:adjustRightInd w:val="0"/>
      <w:spacing w:before="100" w:beforeAutospacing="1" w:after="100" w:afterAutospacing="1"/>
    </w:pPr>
  </w:style>
  <w:style w:type="character" w:customStyle="1" w:styleId="CarCar">
    <w:name w:val="Car Car"/>
    <w:uiPriority w:val="99"/>
    <w:rsid w:val="00453222"/>
    <w:rPr>
      <w:rFonts w:ascii="Courier New" w:hAnsi="Courier New"/>
      <w:spacing w:val="0"/>
      <w:sz w:val="22"/>
      <w:lang w:val="es-ES"/>
    </w:rPr>
  </w:style>
  <w:style w:type="paragraph" w:customStyle="1" w:styleId="dpwfdpf10ptsafter">
    <w:name w:val="_dpw fd pf 10pts after"/>
    <w:basedOn w:val="Normal"/>
    <w:uiPriority w:val="99"/>
    <w:rsid w:val="00453222"/>
    <w:pPr>
      <w:widowControl w:val="0"/>
      <w:autoSpaceDE w:val="0"/>
      <w:autoSpaceDN w:val="0"/>
      <w:adjustRightInd w:val="0"/>
      <w:spacing w:after="200"/>
      <w:ind w:firstLine="360"/>
    </w:pPr>
    <w:rPr>
      <w:sz w:val="20"/>
      <w:szCs w:val="20"/>
      <w:lang w:val="en-US"/>
    </w:rPr>
  </w:style>
  <w:style w:type="character" w:customStyle="1" w:styleId="dpwfdpf10ptsafterCar">
    <w:name w:val="_dpw fd pf 10pts after Car"/>
    <w:uiPriority w:val="99"/>
    <w:rsid w:val="00453222"/>
    <w:rPr>
      <w:rFonts w:ascii="Garamond" w:hAnsi="Garamond"/>
      <w:spacing w:val="0"/>
      <w:sz w:val="24"/>
      <w:lang w:val="en-US"/>
    </w:rPr>
  </w:style>
  <w:style w:type="paragraph" w:customStyle="1" w:styleId="Listaconvitas2">
    <w:name w:val="Lista con vitas 2"/>
    <w:basedOn w:val="Normal"/>
    <w:uiPriority w:val="99"/>
    <w:rsid w:val="00453222"/>
    <w:pPr>
      <w:widowControl w:val="0"/>
      <w:tabs>
        <w:tab w:val="num" w:pos="643"/>
      </w:tabs>
      <w:autoSpaceDE w:val="0"/>
      <w:autoSpaceDN w:val="0"/>
      <w:adjustRightInd w:val="0"/>
      <w:ind w:left="643" w:hanging="360"/>
    </w:pPr>
    <w:rPr>
      <w:lang w:val="en-US"/>
    </w:rPr>
  </w:style>
  <w:style w:type="paragraph" w:customStyle="1" w:styleId="Sangrdetextonormal">
    <w:name w:val="Sangr僘 de texto normal"/>
    <w:basedOn w:val="Normal"/>
    <w:uiPriority w:val="99"/>
    <w:rsid w:val="00453222"/>
    <w:pPr>
      <w:widowControl w:val="0"/>
      <w:autoSpaceDE w:val="0"/>
      <w:autoSpaceDN w:val="0"/>
      <w:adjustRightInd w:val="0"/>
      <w:ind w:firstLine="567"/>
      <w:jc w:val="both"/>
    </w:pPr>
    <w:rPr>
      <w:lang w:val="en-US"/>
    </w:rPr>
  </w:style>
  <w:style w:type="paragraph" w:customStyle="1" w:styleId="Tulo1">
    <w:name w:val="T咜ulo 1"/>
    <w:basedOn w:val="Normal"/>
    <w:next w:val="Normal"/>
    <w:uiPriority w:val="99"/>
    <w:rsid w:val="00453222"/>
    <w:pPr>
      <w:keepNext/>
      <w:widowControl w:val="0"/>
      <w:autoSpaceDE w:val="0"/>
      <w:autoSpaceDN w:val="0"/>
      <w:adjustRightInd w:val="0"/>
      <w:jc w:val="center"/>
    </w:pPr>
    <w:rPr>
      <w:b/>
      <w:bCs/>
      <w:sz w:val="21"/>
      <w:szCs w:val="21"/>
      <w:lang w:val="en-US"/>
    </w:rPr>
  </w:style>
  <w:style w:type="paragraph" w:customStyle="1" w:styleId="TDC41">
    <w:name w:val="TDC 41"/>
    <w:basedOn w:val="Normal"/>
    <w:next w:val="Normal"/>
    <w:autoRedefine/>
    <w:uiPriority w:val="99"/>
    <w:rsid w:val="00453222"/>
    <w:pPr>
      <w:widowControl w:val="0"/>
      <w:autoSpaceDE w:val="0"/>
      <w:autoSpaceDN w:val="0"/>
      <w:adjustRightInd w:val="0"/>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99"/>
    <w:rsid w:val="00453222"/>
    <w:pPr>
      <w:widowControl w:val="0"/>
      <w:autoSpaceDE w:val="0"/>
      <w:autoSpaceDN w:val="0"/>
      <w:adjustRightInd w:val="0"/>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99"/>
    <w:rsid w:val="00453222"/>
    <w:pPr>
      <w:widowControl w:val="0"/>
      <w:autoSpaceDE w:val="0"/>
      <w:autoSpaceDN w:val="0"/>
      <w:adjustRightInd w:val="0"/>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99"/>
    <w:rsid w:val="00453222"/>
    <w:pPr>
      <w:widowControl w:val="0"/>
      <w:autoSpaceDE w:val="0"/>
      <w:autoSpaceDN w:val="0"/>
      <w:adjustRightInd w:val="0"/>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99"/>
    <w:rsid w:val="00453222"/>
    <w:pPr>
      <w:widowControl w:val="0"/>
      <w:autoSpaceDE w:val="0"/>
      <w:autoSpaceDN w:val="0"/>
      <w:adjustRightInd w:val="0"/>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99"/>
    <w:rsid w:val="00453222"/>
    <w:pPr>
      <w:widowControl w:val="0"/>
      <w:autoSpaceDE w:val="0"/>
      <w:autoSpaceDN w:val="0"/>
      <w:adjustRightInd w:val="0"/>
      <w:spacing w:after="100" w:line="276" w:lineRule="auto"/>
      <w:ind w:left="1760"/>
    </w:pPr>
    <w:rPr>
      <w:rFonts w:ascii="Calibri" w:hAnsi="Calibri" w:cs="Calibri"/>
      <w:sz w:val="22"/>
      <w:szCs w:val="22"/>
    </w:rPr>
  </w:style>
  <w:style w:type="paragraph" w:customStyle="1" w:styleId="DeltaViewTableHeading">
    <w:name w:val="DeltaView Table Heading"/>
    <w:basedOn w:val="Normal"/>
    <w:uiPriority w:val="99"/>
    <w:rsid w:val="00453222"/>
    <w:pPr>
      <w:autoSpaceDE w:val="0"/>
      <w:autoSpaceDN w:val="0"/>
      <w:adjustRightInd w:val="0"/>
      <w:spacing w:after="120"/>
    </w:pPr>
    <w:rPr>
      <w:rFonts w:ascii="Arial" w:hAnsi="Arial" w:cs="Arial"/>
      <w:b/>
      <w:bCs/>
      <w:lang w:val="en-US"/>
    </w:rPr>
  </w:style>
  <w:style w:type="paragraph" w:customStyle="1" w:styleId="DeltaViewAnnounce">
    <w:name w:val="DeltaView Announce"/>
    <w:uiPriority w:val="99"/>
    <w:rsid w:val="00453222"/>
    <w:pPr>
      <w:autoSpaceDE w:val="0"/>
      <w:autoSpaceDN w:val="0"/>
      <w:adjustRightInd w:val="0"/>
      <w:spacing w:before="100" w:beforeAutospacing="1" w:after="100" w:afterAutospacing="1"/>
    </w:pPr>
    <w:rPr>
      <w:rFonts w:ascii="Arial" w:hAnsi="Arial" w:cs="Arial"/>
      <w:sz w:val="24"/>
      <w:szCs w:val="24"/>
      <w:lang w:val="en-GB" w:eastAsia="es-ES"/>
    </w:rPr>
  </w:style>
  <w:style w:type="character" w:customStyle="1" w:styleId="DeltaViewChangeNumber">
    <w:name w:val="DeltaView Change Number"/>
    <w:uiPriority w:val="99"/>
    <w:rsid w:val="00453222"/>
    <w:rPr>
      <w:color w:val="000000"/>
      <w:spacing w:val="0"/>
      <w:vertAlign w:val="superscript"/>
    </w:rPr>
  </w:style>
  <w:style w:type="character" w:customStyle="1" w:styleId="DeltaViewDelimiter">
    <w:name w:val="DeltaView Delimiter"/>
    <w:uiPriority w:val="99"/>
    <w:rsid w:val="00453222"/>
    <w:rPr>
      <w:spacing w:val="0"/>
    </w:rPr>
  </w:style>
  <w:style w:type="character" w:customStyle="1" w:styleId="DeltaViewFormatChange">
    <w:name w:val="DeltaView Format Change"/>
    <w:uiPriority w:val="99"/>
    <w:rsid w:val="00453222"/>
    <w:rPr>
      <w:color w:val="000000"/>
      <w:spacing w:val="0"/>
    </w:rPr>
  </w:style>
  <w:style w:type="character" w:customStyle="1" w:styleId="DeltaViewMovedDeletion">
    <w:name w:val="DeltaView Moved Deletion"/>
    <w:uiPriority w:val="99"/>
    <w:rsid w:val="00453222"/>
    <w:rPr>
      <w:strike/>
      <w:color w:val="C08080"/>
      <w:spacing w:val="0"/>
    </w:rPr>
  </w:style>
  <w:style w:type="character" w:customStyle="1" w:styleId="DeltaViewComment">
    <w:name w:val="DeltaView Comment"/>
    <w:uiPriority w:val="99"/>
    <w:rsid w:val="00453222"/>
    <w:rPr>
      <w:color w:val="000000"/>
      <w:spacing w:val="0"/>
    </w:rPr>
  </w:style>
  <w:style w:type="character" w:customStyle="1" w:styleId="DeltaViewStyleChangeText">
    <w:name w:val="DeltaView Style Change Text"/>
    <w:uiPriority w:val="99"/>
    <w:rsid w:val="00453222"/>
    <w:rPr>
      <w:color w:val="000000"/>
      <w:spacing w:val="0"/>
      <w:u w:val="double"/>
    </w:rPr>
  </w:style>
  <w:style w:type="character" w:customStyle="1" w:styleId="DeltaViewStyleChangeLabel">
    <w:name w:val="DeltaView Style Change Label"/>
    <w:uiPriority w:val="99"/>
    <w:rsid w:val="00453222"/>
    <w:rPr>
      <w:color w:val="000000"/>
      <w:spacing w:val="0"/>
    </w:rPr>
  </w:style>
  <w:style w:type="character" w:customStyle="1" w:styleId="DeltaViewInsertedComment">
    <w:name w:val="DeltaView Inserted Comment"/>
    <w:uiPriority w:val="99"/>
    <w:rsid w:val="00453222"/>
    <w:rPr>
      <w:color w:val="0000FF"/>
      <w:spacing w:val="0"/>
      <w:u w:val="double"/>
    </w:rPr>
  </w:style>
  <w:style w:type="character" w:customStyle="1" w:styleId="DeltaViewDeletedComment">
    <w:name w:val="DeltaView Deleted Comment"/>
    <w:uiPriority w:val="99"/>
    <w:rsid w:val="00453222"/>
    <w:rPr>
      <w:strike/>
      <w:color w:val="FF0000"/>
      <w:spacing w:val="0"/>
    </w:rPr>
  </w:style>
  <w:style w:type="paragraph" w:customStyle="1" w:styleId="aindent">
    <w:name w:val="a) indent"/>
    <w:rsid w:val="00453222"/>
    <w:pPr>
      <w:tabs>
        <w:tab w:val="left" w:pos="-1560"/>
      </w:tabs>
      <w:ind w:left="709" w:firstLine="284"/>
      <w:jc w:val="both"/>
    </w:pPr>
    <w:rPr>
      <w:rFonts w:ascii="Book Antiqua" w:hAnsi="Book Antiqua"/>
      <w:lang w:val="es-ES_tradnl"/>
    </w:rPr>
  </w:style>
  <w:style w:type="character" w:customStyle="1" w:styleId="Refdenotaalpie2">
    <w:name w:val="Ref. de nota al pie2"/>
    <w:hidden/>
    <w:uiPriority w:val="99"/>
    <w:rsid w:val="00453222"/>
    <w:rPr>
      <w:rFonts w:ascii="Garamond" w:hAnsi="Garamond"/>
      <w:spacing w:val="0"/>
      <w:sz w:val="24"/>
      <w:vertAlign w:val="superscript"/>
      <w:lang w:val="en-GB"/>
    </w:rPr>
  </w:style>
  <w:style w:type="paragraph" w:customStyle="1" w:styleId="Epgrafe2">
    <w:name w:val="Epígrafe2"/>
    <w:basedOn w:val="Normal"/>
    <w:next w:val="Normal"/>
    <w:uiPriority w:val="99"/>
    <w:rsid w:val="00453222"/>
    <w:pPr>
      <w:widowControl w:val="0"/>
      <w:autoSpaceDE w:val="0"/>
      <w:autoSpaceDN w:val="0"/>
      <w:adjustRightInd w:val="0"/>
      <w:ind w:left="2160" w:firstLine="720"/>
    </w:pPr>
    <w:rPr>
      <w:rFonts w:ascii="Garamond" w:hAnsi="Garamond" w:cs="Garamond"/>
      <w:sz w:val="18"/>
      <w:szCs w:val="18"/>
      <w:lang w:val="es-AR"/>
    </w:rPr>
  </w:style>
  <w:style w:type="paragraph" w:customStyle="1" w:styleId="default0">
    <w:name w:val="default"/>
    <w:basedOn w:val="Normal"/>
    <w:rsid w:val="00453222"/>
    <w:pPr>
      <w:spacing w:before="100" w:beforeAutospacing="1" w:after="100" w:afterAutospacing="1"/>
    </w:pPr>
    <w:rPr>
      <w:lang w:val="en-US" w:eastAsia="en-US"/>
    </w:rPr>
  </w:style>
  <w:style w:type="paragraph" w:customStyle="1" w:styleId="CM56">
    <w:name w:val="CM56"/>
    <w:basedOn w:val="Normal"/>
    <w:next w:val="Normal"/>
    <w:uiPriority w:val="99"/>
    <w:rsid w:val="00453222"/>
    <w:pPr>
      <w:widowControl w:val="0"/>
      <w:autoSpaceDE w:val="0"/>
      <w:autoSpaceDN w:val="0"/>
      <w:adjustRightInd w:val="0"/>
      <w:spacing w:after="255"/>
    </w:pPr>
    <w:rPr>
      <w:rFonts w:eastAsia="MS Mincho"/>
    </w:rPr>
  </w:style>
  <w:style w:type="character" w:customStyle="1" w:styleId="btiCarCar">
    <w:name w:val="bti Car Car"/>
    <w:uiPriority w:val="99"/>
    <w:semiHidden/>
    <w:locked/>
    <w:rsid w:val="00453222"/>
    <w:rPr>
      <w:rFonts w:ascii="Garamond" w:hAnsi="Garamond"/>
      <w:sz w:val="24"/>
      <w:lang w:val="en-GB" w:eastAsia="es-ES"/>
    </w:rPr>
  </w:style>
  <w:style w:type="paragraph" w:customStyle="1" w:styleId="Prrafodelista2">
    <w:name w:val="Párrafo de lista2"/>
    <w:basedOn w:val="Normal"/>
    <w:uiPriority w:val="99"/>
    <w:rsid w:val="00453222"/>
    <w:pPr>
      <w:widowControl w:val="0"/>
      <w:autoSpaceDE w:val="0"/>
      <w:autoSpaceDN w:val="0"/>
      <w:adjustRightInd w:val="0"/>
      <w:ind w:left="708"/>
    </w:pPr>
    <w:rPr>
      <w:rFonts w:ascii="Garamond" w:hAnsi="Garamond" w:cs="Garamond"/>
      <w:lang w:val="es-AR"/>
    </w:rPr>
  </w:style>
  <w:style w:type="table" w:styleId="Tablabsica2">
    <w:name w:val="Table Simple 2"/>
    <w:basedOn w:val="Tablanormal"/>
    <w:uiPriority w:val="99"/>
    <w:locked/>
    <w:rsid w:val="00453222"/>
    <w:pPr>
      <w:widowControl w:val="0"/>
      <w:autoSpaceDE w:val="0"/>
      <w:autoSpaceDN w:val="0"/>
      <w:adjustRightInd w:val="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ListParagraph2">
    <w:name w:val="List Paragraph2"/>
    <w:basedOn w:val="Normal"/>
    <w:qFormat/>
    <w:rsid w:val="00453222"/>
    <w:pPr>
      <w:widowControl w:val="0"/>
      <w:ind w:left="708"/>
    </w:pPr>
    <w:rPr>
      <w:rFonts w:ascii="Courier New" w:hAnsi="Courier New"/>
      <w:szCs w:val="20"/>
      <w:lang w:val="en-US"/>
    </w:rPr>
  </w:style>
  <w:style w:type="paragraph" w:customStyle="1" w:styleId="s6-107444">
    <w:name w:val="s6-107444"/>
    <w:basedOn w:val="Normal"/>
    <w:uiPriority w:val="99"/>
    <w:rsid w:val="00453222"/>
    <w:rPr>
      <w:color w:val="333333"/>
      <w:sz w:val="20"/>
      <w:szCs w:val="20"/>
      <w:lang w:val="es-AR" w:eastAsia="es-AR"/>
    </w:rPr>
  </w:style>
  <w:style w:type="paragraph" w:customStyle="1" w:styleId="s1-107444">
    <w:name w:val="s1-107444"/>
    <w:basedOn w:val="Normal"/>
    <w:uiPriority w:val="99"/>
    <w:rsid w:val="00453222"/>
    <w:rPr>
      <w:color w:val="333333"/>
      <w:sz w:val="20"/>
      <w:szCs w:val="20"/>
      <w:lang w:val="es-AR" w:eastAsia="es-AR"/>
    </w:rPr>
  </w:style>
  <w:style w:type="paragraph" w:customStyle="1" w:styleId="s2-107444">
    <w:name w:val="s2-107444"/>
    <w:basedOn w:val="Normal"/>
    <w:uiPriority w:val="99"/>
    <w:rsid w:val="00453222"/>
    <w:rPr>
      <w:color w:val="333333"/>
      <w:sz w:val="20"/>
      <w:szCs w:val="20"/>
      <w:lang w:val="es-AR" w:eastAsia="es-AR"/>
    </w:rPr>
  </w:style>
  <w:style w:type="paragraph" w:customStyle="1" w:styleId="s3-107444">
    <w:name w:val="s3-107444"/>
    <w:basedOn w:val="Normal"/>
    <w:uiPriority w:val="99"/>
    <w:rsid w:val="00453222"/>
    <w:rPr>
      <w:color w:val="333333"/>
      <w:sz w:val="20"/>
      <w:szCs w:val="20"/>
      <w:lang w:val="es-AR" w:eastAsia="es-AR"/>
    </w:rPr>
  </w:style>
  <w:style w:type="paragraph" w:customStyle="1" w:styleId="s10-107444">
    <w:name w:val="s10-107444"/>
    <w:basedOn w:val="Normal"/>
    <w:uiPriority w:val="99"/>
    <w:rsid w:val="00453222"/>
    <w:rPr>
      <w:color w:val="333333"/>
      <w:sz w:val="20"/>
      <w:szCs w:val="20"/>
      <w:lang w:val="es-AR" w:eastAsia="es-AR"/>
    </w:rPr>
  </w:style>
  <w:style w:type="paragraph" w:customStyle="1" w:styleId="s4-wptoptable1">
    <w:name w:val="s4-wptoptable1"/>
    <w:basedOn w:val="Normal"/>
    <w:uiPriority w:val="99"/>
    <w:rsid w:val="00453222"/>
    <w:pPr>
      <w:spacing w:before="100" w:beforeAutospacing="1" w:after="100" w:afterAutospacing="1"/>
    </w:pPr>
    <w:rPr>
      <w:lang w:val="es-AR" w:eastAsia="es-AR"/>
    </w:rPr>
  </w:style>
  <w:style w:type="paragraph" w:customStyle="1" w:styleId="ms-rteelement-p1">
    <w:name w:val="ms-rteelement-p1"/>
    <w:basedOn w:val="Normal"/>
    <w:uiPriority w:val="99"/>
    <w:rsid w:val="00453222"/>
    <w:pPr>
      <w:spacing w:after="225"/>
    </w:pPr>
    <w:rPr>
      <w:rFonts w:ascii="Lato" w:hAnsi="Lato"/>
      <w:color w:val="7A7A7A"/>
      <w:lang w:val="es-AR" w:eastAsia="es-AR"/>
    </w:rPr>
  </w:style>
  <w:style w:type="character" w:customStyle="1" w:styleId="CarCar131">
    <w:name w:val="Car Car131"/>
    <w:uiPriority w:val="99"/>
    <w:rsid w:val="00453222"/>
    <w:rPr>
      <w:sz w:val="24"/>
      <w:lang w:val="es-AR"/>
    </w:rPr>
  </w:style>
  <w:style w:type="character" w:customStyle="1" w:styleId="Table8pt0">
    <w:name w:val="Table 8 pt"/>
    <w:uiPriority w:val="1"/>
    <w:qFormat/>
    <w:rsid w:val="00453222"/>
    <w:rPr>
      <w:b w:val="0"/>
      <w:sz w:val="16"/>
    </w:rPr>
  </w:style>
  <w:style w:type="character" w:customStyle="1" w:styleId="BHTextoCar">
    <w:name w:val="BH Texto Car"/>
    <w:link w:val="BHTexto"/>
    <w:rsid w:val="00453222"/>
    <w:rPr>
      <w:rFonts w:eastAsia="Calibri"/>
      <w:lang w:val="en-US"/>
    </w:rPr>
  </w:style>
  <w:style w:type="paragraph" w:customStyle="1" w:styleId="BH4Cursiva">
    <w:name w:val="BH4 Cursiva"/>
    <w:basedOn w:val="Normal"/>
    <w:link w:val="BH4CursivaCar"/>
    <w:qFormat/>
    <w:rsid w:val="00453222"/>
    <w:pPr>
      <w:keepNext/>
      <w:autoSpaceDE w:val="0"/>
      <w:autoSpaceDN w:val="0"/>
      <w:adjustRightInd w:val="0"/>
      <w:spacing w:before="240" w:after="240"/>
      <w:jc w:val="both"/>
      <w:outlineLvl w:val="3"/>
    </w:pPr>
    <w:rPr>
      <w:rFonts w:eastAsia="Calibri"/>
      <w:b/>
      <w:i/>
      <w:sz w:val="20"/>
      <w:szCs w:val="20"/>
      <w:lang w:val="en-US" w:eastAsia="es-AR"/>
    </w:rPr>
  </w:style>
  <w:style w:type="character" w:customStyle="1" w:styleId="BH4CursivaCar">
    <w:name w:val="BH4 Cursiva Car"/>
    <w:link w:val="BH4Cursiva"/>
    <w:rsid w:val="00453222"/>
    <w:rPr>
      <w:rFonts w:eastAsia="Calibri"/>
      <w:b/>
      <w:i/>
      <w:lang w:val="en-US"/>
    </w:rPr>
  </w:style>
  <w:style w:type="paragraph" w:customStyle="1" w:styleId="NormalWeb0">
    <w:name w:val="Normal(Web)"/>
    <w:basedOn w:val="Normal"/>
    <w:uiPriority w:val="99"/>
    <w:rsid w:val="00376D6C"/>
    <w:pPr>
      <w:widowControl w:val="0"/>
      <w:autoSpaceDE w:val="0"/>
      <w:autoSpaceDN w:val="0"/>
      <w:adjustRightInd w:val="0"/>
    </w:pPr>
    <w:rPr>
      <w:noProof/>
      <w:sz w:val="20"/>
      <w:szCs w:val="20"/>
      <w:lang w:val="es-AR" w:eastAsia="es-AR"/>
    </w:rPr>
  </w:style>
  <w:style w:type="character" w:customStyle="1" w:styleId="TableLastRow">
    <w:name w:val="TableLastRow"/>
    <w:hidden/>
    <w:uiPriority w:val="99"/>
    <w:rsid w:val="00376D6C"/>
    <w:rPr>
      <w:rFonts w:ascii="Times New Roman" w:hAnsi="Times New Roman" w:cs="Times New Roman"/>
      <w:noProof/>
      <w:color w:val="808080"/>
      <w:sz w:val="20"/>
      <w:szCs w:val="20"/>
    </w:rPr>
  </w:style>
  <w:style w:type="character" w:customStyle="1" w:styleId="NormaljustificadoCar">
    <w:name w:val="Normal + justificado Car"/>
    <w:rsid w:val="00376D6C"/>
    <w:rPr>
      <w:rFonts w:ascii="Times New Roman" w:hAnsi="Times New Roman" w:cs="Times New Roman"/>
      <w:noProof/>
      <w:sz w:val="20"/>
      <w:szCs w:val="20"/>
    </w:rPr>
  </w:style>
  <w:style w:type="paragraph" w:customStyle="1" w:styleId="Normaljustificado">
    <w:name w:val="Normal + justificado"/>
    <w:basedOn w:val="Normal"/>
    <w:rsid w:val="00376D6C"/>
    <w:pPr>
      <w:widowControl w:val="0"/>
      <w:autoSpaceDE w:val="0"/>
      <w:autoSpaceDN w:val="0"/>
      <w:adjustRightInd w:val="0"/>
      <w:spacing w:line="220" w:lineRule="exact"/>
      <w:ind w:right="15"/>
      <w:jc w:val="both"/>
    </w:pPr>
    <w:rPr>
      <w:noProof/>
      <w:lang w:val="es-AR" w:eastAsia="es-AR"/>
    </w:rPr>
  </w:style>
  <w:style w:type="paragraph" w:customStyle="1" w:styleId="1Level-ablock">
    <w:name w:val="1Level-(a)block"/>
    <w:basedOn w:val="BodyUSOC"/>
    <w:rsid w:val="00376D6C"/>
    <w:pPr>
      <w:widowControl/>
      <w:numPr>
        <w:numId w:val="47"/>
      </w:numPr>
      <w:tabs>
        <w:tab w:val="clear" w:pos="432"/>
        <w:tab w:val="num" w:pos="360"/>
      </w:tabs>
      <w:autoSpaceDE/>
      <w:autoSpaceDN/>
      <w:adjustRightInd/>
      <w:ind w:left="0" w:firstLine="431"/>
      <w:outlineLvl w:val="0"/>
    </w:pPr>
    <w:rPr>
      <w:szCs w:val="21"/>
      <w:lang w:val="ja-JP" w:eastAsia="es-AR"/>
    </w:rPr>
  </w:style>
  <w:style w:type="paragraph" w:customStyle="1" w:styleId="3Level-ablock0">
    <w:name w:val="3Level-(a)block"/>
    <w:basedOn w:val="BodyUSOC"/>
    <w:rsid w:val="00376D6C"/>
    <w:pPr>
      <w:widowControl/>
      <w:numPr>
        <w:ilvl w:val="2"/>
        <w:numId w:val="46"/>
      </w:numPr>
      <w:tabs>
        <w:tab w:val="clear" w:pos="1296"/>
        <w:tab w:val="num" w:pos="360"/>
      </w:tabs>
      <w:autoSpaceDE/>
      <w:autoSpaceDN/>
      <w:adjustRightInd/>
      <w:ind w:left="0" w:firstLine="431"/>
      <w:outlineLvl w:val="2"/>
    </w:pPr>
    <w:rPr>
      <w:szCs w:val="21"/>
      <w:lang w:val="ja-JP" w:eastAsia="es-AR"/>
    </w:rPr>
  </w:style>
  <w:style w:type="paragraph" w:customStyle="1" w:styleId="3Level-iblock">
    <w:name w:val="3Level-(i)block"/>
    <w:basedOn w:val="BodyUSOC"/>
    <w:rsid w:val="00376D6C"/>
    <w:pPr>
      <w:widowControl/>
      <w:numPr>
        <w:ilvl w:val="2"/>
        <w:numId w:val="49"/>
      </w:numPr>
      <w:tabs>
        <w:tab w:val="clear" w:pos="1296"/>
        <w:tab w:val="num" w:pos="360"/>
      </w:tabs>
      <w:autoSpaceDE/>
      <w:autoSpaceDN/>
      <w:adjustRightInd/>
      <w:ind w:left="0" w:firstLine="431"/>
      <w:outlineLvl w:val="2"/>
    </w:pPr>
    <w:rPr>
      <w:szCs w:val="21"/>
      <w:lang w:val="ja-JP" w:eastAsia="es-AR"/>
    </w:rPr>
  </w:style>
  <w:style w:type="paragraph" w:customStyle="1" w:styleId="3Level-Ablock">
    <w:name w:val="3Level-(A)block"/>
    <w:basedOn w:val="BodyUSOC"/>
    <w:rsid w:val="00376D6C"/>
    <w:pPr>
      <w:widowControl/>
      <w:numPr>
        <w:ilvl w:val="2"/>
        <w:numId w:val="48"/>
      </w:numPr>
      <w:tabs>
        <w:tab w:val="clear" w:pos="1296"/>
        <w:tab w:val="num" w:pos="360"/>
      </w:tabs>
      <w:autoSpaceDE/>
      <w:autoSpaceDN/>
      <w:adjustRightInd/>
      <w:ind w:left="0" w:firstLine="431"/>
      <w:outlineLvl w:val="2"/>
    </w:pPr>
    <w:rPr>
      <w:szCs w:val="21"/>
      <w:lang w:val="ja-JP" w:eastAsia="es-AR"/>
    </w:rPr>
  </w:style>
  <w:style w:type="paragraph" w:customStyle="1" w:styleId="Normal10">
    <w:name w:val="Normal 1"/>
    <w:next w:val="Normal"/>
    <w:rsid w:val="00376D6C"/>
    <w:pPr>
      <w:widowControl w:val="0"/>
      <w:autoSpaceDE w:val="0"/>
      <w:autoSpaceDN w:val="0"/>
      <w:adjustRightInd w:val="0"/>
    </w:pPr>
    <w:rPr>
      <w:noProof/>
      <w:lang w:val="es-AR" w:eastAsia="es-AR"/>
    </w:rPr>
  </w:style>
  <w:style w:type="character" w:customStyle="1" w:styleId="BodyText2SglChar1">
    <w:name w:val="Body Text 2 Sgl Char1"/>
    <w:link w:val="BodyText2Sgl"/>
    <w:uiPriority w:val="99"/>
    <w:rsid w:val="001E019F"/>
    <w:rPr>
      <w:rFonts w:ascii="Arial" w:eastAsia="SimSun" w:hAnsi="Arial"/>
      <w:sz w:val="24"/>
      <w:szCs w:val="24"/>
      <w:lang w:eastAsia="zh-TW"/>
    </w:rPr>
  </w:style>
  <w:style w:type="character" w:customStyle="1" w:styleId="PrrafodelistaCar">
    <w:name w:val="Párrafo de lista Car"/>
    <w:aliases w:val="Rainbow Car"/>
    <w:link w:val="Prrafodelista"/>
    <w:uiPriority w:val="99"/>
    <w:locked/>
    <w:rsid w:val="001E019F"/>
    <w:rPr>
      <w:sz w:val="24"/>
      <w:szCs w:val="24"/>
      <w:lang w:val="es-AR" w:eastAsia="es-ES"/>
    </w:rPr>
  </w:style>
  <w:style w:type="character" w:customStyle="1" w:styleId="Mencinsinresolver2">
    <w:name w:val="Mención sin resolver2"/>
    <w:basedOn w:val="Fuentedeprrafopredeter"/>
    <w:uiPriority w:val="99"/>
    <w:rsid w:val="00520959"/>
    <w:rPr>
      <w:color w:val="605E5C"/>
      <w:shd w:val="clear" w:color="auto" w:fill="E1DFDD"/>
    </w:rPr>
  </w:style>
  <w:style w:type="character" w:customStyle="1" w:styleId="Mencinsinresolver3">
    <w:name w:val="Mención sin resolver3"/>
    <w:basedOn w:val="Fuentedeprrafopredeter"/>
    <w:uiPriority w:val="99"/>
    <w:semiHidden/>
    <w:unhideWhenUsed/>
    <w:rsid w:val="00595465"/>
    <w:rPr>
      <w:color w:val="605E5C"/>
      <w:shd w:val="clear" w:color="auto" w:fill="E1DFDD"/>
    </w:rPr>
  </w:style>
  <w:style w:type="numbering" w:customStyle="1" w:styleId="Sinlista2">
    <w:name w:val="Sin lista2"/>
    <w:next w:val="Sinlista"/>
    <w:uiPriority w:val="99"/>
    <w:semiHidden/>
    <w:unhideWhenUsed/>
    <w:rsid w:val="0010523F"/>
  </w:style>
  <w:style w:type="paragraph" w:customStyle="1" w:styleId="cinco">
    <w:name w:val="cinco"/>
    <w:basedOn w:val="Normal"/>
    <w:rsid w:val="0010523F"/>
    <w:pPr>
      <w:spacing w:line="100" w:lineRule="exact"/>
    </w:pPr>
    <w:rPr>
      <w:rFonts w:ascii="Times" w:hAnsi="Times"/>
      <w:szCs w:val="20"/>
      <w:lang w:val="es-AR" w:eastAsia="en-US"/>
    </w:rPr>
  </w:style>
  <w:style w:type="paragraph" w:customStyle="1" w:styleId="Lilianita">
    <w:name w:val="Lilianita"/>
    <w:basedOn w:val="Normal"/>
    <w:rsid w:val="0010523F"/>
    <w:pPr>
      <w:spacing w:line="220" w:lineRule="exact"/>
      <w:jc w:val="both"/>
    </w:pPr>
    <w:rPr>
      <w:rFonts w:ascii="Times" w:hAnsi="Times"/>
      <w:sz w:val="20"/>
      <w:szCs w:val="20"/>
      <w:lang w:eastAsia="en-US"/>
    </w:rPr>
  </w:style>
  <w:style w:type="paragraph" w:customStyle="1" w:styleId="KPMG">
    <w:name w:val="KPMG"/>
    <w:basedOn w:val="Normal"/>
    <w:rsid w:val="0010523F"/>
    <w:pPr>
      <w:jc w:val="both"/>
    </w:pPr>
    <w:rPr>
      <w:rFonts w:ascii="New York" w:hAnsi="New York"/>
      <w:szCs w:val="20"/>
      <w:lang w:val="es-AR" w:eastAsia="en-US"/>
    </w:rPr>
  </w:style>
  <w:style w:type="paragraph" w:customStyle="1" w:styleId="AddressBlock">
    <w:name w:val="Address Block"/>
    <w:basedOn w:val="Normal"/>
    <w:rsid w:val="0010523F"/>
    <w:pPr>
      <w:overflowPunct w:val="0"/>
      <w:autoSpaceDE w:val="0"/>
      <w:autoSpaceDN w:val="0"/>
      <w:adjustRightInd w:val="0"/>
      <w:spacing w:line="260" w:lineRule="exact"/>
      <w:textAlignment w:val="baseline"/>
    </w:pPr>
    <w:rPr>
      <w:rFonts w:ascii="Times" w:hAnsi="Times"/>
      <w:noProof/>
      <w:sz w:val="22"/>
      <w:szCs w:val="20"/>
      <w:lang w:val="en-US" w:eastAsia="en-US"/>
    </w:rPr>
  </w:style>
  <w:style w:type="paragraph" w:customStyle="1" w:styleId="Textoindependiente21">
    <w:name w:val="Texto independiente 21"/>
    <w:basedOn w:val="Normal"/>
    <w:rsid w:val="0010523F"/>
    <w:pPr>
      <w:widowControl w:val="0"/>
      <w:jc w:val="both"/>
    </w:pPr>
    <w:rPr>
      <w:sz w:val="22"/>
      <w:szCs w:val="20"/>
      <w:lang w:val="es-ES" w:eastAsia="en-US"/>
    </w:rPr>
  </w:style>
  <w:style w:type="paragraph" w:customStyle="1" w:styleId="CM74">
    <w:name w:val="CM74"/>
    <w:basedOn w:val="Normal"/>
    <w:next w:val="Normal"/>
    <w:rsid w:val="0010523F"/>
    <w:pPr>
      <w:widowControl w:val="0"/>
      <w:autoSpaceDE w:val="0"/>
      <w:autoSpaceDN w:val="0"/>
      <w:adjustRightInd w:val="0"/>
    </w:pPr>
    <w:rPr>
      <w:lang w:val="es-ES"/>
    </w:rPr>
  </w:style>
  <w:style w:type="paragraph" w:customStyle="1" w:styleId="CM84">
    <w:name w:val="CM84"/>
    <w:basedOn w:val="Normal"/>
    <w:next w:val="Normal"/>
    <w:rsid w:val="0010523F"/>
    <w:pPr>
      <w:widowControl w:val="0"/>
      <w:autoSpaceDE w:val="0"/>
      <w:autoSpaceDN w:val="0"/>
      <w:adjustRightInd w:val="0"/>
    </w:pPr>
    <w:rPr>
      <w:lang w:val="es-ES"/>
    </w:rPr>
  </w:style>
  <w:style w:type="paragraph" w:customStyle="1" w:styleId="CM85">
    <w:name w:val="CM85"/>
    <w:basedOn w:val="Default"/>
    <w:next w:val="Default"/>
    <w:rsid w:val="0010523F"/>
    <w:pPr>
      <w:widowControl w:val="0"/>
    </w:pPr>
    <w:rPr>
      <w:color w:val="auto"/>
    </w:rPr>
  </w:style>
  <w:style w:type="paragraph" w:customStyle="1" w:styleId="CM29">
    <w:name w:val="CM29"/>
    <w:basedOn w:val="Default"/>
    <w:next w:val="Default"/>
    <w:rsid w:val="0010523F"/>
    <w:pPr>
      <w:widowControl w:val="0"/>
      <w:spacing w:line="256" w:lineRule="atLeast"/>
    </w:pPr>
    <w:rPr>
      <w:color w:val="auto"/>
    </w:rPr>
  </w:style>
  <w:style w:type="paragraph" w:customStyle="1" w:styleId="CM32">
    <w:name w:val="CM32"/>
    <w:basedOn w:val="Default"/>
    <w:next w:val="Default"/>
    <w:rsid w:val="0010523F"/>
    <w:pPr>
      <w:widowControl w:val="0"/>
      <w:spacing w:line="253" w:lineRule="atLeast"/>
    </w:pPr>
    <w:rPr>
      <w:color w:val="auto"/>
    </w:rPr>
  </w:style>
  <w:style w:type="paragraph" w:customStyle="1" w:styleId="bulleta">
    <w:name w:val="bullet a)"/>
    <w:basedOn w:val="Normal"/>
    <w:rsid w:val="0010523F"/>
    <w:pPr>
      <w:tabs>
        <w:tab w:val="left" w:pos="2127"/>
      </w:tabs>
      <w:spacing w:line="12" w:lineRule="atLeast"/>
      <w:ind w:left="1135" w:hanging="360"/>
      <w:jc w:val="both"/>
    </w:pPr>
    <w:rPr>
      <w:rFonts w:ascii="Book Antiqua" w:hAnsi="Book Antiqua"/>
      <w:sz w:val="20"/>
      <w:szCs w:val="20"/>
      <w:lang w:val="es-AR" w:eastAsia="en-US"/>
    </w:rPr>
  </w:style>
  <w:style w:type="paragraph" w:customStyle="1" w:styleId="Ttulonota">
    <w:name w:val="Título nota"/>
    <w:basedOn w:val="Normal"/>
    <w:rsid w:val="0010523F"/>
    <w:pPr>
      <w:jc w:val="both"/>
    </w:pPr>
    <w:rPr>
      <w:rFonts w:ascii="Book Antiqua" w:hAnsi="Book Antiqua"/>
      <w:b/>
      <w:sz w:val="22"/>
      <w:szCs w:val="20"/>
      <w:lang w:val="es-AR" w:eastAsia="en-US"/>
    </w:rPr>
  </w:style>
  <w:style w:type="paragraph" w:customStyle="1" w:styleId="NOTAStituloi">
    <w:name w:val="NOTAStituloi"/>
    <w:basedOn w:val="Normal"/>
    <w:rsid w:val="0010523F"/>
    <w:pPr>
      <w:tabs>
        <w:tab w:val="left" w:pos="284"/>
      </w:tabs>
      <w:spacing w:line="12" w:lineRule="atLeast"/>
      <w:jc w:val="both"/>
    </w:pPr>
    <w:rPr>
      <w:rFonts w:ascii="Book Antiqua" w:hAnsi="Book Antiqua"/>
      <w:i/>
      <w:sz w:val="20"/>
      <w:szCs w:val="20"/>
      <w:lang w:val="es-AR" w:eastAsia="en-US"/>
    </w:rPr>
  </w:style>
  <w:style w:type="paragraph" w:customStyle="1" w:styleId="textonota">
    <w:name w:val="textonota"/>
    <w:basedOn w:val="Normal"/>
    <w:rsid w:val="0010523F"/>
    <w:pPr>
      <w:spacing w:before="100" w:beforeAutospacing="1" w:after="100" w:afterAutospacing="1"/>
    </w:pPr>
    <w:rPr>
      <w:rFonts w:eastAsia="Calibri"/>
      <w:lang w:val="en-US" w:eastAsia="en-US"/>
    </w:rPr>
  </w:style>
  <w:style w:type="paragraph" w:customStyle="1" w:styleId="listparagraph">
    <w:name w:val="listparagraph"/>
    <w:basedOn w:val="Normal"/>
    <w:rsid w:val="0010523F"/>
    <w:pPr>
      <w:spacing w:before="100" w:beforeAutospacing="1" w:after="100" w:afterAutospacing="1"/>
    </w:pPr>
    <w:rPr>
      <w:rFonts w:eastAsia="Calibri"/>
      <w:lang w:val="en-US" w:eastAsia="en-US"/>
    </w:rPr>
  </w:style>
  <w:style w:type="paragraph" w:customStyle="1" w:styleId="BodyText">
    <w:name w:val="_Body Text"/>
    <w:basedOn w:val="Normal"/>
    <w:qFormat/>
    <w:rsid w:val="0010523F"/>
    <w:pPr>
      <w:spacing w:after="280" w:line="288" w:lineRule="atLeast"/>
    </w:pPr>
    <w:rPr>
      <w:rFonts w:ascii="Arial" w:eastAsia="Calibri" w:hAnsi="Arial"/>
      <w:color w:val="000000"/>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17171633">
      <w:bodyDiv w:val="1"/>
      <w:marLeft w:val="0"/>
      <w:marRight w:val="0"/>
      <w:marTop w:val="0"/>
      <w:marBottom w:val="0"/>
      <w:divBdr>
        <w:top w:val="none" w:sz="0" w:space="0" w:color="auto"/>
        <w:left w:val="none" w:sz="0" w:space="0" w:color="auto"/>
        <w:bottom w:val="none" w:sz="0" w:space="0" w:color="auto"/>
        <w:right w:val="none" w:sz="0" w:space="0" w:color="auto"/>
      </w:divBdr>
    </w:div>
    <w:div w:id="22174903">
      <w:bodyDiv w:val="1"/>
      <w:marLeft w:val="0"/>
      <w:marRight w:val="0"/>
      <w:marTop w:val="0"/>
      <w:marBottom w:val="0"/>
      <w:divBdr>
        <w:top w:val="none" w:sz="0" w:space="0" w:color="auto"/>
        <w:left w:val="none" w:sz="0" w:space="0" w:color="auto"/>
        <w:bottom w:val="none" w:sz="0" w:space="0" w:color="auto"/>
        <w:right w:val="none" w:sz="0" w:space="0" w:color="auto"/>
      </w:divBdr>
    </w:div>
    <w:div w:id="22370853">
      <w:bodyDiv w:val="1"/>
      <w:marLeft w:val="0"/>
      <w:marRight w:val="0"/>
      <w:marTop w:val="0"/>
      <w:marBottom w:val="0"/>
      <w:divBdr>
        <w:top w:val="none" w:sz="0" w:space="0" w:color="auto"/>
        <w:left w:val="none" w:sz="0" w:space="0" w:color="auto"/>
        <w:bottom w:val="none" w:sz="0" w:space="0" w:color="auto"/>
        <w:right w:val="none" w:sz="0" w:space="0" w:color="auto"/>
      </w:divBdr>
    </w:div>
    <w:div w:id="27032219">
      <w:bodyDiv w:val="1"/>
      <w:marLeft w:val="0"/>
      <w:marRight w:val="0"/>
      <w:marTop w:val="0"/>
      <w:marBottom w:val="0"/>
      <w:divBdr>
        <w:top w:val="none" w:sz="0" w:space="0" w:color="auto"/>
        <w:left w:val="none" w:sz="0" w:space="0" w:color="auto"/>
        <w:bottom w:val="none" w:sz="0" w:space="0" w:color="auto"/>
        <w:right w:val="none" w:sz="0" w:space="0" w:color="auto"/>
      </w:divBdr>
    </w:div>
    <w:div w:id="34670379">
      <w:bodyDiv w:val="1"/>
      <w:marLeft w:val="0"/>
      <w:marRight w:val="0"/>
      <w:marTop w:val="0"/>
      <w:marBottom w:val="0"/>
      <w:divBdr>
        <w:top w:val="none" w:sz="0" w:space="0" w:color="auto"/>
        <w:left w:val="none" w:sz="0" w:space="0" w:color="auto"/>
        <w:bottom w:val="none" w:sz="0" w:space="0" w:color="auto"/>
        <w:right w:val="none" w:sz="0" w:space="0" w:color="auto"/>
      </w:divBdr>
      <w:divsChild>
        <w:div w:id="176310948">
          <w:marLeft w:val="0"/>
          <w:marRight w:val="0"/>
          <w:marTop w:val="0"/>
          <w:marBottom w:val="0"/>
          <w:divBdr>
            <w:top w:val="none" w:sz="0" w:space="0" w:color="auto"/>
            <w:left w:val="none" w:sz="0" w:space="0" w:color="auto"/>
            <w:bottom w:val="none" w:sz="0" w:space="0" w:color="auto"/>
            <w:right w:val="none" w:sz="0" w:space="0" w:color="auto"/>
          </w:divBdr>
          <w:divsChild>
            <w:div w:id="2094667321">
              <w:marLeft w:val="0"/>
              <w:marRight w:val="0"/>
              <w:marTop w:val="0"/>
              <w:marBottom w:val="0"/>
              <w:divBdr>
                <w:top w:val="none" w:sz="0" w:space="0" w:color="auto"/>
                <w:left w:val="none" w:sz="0" w:space="0" w:color="auto"/>
                <w:bottom w:val="none" w:sz="0" w:space="0" w:color="auto"/>
                <w:right w:val="none" w:sz="0" w:space="0" w:color="auto"/>
              </w:divBdr>
              <w:divsChild>
                <w:div w:id="12767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6627">
      <w:bodyDiv w:val="1"/>
      <w:marLeft w:val="0"/>
      <w:marRight w:val="0"/>
      <w:marTop w:val="0"/>
      <w:marBottom w:val="0"/>
      <w:divBdr>
        <w:top w:val="none" w:sz="0" w:space="0" w:color="auto"/>
        <w:left w:val="none" w:sz="0" w:space="0" w:color="auto"/>
        <w:bottom w:val="none" w:sz="0" w:space="0" w:color="auto"/>
        <w:right w:val="none" w:sz="0" w:space="0" w:color="auto"/>
      </w:divBdr>
    </w:div>
    <w:div w:id="61804082">
      <w:bodyDiv w:val="1"/>
      <w:marLeft w:val="0"/>
      <w:marRight w:val="0"/>
      <w:marTop w:val="0"/>
      <w:marBottom w:val="0"/>
      <w:divBdr>
        <w:top w:val="none" w:sz="0" w:space="0" w:color="auto"/>
        <w:left w:val="none" w:sz="0" w:space="0" w:color="auto"/>
        <w:bottom w:val="none" w:sz="0" w:space="0" w:color="auto"/>
        <w:right w:val="none" w:sz="0" w:space="0" w:color="auto"/>
      </w:divBdr>
      <w:divsChild>
        <w:div w:id="1217739033">
          <w:marLeft w:val="0"/>
          <w:marRight w:val="0"/>
          <w:marTop w:val="0"/>
          <w:marBottom w:val="0"/>
          <w:divBdr>
            <w:top w:val="none" w:sz="0" w:space="0" w:color="auto"/>
            <w:left w:val="none" w:sz="0" w:space="0" w:color="auto"/>
            <w:bottom w:val="none" w:sz="0" w:space="0" w:color="auto"/>
            <w:right w:val="none" w:sz="0" w:space="0" w:color="auto"/>
          </w:divBdr>
          <w:divsChild>
            <w:div w:id="1422071114">
              <w:marLeft w:val="0"/>
              <w:marRight w:val="60"/>
              <w:marTop w:val="0"/>
              <w:marBottom w:val="0"/>
              <w:divBdr>
                <w:top w:val="none" w:sz="0" w:space="0" w:color="auto"/>
                <w:left w:val="none" w:sz="0" w:space="0" w:color="auto"/>
                <w:bottom w:val="none" w:sz="0" w:space="0" w:color="auto"/>
                <w:right w:val="none" w:sz="0" w:space="0" w:color="auto"/>
              </w:divBdr>
              <w:divsChild>
                <w:div w:id="631405856">
                  <w:marLeft w:val="0"/>
                  <w:marRight w:val="0"/>
                  <w:marTop w:val="0"/>
                  <w:marBottom w:val="120"/>
                  <w:divBdr>
                    <w:top w:val="single" w:sz="6" w:space="0" w:color="A0A0A0"/>
                    <w:left w:val="single" w:sz="6" w:space="0" w:color="B9B9B9"/>
                    <w:bottom w:val="single" w:sz="6" w:space="0" w:color="B9B9B9"/>
                    <w:right w:val="single" w:sz="6" w:space="0" w:color="B9B9B9"/>
                  </w:divBdr>
                  <w:divsChild>
                    <w:div w:id="700128804">
                      <w:marLeft w:val="0"/>
                      <w:marRight w:val="0"/>
                      <w:marTop w:val="0"/>
                      <w:marBottom w:val="0"/>
                      <w:divBdr>
                        <w:top w:val="none" w:sz="0" w:space="0" w:color="auto"/>
                        <w:left w:val="none" w:sz="0" w:space="0" w:color="auto"/>
                        <w:bottom w:val="none" w:sz="0" w:space="0" w:color="auto"/>
                        <w:right w:val="none" w:sz="0" w:space="0" w:color="auto"/>
                      </w:divBdr>
                      <w:divsChild>
                        <w:div w:id="1837375428">
                          <w:marLeft w:val="0"/>
                          <w:marRight w:val="0"/>
                          <w:marTop w:val="0"/>
                          <w:marBottom w:val="0"/>
                          <w:divBdr>
                            <w:top w:val="none" w:sz="0" w:space="0" w:color="auto"/>
                            <w:left w:val="none" w:sz="0" w:space="0" w:color="auto"/>
                            <w:bottom w:val="none" w:sz="0" w:space="0" w:color="auto"/>
                            <w:right w:val="none" w:sz="0" w:space="0" w:color="auto"/>
                          </w:divBdr>
                          <w:divsChild>
                            <w:div w:id="1875732887">
                              <w:marLeft w:val="0"/>
                              <w:marRight w:val="0"/>
                              <w:marTop w:val="0"/>
                              <w:marBottom w:val="0"/>
                              <w:divBdr>
                                <w:top w:val="none" w:sz="0" w:space="0" w:color="auto"/>
                                <w:left w:val="none" w:sz="0" w:space="0" w:color="auto"/>
                                <w:bottom w:val="none" w:sz="0" w:space="0" w:color="auto"/>
                                <w:right w:val="none" w:sz="0" w:space="0" w:color="auto"/>
                              </w:divBdr>
                              <w:divsChild>
                                <w:div w:id="2467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04289">
          <w:marLeft w:val="0"/>
          <w:marRight w:val="0"/>
          <w:marTop w:val="0"/>
          <w:marBottom w:val="0"/>
          <w:divBdr>
            <w:top w:val="none" w:sz="0" w:space="0" w:color="auto"/>
            <w:left w:val="none" w:sz="0" w:space="0" w:color="auto"/>
            <w:bottom w:val="none" w:sz="0" w:space="0" w:color="auto"/>
            <w:right w:val="none" w:sz="0" w:space="0" w:color="auto"/>
          </w:divBdr>
          <w:divsChild>
            <w:div w:id="1626111908">
              <w:marLeft w:val="60"/>
              <w:marRight w:val="0"/>
              <w:marTop w:val="0"/>
              <w:marBottom w:val="0"/>
              <w:divBdr>
                <w:top w:val="none" w:sz="0" w:space="0" w:color="auto"/>
                <w:left w:val="none" w:sz="0" w:space="0" w:color="auto"/>
                <w:bottom w:val="none" w:sz="0" w:space="0" w:color="auto"/>
                <w:right w:val="none" w:sz="0" w:space="0" w:color="auto"/>
              </w:divBdr>
              <w:divsChild>
                <w:div w:id="488909709">
                  <w:marLeft w:val="0"/>
                  <w:marRight w:val="0"/>
                  <w:marTop w:val="0"/>
                  <w:marBottom w:val="0"/>
                  <w:divBdr>
                    <w:top w:val="none" w:sz="0" w:space="0" w:color="auto"/>
                    <w:left w:val="none" w:sz="0" w:space="0" w:color="auto"/>
                    <w:bottom w:val="none" w:sz="0" w:space="0" w:color="auto"/>
                    <w:right w:val="none" w:sz="0" w:space="0" w:color="auto"/>
                  </w:divBdr>
                  <w:divsChild>
                    <w:div w:id="1920939669">
                      <w:marLeft w:val="0"/>
                      <w:marRight w:val="0"/>
                      <w:marTop w:val="0"/>
                      <w:marBottom w:val="120"/>
                      <w:divBdr>
                        <w:top w:val="single" w:sz="6" w:space="0" w:color="F5F5F5"/>
                        <w:left w:val="single" w:sz="6" w:space="0" w:color="F5F5F5"/>
                        <w:bottom w:val="single" w:sz="6" w:space="0" w:color="F5F5F5"/>
                        <w:right w:val="single" w:sz="6" w:space="0" w:color="F5F5F5"/>
                      </w:divBdr>
                      <w:divsChild>
                        <w:div w:id="116873428">
                          <w:marLeft w:val="0"/>
                          <w:marRight w:val="0"/>
                          <w:marTop w:val="0"/>
                          <w:marBottom w:val="0"/>
                          <w:divBdr>
                            <w:top w:val="none" w:sz="0" w:space="0" w:color="auto"/>
                            <w:left w:val="none" w:sz="0" w:space="0" w:color="auto"/>
                            <w:bottom w:val="none" w:sz="0" w:space="0" w:color="auto"/>
                            <w:right w:val="none" w:sz="0" w:space="0" w:color="auto"/>
                          </w:divBdr>
                          <w:divsChild>
                            <w:div w:id="21435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64713">
      <w:bodyDiv w:val="1"/>
      <w:marLeft w:val="0"/>
      <w:marRight w:val="0"/>
      <w:marTop w:val="0"/>
      <w:marBottom w:val="0"/>
      <w:divBdr>
        <w:top w:val="none" w:sz="0" w:space="0" w:color="auto"/>
        <w:left w:val="none" w:sz="0" w:space="0" w:color="auto"/>
        <w:bottom w:val="none" w:sz="0" w:space="0" w:color="auto"/>
        <w:right w:val="none" w:sz="0" w:space="0" w:color="auto"/>
      </w:divBdr>
    </w:div>
    <w:div w:id="74329748">
      <w:bodyDiv w:val="1"/>
      <w:marLeft w:val="0"/>
      <w:marRight w:val="0"/>
      <w:marTop w:val="0"/>
      <w:marBottom w:val="0"/>
      <w:divBdr>
        <w:top w:val="none" w:sz="0" w:space="0" w:color="auto"/>
        <w:left w:val="none" w:sz="0" w:space="0" w:color="auto"/>
        <w:bottom w:val="none" w:sz="0" w:space="0" w:color="auto"/>
        <w:right w:val="none" w:sz="0" w:space="0" w:color="auto"/>
      </w:divBdr>
    </w:div>
    <w:div w:id="96217694">
      <w:bodyDiv w:val="1"/>
      <w:marLeft w:val="0"/>
      <w:marRight w:val="0"/>
      <w:marTop w:val="0"/>
      <w:marBottom w:val="0"/>
      <w:divBdr>
        <w:top w:val="none" w:sz="0" w:space="0" w:color="auto"/>
        <w:left w:val="none" w:sz="0" w:space="0" w:color="auto"/>
        <w:bottom w:val="none" w:sz="0" w:space="0" w:color="auto"/>
        <w:right w:val="none" w:sz="0" w:space="0" w:color="auto"/>
      </w:divBdr>
    </w:div>
    <w:div w:id="133522466">
      <w:bodyDiv w:val="1"/>
      <w:marLeft w:val="0"/>
      <w:marRight w:val="0"/>
      <w:marTop w:val="0"/>
      <w:marBottom w:val="0"/>
      <w:divBdr>
        <w:top w:val="none" w:sz="0" w:space="0" w:color="auto"/>
        <w:left w:val="none" w:sz="0" w:space="0" w:color="auto"/>
        <w:bottom w:val="none" w:sz="0" w:space="0" w:color="auto"/>
        <w:right w:val="none" w:sz="0" w:space="0" w:color="auto"/>
      </w:divBdr>
    </w:div>
    <w:div w:id="151221726">
      <w:bodyDiv w:val="1"/>
      <w:marLeft w:val="0"/>
      <w:marRight w:val="0"/>
      <w:marTop w:val="0"/>
      <w:marBottom w:val="0"/>
      <w:divBdr>
        <w:top w:val="none" w:sz="0" w:space="0" w:color="auto"/>
        <w:left w:val="none" w:sz="0" w:space="0" w:color="auto"/>
        <w:bottom w:val="none" w:sz="0" w:space="0" w:color="auto"/>
        <w:right w:val="none" w:sz="0" w:space="0" w:color="auto"/>
      </w:divBdr>
    </w:div>
    <w:div w:id="167209190">
      <w:bodyDiv w:val="1"/>
      <w:marLeft w:val="0"/>
      <w:marRight w:val="0"/>
      <w:marTop w:val="0"/>
      <w:marBottom w:val="0"/>
      <w:divBdr>
        <w:top w:val="none" w:sz="0" w:space="0" w:color="auto"/>
        <w:left w:val="none" w:sz="0" w:space="0" w:color="auto"/>
        <w:bottom w:val="none" w:sz="0" w:space="0" w:color="auto"/>
        <w:right w:val="none" w:sz="0" w:space="0" w:color="auto"/>
      </w:divBdr>
    </w:div>
    <w:div w:id="184709792">
      <w:bodyDiv w:val="1"/>
      <w:marLeft w:val="0"/>
      <w:marRight w:val="0"/>
      <w:marTop w:val="0"/>
      <w:marBottom w:val="0"/>
      <w:divBdr>
        <w:top w:val="none" w:sz="0" w:space="0" w:color="auto"/>
        <w:left w:val="none" w:sz="0" w:space="0" w:color="auto"/>
        <w:bottom w:val="none" w:sz="0" w:space="0" w:color="auto"/>
        <w:right w:val="none" w:sz="0" w:space="0" w:color="auto"/>
      </w:divBdr>
    </w:div>
    <w:div w:id="185028136">
      <w:bodyDiv w:val="1"/>
      <w:marLeft w:val="0"/>
      <w:marRight w:val="0"/>
      <w:marTop w:val="0"/>
      <w:marBottom w:val="0"/>
      <w:divBdr>
        <w:top w:val="none" w:sz="0" w:space="0" w:color="auto"/>
        <w:left w:val="none" w:sz="0" w:space="0" w:color="auto"/>
        <w:bottom w:val="none" w:sz="0" w:space="0" w:color="auto"/>
        <w:right w:val="none" w:sz="0" w:space="0" w:color="auto"/>
      </w:divBdr>
    </w:div>
    <w:div w:id="305090899">
      <w:bodyDiv w:val="1"/>
      <w:marLeft w:val="0"/>
      <w:marRight w:val="0"/>
      <w:marTop w:val="0"/>
      <w:marBottom w:val="0"/>
      <w:divBdr>
        <w:top w:val="none" w:sz="0" w:space="0" w:color="auto"/>
        <w:left w:val="none" w:sz="0" w:space="0" w:color="auto"/>
        <w:bottom w:val="none" w:sz="0" w:space="0" w:color="auto"/>
        <w:right w:val="none" w:sz="0" w:space="0" w:color="auto"/>
      </w:divBdr>
    </w:div>
    <w:div w:id="321350436">
      <w:bodyDiv w:val="1"/>
      <w:marLeft w:val="0"/>
      <w:marRight w:val="0"/>
      <w:marTop w:val="0"/>
      <w:marBottom w:val="0"/>
      <w:divBdr>
        <w:top w:val="none" w:sz="0" w:space="0" w:color="auto"/>
        <w:left w:val="none" w:sz="0" w:space="0" w:color="auto"/>
        <w:bottom w:val="none" w:sz="0" w:space="0" w:color="auto"/>
        <w:right w:val="none" w:sz="0" w:space="0" w:color="auto"/>
      </w:divBdr>
    </w:div>
    <w:div w:id="326322308">
      <w:bodyDiv w:val="1"/>
      <w:marLeft w:val="0"/>
      <w:marRight w:val="0"/>
      <w:marTop w:val="0"/>
      <w:marBottom w:val="0"/>
      <w:divBdr>
        <w:top w:val="none" w:sz="0" w:space="0" w:color="auto"/>
        <w:left w:val="none" w:sz="0" w:space="0" w:color="auto"/>
        <w:bottom w:val="none" w:sz="0" w:space="0" w:color="auto"/>
        <w:right w:val="none" w:sz="0" w:space="0" w:color="auto"/>
      </w:divBdr>
    </w:div>
    <w:div w:id="336348285">
      <w:bodyDiv w:val="1"/>
      <w:marLeft w:val="0"/>
      <w:marRight w:val="0"/>
      <w:marTop w:val="0"/>
      <w:marBottom w:val="0"/>
      <w:divBdr>
        <w:top w:val="none" w:sz="0" w:space="0" w:color="auto"/>
        <w:left w:val="none" w:sz="0" w:space="0" w:color="auto"/>
        <w:bottom w:val="none" w:sz="0" w:space="0" w:color="auto"/>
        <w:right w:val="none" w:sz="0" w:space="0" w:color="auto"/>
      </w:divBdr>
    </w:div>
    <w:div w:id="339890297">
      <w:bodyDiv w:val="1"/>
      <w:marLeft w:val="0"/>
      <w:marRight w:val="0"/>
      <w:marTop w:val="0"/>
      <w:marBottom w:val="0"/>
      <w:divBdr>
        <w:top w:val="none" w:sz="0" w:space="0" w:color="auto"/>
        <w:left w:val="none" w:sz="0" w:space="0" w:color="auto"/>
        <w:bottom w:val="none" w:sz="0" w:space="0" w:color="auto"/>
        <w:right w:val="none" w:sz="0" w:space="0" w:color="auto"/>
      </w:divBdr>
    </w:div>
    <w:div w:id="344863576">
      <w:bodyDiv w:val="1"/>
      <w:marLeft w:val="0"/>
      <w:marRight w:val="0"/>
      <w:marTop w:val="0"/>
      <w:marBottom w:val="0"/>
      <w:divBdr>
        <w:top w:val="none" w:sz="0" w:space="0" w:color="auto"/>
        <w:left w:val="none" w:sz="0" w:space="0" w:color="auto"/>
        <w:bottom w:val="none" w:sz="0" w:space="0" w:color="auto"/>
        <w:right w:val="none" w:sz="0" w:space="0" w:color="auto"/>
      </w:divBdr>
    </w:div>
    <w:div w:id="365763945">
      <w:bodyDiv w:val="1"/>
      <w:marLeft w:val="0"/>
      <w:marRight w:val="0"/>
      <w:marTop w:val="0"/>
      <w:marBottom w:val="0"/>
      <w:divBdr>
        <w:top w:val="none" w:sz="0" w:space="0" w:color="auto"/>
        <w:left w:val="none" w:sz="0" w:space="0" w:color="auto"/>
        <w:bottom w:val="none" w:sz="0" w:space="0" w:color="auto"/>
        <w:right w:val="none" w:sz="0" w:space="0" w:color="auto"/>
      </w:divBdr>
    </w:div>
    <w:div w:id="370157392">
      <w:bodyDiv w:val="1"/>
      <w:marLeft w:val="0"/>
      <w:marRight w:val="0"/>
      <w:marTop w:val="0"/>
      <w:marBottom w:val="0"/>
      <w:divBdr>
        <w:top w:val="none" w:sz="0" w:space="0" w:color="auto"/>
        <w:left w:val="none" w:sz="0" w:space="0" w:color="auto"/>
        <w:bottom w:val="none" w:sz="0" w:space="0" w:color="auto"/>
        <w:right w:val="none" w:sz="0" w:space="0" w:color="auto"/>
      </w:divBdr>
      <w:divsChild>
        <w:div w:id="1355182502">
          <w:marLeft w:val="0"/>
          <w:marRight w:val="0"/>
          <w:marTop w:val="0"/>
          <w:marBottom w:val="0"/>
          <w:divBdr>
            <w:top w:val="none" w:sz="0" w:space="0" w:color="auto"/>
            <w:left w:val="none" w:sz="0" w:space="0" w:color="auto"/>
            <w:bottom w:val="none" w:sz="0" w:space="0" w:color="auto"/>
            <w:right w:val="none" w:sz="0" w:space="0" w:color="auto"/>
          </w:divBdr>
          <w:divsChild>
            <w:div w:id="1028336969">
              <w:marLeft w:val="0"/>
              <w:marRight w:val="60"/>
              <w:marTop w:val="0"/>
              <w:marBottom w:val="0"/>
              <w:divBdr>
                <w:top w:val="none" w:sz="0" w:space="0" w:color="auto"/>
                <w:left w:val="none" w:sz="0" w:space="0" w:color="auto"/>
                <w:bottom w:val="none" w:sz="0" w:space="0" w:color="auto"/>
                <w:right w:val="none" w:sz="0" w:space="0" w:color="auto"/>
              </w:divBdr>
              <w:divsChild>
                <w:div w:id="1872377004">
                  <w:marLeft w:val="0"/>
                  <w:marRight w:val="0"/>
                  <w:marTop w:val="0"/>
                  <w:marBottom w:val="120"/>
                  <w:divBdr>
                    <w:top w:val="single" w:sz="6" w:space="0" w:color="C0C0C0"/>
                    <w:left w:val="single" w:sz="6" w:space="0" w:color="D9D9D9"/>
                    <w:bottom w:val="single" w:sz="6" w:space="0" w:color="D9D9D9"/>
                    <w:right w:val="single" w:sz="6" w:space="0" w:color="D9D9D9"/>
                  </w:divBdr>
                  <w:divsChild>
                    <w:div w:id="1072772949">
                      <w:marLeft w:val="0"/>
                      <w:marRight w:val="0"/>
                      <w:marTop w:val="0"/>
                      <w:marBottom w:val="0"/>
                      <w:divBdr>
                        <w:top w:val="none" w:sz="0" w:space="0" w:color="auto"/>
                        <w:left w:val="none" w:sz="0" w:space="0" w:color="auto"/>
                        <w:bottom w:val="none" w:sz="0" w:space="0" w:color="auto"/>
                        <w:right w:val="none" w:sz="0" w:space="0" w:color="auto"/>
                      </w:divBdr>
                      <w:divsChild>
                        <w:div w:id="39481837">
                          <w:marLeft w:val="0"/>
                          <w:marRight w:val="0"/>
                          <w:marTop w:val="0"/>
                          <w:marBottom w:val="0"/>
                          <w:divBdr>
                            <w:top w:val="none" w:sz="0" w:space="0" w:color="auto"/>
                            <w:left w:val="none" w:sz="0" w:space="0" w:color="auto"/>
                            <w:bottom w:val="none" w:sz="0" w:space="0" w:color="auto"/>
                            <w:right w:val="none" w:sz="0" w:space="0" w:color="auto"/>
                          </w:divBdr>
                          <w:divsChild>
                            <w:div w:id="880482259">
                              <w:marLeft w:val="0"/>
                              <w:marRight w:val="0"/>
                              <w:marTop w:val="0"/>
                              <w:marBottom w:val="0"/>
                              <w:divBdr>
                                <w:top w:val="none" w:sz="0" w:space="0" w:color="auto"/>
                                <w:left w:val="none" w:sz="0" w:space="0" w:color="auto"/>
                                <w:bottom w:val="none" w:sz="0" w:space="0" w:color="auto"/>
                                <w:right w:val="none" w:sz="0" w:space="0" w:color="auto"/>
                              </w:divBdr>
                              <w:divsChild>
                                <w:div w:id="10121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5852">
          <w:marLeft w:val="0"/>
          <w:marRight w:val="0"/>
          <w:marTop w:val="0"/>
          <w:marBottom w:val="0"/>
          <w:divBdr>
            <w:top w:val="none" w:sz="0" w:space="0" w:color="auto"/>
            <w:left w:val="none" w:sz="0" w:space="0" w:color="auto"/>
            <w:bottom w:val="none" w:sz="0" w:space="0" w:color="auto"/>
            <w:right w:val="none" w:sz="0" w:space="0" w:color="auto"/>
          </w:divBdr>
          <w:divsChild>
            <w:div w:id="329143791">
              <w:marLeft w:val="60"/>
              <w:marRight w:val="0"/>
              <w:marTop w:val="0"/>
              <w:marBottom w:val="0"/>
              <w:divBdr>
                <w:top w:val="none" w:sz="0" w:space="0" w:color="auto"/>
                <w:left w:val="none" w:sz="0" w:space="0" w:color="auto"/>
                <w:bottom w:val="none" w:sz="0" w:space="0" w:color="auto"/>
                <w:right w:val="none" w:sz="0" w:space="0" w:color="auto"/>
              </w:divBdr>
              <w:divsChild>
                <w:div w:id="2104455183">
                  <w:marLeft w:val="0"/>
                  <w:marRight w:val="0"/>
                  <w:marTop w:val="0"/>
                  <w:marBottom w:val="0"/>
                  <w:divBdr>
                    <w:top w:val="none" w:sz="0" w:space="0" w:color="auto"/>
                    <w:left w:val="none" w:sz="0" w:space="0" w:color="auto"/>
                    <w:bottom w:val="none" w:sz="0" w:space="0" w:color="auto"/>
                    <w:right w:val="none" w:sz="0" w:space="0" w:color="auto"/>
                  </w:divBdr>
                  <w:divsChild>
                    <w:div w:id="425419149">
                      <w:marLeft w:val="0"/>
                      <w:marRight w:val="0"/>
                      <w:marTop w:val="0"/>
                      <w:marBottom w:val="120"/>
                      <w:divBdr>
                        <w:top w:val="single" w:sz="6" w:space="0" w:color="F5F5F5"/>
                        <w:left w:val="single" w:sz="6" w:space="0" w:color="F5F5F5"/>
                        <w:bottom w:val="single" w:sz="6" w:space="0" w:color="F5F5F5"/>
                        <w:right w:val="single" w:sz="6" w:space="0" w:color="F5F5F5"/>
                      </w:divBdr>
                      <w:divsChild>
                        <w:div w:id="1347364761">
                          <w:marLeft w:val="0"/>
                          <w:marRight w:val="0"/>
                          <w:marTop w:val="0"/>
                          <w:marBottom w:val="0"/>
                          <w:divBdr>
                            <w:top w:val="none" w:sz="0" w:space="0" w:color="auto"/>
                            <w:left w:val="none" w:sz="0" w:space="0" w:color="auto"/>
                            <w:bottom w:val="none" w:sz="0" w:space="0" w:color="auto"/>
                            <w:right w:val="none" w:sz="0" w:space="0" w:color="auto"/>
                          </w:divBdr>
                          <w:divsChild>
                            <w:div w:id="466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965787">
      <w:bodyDiv w:val="1"/>
      <w:marLeft w:val="0"/>
      <w:marRight w:val="0"/>
      <w:marTop w:val="0"/>
      <w:marBottom w:val="0"/>
      <w:divBdr>
        <w:top w:val="none" w:sz="0" w:space="0" w:color="auto"/>
        <w:left w:val="none" w:sz="0" w:space="0" w:color="auto"/>
        <w:bottom w:val="none" w:sz="0" w:space="0" w:color="auto"/>
        <w:right w:val="none" w:sz="0" w:space="0" w:color="auto"/>
      </w:divBdr>
    </w:div>
    <w:div w:id="398090839">
      <w:bodyDiv w:val="1"/>
      <w:marLeft w:val="0"/>
      <w:marRight w:val="0"/>
      <w:marTop w:val="0"/>
      <w:marBottom w:val="0"/>
      <w:divBdr>
        <w:top w:val="none" w:sz="0" w:space="0" w:color="auto"/>
        <w:left w:val="none" w:sz="0" w:space="0" w:color="auto"/>
        <w:bottom w:val="none" w:sz="0" w:space="0" w:color="auto"/>
        <w:right w:val="none" w:sz="0" w:space="0" w:color="auto"/>
      </w:divBdr>
    </w:div>
    <w:div w:id="404231205">
      <w:bodyDiv w:val="1"/>
      <w:marLeft w:val="0"/>
      <w:marRight w:val="0"/>
      <w:marTop w:val="0"/>
      <w:marBottom w:val="0"/>
      <w:divBdr>
        <w:top w:val="none" w:sz="0" w:space="0" w:color="auto"/>
        <w:left w:val="none" w:sz="0" w:space="0" w:color="auto"/>
        <w:bottom w:val="none" w:sz="0" w:space="0" w:color="auto"/>
        <w:right w:val="none" w:sz="0" w:space="0" w:color="auto"/>
      </w:divBdr>
      <w:divsChild>
        <w:div w:id="1077940903">
          <w:marLeft w:val="0"/>
          <w:marRight w:val="0"/>
          <w:marTop w:val="0"/>
          <w:marBottom w:val="0"/>
          <w:divBdr>
            <w:top w:val="none" w:sz="0" w:space="0" w:color="auto"/>
            <w:left w:val="none" w:sz="0" w:space="0" w:color="auto"/>
            <w:bottom w:val="none" w:sz="0" w:space="0" w:color="auto"/>
            <w:right w:val="none" w:sz="0" w:space="0" w:color="auto"/>
          </w:divBdr>
          <w:divsChild>
            <w:div w:id="1697080535">
              <w:marLeft w:val="0"/>
              <w:marRight w:val="0"/>
              <w:marTop w:val="0"/>
              <w:marBottom w:val="0"/>
              <w:divBdr>
                <w:top w:val="none" w:sz="0" w:space="0" w:color="auto"/>
                <w:left w:val="none" w:sz="0" w:space="0" w:color="auto"/>
                <w:bottom w:val="none" w:sz="0" w:space="0" w:color="auto"/>
                <w:right w:val="none" w:sz="0" w:space="0" w:color="auto"/>
              </w:divBdr>
              <w:divsChild>
                <w:div w:id="1057782832">
                  <w:marLeft w:val="0"/>
                  <w:marRight w:val="0"/>
                  <w:marTop w:val="0"/>
                  <w:marBottom w:val="0"/>
                  <w:divBdr>
                    <w:top w:val="none" w:sz="0" w:space="0" w:color="auto"/>
                    <w:left w:val="none" w:sz="0" w:space="0" w:color="auto"/>
                    <w:bottom w:val="none" w:sz="0" w:space="0" w:color="auto"/>
                    <w:right w:val="none" w:sz="0" w:space="0" w:color="auto"/>
                  </w:divBdr>
                  <w:divsChild>
                    <w:div w:id="1094977114">
                      <w:marLeft w:val="0"/>
                      <w:marRight w:val="0"/>
                      <w:marTop w:val="0"/>
                      <w:marBottom w:val="0"/>
                      <w:divBdr>
                        <w:top w:val="none" w:sz="0" w:space="0" w:color="auto"/>
                        <w:left w:val="none" w:sz="0" w:space="0" w:color="auto"/>
                        <w:bottom w:val="none" w:sz="0" w:space="0" w:color="auto"/>
                        <w:right w:val="none" w:sz="0" w:space="0" w:color="auto"/>
                      </w:divBdr>
                      <w:divsChild>
                        <w:div w:id="1163815678">
                          <w:marLeft w:val="0"/>
                          <w:marRight w:val="0"/>
                          <w:marTop w:val="0"/>
                          <w:marBottom w:val="0"/>
                          <w:divBdr>
                            <w:top w:val="none" w:sz="0" w:space="0" w:color="auto"/>
                            <w:left w:val="none" w:sz="0" w:space="0" w:color="auto"/>
                            <w:bottom w:val="none" w:sz="0" w:space="0" w:color="auto"/>
                            <w:right w:val="none" w:sz="0" w:space="0" w:color="auto"/>
                          </w:divBdr>
                          <w:divsChild>
                            <w:div w:id="2059283901">
                              <w:marLeft w:val="0"/>
                              <w:marRight w:val="0"/>
                              <w:marTop w:val="0"/>
                              <w:marBottom w:val="0"/>
                              <w:divBdr>
                                <w:top w:val="none" w:sz="0" w:space="0" w:color="auto"/>
                                <w:left w:val="none" w:sz="0" w:space="0" w:color="auto"/>
                                <w:bottom w:val="none" w:sz="0" w:space="0" w:color="auto"/>
                                <w:right w:val="none" w:sz="0" w:space="0" w:color="auto"/>
                              </w:divBdr>
                              <w:divsChild>
                                <w:div w:id="1399522177">
                                  <w:marLeft w:val="0"/>
                                  <w:marRight w:val="0"/>
                                  <w:marTop w:val="0"/>
                                  <w:marBottom w:val="0"/>
                                  <w:divBdr>
                                    <w:top w:val="none" w:sz="0" w:space="0" w:color="auto"/>
                                    <w:left w:val="none" w:sz="0" w:space="0" w:color="auto"/>
                                    <w:bottom w:val="none" w:sz="0" w:space="0" w:color="auto"/>
                                    <w:right w:val="none" w:sz="0" w:space="0" w:color="auto"/>
                                  </w:divBdr>
                                  <w:divsChild>
                                    <w:div w:id="1105924436">
                                      <w:marLeft w:val="60"/>
                                      <w:marRight w:val="0"/>
                                      <w:marTop w:val="0"/>
                                      <w:marBottom w:val="0"/>
                                      <w:divBdr>
                                        <w:top w:val="none" w:sz="0" w:space="0" w:color="auto"/>
                                        <w:left w:val="none" w:sz="0" w:space="0" w:color="auto"/>
                                        <w:bottom w:val="none" w:sz="0" w:space="0" w:color="auto"/>
                                        <w:right w:val="none" w:sz="0" w:space="0" w:color="auto"/>
                                      </w:divBdr>
                                      <w:divsChild>
                                        <w:div w:id="1185098473">
                                          <w:marLeft w:val="0"/>
                                          <w:marRight w:val="0"/>
                                          <w:marTop w:val="0"/>
                                          <w:marBottom w:val="0"/>
                                          <w:divBdr>
                                            <w:top w:val="none" w:sz="0" w:space="0" w:color="auto"/>
                                            <w:left w:val="none" w:sz="0" w:space="0" w:color="auto"/>
                                            <w:bottom w:val="none" w:sz="0" w:space="0" w:color="auto"/>
                                            <w:right w:val="none" w:sz="0" w:space="0" w:color="auto"/>
                                          </w:divBdr>
                                          <w:divsChild>
                                            <w:div w:id="1364597410">
                                              <w:marLeft w:val="0"/>
                                              <w:marRight w:val="0"/>
                                              <w:marTop w:val="0"/>
                                              <w:marBottom w:val="120"/>
                                              <w:divBdr>
                                                <w:top w:val="single" w:sz="6" w:space="0" w:color="F5F5F5"/>
                                                <w:left w:val="single" w:sz="6" w:space="0" w:color="F5F5F5"/>
                                                <w:bottom w:val="single" w:sz="6" w:space="0" w:color="F5F5F5"/>
                                                <w:right w:val="single" w:sz="6" w:space="0" w:color="F5F5F5"/>
                                              </w:divBdr>
                                              <w:divsChild>
                                                <w:div w:id="1434547027">
                                                  <w:marLeft w:val="0"/>
                                                  <w:marRight w:val="0"/>
                                                  <w:marTop w:val="0"/>
                                                  <w:marBottom w:val="0"/>
                                                  <w:divBdr>
                                                    <w:top w:val="none" w:sz="0" w:space="0" w:color="auto"/>
                                                    <w:left w:val="none" w:sz="0" w:space="0" w:color="auto"/>
                                                    <w:bottom w:val="none" w:sz="0" w:space="0" w:color="auto"/>
                                                    <w:right w:val="none" w:sz="0" w:space="0" w:color="auto"/>
                                                  </w:divBdr>
                                                  <w:divsChild>
                                                    <w:div w:id="2502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185850">
      <w:bodyDiv w:val="1"/>
      <w:marLeft w:val="0"/>
      <w:marRight w:val="0"/>
      <w:marTop w:val="0"/>
      <w:marBottom w:val="0"/>
      <w:divBdr>
        <w:top w:val="none" w:sz="0" w:space="0" w:color="auto"/>
        <w:left w:val="none" w:sz="0" w:space="0" w:color="auto"/>
        <w:bottom w:val="none" w:sz="0" w:space="0" w:color="auto"/>
        <w:right w:val="none" w:sz="0" w:space="0" w:color="auto"/>
      </w:divBdr>
    </w:div>
    <w:div w:id="509494499">
      <w:bodyDiv w:val="1"/>
      <w:marLeft w:val="0"/>
      <w:marRight w:val="0"/>
      <w:marTop w:val="0"/>
      <w:marBottom w:val="0"/>
      <w:divBdr>
        <w:top w:val="none" w:sz="0" w:space="0" w:color="auto"/>
        <w:left w:val="none" w:sz="0" w:space="0" w:color="auto"/>
        <w:bottom w:val="none" w:sz="0" w:space="0" w:color="auto"/>
        <w:right w:val="none" w:sz="0" w:space="0" w:color="auto"/>
      </w:divBdr>
    </w:div>
    <w:div w:id="512038952">
      <w:bodyDiv w:val="1"/>
      <w:marLeft w:val="0"/>
      <w:marRight w:val="0"/>
      <w:marTop w:val="0"/>
      <w:marBottom w:val="0"/>
      <w:divBdr>
        <w:top w:val="none" w:sz="0" w:space="0" w:color="auto"/>
        <w:left w:val="none" w:sz="0" w:space="0" w:color="auto"/>
        <w:bottom w:val="none" w:sz="0" w:space="0" w:color="auto"/>
        <w:right w:val="none" w:sz="0" w:space="0" w:color="auto"/>
      </w:divBdr>
    </w:div>
    <w:div w:id="538014327">
      <w:bodyDiv w:val="1"/>
      <w:marLeft w:val="0"/>
      <w:marRight w:val="0"/>
      <w:marTop w:val="0"/>
      <w:marBottom w:val="0"/>
      <w:divBdr>
        <w:top w:val="none" w:sz="0" w:space="0" w:color="auto"/>
        <w:left w:val="none" w:sz="0" w:space="0" w:color="auto"/>
        <w:bottom w:val="none" w:sz="0" w:space="0" w:color="auto"/>
        <w:right w:val="none" w:sz="0" w:space="0" w:color="auto"/>
      </w:divBdr>
    </w:div>
    <w:div w:id="554701736">
      <w:bodyDiv w:val="1"/>
      <w:marLeft w:val="0"/>
      <w:marRight w:val="0"/>
      <w:marTop w:val="0"/>
      <w:marBottom w:val="0"/>
      <w:divBdr>
        <w:top w:val="none" w:sz="0" w:space="0" w:color="auto"/>
        <w:left w:val="none" w:sz="0" w:space="0" w:color="auto"/>
        <w:bottom w:val="none" w:sz="0" w:space="0" w:color="auto"/>
        <w:right w:val="none" w:sz="0" w:space="0" w:color="auto"/>
      </w:divBdr>
    </w:div>
    <w:div w:id="570232368">
      <w:bodyDiv w:val="1"/>
      <w:marLeft w:val="0"/>
      <w:marRight w:val="0"/>
      <w:marTop w:val="0"/>
      <w:marBottom w:val="0"/>
      <w:divBdr>
        <w:top w:val="none" w:sz="0" w:space="0" w:color="auto"/>
        <w:left w:val="none" w:sz="0" w:space="0" w:color="auto"/>
        <w:bottom w:val="none" w:sz="0" w:space="0" w:color="auto"/>
        <w:right w:val="none" w:sz="0" w:space="0" w:color="auto"/>
      </w:divBdr>
    </w:div>
    <w:div w:id="578290800">
      <w:bodyDiv w:val="1"/>
      <w:marLeft w:val="0"/>
      <w:marRight w:val="0"/>
      <w:marTop w:val="0"/>
      <w:marBottom w:val="0"/>
      <w:divBdr>
        <w:top w:val="none" w:sz="0" w:space="0" w:color="auto"/>
        <w:left w:val="none" w:sz="0" w:space="0" w:color="auto"/>
        <w:bottom w:val="none" w:sz="0" w:space="0" w:color="auto"/>
        <w:right w:val="none" w:sz="0" w:space="0" w:color="auto"/>
      </w:divBdr>
      <w:divsChild>
        <w:div w:id="245459142">
          <w:marLeft w:val="0"/>
          <w:marRight w:val="0"/>
          <w:marTop w:val="0"/>
          <w:marBottom w:val="0"/>
          <w:divBdr>
            <w:top w:val="none" w:sz="0" w:space="0" w:color="auto"/>
            <w:left w:val="none" w:sz="0" w:space="0" w:color="auto"/>
            <w:bottom w:val="none" w:sz="0" w:space="0" w:color="auto"/>
            <w:right w:val="none" w:sz="0" w:space="0" w:color="auto"/>
          </w:divBdr>
          <w:divsChild>
            <w:div w:id="1708145562">
              <w:marLeft w:val="0"/>
              <w:marRight w:val="0"/>
              <w:marTop w:val="0"/>
              <w:marBottom w:val="0"/>
              <w:divBdr>
                <w:top w:val="none" w:sz="0" w:space="0" w:color="auto"/>
                <w:left w:val="none" w:sz="0" w:space="0" w:color="auto"/>
                <w:bottom w:val="none" w:sz="0" w:space="0" w:color="auto"/>
                <w:right w:val="none" w:sz="0" w:space="0" w:color="auto"/>
              </w:divBdr>
              <w:divsChild>
                <w:div w:id="143935959">
                  <w:marLeft w:val="0"/>
                  <w:marRight w:val="0"/>
                  <w:marTop w:val="0"/>
                  <w:marBottom w:val="0"/>
                  <w:divBdr>
                    <w:top w:val="none" w:sz="0" w:space="0" w:color="auto"/>
                    <w:left w:val="none" w:sz="0" w:space="0" w:color="auto"/>
                    <w:bottom w:val="none" w:sz="0" w:space="0" w:color="auto"/>
                    <w:right w:val="none" w:sz="0" w:space="0" w:color="auto"/>
                  </w:divBdr>
                  <w:divsChild>
                    <w:div w:id="929660557">
                      <w:marLeft w:val="0"/>
                      <w:marRight w:val="0"/>
                      <w:marTop w:val="0"/>
                      <w:marBottom w:val="0"/>
                      <w:divBdr>
                        <w:top w:val="none" w:sz="0" w:space="0" w:color="auto"/>
                        <w:left w:val="none" w:sz="0" w:space="0" w:color="auto"/>
                        <w:bottom w:val="none" w:sz="0" w:space="0" w:color="auto"/>
                        <w:right w:val="none" w:sz="0" w:space="0" w:color="auto"/>
                      </w:divBdr>
                      <w:divsChild>
                        <w:div w:id="250312133">
                          <w:marLeft w:val="0"/>
                          <w:marRight w:val="0"/>
                          <w:marTop w:val="0"/>
                          <w:marBottom w:val="0"/>
                          <w:divBdr>
                            <w:top w:val="none" w:sz="0" w:space="0" w:color="auto"/>
                            <w:left w:val="none" w:sz="0" w:space="0" w:color="auto"/>
                            <w:bottom w:val="none" w:sz="0" w:space="0" w:color="auto"/>
                            <w:right w:val="none" w:sz="0" w:space="0" w:color="auto"/>
                          </w:divBdr>
                          <w:divsChild>
                            <w:div w:id="1094397822">
                              <w:marLeft w:val="0"/>
                              <w:marRight w:val="0"/>
                              <w:marTop w:val="0"/>
                              <w:marBottom w:val="0"/>
                              <w:divBdr>
                                <w:top w:val="none" w:sz="0" w:space="0" w:color="auto"/>
                                <w:left w:val="none" w:sz="0" w:space="0" w:color="auto"/>
                                <w:bottom w:val="none" w:sz="0" w:space="0" w:color="auto"/>
                                <w:right w:val="none" w:sz="0" w:space="0" w:color="auto"/>
                              </w:divBdr>
                              <w:divsChild>
                                <w:div w:id="1198354925">
                                  <w:marLeft w:val="0"/>
                                  <w:marRight w:val="0"/>
                                  <w:marTop w:val="0"/>
                                  <w:marBottom w:val="0"/>
                                  <w:divBdr>
                                    <w:top w:val="none" w:sz="0" w:space="0" w:color="auto"/>
                                    <w:left w:val="none" w:sz="0" w:space="0" w:color="auto"/>
                                    <w:bottom w:val="none" w:sz="0" w:space="0" w:color="auto"/>
                                    <w:right w:val="none" w:sz="0" w:space="0" w:color="auto"/>
                                  </w:divBdr>
                                  <w:divsChild>
                                    <w:div w:id="1037313682">
                                      <w:marLeft w:val="60"/>
                                      <w:marRight w:val="0"/>
                                      <w:marTop w:val="0"/>
                                      <w:marBottom w:val="0"/>
                                      <w:divBdr>
                                        <w:top w:val="none" w:sz="0" w:space="0" w:color="auto"/>
                                        <w:left w:val="none" w:sz="0" w:space="0" w:color="auto"/>
                                        <w:bottom w:val="none" w:sz="0" w:space="0" w:color="auto"/>
                                        <w:right w:val="none" w:sz="0" w:space="0" w:color="auto"/>
                                      </w:divBdr>
                                      <w:divsChild>
                                        <w:div w:id="1380204503">
                                          <w:marLeft w:val="0"/>
                                          <w:marRight w:val="0"/>
                                          <w:marTop w:val="0"/>
                                          <w:marBottom w:val="0"/>
                                          <w:divBdr>
                                            <w:top w:val="none" w:sz="0" w:space="0" w:color="auto"/>
                                            <w:left w:val="none" w:sz="0" w:space="0" w:color="auto"/>
                                            <w:bottom w:val="none" w:sz="0" w:space="0" w:color="auto"/>
                                            <w:right w:val="none" w:sz="0" w:space="0" w:color="auto"/>
                                          </w:divBdr>
                                          <w:divsChild>
                                            <w:div w:id="1760902210">
                                              <w:marLeft w:val="0"/>
                                              <w:marRight w:val="0"/>
                                              <w:marTop w:val="0"/>
                                              <w:marBottom w:val="120"/>
                                              <w:divBdr>
                                                <w:top w:val="single" w:sz="6" w:space="0" w:color="F5F5F5"/>
                                                <w:left w:val="single" w:sz="6" w:space="0" w:color="F5F5F5"/>
                                                <w:bottom w:val="single" w:sz="6" w:space="0" w:color="F5F5F5"/>
                                                <w:right w:val="single" w:sz="6" w:space="0" w:color="F5F5F5"/>
                                              </w:divBdr>
                                              <w:divsChild>
                                                <w:div w:id="664624070">
                                                  <w:marLeft w:val="0"/>
                                                  <w:marRight w:val="0"/>
                                                  <w:marTop w:val="0"/>
                                                  <w:marBottom w:val="0"/>
                                                  <w:divBdr>
                                                    <w:top w:val="none" w:sz="0" w:space="0" w:color="auto"/>
                                                    <w:left w:val="none" w:sz="0" w:space="0" w:color="auto"/>
                                                    <w:bottom w:val="none" w:sz="0" w:space="0" w:color="auto"/>
                                                    <w:right w:val="none" w:sz="0" w:space="0" w:color="auto"/>
                                                  </w:divBdr>
                                                  <w:divsChild>
                                                    <w:div w:id="14547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3199607">
      <w:bodyDiv w:val="1"/>
      <w:marLeft w:val="0"/>
      <w:marRight w:val="0"/>
      <w:marTop w:val="0"/>
      <w:marBottom w:val="0"/>
      <w:divBdr>
        <w:top w:val="none" w:sz="0" w:space="0" w:color="auto"/>
        <w:left w:val="none" w:sz="0" w:space="0" w:color="auto"/>
        <w:bottom w:val="none" w:sz="0" w:space="0" w:color="auto"/>
        <w:right w:val="none" w:sz="0" w:space="0" w:color="auto"/>
      </w:divBdr>
    </w:div>
    <w:div w:id="625892054">
      <w:bodyDiv w:val="1"/>
      <w:marLeft w:val="0"/>
      <w:marRight w:val="0"/>
      <w:marTop w:val="0"/>
      <w:marBottom w:val="0"/>
      <w:divBdr>
        <w:top w:val="none" w:sz="0" w:space="0" w:color="auto"/>
        <w:left w:val="none" w:sz="0" w:space="0" w:color="auto"/>
        <w:bottom w:val="none" w:sz="0" w:space="0" w:color="auto"/>
        <w:right w:val="none" w:sz="0" w:space="0" w:color="auto"/>
      </w:divBdr>
    </w:div>
    <w:div w:id="634720299">
      <w:bodyDiv w:val="1"/>
      <w:marLeft w:val="0"/>
      <w:marRight w:val="0"/>
      <w:marTop w:val="0"/>
      <w:marBottom w:val="0"/>
      <w:divBdr>
        <w:top w:val="none" w:sz="0" w:space="0" w:color="auto"/>
        <w:left w:val="none" w:sz="0" w:space="0" w:color="auto"/>
        <w:bottom w:val="none" w:sz="0" w:space="0" w:color="auto"/>
        <w:right w:val="none" w:sz="0" w:space="0" w:color="auto"/>
      </w:divBdr>
    </w:div>
    <w:div w:id="652030238">
      <w:bodyDiv w:val="1"/>
      <w:marLeft w:val="0"/>
      <w:marRight w:val="0"/>
      <w:marTop w:val="0"/>
      <w:marBottom w:val="0"/>
      <w:divBdr>
        <w:top w:val="none" w:sz="0" w:space="0" w:color="auto"/>
        <w:left w:val="none" w:sz="0" w:space="0" w:color="auto"/>
        <w:bottom w:val="none" w:sz="0" w:space="0" w:color="auto"/>
        <w:right w:val="none" w:sz="0" w:space="0" w:color="auto"/>
      </w:divBdr>
    </w:div>
    <w:div w:id="674723940">
      <w:bodyDiv w:val="1"/>
      <w:marLeft w:val="0"/>
      <w:marRight w:val="0"/>
      <w:marTop w:val="0"/>
      <w:marBottom w:val="0"/>
      <w:divBdr>
        <w:top w:val="none" w:sz="0" w:space="0" w:color="auto"/>
        <w:left w:val="none" w:sz="0" w:space="0" w:color="auto"/>
        <w:bottom w:val="none" w:sz="0" w:space="0" w:color="auto"/>
        <w:right w:val="none" w:sz="0" w:space="0" w:color="auto"/>
      </w:divBdr>
    </w:div>
    <w:div w:id="688141174">
      <w:bodyDiv w:val="1"/>
      <w:marLeft w:val="0"/>
      <w:marRight w:val="0"/>
      <w:marTop w:val="0"/>
      <w:marBottom w:val="0"/>
      <w:divBdr>
        <w:top w:val="none" w:sz="0" w:space="0" w:color="auto"/>
        <w:left w:val="none" w:sz="0" w:space="0" w:color="auto"/>
        <w:bottom w:val="none" w:sz="0" w:space="0" w:color="auto"/>
        <w:right w:val="none" w:sz="0" w:space="0" w:color="auto"/>
      </w:divBdr>
      <w:divsChild>
        <w:div w:id="130289169">
          <w:marLeft w:val="0"/>
          <w:marRight w:val="0"/>
          <w:marTop w:val="0"/>
          <w:marBottom w:val="0"/>
          <w:divBdr>
            <w:top w:val="none" w:sz="0" w:space="0" w:color="auto"/>
            <w:left w:val="none" w:sz="0" w:space="0" w:color="auto"/>
            <w:bottom w:val="none" w:sz="0" w:space="0" w:color="auto"/>
            <w:right w:val="none" w:sz="0" w:space="0" w:color="auto"/>
          </w:divBdr>
          <w:divsChild>
            <w:div w:id="1475948264">
              <w:marLeft w:val="0"/>
              <w:marRight w:val="0"/>
              <w:marTop w:val="0"/>
              <w:marBottom w:val="0"/>
              <w:divBdr>
                <w:top w:val="none" w:sz="0" w:space="0" w:color="auto"/>
                <w:left w:val="none" w:sz="0" w:space="0" w:color="auto"/>
                <w:bottom w:val="none" w:sz="0" w:space="0" w:color="auto"/>
                <w:right w:val="none" w:sz="0" w:space="0" w:color="auto"/>
              </w:divBdr>
              <w:divsChild>
                <w:div w:id="11369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2324">
      <w:bodyDiv w:val="1"/>
      <w:marLeft w:val="0"/>
      <w:marRight w:val="0"/>
      <w:marTop w:val="0"/>
      <w:marBottom w:val="0"/>
      <w:divBdr>
        <w:top w:val="none" w:sz="0" w:space="0" w:color="auto"/>
        <w:left w:val="none" w:sz="0" w:space="0" w:color="auto"/>
        <w:bottom w:val="none" w:sz="0" w:space="0" w:color="auto"/>
        <w:right w:val="none" w:sz="0" w:space="0" w:color="auto"/>
      </w:divBdr>
    </w:div>
    <w:div w:id="756945499">
      <w:bodyDiv w:val="1"/>
      <w:marLeft w:val="0"/>
      <w:marRight w:val="0"/>
      <w:marTop w:val="0"/>
      <w:marBottom w:val="0"/>
      <w:divBdr>
        <w:top w:val="none" w:sz="0" w:space="0" w:color="auto"/>
        <w:left w:val="none" w:sz="0" w:space="0" w:color="auto"/>
        <w:bottom w:val="none" w:sz="0" w:space="0" w:color="auto"/>
        <w:right w:val="none" w:sz="0" w:space="0" w:color="auto"/>
      </w:divBdr>
    </w:div>
    <w:div w:id="773475467">
      <w:bodyDiv w:val="1"/>
      <w:marLeft w:val="0"/>
      <w:marRight w:val="0"/>
      <w:marTop w:val="0"/>
      <w:marBottom w:val="0"/>
      <w:divBdr>
        <w:top w:val="none" w:sz="0" w:space="0" w:color="auto"/>
        <w:left w:val="none" w:sz="0" w:space="0" w:color="auto"/>
        <w:bottom w:val="none" w:sz="0" w:space="0" w:color="auto"/>
        <w:right w:val="none" w:sz="0" w:space="0" w:color="auto"/>
      </w:divBdr>
    </w:div>
    <w:div w:id="780995672">
      <w:bodyDiv w:val="1"/>
      <w:marLeft w:val="0"/>
      <w:marRight w:val="0"/>
      <w:marTop w:val="0"/>
      <w:marBottom w:val="0"/>
      <w:divBdr>
        <w:top w:val="none" w:sz="0" w:space="0" w:color="auto"/>
        <w:left w:val="none" w:sz="0" w:space="0" w:color="auto"/>
        <w:bottom w:val="none" w:sz="0" w:space="0" w:color="auto"/>
        <w:right w:val="none" w:sz="0" w:space="0" w:color="auto"/>
      </w:divBdr>
    </w:div>
    <w:div w:id="829836162">
      <w:bodyDiv w:val="1"/>
      <w:marLeft w:val="0"/>
      <w:marRight w:val="0"/>
      <w:marTop w:val="0"/>
      <w:marBottom w:val="0"/>
      <w:divBdr>
        <w:top w:val="none" w:sz="0" w:space="0" w:color="auto"/>
        <w:left w:val="none" w:sz="0" w:space="0" w:color="auto"/>
        <w:bottom w:val="none" w:sz="0" w:space="0" w:color="auto"/>
        <w:right w:val="none" w:sz="0" w:space="0" w:color="auto"/>
      </w:divBdr>
    </w:div>
    <w:div w:id="851142497">
      <w:bodyDiv w:val="1"/>
      <w:marLeft w:val="0"/>
      <w:marRight w:val="0"/>
      <w:marTop w:val="0"/>
      <w:marBottom w:val="0"/>
      <w:divBdr>
        <w:top w:val="none" w:sz="0" w:space="0" w:color="auto"/>
        <w:left w:val="none" w:sz="0" w:space="0" w:color="auto"/>
        <w:bottom w:val="none" w:sz="0" w:space="0" w:color="auto"/>
        <w:right w:val="none" w:sz="0" w:space="0" w:color="auto"/>
      </w:divBdr>
    </w:div>
    <w:div w:id="853884126">
      <w:bodyDiv w:val="1"/>
      <w:marLeft w:val="0"/>
      <w:marRight w:val="0"/>
      <w:marTop w:val="0"/>
      <w:marBottom w:val="0"/>
      <w:divBdr>
        <w:top w:val="none" w:sz="0" w:space="0" w:color="auto"/>
        <w:left w:val="none" w:sz="0" w:space="0" w:color="auto"/>
        <w:bottom w:val="none" w:sz="0" w:space="0" w:color="auto"/>
        <w:right w:val="none" w:sz="0" w:space="0" w:color="auto"/>
      </w:divBdr>
    </w:div>
    <w:div w:id="861698816">
      <w:bodyDiv w:val="1"/>
      <w:marLeft w:val="0"/>
      <w:marRight w:val="0"/>
      <w:marTop w:val="0"/>
      <w:marBottom w:val="0"/>
      <w:divBdr>
        <w:top w:val="none" w:sz="0" w:space="0" w:color="auto"/>
        <w:left w:val="none" w:sz="0" w:space="0" w:color="auto"/>
        <w:bottom w:val="none" w:sz="0" w:space="0" w:color="auto"/>
        <w:right w:val="none" w:sz="0" w:space="0" w:color="auto"/>
      </w:divBdr>
    </w:div>
    <w:div w:id="916859490">
      <w:bodyDiv w:val="1"/>
      <w:marLeft w:val="0"/>
      <w:marRight w:val="0"/>
      <w:marTop w:val="0"/>
      <w:marBottom w:val="0"/>
      <w:divBdr>
        <w:top w:val="none" w:sz="0" w:space="0" w:color="auto"/>
        <w:left w:val="none" w:sz="0" w:space="0" w:color="auto"/>
        <w:bottom w:val="none" w:sz="0" w:space="0" w:color="auto"/>
        <w:right w:val="none" w:sz="0" w:space="0" w:color="auto"/>
      </w:divBdr>
    </w:div>
    <w:div w:id="919605832">
      <w:bodyDiv w:val="1"/>
      <w:marLeft w:val="0"/>
      <w:marRight w:val="0"/>
      <w:marTop w:val="0"/>
      <w:marBottom w:val="0"/>
      <w:divBdr>
        <w:top w:val="none" w:sz="0" w:space="0" w:color="auto"/>
        <w:left w:val="none" w:sz="0" w:space="0" w:color="auto"/>
        <w:bottom w:val="none" w:sz="0" w:space="0" w:color="auto"/>
        <w:right w:val="none" w:sz="0" w:space="0" w:color="auto"/>
      </w:divBdr>
    </w:div>
    <w:div w:id="920525809">
      <w:bodyDiv w:val="1"/>
      <w:marLeft w:val="0"/>
      <w:marRight w:val="0"/>
      <w:marTop w:val="0"/>
      <w:marBottom w:val="0"/>
      <w:divBdr>
        <w:top w:val="none" w:sz="0" w:space="0" w:color="auto"/>
        <w:left w:val="none" w:sz="0" w:space="0" w:color="auto"/>
        <w:bottom w:val="none" w:sz="0" w:space="0" w:color="auto"/>
        <w:right w:val="none" w:sz="0" w:space="0" w:color="auto"/>
      </w:divBdr>
    </w:div>
    <w:div w:id="931356101">
      <w:bodyDiv w:val="1"/>
      <w:marLeft w:val="0"/>
      <w:marRight w:val="0"/>
      <w:marTop w:val="0"/>
      <w:marBottom w:val="0"/>
      <w:divBdr>
        <w:top w:val="none" w:sz="0" w:space="0" w:color="auto"/>
        <w:left w:val="none" w:sz="0" w:space="0" w:color="auto"/>
        <w:bottom w:val="none" w:sz="0" w:space="0" w:color="auto"/>
        <w:right w:val="none" w:sz="0" w:space="0" w:color="auto"/>
      </w:divBdr>
    </w:div>
    <w:div w:id="960110269">
      <w:bodyDiv w:val="1"/>
      <w:marLeft w:val="0"/>
      <w:marRight w:val="0"/>
      <w:marTop w:val="0"/>
      <w:marBottom w:val="0"/>
      <w:divBdr>
        <w:top w:val="none" w:sz="0" w:space="0" w:color="auto"/>
        <w:left w:val="none" w:sz="0" w:space="0" w:color="auto"/>
        <w:bottom w:val="none" w:sz="0" w:space="0" w:color="auto"/>
        <w:right w:val="none" w:sz="0" w:space="0" w:color="auto"/>
      </w:divBdr>
    </w:div>
    <w:div w:id="1025058908">
      <w:bodyDiv w:val="1"/>
      <w:marLeft w:val="0"/>
      <w:marRight w:val="0"/>
      <w:marTop w:val="0"/>
      <w:marBottom w:val="0"/>
      <w:divBdr>
        <w:top w:val="none" w:sz="0" w:space="0" w:color="auto"/>
        <w:left w:val="none" w:sz="0" w:space="0" w:color="auto"/>
        <w:bottom w:val="none" w:sz="0" w:space="0" w:color="auto"/>
        <w:right w:val="none" w:sz="0" w:space="0" w:color="auto"/>
      </w:divBdr>
    </w:div>
    <w:div w:id="1038702603">
      <w:bodyDiv w:val="1"/>
      <w:marLeft w:val="0"/>
      <w:marRight w:val="0"/>
      <w:marTop w:val="0"/>
      <w:marBottom w:val="0"/>
      <w:divBdr>
        <w:top w:val="none" w:sz="0" w:space="0" w:color="auto"/>
        <w:left w:val="none" w:sz="0" w:space="0" w:color="auto"/>
        <w:bottom w:val="none" w:sz="0" w:space="0" w:color="auto"/>
        <w:right w:val="none" w:sz="0" w:space="0" w:color="auto"/>
      </w:divBdr>
    </w:div>
    <w:div w:id="1051272832">
      <w:bodyDiv w:val="1"/>
      <w:marLeft w:val="0"/>
      <w:marRight w:val="0"/>
      <w:marTop w:val="0"/>
      <w:marBottom w:val="0"/>
      <w:divBdr>
        <w:top w:val="none" w:sz="0" w:space="0" w:color="auto"/>
        <w:left w:val="none" w:sz="0" w:space="0" w:color="auto"/>
        <w:bottom w:val="none" w:sz="0" w:space="0" w:color="auto"/>
        <w:right w:val="none" w:sz="0" w:space="0" w:color="auto"/>
      </w:divBdr>
    </w:div>
    <w:div w:id="1070468241">
      <w:bodyDiv w:val="1"/>
      <w:marLeft w:val="0"/>
      <w:marRight w:val="0"/>
      <w:marTop w:val="0"/>
      <w:marBottom w:val="0"/>
      <w:divBdr>
        <w:top w:val="none" w:sz="0" w:space="0" w:color="auto"/>
        <w:left w:val="none" w:sz="0" w:space="0" w:color="auto"/>
        <w:bottom w:val="none" w:sz="0" w:space="0" w:color="auto"/>
        <w:right w:val="none" w:sz="0" w:space="0" w:color="auto"/>
      </w:divBdr>
    </w:div>
    <w:div w:id="1084254862">
      <w:bodyDiv w:val="1"/>
      <w:marLeft w:val="0"/>
      <w:marRight w:val="0"/>
      <w:marTop w:val="0"/>
      <w:marBottom w:val="0"/>
      <w:divBdr>
        <w:top w:val="none" w:sz="0" w:space="0" w:color="auto"/>
        <w:left w:val="none" w:sz="0" w:space="0" w:color="auto"/>
        <w:bottom w:val="none" w:sz="0" w:space="0" w:color="auto"/>
        <w:right w:val="none" w:sz="0" w:space="0" w:color="auto"/>
      </w:divBdr>
    </w:div>
    <w:div w:id="1111051316">
      <w:bodyDiv w:val="1"/>
      <w:marLeft w:val="0"/>
      <w:marRight w:val="0"/>
      <w:marTop w:val="0"/>
      <w:marBottom w:val="0"/>
      <w:divBdr>
        <w:top w:val="none" w:sz="0" w:space="0" w:color="auto"/>
        <w:left w:val="none" w:sz="0" w:space="0" w:color="auto"/>
        <w:bottom w:val="none" w:sz="0" w:space="0" w:color="auto"/>
        <w:right w:val="none" w:sz="0" w:space="0" w:color="auto"/>
      </w:divBdr>
    </w:div>
    <w:div w:id="1111973597">
      <w:bodyDiv w:val="1"/>
      <w:marLeft w:val="0"/>
      <w:marRight w:val="0"/>
      <w:marTop w:val="0"/>
      <w:marBottom w:val="0"/>
      <w:divBdr>
        <w:top w:val="none" w:sz="0" w:space="0" w:color="auto"/>
        <w:left w:val="none" w:sz="0" w:space="0" w:color="auto"/>
        <w:bottom w:val="none" w:sz="0" w:space="0" w:color="auto"/>
        <w:right w:val="none" w:sz="0" w:space="0" w:color="auto"/>
      </w:divBdr>
    </w:div>
    <w:div w:id="1122504101">
      <w:bodyDiv w:val="1"/>
      <w:marLeft w:val="0"/>
      <w:marRight w:val="0"/>
      <w:marTop w:val="0"/>
      <w:marBottom w:val="0"/>
      <w:divBdr>
        <w:top w:val="none" w:sz="0" w:space="0" w:color="auto"/>
        <w:left w:val="none" w:sz="0" w:space="0" w:color="auto"/>
        <w:bottom w:val="none" w:sz="0" w:space="0" w:color="auto"/>
        <w:right w:val="none" w:sz="0" w:space="0" w:color="auto"/>
      </w:divBdr>
    </w:div>
    <w:div w:id="1169102113">
      <w:bodyDiv w:val="1"/>
      <w:marLeft w:val="0"/>
      <w:marRight w:val="0"/>
      <w:marTop w:val="0"/>
      <w:marBottom w:val="0"/>
      <w:divBdr>
        <w:top w:val="none" w:sz="0" w:space="0" w:color="auto"/>
        <w:left w:val="none" w:sz="0" w:space="0" w:color="auto"/>
        <w:bottom w:val="none" w:sz="0" w:space="0" w:color="auto"/>
        <w:right w:val="none" w:sz="0" w:space="0" w:color="auto"/>
      </w:divBdr>
    </w:div>
    <w:div w:id="1170632712">
      <w:bodyDiv w:val="1"/>
      <w:marLeft w:val="0"/>
      <w:marRight w:val="0"/>
      <w:marTop w:val="0"/>
      <w:marBottom w:val="0"/>
      <w:divBdr>
        <w:top w:val="none" w:sz="0" w:space="0" w:color="auto"/>
        <w:left w:val="none" w:sz="0" w:space="0" w:color="auto"/>
        <w:bottom w:val="none" w:sz="0" w:space="0" w:color="auto"/>
        <w:right w:val="none" w:sz="0" w:space="0" w:color="auto"/>
      </w:divBdr>
    </w:div>
    <w:div w:id="1179806160">
      <w:bodyDiv w:val="1"/>
      <w:marLeft w:val="0"/>
      <w:marRight w:val="0"/>
      <w:marTop w:val="0"/>
      <w:marBottom w:val="0"/>
      <w:divBdr>
        <w:top w:val="none" w:sz="0" w:space="0" w:color="auto"/>
        <w:left w:val="none" w:sz="0" w:space="0" w:color="auto"/>
        <w:bottom w:val="none" w:sz="0" w:space="0" w:color="auto"/>
        <w:right w:val="none" w:sz="0" w:space="0" w:color="auto"/>
      </w:divBdr>
    </w:div>
    <w:div w:id="1254053732">
      <w:bodyDiv w:val="1"/>
      <w:marLeft w:val="0"/>
      <w:marRight w:val="0"/>
      <w:marTop w:val="0"/>
      <w:marBottom w:val="0"/>
      <w:divBdr>
        <w:top w:val="none" w:sz="0" w:space="0" w:color="auto"/>
        <w:left w:val="none" w:sz="0" w:space="0" w:color="auto"/>
        <w:bottom w:val="none" w:sz="0" w:space="0" w:color="auto"/>
        <w:right w:val="none" w:sz="0" w:space="0" w:color="auto"/>
      </w:divBdr>
    </w:div>
    <w:div w:id="1263150004">
      <w:bodyDiv w:val="1"/>
      <w:marLeft w:val="0"/>
      <w:marRight w:val="0"/>
      <w:marTop w:val="0"/>
      <w:marBottom w:val="0"/>
      <w:divBdr>
        <w:top w:val="none" w:sz="0" w:space="0" w:color="auto"/>
        <w:left w:val="none" w:sz="0" w:space="0" w:color="auto"/>
        <w:bottom w:val="none" w:sz="0" w:space="0" w:color="auto"/>
        <w:right w:val="none" w:sz="0" w:space="0" w:color="auto"/>
      </w:divBdr>
    </w:div>
    <w:div w:id="1268386843">
      <w:bodyDiv w:val="1"/>
      <w:marLeft w:val="0"/>
      <w:marRight w:val="0"/>
      <w:marTop w:val="0"/>
      <w:marBottom w:val="0"/>
      <w:divBdr>
        <w:top w:val="none" w:sz="0" w:space="0" w:color="auto"/>
        <w:left w:val="none" w:sz="0" w:space="0" w:color="auto"/>
        <w:bottom w:val="none" w:sz="0" w:space="0" w:color="auto"/>
        <w:right w:val="none" w:sz="0" w:space="0" w:color="auto"/>
      </w:divBdr>
    </w:div>
    <w:div w:id="1269266692">
      <w:bodyDiv w:val="1"/>
      <w:marLeft w:val="0"/>
      <w:marRight w:val="0"/>
      <w:marTop w:val="0"/>
      <w:marBottom w:val="0"/>
      <w:divBdr>
        <w:top w:val="none" w:sz="0" w:space="0" w:color="auto"/>
        <w:left w:val="none" w:sz="0" w:space="0" w:color="auto"/>
        <w:bottom w:val="none" w:sz="0" w:space="0" w:color="auto"/>
        <w:right w:val="none" w:sz="0" w:space="0" w:color="auto"/>
      </w:divBdr>
      <w:divsChild>
        <w:div w:id="979460495">
          <w:marLeft w:val="0"/>
          <w:marRight w:val="0"/>
          <w:marTop w:val="0"/>
          <w:marBottom w:val="0"/>
          <w:divBdr>
            <w:top w:val="none" w:sz="0" w:space="0" w:color="auto"/>
            <w:left w:val="none" w:sz="0" w:space="0" w:color="auto"/>
            <w:bottom w:val="none" w:sz="0" w:space="0" w:color="auto"/>
            <w:right w:val="none" w:sz="0" w:space="0" w:color="auto"/>
          </w:divBdr>
          <w:divsChild>
            <w:div w:id="370806259">
              <w:marLeft w:val="0"/>
              <w:marRight w:val="0"/>
              <w:marTop w:val="0"/>
              <w:marBottom w:val="0"/>
              <w:divBdr>
                <w:top w:val="none" w:sz="0" w:space="0" w:color="auto"/>
                <w:left w:val="none" w:sz="0" w:space="0" w:color="auto"/>
                <w:bottom w:val="none" w:sz="0" w:space="0" w:color="auto"/>
                <w:right w:val="none" w:sz="0" w:space="0" w:color="auto"/>
              </w:divBdr>
              <w:divsChild>
                <w:div w:id="250698088">
                  <w:marLeft w:val="0"/>
                  <w:marRight w:val="0"/>
                  <w:marTop w:val="0"/>
                  <w:marBottom w:val="0"/>
                  <w:divBdr>
                    <w:top w:val="none" w:sz="0" w:space="0" w:color="auto"/>
                    <w:left w:val="none" w:sz="0" w:space="0" w:color="auto"/>
                    <w:bottom w:val="none" w:sz="0" w:space="0" w:color="auto"/>
                    <w:right w:val="none" w:sz="0" w:space="0" w:color="auto"/>
                  </w:divBdr>
                  <w:divsChild>
                    <w:div w:id="1428624386">
                      <w:marLeft w:val="0"/>
                      <w:marRight w:val="0"/>
                      <w:marTop w:val="0"/>
                      <w:marBottom w:val="0"/>
                      <w:divBdr>
                        <w:top w:val="none" w:sz="0" w:space="0" w:color="auto"/>
                        <w:left w:val="none" w:sz="0" w:space="0" w:color="auto"/>
                        <w:bottom w:val="none" w:sz="0" w:space="0" w:color="auto"/>
                        <w:right w:val="none" w:sz="0" w:space="0" w:color="auto"/>
                      </w:divBdr>
                      <w:divsChild>
                        <w:div w:id="1893880767">
                          <w:marLeft w:val="0"/>
                          <w:marRight w:val="0"/>
                          <w:marTop w:val="0"/>
                          <w:marBottom w:val="0"/>
                          <w:divBdr>
                            <w:top w:val="none" w:sz="0" w:space="0" w:color="auto"/>
                            <w:left w:val="none" w:sz="0" w:space="0" w:color="auto"/>
                            <w:bottom w:val="none" w:sz="0" w:space="0" w:color="auto"/>
                            <w:right w:val="none" w:sz="0" w:space="0" w:color="auto"/>
                          </w:divBdr>
                          <w:divsChild>
                            <w:div w:id="1099911910">
                              <w:marLeft w:val="0"/>
                              <w:marRight w:val="0"/>
                              <w:marTop w:val="0"/>
                              <w:marBottom w:val="0"/>
                              <w:divBdr>
                                <w:top w:val="none" w:sz="0" w:space="0" w:color="auto"/>
                                <w:left w:val="none" w:sz="0" w:space="0" w:color="auto"/>
                                <w:bottom w:val="none" w:sz="0" w:space="0" w:color="auto"/>
                                <w:right w:val="none" w:sz="0" w:space="0" w:color="auto"/>
                              </w:divBdr>
                              <w:divsChild>
                                <w:div w:id="1462728754">
                                  <w:marLeft w:val="0"/>
                                  <w:marRight w:val="0"/>
                                  <w:marTop w:val="0"/>
                                  <w:marBottom w:val="0"/>
                                  <w:divBdr>
                                    <w:top w:val="none" w:sz="0" w:space="0" w:color="auto"/>
                                    <w:left w:val="none" w:sz="0" w:space="0" w:color="auto"/>
                                    <w:bottom w:val="none" w:sz="0" w:space="0" w:color="auto"/>
                                    <w:right w:val="none" w:sz="0" w:space="0" w:color="auto"/>
                                  </w:divBdr>
                                  <w:divsChild>
                                    <w:div w:id="369762682">
                                      <w:marLeft w:val="60"/>
                                      <w:marRight w:val="0"/>
                                      <w:marTop w:val="0"/>
                                      <w:marBottom w:val="0"/>
                                      <w:divBdr>
                                        <w:top w:val="none" w:sz="0" w:space="0" w:color="auto"/>
                                        <w:left w:val="none" w:sz="0" w:space="0" w:color="auto"/>
                                        <w:bottom w:val="none" w:sz="0" w:space="0" w:color="auto"/>
                                        <w:right w:val="none" w:sz="0" w:space="0" w:color="auto"/>
                                      </w:divBdr>
                                      <w:divsChild>
                                        <w:div w:id="1802184967">
                                          <w:marLeft w:val="0"/>
                                          <w:marRight w:val="0"/>
                                          <w:marTop w:val="0"/>
                                          <w:marBottom w:val="0"/>
                                          <w:divBdr>
                                            <w:top w:val="none" w:sz="0" w:space="0" w:color="auto"/>
                                            <w:left w:val="none" w:sz="0" w:space="0" w:color="auto"/>
                                            <w:bottom w:val="none" w:sz="0" w:space="0" w:color="auto"/>
                                            <w:right w:val="none" w:sz="0" w:space="0" w:color="auto"/>
                                          </w:divBdr>
                                          <w:divsChild>
                                            <w:div w:id="1881937828">
                                              <w:marLeft w:val="0"/>
                                              <w:marRight w:val="0"/>
                                              <w:marTop w:val="0"/>
                                              <w:marBottom w:val="120"/>
                                              <w:divBdr>
                                                <w:top w:val="single" w:sz="6" w:space="0" w:color="F5F5F5"/>
                                                <w:left w:val="single" w:sz="6" w:space="0" w:color="F5F5F5"/>
                                                <w:bottom w:val="single" w:sz="6" w:space="0" w:color="F5F5F5"/>
                                                <w:right w:val="single" w:sz="6" w:space="0" w:color="F5F5F5"/>
                                              </w:divBdr>
                                              <w:divsChild>
                                                <w:div w:id="278100823">
                                                  <w:marLeft w:val="0"/>
                                                  <w:marRight w:val="0"/>
                                                  <w:marTop w:val="0"/>
                                                  <w:marBottom w:val="0"/>
                                                  <w:divBdr>
                                                    <w:top w:val="none" w:sz="0" w:space="0" w:color="auto"/>
                                                    <w:left w:val="none" w:sz="0" w:space="0" w:color="auto"/>
                                                    <w:bottom w:val="none" w:sz="0" w:space="0" w:color="auto"/>
                                                    <w:right w:val="none" w:sz="0" w:space="0" w:color="auto"/>
                                                  </w:divBdr>
                                                  <w:divsChild>
                                                    <w:div w:id="1852572789">
                                                      <w:marLeft w:val="0"/>
                                                      <w:marRight w:val="0"/>
                                                      <w:marTop w:val="0"/>
                                                      <w:marBottom w:val="0"/>
                                                      <w:divBdr>
                                                        <w:top w:val="none" w:sz="0" w:space="0" w:color="auto"/>
                                                        <w:left w:val="none" w:sz="0" w:space="0" w:color="auto"/>
                                                        <w:bottom w:val="none" w:sz="0" w:space="0" w:color="auto"/>
                                                        <w:right w:val="none" w:sz="0" w:space="0" w:color="auto"/>
                                                      </w:divBdr>
                                                    </w:div>
                                                  </w:divsChild>
                                                </w:div>
                                                <w:div w:id="1237087593">
                                                  <w:marLeft w:val="0"/>
                                                  <w:marRight w:val="0"/>
                                                  <w:marTop w:val="0"/>
                                                  <w:marBottom w:val="0"/>
                                                  <w:divBdr>
                                                    <w:top w:val="none" w:sz="0" w:space="0" w:color="auto"/>
                                                    <w:left w:val="none" w:sz="0" w:space="0" w:color="auto"/>
                                                    <w:bottom w:val="none" w:sz="0" w:space="0" w:color="auto"/>
                                                    <w:right w:val="none" w:sz="0" w:space="0" w:color="auto"/>
                                                  </w:divBdr>
                                                  <w:divsChild>
                                                    <w:div w:id="14463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117710">
      <w:bodyDiv w:val="1"/>
      <w:marLeft w:val="0"/>
      <w:marRight w:val="0"/>
      <w:marTop w:val="0"/>
      <w:marBottom w:val="0"/>
      <w:divBdr>
        <w:top w:val="none" w:sz="0" w:space="0" w:color="auto"/>
        <w:left w:val="none" w:sz="0" w:space="0" w:color="auto"/>
        <w:bottom w:val="none" w:sz="0" w:space="0" w:color="auto"/>
        <w:right w:val="none" w:sz="0" w:space="0" w:color="auto"/>
      </w:divBdr>
    </w:div>
    <w:div w:id="1339312333">
      <w:bodyDiv w:val="1"/>
      <w:marLeft w:val="0"/>
      <w:marRight w:val="0"/>
      <w:marTop w:val="0"/>
      <w:marBottom w:val="0"/>
      <w:divBdr>
        <w:top w:val="none" w:sz="0" w:space="0" w:color="auto"/>
        <w:left w:val="none" w:sz="0" w:space="0" w:color="auto"/>
        <w:bottom w:val="none" w:sz="0" w:space="0" w:color="auto"/>
        <w:right w:val="none" w:sz="0" w:space="0" w:color="auto"/>
      </w:divBdr>
    </w:div>
    <w:div w:id="1397702036">
      <w:bodyDiv w:val="1"/>
      <w:marLeft w:val="0"/>
      <w:marRight w:val="0"/>
      <w:marTop w:val="0"/>
      <w:marBottom w:val="0"/>
      <w:divBdr>
        <w:top w:val="none" w:sz="0" w:space="0" w:color="auto"/>
        <w:left w:val="none" w:sz="0" w:space="0" w:color="auto"/>
        <w:bottom w:val="none" w:sz="0" w:space="0" w:color="auto"/>
        <w:right w:val="none" w:sz="0" w:space="0" w:color="auto"/>
      </w:divBdr>
    </w:div>
    <w:div w:id="1441678547">
      <w:bodyDiv w:val="1"/>
      <w:marLeft w:val="0"/>
      <w:marRight w:val="0"/>
      <w:marTop w:val="0"/>
      <w:marBottom w:val="0"/>
      <w:divBdr>
        <w:top w:val="none" w:sz="0" w:space="0" w:color="auto"/>
        <w:left w:val="none" w:sz="0" w:space="0" w:color="auto"/>
        <w:bottom w:val="none" w:sz="0" w:space="0" w:color="auto"/>
        <w:right w:val="none" w:sz="0" w:space="0" w:color="auto"/>
      </w:divBdr>
    </w:div>
    <w:div w:id="1456021685">
      <w:bodyDiv w:val="1"/>
      <w:marLeft w:val="0"/>
      <w:marRight w:val="0"/>
      <w:marTop w:val="0"/>
      <w:marBottom w:val="0"/>
      <w:divBdr>
        <w:top w:val="none" w:sz="0" w:space="0" w:color="auto"/>
        <w:left w:val="none" w:sz="0" w:space="0" w:color="auto"/>
        <w:bottom w:val="none" w:sz="0" w:space="0" w:color="auto"/>
        <w:right w:val="none" w:sz="0" w:space="0" w:color="auto"/>
      </w:divBdr>
    </w:div>
    <w:div w:id="1576469668">
      <w:bodyDiv w:val="1"/>
      <w:marLeft w:val="0"/>
      <w:marRight w:val="0"/>
      <w:marTop w:val="0"/>
      <w:marBottom w:val="0"/>
      <w:divBdr>
        <w:top w:val="none" w:sz="0" w:space="0" w:color="auto"/>
        <w:left w:val="none" w:sz="0" w:space="0" w:color="auto"/>
        <w:bottom w:val="none" w:sz="0" w:space="0" w:color="auto"/>
        <w:right w:val="none" w:sz="0" w:space="0" w:color="auto"/>
      </w:divBdr>
    </w:div>
    <w:div w:id="1581527953">
      <w:bodyDiv w:val="1"/>
      <w:marLeft w:val="0"/>
      <w:marRight w:val="0"/>
      <w:marTop w:val="0"/>
      <w:marBottom w:val="0"/>
      <w:divBdr>
        <w:top w:val="none" w:sz="0" w:space="0" w:color="auto"/>
        <w:left w:val="none" w:sz="0" w:space="0" w:color="auto"/>
        <w:bottom w:val="none" w:sz="0" w:space="0" w:color="auto"/>
        <w:right w:val="none" w:sz="0" w:space="0" w:color="auto"/>
      </w:divBdr>
    </w:div>
    <w:div w:id="1583832186">
      <w:bodyDiv w:val="1"/>
      <w:marLeft w:val="0"/>
      <w:marRight w:val="0"/>
      <w:marTop w:val="0"/>
      <w:marBottom w:val="0"/>
      <w:divBdr>
        <w:top w:val="none" w:sz="0" w:space="0" w:color="auto"/>
        <w:left w:val="none" w:sz="0" w:space="0" w:color="auto"/>
        <w:bottom w:val="none" w:sz="0" w:space="0" w:color="auto"/>
        <w:right w:val="none" w:sz="0" w:space="0" w:color="auto"/>
      </w:divBdr>
    </w:div>
    <w:div w:id="1599097281">
      <w:bodyDiv w:val="1"/>
      <w:marLeft w:val="0"/>
      <w:marRight w:val="0"/>
      <w:marTop w:val="0"/>
      <w:marBottom w:val="0"/>
      <w:divBdr>
        <w:top w:val="none" w:sz="0" w:space="0" w:color="auto"/>
        <w:left w:val="none" w:sz="0" w:space="0" w:color="auto"/>
        <w:bottom w:val="none" w:sz="0" w:space="0" w:color="auto"/>
        <w:right w:val="none" w:sz="0" w:space="0" w:color="auto"/>
      </w:divBdr>
    </w:div>
    <w:div w:id="1599144874">
      <w:bodyDiv w:val="1"/>
      <w:marLeft w:val="0"/>
      <w:marRight w:val="0"/>
      <w:marTop w:val="0"/>
      <w:marBottom w:val="0"/>
      <w:divBdr>
        <w:top w:val="none" w:sz="0" w:space="0" w:color="auto"/>
        <w:left w:val="none" w:sz="0" w:space="0" w:color="auto"/>
        <w:bottom w:val="none" w:sz="0" w:space="0" w:color="auto"/>
        <w:right w:val="none" w:sz="0" w:space="0" w:color="auto"/>
      </w:divBdr>
    </w:div>
    <w:div w:id="1623421257">
      <w:bodyDiv w:val="1"/>
      <w:marLeft w:val="0"/>
      <w:marRight w:val="0"/>
      <w:marTop w:val="0"/>
      <w:marBottom w:val="0"/>
      <w:divBdr>
        <w:top w:val="none" w:sz="0" w:space="0" w:color="auto"/>
        <w:left w:val="none" w:sz="0" w:space="0" w:color="auto"/>
        <w:bottom w:val="none" w:sz="0" w:space="0" w:color="auto"/>
        <w:right w:val="none" w:sz="0" w:space="0" w:color="auto"/>
      </w:divBdr>
    </w:div>
    <w:div w:id="1630744320">
      <w:bodyDiv w:val="1"/>
      <w:marLeft w:val="0"/>
      <w:marRight w:val="0"/>
      <w:marTop w:val="0"/>
      <w:marBottom w:val="0"/>
      <w:divBdr>
        <w:top w:val="none" w:sz="0" w:space="0" w:color="auto"/>
        <w:left w:val="none" w:sz="0" w:space="0" w:color="auto"/>
        <w:bottom w:val="none" w:sz="0" w:space="0" w:color="auto"/>
        <w:right w:val="none" w:sz="0" w:space="0" w:color="auto"/>
      </w:divBdr>
    </w:div>
    <w:div w:id="1640919048">
      <w:bodyDiv w:val="1"/>
      <w:marLeft w:val="0"/>
      <w:marRight w:val="0"/>
      <w:marTop w:val="0"/>
      <w:marBottom w:val="0"/>
      <w:divBdr>
        <w:top w:val="none" w:sz="0" w:space="0" w:color="auto"/>
        <w:left w:val="none" w:sz="0" w:space="0" w:color="auto"/>
        <w:bottom w:val="none" w:sz="0" w:space="0" w:color="auto"/>
        <w:right w:val="none" w:sz="0" w:space="0" w:color="auto"/>
      </w:divBdr>
      <w:divsChild>
        <w:div w:id="1570917317">
          <w:marLeft w:val="0"/>
          <w:marRight w:val="0"/>
          <w:marTop w:val="0"/>
          <w:marBottom w:val="0"/>
          <w:divBdr>
            <w:top w:val="none" w:sz="0" w:space="0" w:color="auto"/>
            <w:left w:val="none" w:sz="0" w:space="0" w:color="auto"/>
            <w:bottom w:val="none" w:sz="0" w:space="0" w:color="auto"/>
            <w:right w:val="none" w:sz="0" w:space="0" w:color="auto"/>
          </w:divBdr>
          <w:divsChild>
            <w:div w:id="943197437">
              <w:marLeft w:val="60"/>
              <w:marRight w:val="0"/>
              <w:marTop w:val="0"/>
              <w:marBottom w:val="0"/>
              <w:divBdr>
                <w:top w:val="none" w:sz="0" w:space="0" w:color="auto"/>
                <w:left w:val="none" w:sz="0" w:space="0" w:color="auto"/>
                <w:bottom w:val="none" w:sz="0" w:space="0" w:color="auto"/>
                <w:right w:val="none" w:sz="0" w:space="0" w:color="auto"/>
              </w:divBdr>
              <w:divsChild>
                <w:div w:id="1018118744">
                  <w:marLeft w:val="0"/>
                  <w:marRight w:val="0"/>
                  <w:marTop w:val="0"/>
                  <w:marBottom w:val="0"/>
                  <w:divBdr>
                    <w:top w:val="none" w:sz="0" w:space="0" w:color="auto"/>
                    <w:left w:val="none" w:sz="0" w:space="0" w:color="auto"/>
                    <w:bottom w:val="none" w:sz="0" w:space="0" w:color="auto"/>
                    <w:right w:val="none" w:sz="0" w:space="0" w:color="auto"/>
                  </w:divBdr>
                  <w:divsChild>
                    <w:div w:id="627589209">
                      <w:marLeft w:val="0"/>
                      <w:marRight w:val="0"/>
                      <w:marTop w:val="0"/>
                      <w:marBottom w:val="120"/>
                      <w:divBdr>
                        <w:top w:val="single" w:sz="6" w:space="0" w:color="F5F5F5"/>
                        <w:left w:val="single" w:sz="6" w:space="0" w:color="F5F5F5"/>
                        <w:bottom w:val="single" w:sz="6" w:space="0" w:color="F5F5F5"/>
                        <w:right w:val="single" w:sz="6" w:space="0" w:color="F5F5F5"/>
                      </w:divBdr>
                      <w:divsChild>
                        <w:div w:id="532117870">
                          <w:marLeft w:val="0"/>
                          <w:marRight w:val="0"/>
                          <w:marTop w:val="0"/>
                          <w:marBottom w:val="0"/>
                          <w:divBdr>
                            <w:top w:val="none" w:sz="0" w:space="0" w:color="auto"/>
                            <w:left w:val="none" w:sz="0" w:space="0" w:color="auto"/>
                            <w:bottom w:val="none" w:sz="0" w:space="0" w:color="auto"/>
                            <w:right w:val="none" w:sz="0" w:space="0" w:color="auto"/>
                          </w:divBdr>
                          <w:divsChild>
                            <w:div w:id="13498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205318">
          <w:marLeft w:val="0"/>
          <w:marRight w:val="0"/>
          <w:marTop w:val="0"/>
          <w:marBottom w:val="0"/>
          <w:divBdr>
            <w:top w:val="none" w:sz="0" w:space="0" w:color="auto"/>
            <w:left w:val="none" w:sz="0" w:space="0" w:color="auto"/>
            <w:bottom w:val="none" w:sz="0" w:space="0" w:color="auto"/>
            <w:right w:val="none" w:sz="0" w:space="0" w:color="auto"/>
          </w:divBdr>
          <w:divsChild>
            <w:div w:id="356472070">
              <w:marLeft w:val="0"/>
              <w:marRight w:val="60"/>
              <w:marTop w:val="0"/>
              <w:marBottom w:val="0"/>
              <w:divBdr>
                <w:top w:val="none" w:sz="0" w:space="0" w:color="auto"/>
                <w:left w:val="none" w:sz="0" w:space="0" w:color="auto"/>
                <w:bottom w:val="none" w:sz="0" w:space="0" w:color="auto"/>
                <w:right w:val="none" w:sz="0" w:space="0" w:color="auto"/>
              </w:divBdr>
              <w:divsChild>
                <w:div w:id="520895993">
                  <w:marLeft w:val="0"/>
                  <w:marRight w:val="0"/>
                  <w:marTop w:val="0"/>
                  <w:marBottom w:val="120"/>
                  <w:divBdr>
                    <w:top w:val="single" w:sz="6" w:space="0" w:color="C0C0C0"/>
                    <w:left w:val="single" w:sz="6" w:space="0" w:color="D9D9D9"/>
                    <w:bottom w:val="single" w:sz="6" w:space="0" w:color="D9D9D9"/>
                    <w:right w:val="single" w:sz="6" w:space="0" w:color="D9D9D9"/>
                  </w:divBdr>
                  <w:divsChild>
                    <w:div w:id="991828981">
                      <w:marLeft w:val="0"/>
                      <w:marRight w:val="0"/>
                      <w:marTop w:val="0"/>
                      <w:marBottom w:val="0"/>
                      <w:divBdr>
                        <w:top w:val="none" w:sz="0" w:space="0" w:color="auto"/>
                        <w:left w:val="none" w:sz="0" w:space="0" w:color="auto"/>
                        <w:bottom w:val="none" w:sz="0" w:space="0" w:color="auto"/>
                        <w:right w:val="none" w:sz="0" w:space="0" w:color="auto"/>
                      </w:divBdr>
                    </w:div>
                    <w:div w:id="1305432194">
                      <w:marLeft w:val="0"/>
                      <w:marRight w:val="0"/>
                      <w:marTop w:val="0"/>
                      <w:marBottom w:val="0"/>
                      <w:divBdr>
                        <w:top w:val="none" w:sz="0" w:space="0" w:color="auto"/>
                        <w:left w:val="none" w:sz="0" w:space="0" w:color="auto"/>
                        <w:bottom w:val="none" w:sz="0" w:space="0" w:color="auto"/>
                        <w:right w:val="none" w:sz="0" w:space="0" w:color="auto"/>
                      </w:divBdr>
                      <w:divsChild>
                        <w:div w:id="434906417">
                          <w:marLeft w:val="0"/>
                          <w:marRight w:val="0"/>
                          <w:marTop w:val="0"/>
                          <w:marBottom w:val="0"/>
                          <w:divBdr>
                            <w:top w:val="none" w:sz="0" w:space="0" w:color="auto"/>
                            <w:left w:val="none" w:sz="0" w:space="0" w:color="auto"/>
                            <w:bottom w:val="none" w:sz="0" w:space="0" w:color="auto"/>
                            <w:right w:val="none" w:sz="0" w:space="0" w:color="auto"/>
                          </w:divBdr>
                          <w:divsChild>
                            <w:div w:id="1579055226">
                              <w:marLeft w:val="0"/>
                              <w:marRight w:val="0"/>
                              <w:marTop w:val="0"/>
                              <w:marBottom w:val="0"/>
                              <w:divBdr>
                                <w:top w:val="none" w:sz="0" w:space="0" w:color="auto"/>
                                <w:left w:val="none" w:sz="0" w:space="0" w:color="auto"/>
                                <w:bottom w:val="none" w:sz="0" w:space="0" w:color="auto"/>
                                <w:right w:val="none" w:sz="0" w:space="0" w:color="auto"/>
                              </w:divBdr>
                              <w:divsChild>
                                <w:div w:id="6667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80432">
      <w:bodyDiv w:val="1"/>
      <w:marLeft w:val="0"/>
      <w:marRight w:val="0"/>
      <w:marTop w:val="0"/>
      <w:marBottom w:val="0"/>
      <w:divBdr>
        <w:top w:val="none" w:sz="0" w:space="0" w:color="auto"/>
        <w:left w:val="none" w:sz="0" w:space="0" w:color="auto"/>
        <w:bottom w:val="none" w:sz="0" w:space="0" w:color="auto"/>
        <w:right w:val="none" w:sz="0" w:space="0" w:color="auto"/>
      </w:divBdr>
    </w:div>
    <w:div w:id="1666008861">
      <w:bodyDiv w:val="1"/>
      <w:marLeft w:val="0"/>
      <w:marRight w:val="0"/>
      <w:marTop w:val="0"/>
      <w:marBottom w:val="0"/>
      <w:divBdr>
        <w:top w:val="none" w:sz="0" w:space="0" w:color="auto"/>
        <w:left w:val="none" w:sz="0" w:space="0" w:color="auto"/>
        <w:bottom w:val="none" w:sz="0" w:space="0" w:color="auto"/>
        <w:right w:val="none" w:sz="0" w:space="0" w:color="auto"/>
      </w:divBdr>
    </w:div>
    <w:div w:id="1704092603">
      <w:bodyDiv w:val="1"/>
      <w:marLeft w:val="0"/>
      <w:marRight w:val="0"/>
      <w:marTop w:val="0"/>
      <w:marBottom w:val="0"/>
      <w:divBdr>
        <w:top w:val="none" w:sz="0" w:space="0" w:color="auto"/>
        <w:left w:val="none" w:sz="0" w:space="0" w:color="auto"/>
        <w:bottom w:val="none" w:sz="0" w:space="0" w:color="auto"/>
        <w:right w:val="none" w:sz="0" w:space="0" w:color="auto"/>
      </w:divBdr>
    </w:div>
    <w:div w:id="1742558427">
      <w:bodyDiv w:val="1"/>
      <w:marLeft w:val="0"/>
      <w:marRight w:val="0"/>
      <w:marTop w:val="0"/>
      <w:marBottom w:val="0"/>
      <w:divBdr>
        <w:top w:val="none" w:sz="0" w:space="0" w:color="auto"/>
        <w:left w:val="none" w:sz="0" w:space="0" w:color="auto"/>
        <w:bottom w:val="none" w:sz="0" w:space="0" w:color="auto"/>
        <w:right w:val="none" w:sz="0" w:space="0" w:color="auto"/>
      </w:divBdr>
    </w:div>
    <w:div w:id="1808429036">
      <w:bodyDiv w:val="1"/>
      <w:marLeft w:val="0"/>
      <w:marRight w:val="0"/>
      <w:marTop w:val="0"/>
      <w:marBottom w:val="0"/>
      <w:divBdr>
        <w:top w:val="none" w:sz="0" w:space="0" w:color="auto"/>
        <w:left w:val="none" w:sz="0" w:space="0" w:color="auto"/>
        <w:bottom w:val="none" w:sz="0" w:space="0" w:color="auto"/>
        <w:right w:val="none" w:sz="0" w:space="0" w:color="auto"/>
      </w:divBdr>
    </w:div>
    <w:div w:id="1828743221">
      <w:bodyDiv w:val="1"/>
      <w:marLeft w:val="0"/>
      <w:marRight w:val="0"/>
      <w:marTop w:val="0"/>
      <w:marBottom w:val="0"/>
      <w:divBdr>
        <w:top w:val="none" w:sz="0" w:space="0" w:color="auto"/>
        <w:left w:val="none" w:sz="0" w:space="0" w:color="auto"/>
        <w:bottom w:val="none" w:sz="0" w:space="0" w:color="auto"/>
        <w:right w:val="none" w:sz="0" w:space="0" w:color="auto"/>
      </w:divBdr>
    </w:div>
    <w:div w:id="1888955547">
      <w:bodyDiv w:val="1"/>
      <w:marLeft w:val="0"/>
      <w:marRight w:val="0"/>
      <w:marTop w:val="0"/>
      <w:marBottom w:val="0"/>
      <w:divBdr>
        <w:top w:val="none" w:sz="0" w:space="0" w:color="auto"/>
        <w:left w:val="none" w:sz="0" w:space="0" w:color="auto"/>
        <w:bottom w:val="none" w:sz="0" w:space="0" w:color="auto"/>
        <w:right w:val="none" w:sz="0" w:space="0" w:color="auto"/>
      </w:divBdr>
    </w:div>
    <w:div w:id="1892186556">
      <w:bodyDiv w:val="1"/>
      <w:marLeft w:val="0"/>
      <w:marRight w:val="0"/>
      <w:marTop w:val="0"/>
      <w:marBottom w:val="0"/>
      <w:divBdr>
        <w:top w:val="none" w:sz="0" w:space="0" w:color="auto"/>
        <w:left w:val="none" w:sz="0" w:space="0" w:color="auto"/>
        <w:bottom w:val="none" w:sz="0" w:space="0" w:color="auto"/>
        <w:right w:val="none" w:sz="0" w:space="0" w:color="auto"/>
      </w:divBdr>
    </w:div>
    <w:div w:id="1894384881">
      <w:bodyDiv w:val="1"/>
      <w:marLeft w:val="0"/>
      <w:marRight w:val="0"/>
      <w:marTop w:val="0"/>
      <w:marBottom w:val="0"/>
      <w:divBdr>
        <w:top w:val="none" w:sz="0" w:space="0" w:color="auto"/>
        <w:left w:val="none" w:sz="0" w:space="0" w:color="auto"/>
        <w:bottom w:val="none" w:sz="0" w:space="0" w:color="auto"/>
        <w:right w:val="none" w:sz="0" w:space="0" w:color="auto"/>
      </w:divBdr>
    </w:div>
    <w:div w:id="1904288166">
      <w:bodyDiv w:val="1"/>
      <w:marLeft w:val="0"/>
      <w:marRight w:val="0"/>
      <w:marTop w:val="0"/>
      <w:marBottom w:val="0"/>
      <w:divBdr>
        <w:top w:val="none" w:sz="0" w:space="0" w:color="auto"/>
        <w:left w:val="none" w:sz="0" w:space="0" w:color="auto"/>
        <w:bottom w:val="none" w:sz="0" w:space="0" w:color="auto"/>
        <w:right w:val="none" w:sz="0" w:space="0" w:color="auto"/>
      </w:divBdr>
    </w:div>
    <w:div w:id="1905944520">
      <w:bodyDiv w:val="1"/>
      <w:marLeft w:val="0"/>
      <w:marRight w:val="0"/>
      <w:marTop w:val="0"/>
      <w:marBottom w:val="0"/>
      <w:divBdr>
        <w:top w:val="none" w:sz="0" w:space="0" w:color="auto"/>
        <w:left w:val="none" w:sz="0" w:space="0" w:color="auto"/>
        <w:bottom w:val="none" w:sz="0" w:space="0" w:color="auto"/>
        <w:right w:val="none" w:sz="0" w:space="0" w:color="auto"/>
      </w:divBdr>
    </w:div>
    <w:div w:id="1924218436">
      <w:bodyDiv w:val="1"/>
      <w:marLeft w:val="0"/>
      <w:marRight w:val="0"/>
      <w:marTop w:val="0"/>
      <w:marBottom w:val="0"/>
      <w:divBdr>
        <w:top w:val="none" w:sz="0" w:space="0" w:color="auto"/>
        <w:left w:val="none" w:sz="0" w:space="0" w:color="auto"/>
        <w:bottom w:val="none" w:sz="0" w:space="0" w:color="auto"/>
        <w:right w:val="none" w:sz="0" w:space="0" w:color="auto"/>
      </w:divBdr>
    </w:div>
    <w:div w:id="1927766715">
      <w:bodyDiv w:val="1"/>
      <w:marLeft w:val="0"/>
      <w:marRight w:val="0"/>
      <w:marTop w:val="0"/>
      <w:marBottom w:val="0"/>
      <w:divBdr>
        <w:top w:val="none" w:sz="0" w:space="0" w:color="auto"/>
        <w:left w:val="none" w:sz="0" w:space="0" w:color="auto"/>
        <w:bottom w:val="none" w:sz="0" w:space="0" w:color="auto"/>
        <w:right w:val="none" w:sz="0" w:space="0" w:color="auto"/>
      </w:divBdr>
    </w:div>
    <w:div w:id="1933197560">
      <w:bodyDiv w:val="1"/>
      <w:marLeft w:val="0"/>
      <w:marRight w:val="0"/>
      <w:marTop w:val="0"/>
      <w:marBottom w:val="0"/>
      <w:divBdr>
        <w:top w:val="none" w:sz="0" w:space="0" w:color="auto"/>
        <w:left w:val="none" w:sz="0" w:space="0" w:color="auto"/>
        <w:bottom w:val="none" w:sz="0" w:space="0" w:color="auto"/>
        <w:right w:val="none" w:sz="0" w:space="0" w:color="auto"/>
      </w:divBdr>
    </w:div>
    <w:div w:id="1960258928">
      <w:bodyDiv w:val="1"/>
      <w:marLeft w:val="0"/>
      <w:marRight w:val="0"/>
      <w:marTop w:val="0"/>
      <w:marBottom w:val="0"/>
      <w:divBdr>
        <w:top w:val="none" w:sz="0" w:space="0" w:color="auto"/>
        <w:left w:val="none" w:sz="0" w:space="0" w:color="auto"/>
        <w:bottom w:val="none" w:sz="0" w:space="0" w:color="auto"/>
        <w:right w:val="none" w:sz="0" w:space="0" w:color="auto"/>
      </w:divBdr>
    </w:div>
    <w:div w:id="1969236250">
      <w:bodyDiv w:val="1"/>
      <w:marLeft w:val="0"/>
      <w:marRight w:val="0"/>
      <w:marTop w:val="0"/>
      <w:marBottom w:val="0"/>
      <w:divBdr>
        <w:top w:val="none" w:sz="0" w:space="0" w:color="auto"/>
        <w:left w:val="none" w:sz="0" w:space="0" w:color="auto"/>
        <w:bottom w:val="none" w:sz="0" w:space="0" w:color="auto"/>
        <w:right w:val="none" w:sz="0" w:space="0" w:color="auto"/>
      </w:divBdr>
    </w:div>
    <w:div w:id="1973973267">
      <w:bodyDiv w:val="1"/>
      <w:marLeft w:val="0"/>
      <w:marRight w:val="0"/>
      <w:marTop w:val="0"/>
      <w:marBottom w:val="0"/>
      <w:divBdr>
        <w:top w:val="none" w:sz="0" w:space="0" w:color="auto"/>
        <w:left w:val="none" w:sz="0" w:space="0" w:color="auto"/>
        <w:bottom w:val="none" w:sz="0" w:space="0" w:color="auto"/>
        <w:right w:val="none" w:sz="0" w:space="0" w:color="auto"/>
      </w:divBdr>
    </w:div>
    <w:div w:id="1974942376">
      <w:bodyDiv w:val="1"/>
      <w:marLeft w:val="0"/>
      <w:marRight w:val="0"/>
      <w:marTop w:val="0"/>
      <w:marBottom w:val="0"/>
      <w:divBdr>
        <w:top w:val="none" w:sz="0" w:space="0" w:color="auto"/>
        <w:left w:val="none" w:sz="0" w:space="0" w:color="auto"/>
        <w:bottom w:val="none" w:sz="0" w:space="0" w:color="auto"/>
        <w:right w:val="none" w:sz="0" w:space="0" w:color="auto"/>
      </w:divBdr>
    </w:div>
    <w:div w:id="1982688651">
      <w:bodyDiv w:val="1"/>
      <w:marLeft w:val="0"/>
      <w:marRight w:val="0"/>
      <w:marTop w:val="0"/>
      <w:marBottom w:val="0"/>
      <w:divBdr>
        <w:top w:val="none" w:sz="0" w:space="0" w:color="auto"/>
        <w:left w:val="none" w:sz="0" w:space="0" w:color="auto"/>
        <w:bottom w:val="none" w:sz="0" w:space="0" w:color="auto"/>
        <w:right w:val="none" w:sz="0" w:space="0" w:color="auto"/>
      </w:divBdr>
    </w:div>
    <w:div w:id="1997880658">
      <w:bodyDiv w:val="1"/>
      <w:marLeft w:val="0"/>
      <w:marRight w:val="0"/>
      <w:marTop w:val="0"/>
      <w:marBottom w:val="0"/>
      <w:divBdr>
        <w:top w:val="none" w:sz="0" w:space="0" w:color="auto"/>
        <w:left w:val="none" w:sz="0" w:space="0" w:color="auto"/>
        <w:bottom w:val="none" w:sz="0" w:space="0" w:color="auto"/>
        <w:right w:val="none" w:sz="0" w:space="0" w:color="auto"/>
      </w:divBdr>
    </w:div>
    <w:div w:id="2039236223">
      <w:bodyDiv w:val="1"/>
      <w:marLeft w:val="0"/>
      <w:marRight w:val="0"/>
      <w:marTop w:val="0"/>
      <w:marBottom w:val="0"/>
      <w:divBdr>
        <w:top w:val="none" w:sz="0" w:space="0" w:color="auto"/>
        <w:left w:val="none" w:sz="0" w:space="0" w:color="auto"/>
        <w:bottom w:val="none" w:sz="0" w:space="0" w:color="auto"/>
        <w:right w:val="none" w:sz="0" w:space="0" w:color="auto"/>
      </w:divBdr>
    </w:div>
    <w:div w:id="2043943201">
      <w:bodyDiv w:val="1"/>
      <w:marLeft w:val="0"/>
      <w:marRight w:val="0"/>
      <w:marTop w:val="0"/>
      <w:marBottom w:val="0"/>
      <w:divBdr>
        <w:top w:val="none" w:sz="0" w:space="0" w:color="auto"/>
        <w:left w:val="none" w:sz="0" w:space="0" w:color="auto"/>
        <w:bottom w:val="none" w:sz="0" w:space="0" w:color="auto"/>
        <w:right w:val="none" w:sz="0" w:space="0" w:color="auto"/>
      </w:divBdr>
    </w:div>
    <w:div w:id="2045670354">
      <w:bodyDiv w:val="1"/>
      <w:marLeft w:val="0"/>
      <w:marRight w:val="0"/>
      <w:marTop w:val="0"/>
      <w:marBottom w:val="0"/>
      <w:divBdr>
        <w:top w:val="none" w:sz="0" w:space="0" w:color="auto"/>
        <w:left w:val="none" w:sz="0" w:space="0" w:color="auto"/>
        <w:bottom w:val="none" w:sz="0" w:space="0" w:color="auto"/>
        <w:right w:val="none" w:sz="0" w:space="0" w:color="auto"/>
      </w:divBdr>
    </w:div>
    <w:div w:id="2086954234">
      <w:bodyDiv w:val="1"/>
      <w:marLeft w:val="0"/>
      <w:marRight w:val="0"/>
      <w:marTop w:val="0"/>
      <w:marBottom w:val="0"/>
      <w:divBdr>
        <w:top w:val="none" w:sz="0" w:space="0" w:color="auto"/>
        <w:left w:val="none" w:sz="0" w:space="0" w:color="auto"/>
        <w:bottom w:val="none" w:sz="0" w:space="0" w:color="auto"/>
        <w:right w:val="none" w:sz="0" w:space="0" w:color="auto"/>
      </w:divBdr>
    </w:div>
    <w:div w:id="211374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footer" Target="footer3.xml"/><Relationship Id="rId42" Type="http://schemas.openxmlformats.org/officeDocument/2006/relationships/footer" Target="footer11.xml"/><Relationship Id="rId47" Type="http://schemas.openxmlformats.org/officeDocument/2006/relationships/footer" Target="footer13.xml"/><Relationship Id="rId63" Type="http://schemas.openxmlformats.org/officeDocument/2006/relationships/header" Target="header27.xml"/><Relationship Id="rId68"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hyperlink" Target="http://www.pan-energy.com" TargetMode="Externa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footer" Target="footer12.xml"/><Relationship Id="rId53" Type="http://schemas.openxmlformats.org/officeDocument/2006/relationships/header" Target="header21.xml"/><Relationship Id="rId58" Type="http://schemas.openxmlformats.org/officeDocument/2006/relationships/footer" Target="footer16.xml"/><Relationship Id="rId66" Type="http://schemas.openxmlformats.org/officeDocument/2006/relationships/header" Target="header29.xml"/><Relationship Id="rId74" Type="http://schemas.openxmlformats.org/officeDocument/2006/relationships/footer" Target="footer22.xml"/><Relationship Id="rId5" Type="http://schemas.openxmlformats.org/officeDocument/2006/relationships/numbering" Target="numbering.xml"/><Relationship Id="rId61" Type="http://schemas.openxmlformats.org/officeDocument/2006/relationships/footer" Target="footer18.xml"/><Relationship Id="rId1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header" Target="header31.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hyperlink" Target="http://www.pan-energy.com" TargetMode="External"/><Relationship Id="rId17" Type="http://schemas.openxmlformats.org/officeDocument/2006/relationships/hyperlink" Target="http://www.pan-energy.com/" TargetMode="External"/><Relationship Id="rId25" Type="http://schemas.openxmlformats.org/officeDocument/2006/relationships/header" Target="header3.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7.xml"/><Relationship Id="rId59" Type="http://schemas.openxmlformats.org/officeDocument/2006/relationships/header" Target="header26.xml"/><Relationship Id="rId67" Type="http://schemas.openxmlformats.org/officeDocument/2006/relationships/footer" Target="footer21.xml"/><Relationship Id="rId20" Type="http://schemas.openxmlformats.org/officeDocument/2006/relationships/header" Target="header1.xml"/><Relationship Id="rId41" Type="http://schemas.openxmlformats.org/officeDocument/2006/relationships/header" Target="header14.xml"/><Relationship Id="rId54" Type="http://schemas.openxmlformats.org/officeDocument/2006/relationships/header" Target="header22.xml"/><Relationship Id="rId62" Type="http://schemas.openxmlformats.org/officeDocument/2006/relationships/footer" Target="footer19.xml"/><Relationship Id="rId70" Type="http://schemas.openxmlformats.org/officeDocument/2006/relationships/header" Target="header3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an-energy.com"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eader" Target="header11.xml"/><Relationship Id="rId49" Type="http://schemas.openxmlformats.org/officeDocument/2006/relationships/header" Target="header19.xml"/><Relationship Id="rId57" Type="http://schemas.openxmlformats.org/officeDocument/2006/relationships/header" Target="header25.xml"/><Relationship Id="rId10" Type="http://schemas.openxmlformats.org/officeDocument/2006/relationships/endnotes" Target="endnotes.xml"/><Relationship Id="rId31" Type="http://schemas.openxmlformats.org/officeDocument/2006/relationships/footer" Target="footer7.xml"/><Relationship Id="rId44" Type="http://schemas.openxmlformats.org/officeDocument/2006/relationships/header" Target="header16.xml"/><Relationship Id="rId52" Type="http://schemas.openxmlformats.org/officeDocument/2006/relationships/footer" Target="footer15.xml"/><Relationship Id="rId60" Type="http://schemas.openxmlformats.org/officeDocument/2006/relationships/footer" Target="footer17.xml"/><Relationship Id="rId65" Type="http://schemas.openxmlformats.org/officeDocument/2006/relationships/footer" Target="footer20.xml"/><Relationship Id="rId73" Type="http://schemas.openxmlformats.org/officeDocument/2006/relationships/header" Target="header3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cnv.gov.ar" TargetMode="External"/><Relationship Id="rId18" Type="http://schemas.openxmlformats.org/officeDocument/2006/relationships/footer" Target="footer1.xml"/><Relationship Id="rId39" Type="http://schemas.openxmlformats.org/officeDocument/2006/relationships/header" Target="header13.xml"/><Relationship Id="rId34" Type="http://schemas.openxmlformats.org/officeDocument/2006/relationships/header" Target="header10.xml"/><Relationship Id="rId50" Type="http://schemas.openxmlformats.org/officeDocument/2006/relationships/footer" Target="footer14.xml"/><Relationship Id="rId55" Type="http://schemas.openxmlformats.org/officeDocument/2006/relationships/header" Target="header23.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33.xml"/></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cf58175-710e-43d7-87ad-69ba79b60466">2</Orden>
    <Activo xmlns="9cf58175-710e-43d7-87ad-69ba79b60466">true</Activo>
    <Seccion xmlns="9cf58175-710e-43d7-87ad-69ba79b60466">6</Seccion>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D40DFB9C31C34A860BE4FC796D6B0B" ma:contentTypeVersion="7" ma:contentTypeDescription="Crear nuevo documento." ma:contentTypeScope="" ma:versionID="a0ad2b96014616f30b82122902f23d9c">
  <xsd:schema xmlns:xsd="http://www.w3.org/2001/XMLSchema" xmlns:xs="http://www.w3.org/2001/XMLSchema" xmlns:p="http://schemas.microsoft.com/office/2006/metadata/properties" xmlns:ns2="9cf58175-710e-43d7-87ad-69ba79b60466" xmlns:ns3="a82ff964-76b8-453d-a02e-750fd6034a48" targetNamespace="http://schemas.microsoft.com/office/2006/metadata/properties" ma:root="true" ma:fieldsID="134c0d64efd5d1764dc4439765a6ba69" ns2:_="" ns3:_="">
    <xsd:import namespace="9cf58175-710e-43d7-87ad-69ba79b60466"/>
    <xsd:import namespace="a82ff964-76b8-453d-a02e-750fd6034a48"/>
    <xsd:element name="properties">
      <xsd:complexType>
        <xsd:sequence>
          <xsd:element name="documentManagement">
            <xsd:complexType>
              <xsd:all>
                <xsd:element ref="ns2:Activo" minOccurs="0"/>
                <xsd:element ref="ns2:Orden"/>
                <xsd:element ref="ns2:Seccion"/>
                <xsd:element ref="ns2:Seccion_x003a_T_x00ed_tulo" minOccurs="0"/>
                <xsd:element ref="ns2:Seccion_x003a_Ord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8175-710e-43d7-87ad-69ba79b60466" elementFormDefault="qualified">
    <xsd:import namespace="http://schemas.microsoft.com/office/2006/documentManagement/types"/>
    <xsd:import namespace="http://schemas.microsoft.com/office/infopath/2007/PartnerControls"/>
    <xsd:element name="Activo" ma:index="8" nillable="true" ma:displayName="Activo" ma:default="1" ma:internalName="Activo">
      <xsd:simpleType>
        <xsd:restriction base="dms:Boolean"/>
      </xsd:simpleType>
    </xsd:element>
    <xsd:element name="Orden" ma:index="9" ma:displayName="Orden" ma:decimals="0" ma:internalName="Orden">
      <xsd:simpleType>
        <xsd:restriction base="dms:Number"/>
      </xsd:simpleType>
    </xsd:element>
    <xsd:element name="Seccion" ma:index="10" ma:displayName="Seccion" ma:list="{30ca875f-88a2-4ce7-9c0c-d8772f0a8719}" ma:internalName="Seccion" ma:showField="Title">
      <xsd:simpleType>
        <xsd:restriction base="dms:Lookup"/>
      </xsd:simpleType>
    </xsd:element>
    <xsd:element name="Seccion_x003a_T_x00ed_tulo" ma:index="11" nillable="true" ma:displayName="Seccion:Título" ma:list="{30ca875f-88a2-4ce7-9c0c-d8772f0a8719}" ma:internalName="Seccion_x003a_T_x00ed_tulo" ma:readOnly="true" ma:showField="Title" ma:web="a82ff964-76b8-453d-a02e-750fd6034a48">
      <xsd:simpleType>
        <xsd:restriction base="dms:Lookup"/>
      </xsd:simpleType>
    </xsd:element>
    <xsd:element name="Seccion_x003a_Orden" ma:index="12" nillable="true" ma:displayName="Seccion:Orden" ma:list="{30ca875f-88a2-4ce7-9c0c-d8772f0a8719}" ma:internalName="Seccion_x003a_Orden" ma:readOnly="true" ma:showField="Orden" ma:web="a82ff964-76b8-453d-a02e-750fd6034a4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2ff964-76b8-453d-a02e-750fd6034a4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A8A3-66AE-4215-BD46-71E507BBBE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832F3-5126-4348-A12B-784C4D0243CE}"/>
</file>

<file path=customXml/itemProps3.xml><?xml version="1.0" encoding="utf-8"?>
<ds:datastoreItem xmlns:ds="http://schemas.openxmlformats.org/officeDocument/2006/customXml" ds:itemID="{DC22FF17-D0E5-2D42-936A-0E5CB0E85C71}">
  <ds:schemaRefs>
    <ds:schemaRef ds:uri="http://schemas.microsoft.com/sharepoint/v3/contenttype/forms"/>
  </ds:schemaRefs>
</ds:datastoreItem>
</file>

<file path=customXml/itemProps4.xml><?xml version="1.0" encoding="utf-8"?>
<ds:datastoreItem xmlns:ds="http://schemas.openxmlformats.org/officeDocument/2006/customXml" ds:itemID="{4C0DBE57-7113-4635-A17E-4FC4422A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64582</Words>
  <Characters>355205</Characters>
  <Application>Microsoft Office Word</Application>
  <DocSecurity>0</DocSecurity>
  <Lines>2960</Lines>
  <Paragraphs>837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Suplemento de Precio</vt:lpstr>
      <vt:lpstr>Suplemento de Precio</vt:lpstr>
    </vt:vector>
  </TitlesOfParts>
  <Company>Hewlett-Packard</Company>
  <LinksUpToDate>false</LinksUpToDate>
  <CharactersWithSpaces>418950</CharactersWithSpaces>
  <SharedDoc>false</SharedDoc>
  <HLinks>
    <vt:vector size="108" baseType="variant">
      <vt:variant>
        <vt:i4>786523</vt:i4>
      </vt:variant>
      <vt:variant>
        <vt:i4>99</vt:i4>
      </vt:variant>
      <vt:variant>
        <vt:i4>0</vt:i4>
      </vt:variant>
      <vt:variant>
        <vt:i4>5</vt:i4>
      </vt:variant>
      <vt:variant>
        <vt:lpwstr>http://www.mae.com.ar/old.aspx?p=mercados/Forex/Default.aspx</vt:lpwstr>
      </vt:variant>
      <vt:variant>
        <vt:lpwstr/>
      </vt:variant>
      <vt:variant>
        <vt:i4>3932279</vt:i4>
      </vt:variant>
      <vt:variant>
        <vt:i4>96</vt:i4>
      </vt:variant>
      <vt:variant>
        <vt:i4>0</vt:i4>
      </vt:variant>
      <vt:variant>
        <vt:i4>5</vt:i4>
      </vt:variant>
      <vt:variant>
        <vt:lpwstr>http://www.pan-energy.com/</vt:lpwstr>
      </vt:variant>
      <vt:variant>
        <vt:lpwstr/>
      </vt:variant>
      <vt:variant>
        <vt:i4>1376307</vt:i4>
      </vt:variant>
      <vt:variant>
        <vt:i4>89</vt:i4>
      </vt:variant>
      <vt:variant>
        <vt:i4>0</vt:i4>
      </vt:variant>
      <vt:variant>
        <vt:i4>5</vt:i4>
      </vt:variant>
      <vt:variant>
        <vt:lpwstr/>
      </vt:variant>
      <vt:variant>
        <vt:lpwstr>_Toc22234774</vt:lpwstr>
      </vt:variant>
      <vt:variant>
        <vt:i4>1179699</vt:i4>
      </vt:variant>
      <vt:variant>
        <vt:i4>83</vt:i4>
      </vt:variant>
      <vt:variant>
        <vt:i4>0</vt:i4>
      </vt:variant>
      <vt:variant>
        <vt:i4>5</vt:i4>
      </vt:variant>
      <vt:variant>
        <vt:lpwstr/>
      </vt:variant>
      <vt:variant>
        <vt:lpwstr>_Toc22234773</vt:lpwstr>
      </vt:variant>
      <vt:variant>
        <vt:i4>1245235</vt:i4>
      </vt:variant>
      <vt:variant>
        <vt:i4>77</vt:i4>
      </vt:variant>
      <vt:variant>
        <vt:i4>0</vt:i4>
      </vt:variant>
      <vt:variant>
        <vt:i4>5</vt:i4>
      </vt:variant>
      <vt:variant>
        <vt:lpwstr/>
      </vt:variant>
      <vt:variant>
        <vt:lpwstr>_Toc22234772</vt:lpwstr>
      </vt:variant>
      <vt:variant>
        <vt:i4>1048627</vt:i4>
      </vt:variant>
      <vt:variant>
        <vt:i4>71</vt:i4>
      </vt:variant>
      <vt:variant>
        <vt:i4>0</vt:i4>
      </vt:variant>
      <vt:variant>
        <vt:i4>5</vt:i4>
      </vt:variant>
      <vt:variant>
        <vt:lpwstr/>
      </vt:variant>
      <vt:variant>
        <vt:lpwstr>_Toc22234771</vt:lpwstr>
      </vt:variant>
      <vt:variant>
        <vt:i4>1114163</vt:i4>
      </vt:variant>
      <vt:variant>
        <vt:i4>65</vt:i4>
      </vt:variant>
      <vt:variant>
        <vt:i4>0</vt:i4>
      </vt:variant>
      <vt:variant>
        <vt:i4>5</vt:i4>
      </vt:variant>
      <vt:variant>
        <vt:lpwstr/>
      </vt:variant>
      <vt:variant>
        <vt:lpwstr>_Toc22234770</vt:lpwstr>
      </vt:variant>
      <vt:variant>
        <vt:i4>1572914</vt:i4>
      </vt:variant>
      <vt:variant>
        <vt:i4>59</vt:i4>
      </vt:variant>
      <vt:variant>
        <vt:i4>0</vt:i4>
      </vt:variant>
      <vt:variant>
        <vt:i4>5</vt:i4>
      </vt:variant>
      <vt:variant>
        <vt:lpwstr/>
      </vt:variant>
      <vt:variant>
        <vt:lpwstr>_Toc22234769</vt:lpwstr>
      </vt:variant>
      <vt:variant>
        <vt:i4>1638450</vt:i4>
      </vt:variant>
      <vt:variant>
        <vt:i4>53</vt:i4>
      </vt:variant>
      <vt:variant>
        <vt:i4>0</vt:i4>
      </vt:variant>
      <vt:variant>
        <vt:i4>5</vt:i4>
      </vt:variant>
      <vt:variant>
        <vt:lpwstr/>
      </vt:variant>
      <vt:variant>
        <vt:lpwstr>_Toc22234768</vt:lpwstr>
      </vt:variant>
      <vt:variant>
        <vt:i4>1441842</vt:i4>
      </vt:variant>
      <vt:variant>
        <vt:i4>47</vt:i4>
      </vt:variant>
      <vt:variant>
        <vt:i4>0</vt:i4>
      </vt:variant>
      <vt:variant>
        <vt:i4>5</vt:i4>
      </vt:variant>
      <vt:variant>
        <vt:lpwstr/>
      </vt:variant>
      <vt:variant>
        <vt:lpwstr>_Toc22234767</vt:lpwstr>
      </vt:variant>
      <vt:variant>
        <vt:i4>1507378</vt:i4>
      </vt:variant>
      <vt:variant>
        <vt:i4>41</vt:i4>
      </vt:variant>
      <vt:variant>
        <vt:i4>0</vt:i4>
      </vt:variant>
      <vt:variant>
        <vt:i4>5</vt:i4>
      </vt:variant>
      <vt:variant>
        <vt:lpwstr/>
      </vt:variant>
      <vt:variant>
        <vt:lpwstr>_Toc22234766</vt:lpwstr>
      </vt:variant>
      <vt:variant>
        <vt:i4>1310770</vt:i4>
      </vt:variant>
      <vt:variant>
        <vt:i4>35</vt:i4>
      </vt:variant>
      <vt:variant>
        <vt:i4>0</vt:i4>
      </vt:variant>
      <vt:variant>
        <vt:i4>5</vt:i4>
      </vt:variant>
      <vt:variant>
        <vt:lpwstr/>
      </vt:variant>
      <vt:variant>
        <vt:lpwstr>_Toc22234765</vt:lpwstr>
      </vt:variant>
      <vt:variant>
        <vt:i4>1376306</vt:i4>
      </vt:variant>
      <vt:variant>
        <vt:i4>29</vt:i4>
      </vt:variant>
      <vt:variant>
        <vt:i4>0</vt:i4>
      </vt:variant>
      <vt:variant>
        <vt:i4>5</vt:i4>
      </vt:variant>
      <vt:variant>
        <vt:lpwstr/>
      </vt:variant>
      <vt:variant>
        <vt:lpwstr>_Toc22234764</vt:lpwstr>
      </vt:variant>
      <vt:variant>
        <vt:i4>1179698</vt:i4>
      </vt:variant>
      <vt:variant>
        <vt:i4>23</vt:i4>
      </vt:variant>
      <vt:variant>
        <vt:i4>0</vt:i4>
      </vt:variant>
      <vt:variant>
        <vt:i4>5</vt:i4>
      </vt:variant>
      <vt:variant>
        <vt:lpwstr/>
      </vt:variant>
      <vt:variant>
        <vt:lpwstr>_Toc22234763</vt:lpwstr>
      </vt:variant>
      <vt:variant>
        <vt:i4>1245234</vt:i4>
      </vt:variant>
      <vt:variant>
        <vt:i4>17</vt:i4>
      </vt:variant>
      <vt:variant>
        <vt:i4>0</vt:i4>
      </vt:variant>
      <vt:variant>
        <vt:i4>5</vt:i4>
      </vt:variant>
      <vt:variant>
        <vt:lpwstr/>
      </vt:variant>
      <vt:variant>
        <vt:lpwstr>_Toc22234762</vt:lpwstr>
      </vt:variant>
      <vt:variant>
        <vt:i4>1048626</vt:i4>
      </vt:variant>
      <vt:variant>
        <vt:i4>11</vt:i4>
      </vt:variant>
      <vt:variant>
        <vt:i4>0</vt:i4>
      </vt:variant>
      <vt:variant>
        <vt:i4>5</vt:i4>
      </vt:variant>
      <vt:variant>
        <vt:lpwstr/>
      </vt:variant>
      <vt:variant>
        <vt:lpwstr>_Toc22234761</vt:lpwstr>
      </vt:variant>
      <vt:variant>
        <vt:i4>1114162</vt:i4>
      </vt:variant>
      <vt:variant>
        <vt:i4>5</vt:i4>
      </vt:variant>
      <vt:variant>
        <vt:i4>0</vt:i4>
      </vt:variant>
      <vt:variant>
        <vt:i4>5</vt:i4>
      </vt:variant>
      <vt:variant>
        <vt:lpwstr/>
      </vt:variant>
      <vt:variant>
        <vt:lpwstr>_Toc22234760</vt:lpwstr>
      </vt:variant>
      <vt:variant>
        <vt:i4>3932279</vt:i4>
      </vt:variant>
      <vt:variant>
        <vt:i4>0</vt:i4>
      </vt:variant>
      <vt:variant>
        <vt:i4>0</vt:i4>
      </vt:variant>
      <vt:variant>
        <vt:i4>5</vt:i4>
      </vt:variant>
      <vt:variant>
        <vt:lpwstr>http://www.pan-energy.com/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Suplemento de Precio</dc:title>
  <dc:subject/>
  <dc:creator>Luisina Luchini | MHR Abogados</dc:creator>
  <cp:keywords/>
  <dc:description/>
  <cp:lastModifiedBy>Luisina Luchini | MHR Abogados</cp:lastModifiedBy>
  <cp:revision>13</cp:revision>
  <cp:lastPrinted>2019-10-25T17:49:00Z</cp:lastPrinted>
  <dcterms:created xsi:type="dcterms:W3CDTF">2019-11-11T14:37:00Z</dcterms:created>
  <dcterms:modified xsi:type="dcterms:W3CDTF">2019-11-12T01:18:00Z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Suplemento de Precio</vt:lpwstr>
  </property>
  <property fmtid="{D5CDD505-2E9C-101B-9397-08002B2CF9AE}" pid="3" name="NodeId">
    <vt:lpwstr>8ab2ba85-a8b1-4fb0-b83b-463d3f1784e4</vt:lpwstr>
  </property>
  <property fmtid="{D5CDD505-2E9C-101B-9397-08002B2CF9AE}" pid="4" name="ContentTypeId">
    <vt:lpwstr>0x010100FFD40DFB9C31C34A860BE4FC796D6B0B</vt:lpwstr>
  </property>
  <property fmtid="{D5CDD505-2E9C-101B-9397-08002B2CF9AE}" pid="5" name="_dlc_DocIdItemGuid">
    <vt:lpwstr>9541fadf-6bd4-4582-a4f2-9480bc3c158d</vt:lpwstr>
  </property>
  <property fmtid="{D5CDD505-2E9C-101B-9397-08002B2CF9AE}" pid="6" name="IntellikonLocation">
    <vt:lpwstr>4;#Profesionales|6fcfc387-321f-4ac2-8517-420a2a3a0305</vt:lpwstr>
  </property>
  <property fmtid="{D5CDD505-2E9C-101B-9397-08002B2CF9AE}" pid="7" name="Areadepractica">
    <vt:lpwstr>Financiero</vt:lpwstr>
  </property>
  <property fmtid="{D5CDD505-2E9C-101B-9397-08002B2CF9AE}" pid="8" name="Descripcion">
    <vt:lpwstr/>
  </property>
  <property fmtid="{D5CDD505-2E9C-101B-9397-08002B2CF9AE}" pid="9" name="Autor">
    <vt:lpwstr>MVT</vt:lpwstr>
  </property>
  <property fmtid="{D5CDD505-2E9C-101B-9397-08002B2CF9AE}" pid="10" name="Idcliente">
    <vt:lpwstr>100528</vt:lpwstr>
  </property>
  <property fmtid="{D5CDD505-2E9C-101B-9397-08002B2CF9AE}" pid="11" name="Estado">
    <vt:lpwstr>Inicial</vt:lpwstr>
  </property>
  <property fmtid="{D5CDD505-2E9C-101B-9397-08002B2CF9AE}" pid="12" name="Idioma">
    <vt:lpwstr>Español</vt:lpwstr>
  </property>
  <property fmtid="{D5CDD505-2E9C-101B-9397-08002B2CF9AE}" pid="13" name="Idcarpetafisica">
    <vt:lpwstr/>
  </property>
  <property fmtid="{D5CDD505-2E9C-101B-9397-08002B2CF9AE}" pid="14" name="_DCDateModified">
    <vt:lpwstr/>
  </property>
  <property fmtid="{D5CDD505-2E9C-101B-9397-08002B2CF9AE}" pid="15" name="Voces">
    <vt:lpwstr/>
  </property>
  <property fmtid="{D5CDD505-2E9C-101B-9397-08002B2CF9AE}" pid="16" name="TaxCatchAll">
    <vt:lpwstr/>
  </property>
  <property fmtid="{D5CDD505-2E9C-101B-9397-08002B2CF9AE}" pid="17" name="Relevancia">
    <vt:lpwstr>Normal</vt:lpwstr>
  </property>
  <property fmtid="{D5CDD505-2E9C-101B-9397-08002B2CF9AE}" pid="18" name="Nombreoriginal">
    <vt:lpwstr>670062_Suplemento_de_Precio.docx</vt:lpwstr>
  </property>
  <property fmtid="{D5CDD505-2E9C-101B-9397-08002B2CF9AE}" pid="19" name="Numeromodelo">
    <vt:lpwstr/>
  </property>
  <property fmtid="{D5CDD505-2E9C-101B-9397-08002B2CF9AE}" pid="20" name="HtmlDocument">
    <vt:lpwstr>, </vt:lpwstr>
  </property>
  <property fmtid="{D5CDD505-2E9C-101B-9397-08002B2CF9AE}" pid="21" name="DocumentTypeId">
    <vt:lpwstr>77368ad2-b60a-47c8-84b0-e1c8f9388237</vt:lpwstr>
  </property>
  <property fmtid="{D5CDD505-2E9C-101B-9397-08002B2CF9AE}" pid="22" name="ob290c312b7b4f2681f2a66b962cd45d">
    <vt:lpwstr>Profesionales|6fcfc387-321f-4ac2-8517-420a2a3a0305</vt:lpwstr>
  </property>
  <property fmtid="{D5CDD505-2E9C-101B-9397-08002B2CF9AE}" pid="23" name="FolderUrl">
    <vt:lpwstr>http://appshare:81/Default/Bomchil/Profesionales</vt:lpwstr>
  </property>
  <property fmtid="{D5CDD505-2E9C-101B-9397-08002B2CF9AE}" pid="24" name="Descripcioncliente">
    <vt:lpwstr>JP Morgan </vt:lpwstr>
  </property>
  <property fmtid="{D5CDD505-2E9C-101B-9397-08002B2CF9AE}" pid="25" name="Idasunto">
    <vt:lpwstr>1</vt:lpwstr>
  </property>
  <property fmtid="{D5CDD505-2E9C-101B-9397-08002B2CF9AE}" pid="26" name="SubtipoProspectos">
    <vt:lpwstr>Suplemento de precio</vt:lpwstr>
  </property>
  <property fmtid="{D5CDD505-2E9C-101B-9397-08002B2CF9AE}" pid="27" name="Descripcionasunto">
    <vt:lpwstr>Genneia - emisión bono internacional</vt:lpwstr>
  </property>
  <property fmtid="{D5CDD505-2E9C-101B-9397-08002B2CF9AE}" pid="28" name="Numero">
    <vt:lpwstr>670062</vt:lpwstr>
  </property>
</Properties>
</file>